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5D2892" w14:textId="48BA8CEB" w:rsidR="007847A4" w:rsidRPr="004523AB" w:rsidRDefault="007847A4">
      <w:pPr>
        <w:pStyle w:val="Covertitle"/>
        <w:rPr>
          <w:rFonts w:cs="Segoe UI"/>
          <w:b/>
          <w:color w:val="00264D" w:themeColor="background2"/>
          <w:sz w:val="64"/>
          <w:szCs w:val="64"/>
        </w:rPr>
      </w:pPr>
      <w:r w:rsidRPr="004523AB">
        <w:rPr>
          <w:noProof/>
        </w:rPr>
        <w:drawing>
          <wp:anchor distT="0" distB="0" distL="114300" distR="114300" simplePos="0" relativeHeight="251656192" behindDoc="1" locked="0" layoutInCell="1" allowOverlap="1" wp14:anchorId="326A809F" wp14:editId="3DE3A25F">
            <wp:simplePos x="0" y="0"/>
            <wp:positionH relativeFrom="page">
              <wp:align>center</wp:align>
            </wp:positionH>
            <wp:positionV relativeFrom="page">
              <wp:align>center</wp:align>
            </wp:positionV>
            <wp:extent cx="7559998" cy="10693741"/>
            <wp:effectExtent l="0" t="0" r="3175" b="0"/>
            <wp:wrapNone/>
            <wp:docPr id="495" name="Picture 4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59998" cy="10693741"/>
                    </a:xfrm>
                    <a:prstGeom prst="rect">
                      <a:avLst/>
                    </a:prstGeom>
                  </pic:spPr>
                </pic:pic>
              </a:graphicData>
            </a:graphic>
            <wp14:sizeRelH relativeFrom="page">
              <wp14:pctWidth>0</wp14:pctWidth>
            </wp14:sizeRelH>
            <wp14:sizeRelV relativeFrom="page">
              <wp14:pctHeight>0</wp14:pctHeight>
            </wp14:sizeRelV>
          </wp:anchor>
        </w:drawing>
      </w:r>
      <w:bookmarkStart w:id="0" w:name="_Ref184917561"/>
      <w:bookmarkEnd w:id="0"/>
      <w:sdt>
        <w:sdtPr>
          <w:rPr>
            <w:rFonts w:cs="Segoe UI"/>
            <w:b/>
            <w:color w:val="FFFFFF" w:themeColor="background1"/>
            <w:sz w:val="64"/>
            <w:szCs w:val="64"/>
          </w:rPr>
          <w:id w:val="2000774724"/>
          <w:docPartObj>
            <w:docPartGallery w:val="Cover Pages"/>
            <w:docPartUnique/>
          </w:docPartObj>
        </w:sdtPr>
        <w:sdtEndPr>
          <w:rPr>
            <w:color w:val="00264D" w:themeColor="background2"/>
            <w:sz w:val="36"/>
            <w:szCs w:val="36"/>
          </w:rPr>
        </w:sdtEndPr>
        <w:sdtContent>
          <w:sdt>
            <w:sdtPr>
              <w:rPr>
                <w:rFonts w:cs="Segoe UI"/>
                <w:b/>
                <w:color w:val="00264D" w:themeColor="background2"/>
                <w:sz w:val="64"/>
                <w:szCs w:val="64"/>
              </w:rPr>
              <w:alias w:val="Title"/>
              <w:tag w:val=""/>
              <w:id w:val="-1705085903"/>
              <w:dataBinding w:prefixMappings="xmlns:ns0='http://purl.org/dc/elements/1.1/' xmlns:ns1='http://schemas.openxmlformats.org/package/2006/metadata/core-properties' " w:xpath="/ns1:coreProperties[1]/ns0:title[1]" w:storeItemID="{6C3C8BC8-F283-45AE-878A-BAB7291924A1}"/>
              <w:text/>
            </w:sdtPr>
            <w:sdtContent>
              <w:r w:rsidR="008A550C" w:rsidRPr="004523AB">
                <w:rPr>
                  <w:rFonts w:cs="Segoe UI"/>
                  <w:b/>
                  <w:color w:val="00264D" w:themeColor="background2"/>
                  <w:sz w:val="64"/>
                  <w:szCs w:val="64"/>
                </w:rPr>
                <w:t>Strengthening Medicare – General Practice Grants Program Evaluation: Final Report</w:t>
              </w:r>
            </w:sdtContent>
          </w:sdt>
        </w:sdtContent>
      </w:sdt>
    </w:p>
    <w:p w14:paraId="1FAF79CF" w14:textId="77777777" w:rsidR="00624D60" w:rsidRPr="004523AB" w:rsidRDefault="00624D60" w:rsidP="00624D60">
      <w:pPr>
        <w:pStyle w:val="CoverPage-Client"/>
        <w:spacing w:before="360"/>
        <w:rPr>
          <w:rStyle w:val="CoverPage-ClientChar"/>
          <w:rFonts w:cs="Segoe UI"/>
          <w:color w:val="00264D" w:themeColor="background2"/>
        </w:rPr>
      </w:pPr>
      <w:r w:rsidRPr="004523AB">
        <w:rPr>
          <w:rStyle w:val="CoverPage-ClientChar"/>
          <w:rFonts w:cs="Segoe UI"/>
          <w:color w:val="00264D" w:themeColor="background2"/>
        </w:rPr>
        <w:t xml:space="preserve">Australian Department of Health and Aged Care </w:t>
      </w:r>
    </w:p>
    <w:p w14:paraId="234BEA5C" w14:textId="6CD88A89" w:rsidR="007847A4" w:rsidRPr="004523AB" w:rsidRDefault="00000000" w:rsidP="00624D60">
      <w:pPr>
        <w:pStyle w:val="CoverPage-Client"/>
        <w:spacing w:before="360"/>
        <w:rPr>
          <w:sz w:val="21"/>
          <w:szCs w:val="21"/>
        </w:rPr>
        <w:sectPr w:rsidR="007847A4" w:rsidRPr="004523AB" w:rsidSect="006F36BA">
          <w:headerReference w:type="default" r:id="rId13"/>
          <w:footerReference w:type="default" r:id="rId14"/>
          <w:headerReference w:type="first" r:id="rId15"/>
          <w:pgSz w:w="11907" w:h="16839" w:code="9"/>
          <w:pgMar w:top="4820" w:right="1304" w:bottom="1701" w:left="1418" w:header="737" w:footer="567" w:gutter="0"/>
          <w:pgNumType w:start="0"/>
          <w:cols w:space="720"/>
          <w:titlePg/>
          <w:docGrid w:linePitch="360"/>
        </w:sectPr>
      </w:pPr>
      <w:sdt>
        <w:sdtPr>
          <w:rPr>
            <w:rStyle w:val="CoverPage-DateChar"/>
            <w:rFonts w:cs="Segoe UI"/>
            <w:sz w:val="21"/>
            <w:szCs w:val="21"/>
          </w:rPr>
          <w:alias w:val="Publish Date"/>
          <w:tag w:val=""/>
          <w:id w:val="-696542288"/>
          <w:dataBinding w:prefixMappings="xmlns:ns0='http://schemas.microsoft.com/office/2006/coverPageProps' " w:xpath="/ns0:CoverPageProperties[1]/ns0:PublishDate[1]" w:storeItemID="{55AF091B-3C7A-41E3-B477-F2FDAA23CFDA}"/>
          <w:date w:fullDate="2024-11-28T00:00:00Z">
            <w:dateFormat w:val="d MMMM yyyy"/>
            <w:lid w:val="en-AU"/>
            <w:storeMappedDataAs w:val="dateTime"/>
            <w:calendar w:val="gregorian"/>
          </w:date>
        </w:sdtPr>
        <w:sdtEndPr>
          <w:rPr>
            <w:rStyle w:val="DefaultParagraphFont"/>
            <w:rFonts w:cs="Times New Roman"/>
            <w:color w:val="2E368F" w:themeColor="text2"/>
          </w:rPr>
        </w:sdtEndPr>
        <w:sdtContent>
          <w:r w:rsidR="00624D60" w:rsidRPr="004523AB">
            <w:rPr>
              <w:rStyle w:val="CoverPage-DateChar"/>
              <w:rFonts w:cs="Segoe UI"/>
              <w:sz w:val="21"/>
              <w:szCs w:val="21"/>
            </w:rPr>
            <w:t>28 November 2024</w:t>
          </w:r>
        </w:sdtContent>
      </w:sdt>
    </w:p>
    <w:p w14:paraId="3F4AC7D7" w14:textId="0AEBC5FF" w:rsidR="00B214B2" w:rsidRPr="007468BC" w:rsidRDefault="00B214B2" w:rsidP="007468BC">
      <w:r w:rsidRPr="007468BC">
        <w:rPr>
          <w:rStyle w:val="Strong"/>
        </w:rPr>
        <w:lastRenderedPageBreak/>
        <w:t>Nous Group</w:t>
      </w:r>
      <w:r w:rsidRPr="007468BC">
        <w:t xml:space="preserve"> acknowledges Aboriginal and Torres Strait Islander peoples as the First Australians and the Traditional Custodians of country throughout Australia. We pay our respect to Elders past, present and emerging, who maintain their culture, country and spiritual connection to the land, sea and community.</w:t>
      </w:r>
    </w:p>
    <w:p w14:paraId="25965E08" w14:textId="32E1468B" w:rsidR="00B214B2" w:rsidRPr="004523AB" w:rsidRDefault="00B214B2" w:rsidP="00B214B2">
      <w:pPr>
        <w:spacing w:before="480"/>
        <w:ind w:right="2437"/>
        <w:rPr>
          <w:rFonts w:ascii="Segoe UI Semibold" w:hAnsi="Segoe UI Semibold" w:cs="Segoe UI Semibold"/>
          <w:szCs w:val="21"/>
        </w:rPr>
      </w:pPr>
      <w:r w:rsidRPr="004523AB">
        <w:rPr>
          <w:szCs w:val="21"/>
          <w:lang w:eastAsia="en-AU"/>
        </w:rPr>
        <w:t>This artwork was developed by Marcus Lee Design to reflect Nous Group’s Reconciliation Action Plan and our aspirations for respectful and productive engagement with Aboriginal and Torres Strait Islander peoples and communities</w:t>
      </w:r>
    </w:p>
    <w:p w14:paraId="23BCAA58" w14:textId="2AD3DEE5" w:rsidR="000511F4" w:rsidRPr="004523AB" w:rsidRDefault="00B214B2" w:rsidP="00B214B2">
      <w:pPr>
        <w:spacing w:before="1320"/>
        <w:ind w:right="-1"/>
        <w:rPr>
          <w:rFonts w:ascii="Segoe UI Semibold" w:hAnsi="Segoe UI Semibold" w:cs="Segoe UI Semibold"/>
          <w:szCs w:val="21"/>
        </w:rPr>
      </w:pPr>
      <w:r w:rsidRPr="004523AB">
        <w:rPr>
          <w:rFonts w:cs="Segoe UI Semibold"/>
          <w:noProof/>
          <w:sz w:val="16"/>
          <w:szCs w:val="16"/>
        </w:rPr>
        <w:drawing>
          <wp:anchor distT="0" distB="0" distL="114300" distR="114300" simplePos="0" relativeHeight="251659264" behindDoc="1" locked="0" layoutInCell="1" allowOverlap="1" wp14:anchorId="470F9D24" wp14:editId="1D1ACD23">
            <wp:simplePos x="0" y="0"/>
            <wp:positionH relativeFrom="page">
              <wp:align>left</wp:align>
            </wp:positionH>
            <wp:positionV relativeFrom="page">
              <wp:posOffset>107950</wp:posOffset>
            </wp:positionV>
            <wp:extent cx="7560000" cy="9608400"/>
            <wp:effectExtent l="0" t="0" r="3175" b="0"/>
            <wp:wrapNone/>
            <wp:docPr id="806" name="Picture 8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Picture 806">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60000" cy="9608400"/>
                    </a:xfrm>
                    <a:prstGeom prst="rect">
                      <a:avLst/>
                    </a:prstGeom>
                  </pic:spPr>
                </pic:pic>
              </a:graphicData>
            </a:graphic>
            <wp14:sizeRelH relativeFrom="margin">
              <wp14:pctWidth>0</wp14:pctWidth>
            </wp14:sizeRelH>
            <wp14:sizeRelV relativeFrom="margin">
              <wp14:pctHeight>0</wp14:pctHeight>
            </wp14:sizeRelV>
          </wp:anchor>
        </w:drawing>
      </w:r>
      <w:r w:rsidR="000511F4" w:rsidRPr="004523AB">
        <w:rPr>
          <w:rFonts w:ascii="Segoe UI Semibold" w:hAnsi="Segoe UI Semibold" w:cs="Segoe UI Semibold"/>
          <w:szCs w:val="21"/>
        </w:rPr>
        <w:t>Disclaimer:</w:t>
      </w:r>
    </w:p>
    <w:p w14:paraId="4338A6A7" w14:textId="29748F0E" w:rsidR="00624D60" w:rsidRPr="004523AB" w:rsidRDefault="00624D60" w:rsidP="00624D60">
      <w:pPr>
        <w:ind w:right="-1"/>
        <w:rPr>
          <w:szCs w:val="21"/>
        </w:rPr>
      </w:pPr>
      <w:r w:rsidRPr="004523AB">
        <w:rPr>
          <w:szCs w:val="21"/>
        </w:rPr>
        <w:t>Nous Group (</w:t>
      </w:r>
      <w:r w:rsidRPr="004523AB">
        <w:rPr>
          <w:b/>
          <w:szCs w:val="21"/>
        </w:rPr>
        <w:t>Nous</w:t>
      </w:r>
      <w:r w:rsidRPr="004523AB">
        <w:rPr>
          <w:szCs w:val="21"/>
        </w:rPr>
        <w:t xml:space="preserve">) has prepared this report for the benefit of the Australian Government Department of Health and Aged Care (the </w:t>
      </w:r>
      <w:r w:rsidRPr="004523AB">
        <w:rPr>
          <w:b/>
          <w:szCs w:val="21"/>
        </w:rPr>
        <w:t>Client</w:t>
      </w:r>
      <w:r w:rsidRPr="004523AB">
        <w:rPr>
          <w:szCs w:val="21"/>
        </w:rPr>
        <w:t>).</w:t>
      </w:r>
    </w:p>
    <w:p w14:paraId="7CC35696" w14:textId="41F67D33" w:rsidR="000511F4" w:rsidRPr="004523AB" w:rsidRDefault="000511F4" w:rsidP="000511F4">
      <w:pPr>
        <w:rPr>
          <w:szCs w:val="21"/>
        </w:rPr>
      </w:pPr>
      <w:r w:rsidRPr="004523AB">
        <w:rPr>
          <w:szCs w:val="21"/>
        </w:rPr>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w:t>
      </w:r>
    </w:p>
    <w:p w14:paraId="6CDDBF10" w14:textId="2316B376" w:rsidR="000511F4" w:rsidRPr="004523AB" w:rsidRDefault="000511F4" w:rsidP="000511F4">
      <w:pPr>
        <w:rPr>
          <w:szCs w:val="21"/>
        </w:rPr>
        <w:sectPr w:rsidR="000511F4" w:rsidRPr="004523AB" w:rsidSect="006F36BA">
          <w:headerReference w:type="default" r:id="rId17"/>
          <w:footerReference w:type="default" r:id="rId18"/>
          <w:pgSz w:w="11906" w:h="16838" w:code="9"/>
          <w:pgMar w:top="5954" w:right="1304" w:bottom="1701" w:left="1418" w:header="737" w:footer="720" w:gutter="0"/>
          <w:pgNumType w:start="1"/>
          <w:cols w:space="720"/>
          <w:docGrid w:linePitch="360"/>
        </w:sectPr>
      </w:pPr>
      <w:r w:rsidRPr="004523AB">
        <w:rPr>
          <w:szCs w:val="21"/>
        </w:rPr>
        <w:t>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information.</w:t>
      </w:r>
    </w:p>
    <w:p w14:paraId="1B8829FB" w14:textId="0029B977" w:rsidR="00856872" w:rsidRPr="004523AB" w:rsidRDefault="00856872" w:rsidP="00461D40">
      <w:pPr>
        <w:pStyle w:val="ContentsHeading"/>
        <w:spacing w:before="0" w:after="120"/>
      </w:pPr>
      <w:r w:rsidRPr="004523AB">
        <w:lastRenderedPageBreak/>
        <w:t>Contents</w:t>
      </w:r>
    </w:p>
    <w:p w14:paraId="47ADE636" w14:textId="4571EFC8" w:rsidR="004044F7" w:rsidRPr="004523AB" w:rsidRDefault="004044F7" w:rsidP="009B45EB"/>
    <w:p w14:paraId="3AB14B96" w14:textId="229D457D" w:rsidR="00393ED0" w:rsidRDefault="00AD47C2">
      <w:pPr>
        <w:pStyle w:val="TOC1"/>
        <w:rPr>
          <w:rFonts w:asciiTheme="minorHAnsi" w:eastAsiaTheme="minorEastAsia" w:hAnsiTheme="minorHAnsi"/>
          <w:kern w:val="2"/>
          <w:sz w:val="24"/>
          <w:szCs w:val="24"/>
          <w:lang w:val="en-AU" w:eastAsia="en-AU"/>
          <w14:ligatures w14:val="standardContextual"/>
        </w:rPr>
      </w:pPr>
      <w:r w:rsidRPr="004523AB">
        <w:rPr>
          <w:b/>
          <w:lang w:val="en-AU"/>
        </w:rPr>
        <w:fldChar w:fldCharType="begin"/>
      </w:r>
      <w:r w:rsidRPr="004523AB">
        <w:rPr>
          <w:b/>
          <w:lang w:val="en-AU"/>
        </w:rPr>
        <w:instrText xml:space="preserve"> TOC \o "1-2" \h \z </w:instrText>
      </w:r>
      <w:r w:rsidRPr="004523AB">
        <w:rPr>
          <w:b/>
          <w:lang w:val="en-AU"/>
        </w:rPr>
        <w:fldChar w:fldCharType="separate"/>
      </w:r>
      <w:hyperlink w:anchor="_Toc184982754" w:history="1">
        <w:r w:rsidR="00393ED0" w:rsidRPr="00E91D03">
          <w:rPr>
            <w:rStyle w:val="Hyperlink"/>
          </w:rPr>
          <w:t>1</w:t>
        </w:r>
        <w:r w:rsidR="00393ED0">
          <w:rPr>
            <w:rFonts w:asciiTheme="minorHAnsi" w:eastAsiaTheme="minorEastAsia" w:hAnsiTheme="minorHAnsi"/>
            <w:kern w:val="2"/>
            <w:sz w:val="24"/>
            <w:szCs w:val="24"/>
            <w:lang w:val="en-AU" w:eastAsia="en-AU"/>
            <w14:ligatures w14:val="standardContextual"/>
          </w:rPr>
          <w:tab/>
        </w:r>
        <w:r w:rsidR="00393ED0" w:rsidRPr="00E91D03">
          <w:rPr>
            <w:rStyle w:val="Hyperlink"/>
          </w:rPr>
          <w:t>Executive summary</w:t>
        </w:r>
        <w:r w:rsidR="00393ED0">
          <w:rPr>
            <w:webHidden/>
          </w:rPr>
          <w:tab/>
        </w:r>
        <w:r w:rsidR="00393ED0">
          <w:rPr>
            <w:webHidden/>
          </w:rPr>
          <w:fldChar w:fldCharType="begin"/>
        </w:r>
        <w:r w:rsidR="00393ED0">
          <w:rPr>
            <w:webHidden/>
          </w:rPr>
          <w:instrText xml:space="preserve"> PAGEREF _Toc184982754 \h </w:instrText>
        </w:r>
        <w:r w:rsidR="00393ED0">
          <w:rPr>
            <w:webHidden/>
          </w:rPr>
        </w:r>
        <w:r w:rsidR="00393ED0">
          <w:rPr>
            <w:webHidden/>
          </w:rPr>
          <w:fldChar w:fldCharType="separate"/>
        </w:r>
        <w:r w:rsidR="00D5597B">
          <w:rPr>
            <w:webHidden/>
          </w:rPr>
          <w:t>1</w:t>
        </w:r>
        <w:r w:rsidR="00393ED0">
          <w:rPr>
            <w:webHidden/>
          </w:rPr>
          <w:fldChar w:fldCharType="end"/>
        </w:r>
      </w:hyperlink>
    </w:p>
    <w:p w14:paraId="3EAD98BA" w14:textId="6785BE13" w:rsidR="00393ED0" w:rsidRDefault="00393ED0">
      <w:pPr>
        <w:pStyle w:val="TOC1"/>
        <w:rPr>
          <w:rFonts w:asciiTheme="minorHAnsi" w:eastAsiaTheme="minorEastAsia" w:hAnsiTheme="minorHAnsi"/>
          <w:kern w:val="2"/>
          <w:sz w:val="24"/>
          <w:szCs w:val="24"/>
          <w:lang w:val="en-AU" w:eastAsia="en-AU"/>
          <w14:ligatures w14:val="standardContextual"/>
        </w:rPr>
      </w:pPr>
      <w:hyperlink w:anchor="_Toc184982755" w:history="1">
        <w:r w:rsidRPr="00E91D03">
          <w:rPr>
            <w:rStyle w:val="Hyperlink"/>
          </w:rPr>
          <w:t>2</w:t>
        </w:r>
        <w:r>
          <w:rPr>
            <w:rFonts w:asciiTheme="minorHAnsi" w:eastAsiaTheme="minorEastAsia" w:hAnsiTheme="minorHAnsi"/>
            <w:kern w:val="2"/>
            <w:sz w:val="24"/>
            <w:szCs w:val="24"/>
            <w:lang w:val="en-AU" w:eastAsia="en-AU"/>
            <w14:ligatures w14:val="standardContextual"/>
          </w:rPr>
          <w:tab/>
        </w:r>
        <w:r w:rsidRPr="00E91D03">
          <w:rPr>
            <w:rStyle w:val="Hyperlink"/>
          </w:rPr>
          <w:t>Background and policy context</w:t>
        </w:r>
        <w:r>
          <w:rPr>
            <w:webHidden/>
          </w:rPr>
          <w:tab/>
        </w:r>
        <w:r>
          <w:rPr>
            <w:webHidden/>
          </w:rPr>
          <w:fldChar w:fldCharType="begin"/>
        </w:r>
        <w:r>
          <w:rPr>
            <w:webHidden/>
          </w:rPr>
          <w:instrText xml:space="preserve"> PAGEREF _Toc184982755 \h </w:instrText>
        </w:r>
        <w:r>
          <w:rPr>
            <w:webHidden/>
          </w:rPr>
        </w:r>
        <w:r>
          <w:rPr>
            <w:webHidden/>
          </w:rPr>
          <w:fldChar w:fldCharType="separate"/>
        </w:r>
        <w:r w:rsidR="00D5597B">
          <w:rPr>
            <w:webHidden/>
          </w:rPr>
          <w:t>5</w:t>
        </w:r>
        <w:r>
          <w:rPr>
            <w:webHidden/>
          </w:rPr>
          <w:fldChar w:fldCharType="end"/>
        </w:r>
      </w:hyperlink>
    </w:p>
    <w:p w14:paraId="24C8F7B5" w14:textId="2DDB0280" w:rsidR="00393ED0" w:rsidRDefault="00393ED0">
      <w:pPr>
        <w:pStyle w:val="TOC2"/>
        <w:rPr>
          <w:rFonts w:asciiTheme="minorHAnsi" w:eastAsiaTheme="minorEastAsia" w:hAnsiTheme="minorHAnsi"/>
          <w:noProof/>
          <w:kern w:val="2"/>
          <w:sz w:val="24"/>
          <w:szCs w:val="24"/>
          <w:lang w:val="en-AU" w:eastAsia="en-AU"/>
          <w14:ligatures w14:val="standardContextual"/>
        </w:rPr>
      </w:pPr>
      <w:hyperlink w:anchor="_Toc184982756" w:history="1">
        <w:r w:rsidRPr="00E91D03">
          <w:rPr>
            <w:rStyle w:val="Hyperlink"/>
            <w:noProof/>
          </w:rPr>
          <w:t>2.1</w:t>
        </w:r>
        <w:r>
          <w:rPr>
            <w:rFonts w:asciiTheme="minorHAnsi" w:eastAsiaTheme="minorEastAsia" w:hAnsiTheme="minorHAnsi"/>
            <w:noProof/>
            <w:kern w:val="2"/>
            <w:sz w:val="24"/>
            <w:szCs w:val="24"/>
            <w:lang w:val="en-AU" w:eastAsia="en-AU"/>
            <w14:ligatures w14:val="standardContextual"/>
          </w:rPr>
          <w:tab/>
        </w:r>
        <w:r w:rsidRPr="00E91D03">
          <w:rPr>
            <w:rStyle w:val="Hyperlink"/>
            <w:noProof/>
          </w:rPr>
          <w:t>Primary care policy context: Strengthening Medicare</w:t>
        </w:r>
        <w:r>
          <w:rPr>
            <w:noProof/>
            <w:webHidden/>
          </w:rPr>
          <w:tab/>
        </w:r>
        <w:r>
          <w:rPr>
            <w:noProof/>
            <w:webHidden/>
          </w:rPr>
          <w:fldChar w:fldCharType="begin"/>
        </w:r>
        <w:r>
          <w:rPr>
            <w:noProof/>
            <w:webHidden/>
          </w:rPr>
          <w:instrText xml:space="preserve"> PAGEREF _Toc184982756 \h </w:instrText>
        </w:r>
        <w:r>
          <w:rPr>
            <w:noProof/>
            <w:webHidden/>
          </w:rPr>
        </w:r>
        <w:r>
          <w:rPr>
            <w:noProof/>
            <w:webHidden/>
          </w:rPr>
          <w:fldChar w:fldCharType="separate"/>
        </w:r>
        <w:r w:rsidR="00D5597B">
          <w:rPr>
            <w:noProof/>
            <w:webHidden/>
          </w:rPr>
          <w:t>5</w:t>
        </w:r>
        <w:r>
          <w:rPr>
            <w:noProof/>
            <w:webHidden/>
          </w:rPr>
          <w:fldChar w:fldCharType="end"/>
        </w:r>
      </w:hyperlink>
    </w:p>
    <w:p w14:paraId="4CD38FF4" w14:textId="2CD9D79D" w:rsidR="00393ED0" w:rsidRDefault="00393ED0">
      <w:pPr>
        <w:pStyle w:val="TOC2"/>
        <w:rPr>
          <w:rFonts w:asciiTheme="minorHAnsi" w:eastAsiaTheme="minorEastAsia" w:hAnsiTheme="minorHAnsi"/>
          <w:noProof/>
          <w:kern w:val="2"/>
          <w:sz w:val="24"/>
          <w:szCs w:val="24"/>
          <w:lang w:val="en-AU" w:eastAsia="en-AU"/>
          <w14:ligatures w14:val="standardContextual"/>
        </w:rPr>
      </w:pPr>
      <w:hyperlink w:anchor="_Toc184982757" w:history="1">
        <w:r w:rsidRPr="00E91D03">
          <w:rPr>
            <w:rStyle w:val="Hyperlink"/>
            <w:noProof/>
          </w:rPr>
          <w:t>2.2</w:t>
        </w:r>
        <w:r>
          <w:rPr>
            <w:rFonts w:asciiTheme="minorHAnsi" w:eastAsiaTheme="minorEastAsia" w:hAnsiTheme="minorHAnsi"/>
            <w:noProof/>
            <w:kern w:val="2"/>
            <w:sz w:val="24"/>
            <w:szCs w:val="24"/>
            <w:lang w:val="en-AU" w:eastAsia="en-AU"/>
            <w14:ligatures w14:val="standardContextual"/>
          </w:rPr>
          <w:tab/>
        </w:r>
        <w:r w:rsidRPr="00E91D03">
          <w:rPr>
            <w:rStyle w:val="Hyperlink"/>
            <w:noProof/>
          </w:rPr>
          <w:t>Overview of program</w:t>
        </w:r>
        <w:r>
          <w:rPr>
            <w:noProof/>
            <w:webHidden/>
          </w:rPr>
          <w:tab/>
        </w:r>
        <w:r>
          <w:rPr>
            <w:noProof/>
            <w:webHidden/>
          </w:rPr>
          <w:fldChar w:fldCharType="begin"/>
        </w:r>
        <w:r>
          <w:rPr>
            <w:noProof/>
            <w:webHidden/>
          </w:rPr>
          <w:instrText xml:space="preserve"> PAGEREF _Toc184982757 \h </w:instrText>
        </w:r>
        <w:r>
          <w:rPr>
            <w:noProof/>
            <w:webHidden/>
          </w:rPr>
        </w:r>
        <w:r>
          <w:rPr>
            <w:noProof/>
            <w:webHidden/>
          </w:rPr>
          <w:fldChar w:fldCharType="separate"/>
        </w:r>
        <w:r w:rsidR="00D5597B">
          <w:rPr>
            <w:noProof/>
            <w:webHidden/>
          </w:rPr>
          <w:t>7</w:t>
        </w:r>
        <w:r>
          <w:rPr>
            <w:noProof/>
            <w:webHidden/>
          </w:rPr>
          <w:fldChar w:fldCharType="end"/>
        </w:r>
      </w:hyperlink>
    </w:p>
    <w:p w14:paraId="6B465C21" w14:textId="2703A5D3" w:rsidR="00393ED0" w:rsidRDefault="00393ED0">
      <w:pPr>
        <w:pStyle w:val="TOC1"/>
        <w:rPr>
          <w:rFonts w:asciiTheme="minorHAnsi" w:eastAsiaTheme="minorEastAsia" w:hAnsiTheme="minorHAnsi"/>
          <w:kern w:val="2"/>
          <w:sz w:val="24"/>
          <w:szCs w:val="24"/>
          <w:lang w:val="en-AU" w:eastAsia="en-AU"/>
          <w14:ligatures w14:val="standardContextual"/>
        </w:rPr>
      </w:pPr>
      <w:hyperlink w:anchor="_Toc184982758" w:history="1">
        <w:r w:rsidRPr="00E91D03">
          <w:rPr>
            <w:rStyle w:val="Hyperlink"/>
          </w:rPr>
          <w:t>3</w:t>
        </w:r>
        <w:r>
          <w:rPr>
            <w:rFonts w:asciiTheme="minorHAnsi" w:eastAsiaTheme="minorEastAsia" w:hAnsiTheme="minorHAnsi"/>
            <w:kern w:val="2"/>
            <w:sz w:val="24"/>
            <w:szCs w:val="24"/>
            <w:lang w:val="en-AU" w:eastAsia="en-AU"/>
            <w14:ligatures w14:val="standardContextual"/>
          </w:rPr>
          <w:tab/>
        </w:r>
        <w:r w:rsidRPr="00E91D03">
          <w:rPr>
            <w:rStyle w:val="Hyperlink"/>
          </w:rPr>
          <w:t>Evaluation approach and methodology</w:t>
        </w:r>
        <w:r>
          <w:rPr>
            <w:webHidden/>
          </w:rPr>
          <w:tab/>
        </w:r>
        <w:r>
          <w:rPr>
            <w:webHidden/>
          </w:rPr>
          <w:fldChar w:fldCharType="begin"/>
        </w:r>
        <w:r>
          <w:rPr>
            <w:webHidden/>
          </w:rPr>
          <w:instrText xml:space="preserve"> PAGEREF _Toc184982758 \h </w:instrText>
        </w:r>
        <w:r>
          <w:rPr>
            <w:webHidden/>
          </w:rPr>
        </w:r>
        <w:r>
          <w:rPr>
            <w:webHidden/>
          </w:rPr>
          <w:fldChar w:fldCharType="separate"/>
        </w:r>
        <w:r w:rsidR="00D5597B">
          <w:rPr>
            <w:webHidden/>
          </w:rPr>
          <w:t>12</w:t>
        </w:r>
        <w:r>
          <w:rPr>
            <w:webHidden/>
          </w:rPr>
          <w:fldChar w:fldCharType="end"/>
        </w:r>
      </w:hyperlink>
    </w:p>
    <w:p w14:paraId="05494BB0" w14:textId="5401A45A" w:rsidR="00393ED0" w:rsidRDefault="00393ED0">
      <w:pPr>
        <w:pStyle w:val="TOC2"/>
        <w:rPr>
          <w:rFonts w:asciiTheme="minorHAnsi" w:eastAsiaTheme="minorEastAsia" w:hAnsiTheme="minorHAnsi"/>
          <w:noProof/>
          <w:kern w:val="2"/>
          <w:sz w:val="24"/>
          <w:szCs w:val="24"/>
          <w:lang w:val="en-AU" w:eastAsia="en-AU"/>
          <w14:ligatures w14:val="standardContextual"/>
        </w:rPr>
      </w:pPr>
      <w:hyperlink w:anchor="_Toc184982759" w:history="1">
        <w:r w:rsidRPr="00E91D03">
          <w:rPr>
            <w:rStyle w:val="Hyperlink"/>
            <w:noProof/>
          </w:rPr>
          <w:t>3.1</w:t>
        </w:r>
        <w:r>
          <w:rPr>
            <w:rFonts w:asciiTheme="minorHAnsi" w:eastAsiaTheme="minorEastAsia" w:hAnsiTheme="minorHAnsi"/>
            <w:noProof/>
            <w:kern w:val="2"/>
            <w:sz w:val="24"/>
            <w:szCs w:val="24"/>
            <w:lang w:val="en-AU" w:eastAsia="en-AU"/>
            <w14:ligatures w14:val="standardContextual"/>
          </w:rPr>
          <w:tab/>
        </w:r>
        <w:r w:rsidRPr="00E91D03">
          <w:rPr>
            <w:rStyle w:val="Hyperlink"/>
            <w:noProof/>
          </w:rPr>
          <w:t>Evalution scope and objectives</w:t>
        </w:r>
        <w:r>
          <w:rPr>
            <w:noProof/>
            <w:webHidden/>
          </w:rPr>
          <w:tab/>
        </w:r>
        <w:r>
          <w:rPr>
            <w:noProof/>
            <w:webHidden/>
          </w:rPr>
          <w:fldChar w:fldCharType="begin"/>
        </w:r>
        <w:r>
          <w:rPr>
            <w:noProof/>
            <w:webHidden/>
          </w:rPr>
          <w:instrText xml:space="preserve"> PAGEREF _Toc184982759 \h </w:instrText>
        </w:r>
        <w:r>
          <w:rPr>
            <w:noProof/>
            <w:webHidden/>
          </w:rPr>
        </w:r>
        <w:r>
          <w:rPr>
            <w:noProof/>
            <w:webHidden/>
          </w:rPr>
          <w:fldChar w:fldCharType="separate"/>
        </w:r>
        <w:r w:rsidR="00D5597B">
          <w:rPr>
            <w:noProof/>
            <w:webHidden/>
          </w:rPr>
          <w:t>12</w:t>
        </w:r>
        <w:r>
          <w:rPr>
            <w:noProof/>
            <w:webHidden/>
          </w:rPr>
          <w:fldChar w:fldCharType="end"/>
        </w:r>
      </w:hyperlink>
    </w:p>
    <w:p w14:paraId="67E94F6A" w14:textId="5607FE60" w:rsidR="00393ED0" w:rsidRDefault="00393ED0">
      <w:pPr>
        <w:pStyle w:val="TOC2"/>
        <w:rPr>
          <w:rFonts w:asciiTheme="minorHAnsi" w:eastAsiaTheme="minorEastAsia" w:hAnsiTheme="minorHAnsi"/>
          <w:noProof/>
          <w:kern w:val="2"/>
          <w:sz w:val="24"/>
          <w:szCs w:val="24"/>
          <w:lang w:val="en-AU" w:eastAsia="en-AU"/>
          <w14:ligatures w14:val="standardContextual"/>
        </w:rPr>
      </w:pPr>
      <w:hyperlink w:anchor="_Toc184982760" w:history="1">
        <w:r w:rsidRPr="00E91D03">
          <w:rPr>
            <w:rStyle w:val="Hyperlink"/>
            <w:noProof/>
          </w:rPr>
          <w:t>3.2</w:t>
        </w:r>
        <w:r>
          <w:rPr>
            <w:rFonts w:asciiTheme="minorHAnsi" w:eastAsiaTheme="minorEastAsia" w:hAnsiTheme="minorHAnsi"/>
            <w:noProof/>
            <w:kern w:val="2"/>
            <w:sz w:val="24"/>
            <w:szCs w:val="24"/>
            <w:lang w:val="en-AU" w:eastAsia="en-AU"/>
            <w14:ligatures w14:val="standardContextual"/>
          </w:rPr>
          <w:tab/>
        </w:r>
        <w:r w:rsidRPr="00E91D03">
          <w:rPr>
            <w:rStyle w:val="Hyperlink"/>
            <w:noProof/>
          </w:rPr>
          <w:t>Evaluation approach and program logic</w:t>
        </w:r>
        <w:r>
          <w:rPr>
            <w:noProof/>
            <w:webHidden/>
          </w:rPr>
          <w:tab/>
        </w:r>
        <w:r>
          <w:rPr>
            <w:noProof/>
            <w:webHidden/>
          </w:rPr>
          <w:fldChar w:fldCharType="begin"/>
        </w:r>
        <w:r>
          <w:rPr>
            <w:noProof/>
            <w:webHidden/>
          </w:rPr>
          <w:instrText xml:space="preserve"> PAGEREF _Toc184982760 \h </w:instrText>
        </w:r>
        <w:r>
          <w:rPr>
            <w:noProof/>
            <w:webHidden/>
          </w:rPr>
        </w:r>
        <w:r>
          <w:rPr>
            <w:noProof/>
            <w:webHidden/>
          </w:rPr>
          <w:fldChar w:fldCharType="separate"/>
        </w:r>
        <w:r w:rsidR="00D5597B">
          <w:rPr>
            <w:noProof/>
            <w:webHidden/>
          </w:rPr>
          <w:t>12</w:t>
        </w:r>
        <w:r>
          <w:rPr>
            <w:noProof/>
            <w:webHidden/>
          </w:rPr>
          <w:fldChar w:fldCharType="end"/>
        </w:r>
      </w:hyperlink>
    </w:p>
    <w:p w14:paraId="7C988359" w14:textId="1A62526A" w:rsidR="00393ED0" w:rsidRDefault="00393ED0">
      <w:pPr>
        <w:pStyle w:val="TOC2"/>
        <w:rPr>
          <w:rFonts w:asciiTheme="minorHAnsi" w:eastAsiaTheme="minorEastAsia" w:hAnsiTheme="minorHAnsi"/>
          <w:noProof/>
          <w:kern w:val="2"/>
          <w:sz w:val="24"/>
          <w:szCs w:val="24"/>
          <w:lang w:val="en-AU" w:eastAsia="en-AU"/>
          <w14:ligatures w14:val="standardContextual"/>
        </w:rPr>
      </w:pPr>
      <w:hyperlink w:anchor="_Toc184982761" w:history="1">
        <w:r w:rsidRPr="00E91D03">
          <w:rPr>
            <w:rStyle w:val="Hyperlink"/>
            <w:noProof/>
          </w:rPr>
          <w:t>3.3</w:t>
        </w:r>
        <w:r>
          <w:rPr>
            <w:rFonts w:asciiTheme="minorHAnsi" w:eastAsiaTheme="minorEastAsia" w:hAnsiTheme="minorHAnsi"/>
            <w:noProof/>
            <w:kern w:val="2"/>
            <w:sz w:val="24"/>
            <w:szCs w:val="24"/>
            <w:lang w:val="en-AU" w:eastAsia="en-AU"/>
            <w14:ligatures w14:val="standardContextual"/>
          </w:rPr>
          <w:tab/>
        </w:r>
        <w:r w:rsidRPr="00E91D03">
          <w:rPr>
            <w:rStyle w:val="Hyperlink"/>
            <w:noProof/>
          </w:rPr>
          <w:t>Key evaluation questions</w:t>
        </w:r>
        <w:r>
          <w:rPr>
            <w:noProof/>
            <w:webHidden/>
          </w:rPr>
          <w:tab/>
        </w:r>
        <w:r>
          <w:rPr>
            <w:noProof/>
            <w:webHidden/>
          </w:rPr>
          <w:fldChar w:fldCharType="begin"/>
        </w:r>
        <w:r>
          <w:rPr>
            <w:noProof/>
            <w:webHidden/>
          </w:rPr>
          <w:instrText xml:space="preserve"> PAGEREF _Toc184982761 \h </w:instrText>
        </w:r>
        <w:r>
          <w:rPr>
            <w:noProof/>
            <w:webHidden/>
          </w:rPr>
        </w:r>
        <w:r>
          <w:rPr>
            <w:noProof/>
            <w:webHidden/>
          </w:rPr>
          <w:fldChar w:fldCharType="separate"/>
        </w:r>
        <w:r w:rsidR="00D5597B">
          <w:rPr>
            <w:noProof/>
            <w:webHidden/>
          </w:rPr>
          <w:t>17</w:t>
        </w:r>
        <w:r>
          <w:rPr>
            <w:noProof/>
            <w:webHidden/>
          </w:rPr>
          <w:fldChar w:fldCharType="end"/>
        </w:r>
      </w:hyperlink>
    </w:p>
    <w:p w14:paraId="01F3F87A" w14:textId="78A8E278" w:rsidR="00393ED0" w:rsidRDefault="00393ED0">
      <w:pPr>
        <w:pStyle w:val="TOC2"/>
        <w:rPr>
          <w:rFonts w:asciiTheme="minorHAnsi" w:eastAsiaTheme="minorEastAsia" w:hAnsiTheme="minorHAnsi"/>
          <w:noProof/>
          <w:kern w:val="2"/>
          <w:sz w:val="24"/>
          <w:szCs w:val="24"/>
          <w:lang w:val="en-AU" w:eastAsia="en-AU"/>
          <w14:ligatures w14:val="standardContextual"/>
        </w:rPr>
      </w:pPr>
      <w:hyperlink w:anchor="_Toc184982762" w:history="1">
        <w:r w:rsidRPr="00E91D03">
          <w:rPr>
            <w:rStyle w:val="Hyperlink"/>
            <w:noProof/>
          </w:rPr>
          <w:t>3.4</w:t>
        </w:r>
        <w:r>
          <w:rPr>
            <w:rFonts w:asciiTheme="minorHAnsi" w:eastAsiaTheme="minorEastAsia" w:hAnsiTheme="minorHAnsi"/>
            <w:noProof/>
            <w:kern w:val="2"/>
            <w:sz w:val="24"/>
            <w:szCs w:val="24"/>
            <w:lang w:val="en-AU" w:eastAsia="en-AU"/>
            <w14:ligatures w14:val="standardContextual"/>
          </w:rPr>
          <w:tab/>
        </w:r>
        <w:r w:rsidRPr="00E91D03">
          <w:rPr>
            <w:rStyle w:val="Hyperlink"/>
            <w:noProof/>
          </w:rPr>
          <w:t>Methodology</w:t>
        </w:r>
        <w:r>
          <w:rPr>
            <w:noProof/>
            <w:webHidden/>
          </w:rPr>
          <w:tab/>
        </w:r>
        <w:r>
          <w:rPr>
            <w:noProof/>
            <w:webHidden/>
          </w:rPr>
          <w:fldChar w:fldCharType="begin"/>
        </w:r>
        <w:r>
          <w:rPr>
            <w:noProof/>
            <w:webHidden/>
          </w:rPr>
          <w:instrText xml:space="preserve"> PAGEREF _Toc184982762 \h </w:instrText>
        </w:r>
        <w:r>
          <w:rPr>
            <w:noProof/>
            <w:webHidden/>
          </w:rPr>
        </w:r>
        <w:r>
          <w:rPr>
            <w:noProof/>
            <w:webHidden/>
          </w:rPr>
          <w:fldChar w:fldCharType="separate"/>
        </w:r>
        <w:r w:rsidR="00D5597B">
          <w:rPr>
            <w:noProof/>
            <w:webHidden/>
          </w:rPr>
          <w:t>19</w:t>
        </w:r>
        <w:r>
          <w:rPr>
            <w:noProof/>
            <w:webHidden/>
          </w:rPr>
          <w:fldChar w:fldCharType="end"/>
        </w:r>
      </w:hyperlink>
    </w:p>
    <w:p w14:paraId="07901FA3" w14:textId="20BBCA06" w:rsidR="00393ED0" w:rsidRDefault="00393ED0">
      <w:pPr>
        <w:pStyle w:val="TOC1"/>
        <w:rPr>
          <w:rFonts w:asciiTheme="minorHAnsi" w:eastAsiaTheme="minorEastAsia" w:hAnsiTheme="minorHAnsi"/>
          <w:kern w:val="2"/>
          <w:sz w:val="24"/>
          <w:szCs w:val="24"/>
          <w:lang w:val="en-AU" w:eastAsia="en-AU"/>
          <w14:ligatures w14:val="standardContextual"/>
        </w:rPr>
      </w:pPr>
      <w:hyperlink w:anchor="_Toc184982763" w:history="1">
        <w:r w:rsidRPr="00E91D03">
          <w:rPr>
            <w:rStyle w:val="Hyperlink"/>
          </w:rPr>
          <w:t>4</w:t>
        </w:r>
        <w:r>
          <w:rPr>
            <w:rFonts w:asciiTheme="minorHAnsi" w:eastAsiaTheme="minorEastAsia" w:hAnsiTheme="minorHAnsi"/>
            <w:kern w:val="2"/>
            <w:sz w:val="24"/>
            <w:szCs w:val="24"/>
            <w:lang w:val="en-AU" w:eastAsia="en-AU"/>
            <w14:ligatures w14:val="standardContextual"/>
          </w:rPr>
          <w:tab/>
        </w:r>
        <w:r w:rsidRPr="00E91D03">
          <w:rPr>
            <w:rStyle w:val="Hyperlink"/>
          </w:rPr>
          <w:t>Findings</w:t>
        </w:r>
        <w:r>
          <w:rPr>
            <w:webHidden/>
          </w:rPr>
          <w:tab/>
        </w:r>
        <w:r>
          <w:rPr>
            <w:webHidden/>
          </w:rPr>
          <w:fldChar w:fldCharType="begin"/>
        </w:r>
        <w:r>
          <w:rPr>
            <w:webHidden/>
          </w:rPr>
          <w:instrText xml:space="preserve"> PAGEREF _Toc184982763 \h </w:instrText>
        </w:r>
        <w:r>
          <w:rPr>
            <w:webHidden/>
          </w:rPr>
        </w:r>
        <w:r>
          <w:rPr>
            <w:webHidden/>
          </w:rPr>
          <w:fldChar w:fldCharType="separate"/>
        </w:r>
        <w:r w:rsidR="00D5597B">
          <w:rPr>
            <w:webHidden/>
          </w:rPr>
          <w:t>21</w:t>
        </w:r>
        <w:r>
          <w:rPr>
            <w:webHidden/>
          </w:rPr>
          <w:fldChar w:fldCharType="end"/>
        </w:r>
      </w:hyperlink>
    </w:p>
    <w:p w14:paraId="3F1A765A" w14:textId="6A794257" w:rsidR="00393ED0" w:rsidRDefault="00393ED0">
      <w:pPr>
        <w:pStyle w:val="TOC2"/>
        <w:rPr>
          <w:rFonts w:asciiTheme="minorHAnsi" w:eastAsiaTheme="minorEastAsia" w:hAnsiTheme="minorHAnsi"/>
          <w:noProof/>
          <w:kern w:val="2"/>
          <w:sz w:val="24"/>
          <w:szCs w:val="24"/>
          <w:lang w:val="en-AU" w:eastAsia="en-AU"/>
          <w14:ligatures w14:val="standardContextual"/>
        </w:rPr>
      </w:pPr>
      <w:hyperlink w:anchor="_Toc184982764" w:history="1">
        <w:r w:rsidRPr="00E91D03">
          <w:rPr>
            <w:rStyle w:val="Hyperlink"/>
            <w:noProof/>
          </w:rPr>
          <w:t>4.1</w:t>
        </w:r>
        <w:r>
          <w:rPr>
            <w:rFonts w:asciiTheme="minorHAnsi" w:eastAsiaTheme="minorEastAsia" w:hAnsiTheme="minorHAnsi"/>
            <w:noProof/>
            <w:kern w:val="2"/>
            <w:sz w:val="24"/>
            <w:szCs w:val="24"/>
            <w:lang w:val="en-AU" w:eastAsia="en-AU"/>
            <w14:ligatures w14:val="standardContextual"/>
          </w:rPr>
          <w:tab/>
        </w:r>
        <w:r w:rsidRPr="00E91D03">
          <w:rPr>
            <w:rStyle w:val="Hyperlink"/>
            <w:noProof/>
          </w:rPr>
          <w:t>Program design</w:t>
        </w:r>
        <w:r>
          <w:rPr>
            <w:noProof/>
            <w:webHidden/>
          </w:rPr>
          <w:tab/>
        </w:r>
        <w:r>
          <w:rPr>
            <w:noProof/>
            <w:webHidden/>
          </w:rPr>
          <w:fldChar w:fldCharType="begin"/>
        </w:r>
        <w:r>
          <w:rPr>
            <w:noProof/>
            <w:webHidden/>
          </w:rPr>
          <w:instrText xml:space="preserve"> PAGEREF _Toc184982764 \h </w:instrText>
        </w:r>
        <w:r>
          <w:rPr>
            <w:noProof/>
            <w:webHidden/>
          </w:rPr>
        </w:r>
        <w:r>
          <w:rPr>
            <w:noProof/>
            <w:webHidden/>
          </w:rPr>
          <w:fldChar w:fldCharType="separate"/>
        </w:r>
        <w:r w:rsidR="00D5597B">
          <w:rPr>
            <w:noProof/>
            <w:webHidden/>
          </w:rPr>
          <w:t>21</w:t>
        </w:r>
        <w:r>
          <w:rPr>
            <w:noProof/>
            <w:webHidden/>
          </w:rPr>
          <w:fldChar w:fldCharType="end"/>
        </w:r>
      </w:hyperlink>
    </w:p>
    <w:p w14:paraId="753B25C3" w14:textId="76EEAF1F" w:rsidR="00393ED0" w:rsidRDefault="00393ED0">
      <w:pPr>
        <w:pStyle w:val="TOC2"/>
        <w:rPr>
          <w:rFonts w:asciiTheme="minorHAnsi" w:eastAsiaTheme="minorEastAsia" w:hAnsiTheme="minorHAnsi"/>
          <w:noProof/>
          <w:kern w:val="2"/>
          <w:sz w:val="24"/>
          <w:szCs w:val="24"/>
          <w:lang w:val="en-AU" w:eastAsia="en-AU"/>
          <w14:ligatures w14:val="standardContextual"/>
        </w:rPr>
      </w:pPr>
      <w:hyperlink w:anchor="_Toc184982765" w:history="1">
        <w:r w:rsidRPr="00E91D03">
          <w:rPr>
            <w:rStyle w:val="Hyperlink"/>
            <w:noProof/>
          </w:rPr>
          <w:t>4.2</w:t>
        </w:r>
        <w:r>
          <w:rPr>
            <w:rFonts w:asciiTheme="minorHAnsi" w:eastAsiaTheme="minorEastAsia" w:hAnsiTheme="minorHAnsi"/>
            <w:noProof/>
            <w:kern w:val="2"/>
            <w:sz w:val="24"/>
            <w:szCs w:val="24"/>
            <w:lang w:val="en-AU" w:eastAsia="en-AU"/>
            <w14:ligatures w14:val="standardContextual"/>
          </w:rPr>
          <w:tab/>
        </w:r>
        <w:r w:rsidRPr="00E91D03">
          <w:rPr>
            <w:rStyle w:val="Hyperlink"/>
            <w:noProof/>
          </w:rPr>
          <w:t>Program delivery</w:t>
        </w:r>
        <w:r>
          <w:rPr>
            <w:noProof/>
            <w:webHidden/>
          </w:rPr>
          <w:tab/>
        </w:r>
        <w:r>
          <w:rPr>
            <w:noProof/>
            <w:webHidden/>
          </w:rPr>
          <w:fldChar w:fldCharType="begin"/>
        </w:r>
        <w:r>
          <w:rPr>
            <w:noProof/>
            <w:webHidden/>
          </w:rPr>
          <w:instrText xml:space="preserve"> PAGEREF _Toc184982765 \h </w:instrText>
        </w:r>
        <w:r>
          <w:rPr>
            <w:noProof/>
            <w:webHidden/>
          </w:rPr>
        </w:r>
        <w:r>
          <w:rPr>
            <w:noProof/>
            <w:webHidden/>
          </w:rPr>
          <w:fldChar w:fldCharType="separate"/>
        </w:r>
        <w:r w:rsidR="00D5597B">
          <w:rPr>
            <w:noProof/>
            <w:webHidden/>
          </w:rPr>
          <w:t>42</w:t>
        </w:r>
        <w:r>
          <w:rPr>
            <w:noProof/>
            <w:webHidden/>
          </w:rPr>
          <w:fldChar w:fldCharType="end"/>
        </w:r>
      </w:hyperlink>
    </w:p>
    <w:p w14:paraId="79249AE7" w14:textId="4DB86D32" w:rsidR="00393ED0" w:rsidRDefault="00393ED0">
      <w:pPr>
        <w:pStyle w:val="TOC2"/>
        <w:rPr>
          <w:rFonts w:asciiTheme="minorHAnsi" w:eastAsiaTheme="minorEastAsia" w:hAnsiTheme="minorHAnsi"/>
          <w:noProof/>
          <w:kern w:val="2"/>
          <w:sz w:val="24"/>
          <w:szCs w:val="24"/>
          <w:lang w:val="en-AU" w:eastAsia="en-AU"/>
          <w14:ligatures w14:val="standardContextual"/>
        </w:rPr>
      </w:pPr>
      <w:hyperlink w:anchor="_Toc184982766" w:history="1">
        <w:r w:rsidRPr="00E91D03">
          <w:rPr>
            <w:rStyle w:val="Hyperlink"/>
            <w:noProof/>
          </w:rPr>
          <w:t>4.3</w:t>
        </w:r>
        <w:r>
          <w:rPr>
            <w:rFonts w:asciiTheme="minorHAnsi" w:eastAsiaTheme="minorEastAsia" w:hAnsiTheme="minorHAnsi"/>
            <w:noProof/>
            <w:kern w:val="2"/>
            <w:sz w:val="24"/>
            <w:szCs w:val="24"/>
            <w:lang w:val="en-AU" w:eastAsia="en-AU"/>
            <w14:ligatures w14:val="standardContextual"/>
          </w:rPr>
          <w:tab/>
        </w:r>
        <w:r w:rsidRPr="00E91D03">
          <w:rPr>
            <w:rStyle w:val="Hyperlink"/>
            <w:noProof/>
          </w:rPr>
          <w:t>Program outcomes</w:t>
        </w:r>
        <w:r>
          <w:rPr>
            <w:noProof/>
            <w:webHidden/>
          </w:rPr>
          <w:tab/>
        </w:r>
        <w:r>
          <w:rPr>
            <w:noProof/>
            <w:webHidden/>
          </w:rPr>
          <w:fldChar w:fldCharType="begin"/>
        </w:r>
        <w:r>
          <w:rPr>
            <w:noProof/>
            <w:webHidden/>
          </w:rPr>
          <w:instrText xml:space="preserve"> PAGEREF _Toc184982766 \h </w:instrText>
        </w:r>
        <w:r>
          <w:rPr>
            <w:noProof/>
            <w:webHidden/>
          </w:rPr>
        </w:r>
        <w:r>
          <w:rPr>
            <w:noProof/>
            <w:webHidden/>
          </w:rPr>
          <w:fldChar w:fldCharType="separate"/>
        </w:r>
        <w:r w:rsidR="00D5597B">
          <w:rPr>
            <w:noProof/>
            <w:webHidden/>
          </w:rPr>
          <w:t>60</w:t>
        </w:r>
        <w:r>
          <w:rPr>
            <w:noProof/>
            <w:webHidden/>
          </w:rPr>
          <w:fldChar w:fldCharType="end"/>
        </w:r>
      </w:hyperlink>
    </w:p>
    <w:p w14:paraId="0C5793DF" w14:textId="6A42B4C5" w:rsidR="00393ED0" w:rsidRDefault="00393ED0">
      <w:pPr>
        <w:pStyle w:val="TOC1"/>
        <w:rPr>
          <w:rFonts w:asciiTheme="minorHAnsi" w:eastAsiaTheme="minorEastAsia" w:hAnsiTheme="minorHAnsi"/>
          <w:kern w:val="2"/>
          <w:sz w:val="24"/>
          <w:szCs w:val="24"/>
          <w:lang w:val="en-AU" w:eastAsia="en-AU"/>
          <w14:ligatures w14:val="standardContextual"/>
        </w:rPr>
      </w:pPr>
      <w:hyperlink w:anchor="_Toc184982767" w:history="1">
        <w:r w:rsidRPr="00E91D03">
          <w:rPr>
            <w:rStyle w:val="Hyperlink"/>
          </w:rPr>
          <w:t>5</w:t>
        </w:r>
        <w:r>
          <w:rPr>
            <w:rFonts w:asciiTheme="minorHAnsi" w:eastAsiaTheme="minorEastAsia" w:hAnsiTheme="minorHAnsi"/>
            <w:kern w:val="2"/>
            <w:sz w:val="24"/>
            <w:szCs w:val="24"/>
            <w:lang w:val="en-AU" w:eastAsia="en-AU"/>
            <w14:ligatures w14:val="standardContextual"/>
          </w:rPr>
          <w:tab/>
        </w:r>
        <w:r w:rsidRPr="00E91D03">
          <w:rPr>
            <w:rStyle w:val="Hyperlink"/>
          </w:rPr>
          <w:t>Lessons Learnt</w:t>
        </w:r>
        <w:r>
          <w:rPr>
            <w:webHidden/>
          </w:rPr>
          <w:tab/>
        </w:r>
        <w:r>
          <w:rPr>
            <w:webHidden/>
          </w:rPr>
          <w:fldChar w:fldCharType="begin"/>
        </w:r>
        <w:r>
          <w:rPr>
            <w:webHidden/>
          </w:rPr>
          <w:instrText xml:space="preserve"> PAGEREF _Toc184982767 \h </w:instrText>
        </w:r>
        <w:r>
          <w:rPr>
            <w:webHidden/>
          </w:rPr>
        </w:r>
        <w:r>
          <w:rPr>
            <w:webHidden/>
          </w:rPr>
          <w:fldChar w:fldCharType="separate"/>
        </w:r>
        <w:r w:rsidR="00D5597B">
          <w:rPr>
            <w:webHidden/>
          </w:rPr>
          <w:t>70</w:t>
        </w:r>
        <w:r>
          <w:rPr>
            <w:webHidden/>
          </w:rPr>
          <w:fldChar w:fldCharType="end"/>
        </w:r>
      </w:hyperlink>
    </w:p>
    <w:p w14:paraId="16D0808C" w14:textId="12C3848B" w:rsidR="00393ED0" w:rsidRDefault="00393ED0">
      <w:pPr>
        <w:pStyle w:val="TOC1"/>
        <w:rPr>
          <w:rFonts w:asciiTheme="minorHAnsi" w:eastAsiaTheme="minorEastAsia" w:hAnsiTheme="minorHAnsi"/>
          <w:kern w:val="2"/>
          <w:sz w:val="24"/>
          <w:szCs w:val="24"/>
          <w:lang w:val="en-AU" w:eastAsia="en-AU"/>
          <w14:ligatures w14:val="standardContextual"/>
        </w:rPr>
      </w:pPr>
      <w:hyperlink w:anchor="_Toc184982768" w:history="1">
        <w:r w:rsidRPr="00E91D03">
          <w:rPr>
            <w:rStyle w:val="Hyperlink"/>
          </w:rPr>
          <w:t>Appendix A</w:t>
        </w:r>
        <w:r>
          <w:rPr>
            <w:rFonts w:asciiTheme="minorHAnsi" w:eastAsiaTheme="minorEastAsia" w:hAnsiTheme="minorHAnsi"/>
            <w:kern w:val="2"/>
            <w:sz w:val="24"/>
            <w:szCs w:val="24"/>
            <w:lang w:val="en-AU" w:eastAsia="en-AU"/>
            <w14:ligatures w14:val="standardContextual"/>
          </w:rPr>
          <w:tab/>
        </w:r>
        <w:r w:rsidRPr="00E91D03">
          <w:rPr>
            <w:rStyle w:val="Hyperlink"/>
          </w:rPr>
          <w:t>Data collection approach and responses</w:t>
        </w:r>
        <w:r>
          <w:rPr>
            <w:webHidden/>
          </w:rPr>
          <w:tab/>
        </w:r>
        <w:r>
          <w:rPr>
            <w:webHidden/>
          </w:rPr>
          <w:fldChar w:fldCharType="begin"/>
        </w:r>
        <w:r>
          <w:rPr>
            <w:webHidden/>
          </w:rPr>
          <w:instrText xml:space="preserve"> PAGEREF _Toc184982768 \h </w:instrText>
        </w:r>
        <w:r>
          <w:rPr>
            <w:webHidden/>
          </w:rPr>
        </w:r>
        <w:r>
          <w:rPr>
            <w:webHidden/>
          </w:rPr>
          <w:fldChar w:fldCharType="separate"/>
        </w:r>
        <w:r w:rsidR="00D5597B">
          <w:rPr>
            <w:webHidden/>
          </w:rPr>
          <w:t>74</w:t>
        </w:r>
        <w:r>
          <w:rPr>
            <w:webHidden/>
          </w:rPr>
          <w:fldChar w:fldCharType="end"/>
        </w:r>
      </w:hyperlink>
    </w:p>
    <w:p w14:paraId="57E0269E" w14:textId="6182A15F" w:rsidR="00393ED0" w:rsidRDefault="00393ED0">
      <w:pPr>
        <w:pStyle w:val="TOC1"/>
        <w:rPr>
          <w:rFonts w:asciiTheme="minorHAnsi" w:eastAsiaTheme="minorEastAsia" w:hAnsiTheme="minorHAnsi"/>
          <w:kern w:val="2"/>
          <w:sz w:val="24"/>
          <w:szCs w:val="24"/>
          <w:lang w:val="en-AU" w:eastAsia="en-AU"/>
          <w14:ligatures w14:val="standardContextual"/>
        </w:rPr>
      </w:pPr>
      <w:hyperlink w:anchor="_Toc184982769" w:history="1">
        <w:r w:rsidRPr="00E91D03">
          <w:rPr>
            <w:rStyle w:val="Hyperlink"/>
          </w:rPr>
          <w:t>Appendix B</w:t>
        </w:r>
        <w:r>
          <w:rPr>
            <w:rFonts w:asciiTheme="minorHAnsi" w:eastAsiaTheme="minorEastAsia" w:hAnsiTheme="minorHAnsi"/>
            <w:kern w:val="2"/>
            <w:sz w:val="24"/>
            <w:szCs w:val="24"/>
            <w:lang w:val="en-AU" w:eastAsia="en-AU"/>
            <w14:ligatures w14:val="standardContextual"/>
          </w:rPr>
          <w:tab/>
        </w:r>
        <w:r w:rsidRPr="00E91D03">
          <w:rPr>
            <w:rStyle w:val="Hyperlink"/>
          </w:rPr>
          <w:t>PHN and practice consultation log</w:t>
        </w:r>
        <w:r>
          <w:rPr>
            <w:webHidden/>
          </w:rPr>
          <w:tab/>
        </w:r>
        <w:r>
          <w:rPr>
            <w:webHidden/>
          </w:rPr>
          <w:fldChar w:fldCharType="begin"/>
        </w:r>
        <w:r>
          <w:rPr>
            <w:webHidden/>
          </w:rPr>
          <w:instrText xml:space="preserve"> PAGEREF _Toc184982769 \h </w:instrText>
        </w:r>
        <w:r>
          <w:rPr>
            <w:webHidden/>
          </w:rPr>
        </w:r>
        <w:r>
          <w:rPr>
            <w:webHidden/>
          </w:rPr>
          <w:fldChar w:fldCharType="separate"/>
        </w:r>
        <w:r w:rsidR="00D5597B">
          <w:rPr>
            <w:webHidden/>
          </w:rPr>
          <w:t>77</w:t>
        </w:r>
        <w:r>
          <w:rPr>
            <w:webHidden/>
          </w:rPr>
          <w:fldChar w:fldCharType="end"/>
        </w:r>
      </w:hyperlink>
    </w:p>
    <w:p w14:paraId="4D36583C" w14:textId="6FA4AB11" w:rsidR="00393ED0" w:rsidRDefault="00393ED0">
      <w:pPr>
        <w:pStyle w:val="TOC1"/>
        <w:rPr>
          <w:rFonts w:asciiTheme="minorHAnsi" w:eastAsiaTheme="minorEastAsia" w:hAnsiTheme="minorHAnsi"/>
          <w:kern w:val="2"/>
          <w:sz w:val="24"/>
          <w:szCs w:val="24"/>
          <w:lang w:val="en-AU" w:eastAsia="en-AU"/>
          <w14:ligatures w14:val="standardContextual"/>
        </w:rPr>
      </w:pPr>
      <w:hyperlink w:anchor="_Toc184982770" w:history="1">
        <w:r w:rsidRPr="00E91D03">
          <w:rPr>
            <w:rStyle w:val="Hyperlink"/>
          </w:rPr>
          <w:t>Appendix C</w:t>
        </w:r>
        <w:r>
          <w:rPr>
            <w:rFonts w:asciiTheme="minorHAnsi" w:eastAsiaTheme="minorEastAsia" w:hAnsiTheme="minorHAnsi"/>
            <w:kern w:val="2"/>
            <w:sz w:val="24"/>
            <w:szCs w:val="24"/>
            <w:lang w:val="en-AU" w:eastAsia="en-AU"/>
            <w14:ligatures w14:val="standardContextual"/>
          </w:rPr>
          <w:tab/>
        </w:r>
        <w:r w:rsidRPr="00E91D03">
          <w:rPr>
            <w:rStyle w:val="Hyperlink"/>
          </w:rPr>
          <w:t>Data collection tools</w:t>
        </w:r>
        <w:r>
          <w:rPr>
            <w:webHidden/>
          </w:rPr>
          <w:tab/>
        </w:r>
        <w:r>
          <w:rPr>
            <w:webHidden/>
          </w:rPr>
          <w:fldChar w:fldCharType="begin"/>
        </w:r>
        <w:r>
          <w:rPr>
            <w:webHidden/>
          </w:rPr>
          <w:instrText xml:space="preserve"> PAGEREF _Toc184982770 \h </w:instrText>
        </w:r>
        <w:r>
          <w:rPr>
            <w:webHidden/>
          </w:rPr>
        </w:r>
        <w:r>
          <w:rPr>
            <w:webHidden/>
          </w:rPr>
          <w:fldChar w:fldCharType="separate"/>
        </w:r>
        <w:r w:rsidR="00D5597B">
          <w:rPr>
            <w:webHidden/>
          </w:rPr>
          <w:t>80</w:t>
        </w:r>
        <w:r>
          <w:rPr>
            <w:webHidden/>
          </w:rPr>
          <w:fldChar w:fldCharType="end"/>
        </w:r>
      </w:hyperlink>
    </w:p>
    <w:p w14:paraId="38E3D1A9" w14:textId="7BDFBFD2" w:rsidR="00393ED0" w:rsidRDefault="00393ED0">
      <w:pPr>
        <w:pStyle w:val="TOC1"/>
        <w:rPr>
          <w:rFonts w:asciiTheme="minorHAnsi" w:eastAsiaTheme="minorEastAsia" w:hAnsiTheme="minorHAnsi"/>
          <w:kern w:val="2"/>
          <w:sz w:val="24"/>
          <w:szCs w:val="24"/>
          <w:lang w:val="en-AU" w:eastAsia="en-AU"/>
          <w14:ligatures w14:val="standardContextual"/>
        </w:rPr>
      </w:pPr>
      <w:hyperlink w:anchor="_Toc184982771" w:history="1">
        <w:r w:rsidRPr="00E91D03">
          <w:rPr>
            <w:rStyle w:val="Hyperlink"/>
          </w:rPr>
          <w:t>Appendix D</w:t>
        </w:r>
        <w:r>
          <w:rPr>
            <w:rFonts w:asciiTheme="minorHAnsi" w:eastAsiaTheme="minorEastAsia" w:hAnsiTheme="minorHAnsi"/>
            <w:kern w:val="2"/>
            <w:sz w:val="24"/>
            <w:szCs w:val="24"/>
            <w:lang w:val="en-AU" w:eastAsia="en-AU"/>
            <w14:ligatures w14:val="standardContextual"/>
          </w:rPr>
          <w:tab/>
        </w:r>
        <w:r w:rsidRPr="00E91D03">
          <w:rPr>
            <w:rStyle w:val="Hyperlink"/>
          </w:rPr>
          <w:t>NACCHO summary report</w:t>
        </w:r>
        <w:r>
          <w:rPr>
            <w:webHidden/>
          </w:rPr>
          <w:tab/>
        </w:r>
        <w:r>
          <w:rPr>
            <w:webHidden/>
          </w:rPr>
          <w:fldChar w:fldCharType="begin"/>
        </w:r>
        <w:r>
          <w:rPr>
            <w:webHidden/>
          </w:rPr>
          <w:instrText xml:space="preserve"> PAGEREF _Toc184982771 \h </w:instrText>
        </w:r>
        <w:r>
          <w:rPr>
            <w:webHidden/>
          </w:rPr>
        </w:r>
        <w:r>
          <w:rPr>
            <w:webHidden/>
          </w:rPr>
          <w:fldChar w:fldCharType="separate"/>
        </w:r>
        <w:r w:rsidR="00D5597B">
          <w:rPr>
            <w:webHidden/>
          </w:rPr>
          <w:t>85</w:t>
        </w:r>
        <w:r>
          <w:rPr>
            <w:webHidden/>
          </w:rPr>
          <w:fldChar w:fldCharType="end"/>
        </w:r>
      </w:hyperlink>
    </w:p>
    <w:p w14:paraId="16EF0E66" w14:textId="23A5DA48" w:rsidR="00393ED0" w:rsidRDefault="00393ED0">
      <w:pPr>
        <w:pStyle w:val="TOC1"/>
        <w:rPr>
          <w:rFonts w:asciiTheme="minorHAnsi" w:eastAsiaTheme="minorEastAsia" w:hAnsiTheme="minorHAnsi"/>
          <w:kern w:val="2"/>
          <w:sz w:val="24"/>
          <w:szCs w:val="24"/>
          <w:lang w:val="en-AU" w:eastAsia="en-AU"/>
          <w14:ligatures w14:val="standardContextual"/>
        </w:rPr>
      </w:pPr>
      <w:hyperlink w:anchor="_Toc184982772" w:history="1">
        <w:r w:rsidRPr="00E91D03">
          <w:rPr>
            <w:rStyle w:val="Hyperlink"/>
          </w:rPr>
          <w:t>Appendix E</w:t>
        </w:r>
        <w:r>
          <w:rPr>
            <w:rFonts w:asciiTheme="minorHAnsi" w:eastAsiaTheme="minorEastAsia" w:hAnsiTheme="minorHAnsi"/>
            <w:kern w:val="2"/>
            <w:sz w:val="24"/>
            <w:szCs w:val="24"/>
            <w:lang w:val="en-AU" w:eastAsia="en-AU"/>
            <w14:ligatures w14:val="standardContextual"/>
          </w:rPr>
          <w:tab/>
        </w:r>
        <w:r w:rsidRPr="00E91D03">
          <w:rPr>
            <w:rStyle w:val="Hyperlink"/>
          </w:rPr>
          <w:t>Practice survey results by jurisdiction and remoteness</w:t>
        </w:r>
        <w:r>
          <w:rPr>
            <w:webHidden/>
          </w:rPr>
          <w:tab/>
        </w:r>
        <w:r>
          <w:rPr>
            <w:webHidden/>
          </w:rPr>
          <w:fldChar w:fldCharType="begin"/>
        </w:r>
        <w:r>
          <w:rPr>
            <w:webHidden/>
          </w:rPr>
          <w:instrText xml:space="preserve"> PAGEREF _Toc184982772 \h </w:instrText>
        </w:r>
        <w:r>
          <w:rPr>
            <w:webHidden/>
          </w:rPr>
        </w:r>
        <w:r>
          <w:rPr>
            <w:webHidden/>
          </w:rPr>
          <w:fldChar w:fldCharType="separate"/>
        </w:r>
        <w:r w:rsidR="00D5597B">
          <w:rPr>
            <w:webHidden/>
          </w:rPr>
          <w:t>86</w:t>
        </w:r>
        <w:r>
          <w:rPr>
            <w:webHidden/>
          </w:rPr>
          <w:fldChar w:fldCharType="end"/>
        </w:r>
      </w:hyperlink>
    </w:p>
    <w:p w14:paraId="6C0815E6" w14:textId="74B889F7" w:rsidR="00393ED0" w:rsidRDefault="00393ED0">
      <w:pPr>
        <w:pStyle w:val="TOC1"/>
        <w:rPr>
          <w:rFonts w:asciiTheme="minorHAnsi" w:eastAsiaTheme="minorEastAsia" w:hAnsiTheme="minorHAnsi"/>
          <w:kern w:val="2"/>
          <w:sz w:val="24"/>
          <w:szCs w:val="24"/>
          <w:lang w:val="en-AU" w:eastAsia="en-AU"/>
          <w14:ligatures w14:val="standardContextual"/>
        </w:rPr>
      </w:pPr>
      <w:hyperlink w:anchor="_Toc184982773" w:history="1">
        <w:r w:rsidRPr="00E91D03">
          <w:rPr>
            <w:rStyle w:val="Hyperlink"/>
          </w:rPr>
          <w:t>Appendix F</w:t>
        </w:r>
        <w:r>
          <w:rPr>
            <w:rFonts w:asciiTheme="minorHAnsi" w:eastAsiaTheme="minorEastAsia" w:hAnsiTheme="minorHAnsi"/>
            <w:kern w:val="2"/>
            <w:sz w:val="24"/>
            <w:szCs w:val="24"/>
            <w:lang w:val="en-AU" w:eastAsia="en-AU"/>
            <w14:ligatures w14:val="standardContextual"/>
          </w:rPr>
          <w:tab/>
        </w:r>
        <w:r w:rsidRPr="00E91D03">
          <w:rPr>
            <w:rStyle w:val="Hyperlink"/>
          </w:rPr>
          <w:t>Alignment of lessons learnt to policy documents</w:t>
        </w:r>
        <w:r>
          <w:rPr>
            <w:webHidden/>
          </w:rPr>
          <w:tab/>
        </w:r>
        <w:r>
          <w:rPr>
            <w:webHidden/>
          </w:rPr>
          <w:fldChar w:fldCharType="begin"/>
        </w:r>
        <w:r>
          <w:rPr>
            <w:webHidden/>
          </w:rPr>
          <w:instrText xml:space="preserve"> PAGEREF _Toc184982773 \h </w:instrText>
        </w:r>
        <w:r>
          <w:rPr>
            <w:webHidden/>
          </w:rPr>
        </w:r>
        <w:r>
          <w:rPr>
            <w:webHidden/>
          </w:rPr>
          <w:fldChar w:fldCharType="separate"/>
        </w:r>
        <w:r w:rsidR="00D5597B">
          <w:rPr>
            <w:webHidden/>
          </w:rPr>
          <w:t>114</w:t>
        </w:r>
        <w:r>
          <w:rPr>
            <w:webHidden/>
          </w:rPr>
          <w:fldChar w:fldCharType="end"/>
        </w:r>
      </w:hyperlink>
    </w:p>
    <w:p w14:paraId="03FBB253" w14:textId="0D3D1743" w:rsidR="00AD47C2" w:rsidRPr="004523AB" w:rsidRDefault="00AD47C2" w:rsidP="009779D5">
      <w:pPr>
        <w:rPr>
          <w:b/>
        </w:rPr>
      </w:pPr>
      <w:r w:rsidRPr="004523AB">
        <w:rPr>
          <w:b/>
        </w:rPr>
        <w:fldChar w:fldCharType="end"/>
      </w:r>
    </w:p>
    <w:p w14:paraId="030C855B" w14:textId="77777777" w:rsidR="00880376" w:rsidRPr="004523AB" w:rsidRDefault="00880376">
      <w:pPr>
        <w:spacing w:after="165" w:line="259" w:lineRule="auto"/>
        <w:rPr>
          <w:b/>
        </w:rPr>
      </w:pPr>
      <w:r w:rsidRPr="004523AB">
        <w:rPr>
          <w:b/>
        </w:rPr>
        <w:br w:type="page"/>
      </w:r>
    </w:p>
    <w:p w14:paraId="756582FA" w14:textId="77777777" w:rsidR="00856872" w:rsidRPr="004523AB" w:rsidRDefault="00856872" w:rsidP="00104F6D">
      <w:pPr>
        <w:spacing w:after="165"/>
        <w:rPr>
          <w:b/>
        </w:rPr>
        <w:sectPr w:rsidR="00856872" w:rsidRPr="004523AB" w:rsidSect="006F36BA">
          <w:headerReference w:type="default" r:id="rId19"/>
          <w:footerReference w:type="first" r:id="rId20"/>
          <w:pgSz w:w="11906" w:h="16838" w:code="9"/>
          <w:pgMar w:top="1247" w:right="1304" w:bottom="1559" w:left="1418" w:header="720" w:footer="720" w:gutter="0"/>
          <w:cols w:space="720"/>
          <w:docGrid w:linePitch="360"/>
        </w:sectPr>
      </w:pPr>
    </w:p>
    <w:p w14:paraId="525E9719" w14:textId="37C28A69" w:rsidR="00A62B3A" w:rsidRPr="004523AB" w:rsidRDefault="002D0A22" w:rsidP="006D5C12">
      <w:pPr>
        <w:pStyle w:val="Heading1"/>
      </w:pPr>
      <w:bookmarkStart w:id="1" w:name="_Toc504478742"/>
      <w:bookmarkStart w:id="2" w:name="_Ref184907291"/>
      <w:bookmarkStart w:id="3" w:name="_Toc184982754"/>
      <w:r w:rsidRPr="004523AB">
        <w:lastRenderedPageBreak/>
        <w:t>Executive s</w:t>
      </w:r>
      <w:r w:rsidR="00A62B3A" w:rsidRPr="004523AB">
        <w:t>ummary</w:t>
      </w:r>
      <w:bookmarkEnd w:id="1"/>
      <w:bookmarkEnd w:id="2"/>
      <w:bookmarkEnd w:id="3"/>
    </w:p>
    <w:p w14:paraId="03A5F2DD" w14:textId="77777777" w:rsidR="00624D60" w:rsidRPr="007468BC" w:rsidRDefault="00624D60" w:rsidP="007468BC">
      <w:bookmarkStart w:id="4" w:name="_Toc504478743"/>
      <w:r w:rsidRPr="007468BC">
        <w:t>The Strengthening Medicare – General Practice Grants Program (the Program) was introduced by the Australian Government in 2023 as part of its commitment to support primary care and implement Strengthening Medicare reforms over the next five years.</w:t>
      </w:r>
      <w:r w:rsidRPr="004523AB">
        <w:rPr>
          <w:rStyle w:val="FootnoteReference"/>
          <w:rFonts w:cs="Segoe UI"/>
          <w:szCs w:val="21"/>
        </w:rPr>
        <w:footnoteReference w:id="2"/>
      </w:r>
      <w:r w:rsidRPr="007468BC">
        <w:t xml:space="preserve"> Nous Group (Nous) was engaged by the Department of Health and Aged Care (the Department) to conduct an independent evaluation of the Program.</w:t>
      </w:r>
      <w:r w:rsidRPr="007468BC" w:rsidDel="002A06AB">
        <w:t xml:space="preserve"> </w:t>
      </w:r>
    </w:p>
    <w:p w14:paraId="1062B984" w14:textId="77777777" w:rsidR="00624D60" w:rsidRPr="007468BC" w:rsidRDefault="00624D60" w:rsidP="007468BC">
      <w:r w:rsidRPr="007468BC">
        <w:t xml:space="preserve">Overview of the Program </w:t>
      </w:r>
    </w:p>
    <w:p w14:paraId="3673BD64" w14:textId="77777777" w:rsidR="00624D60" w:rsidRPr="007468BC" w:rsidRDefault="00624D60" w:rsidP="007468BC">
      <w:r w:rsidRPr="007468BC">
        <w:t xml:space="preserve">The aim of the Program was to provide funding to general practices (practices) and Aboriginal and Community Controlled Health Organisations (ACCHOs) to expand patient access and support safe, and accessible, quality primary care. The grants were non-competitive and made available to eligible practices and ACCHOs to invest in one or more of three defined investment streams: digital capability uplift, infection prevention and control, and accreditation. The grants were administered through Primary Health Networks (PHNs) for practices and the National Aboriginal Controlled Community Health Organisation (NACCHO) for ACCHOs. </w:t>
      </w:r>
    </w:p>
    <w:p w14:paraId="11358743" w14:textId="77777777" w:rsidR="00624D60" w:rsidRPr="007468BC" w:rsidRDefault="00624D60" w:rsidP="007468BC">
      <w:r w:rsidRPr="007468BC">
        <w:t xml:space="preserve">The Program required expenditure to be complete by 31 July 2024 (some grant recipients had an extension approved to 30 August 2024), with any unspent funds to be returned to the Department. </w:t>
      </w:r>
    </w:p>
    <w:p w14:paraId="4D92D853" w14:textId="64DC4F2D" w:rsidR="00624D60" w:rsidRPr="007468BC" w:rsidRDefault="00624D60" w:rsidP="007468BC">
      <w:r w:rsidRPr="007468BC">
        <w:t>Overview of the evaluation</w:t>
      </w:r>
    </w:p>
    <w:p w14:paraId="1581D0D5" w14:textId="536118AE" w:rsidR="00624D60" w:rsidRPr="007468BC" w:rsidRDefault="00624D60" w:rsidP="007468BC">
      <w:r w:rsidRPr="007468BC">
        <w:t>The evaluation assessed the appropriateness of the Program design, effectiveness and efficiency of implementation and effectiveness of the grant distribution mechanism. Four key evaluation questions (KEQs) guided data collection and analysi</w:t>
      </w:r>
      <w:r w:rsidR="00F43857" w:rsidRPr="007468BC">
        <w:t>s.</w:t>
      </w:r>
    </w:p>
    <w:p w14:paraId="78287790" w14:textId="2A5240A4" w:rsidR="009F0ADC" w:rsidRPr="004523AB" w:rsidRDefault="009F0ADC" w:rsidP="00B7385B">
      <w:pPr>
        <w:pStyle w:val="ListBullet"/>
      </w:pPr>
      <w:r w:rsidRPr="004523AB">
        <w:rPr>
          <w:rFonts w:asciiTheme="majorHAnsi" w:hAnsiTheme="majorHAnsi" w:cstheme="majorHAnsi"/>
        </w:rPr>
        <w:t>KEQ 1: Implementation</w:t>
      </w:r>
      <w:r w:rsidR="00404E32" w:rsidRPr="004523AB">
        <w:rPr>
          <w:rFonts w:asciiTheme="majorHAnsi" w:hAnsiTheme="majorHAnsi" w:cstheme="majorHAnsi"/>
        </w:rPr>
        <w:t xml:space="preserve"> </w:t>
      </w:r>
      <w:proofErr w:type="gramStart"/>
      <w:r w:rsidR="00404E32" w:rsidRPr="004523AB">
        <w:rPr>
          <w:rFonts w:asciiTheme="majorHAnsi" w:hAnsiTheme="majorHAnsi" w:cstheme="majorHAnsi"/>
        </w:rPr>
        <w:t xml:space="preserve">| </w:t>
      </w:r>
      <w:r w:rsidR="00404E32" w:rsidRPr="004523AB">
        <w:t xml:space="preserve"> </w:t>
      </w:r>
      <w:r w:rsidRPr="004523AB">
        <w:t>What</w:t>
      </w:r>
      <w:proofErr w:type="gramEnd"/>
      <w:r w:rsidRPr="004523AB">
        <w:t xml:space="preserve"> was intended to be delivered under the Program, and how well the Program was designed and administered to meet the intended outcomes. </w:t>
      </w:r>
    </w:p>
    <w:p w14:paraId="1734EFC2" w14:textId="24CC7042" w:rsidR="009F0ADC" w:rsidRPr="004523AB" w:rsidRDefault="009F0ADC" w:rsidP="00B7385B">
      <w:pPr>
        <w:pStyle w:val="ListBullet"/>
      </w:pPr>
      <w:r w:rsidRPr="004523AB">
        <w:rPr>
          <w:rFonts w:asciiTheme="majorHAnsi" w:hAnsiTheme="majorHAnsi" w:cstheme="majorHAnsi"/>
        </w:rPr>
        <w:t>KEQ 2: Effectiveness</w:t>
      </w:r>
      <w:r w:rsidR="00404E32" w:rsidRPr="004523AB">
        <w:rPr>
          <w:rFonts w:asciiTheme="majorHAnsi" w:hAnsiTheme="majorHAnsi" w:cstheme="majorHAnsi"/>
        </w:rPr>
        <w:t xml:space="preserve"> |</w:t>
      </w:r>
      <w:r w:rsidR="00404E32" w:rsidRPr="004523AB">
        <w:t xml:space="preserve"> </w:t>
      </w:r>
      <w:r w:rsidRPr="004523AB">
        <w:t xml:space="preserve">How effective the design and management of the Program, and the assessment and delivery of grants, was in achieving the intended outcomes. </w:t>
      </w:r>
    </w:p>
    <w:p w14:paraId="0DFCC0AD" w14:textId="2FD02B46" w:rsidR="009F0ADC" w:rsidRPr="004523AB" w:rsidRDefault="009F0ADC" w:rsidP="00B7385B">
      <w:pPr>
        <w:pStyle w:val="ListBullet"/>
      </w:pPr>
      <w:r w:rsidRPr="004523AB">
        <w:rPr>
          <w:rFonts w:asciiTheme="majorHAnsi" w:hAnsiTheme="majorHAnsi" w:cstheme="majorHAnsi"/>
        </w:rPr>
        <w:t>KEQ 3:</w:t>
      </w:r>
      <w:r w:rsidR="003D6EE9" w:rsidRPr="004523AB">
        <w:rPr>
          <w:rFonts w:asciiTheme="majorHAnsi" w:hAnsiTheme="majorHAnsi" w:cstheme="majorHAnsi"/>
        </w:rPr>
        <w:t xml:space="preserve"> Appropriateness</w:t>
      </w:r>
      <w:r w:rsidR="00404E32" w:rsidRPr="004523AB">
        <w:rPr>
          <w:rFonts w:asciiTheme="majorHAnsi" w:hAnsiTheme="majorHAnsi" w:cstheme="majorHAnsi"/>
        </w:rPr>
        <w:t xml:space="preserve"> |</w:t>
      </w:r>
      <w:r w:rsidR="00404E32" w:rsidRPr="004523AB">
        <w:t xml:space="preserve"> </w:t>
      </w:r>
      <w:r w:rsidRPr="004523AB">
        <w:t>Whether and to what extent the delivery of grants within three distinct streams was appropriate to achieve the intended outcomes and contribute to the broader reform agenda.</w:t>
      </w:r>
    </w:p>
    <w:p w14:paraId="0FB5C131" w14:textId="1AF8D344" w:rsidR="00CD1A18" w:rsidRPr="007468BC" w:rsidRDefault="009F0ADC" w:rsidP="007468BC">
      <w:r w:rsidRPr="004523AB">
        <w:rPr>
          <w:rFonts w:asciiTheme="majorHAnsi" w:eastAsiaTheme="minorEastAsia" w:hAnsiTheme="majorHAnsi" w:cstheme="majorHAnsi"/>
        </w:rPr>
        <w:t>KEQ 4:</w:t>
      </w:r>
      <w:r w:rsidR="00C72FF0" w:rsidRPr="004523AB">
        <w:rPr>
          <w:rFonts w:asciiTheme="majorHAnsi" w:eastAsiaTheme="minorEastAsia" w:hAnsiTheme="majorHAnsi" w:cstheme="majorHAnsi"/>
        </w:rPr>
        <w:t xml:space="preserve"> Efficiency</w:t>
      </w:r>
      <w:r w:rsidR="00404E32" w:rsidRPr="004523AB">
        <w:rPr>
          <w:rFonts w:asciiTheme="majorHAnsi" w:eastAsiaTheme="minorEastAsia" w:hAnsiTheme="majorHAnsi" w:cstheme="majorHAnsi"/>
        </w:rPr>
        <w:t xml:space="preserve"> |</w:t>
      </w:r>
      <w:r w:rsidR="00404E32" w:rsidRPr="004523AB">
        <w:rPr>
          <w:rFonts w:eastAsiaTheme="minorEastAsia"/>
        </w:rPr>
        <w:t xml:space="preserve"> </w:t>
      </w:r>
      <w:r w:rsidRPr="004523AB">
        <w:rPr>
          <w:rFonts w:eastAsiaTheme="minorEastAsia"/>
        </w:rPr>
        <w:t>Whether what was delivered through the Program represented good value for money for the Department, and whether alternative mechanisms could have been considered to deliver the same (or better) outcomes.</w:t>
      </w:r>
    </w:p>
    <w:p w14:paraId="26DEC3D0" w14:textId="1DCCAE4A" w:rsidR="00B319E8" w:rsidRPr="007468BC" w:rsidRDefault="008639BB" w:rsidP="007468BC">
      <w:r w:rsidRPr="007468BC">
        <w:t xml:space="preserve">The evaluation used mixed methods to analyse qualitative and quantitative data gathered from interviews with representatives from practices, PHNs, government and peak bodies, surveys completed by practices and PHNs, a review of operational data and policy documents. </w:t>
      </w:r>
      <w:bookmarkEnd w:id="4"/>
    </w:p>
    <w:p w14:paraId="722202A7" w14:textId="102378AF" w:rsidR="00385DB0" w:rsidRPr="007468BC" w:rsidRDefault="002914AD" w:rsidP="007468BC">
      <w:r w:rsidRPr="007468BC">
        <w:t xml:space="preserve">Key </w:t>
      </w:r>
      <w:r w:rsidR="001E2B65" w:rsidRPr="007468BC">
        <w:t>f</w:t>
      </w:r>
      <w:r w:rsidRPr="007468BC">
        <w:t>indings</w:t>
      </w:r>
    </w:p>
    <w:tbl>
      <w:tblPr>
        <w:tblStyle w:val="NousLongformcallout"/>
        <w:tblW w:w="4950" w:type="pct"/>
        <w:tblCellMar>
          <w:top w:w="170" w:type="dxa"/>
          <w:bottom w:w="170" w:type="dxa"/>
        </w:tblCellMar>
        <w:tblLook w:val="04A0" w:firstRow="1" w:lastRow="0" w:firstColumn="1" w:lastColumn="0" w:noHBand="0" w:noVBand="1"/>
      </w:tblPr>
      <w:tblGrid>
        <w:gridCol w:w="8818"/>
      </w:tblGrid>
      <w:tr w:rsidR="00DD7C75" w:rsidRPr="004523AB" w14:paraId="29E9B2AF" w14:textId="77777777" w:rsidTr="00EB1472">
        <w:tc>
          <w:tcPr>
            <w:tcW w:w="8818" w:type="dxa"/>
          </w:tcPr>
          <w:p w14:paraId="16FCDD1B" w14:textId="77777777" w:rsidR="00DD7C75" w:rsidRPr="004523AB" w:rsidRDefault="00DD7C75" w:rsidP="00DD7C75">
            <w:pPr>
              <w:pStyle w:val="Sectionintroduction"/>
            </w:pPr>
            <w:r w:rsidRPr="004523AB">
              <w:lastRenderedPageBreak/>
              <w:t>Overall, the evaluation found the Program was:</w:t>
            </w:r>
          </w:p>
          <w:p w14:paraId="7DBAFFBD" w14:textId="36CEED71" w:rsidR="00DD7C75" w:rsidRPr="004523AB" w:rsidRDefault="00DD7C75" w:rsidP="00EB1472">
            <w:pPr>
              <w:pStyle w:val="longformcalloutnumber"/>
            </w:pPr>
            <w:r w:rsidRPr="004523AB">
              <w:t>successfully implemented at a national level</w:t>
            </w:r>
          </w:p>
          <w:p w14:paraId="09F1F8F0" w14:textId="344FC81F" w:rsidR="00DD7C75" w:rsidRPr="004523AB" w:rsidRDefault="00DD7C75" w:rsidP="00EB1472">
            <w:pPr>
              <w:pStyle w:val="longformcalloutnumber"/>
            </w:pPr>
            <w:r w:rsidRPr="004523AB">
              <w:t>valued by grant recipients, and</w:t>
            </w:r>
          </w:p>
          <w:p w14:paraId="22E7CBA8" w14:textId="7719ACB4" w:rsidR="00DD7C75" w:rsidRPr="004523AB" w:rsidRDefault="00DD7C75" w:rsidP="00EB1472">
            <w:pPr>
              <w:pStyle w:val="longformcalloutnumber"/>
            </w:pPr>
            <w:r w:rsidRPr="004523AB">
              <w:t>effective in enabling early outcomes – supporting practices and ACCHOs to improve and expand access to high-quality, safe primary care.</w:t>
            </w:r>
          </w:p>
          <w:p w14:paraId="0CAED338" w14:textId="317CB5E9" w:rsidR="00DD7C75" w:rsidRPr="004523AB" w:rsidRDefault="00DD7C75" w:rsidP="00EB1472">
            <w:pPr>
              <w:pStyle w:val="longformcalloutnumber"/>
            </w:pPr>
            <w:r w:rsidRPr="004523AB">
              <w:t>There were several lessons learnt to improve and enhance program design and implementation processes in future.</w:t>
            </w:r>
          </w:p>
        </w:tc>
      </w:tr>
    </w:tbl>
    <w:p w14:paraId="1BD09F3C" w14:textId="69B3486D" w:rsidR="00EB1472" w:rsidRPr="004523AB" w:rsidRDefault="00EB6DBC" w:rsidP="00EB1472">
      <w:pPr>
        <w:spacing w:after="160"/>
        <w:rPr>
          <w:szCs w:val="21"/>
        </w:rPr>
      </w:pPr>
      <w:r w:rsidRPr="004523AB">
        <w:rPr>
          <w:rFonts w:asciiTheme="minorHAnsi" w:hAnsiTheme="minorHAnsi" w:cstheme="minorHAnsi"/>
        </w:rPr>
        <w:t>Nearly all eligible practices (n=7,047, 93 per cent) and 126 ACCHOs</w:t>
      </w:r>
      <w:r w:rsidRPr="004523AB">
        <w:rPr>
          <w:rStyle w:val="FootnoteReference"/>
          <w:rFonts w:asciiTheme="minorHAnsi" w:hAnsiTheme="minorHAnsi" w:cstheme="minorHAnsi"/>
        </w:rPr>
        <w:footnoteReference w:id="3"/>
      </w:r>
      <w:r w:rsidRPr="004523AB">
        <w:rPr>
          <w:rFonts w:asciiTheme="minorHAnsi" w:hAnsiTheme="minorHAnsi" w:cstheme="minorHAnsi"/>
        </w:rPr>
        <w:t xml:space="preserve">  (100 per cent) participated in the Pro</w:t>
      </w:r>
      <w:r w:rsidRPr="004523AB">
        <w:t>gram, with a total of $189.3M</w:t>
      </w:r>
      <w:r w:rsidRPr="004523AB" w:rsidDel="00634C3E">
        <w:rPr>
          <w:vertAlign w:val="superscript"/>
        </w:rPr>
        <w:footnoteReference w:id="4"/>
      </w:r>
      <w:r w:rsidRPr="004523AB">
        <w:t xml:space="preserve"> distributed to practices and $3.8M distributed to ACCHOs nationally. Of those</w:t>
      </w:r>
      <w:r w:rsidRPr="004523AB">
        <w:rPr>
          <w:rFonts w:asciiTheme="minorHAnsi" w:hAnsiTheme="minorHAnsi" w:cstheme="minorHAnsi"/>
        </w:rPr>
        <w:t xml:space="preserve"> practices receiving a grant, 75 per cent completed a self-evaluation survey and, 97 per cent (n=5,152) of survey respondents reported they had spent all their grant funds. Practices and ACCHOs spent their grant funding across the three investment streams on a range of priorities, with equipment and systems the most common spend in each of the investment streams. The number of practices and ACCHOs who spent in each stream is captured in </w:t>
      </w:r>
      <w:r w:rsidR="00EB1472" w:rsidRPr="004523AB">
        <w:rPr>
          <w:rFonts w:asciiTheme="minorHAnsi" w:hAnsiTheme="minorHAnsi" w:cstheme="minorHAnsi"/>
        </w:rPr>
        <w:fldChar w:fldCharType="begin"/>
      </w:r>
      <w:r w:rsidR="00EB1472" w:rsidRPr="004523AB">
        <w:rPr>
          <w:rFonts w:asciiTheme="minorHAnsi" w:hAnsiTheme="minorHAnsi" w:cstheme="minorHAnsi"/>
        </w:rPr>
        <w:instrText xml:space="preserve"> REF _Ref184906479 \h </w:instrText>
      </w:r>
      <w:r w:rsidR="004523AB" w:rsidRPr="004523AB">
        <w:rPr>
          <w:rFonts w:asciiTheme="minorHAnsi" w:hAnsiTheme="minorHAnsi" w:cstheme="minorHAnsi"/>
        </w:rPr>
        <w:instrText xml:space="preserve"> \* MERGEFORMAT </w:instrText>
      </w:r>
      <w:r w:rsidR="00EB1472" w:rsidRPr="004523AB">
        <w:rPr>
          <w:rFonts w:asciiTheme="minorHAnsi" w:hAnsiTheme="minorHAnsi" w:cstheme="minorHAnsi"/>
        </w:rPr>
      </w:r>
      <w:r w:rsidR="00EB1472" w:rsidRPr="004523AB">
        <w:rPr>
          <w:rFonts w:asciiTheme="minorHAnsi" w:hAnsiTheme="minorHAnsi" w:cstheme="minorHAnsi"/>
        </w:rPr>
        <w:fldChar w:fldCharType="separate"/>
      </w:r>
      <w:r w:rsidR="00B96E50" w:rsidRPr="004523AB">
        <w:t xml:space="preserve">Table </w:t>
      </w:r>
      <w:r w:rsidR="00B96E50">
        <w:rPr>
          <w:noProof/>
        </w:rPr>
        <w:t>1</w:t>
      </w:r>
      <w:r w:rsidR="00EB1472" w:rsidRPr="004523AB">
        <w:rPr>
          <w:rFonts w:asciiTheme="minorHAnsi" w:hAnsiTheme="minorHAnsi" w:cstheme="minorHAnsi"/>
        </w:rPr>
        <w:fldChar w:fldCharType="end"/>
      </w:r>
      <w:r w:rsidRPr="004523AB">
        <w:t xml:space="preserve">. </w:t>
      </w:r>
    </w:p>
    <w:p w14:paraId="09C9733A" w14:textId="331FDF70" w:rsidR="00B60B58" w:rsidRPr="004523AB" w:rsidRDefault="00EB1472" w:rsidP="00EB1472">
      <w:pPr>
        <w:pStyle w:val="Caption"/>
      </w:pPr>
      <w:bookmarkStart w:id="5" w:name="_Ref184906479"/>
      <w:r w:rsidRPr="004523AB">
        <w:t xml:space="preserve">Table </w:t>
      </w:r>
      <w:r w:rsidRPr="004523AB">
        <w:fldChar w:fldCharType="begin"/>
      </w:r>
      <w:r w:rsidRPr="004523AB">
        <w:instrText xml:space="preserve"> SEQ Table \* ARABIC </w:instrText>
      </w:r>
      <w:r w:rsidRPr="004523AB">
        <w:fldChar w:fldCharType="separate"/>
      </w:r>
      <w:r w:rsidR="00B96E50">
        <w:rPr>
          <w:noProof/>
        </w:rPr>
        <w:t>1</w:t>
      </w:r>
      <w:r w:rsidRPr="004523AB">
        <w:fldChar w:fldCharType="end"/>
      </w:r>
      <w:bookmarkEnd w:id="5"/>
      <w:r w:rsidRPr="004523AB">
        <w:t xml:space="preserve"> | </w:t>
      </w:r>
      <w:r w:rsidR="00B60B58" w:rsidRPr="004523AB">
        <w:rPr>
          <w:szCs w:val="21"/>
        </w:rPr>
        <w:t>Number of practices and ACCHOs who spent in each investment stream</w:t>
      </w:r>
    </w:p>
    <w:tbl>
      <w:tblPr>
        <w:tblStyle w:val="AccessibleCombinationHeader"/>
        <w:tblW w:w="0" w:type="auto"/>
        <w:tblLook w:val="04A0" w:firstRow="1" w:lastRow="0" w:firstColumn="1" w:lastColumn="0" w:noHBand="0" w:noVBand="1"/>
      </w:tblPr>
      <w:tblGrid>
        <w:gridCol w:w="4247"/>
        <w:gridCol w:w="2336"/>
        <w:gridCol w:w="2337"/>
      </w:tblGrid>
      <w:tr w:rsidR="006935EA" w:rsidRPr="004523AB" w14:paraId="19E72FAB" w14:textId="77777777" w:rsidTr="007468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47" w:type="dxa"/>
          </w:tcPr>
          <w:p w14:paraId="6DD6AD6A" w14:textId="77777777" w:rsidR="006935EA" w:rsidRPr="004523AB" w:rsidRDefault="006935EA" w:rsidP="00404E32">
            <w:pPr>
              <w:pStyle w:val="TableNheader"/>
            </w:pPr>
          </w:p>
        </w:tc>
        <w:tc>
          <w:tcPr>
            <w:tcW w:w="2336" w:type="dxa"/>
          </w:tcPr>
          <w:p w14:paraId="5FC7C094" w14:textId="77777777" w:rsidR="006935EA" w:rsidRPr="004523AB" w:rsidRDefault="006935EA" w:rsidP="00404E32">
            <w:pPr>
              <w:pStyle w:val="TableNhead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1"/>
              </w:rPr>
            </w:pPr>
            <w:r w:rsidRPr="004523AB">
              <w:t>Practices</w:t>
            </w:r>
            <w:r w:rsidRPr="004523AB">
              <w:rPr>
                <w:rFonts w:asciiTheme="majorHAnsi" w:hAnsiTheme="majorHAnsi" w:cstheme="majorHAnsi"/>
                <w:szCs w:val="21"/>
              </w:rPr>
              <w:t>*</w:t>
            </w:r>
          </w:p>
        </w:tc>
        <w:tc>
          <w:tcPr>
            <w:tcW w:w="2337" w:type="dxa"/>
          </w:tcPr>
          <w:p w14:paraId="0D33DE63" w14:textId="77777777" w:rsidR="006935EA" w:rsidRPr="004523AB" w:rsidRDefault="006935EA" w:rsidP="00404E32">
            <w:pPr>
              <w:pStyle w:val="TableNhead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1"/>
              </w:rPr>
            </w:pPr>
            <w:r w:rsidRPr="004523AB">
              <w:t>ACCHOs</w:t>
            </w:r>
          </w:p>
        </w:tc>
      </w:tr>
      <w:tr w:rsidR="006935EA" w:rsidRPr="004523AB" w14:paraId="1CAB0710" w14:textId="77777777" w:rsidTr="00EB1472">
        <w:tc>
          <w:tcPr>
            <w:cnfStyle w:val="001000000000" w:firstRow="0" w:lastRow="0" w:firstColumn="1" w:lastColumn="0" w:oddVBand="0" w:evenVBand="0" w:oddHBand="0" w:evenHBand="0" w:firstRowFirstColumn="0" w:firstRowLastColumn="0" w:lastRowFirstColumn="0" w:lastRowLastColumn="0"/>
            <w:tcW w:w="4247" w:type="dxa"/>
          </w:tcPr>
          <w:p w14:paraId="551C7355" w14:textId="77777777" w:rsidR="006935EA" w:rsidRPr="00D3105D" w:rsidRDefault="006935EA" w:rsidP="00D3105D">
            <w:r w:rsidRPr="00D3105D">
              <w:t>Stream 1: Digital capability</w:t>
            </w:r>
          </w:p>
        </w:tc>
        <w:tc>
          <w:tcPr>
            <w:tcW w:w="2336" w:type="dxa"/>
          </w:tcPr>
          <w:p w14:paraId="3F817745" w14:textId="77777777" w:rsidR="006935EA" w:rsidRPr="00513325" w:rsidRDefault="006935EA" w:rsidP="00D3105D">
            <w:pPr>
              <w:pStyle w:val="TableNText"/>
              <w:cnfStyle w:val="000000000000" w:firstRow="0" w:lastRow="0" w:firstColumn="0" w:lastColumn="0" w:oddVBand="0" w:evenVBand="0" w:oddHBand="0" w:evenHBand="0" w:firstRowFirstColumn="0" w:firstRowLastColumn="0" w:lastRowFirstColumn="0" w:lastRowLastColumn="0"/>
            </w:pPr>
            <w:r w:rsidRPr="00513325">
              <w:t>4,844</w:t>
            </w:r>
          </w:p>
        </w:tc>
        <w:tc>
          <w:tcPr>
            <w:tcW w:w="2337" w:type="dxa"/>
          </w:tcPr>
          <w:p w14:paraId="64C9616A" w14:textId="77777777" w:rsidR="006935EA" w:rsidRPr="00513325" w:rsidRDefault="006935EA" w:rsidP="00D3105D">
            <w:pPr>
              <w:pStyle w:val="TableNText"/>
              <w:cnfStyle w:val="000000000000" w:firstRow="0" w:lastRow="0" w:firstColumn="0" w:lastColumn="0" w:oddVBand="0" w:evenVBand="0" w:oddHBand="0" w:evenHBand="0" w:firstRowFirstColumn="0" w:firstRowLastColumn="0" w:lastRowFirstColumn="0" w:lastRowLastColumn="0"/>
            </w:pPr>
            <w:r w:rsidRPr="00513325">
              <w:t>72</w:t>
            </w:r>
          </w:p>
        </w:tc>
      </w:tr>
      <w:tr w:rsidR="006935EA" w:rsidRPr="004523AB" w14:paraId="3ED6A3E2" w14:textId="77777777" w:rsidTr="00EB1472">
        <w:tc>
          <w:tcPr>
            <w:cnfStyle w:val="001000000000" w:firstRow="0" w:lastRow="0" w:firstColumn="1" w:lastColumn="0" w:oddVBand="0" w:evenVBand="0" w:oddHBand="0" w:evenHBand="0" w:firstRowFirstColumn="0" w:firstRowLastColumn="0" w:lastRowFirstColumn="0" w:lastRowLastColumn="0"/>
            <w:tcW w:w="4247" w:type="dxa"/>
          </w:tcPr>
          <w:p w14:paraId="683AA556" w14:textId="77777777" w:rsidR="006935EA" w:rsidRPr="00D3105D" w:rsidRDefault="006935EA" w:rsidP="00D3105D">
            <w:r w:rsidRPr="00D3105D">
              <w:t>Stream 2: Infection prevention and control</w:t>
            </w:r>
          </w:p>
        </w:tc>
        <w:tc>
          <w:tcPr>
            <w:tcW w:w="2336" w:type="dxa"/>
          </w:tcPr>
          <w:p w14:paraId="2CE5BABF" w14:textId="77777777" w:rsidR="006935EA" w:rsidRPr="00513325" w:rsidRDefault="006935EA" w:rsidP="00D3105D">
            <w:pPr>
              <w:pStyle w:val="TableNText"/>
              <w:cnfStyle w:val="000000000000" w:firstRow="0" w:lastRow="0" w:firstColumn="0" w:lastColumn="0" w:oddVBand="0" w:evenVBand="0" w:oddHBand="0" w:evenHBand="0" w:firstRowFirstColumn="0" w:firstRowLastColumn="0" w:lastRowFirstColumn="0" w:lastRowLastColumn="0"/>
            </w:pPr>
            <w:r w:rsidRPr="00513325">
              <w:t>3,327</w:t>
            </w:r>
          </w:p>
        </w:tc>
        <w:tc>
          <w:tcPr>
            <w:tcW w:w="2337" w:type="dxa"/>
          </w:tcPr>
          <w:p w14:paraId="0439F773" w14:textId="77777777" w:rsidR="006935EA" w:rsidRPr="00513325" w:rsidRDefault="006935EA" w:rsidP="00D3105D">
            <w:pPr>
              <w:pStyle w:val="TableNText"/>
              <w:cnfStyle w:val="000000000000" w:firstRow="0" w:lastRow="0" w:firstColumn="0" w:lastColumn="0" w:oddVBand="0" w:evenVBand="0" w:oddHBand="0" w:evenHBand="0" w:firstRowFirstColumn="0" w:firstRowLastColumn="0" w:lastRowFirstColumn="0" w:lastRowLastColumn="0"/>
            </w:pPr>
            <w:r w:rsidRPr="00513325">
              <w:t>28</w:t>
            </w:r>
          </w:p>
        </w:tc>
      </w:tr>
      <w:tr w:rsidR="006935EA" w:rsidRPr="004523AB" w14:paraId="194DF267" w14:textId="77777777" w:rsidTr="00EB1472">
        <w:tc>
          <w:tcPr>
            <w:cnfStyle w:val="001000000000" w:firstRow="0" w:lastRow="0" w:firstColumn="1" w:lastColumn="0" w:oddVBand="0" w:evenVBand="0" w:oddHBand="0" w:evenHBand="0" w:firstRowFirstColumn="0" w:firstRowLastColumn="0" w:lastRowFirstColumn="0" w:lastRowLastColumn="0"/>
            <w:tcW w:w="4247" w:type="dxa"/>
          </w:tcPr>
          <w:p w14:paraId="4B59FC47" w14:textId="77777777" w:rsidR="006935EA" w:rsidRPr="00D3105D" w:rsidRDefault="006935EA" w:rsidP="00D3105D">
            <w:r w:rsidRPr="00D3105D">
              <w:t xml:space="preserve">Stream 3: Accreditation </w:t>
            </w:r>
          </w:p>
        </w:tc>
        <w:tc>
          <w:tcPr>
            <w:tcW w:w="2336" w:type="dxa"/>
          </w:tcPr>
          <w:p w14:paraId="56300E34" w14:textId="77777777" w:rsidR="006935EA" w:rsidRPr="00513325" w:rsidRDefault="006935EA" w:rsidP="00D3105D">
            <w:pPr>
              <w:pStyle w:val="TableNText"/>
              <w:cnfStyle w:val="000000000000" w:firstRow="0" w:lastRow="0" w:firstColumn="0" w:lastColumn="0" w:oddVBand="0" w:evenVBand="0" w:oddHBand="0" w:evenHBand="0" w:firstRowFirstColumn="0" w:firstRowLastColumn="0" w:lastRowFirstColumn="0" w:lastRowLastColumn="0"/>
            </w:pPr>
            <w:r w:rsidRPr="00513325">
              <w:t>3,950</w:t>
            </w:r>
          </w:p>
        </w:tc>
        <w:tc>
          <w:tcPr>
            <w:tcW w:w="2337" w:type="dxa"/>
          </w:tcPr>
          <w:p w14:paraId="0C9DB5A3" w14:textId="77777777" w:rsidR="006935EA" w:rsidRPr="00513325" w:rsidRDefault="006935EA" w:rsidP="00D3105D">
            <w:pPr>
              <w:pStyle w:val="TableNText"/>
              <w:cnfStyle w:val="000000000000" w:firstRow="0" w:lastRow="0" w:firstColumn="0" w:lastColumn="0" w:oddVBand="0" w:evenVBand="0" w:oddHBand="0" w:evenHBand="0" w:firstRowFirstColumn="0" w:firstRowLastColumn="0" w:lastRowFirstColumn="0" w:lastRowLastColumn="0"/>
            </w:pPr>
            <w:r w:rsidRPr="00513325">
              <w:t>71</w:t>
            </w:r>
          </w:p>
        </w:tc>
      </w:tr>
    </w:tbl>
    <w:p w14:paraId="7F39BB6D" w14:textId="77777777" w:rsidR="00625CC0" w:rsidRPr="007468BC" w:rsidRDefault="00625CC0" w:rsidP="007468BC">
      <w:r w:rsidRPr="007468BC">
        <w:t xml:space="preserve">*Note that practices and ACCHOs could spend across more than one stream </w:t>
      </w:r>
    </w:p>
    <w:p w14:paraId="07509297" w14:textId="1F3B0F50" w:rsidR="00FA4F43" w:rsidRPr="007468BC" w:rsidRDefault="00FA4F43" w:rsidP="007468BC">
      <w:r w:rsidRPr="007468BC">
        <w:t>Grant recipients (both practices and ACCHOs) highly valued the Program and provided consistently positive feedback about the initiative itself, and the ease of the implementation processes and delivery from their perspective</w:t>
      </w:r>
      <w:r w:rsidR="000560C6" w:rsidRPr="007468BC">
        <w:t>.</w:t>
      </w:r>
      <w:r w:rsidRPr="007468BC">
        <w:t xml:space="preserve"> Appreciation for the Program co-existed with concerns for broader system challenges (for example, workforce pressures), ongoing sustainability issues for general practice, and the importance of tailoring for the ACCHO sector. </w:t>
      </w:r>
    </w:p>
    <w:p w14:paraId="36C75121" w14:textId="2DCC9C5A" w:rsidR="00262644" w:rsidRPr="004523AB" w:rsidRDefault="00500737" w:rsidP="0044446E">
      <w:pPr>
        <w:rPr>
          <w:rFonts w:asciiTheme="majorHAnsi" w:hAnsiTheme="majorHAnsi" w:cstheme="majorHAnsi"/>
        </w:rPr>
      </w:pPr>
      <w:r w:rsidRPr="004523AB">
        <w:rPr>
          <w:rFonts w:asciiTheme="majorHAnsi" w:hAnsiTheme="majorHAnsi" w:cstheme="majorHAnsi"/>
          <w:szCs w:val="21"/>
        </w:rPr>
        <w:t xml:space="preserve">The below dot points </w:t>
      </w:r>
      <w:r w:rsidR="00EC0665" w:rsidRPr="004523AB">
        <w:rPr>
          <w:rFonts w:asciiTheme="majorHAnsi" w:hAnsiTheme="majorHAnsi" w:cstheme="majorHAnsi"/>
          <w:szCs w:val="21"/>
        </w:rPr>
        <w:t>highlight some of the f</w:t>
      </w:r>
      <w:r w:rsidR="00EC0665" w:rsidRPr="004523AB">
        <w:rPr>
          <w:rFonts w:asciiTheme="majorHAnsi" w:hAnsiTheme="majorHAnsi" w:cstheme="majorHAnsi"/>
        </w:rPr>
        <w:t>eedback from practice managers interviewed for the evaluation:</w:t>
      </w:r>
    </w:p>
    <w:p w14:paraId="40528C9B" w14:textId="79A9800C" w:rsidR="00EC0665" w:rsidRPr="00D3105D" w:rsidRDefault="00A31470" w:rsidP="00D3105D">
      <w:pPr>
        <w:pStyle w:val="ListBullet"/>
      </w:pPr>
      <w:r w:rsidRPr="00D3105D">
        <w:t xml:space="preserve">“I would </w:t>
      </w:r>
      <w:r w:rsidR="004F3C52" w:rsidRPr="00D3105D">
        <w:t xml:space="preserve">like to say thank you to the </w:t>
      </w:r>
      <w:r w:rsidR="00281714" w:rsidRPr="00D3105D">
        <w:t xml:space="preserve">Department. </w:t>
      </w:r>
      <w:r w:rsidR="009D75EF" w:rsidRPr="00D3105D">
        <w:t xml:space="preserve">You feel like GP clinics </w:t>
      </w:r>
      <w:r w:rsidR="00AF3971" w:rsidRPr="00D3105D">
        <w:t xml:space="preserve">are getting </w:t>
      </w:r>
      <w:r w:rsidR="006E08B6" w:rsidRPr="00D3105D">
        <w:t xml:space="preserve">a bit appreciated now </w:t>
      </w:r>
      <w:r w:rsidR="005E149C" w:rsidRPr="00D3105D">
        <w:t>and</w:t>
      </w:r>
      <w:r w:rsidR="00CB130B" w:rsidRPr="00D3105D">
        <w:t xml:space="preserve"> we have been doing it </w:t>
      </w:r>
      <w:r w:rsidR="00D86997" w:rsidRPr="00D3105D">
        <w:t>very tough for a long time</w:t>
      </w:r>
      <w:r w:rsidR="00BC6377" w:rsidRPr="00D3105D">
        <w:t xml:space="preserve">… </w:t>
      </w:r>
      <w:r w:rsidR="00766605" w:rsidRPr="00D3105D">
        <w:t xml:space="preserve">so just by </w:t>
      </w:r>
      <w:r w:rsidR="00977D61" w:rsidRPr="00D3105D">
        <w:t>givin</w:t>
      </w:r>
      <w:r w:rsidR="00BD79F9" w:rsidRPr="00D3105D">
        <w:t>g a bit helps a lot”</w:t>
      </w:r>
    </w:p>
    <w:p w14:paraId="4AAAEA22" w14:textId="0F799F61" w:rsidR="00BD79F9" w:rsidRPr="00D3105D" w:rsidRDefault="00730AE5" w:rsidP="00D3105D">
      <w:pPr>
        <w:pStyle w:val="ListBullet"/>
      </w:pPr>
      <w:r w:rsidRPr="00D3105D">
        <w:t>“</w:t>
      </w:r>
      <w:r w:rsidR="00C462B0" w:rsidRPr="00D3105D">
        <w:t>The results speak for themselves</w:t>
      </w:r>
      <w:r w:rsidR="008368B0" w:rsidRPr="00D3105D">
        <w:t xml:space="preserve"> – great improvement</w:t>
      </w:r>
      <w:r w:rsidR="00EA241C" w:rsidRPr="00D3105D">
        <w:t xml:space="preserve">, </w:t>
      </w:r>
      <w:r w:rsidR="006018D0" w:rsidRPr="00D3105D">
        <w:t xml:space="preserve">feedback </w:t>
      </w:r>
      <w:r w:rsidR="007F790A" w:rsidRPr="00D3105D">
        <w:t xml:space="preserve">from patients </w:t>
      </w:r>
      <w:r w:rsidR="008A2FB6" w:rsidRPr="00D3105D">
        <w:t xml:space="preserve">is positive, </w:t>
      </w:r>
      <w:r w:rsidR="0080518D" w:rsidRPr="00D3105D">
        <w:t xml:space="preserve">they know </w:t>
      </w:r>
      <w:r w:rsidR="008208D4" w:rsidRPr="00D3105D">
        <w:t>we’re looking to improve.</w:t>
      </w:r>
      <w:r w:rsidRPr="00D3105D">
        <w:t>”</w:t>
      </w:r>
    </w:p>
    <w:p w14:paraId="52FAE958" w14:textId="7CF78F02" w:rsidR="008208D4" w:rsidRPr="00D3105D" w:rsidRDefault="00274D33" w:rsidP="00D3105D">
      <w:pPr>
        <w:pStyle w:val="ListBullet"/>
      </w:pPr>
      <w:r w:rsidRPr="00D3105D">
        <w:lastRenderedPageBreak/>
        <w:t>“</w:t>
      </w:r>
      <w:r w:rsidR="00730AE5" w:rsidRPr="00D3105D">
        <w:t>This m</w:t>
      </w:r>
      <w:r w:rsidR="00A70B5A" w:rsidRPr="00D3105D">
        <w:t xml:space="preserve">oney has made us feel </w:t>
      </w:r>
      <w:r w:rsidR="0093265A" w:rsidRPr="00D3105D">
        <w:t xml:space="preserve">like we </w:t>
      </w:r>
      <w:r w:rsidR="00AD75D1" w:rsidRPr="00D3105D">
        <w:t xml:space="preserve">are back in the </w:t>
      </w:r>
      <w:r w:rsidR="009F2916" w:rsidRPr="00D3105D">
        <w:t>21st century</w:t>
      </w:r>
      <w:r w:rsidR="00F65BAD" w:rsidRPr="00D3105D">
        <w:t xml:space="preserve">… </w:t>
      </w:r>
      <w:r w:rsidR="003D7580" w:rsidRPr="00D3105D">
        <w:t>it’s really been such a help</w:t>
      </w:r>
      <w:r w:rsidRPr="00D3105D">
        <w:t>.”</w:t>
      </w:r>
    </w:p>
    <w:p w14:paraId="314B8ABE" w14:textId="782E9582" w:rsidR="00855219" w:rsidRPr="00D3105D" w:rsidRDefault="00855219" w:rsidP="00D3105D">
      <w:pPr>
        <w:pStyle w:val="ListBullet"/>
      </w:pPr>
      <w:r w:rsidRPr="00D3105D">
        <w:t xml:space="preserve">“The ease of it, </w:t>
      </w:r>
      <w:r w:rsidR="00CF04A4" w:rsidRPr="00D3105D">
        <w:t>the guidelines and communications of it,</w:t>
      </w:r>
      <w:r w:rsidR="001705D1" w:rsidRPr="00D3105D">
        <w:t xml:space="preserve"> flexibility </w:t>
      </w:r>
      <w:r w:rsidR="006B664A" w:rsidRPr="00D3105D">
        <w:t xml:space="preserve">of it where we didn’t have to </w:t>
      </w:r>
      <w:r w:rsidR="00E41C0F" w:rsidRPr="00D3105D">
        <w:t xml:space="preserve">copious amounts of </w:t>
      </w:r>
      <w:r w:rsidR="00070CDF" w:rsidRPr="00D3105D">
        <w:t xml:space="preserve">time </w:t>
      </w:r>
      <w:r w:rsidR="005C6D3F" w:rsidRPr="00D3105D">
        <w:t xml:space="preserve">on the budgeting, </w:t>
      </w:r>
      <w:r w:rsidR="00482BD3" w:rsidRPr="00D3105D">
        <w:t xml:space="preserve">and freedom </w:t>
      </w:r>
      <w:r w:rsidR="00183532" w:rsidRPr="00D3105D">
        <w:t>within it was amazing</w:t>
      </w:r>
      <w:r w:rsidR="00A972D1" w:rsidRPr="00D3105D">
        <w:t xml:space="preserve"> – that’s what we appreciated”.</w:t>
      </w:r>
    </w:p>
    <w:p w14:paraId="315E9520" w14:textId="5E86AF2F" w:rsidR="00A972D1" w:rsidRPr="00D3105D" w:rsidRDefault="00D10672" w:rsidP="00D3105D">
      <w:pPr>
        <w:pStyle w:val="ListBullet"/>
      </w:pPr>
      <w:r w:rsidRPr="00D3105D">
        <w:t xml:space="preserve">“I think </w:t>
      </w:r>
      <w:r w:rsidR="001054C5" w:rsidRPr="00D3105D">
        <w:t>the three streams hit the nail on the head</w:t>
      </w:r>
      <w:r w:rsidR="00D035F0" w:rsidRPr="00D3105D">
        <w:t>.</w:t>
      </w:r>
      <w:r w:rsidR="003254FE" w:rsidRPr="00D3105D">
        <w:t>”</w:t>
      </w:r>
      <w:r w:rsidR="008703D5" w:rsidRPr="00D3105D">
        <w:t xml:space="preserve"> </w:t>
      </w:r>
    </w:p>
    <w:p w14:paraId="7C17FD35" w14:textId="2892C3DE" w:rsidR="008703D5" w:rsidRPr="00D3105D" w:rsidRDefault="008703D5" w:rsidP="00D3105D">
      <w:pPr>
        <w:pStyle w:val="ListBullet"/>
      </w:pPr>
      <w:r w:rsidRPr="00D3105D">
        <w:t xml:space="preserve">“The grant </w:t>
      </w:r>
      <w:r w:rsidR="000768B5" w:rsidRPr="00D3105D">
        <w:t>has been amazing</w:t>
      </w:r>
      <w:r w:rsidR="00D951E0" w:rsidRPr="00D3105D">
        <w:t xml:space="preserve">; we are </w:t>
      </w:r>
      <w:r w:rsidR="009125CA" w:rsidRPr="00D3105D">
        <w:t xml:space="preserve">so grateful to have </w:t>
      </w:r>
      <w:r w:rsidR="006403FE" w:rsidRPr="00D3105D">
        <w:t xml:space="preserve">got it. </w:t>
      </w:r>
      <w:r w:rsidR="00032CBB" w:rsidRPr="00D3105D">
        <w:t>The</w:t>
      </w:r>
      <w:r w:rsidR="00DA6FAC" w:rsidRPr="00D3105D">
        <w:t xml:space="preserve">re are no </w:t>
      </w:r>
      <w:r w:rsidR="002A6F53" w:rsidRPr="00D3105D">
        <w:t xml:space="preserve">other </w:t>
      </w:r>
      <w:r w:rsidR="00CB486C" w:rsidRPr="00D3105D">
        <w:t xml:space="preserve">streams </w:t>
      </w:r>
      <w:r w:rsidR="006A5D11" w:rsidRPr="00D3105D">
        <w:t xml:space="preserve">of funding </w:t>
      </w:r>
      <w:r w:rsidR="00F15BF1" w:rsidRPr="00D3105D">
        <w:t xml:space="preserve">we can get” </w:t>
      </w:r>
      <w:r w:rsidR="003A6F9C" w:rsidRPr="00D3105D">
        <w:t>[unaccredited practice]</w:t>
      </w:r>
    </w:p>
    <w:p w14:paraId="05A06CEC" w14:textId="2F864845" w:rsidR="00977B01" w:rsidRPr="00D3105D" w:rsidRDefault="00A25F41" w:rsidP="00D3105D">
      <w:pPr>
        <w:pStyle w:val="ListBullet"/>
      </w:pPr>
      <w:r w:rsidRPr="00D3105D">
        <w:t xml:space="preserve">“The timing </w:t>
      </w:r>
      <w:r w:rsidR="0056579A" w:rsidRPr="00D3105D">
        <w:t xml:space="preserve">was really good </w:t>
      </w:r>
      <w:r w:rsidR="00FE54EB" w:rsidRPr="00D3105D">
        <w:t xml:space="preserve">from a broad </w:t>
      </w:r>
      <w:r w:rsidR="00033983" w:rsidRPr="00D3105D">
        <w:t xml:space="preserve">perspective </w:t>
      </w:r>
      <w:r w:rsidR="006C44B8" w:rsidRPr="00D3105D">
        <w:t xml:space="preserve">given the </w:t>
      </w:r>
      <w:r w:rsidR="004B6EE9" w:rsidRPr="00D3105D">
        <w:t xml:space="preserve">challenges </w:t>
      </w:r>
      <w:r w:rsidR="006F59A5" w:rsidRPr="00D3105D">
        <w:t xml:space="preserve">of the general </w:t>
      </w:r>
      <w:r w:rsidR="00C430DF" w:rsidRPr="00D3105D">
        <w:t>practice sector</w:t>
      </w:r>
      <w:r w:rsidR="001E79F3" w:rsidRPr="00D3105D">
        <w:t xml:space="preserve">, during </w:t>
      </w:r>
      <w:r w:rsidR="00D641CC" w:rsidRPr="00D3105D">
        <w:t xml:space="preserve">covid </w:t>
      </w:r>
      <w:r w:rsidR="00C66169" w:rsidRPr="00D3105D">
        <w:t xml:space="preserve">we were focused </w:t>
      </w:r>
      <w:r w:rsidR="004439A4" w:rsidRPr="00D3105D">
        <w:t xml:space="preserve">on getting </w:t>
      </w:r>
      <w:r w:rsidR="008A4C69" w:rsidRPr="00D3105D">
        <w:t>by day by day</w:t>
      </w:r>
      <w:r w:rsidR="00F25A1C" w:rsidRPr="00D3105D">
        <w:t>… [the grant</w:t>
      </w:r>
      <w:r w:rsidR="00D734B0" w:rsidRPr="00D3105D">
        <w:t>] mean</w:t>
      </w:r>
      <w:r w:rsidR="004E6781" w:rsidRPr="00D3105D">
        <w:t xml:space="preserve">t we could take </w:t>
      </w:r>
      <w:r w:rsidR="00BB7724" w:rsidRPr="00D3105D">
        <w:t xml:space="preserve">a step back </w:t>
      </w:r>
      <w:r w:rsidR="00686300" w:rsidRPr="00D3105D">
        <w:t xml:space="preserve">and think about what </w:t>
      </w:r>
      <w:r w:rsidR="00487DE7" w:rsidRPr="00D3105D">
        <w:t>we need</w:t>
      </w:r>
      <w:r w:rsidR="000B2B4C" w:rsidRPr="00D3105D">
        <w:t xml:space="preserve">ed to move forward </w:t>
      </w:r>
      <w:r w:rsidR="00BE5259" w:rsidRPr="00D3105D">
        <w:t>and get out of the chaos”</w:t>
      </w:r>
      <w:r w:rsidR="001215C4" w:rsidRPr="00D3105D">
        <w:t>.</w:t>
      </w:r>
    </w:p>
    <w:p w14:paraId="648B7B37" w14:textId="680AA9CB" w:rsidR="009E4C82" w:rsidRPr="004523AB" w:rsidRDefault="009E4C82" w:rsidP="009E4C82">
      <w:r w:rsidRPr="004523AB">
        <w:t>Grant recipients reported the Program had enabled them to broadly improve their healthcare delivery. The evaluation has analysed these early outcomes against the Quintuple Aim Framework</w:t>
      </w:r>
      <w:r w:rsidR="002B5EA6" w:rsidRPr="004523AB">
        <w:rPr>
          <w:rStyle w:val="FootnoteReference"/>
          <w:rFonts w:cs="Segoe UI"/>
          <w:szCs w:val="19"/>
        </w:rPr>
        <w:footnoteReference w:id="5"/>
      </w:r>
      <w:r w:rsidRPr="004523AB">
        <w:t xml:space="preserve">, an important driver of the Strengthening Medicare reforms. </w:t>
      </w:r>
    </w:p>
    <w:p w14:paraId="68EF3327" w14:textId="6CEBF958" w:rsidR="00C01820" w:rsidRPr="004523AB" w:rsidRDefault="009E4C82" w:rsidP="00631FB0">
      <w:r w:rsidRPr="004523AB">
        <w:t>Detailed findings across the design, delivery, and outcomes for the Program are set out in Section</w:t>
      </w:r>
      <w:r w:rsidR="00AB0134" w:rsidRPr="004523AB">
        <w:t xml:space="preserve"> </w:t>
      </w:r>
      <w:r w:rsidR="00FE13F5" w:rsidRPr="004523AB">
        <w:fldChar w:fldCharType="begin"/>
      </w:r>
      <w:r w:rsidR="00FE13F5" w:rsidRPr="004523AB">
        <w:instrText xml:space="preserve"> REF _Ref184972293 \n \h </w:instrText>
      </w:r>
      <w:r w:rsidR="004523AB" w:rsidRPr="004523AB">
        <w:instrText xml:space="preserve"> \* MERGEFORMAT </w:instrText>
      </w:r>
      <w:r w:rsidR="00FE13F5" w:rsidRPr="004523AB">
        <w:fldChar w:fldCharType="separate"/>
      </w:r>
      <w:r w:rsidR="00B96E50">
        <w:t>4</w:t>
      </w:r>
      <w:r w:rsidR="00FE13F5" w:rsidRPr="004523AB">
        <w:fldChar w:fldCharType="end"/>
      </w:r>
      <w:r w:rsidRPr="004523AB">
        <w:t xml:space="preserve"> of this report and summarised</w:t>
      </w:r>
      <w:r w:rsidR="00AB0134" w:rsidRPr="004523AB">
        <w:t xml:space="preserve"> below</w:t>
      </w:r>
      <w:r w:rsidR="00C01820" w:rsidRPr="004523AB">
        <w:t xml:space="preserve"> in </w:t>
      </w:r>
      <w:r w:rsidR="00507F14" w:rsidRPr="004523AB">
        <w:rPr>
          <w:highlight w:val="yellow"/>
        </w:rPr>
        <w:fldChar w:fldCharType="begin"/>
      </w:r>
      <w:r w:rsidR="00507F14" w:rsidRPr="004523AB">
        <w:instrText xml:space="preserve"> REF _Ref184906672 \h </w:instrText>
      </w:r>
      <w:r w:rsidR="004523AB" w:rsidRPr="004523AB">
        <w:rPr>
          <w:highlight w:val="yellow"/>
        </w:rPr>
        <w:instrText xml:space="preserve"> \* MERGEFORMAT </w:instrText>
      </w:r>
      <w:r w:rsidR="00507F14" w:rsidRPr="004523AB">
        <w:rPr>
          <w:highlight w:val="yellow"/>
        </w:rPr>
      </w:r>
      <w:r w:rsidR="00507F14" w:rsidRPr="004523AB">
        <w:rPr>
          <w:highlight w:val="yellow"/>
        </w:rPr>
        <w:fldChar w:fldCharType="separate"/>
      </w:r>
      <w:r w:rsidR="00B96E50" w:rsidRPr="004523AB">
        <w:t xml:space="preserve">Table </w:t>
      </w:r>
      <w:r w:rsidR="00B96E50">
        <w:rPr>
          <w:noProof/>
        </w:rPr>
        <w:t>2</w:t>
      </w:r>
      <w:r w:rsidR="00507F14" w:rsidRPr="004523AB">
        <w:rPr>
          <w:highlight w:val="yellow"/>
        </w:rPr>
        <w:fldChar w:fldCharType="end"/>
      </w:r>
      <w:r w:rsidR="00C01820" w:rsidRPr="004523AB">
        <w:t>.</w:t>
      </w:r>
    </w:p>
    <w:p w14:paraId="584D5096" w14:textId="3794AC64" w:rsidR="00631FB0" w:rsidRPr="004523AB" w:rsidRDefault="00631FB0" w:rsidP="00631FB0">
      <w:pPr>
        <w:pStyle w:val="Caption"/>
      </w:pPr>
      <w:bookmarkStart w:id="6" w:name="_Ref184906672"/>
      <w:r w:rsidRPr="004523AB">
        <w:t xml:space="preserve">Table </w:t>
      </w:r>
      <w:r w:rsidRPr="004523AB">
        <w:fldChar w:fldCharType="begin"/>
      </w:r>
      <w:r w:rsidRPr="004523AB">
        <w:instrText xml:space="preserve"> SEQ Table \* ARABIC </w:instrText>
      </w:r>
      <w:r w:rsidRPr="004523AB">
        <w:fldChar w:fldCharType="separate"/>
      </w:r>
      <w:r w:rsidR="00B96E50">
        <w:rPr>
          <w:noProof/>
        </w:rPr>
        <w:t>2</w:t>
      </w:r>
      <w:r w:rsidRPr="004523AB">
        <w:fldChar w:fldCharType="end"/>
      </w:r>
      <w:bookmarkEnd w:id="6"/>
      <w:r w:rsidRPr="004523AB">
        <w:t xml:space="preserve"> | Summary of evaluation insights</w:t>
      </w:r>
    </w:p>
    <w:tbl>
      <w:tblPr>
        <w:tblStyle w:val="AccessibleCombinationHeader"/>
        <w:tblW w:w="9639" w:type="dxa"/>
        <w:tblLook w:val="04A0" w:firstRow="1" w:lastRow="0" w:firstColumn="1" w:lastColumn="0" w:noHBand="0" w:noVBand="1"/>
      </w:tblPr>
      <w:tblGrid>
        <w:gridCol w:w="1418"/>
        <w:gridCol w:w="8221"/>
      </w:tblGrid>
      <w:tr w:rsidR="00512146" w:rsidRPr="004523AB" w14:paraId="499DFF2B" w14:textId="77777777" w:rsidTr="007468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8" w:type="dxa"/>
          </w:tcPr>
          <w:p w14:paraId="13201B94" w14:textId="2BF72234" w:rsidR="00512146" w:rsidRPr="004523AB" w:rsidRDefault="00512146" w:rsidP="00404E32">
            <w:pPr>
              <w:pStyle w:val="TableNheader"/>
            </w:pPr>
            <w:r w:rsidRPr="004523AB">
              <w:t>Insight grouping</w:t>
            </w:r>
          </w:p>
        </w:tc>
        <w:tc>
          <w:tcPr>
            <w:tcW w:w="8221" w:type="dxa"/>
          </w:tcPr>
          <w:p w14:paraId="51CEB75C" w14:textId="0908C838" w:rsidR="00512146" w:rsidRPr="004523AB" w:rsidRDefault="00512146" w:rsidP="00404E32">
            <w:pPr>
              <w:pStyle w:val="TableNheader"/>
              <w:cnfStyle w:val="100000000000" w:firstRow="1" w:lastRow="0" w:firstColumn="0" w:lastColumn="0" w:oddVBand="0" w:evenVBand="0" w:oddHBand="0" w:evenHBand="0" w:firstRowFirstColumn="0" w:firstRowLastColumn="0" w:lastRowFirstColumn="0" w:lastRowLastColumn="0"/>
            </w:pPr>
            <w:r w:rsidRPr="004523AB">
              <w:t>Evaluation insights</w:t>
            </w:r>
          </w:p>
        </w:tc>
      </w:tr>
      <w:tr w:rsidR="00512146" w:rsidRPr="004523AB" w14:paraId="7B8EE967" w14:textId="77777777" w:rsidTr="00DD7C75">
        <w:tc>
          <w:tcPr>
            <w:cnfStyle w:val="001000000000" w:firstRow="0" w:lastRow="0" w:firstColumn="1" w:lastColumn="0" w:oddVBand="0" w:evenVBand="0" w:oddHBand="0" w:evenHBand="0" w:firstRowFirstColumn="0" w:firstRowLastColumn="0" w:lastRowFirstColumn="0" w:lastRowLastColumn="0"/>
            <w:tcW w:w="1418" w:type="dxa"/>
          </w:tcPr>
          <w:p w14:paraId="4D52E013" w14:textId="51F8E839" w:rsidR="00512146" w:rsidRPr="00314541" w:rsidRDefault="00512146" w:rsidP="00314541">
            <w:r w:rsidRPr="00314541">
              <w:t>Program design</w:t>
            </w:r>
          </w:p>
        </w:tc>
        <w:tc>
          <w:tcPr>
            <w:tcW w:w="8221" w:type="dxa"/>
          </w:tcPr>
          <w:p w14:paraId="0AFFC3B6" w14:textId="12714683" w:rsidR="00512146" w:rsidRPr="004523AB" w:rsidRDefault="00512146" w:rsidP="008A550C">
            <w:pPr>
              <w:pStyle w:val="Listnumbered"/>
              <w:numPr>
                <w:ilvl w:val="0"/>
                <w:numId w:val="21"/>
              </w:numPr>
              <w:cnfStyle w:val="000000000000" w:firstRow="0" w:lastRow="0" w:firstColumn="0" w:lastColumn="0" w:oddVBand="0" w:evenVBand="0" w:oddHBand="0" w:evenHBand="0" w:firstRowFirstColumn="0" w:firstRowLastColumn="0" w:lastRowFirstColumn="0" w:lastRowLastColumn="0"/>
            </w:pPr>
            <w:r w:rsidRPr="004523AB">
              <w:t>Consultation with the sector supported the design of the Program and delivery process but could have been strengthened by earlier and broader engagement.</w:t>
            </w:r>
          </w:p>
          <w:p w14:paraId="1103CB6D" w14:textId="77777777" w:rsidR="00512146" w:rsidRPr="004523AB" w:rsidRDefault="00512146" w:rsidP="008A550C">
            <w:pPr>
              <w:pStyle w:val="Listnumbered"/>
              <w:numPr>
                <w:ilvl w:val="0"/>
                <w:numId w:val="21"/>
              </w:numPr>
              <w:cnfStyle w:val="000000000000" w:firstRow="0" w:lastRow="0" w:firstColumn="0" w:lastColumn="0" w:oddVBand="0" w:evenVBand="0" w:oddHBand="0" w:evenHBand="0" w:firstRowFirstColumn="0" w:firstRowLastColumn="0" w:lastRowFirstColumn="0" w:lastRowLastColumn="0"/>
            </w:pPr>
            <w:r w:rsidRPr="004523AB">
              <w:t>Structuring the Program in five stages supported smooth delivery.</w:t>
            </w:r>
          </w:p>
          <w:p w14:paraId="599FD1D0" w14:textId="77777777" w:rsidR="00512146" w:rsidRPr="004523AB" w:rsidRDefault="00512146" w:rsidP="008A550C">
            <w:pPr>
              <w:pStyle w:val="Listnumbered"/>
              <w:numPr>
                <w:ilvl w:val="0"/>
                <w:numId w:val="21"/>
              </w:numPr>
              <w:cnfStyle w:val="000000000000" w:firstRow="0" w:lastRow="0" w:firstColumn="0" w:lastColumn="0" w:oddVBand="0" w:evenVBand="0" w:oddHBand="0" w:evenHBand="0" w:firstRowFirstColumn="0" w:firstRowLastColumn="0" w:lastRowFirstColumn="0" w:lastRowLastColumn="0"/>
            </w:pPr>
            <w:r w:rsidRPr="004523AB">
              <w:t>PHNs, NACCHO, practices and ACCHOs reported the three funding streams were appropriate for meeting the objectives of the Program.</w:t>
            </w:r>
          </w:p>
          <w:p w14:paraId="634101C3" w14:textId="77777777" w:rsidR="00512146" w:rsidRPr="004523AB" w:rsidRDefault="00512146" w:rsidP="008A550C">
            <w:pPr>
              <w:pStyle w:val="Listnumbered"/>
              <w:numPr>
                <w:ilvl w:val="0"/>
                <w:numId w:val="21"/>
              </w:numPr>
              <w:cnfStyle w:val="000000000000" w:firstRow="0" w:lastRow="0" w:firstColumn="0" w:lastColumn="0" w:oddVBand="0" w:evenVBand="0" w:oddHBand="0" w:evenHBand="0" w:firstRowFirstColumn="0" w:firstRowLastColumn="0" w:lastRowFirstColumn="0" w:lastRowLastColumn="0"/>
            </w:pPr>
            <w:r w:rsidRPr="004523AB">
              <w:t>Engaging NACCHO in the early co-design of the Program would have helped create investment streams that better served ACCHO’s needs.</w:t>
            </w:r>
          </w:p>
          <w:p w14:paraId="7F6B265E" w14:textId="498D49B5" w:rsidR="00512146" w:rsidRPr="004523AB" w:rsidRDefault="00512146" w:rsidP="00631FB0">
            <w:pPr>
              <w:pStyle w:val="Listnumbered"/>
              <w:numPr>
                <w:ilvl w:val="0"/>
                <w:numId w:val="21"/>
              </w:numPr>
              <w:cnfStyle w:val="000000000000" w:firstRow="0" w:lastRow="0" w:firstColumn="0" w:lastColumn="0" w:oddVBand="0" w:evenVBand="0" w:oddHBand="0" w:evenHBand="0" w:firstRowFirstColumn="0" w:firstRowLastColumn="0" w:lastRowFirstColumn="0" w:lastRowLastColumn="0"/>
            </w:pPr>
            <w:r w:rsidRPr="004523AB">
              <w:t>The one-off, non-competitive and flexible nature of the grants supported delivery of the Program objectives.</w:t>
            </w:r>
          </w:p>
        </w:tc>
      </w:tr>
      <w:tr w:rsidR="00512146" w:rsidRPr="004523AB" w14:paraId="1501B90D" w14:textId="77777777" w:rsidTr="00DD7C75">
        <w:tc>
          <w:tcPr>
            <w:cnfStyle w:val="001000000000" w:firstRow="0" w:lastRow="0" w:firstColumn="1" w:lastColumn="0" w:oddVBand="0" w:evenVBand="0" w:oddHBand="0" w:evenHBand="0" w:firstRowFirstColumn="0" w:firstRowLastColumn="0" w:lastRowFirstColumn="0" w:lastRowLastColumn="0"/>
            <w:tcW w:w="1418" w:type="dxa"/>
          </w:tcPr>
          <w:p w14:paraId="349D1E70" w14:textId="5AE6CC2E" w:rsidR="00512146" w:rsidRPr="00314541" w:rsidRDefault="00512146" w:rsidP="00314541">
            <w:r w:rsidRPr="00314541">
              <w:t>Program delivery</w:t>
            </w:r>
          </w:p>
        </w:tc>
        <w:tc>
          <w:tcPr>
            <w:tcW w:w="8221" w:type="dxa"/>
          </w:tcPr>
          <w:p w14:paraId="6F1915BA" w14:textId="77777777" w:rsidR="00512146" w:rsidRPr="004523AB" w:rsidRDefault="00512146" w:rsidP="008A550C">
            <w:pPr>
              <w:pStyle w:val="Listnumbered"/>
              <w:numPr>
                <w:ilvl w:val="0"/>
                <w:numId w:val="21"/>
              </w:numPr>
              <w:cnfStyle w:val="000000000000" w:firstRow="0" w:lastRow="0" w:firstColumn="0" w:lastColumn="0" w:oddVBand="0" w:evenVBand="0" w:oddHBand="0" w:evenHBand="0" w:firstRowFirstColumn="0" w:firstRowLastColumn="0" w:lastRowFirstColumn="0" w:lastRowLastColumn="0"/>
            </w:pPr>
            <w:r w:rsidRPr="004523AB">
              <w:t>There was high uptake across practices and ACCHOs.</w:t>
            </w:r>
          </w:p>
          <w:p w14:paraId="306363C7" w14:textId="77777777" w:rsidR="00512146" w:rsidRPr="004523AB" w:rsidRDefault="00512146" w:rsidP="008A550C">
            <w:pPr>
              <w:pStyle w:val="Listnumbered"/>
              <w:numPr>
                <w:ilvl w:val="0"/>
                <w:numId w:val="21"/>
              </w:numPr>
              <w:cnfStyle w:val="000000000000" w:firstRow="0" w:lastRow="0" w:firstColumn="0" w:lastColumn="0" w:oddVBand="0" w:evenVBand="0" w:oddHBand="0" w:evenHBand="0" w:firstRowFirstColumn="0" w:firstRowLastColumn="0" w:lastRowFirstColumn="0" w:lastRowLastColumn="0"/>
            </w:pPr>
            <w:r w:rsidRPr="004523AB">
              <w:t xml:space="preserve">Most practices found the Program process simple and easy to engage with. </w:t>
            </w:r>
          </w:p>
          <w:p w14:paraId="6FF78FA6" w14:textId="77777777" w:rsidR="00512146" w:rsidRPr="004523AB" w:rsidRDefault="00512146" w:rsidP="008A550C">
            <w:pPr>
              <w:pStyle w:val="Listnumbered"/>
              <w:numPr>
                <w:ilvl w:val="0"/>
                <w:numId w:val="21"/>
              </w:numPr>
              <w:cnfStyle w:val="000000000000" w:firstRow="0" w:lastRow="0" w:firstColumn="0" w:lastColumn="0" w:oddVBand="0" w:evenVBand="0" w:oddHBand="0" w:evenHBand="0" w:firstRowFirstColumn="0" w:firstRowLastColumn="0" w:lastRowFirstColumn="0" w:lastRowLastColumn="0"/>
            </w:pPr>
            <w:r w:rsidRPr="004523AB">
              <w:t xml:space="preserve">The Department provided the right information to PHNs and practices, and more timely communications could have strengthened rollout. </w:t>
            </w:r>
          </w:p>
          <w:p w14:paraId="074EC2A7" w14:textId="77777777" w:rsidR="00512146" w:rsidRPr="004523AB" w:rsidRDefault="00512146" w:rsidP="008A550C">
            <w:pPr>
              <w:pStyle w:val="Listnumbered"/>
              <w:numPr>
                <w:ilvl w:val="0"/>
                <w:numId w:val="21"/>
              </w:numPr>
              <w:cnfStyle w:val="000000000000" w:firstRow="0" w:lastRow="0" w:firstColumn="0" w:lastColumn="0" w:oddVBand="0" w:evenVBand="0" w:oddHBand="0" w:evenHBand="0" w:firstRowFirstColumn="0" w:firstRowLastColumn="0" w:lastRowFirstColumn="0" w:lastRowLastColumn="0"/>
            </w:pPr>
            <w:r w:rsidRPr="004523AB">
              <w:t>PHNs took different approaches to the Program administration and delivery.</w:t>
            </w:r>
          </w:p>
          <w:p w14:paraId="0AA578A5" w14:textId="0E8A5CE8" w:rsidR="00512146" w:rsidRPr="004523AB" w:rsidRDefault="00512146" w:rsidP="008A550C">
            <w:pPr>
              <w:pStyle w:val="Listnumbered"/>
              <w:numPr>
                <w:ilvl w:val="0"/>
                <w:numId w:val="21"/>
              </w:numPr>
              <w:cnfStyle w:val="000000000000" w:firstRow="0" w:lastRow="0" w:firstColumn="0" w:lastColumn="0" w:oddVBand="0" w:evenVBand="0" w:oddHBand="0" w:evenHBand="0" w:firstRowFirstColumn="0" w:firstRowLastColumn="0" w:lastRowFirstColumn="0" w:lastRowLastColumn="0"/>
            </w:pPr>
            <w:r w:rsidRPr="004523AB">
              <w:lastRenderedPageBreak/>
              <w:t>Many PHNs found it difficult to meet initial project deadlines for applications and contract distribution.</w:t>
            </w:r>
          </w:p>
        </w:tc>
      </w:tr>
      <w:tr w:rsidR="00512146" w:rsidRPr="004523AB" w14:paraId="49E1CC8E" w14:textId="77777777" w:rsidTr="00DD7C75">
        <w:tc>
          <w:tcPr>
            <w:cnfStyle w:val="001000000000" w:firstRow="0" w:lastRow="0" w:firstColumn="1" w:lastColumn="0" w:oddVBand="0" w:evenVBand="0" w:oddHBand="0" w:evenHBand="0" w:firstRowFirstColumn="0" w:firstRowLastColumn="0" w:lastRowFirstColumn="0" w:lastRowLastColumn="0"/>
            <w:tcW w:w="1418" w:type="dxa"/>
          </w:tcPr>
          <w:p w14:paraId="7E24F33F" w14:textId="5E8BCC11" w:rsidR="00512146" w:rsidRPr="00314541" w:rsidRDefault="00512146" w:rsidP="00314541">
            <w:r w:rsidRPr="00314541">
              <w:lastRenderedPageBreak/>
              <w:t xml:space="preserve">Program outcomes </w:t>
            </w:r>
          </w:p>
        </w:tc>
        <w:tc>
          <w:tcPr>
            <w:tcW w:w="8221" w:type="dxa"/>
          </w:tcPr>
          <w:p w14:paraId="2FA22494" w14:textId="77777777" w:rsidR="00512146" w:rsidRPr="004523AB" w:rsidRDefault="00512146" w:rsidP="008A550C">
            <w:pPr>
              <w:pStyle w:val="Listnumbered"/>
              <w:numPr>
                <w:ilvl w:val="0"/>
                <w:numId w:val="21"/>
              </w:numPr>
              <w:cnfStyle w:val="000000000000" w:firstRow="0" w:lastRow="0" w:firstColumn="0" w:lastColumn="0" w:oddVBand="0" w:evenVBand="0" w:oddHBand="0" w:evenHBand="0" w:firstRowFirstColumn="0" w:firstRowLastColumn="0" w:lastRowFirstColumn="0" w:lastRowLastColumn="0"/>
            </w:pPr>
            <w:r w:rsidRPr="004523AB">
              <w:t xml:space="preserve">The Program had broad overall benefits for primary care. </w:t>
            </w:r>
          </w:p>
          <w:p w14:paraId="7A6219E1" w14:textId="77777777" w:rsidR="00512146" w:rsidRPr="004523AB" w:rsidRDefault="00512146" w:rsidP="008A550C">
            <w:pPr>
              <w:pStyle w:val="Listnumbered"/>
              <w:numPr>
                <w:ilvl w:val="0"/>
                <w:numId w:val="21"/>
              </w:numPr>
              <w:cnfStyle w:val="000000000000" w:firstRow="0" w:lastRow="0" w:firstColumn="0" w:lastColumn="0" w:oddVBand="0" w:evenVBand="0" w:oddHBand="0" w:evenHBand="0" w:firstRowFirstColumn="0" w:firstRowLastColumn="0" w:lastRowFirstColumn="0" w:lastRowLastColumn="0"/>
            </w:pPr>
            <w:r w:rsidRPr="004523AB">
              <w:t>The Program had direct benefits in individual investment streams.</w:t>
            </w:r>
          </w:p>
          <w:p w14:paraId="6A94BBAF" w14:textId="29A3255A" w:rsidR="00512146" w:rsidRPr="004523AB" w:rsidRDefault="00512146" w:rsidP="008A550C">
            <w:pPr>
              <w:pStyle w:val="Listnumbered"/>
              <w:numPr>
                <w:ilvl w:val="0"/>
                <w:numId w:val="2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1"/>
              </w:rPr>
            </w:pPr>
            <w:r w:rsidRPr="004523AB">
              <w:t xml:space="preserve">The Program has had unintended benefits for PHNs and practices. </w:t>
            </w:r>
          </w:p>
        </w:tc>
      </w:tr>
    </w:tbl>
    <w:p w14:paraId="0D97D6D3" w14:textId="77777777" w:rsidR="00E11D3C" w:rsidRPr="00B7385B" w:rsidRDefault="00E11D3C" w:rsidP="00B7385B">
      <w:pPr>
        <w:rPr>
          <w:rStyle w:val="Strong"/>
        </w:rPr>
      </w:pPr>
      <w:r w:rsidRPr="00B7385B">
        <w:rPr>
          <w:rStyle w:val="Strong"/>
        </w:rPr>
        <w:t>Lessons learnt</w:t>
      </w:r>
    </w:p>
    <w:p w14:paraId="1519203E" w14:textId="77777777" w:rsidR="00E11D3C" w:rsidRPr="004523AB" w:rsidRDefault="00E11D3C" w:rsidP="00E11D3C">
      <w:pPr>
        <w:rPr>
          <w:lang w:eastAsia="en-AU"/>
        </w:rPr>
      </w:pPr>
      <w:r w:rsidRPr="004523AB">
        <w:rPr>
          <w:lang w:eastAsia="en-AU"/>
        </w:rPr>
        <w:t xml:space="preserve">To ensure the success of other programs of a similar scale and nature, several lessons learnt that build on the strengths of the Program have been highlighted. While it is understood that this was a one-off program, the lessons learnt can be considered for other comparable programs, whether they be related to non-competitive grant programs in health or primary care, programs involving multiple stakeholders such as PHNs or NACCHO, or programs related to the investment streams. </w:t>
      </w:r>
    </w:p>
    <w:p w14:paraId="7FF697DA" w14:textId="7CC55B74" w:rsidR="00E11D3C" w:rsidRPr="004523AB" w:rsidRDefault="00E11D3C" w:rsidP="00E11D3C">
      <w:pPr>
        <w:rPr>
          <w:rFonts w:asciiTheme="minorHAnsi" w:hAnsiTheme="minorHAnsi" w:cstheme="minorHAnsi"/>
          <w:lang w:eastAsia="en-AU"/>
        </w:rPr>
      </w:pPr>
      <w:r w:rsidRPr="004523AB">
        <w:rPr>
          <w:lang w:eastAsia="en-AU"/>
        </w:rPr>
        <w:t>The lessons learnt</w:t>
      </w:r>
      <w:r w:rsidRPr="004523AB">
        <w:rPr>
          <w:rFonts w:asciiTheme="minorHAnsi" w:hAnsiTheme="minorHAnsi" w:cstheme="minorHAnsi"/>
          <w:lang w:eastAsia="en-AU"/>
        </w:rPr>
        <w:t xml:space="preserve"> include:</w:t>
      </w:r>
    </w:p>
    <w:p w14:paraId="322C8247" w14:textId="77777777" w:rsidR="00E11D3C" w:rsidRPr="004523AB" w:rsidRDefault="00E11D3C" w:rsidP="008A550C">
      <w:pPr>
        <w:pStyle w:val="Listnumbered"/>
        <w:numPr>
          <w:ilvl w:val="0"/>
          <w:numId w:val="22"/>
        </w:numPr>
        <w:spacing w:line="259" w:lineRule="auto"/>
      </w:pPr>
      <w:r w:rsidRPr="004523AB">
        <w:t>Comprehensive and inclusive engagement with all stakeholders for large scale, national programs will optimise design and implementation.</w:t>
      </w:r>
    </w:p>
    <w:p w14:paraId="708EAFD6" w14:textId="77777777" w:rsidR="00E11D3C" w:rsidRPr="004523AB" w:rsidRDefault="00E11D3C" w:rsidP="008A550C">
      <w:pPr>
        <w:pStyle w:val="Listnumbered"/>
        <w:numPr>
          <w:ilvl w:val="0"/>
          <w:numId w:val="22"/>
        </w:numPr>
      </w:pPr>
      <w:r w:rsidRPr="004523AB">
        <w:t xml:space="preserve">Program design can incentivise behaviours that align to program objectives, including equity and accessibility. </w:t>
      </w:r>
    </w:p>
    <w:p w14:paraId="2CFCA0FA" w14:textId="77777777" w:rsidR="00E11D3C" w:rsidRPr="004523AB" w:rsidRDefault="00E11D3C" w:rsidP="008A550C">
      <w:pPr>
        <w:pStyle w:val="Listnumbered"/>
        <w:numPr>
          <w:ilvl w:val="0"/>
          <w:numId w:val="22"/>
        </w:numPr>
      </w:pPr>
      <w:bookmarkStart w:id="7" w:name="_Ref180159339"/>
      <w:r w:rsidRPr="004523AB">
        <w:t>Involving NACCHO early in the design of all programs related to First Nations primary care is critical and there are opportunities to translate good practice within the ACCHO sector to future national program design.</w:t>
      </w:r>
      <w:bookmarkEnd w:id="7"/>
    </w:p>
    <w:p w14:paraId="72B85096" w14:textId="77777777" w:rsidR="00E11D3C" w:rsidRPr="004523AB" w:rsidRDefault="00E11D3C" w:rsidP="008A550C">
      <w:pPr>
        <w:pStyle w:val="Listnumbered"/>
        <w:numPr>
          <w:ilvl w:val="0"/>
          <w:numId w:val="22"/>
        </w:numPr>
      </w:pPr>
      <w:r w:rsidRPr="004523AB">
        <w:t>Programs that leverage those who have trusted relationships and understanding of the target recipients, such as NACCHO and PHNs have foundations for success.</w:t>
      </w:r>
    </w:p>
    <w:p w14:paraId="23F88C6B" w14:textId="77777777" w:rsidR="00E11D3C" w:rsidRPr="004523AB" w:rsidRDefault="00E11D3C" w:rsidP="008A550C">
      <w:pPr>
        <w:pStyle w:val="Listnumbered"/>
        <w:numPr>
          <w:ilvl w:val="0"/>
          <w:numId w:val="22"/>
        </w:numPr>
      </w:pPr>
      <w:r w:rsidRPr="004523AB">
        <w:t>When multiple partners are involved in program delivery, graduated support for varying levels of operational maturity may assist effective implementation.</w:t>
      </w:r>
    </w:p>
    <w:p w14:paraId="112FBD84" w14:textId="77777777" w:rsidR="00E11D3C" w:rsidRPr="004523AB" w:rsidRDefault="00E11D3C" w:rsidP="008A550C">
      <w:pPr>
        <w:pStyle w:val="Listnumbered"/>
        <w:numPr>
          <w:ilvl w:val="0"/>
          <w:numId w:val="22"/>
        </w:numPr>
      </w:pPr>
      <w:r w:rsidRPr="004523AB">
        <w:t>Communications for large programs involving multiple stakeholders need to be timely, tested and well-thought through for end users.</w:t>
      </w:r>
    </w:p>
    <w:p w14:paraId="6F861FDB" w14:textId="77777777" w:rsidR="00E11D3C" w:rsidRPr="004523AB" w:rsidRDefault="00E11D3C" w:rsidP="008A550C">
      <w:pPr>
        <w:pStyle w:val="Listnumbered"/>
        <w:numPr>
          <w:ilvl w:val="0"/>
          <w:numId w:val="22"/>
        </w:numPr>
      </w:pPr>
      <w:r w:rsidRPr="004523AB">
        <w:t xml:space="preserve">Additional benefits for broader policy outcomes, beyond the immediate program objectives, can be achieved through program delivery. </w:t>
      </w:r>
    </w:p>
    <w:p w14:paraId="07810987" w14:textId="77777777" w:rsidR="00E11D3C" w:rsidRPr="004523AB" w:rsidRDefault="00E11D3C" w:rsidP="008A550C">
      <w:pPr>
        <w:pStyle w:val="Listnumbered"/>
        <w:numPr>
          <w:ilvl w:val="0"/>
          <w:numId w:val="22"/>
        </w:numPr>
      </w:pPr>
      <w:r w:rsidRPr="004523AB">
        <w:t xml:space="preserve">Reporting and acquittal, ongoing monitoring and evaluation should be part of early design, and be proportional to the level of funding, administrative effort, and long-term impact. </w:t>
      </w:r>
    </w:p>
    <w:p w14:paraId="664AFFDD" w14:textId="6EBDE9E0" w:rsidR="004D1B35" w:rsidRPr="004523AB" w:rsidRDefault="00E11D3C" w:rsidP="00BD5BFE">
      <w:r w:rsidRPr="004523AB">
        <w:t>The rationale and context for these are explored further in Section</w:t>
      </w:r>
      <w:r w:rsidR="006E7BB3" w:rsidRPr="004523AB">
        <w:t xml:space="preserve"> </w:t>
      </w:r>
      <w:r w:rsidR="006E7BB3" w:rsidRPr="004523AB">
        <w:fldChar w:fldCharType="begin"/>
      </w:r>
      <w:r w:rsidR="006E7BB3" w:rsidRPr="004523AB">
        <w:instrText xml:space="preserve"> REF _Ref184972354 \n \h </w:instrText>
      </w:r>
      <w:r w:rsidR="004523AB" w:rsidRPr="004523AB">
        <w:instrText xml:space="preserve"> \* MERGEFORMAT </w:instrText>
      </w:r>
      <w:r w:rsidR="006E7BB3" w:rsidRPr="004523AB">
        <w:fldChar w:fldCharType="separate"/>
      </w:r>
      <w:r w:rsidR="00B96E50">
        <w:t>5</w:t>
      </w:r>
      <w:r w:rsidR="006E7BB3" w:rsidRPr="004523AB">
        <w:fldChar w:fldCharType="end"/>
      </w:r>
      <w:r w:rsidR="00791D7C">
        <w:t>.</w:t>
      </w:r>
      <w:r w:rsidRPr="004523AB">
        <w:t xml:space="preserve"> including alignment to relevant government policy.</w:t>
      </w:r>
    </w:p>
    <w:p w14:paraId="59A58C9A" w14:textId="77777777" w:rsidR="004D1B35" w:rsidRPr="004523AB" w:rsidRDefault="004D1B35" w:rsidP="000C19BE">
      <w:pPr>
        <w:pStyle w:val="Heading1"/>
      </w:pPr>
      <w:bookmarkStart w:id="8" w:name="_Toc183696559"/>
      <w:bookmarkStart w:id="9" w:name="_Toc184982755"/>
      <w:r w:rsidRPr="004523AB">
        <w:lastRenderedPageBreak/>
        <w:t>Background and policy context</w:t>
      </w:r>
      <w:bookmarkEnd w:id="8"/>
      <w:bookmarkEnd w:id="9"/>
    </w:p>
    <w:p w14:paraId="3F0FC37E" w14:textId="77777777" w:rsidR="004D1B35" w:rsidRPr="004523AB" w:rsidRDefault="004D1B35" w:rsidP="00F14D6F">
      <w:pPr>
        <w:pStyle w:val="Heading2"/>
      </w:pPr>
      <w:bookmarkStart w:id="10" w:name="_Toc183696560"/>
      <w:bookmarkStart w:id="11" w:name="_Toc184982756"/>
      <w:r w:rsidRPr="004523AB">
        <w:t>Primary care policy context: Strengthening Medicare</w:t>
      </w:r>
      <w:bookmarkEnd w:id="10"/>
      <w:bookmarkEnd w:id="11"/>
    </w:p>
    <w:p w14:paraId="5ACB808E" w14:textId="77777777" w:rsidR="004D1B35" w:rsidRPr="004523AB" w:rsidRDefault="004D1B35" w:rsidP="004D1B35">
      <w:r w:rsidRPr="004523AB">
        <w:rPr>
          <w:rFonts w:asciiTheme="minorHAnsi" w:hAnsiTheme="minorHAnsi" w:cstheme="minorHAnsi"/>
        </w:rPr>
        <w:t>There are over 7,000 practices and over 120 ACCHOs across the country, and most practices are small businesses.</w:t>
      </w:r>
      <w:r w:rsidRPr="004523AB">
        <w:rPr>
          <w:vertAlign w:val="superscript"/>
        </w:rPr>
        <w:footnoteReference w:id="6"/>
      </w:r>
      <w:r w:rsidRPr="004523AB">
        <w:rPr>
          <w:rFonts w:asciiTheme="minorHAnsi" w:hAnsiTheme="minorHAnsi" w:cstheme="minorHAnsi"/>
          <w:vertAlign w:val="superscript"/>
        </w:rPr>
        <w:t xml:space="preserve"> </w:t>
      </w:r>
      <w:r w:rsidRPr="004523AB">
        <w:rPr>
          <w:rFonts w:asciiTheme="minorHAnsi" w:hAnsiTheme="minorHAnsi" w:cstheme="minorHAnsi"/>
        </w:rPr>
        <w:t>Practices and ACCHOs often lack the time and resources that are needed to invest in the systems, processes, and staff</w:t>
      </w:r>
      <w:r w:rsidRPr="004523AB" w:rsidDel="00BD4636">
        <w:rPr>
          <w:rFonts w:asciiTheme="minorHAnsi" w:hAnsiTheme="minorHAnsi" w:cstheme="minorHAnsi"/>
        </w:rPr>
        <w:t xml:space="preserve"> to </w:t>
      </w:r>
      <w:r w:rsidRPr="004523AB">
        <w:rPr>
          <w:rFonts w:asciiTheme="minorHAnsi" w:hAnsiTheme="minorHAnsi" w:cstheme="minorHAnsi"/>
        </w:rPr>
        <w:t xml:space="preserve">enhance safe, accessible, and high-quality care. At the same time, they </w:t>
      </w:r>
      <w:r w:rsidRPr="004523AB">
        <w:t>are intended to be the first point of contact for Australians seeking healthcare. In 2021-22, 90 per cent of Australians accessed at least one Medicare-subsidised general practitioner service, leading to 189 million general practitioner attendances.</w:t>
      </w:r>
      <w:r w:rsidRPr="004523AB">
        <w:rPr>
          <w:rStyle w:val="FootnoteReference"/>
          <w:rFonts w:asciiTheme="minorHAnsi" w:hAnsiTheme="minorHAnsi" w:cstheme="minorHAnsi"/>
        </w:rPr>
        <w:footnoteReference w:id="7"/>
      </w:r>
      <w:r w:rsidRPr="004523AB">
        <w:t xml:space="preserve"> Despite this high usage of general practice services, the 2022 General Practice: Health of the Nation report highlights there has been a historic under-investment in primary care.</w:t>
      </w:r>
      <w:r w:rsidRPr="004523AB">
        <w:rPr>
          <w:rStyle w:val="FootnoteReference"/>
        </w:rPr>
        <w:footnoteReference w:id="8"/>
      </w:r>
      <w:r w:rsidRPr="004523AB">
        <w:t xml:space="preserve"> </w:t>
      </w:r>
    </w:p>
    <w:p w14:paraId="4C0FA1E0" w14:textId="5B6162A8" w:rsidR="00B7385B" w:rsidRDefault="004D1B35" w:rsidP="004D1B35">
      <w:r w:rsidRPr="004523AB">
        <w:t>The Program sits within broader reform and investment into the Australian primary care sector. The 2023-24 Federal Budget included a commitment of $5.7 billion over 5 years to strengthen Medicare, aligning with the directions of Australia’s Primary Health Care 10 Year Plan 2022-2032.</w:t>
      </w:r>
      <w:r w:rsidRPr="004523AB">
        <w:rPr>
          <w:rStyle w:val="FootnoteReference"/>
        </w:rPr>
        <w:footnoteReference w:id="9"/>
      </w:r>
      <w:r w:rsidRPr="004523AB">
        <w:t xml:space="preserve"> The Strengthening Medicare Taskforce was formed in July 2020 to pinpoint the most pressing investment needs in primary care to improve access and quality. Their report (The Strengthening Medicare Taskforce Report), released in December 2022, identified four priority areas for investment into the Australian primary care sector (</w:t>
      </w:r>
      <w:r w:rsidR="00961F6D" w:rsidRPr="004523AB">
        <w:fldChar w:fldCharType="begin"/>
      </w:r>
      <w:r w:rsidR="00961F6D" w:rsidRPr="004523AB">
        <w:instrText xml:space="preserve"> REF _Ref184906830 \h </w:instrText>
      </w:r>
      <w:r w:rsidR="004523AB" w:rsidRPr="004523AB">
        <w:instrText xml:space="preserve"> \* MERGEFORMAT </w:instrText>
      </w:r>
      <w:r w:rsidR="00961F6D" w:rsidRPr="004523AB">
        <w:fldChar w:fldCharType="separate"/>
      </w:r>
      <w:r w:rsidR="00B96E50" w:rsidRPr="004523AB">
        <w:t xml:space="preserve">Table </w:t>
      </w:r>
      <w:r w:rsidR="00B96E50">
        <w:rPr>
          <w:noProof/>
        </w:rPr>
        <w:t>3</w:t>
      </w:r>
      <w:r w:rsidR="00961F6D" w:rsidRPr="004523AB">
        <w:fldChar w:fldCharType="end"/>
      </w:r>
      <w:r w:rsidRPr="004523AB">
        <w:t>).</w:t>
      </w:r>
      <w:r w:rsidRPr="004523AB">
        <w:rPr>
          <w:rStyle w:val="FootnoteReference"/>
        </w:rPr>
        <w:footnoteReference w:id="10"/>
      </w:r>
      <w:r w:rsidRPr="004523AB">
        <w:t xml:space="preserve"> The Program primarily contributes to two of these four priorities; increasing access to primary care and modernising primary care.</w:t>
      </w:r>
    </w:p>
    <w:p w14:paraId="4212A31E" w14:textId="77777777" w:rsidR="00B7385B" w:rsidRDefault="00B7385B">
      <w:pPr>
        <w:spacing w:after="165" w:line="259" w:lineRule="auto"/>
      </w:pPr>
      <w:r>
        <w:br w:type="page"/>
      </w:r>
    </w:p>
    <w:p w14:paraId="0FEBA092" w14:textId="5DF1FB13" w:rsidR="00A10387" w:rsidRPr="004523AB" w:rsidRDefault="007C67E6">
      <w:pPr>
        <w:pStyle w:val="Caption"/>
      </w:pPr>
      <w:bookmarkStart w:id="12" w:name="_Ref184906830"/>
      <w:r w:rsidRPr="004523AB">
        <w:lastRenderedPageBreak/>
        <w:t xml:space="preserve">Table </w:t>
      </w:r>
      <w:r w:rsidRPr="004523AB">
        <w:fldChar w:fldCharType="begin"/>
      </w:r>
      <w:r w:rsidRPr="004523AB">
        <w:instrText xml:space="preserve"> SEQ Table \* ARABIC </w:instrText>
      </w:r>
      <w:r w:rsidRPr="004523AB">
        <w:fldChar w:fldCharType="separate"/>
      </w:r>
      <w:r w:rsidR="00B96E50">
        <w:rPr>
          <w:noProof/>
        </w:rPr>
        <w:t>3</w:t>
      </w:r>
      <w:r w:rsidRPr="004523AB">
        <w:fldChar w:fldCharType="end"/>
      </w:r>
      <w:bookmarkEnd w:id="12"/>
      <w:r w:rsidRPr="004523AB">
        <w:t xml:space="preserve"> | Strengthening Medicare Taskforce priority areas for investment</w:t>
      </w:r>
    </w:p>
    <w:tbl>
      <w:tblPr>
        <w:tblStyle w:val="AccessibleSideColumn"/>
        <w:tblW w:w="0" w:type="auto"/>
        <w:tblCellMar>
          <w:top w:w="113" w:type="dxa"/>
          <w:bottom w:w="113" w:type="dxa"/>
        </w:tblCellMar>
        <w:tblLook w:val="04A0" w:firstRow="1" w:lastRow="0" w:firstColumn="1" w:lastColumn="0" w:noHBand="0" w:noVBand="1"/>
      </w:tblPr>
      <w:tblGrid>
        <w:gridCol w:w="2788"/>
        <w:gridCol w:w="6132"/>
      </w:tblGrid>
      <w:tr w:rsidR="00B20851" w:rsidRPr="004523AB" w14:paraId="1722B384" w14:textId="77777777" w:rsidTr="008F0E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8" w:type="dxa"/>
          </w:tcPr>
          <w:p w14:paraId="78E3D614" w14:textId="00FB50DA" w:rsidR="00B20851" w:rsidRPr="004523AB" w:rsidRDefault="00B20851" w:rsidP="00F14D6F">
            <w:pPr>
              <w:pStyle w:val="TableNheader"/>
            </w:pPr>
            <w:r w:rsidRPr="004523AB">
              <w:t>Increasing access</w:t>
            </w:r>
            <w:r w:rsidR="0096045B" w:rsidRPr="004523AB">
              <w:t xml:space="preserve"> to primary care</w:t>
            </w:r>
          </w:p>
        </w:tc>
        <w:tc>
          <w:tcPr>
            <w:tcW w:w="6132" w:type="dxa"/>
          </w:tcPr>
          <w:p w14:paraId="72A8A50F" w14:textId="77777777" w:rsidR="00B20851" w:rsidRPr="004523AB" w:rsidRDefault="006D1686" w:rsidP="00F14D6F">
            <w:pPr>
              <w:pStyle w:val="TableNBullet"/>
              <w:cnfStyle w:val="100000000000" w:firstRow="1" w:lastRow="0" w:firstColumn="0" w:lastColumn="0" w:oddVBand="0" w:evenVBand="0" w:oddHBand="0" w:evenHBand="0" w:firstRowFirstColumn="0" w:firstRowLastColumn="0" w:lastRowFirstColumn="0" w:lastRowLastColumn="0"/>
            </w:pPr>
            <w:r w:rsidRPr="004523AB">
              <w:t xml:space="preserve">Support </w:t>
            </w:r>
            <w:r w:rsidR="001547A0" w:rsidRPr="004523AB">
              <w:t xml:space="preserve">better continuity of </w:t>
            </w:r>
            <w:r w:rsidR="002C723C" w:rsidRPr="004523AB">
              <w:t>care</w:t>
            </w:r>
            <w:r w:rsidR="008A4F08" w:rsidRPr="004523AB">
              <w:t xml:space="preserve">, </w:t>
            </w:r>
            <w:r w:rsidR="00325F18" w:rsidRPr="004523AB">
              <w:t xml:space="preserve">a strengthened </w:t>
            </w:r>
            <w:r w:rsidR="00032D29" w:rsidRPr="004523AB">
              <w:t xml:space="preserve">relationship </w:t>
            </w:r>
            <w:r w:rsidR="00EA5EEE" w:rsidRPr="004523AB">
              <w:t xml:space="preserve">between the </w:t>
            </w:r>
            <w:r w:rsidR="009A22F4" w:rsidRPr="004523AB">
              <w:t xml:space="preserve">patient and their </w:t>
            </w:r>
            <w:r w:rsidR="00356587" w:rsidRPr="004523AB">
              <w:t xml:space="preserve">care team, </w:t>
            </w:r>
            <w:r w:rsidR="00633EB9" w:rsidRPr="004523AB">
              <w:t xml:space="preserve">and more integrated, </w:t>
            </w:r>
            <w:r w:rsidR="000639C2" w:rsidRPr="004523AB">
              <w:t>person-centred</w:t>
            </w:r>
            <w:r w:rsidR="002E68C5" w:rsidRPr="004523AB">
              <w:t xml:space="preserve"> care </w:t>
            </w:r>
            <w:r w:rsidR="00686283" w:rsidRPr="004523AB">
              <w:t xml:space="preserve">through the introduction </w:t>
            </w:r>
            <w:r w:rsidR="003B285C" w:rsidRPr="004523AB">
              <w:t xml:space="preserve">of voluntary patient registration. </w:t>
            </w:r>
          </w:p>
          <w:p w14:paraId="5798AC9C" w14:textId="08B78501" w:rsidR="00EC7787" w:rsidRPr="004523AB" w:rsidRDefault="00EC7787" w:rsidP="00F14D6F">
            <w:pPr>
              <w:pStyle w:val="TableNBullet"/>
              <w:cnfStyle w:val="100000000000" w:firstRow="1" w:lastRow="0" w:firstColumn="0" w:lastColumn="0" w:oddVBand="0" w:evenVBand="0" w:oddHBand="0" w:evenHBand="0" w:firstRowFirstColumn="0" w:firstRowLastColumn="0" w:lastRowFirstColumn="0" w:lastRowLastColumn="0"/>
            </w:pPr>
            <w:r w:rsidRPr="004523AB">
              <w:t xml:space="preserve">Grow and invest </w:t>
            </w:r>
            <w:r w:rsidR="003A73D5" w:rsidRPr="004523AB">
              <w:t>in ACC</w:t>
            </w:r>
            <w:r w:rsidR="005A3DA7" w:rsidRPr="004523AB">
              <w:t xml:space="preserve">HOs </w:t>
            </w:r>
            <w:r w:rsidR="002303CE" w:rsidRPr="004523AB">
              <w:t xml:space="preserve">to commission </w:t>
            </w:r>
            <w:r w:rsidR="00B911F2" w:rsidRPr="004523AB">
              <w:t>primary care services</w:t>
            </w:r>
            <w:r w:rsidR="00D17EA0" w:rsidRPr="004523AB">
              <w:t xml:space="preserve"> for their communities.</w:t>
            </w:r>
          </w:p>
        </w:tc>
      </w:tr>
      <w:tr w:rsidR="00B20851" w:rsidRPr="004523AB" w14:paraId="767D9C0C" w14:textId="77777777" w:rsidTr="008F0EE6">
        <w:tc>
          <w:tcPr>
            <w:cnfStyle w:val="001000000000" w:firstRow="0" w:lastRow="0" w:firstColumn="1" w:lastColumn="0" w:oddVBand="0" w:evenVBand="0" w:oddHBand="0" w:evenHBand="0" w:firstRowFirstColumn="0" w:firstRowLastColumn="0" w:lastRowFirstColumn="0" w:lastRowLastColumn="0"/>
            <w:tcW w:w="2788" w:type="dxa"/>
          </w:tcPr>
          <w:p w14:paraId="294D9670" w14:textId="6E6936B1" w:rsidR="00B20851" w:rsidRPr="004523AB" w:rsidRDefault="009F33AD" w:rsidP="00F14D6F">
            <w:pPr>
              <w:pStyle w:val="TableNheader"/>
            </w:pPr>
            <w:r w:rsidRPr="004523AB">
              <w:t>E</w:t>
            </w:r>
            <w:r w:rsidR="00AF7C11" w:rsidRPr="004523AB">
              <w:t xml:space="preserve">ncouraging </w:t>
            </w:r>
            <w:r w:rsidR="00840D6E" w:rsidRPr="004523AB">
              <w:t xml:space="preserve">multidisciplinary </w:t>
            </w:r>
            <w:r w:rsidR="008278D2" w:rsidRPr="004523AB">
              <w:t>team-based care</w:t>
            </w:r>
          </w:p>
        </w:tc>
        <w:tc>
          <w:tcPr>
            <w:tcW w:w="6132" w:type="dxa"/>
          </w:tcPr>
          <w:p w14:paraId="2091051B" w14:textId="293D2608" w:rsidR="00B20851" w:rsidRPr="004523AB" w:rsidRDefault="004B280B" w:rsidP="00F14D6F">
            <w:pPr>
              <w:pStyle w:val="TableNBullet"/>
              <w:cnfStyle w:val="000000000000" w:firstRow="0" w:lastRow="0" w:firstColumn="0" w:lastColumn="0" w:oddVBand="0" w:evenVBand="0" w:oddHBand="0" w:evenHBand="0" w:firstRowFirstColumn="0" w:firstRowLastColumn="0" w:lastRowFirstColumn="0" w:lastRowLastColumn="0"/>
            </w:pPr>
            <w:r w:rsidRPr="004523AB">
              <w:t>Support local</w:t>
            </w:r>
            <w:r w:rsidR="00813702" w:rsidRPr="004523AB">
              <w:t xml:space="preserve"> health system integration </w:t>
            </w:r>
            <w:r w:rsidR="008F1F5E" w:rsidRPr="004523AB">
              <w:t>and person</w:t>
            </w:r>
            <w:r w:rsidR="00CB036E" w:rsidRPr="004523AB">
              <w:t xml:space="preserve">-centred </w:t>
            </w:r>
            <w:r w:rsidR="00704582" w:rsidRPr="004523AB">
              <w:t xml:space="preserve">care </w:t>
            </w:r>
            <w:r w:rsidR="00890DE9" w:rsidRPr="004523AB">
              <w:t xml:space="preserve">through facilitating integration </w:t>
            </w:r>
            <w:r w:rsidR="00732DF9" w:rsidRPr="004523AB">
              <w:t xml:space="preserve">of specialist and </w:t>
            </w:r>
            <w:r w:rsidR="009E552C" w:rsidRPr="004523AB">
              <w:t>hospital service</w:t>
            </w:r>
            <w:r w:rsidR="003C1008" w:rsidRPr="004523AB">
              <w:t xml:space="preserve">s </w:t>
            </w:r>
            <w:r w:rsidR="00170CE3" w:rsidRPr="004523AB">
              <w:t>with primary care</w:t>
            </w:r>
            <w:r w:rsidR="0009455F" w:rsidRPr="004523AB">
              <w:t xml:space="preserve">, and integrate </w:t>
            </w:r>
            <w:r w:rsidR="0024072B" w:rsidRPr="004523AB">
              <w:t>primary care with mental health</w:t>
            </w:r>
            <w:r w:rsidR="007417B6" w:rsidRPr="004523AB">
              <w:t xml:space="preserve">, aged care, </w:t>
            </w:r>
            <w:r w:rsidR="005A6692" w:rsidRPr="004523AB">
              <w:t xml:space="preserve">community, and </w:t>
            </w:r>
            <w:r w:rsidR="00394BD5" w:rsidRPr="004523AB">
              <w:t>disability services.</w:t>
            </w:r>
          </w:p>
        </w:tc>
      </w:tr>
      <w:tr w:rsidR="00B20851" w:rsidRPr="004523AB" w14:paraId="1D5524BC" w14:textId="77777777" w:rsidTr="008F0EE6">
        <w:tc>
          <w:tcPr>
            <w:cnfStyle w:val="001000000000" w:firstRow="0" w:lastRow="0" w:firstColumn="1" w:lastColumn="0" w:oddVBand="0" w:evenVBand="0" w:oddHBand="0" w:evenHBand="0" w:firstRowFirstColumn="0" w:firstRowLastColumn="0" w:lastRowFirstColumn="0" w:lastRowLastColumn="0"/>
            <w:tcW w:w="2788" w:type="dxa"/>
          </w:tcPr>
          <w:p w14:paraId="4BD85DE3" w14:textId="4B386DC5" w:rsidR="00B20851" w:rsidRPr="004523AB" w:rsidRDefault="00784400" w:rsidP="00F14D6F">
            <w:pPr>
              <w:pStyle w:val="TableNheader"/>
            </w:pPr>
            <w:r w:rsidRPr="004523AB">
              <w:t>Modernising primary care</w:t>
            </w:r>
          </w:p>
        </w:tc>
        <w:tc>
          <w:tcPr>
            <w:tcW w:w="6132" w:type="dxa"/>
          </w:tcPr>
          <w:p w14:paraId="5ADD0EFE" w14:textId="77777777" w:rsidR="00B20851" w:rsidRPr="004523AB" w:rsidRDefault="0004522E" w:rsidP="00F14D6F">
            <w:pPr>
              <w:pStyle w:val="TableNBullet"/>
              <w:cnfStyle w:val="000000000000" w:firstRow="0" w:lastRow="0" w:firstColumn="0" w:lastColumn="0" w:oddVBand="0" w:evenVBand="0" w:oddHBand="0" w:evenHBand="0" w:firstRowFirstColumn="0" w:firstRowLastColumn="0" w:lastRowFirstColumn="0" w:lastRowLastColumn="0"/>
            </w:pPr>
            <w:r w:rsidRPr="004523AB">
              <w:t xml:space="preserve">Better connect </w:t>
            </w:r>
            <w:r w:rsidR="00AE3853" w:rsidRPr="004523AB">
              <w:t xml:space="preserve">health data </w:t>
            </w:r>
            <w:r w:rsidR="003B409D" w:rsidRPr="004523AB">
              <w:t xml:space="preserve">across all parts of </w:t>
            </w:r>
            <w:r w:rsidR="00E241D4" w:rsidRPr="004523AB">
              <w:t xml:space="preserve">the health system. </w:t>
            </w:r>
          </w:p>
          <w:p w14:paraId="4696AC19" w14:textId="711E788B" w:rsidR="000F7E83" w:rsidRPr="004523AB" w:rsidRDefault="000F7E83" w:rsidP="00F14D6F">
            <w:pPr>
              <w:pStyle w:val="TableNBullet"/>
              <w:cnfStyle w:val="000000000000" w:firstRow="0" w:lastRow="0" w:firstColumn="0" w:lastColumn="0" w:oddVBand="0" w:evenVBand="0" w:oddHBand="0" w:evenHBand="0" w:firstRowFirstColumn="0" w:firstRowLastColumn="0" w:lastRowFirstColumn="0" w:lastRowLastColumn="0"/>
            </w:pPr>
            <w:r w:rsidRPr="004523AB">
              <w:t>Provi</w:t>
            </w:r>
            <w:r w:rsidR="00A002DC" w:rsidRPr="004523AB">
              <w:t xml:space="preserve">de and uplift </w:t>
            </w:r>
            <w:r w:rsidR="00C437E5" w:rsidRPr="004523AB">
              <w:t xml:space="preserve">in primary care </w:t>
            </w:r>
            <w:r w:rsidR="00885D2A" w:rsidRPr="004523AB">
              <w:t>IT infrastructure</w:t>
            </w:r>
            <w:r w:rsidR="00CB3BFD" w:rsidRPr="004523AB">
              <w:t>, education</w:t>
            </w:r>
            <w:r w:rsidR="00FE1F6E" w:rsidRPr="004523AB">
              <w:t>,</w:t>
            </w:r>
            <w:r w:rsidR="00CB3BFD" w:rsidRPr="004523AB">
              <w:t xml:space="preserve"> </w:t>
            </w:r>
            <w:r w:rsidR="00AB263F" w:rsidRPr="004523AB">
              <w:t>and support</w:t>
            </w:r>
            <w:r w:rsidR="00FE1F6E" w:rsidRPr="004523AB">
              <w:t xml:space="preserve"> </w:t>
            </w:r>
            <w:r w:rsidR="005C4615" w:rsidRPr="004523AB">
              <w:t xml:space="preserve">to primary care </w:t>
            </w:r>
            <w:r w:rsidR="00A77EA4" w:rsidRPr="004523AB">
              <w:t xml:space="preserve">practices so they can </w:t>
            </w:r>
            <w:r w:rsidR="002A2EA5" w:rsidRPr="004523AB">
              <w:t xml:space="preserve">maximise the benefits </w:t>
            </w:r>
            <w:r w:rsidR="00932666" w:rsidRPr="004523AB">
              <w:t>of data and digi</w:t>
            </w:r>
            <w:r w:rsidR="004D6C95" w:rsidRPr="004523AB">
              <w:t xml:space="preserve">tal </w:t>
            </w:r>
            <w:r w:rsidR="003302DE" w:rsidRPr="004523AB">
              <w:t>reforms</w:t>
            </w:r>
            <w:r w:rsidR="00646CC2" w:rsidRPr="004523AB">
              <w:t>, mitigate risks</w:t>
            </w:r>
            <w:r w:rsidR="00FE063D" w:rsidRPr="004523AB">
              <w:t xml:space="preserve"> and undertake </w:t>
            </w:r>
            <w:r w:rsidR="00107A39" w:rsidRPr="004523AB">
              <w:t>continuous risk improvements.</w:t>
            </w:r>
          </w:p>
        </w:tc>
      </w:tr>
      <w:tr w:rsidR="00B20851" w:rsidRPr="004523AB" w14:paraId="67991EFE" w14:textId="77777777" w:rsidTr="008F0EE6">
        <w:tc>
          <w:tcPr>
            <w:cnfStyle w:val="001000000000" w:firstRow="0" w:lastRow="0" w:firstColumn="1" w:lastColumn="0" w:oddVBand="0" w:evenVBand="0" w:oddHBand="0" w:evenHBand="0" w:firstRowFirstColumn="0" w:firstRowLastColumn="0" w:lastRowFirstColumn="0" w:lastRowLastColumn="0"/>
            <w:tcW w:w="2788" w:type="dxa"/>
          </w:tcPr>
          <w:p w14:paraId="666EF81E" w14:textId="288BC57E" w:rsidR="00B20851" w:rsidRPr="004523AB" w:rsidRDefault="00990C55" w:rsidP="00F14D6F">
            <w:pPr>
              <w:pStyle w:val="TableNheader"/>
            </w:pPr>
            <w:r w:rsidRPr="004523AB">
              <w:t xml:space="preserve">Supporting </w:t>
            </w:r>
            <w:r w:rsidR="004075BE" w:rsidRPr="004523AB">
              <w:t>change management and cultural change</w:t>
            </w:r>
          </w:p>
        </w:tc>
        <w:tc>
          <w:tcPr>
            <w:tcW w:w="6132" w:type="dxa"/>
          </w:tcPr>
          <w:p w14:paraId="21BBF626" w14:textId="77777777" w:rsidR="00B20851" w:rsidRPr="004523AB" w:rsidRDefault="00317DC5" w:rsidP="00F14D6F">
            <w:pPr>
              <w:pStyle w:val="TableNBullet"/>
              <w:cnfStyle w:val="000000000000" w:firstRow="0" w:lastRow="0" w:firstColumn="0" w:lastColumn="0" w:oddVBand="0" w:evenVBand="0" w:oddHBand="0" w:evenHBand="0" w:firstRowFirstColumn="0" w:firstRowLastColumn="0" w:lastRowFirstColumn="0" w:lastRowLastColumn="0"/>
            </w:pPr>
            <w:r w:rsidRPr="004523AB">
              <w:t xml:space="preserve">Work with providers </w:t>
            </w:r>
            <w:r w:rsidR="002F700C" w:rsidRPr="004523AB">
              <w:t xml:space="preserve">to help </w:t>
            </w:r>
            <w:r w:rsidR="003C39FE" w:rsidRPr="004523AB">
              <w:t xml:space="preserve">them effectively </w:t>
            </w:r>
            <w:r w:rsidR="00EC0568" w:rsidRPr="004523AB">
              <w:t xml:space="preserve">manage change </w:t>
            </w:r>
            <w:r w:rsidR="00DF2D9B" w:rsidRPr="004523AB">
              <w:t xml:space="preserve">and transition </w:t>
            </w:r>
            <w:r w:rsidR="005F0162" w:rsidRPr="004523AB">
              <w:t>to new ways of working.</w:t>
            </w:r>
          </w:p>
          <w:p w14:paraId="4A317D1A" w14:textId="2241FBFC" w:rsidR="005F0162" w:rsidRPr="004523AB" w:rsidRDefault="001A0C0B" w:rsidP="00F14D6F">
            <w:pPr>
              <w:pStyle w:val="TableNBullet"/>
              <w:cnfStyle w:val="000000000000" w:firstRow="0" w:lastRow="0" w:firstColumn="0" w:lastColumn="0" w:oddVBand="0" w:evenVBand="0" w:oddHBand="0" w:evenHBand="0" w:firstRowFirstColumn="0" w:firstRowLastColumn="0" w:lastRowFirstColumn="0" w:lastRowLastColumn="0"/>
            </w:pPr>
            <w:r w:rsidRPr="004523AB">
              <w:t>Su</w:t>
            </w:r>
            <w:r w:rsidR="004E4FB9" w:rsidRPr="004523AB">
              <w:t xml:space="preserve">pport the development </w:t>
            </w:r>
            <w:r w:rsidR="006F4D48" w:rsidRPr="004523AB">
              <w:t xml:space="preserve">of </w:t>
            </w:r>
            <w:r w:rsidR="00E97677" w:rsidRPr="004523AB">
              <w:t xml:space="preserve">practice </w:t>
            </w:r>
            <w:r w:rsidR="006A0A6D" w:rsidRPr="004523AB">
              <w:t xml:space="preserve">management </w:t>
            </w:r>
            <w:r w:rsidR="00C50285" w:rsidRPr="004523AB">
              <w:t>as a profession.</w:t>
            </w:r>
          </w:p>
        </w:tc>
      </w:tr>
    </w:tbl>
    <w:p w14:paraId="0A10EBB0" w14:textId="77777777" w:rsidR="00FE5CB2" w:rsidRPr="004523AB" w:rsidRDefault="00FE5CB2">
      <w:pPr>
        <w:spacing w:after="165" w:line="259" w:lineRule="auto"/>
      </w:pPr>
      <w:r w:rsidRPr="004523AB">
        <w:br w:type="page"/>
      </w:r>
    </w:p>
    <w:p w14:paraId="6AF5229C" w14:textId="09540574" w:rsidR="004456DC" w:rsidRPr="004523AB" w:rsidRDefault="005C66B2" w:rsidP="00961F6D">
      <w:pPr>
        <w:pStyle w:val="Heading2"/>
      </w:pPr>
      <w:bookmarkStart w:id="13" w:name="_Toc184982757"/>
      <w:r w:rsidRPr="004523AB">
        <w:lastRenderedPageBreak/>
        <w:t>Overview of program</w:t>
      </w:r>
      <w:bookmarkEnd w:id="13"/>
    </w:p>
    <w:p w14:paraId="117BFA19" w14:textId="77777777" w:rsidR="00915C40" w:rsidRPr="004523AB" w:rsidRDefault="00915C40" w:rsidP="00A4421E">
      <w:pPr>
        <w:rPr>
          <w:rFonts w:asciiTheme="majorHAnsi" w:hAnsiTheme="majorHAnsi" w:cstheme="majorHAnsi"/>
          <w:color w:val="00264D" w:themeColor="background2"/>
        </w:rPr>
      </w:pPr>
      <w:r w:rsidRPr="004523AB">
        <w:rPr>
          <w:rFonts w:asciiTheme="majorHAnsi" w:hAnsiTheme="majorHAnsi" w:cstheme="majorHAnsi"/>
          <w:color w:val="00264D" w:themeColor="background2"/>
        </w:rPr>
        <w:t>The Program expended $189.3</w:t>
      </w:r>
      <w:r w:rsidRPr="004523AB">
        <w:rPr>
          <w:rStyle w:val="FootnoteReference"/>
          <w:rFonts w:asciiTheme="majorHAnsi" w:hAnsiTheme="majorHAnsi" w:cstheme="majorHAnsi"/>
          <w:color w:val="00264D" w:themeColor="background2"/>
          <w:sz w:val="23"/>
          <w:szCs w:val="23"/>
        </w:rPr>
        <w:footnoteReference w:id="11"/>
      </w:r>
      <w:r w:rsidRPr="004523AB">
        <w:rPr>
          <w:rFonts w:asciiTheme="majorHAnsi" w:hAnsiTheme="majorHAnsi" w:cstheme="majorHAnsi"/>
          <w:color w:val="00264D" w:themeColor="background2"/>
        </w:rPr>
        <w:t xml:space="preserve"> million across three investment streams to improve patient access and support safe, quality primary care</w:t>
      </w:r>
    </w:p>
    <w:p w14:paraId="65F2D210" w14:textId="77777777" w:rsidR="00AE39A6" w:rsidRPr="004523AB" w:rsidRDefault="00AE39A6" w:rsidP="00AE39A6">
      <w:r w:rsidRPr="004523AB">
        <w:t>The Program provided eligible practices and ACCHOs access to $220 million in grants over two years (2022-23 to 2023-24) to make improvements that expand patient access and support safe, quality primary care. In total, $189.3M</w:t>
      </w:r>
      <w:r w:rsidRPr="004523AB">
        <w:rPr>
          <w:rStyle w:val="FootnoteReference"/>
        </w:rPr>
        <w:footnoteReference w:id="12"/>
      </w:r>
      <w:r w:rsidRPr="004523AB">
        <w:t xml:space="preserve"> was expended to practices and ACCHOs for a range of investments, including in innovation, training, equipment, and minor capital works. </w:t>
      </w:r>
    </w:p>
    <w:p w14:paraId="55FBA42D" w14:textId="77777777" w:rsidR="00B8756F" w:rsidRPr="004523AB" w:rsidRDefault="00B8756F" w:rsidP="00B8756F">
      <w:pPr>
        <w:rPr>
          <w:lang w:eastAsia="en-AU"/>
        </w:rPr>
      </w:pPr>
      <w:r w:rsidRPr="004523AB">
        <w:rPr>
          <w:lang w:eastAsia="en-AU"/>
        </w:rPr>
        <w:t>The Program objectives were defined for three investment streams for acceptable grant expenditure. Each is a key foundation for quality and safety in practices and ACCHOs. These were to:</w:t>
      </w:r>
    </w:p>
    <w:p w14:paraId="31D634F4" w14:textId="3466D53D" w:rsidR="00B8756F" w:rsidRPr="00D5597B" w:rsidRDefault="00B8756F" w:rsidP="00D5597B">
      <w:pPr>
        <w:pStyle w:val="ListBullet"/>
      </w:pPr>
      <w:r w:rsidRPr="00D5597B">
        <w:rPr>
          <w:rStyle w:val="Strong"/>
        </w:rPr>
        <w:t>Enhance digital health capability</w:t>
      </w:r>
      <w:r w:rsidRPr="00D5597B">
        <w:t>: Improving practice digital health capability—including hardware, software, and training in their use—is a fundamental enabler of a connected health system. Digital health has become a vital part of a modern, accessible healthcare system designed to meet the needs of all Australians.</w:t>
      </w:r>
    </w:p>
    <w:p w14:paraId="1913C588" w14:textId="77777777" w:rsidR="00D5597B" w:rsidRPr="00D5597B" w:rsidRDefault="00B8756F" w:rsidP="00D5597B">
      <w:pPr>
        <w:pStyle w:val="ListBullet"/>
      </w:pPr>
      <w:r w:rsidRPr="00D5597B">
        <w:rPr>
          <w:rStyle w:val="Strong"/>
        </w:rPr>
        <w:t>Upgrade infection and prevention control arrangements</w:t>
      </w:r>
      <w:r w:rsidRPr="00D5597B">
        <w:t xml:space="preserve">: The ability for practices to effectively manage infection prevention is critical to keep patients and practice staff safe. For respiratory infections, such as COVID-19 and influenza, appropriate infrastructure (such as dedicated isolation areas), clear lines of accountability, systems for managing the risk of cross-infection, and education for staff are essential so that patients can safely be seen face-to-face, if this is their preference. </w:t>
      </w:r>
    </w:p>
    <w:p w14:paraId="2A541EC0" w14:textId="2F4C3180" w:rsidR="00E70401" w:rsidRPr="00D5597B" w:rsidRDefault="00E70401" w:rsidP="00D5597B">
      <w:pPr>
        <w:pStyle w:val="ListBullet"/>
        <w:rPr>
          <w:rFonts w:asciiTheme="majorHAnsi" w:hAnsiTheme="majorHAnsi" w:cstheme="majorHAnsi"/>
        </w:rPr>
      </w:pPr>
      <w:r w:rsidRPr="00D5597B">
        <w:rPr>
          <w:rStyle w:val="Strong"/>
        </w:rPr>
        <w:t>Maintain or achieve accreditation</w:t>
      </w:r>
      <w:r w:rsidRPr="00D5597B">
        <w:t>: Practice accreditation provides quality assurance in addition to individual clinician registration. Compliance against 17 Royal Australian College of General Practice (RACGP) standards provides assurance to patients and the government that general practitioners provide safe, and quality care based on best available evidence, with appropriate governance and record keeping that supports continuous quality improvement. There are financial and recruitment benefits to accreditation - it is a requirement for practices to access the Practice Incentives Program and Workforce Incentive Program and support the recruitment pipeline for general practitioners (trainees need to do two years of placement in accredited practices for their own vocational registration). Despite considerable investments in supporting general practitioner accreditation, barriers and challenges to accreditation remain. As of 2020, only 84 per cent of practices were</w:t>
      </w:r>
      <w:r w:rsidRPr="004523AB">
        <w:t xml:space="preserve"> accredited.</w:t>
      </w:r>
      <w:r w:rsidRPr="009F13BE">
        <w:rPr>
          <w:vertAlign w:val="superscript"/>
        </w:rPr>
        <w:footnoteReference w:id="13"/>
      </w:r>
    </w:p>
    <w:p w14:paraId="63F3C777" w14:textId="77777777" w:rsidR="007E59AB" w:rsidRPr="004523AB" w:rsidRDefault="007E59AB" w:rsidP="00A601D3">
      <w:pPr>
        <w:rPr>
          <w:rFonts w:asciiTheme="majorHAnsi" w:hAnsiTheme="majorHAnsi" w:cstheme="majorHAnsi"/>
        </w:rPr>
      </w:pPr>
      <w:r w:rsidRPr="004523AB">
        <w:t>The Department partnered with PHNs and NACCHO to manage and administer the Program to practices and ACCHOs respectively.</w:t>
      </w:r>
      <w:r w:rsidRPr="004523AB">
        <w:rPr>
          <w:rStyle w:val="FootnoteReference"/>
        </w:rPr>
        <w:footnoteReference w:id="14"/>
      </w:r>
      <w:r w:rsidRPr="004523AB">
        <w:t xml:space="preserve"> Practices and ACCHOs were eligible for single, one-off grants of either $25,000, $35,000 or $50,000, based on practice size, accreditation status and </w:t>
      </w:r>
      <w:r w:rsidRPr="004523AB">
        <w:lastRenderedPageBreak/>
        <w:t>total client volume for ACCHOs. At the end of the Program, 7,047 practices and 126 ACCHOs had received a grant. The vast majority of these received grants worth $25,000.</w:t>
      </w:r>
      <w:r w:rsidRPr="004523AB">
        <w:rPr>
          <w:rStyle w:val="FootnoteReference"/>
        </w:rPr>
        <w:footnoteReference w:id="15"/>
      </w:r>
    </w:p>
    <w:p w14:paraId="1A3810ED" w14:textId="22630068" w:rsidR="007E59AB" w:rsidRPr="004523AB" w:rsidRDefault="007E59AB" w:rsidP="00A601D3">
      <w:r w:rsidRPr="004523AB">
        <w:t xml:space="preserve">An overview of the context and design of the Program is provided in </w:t>
      </w:r>
      <w:r w:rsidR="00E56A3E" w:rsidRPr="004523AB">
        <w:fldChar w:fldCharType="begin"/>
      </w:r>
      <w:r w:rsidR="00E56A3E" w:rsidRPr="004523AB">
        <w:instrText xml:space="preserve"> REF _Ref184906929 \h  \* MERGEFORMAT </w:instrText>
      </w:r>
      <w:r w:rsidR="00E56A3E" w:rsidRPr="004523AB">
        <w:fldChar w:fldCharType="separate"/>
      </w:r>
      <w:r w:rsidR="00B96E50" w:rsidRPr="004523AB">
        <w:t xml:space="preserve">Table </w:t>
      </w:r>
      <w:r w:rsidR="00B96E50">
        <w:rPr>
          <w:noProof/>
        </w:rPr>
        <w:t>4</w:t>
      </w:r>
      <w:r w:rsidR="00E56A3E" w:rsidRPr="004523AB">
        <w:fldChar w:fldCharType="end"/>
      </w:r>
      <w:r w:rsidRPr="004523AB">
        <w:t xml:space="preserve">. </w:t>
      </w:r>
    </w:p>
    <w:p w14:paraId="139C7467" w14:textId="7D0D5622" w:rsidR="00896C23" w:rsidRPr="004523AB" w:rsidRDefault="00896C23" w:rsidP="00896C23">
      <w:pPr>
        <w:pStyle w:val="Caption"/>
      </w:pPr>
      <w:bookmarkStart w:id="14" w:name="_Ref184906929"/>
      <w:r w:rsidRPr="004523AB">
        <w:t xml:space="preserve">Table </w:t>
      </w:r>
      <w:r w:rsidRPr="004523AB">
        <w:fldChar w:fldCharType="begin"/>
      </w:r>
      <w:r w:rsidRPr="004523AB">
        <w:instrText xml:space="preserve"> SEQ Table \* ARABIC </w:instrText>
      </w:r>
      <w:r w:rsidRPr="004523AB">
        <w:fldChar w:fldCharType="separate"/>
      </w:r>
      <w:r w:rsidR="00B96E50">
        <w:rPr>
          <w:noProof/>
        </w:rPr>
        <w:t>4</w:t>
      </w:r>
      <w:r w:rsidRPr="004523AB">
        <w:fldChar w:fldCharType="end"/>
      </w:r>
      <w:bookmarkEnd w:id="14"/>
      <w:r w:rsidRPr="004523AB">
        <w:t xml:space="preserve"> | Strengthening Medicare - General Practice Grants programs</w:t>
      </w:r>
    </w:p>
    <w:tbl>
      <w:tblPr>
        <w:tblStyle w:val="AccessibleSideColumn"/>
        <w:tblW w:w="0" w:type="auto"/>
        <w:tblLook w:val="04A0" w:firstRow="1" w:lastRow="0" w:firstColumn="1" w:lastColumn="0" w:noHBand="0" w:noVBand="1"/>
      </w:tblPr>
      <w:tblGrid>
        <w:gridCol w:w="1822"/>
        <w:gridCol w:w="7098"/>
      </w:tblGrid>
      <w:tr w:rsidR="00D76733" w:rsidRPr="004523AB" w14:paraId="2A349562" w14:textId="77777777" w:rsidTr="00EA20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0B6F186" w14:textId="621FBB5B" w:rsidR="00D76733" w:rsidRPr="004523AB" w:rsidRDefault="00F74275" w:rsidP="008D5D5A">
            <w:pPr>
              <w:pStyle w:val="TableNheader"/>
            </w:pPr>
            <w:r w:rsidRPr="004523AB">
              <w:t>Background and purpose of the program</w:t>
            </w:r>
            <w:r w:rsidR="007D30B8" w:rsidRPr="004523AB">
              <w:t>.</w:t>
            </w:r>
          </w:p>
        </w:tc>
        <w:tc>
          <w:tcPr>
            <w:tcW w:w="7336" w:type="dxa"/>
          </w:tcPr>
          <w:p w14:paraId="4E3AE08A" w14:textId="77777777" w:rsidR="00D76733" w:rsidRPr="004523AB" w:rsidRDefault="00144EC4" w:rsidP="00D5597B">
            <w:pPr>
              <w:pStyle w:val="TableNText"/>
              <w:cnfStyle w:val="100000000000" w:firstRow="1" w:lastRow="0" w:firstColumn="0" w:lastColumn="0" w:oddVBand="0" w:evenVBand="0" w:oddHBand="0" w:evenHBand="0" w:firstRowFirstColumn="0" w:firstRowLastColumn="0" w:lastRowFirstColumn="0" w:lastRowLastColumn="0"/>
            </w:pPr>
            <w:r w:rsidRPr="004523AB">
              <w:t xml:space="preserve">The Australian Government invested $220 million in grants, over two years from 2022-23 to 2023-24, through the Strengthening Medicare – General Practice Grants Program (the Program), to support general practices. A one-off grant of either $25,000, $35,000, or $50,000 will be available to each participating general practice. The purpose of this program was to provide funding to general practices to expand patient access and support safe, and accessible, quality primary care. </w:t>
            </w:r>
          </w:p>
          <w:p w14:paraId="5162DEB0" w14:textId="77777777" w:rsidR="00413E8C" w:rsidRPr="004523AB" w:rsidRDefault="003F30E4" w:rsidP="00D5597B">
            <w:pPr>
              <w:pStyle w:val="TableNText"/>
              <w:cnfStyle w:val="100000000000" w:firstRow="1" w:lastRow="0" w:firstColumn="0" w:lastColumn="0" w:oddVBand="0" w:evenVBand="0" w:oddHBand="0" w:evenHBand="0" w:firstRowFirstColumn="0" w:firstRowLastColumn="0" w:lastRowFirstColumn="0" w:lastRowLastColumn="0"/>
            </w:pPr>
            <w:r w:rsidRPr="004523AB">
              <w:t>A single one-off grant was made available to each general practice or eligible ACCHO in any one or more of the three investment streams:</w:t>
            </w:r>
          </w:p>
          <w:p w14:paraId="5CD11A58" w14:textId="1131B5A7" w:rsidR="00684D96" w:rsidRPr="00D5597B" w:rsidRDefault="00684D96" w:rsidP="00D5597B">
            <w:pPr>
              <w:pStyle w:val="TableNBullet"/>
              <w:cnfStyle w:val="100000000000" w:firstRow="1" w:lastRow="0" w:firstColumn="0" w:lastColumn="0" w:oddVBand="0" w:evenVBand="0" w:oddHBand="0" w:evenHBand="0" w:firstRowFirstColumn="0" w:firstRowLastColumn="0" w:lastRowFirstColumn="0" w:lastRowLastColumn="0"/>
            </w:pPr>
            <w:r w:rsidRPr="00D5597B">
              <w:rPr>
                <w:rStyle w:val="TableNTextStrongChar"/>
              </w:rPr>
              <w:t>Enhancing digital health capability</w:t>
            </w:r>
            <w:r w:rsidR="0061688F" w:rsidRPr="00D5597B">
              <w:t xml:space="preserve">: </w:t>
            </w:r>
            <w:r w:rsidR="00F82929" w:rsidRPr="00D5597B">
              <w:t>To fast-track the benefits of a more connected healthcare system in readiness to meet future standards.</w:t>
            </w:r>
          </w:p>
          <w:p w14:paraId="05673FF6" w14:textId="0362F887" w:rsidR="00684D96" w:rsidRPr="00D5597B" w:rsidRDefault="00684D96" w:rsidP="00D5597B">
            <w:pPr>
              <w:pStyle w:val="TableNBullet"/>
              <w:cnfStyle w:val="100000000000" w:firstRow="1" w:lastRow="0" w:firstColumn="0" w:lastColumn="0" w:oddVBand="0" w:evenVBand="0" w:oddHBand="0" w:evenHBand="0" w:firstRowFirstColumn="0" w:firstRowLastColumn="0" w:lastRowFirstColumn="0" w:lastRowLastColumn="0"/>
            </w:pPr>
            <w:r w:rsidRPr="00D5597B">
              <w:rPr>
                <w:rStyle w:val="TableNTextStrongChar"/>
              </w:rPr>
              <w:t>Upgrading infection prevention and control arrangements</w:t>
            </w:r>
            <w:r w:rsidR="001D5AEE" w:rsidRPr="00D5597B">
              <w:t xml:space="preserve">: </w:t>
            </w:r>
            <w:r w:rsidR="001D5AEE" w:rsidRPr="00D5597B">
              <w:rPr>
                <w:rFonts w:eastAsiaTheme="minorEastAsia"/>
              </w:rPr>
              <w:t>To support the safe, face to face assessment of patients with symptoms of potentially infections respiratory diseases (e.g. COVID, influenza).</w:t>
            </w:r>
          </w:p>
          <w:p w14:paraId="655C8A5A" w14:textId="6814E56B" w:rsidR="003F30E4" w:rsidRPr="004523AB" w:rsidRDefault="0061688F" w:rsidP="00D5597B">
            <w:pPr>
              <w:pStyle w:val="TableNBullet"/>
              <w:cnfStyle w:val="100000000000" w:firstRow="1" w:lastRow="0" w:firstColumn="0" w:lastColumn="0" w:oddVBand="0" w:evenVBand="0" w:oddHBand="0" w:evenHBand="0" w:firstRowFirstColumn="0" w:firstRowLastColumn="0" w:lastRowFirstColumn="0" w:lastRowLastColumn="0"/>
            </w:pPr>
            <w:r w:rsidRPr="00D5597B">
              <w:rPr>
                <w:rStyle w:val="TableNTextStrongChar"/>
              </w:rPr>
              <w:t>Maintaining or achieving accreditation</w:t>
            </w:r>
            <w:r w:rsidR="001D5AEE" w:rsidRPr="00D5597B">
              <w:t xml:space="preserve">: </w:t>
            </w:r>
            <w:r w:rsidR="00EA20FC" w:rsidRPr="00D5597B">
              <w:t>Against the Royal Australian College of General Practitioners (RACGP) Standards for General Practice (5th edition), under the General Practice Accreditation Scheme- to promote quality and safety in general practice.</w:t>
            </w:r>
          </w:p>
        </w:tc>
      </w:tr>
      <w:tr w:rsidR="00D76733" w:rsidRPr="004523AB" w14:paraId="620E3C57" w14:textId="77777777" w:rsidTr="00EA20FC">
        <w:tc>
          <w:tcPr>
            <w:cnfStyle w:val="001000000000" w:firstRow="0" w:lastRow="0" w:firstColumn="1" w:lastColumn="0" w:oddVBand="0" w:evenVBand="0" w:oddHBand="0" w:evenHBand="0" w:firstRowFirstColumn="0" w:firstRowLastColumn="0" w:lastRowFirstColumn="0" w:lastRowLastColumn="0"/>
            <w:tcW w:w="1838" w:type="dxa"/>
          </w:tcPr>
          <w:p w14:paraId="3E539FA7" w14:textId="36792F7E" w:rsidR="00D76733" w:rsidRPr="004523AB" w:rsidRDefault="007D30B8" w:rsidP="008D5D5A">
            <w:pPr>
              <w:pStyle w:val="TableNheader"/>
            </w:pPr>
            <w:r w:rsidRPr="004523AB">
              <w:t>Who is eligible?</w:t>
            </w:r>
          </w:p>
        </w:tc>
        <w:tc>
          <w:tcPr>
            <w:tcW w:w="7336" w:type="dxa"/>
          </w:tcPr>
          <w:p w14:paraId="0C2FC0A3" w14:textId="77777777" w:rsidR="00C43924" w:rsidRPr="004523AB" w:rsidRDefault="00C43924" w:rsidP="00D5597B">
            <w:pPr>
              <w:pStyle w:val="TableNText"/>
              <w:cnfStyle w:val="000000000000" w:firstRow="0" w:lastRow="0" w:firstColumn="0" w:lastColumn="0" w:oddVBand="0" w:evenVBand="0" w:oddHBand="0" w:evenHBand="0" w:firstRowFirstColumn="0" w:firstRowLastColumn="0" w:lastRowFirstColumn="0" w:lastRowLastColumn="0"/>
            </w:pPr>
            <w:r w:rsidRPr="004523AB">
              <w:t>An open and operating general practice as per the RACGP definition for the purposes of practice accreditation against the Standards for General Practice, that meets:</w:t>
            </w:r>
          </w:p>
          <w:p w14:paraId="1EFDF021" w14:textId="40C6B6E9" w:rsidR="00C43924" w:rsidRPr="004523AB" w:rsidRDefault="00C43924" w:rsidP="00D5597B">
            <w:pPr>
              <w:pStyle w:val="TableNText"/>
              <w:cnfStyle w:val="000000000000" w:firstRow="0" w:lastRow="0" w:firstColumn="0" w:lastColumn="0" w:oddVBand="0" w:evenVBand="0" w:oddHBand="0" w:evenHBand="0" w:firstRowFirstColumn="0" w:firstRowLastColumn="0" w:lastRowFirstColumn="0" w:lastRowLastColumn="0"/>
            </w:pPr>
            <w:proofErr w:type="spellStart"/>
            <w:r w:rsidRPr="004523AB">
              <w:t>Thre</w:t>
            </w:r>
            <w:proofErr w:type="spellEnd"/>
            <w:r w:rsidRPr="004523AB">
              <w:t xml:space="preserve"> core criteria for practices:</w:t>
            </w:r>
          </w:p>
          <w:p w14:paraId="0EF1DD56" w14:textId="77777777" w:rsidR="00C43924" w:rsidRPr="00314541" w:rsidRDefault="00C43924" w:rsidP="00314541">
            <w:pPr>
              <w:pStyle w:val="TableNBullet"/>
              <w:cnfStyle w:val="000000000000" w:firstRow="0" w:lastRow="0" w:firstColumn="0" w:lastColumn="0" w:oddVBand="0" w:evenVBand="0" w:oddHBand="0" w:evenHBand="0" w:firstRowFirstColumn="0" w:firstRowLastColumn="0" w:lastRowFirstColumn="0" w:lastRowLastColumn="0"/>
            </w:pPr>
            <w:r w:rsidRPr="004523AB">
              <w:rPr>
                <w:rFonts w:eastAsiaTheme="minorEastAsia"/>
              </w:rPr>
              <w:t xml:space="preserve">The practice operates within the model of general practice described in the RACGP’s definition of </w:t>
            </w:r>
            <w:r w:rsidRPr="00314541">
              <w:rPr>
                <w:rFonts w:eastAsiaTheme="minorEastAsia"/>
              </w:rPr>
              <w:t>general practice.</w:t>
            </w:r>
          </w:p>
          <w:p w14:paraId="6FC4DA52" w14:textId="77777777" w:rsidR="00C43924" w:rsidRPr="00314541" w:rsidRDefault="00C43924" w:rsidP="00314541">
            <w:pPr>
              <w:pStyle w:val="TableNBullet"/>
              <w:cnfStyle w:val="000000000000" w:firstRow="0" w:lastRow="0" w:firstColumn="0" w:lastColumn="0" w:oddVBand="0" w:evenVBand="0" w:oddHBand="0" w:evenHBand="0" w:firstRowFirstColumn="0" w:firstRowLastColumn="0" w:lastRowFirstColumn="0" w:lastRowLastColumn="0"/>
            </w:pPr>
            <w:r w:rsidRPr="00314541">
              <w:rPr>
                <w:rFonts w:eastAsiaTheme="minorEastAsia"/>
              </w:rPr>
              <w:t>General practitioner services are predominately of a general practice nature.</w:t>
            </w:r>
          </w:p>
          <w:p w14:paraId="6DF870D3" w14:textId="77777777" w:rsidR="00C43924" w:rsidRPr="004523AB" w:rsidRDefault="00C43924" w:rsidP="00314541">
            <w:pPr>
              <w:pStyle w:val="TableNBullet"/>
              <w:cnfStyle w:val="000000000000" w:firstRow="0" w:lastRow="0" w:firstColumn="0" w:lastColumn="0" w:oddVBand="0" w:evenVBand="0" w:oddHBand="0" w:evenHBand="0" w:firstRowFirstColumn="0" w:firstRowLastColumn="0" w:lastRowFirstColumn="0" w:lastRowLastColumn="0"/>
            </w:pPr>
            <w:r w:rsidRPr="00314541">
              <w:rPr>
                <w:rFonts w:eastAsiaTheme="minorEastAsia"/>
              </w:rPr>
              <w:t xml:space="preserve">The practice </w:t>
            </w:r>
            <w:proofErr w:type="gramStart"/>
            <w:r w:rsidRPr="00314541">
              <w:rPr>
                <w:rFonts w:eastAsiaTheme="minorEastAsia"/>
              </w:rPr>
              <w:t>is capable of meeting</w:t>
            </w:r>
            <w:proofErr w:type="gramEnd"/>
            <w:r w:rsidRPr="00314541">
              <w:rPr>
                <w:rFonts w:eastAsiaTheme="minorEastAsia"/>
              </w:rPr>
              <w:t xml:space="preserve"> all mandatory indicators in the RACGP Standards for General</w:t>
            </w:r>
            <w:r w:rsidRPr="004523AB">
              <w:rPr>
                <w:rFonts w:eastAsiaTheme="minorEastAsia"/>
              </w:rPr>
              <w:t xml:space="preserve"> Practice (5</w:t>
            </w:r>
            <w:r w:rsidRPr="004523AB">
              <w:rPr>
                <w:rFonts w:eastAsiaTheme="minorEastAsia"/>
                <w:vertAlign w:val="superscript"/>
              </w:rPr>
              <w:t>th</w:t>
            </w:r>
            <w:r w:rsidRPr="004523AB">
              <w:rPr>
                <w:rFonts w:eastAsiaTheme="minorEastAsia"/>
              </w:rPr>
              <w:t xml:space="preserve"> Edition).</w:t>
            </w:r>
          </w:p>
          <w:p w14:paraId="6F0D445D" w14:textId="4E5206BC" w:rsidR="00C43924" w:rsidRPr="004523AB" w:rsidRDefault="00C43924" w:rsidP="009B45EB">
            <w:pPr>
              <w:cnfStyle w:val="000000000000" w:firstRow="0" w:lastRow="0" w:firstColumn="0" w:lastColumn="0" w:oddVBand="0" w:evenVBand="0" w:oddHBand="0" w:evenHBand="0" w:firstRowFirstColumn="0" w:firstRowLastColumn="0" w:lastRowFirstColumn="0" w:lastRowLastColumn="0"/>
            </w:pPr>
            <w:r w:rsidRPr="004523AB">
              <w:t>Criteria for ACCHOs:</w:t>
            </w:r>
          </w:p>
          <w:p w14:paraId="29209559" w14:textId="4D5CAA91" w:rsidR="00D76733" w:rsidRPr="004523AB" w:rsidRDefault="00C43924" w:rsidP="00323C65">
            <w:pPr>
              <w:pStyle w:val="TableNBullet"/>
              <w:cnfStyle w:val="000000000000" w:firstRow="0" w:lastRow="0" w:firstColumn="0" w:lastColumn="0" w:oddVBand="0" w:evenVBand="0" w:oddHBand="0" w:evenHBand="0" w:firstRowFirstColumn="0" w:firstRowLastColumn="0" w:lastRowFirstColumn="0" w:lastRowLastColumn="0"/>
            </w:pPr>
            <w:r w:rsidRPr="004523AB">
              <w:t xml:space="preserve">All ACCHOs are eligible </w:t>
            </w:r>
            <w:r w:rsidRPr="00314541">
              <w:t>for this funding</w:t>
            </w:r>
          </w:p>
        </w:tc>
      </w:tr>
      <w:tr w:rsidR="00D76733" w:rsidRPr="004523AB" w14:paraId="52441917" w14:textId="77777777" w:rsidTr="00EA20FC">
        <w:tc>
          <w:tcPr>
            <w:cnfStyle w:val="001000000000" w:firstRow="0" w:lastRow="0" w:firstColumn="1" w:lastColumn="0" w:oddVBand="0" w:evenVBand="0" w:oddHBand="0" w:evenHBand="0" w:firstRowFirstColumn="0" w:firstRowLastColumn="0" w:lastRowFirstColumn="0" w:lastRowLastColumn="0"/>
            <w:tcW w:w="1838" w:type="dxa"/>
          </w:tcPr>
          <w:p w14:paraId="572DBA9C" w14:textId="00FF1714" w:rsidR="00D76733" w:rsidRPr="004523AB" w:rsidRDefault="00322921" w:rsidP="008D5D5A">
            <w:pPr>
              <w:pStyle w:val="TableNheader"/>
            </w:pPr>
            <w:r w:rsidRPr="004523AB">
              <w:t>What are the medium</w:t>
            </w:r>
            <w:r w:rsidR="00210D28" w:rsidRPr="004523AB">
              <w:t xml:space="preserve">-term </w:t>
            </w:r>
            <w:r w:rsidR="00210D28" w:rsidRPr="004523AB">
              <w:lastRenderedPageBreak/>
              <w:t>outcomes of the program?</w:t>
            </w:r>
          </w:p>
        </w:tc>
        <w:tc>
          <w:tcPr>
            <w:tcW w:w="7336" w:type="dxa"/>
          </w:tcPr>
          <w:p w14:paraId="4A901023" w14:textId="77777777" w:rsidR="00FE5C15" w:rsidRPr="004523AB" w:rsidRDefault="00FE5C15" w:rsidP="00323C65">
            <w:pPr>
              <w:pStyle w:val="TableNBullet"/>
              <w:cnfStyle w:val="000000000000" w:firstRow="0" w:lastRow="0" w:firstColumn="0" w:lastColumn="0" w:oddVBand="0" w:evenVBand="0" w:oddHBand="0" w:evenHBand="0" w:firstRowFirstColumn="0" w:firstRowLastColumn="0" w:lastRowFirstColumn="0" w:lastRowLastColumn="0"/>
            </w:pPr>
            <w:r w:rsidRPr="004523AB">
              <w:lastRenderedPageBreak/>
              <w:t>Expanded patient access to and improved general practice services.</w:t>
            </w:r>
          </w:p>
          <w:p w14:paraId="523B3D08" w14:textId="77777777" w:rsidR="00FE5C15" w:rsidRPr="004523AB" w:rsidRDefault="00FE5C15" w:rsidP="00323C65">
            <w:pPr>
              <w:pStyle w:val="TableNBullet"/>
              <w:cnfStyle w:val="000000000000" w:firstRow="0" w:lastRow="0" w:firstColumn="0" w:lastColumn="0" w:oddVBand="0" w:evenVBand="0" w:oddHBand="0" w:evenHBand="0" w:firstRowFirstColumn="0" w:firstRowLastColumn="0" w:lastRowFirstColumn="0" w:lastRowLastColumn="0"/>
            </w:pPr>
            <w:r w:rsidRPr="004523AB">
              <w:t>General practices supported to increase quality of primary health care services in local regions.</w:t>
            </w:r>
          </w:p>
          <w:p w14:paraId="71FF1C45" w14:textId="77777777" w:rsidR="00704739" w:rsidRPr="004523AB" w:rsidRDefault="00704739" w:rsidP="00323C65">
            <w:pPr>
              <w:pStyle w:val="TableNBullet"/>
              <w:cnfStyle w:val="000000000000" w:firstRow="0" w:lastRow="0" w:firstColumn="0" w:lastColumn="0" w:oddVBand="0" w:evenVBand="0" w:oddHBand="0" w:evenHBand="0" w:firstRowFirstColumn="0" w:firstRowLastColumn="0" w:lastRowFirstColumn="0" w:lastRowLastColumn="0"/>
            </w:pPr>
            <w:r w:rsidRPr="004523AB">
              <w:lastRenderedPageBreak/>
              <w:t>Improved, secure access and sharing of patient information across health systems.</w:t>
            </w:r>
          </w:p>
          <w:p w14:paraId="105CC6D2" w14:textId="2EB33B06" w:rsidR="00D76733" w:rsidRPr="004523AB" w:rsidRDefault="000B43E1" w:rsidP="00323C65">
            <w:pPr>
              <w:pStyle w:val="TableNBullet"/>
              <w:cnfStyle w:val="000000000000" w:firstRow="0" w:lastRow="0" w:firstColumn="0" w:lastColumn="0" w:oddVBand="0" w:evenVBand="0" w:oddHBand="0" w:evenHBand="0" w:firstRowFirstColumn="0" w:firstRowLastColumn="0" w:lastRowFirstColumn="0" w:lastRowLastColumn="0"/>
            </w:pPr>
            <w:r w:rsidRPr="004523AB">
              <w:t xml:space="preserve">Improved quality and safety in health service through increased proportions of practices accredited against </w:t>
            </w:r>
            <w:r w:rsidRPr="004523AB">
              <w:br/>
              <w:t>RACGP Standards.</w:t>
            </w:r>
          </w:p>
        </w:tc>
      </w:tr>
    </w:tbl>
    <w:p w14:paraId="6747C99C" w14:textId="77777777" w:rsidR="006C75E8" w:rsidRPr="00314541" w:rsidRDefault="006C75E8" w:rsidP="00314541">
      <w:pPr>
        <w:rPr>
          <w:rStyle w:val="Strong"/>
        </w:rPr>
      </w:pPr>
      <w:r w:rsidRPr="00314541">
        <w:rPr>
          <w:rStyle w:val="Strong"/>
        </w:rPr>
        <w:lastRenderedPageBreak/>
        <w:t>The Program was designed in late 2022 and planned for delivery from April 2023 to July 2024</w:t>
      </w:r>
    </w:p>
    <w:p w14:paraId="480E63C7" w14:textId="2AF7AF48" w:rsidR="006C75E8" w:rsidRPr="004523AB" w:rsidRDefault="00D902ED" w:rsidP="006C75E8">
      <w:pPr>
        <w:rPr>
          <w:rFonts w:asciiTheme="minorHAnsi" w:hAnsiTheme="minorHAnsi" w:cstheme="minorHAnsi"/>
        </w:rPr>
      </w:pPr>
      <w:r w:rsidRPr="004523AB">
        <w:rPr>
          <w:rFonts w:asciiTheme="minorHAnsi" w:hAnsiTheme="minorHAnsi" w:cstheme="minorHAnsi"/>
        </w:rPr>
        <w:fldChar w:fldCharType="begin"/>
      </w:r>
      <w:r w:rsidRPr="004523AB">
        <w:rPr>
          <w:rFonts w:asciiTheme="minorHAnsi" w:hAnsiTheme="minorHAnsi" w:cstheme="minorHAnsi"/>
        </w:rPr>
        <w:instrText xml:space="preserve"> REF _Ref184907168 \h </w:instrText>
      </w:r>
      <w:r w:rsidR="004523AB" w:rsidRPr="004523AB">
        <w:rPr>
          <w:rFonts w:asciiTheme="minorHAnsi" w:hAnsiTheme="minorHAnsi" w:cstheme="minorHAnsi"/>
        </w:rPr>
        <w:instrText xml:space="preserve"> \* MERGEFORMAT </w:instrText>
      </w:r>
      <w:r w:rsidRPr="004523AB">
        <w:rPr>
          <w:rFonts w:asciiTheme="minorHAnsi" w:hAnsiTheme="minorHAnsi" w:cstheme="minorHAnsi"/>
        </w:rPr>
      </w:r>
      <w:r w:rsidRPr="004523AB">
        <w:rPr>
          <w:rFonts w:asciiTheme="minorHAnsi" w:hAnsiTheme="minorHAnsi" w:cstheme="minorHAnsi"/>
        </w:rPr>
        <w:fldChar w:fldCharType="separate"/>
      </w:r>
      <w:r w:rsidR="00B96E50" w:rsidRPr="004523AB">
        <w:t xml:space="preserve">Table </w:t>
      </w:r>
      <w:r w:rsidR="00B96E50">
        <w:rPr>
          <w:noProof/>
        </w:rPr>
        <w:t>5</w:t>
      </w:r>
      <w:r w:rsidRPr="004523AB">
        <w:rPr>
          <w:rFonts w:asciiTheme="minorHAnsi" w:hAnsiTheme="minorHAnsi" w:cstheme="minorHAnsi"/>
        </w:rPr>
        <w:fldChar w:fldCharType="end"/>
      </w:r>
      <w:r w:rsidRPr="004523AB">
        <w:rPr>
          <w:rFonts w:asciiTheme="minorHAnsi" w:hAnsiTheme="minorHAnsi" w:cstheme="minorHAnsi"/>
        </w:rPr>
        <w:t xml:space="preserve"> and </w:t>
      </w:r>
      <w:r w:rsidRPr="004523AB">
        <w:rPr>
          <w:rFonts w:asciiTheme="minorHAnsi" w:hAnsiTheme="minorHAnsi" w:cstheme="minorHAnsi"/>
        </w:rPr>
        <w:fldChar w:fldCharType="begin"/>
      </w:r>
      <w:r w:rsidRPr="004523AB">
        <w:rPr>
          <w:rFonts w:asciiTheme="minorHAnsi" w:hAnsiTheme="minorHAnsi" w:cstheme="minorHAnsi"/>
        </w:rPr>
        <w:instrText xml:space="preserve"> REF _Ref184907157 \h </w:instrText>
      </w:r>
      <w:r w:rsidR="004523AB" w:rsidRPr="004523AB">
        <w:rPr>
          <w:rFonts w:asciiTheme="minorHAnsi" w:hAnsiTheme="minorHAnsi" w:cstheme="minorHAnsi"/>
        </w:rPr>
        <w:instrText xml:space="preserve"> \* MERGEFORMAT </w:instrText>
      </w:r>
      <w:r w:rsidRPr="004523AB">
        <w:rPr>
          <w:rFonts w:asciiTheme="minorHAnsi" w:hAnsiTheme="minorHAnsi" w:cstheme="minorHAnsi"/>
        </w:rPr>
      </w:r>
      <w:r w:rsidRPr="004523AB">
        <w:rPr>
          <w:rFonts w:asciiTheme="minorHAnsi" w:hAnsiTheme="minorHAnsi" w:cstheme="minorHAnsi"/>
        </w:rPr>
        <w:fldChar w:fldCharType="separate"/>
      </w:r>
      <w:r w:rsidR="00B96E50" w:rsidRPr="004523AB">
        <w:t xml:space="preserve">Table </w:t>
      </w:r>
      <w:r w:rsidR="00B96E50">
        <w:rPr>
          <w:noProof/>
        </w:rPr>
        <w:t>6</w:t>
      </w:r>
      <w:r w:rsidRPr="004523AB">
        <w:rPr>
          <w:rFonts w:asciiTheme="minorHAnsi" w:hAnsiTheme="minorHAnsi" w:cstheme="minorHAnsi"/>
        </w:rPr>
        <w:fldChar w:fldCharType="end"/>
      </w:r>
      <w:r w:rsidR="006C75E8" w:rsidRPr="004523AB">
        <w:rPr>
          <w:rFonts w:asciiTheme="minorHAnsi" w:hAnsiTheme="minorHAnsi" w:cstheme="minorHAnsi"/>
        </w:rPr>
        <w:t xml:space="preserve"> shows a high-level timeline of the Program from conception in 2022 to conclusion in 2024. The timeline was developed drawing on key dates from Program documentation and with input from key stakeholders. </w:t>
      </w:r>
    </w:p>
    <w:p w14:paraId="6B1697AA" w14:textId="77777777" w:rsidR="006C75E8" w:rsidRPr="004523AB" w:rsidRDefault="006C75E8" w:rsidP="006C75E8">
      <w:pPr>
        <w:rPr>
          <w:rFonts w:asciiTheme="minorHAnsi" w:hAnsiTheme="minorHAnsi" w:cstheme="minorHAnsi"/>
        </w:rPr>
      </w:pPr>
      <w:r w:rsidRPr="004523AB">
        <w:rPr>
          <w:rFonts w:asciiTheme="minorHAnsi" w:hAnsiTheme="minorHAnsi" w:cstheme="minorHAnsi"/>
        </w:rPr>
        <w:t xml:space="preserve">The timeline shows the key dates and activities along the Program’s lifespan as well as key stakeholders and their roles and responsibilities across the Program stages. </w:t>
      </w:r>
    </w:p>
    <w:p w14:paraId="65368ECE" w14:textId="224C74E2" w:rsidR="00E9472B" w:rsidRPr="00314541" w:rsidRDefault="006C75E8">
      <w:pPr>
        <w:spacing w:after="165" w:line="259" w:lineRule="auto"/>
      </w:pPr>
      <w:r w:rsidRPr="004523AB">
        <w:rPr>
          <w:rFonts w:asciiTheme="minorHAnsi" w:hAnsiTheme="minorHAnsi" w:cstheme="minorHAnsi"/>
        </w:rPr>
        <w:t xml:space="preserve">The grant agreement between PHNs and practices had an activity end date of 31 July 2024. Extensions were provided to some practices with a 30 August 2024 deadline for expenditure, and submission of Financial Acquittal Reports (FARs) by 1 September 2024. Self-evaluation surveys were open until 23 September </w:t>
      </w:r>
      <w:r w:rsidRPr="00314541">
        <w:t>2024.</w:t>
      </w:r>
    </w:p>
    <w:p w14:paraId="71FAC033" w14:textId="6606F6BF" w:rsidR="00D902ED" w:rsidRPr="004523AB" w:rsidRDefault="00D902ED" w:rsidP="00D902ED">
      <w:pPr>
        <w:pStyle w:val="Caption"/>
      </w:pPr>
      <w:bookmarkStart w:id="15" w:name="_Ref184907168"/>
      <w:r w:rsidRPr="004523AB">
        <w:t xml:space="preserve">Table </w:t>
      </w:r>
      <w:r w:rsidRPr="004523AB">
        <w:fldChar w:fldCharType="begin"/>
      </w:r>
      <w:r w:rsidRPr="004523AB">
        <w:instrText xml:space="preserve"> SEQ Table \* ARABIC </w:instrText>
      </w:r>
      <w:r w:rsidRPr="004523AB">
        <w:fldChar w:fldCharType="separate"/>
      </w:r>
      <w:r w:rsidR="00B96E50">
        <w:rPr>
          <w:noProof/>
        </w:rPr>
        <w:t>5</w:t>
      </w:r>
      <w:r w:rsidRPr="004523AB">
        <w:fldChar w:fldCharType="end"/>
      </w:r>
      <w:bookmarkEnd w:id="15"/>
      <w:r w:rsidRPr="004523AB">
        <w:t xml:space="preserve"> | The Program timeline</w:t>
      </w:r>
    </w:p>
    <w:tbl>
      <w:tblPr>
        <w:tblStyle w:val="AccessibleNousTable"/>
        <w:tblW w:w="0" w:type="auto"/>
        <w:tblLook w:val="04A0" w:firstRow="1" w:lastRow="0" w:firstColumn="1" w:lastColumn="0" w:noHBand="0" w:noVBand="1"/>
      </w:tblPr>
      <w:tblGrid>
        <w:gridCol w:w="2479"/>
        <w:gridCol w:w="3580"/>
        <w:gridCol w:w="2861"/>
      </w:tblGrid>
      <w:tr w:rsidR="00D902ED" w:rsidRPr="004523AB" w14:paraId="228647E3" w14:textId="77777777" w:rsidTr="00D902ED">
        <w:trPr>
          <w:cnfStyle w:val="100000000000" w:firstRow="1" w:lastRow="0" w:firstColumn="0" w:lastColumn="0" w:oddVBand="0" w:evenVBand="0" w:oddHBand="0" w:evenHBand="0" w:firstRowFirstColumn="0" w:firstRowLastColumn="0" w:lastRowFirstColumn="0" w:lastRowLastColumn="0"/>
          <w:tblHeader/>
        </w:trPr>
        <w:tc>
          <w:tcPr>
            <w:tcW w:w="2479" w:type="dxa"/>
          </w:tcPr>
          <w:p w14:paraId="6AA80499" w14:textId="77777777" w:rsidR="00D902ED" w:rsidRPr="004523AB" w:rsidRDefault="00D902ED" w:rsidP="00D902ED">
            <w:pPr>
              <w:pStyle w:val="TableNheader"/>
              <w:rPr>
                <w:lang w:eastAsia="en-AU"/>
              </w:rPr>
            </w:pPr>
            <w:r w:rsidRPr="004523AB">
              <w:rPr>
                <w:lang w:eastAsia="en-AU"/>
              </w:rPr>
              <w:t>Date</w:t>
            </w:r>
          </w:p>
        </w:tc>
        <w:tc>
          <w:tcPr>
            <w:tcW w:w="3580" w:type="dxa"/>
          </w:tcPr>
          <w:p w14:paraId="4AC54DC7" w14:textId="77777777" w:rsidR="00D902ED" w:rsidRPr="004523AB" w:rsidRDefault="00D902ED" w:rsidP="00D902ED">
            <w:pPr>
              <w:pStyle w:val="TableNheader"/>
              <w:rPr>
                <w:lang w:eastAsia="en-AU"/>
              </w:rPr>
            </w:pPr>
            <w:r w:rsidRPr="004523AB">
              <w:rPr>
                <w:lang w:eastAsia="en-AU"/>
              </w:rPr>
              <w:t>Activity</w:t>
            </w:r>
          </w:p>
        </w:tc>
        <w:tc>
          <w:tcPr>
            <w:tcW w:w="2861" w:type="dxa"/>
          </w:tcPr>
          <w:p w14:paraId="0E45B03A" w14:textId="77777777" w:rsidR="00D902ED" w:rsidRPr="004523AB" w:rsidRDefault="00D902ED" w:rsidP="00D902ED">
            <w:pPr>
              <w:pStyle w:val="TableNheader"/>
              <w:rPr>
                <w:lang w:eastAsia="en-AU"/>
              </w:rPr>
            </w:pPr>
            <w:r w:rsidRPr="004523AB">
              <w:rPr>
                <w:lang w:eastAsia="en-AU"/>
              </w:rPr>
              <w:t>Relevant stakeholder</w:t>
            </w:r>
          </w:p>
        </w:tc>
      </w:tr>
      <w:tr w:rsidR="00D902ED" w:rsidRPr="004523AB" w14:paraId="73557BA2" w14:textId="77777777" w:rsidTr="00D902ED">
        <w:tc>
          <w:tcPr>
            <w:tcW w:w="2479" w:type="dxa"/>
          </w:tcPr>
          <w:p w14:paraId="14808664" w14:textId="77777777" w:rsidR="00D902ED" w:rsidRPr="00D5597B" w:rsidRDefault="00D902ED" w:rsidP="00D5597B">
            <w:pPr>
              <w:pStyle w:val="TableNText"/>
            </w:pPr>
            <w:r w:rsidRPr="00D5597B">
              <w:t>25 October 2022</w:t>
            </w:r>
          </w:p>
        </w:tc>
        <w:tc>
          <w:tcPr>
            <w:tcW w:w="3580" w:type="dxa"/>
          </w:tcPr>
          <w:p w14:paraId="21B06347" w14:textId="77777777" w:rsidR="00D902ED" w:rsidRPr="00D5597B" w:rsidRDefault="00D902ED" w:rsidP="00D5597B">
            <w:pPr>
              <w:pStyle w:val="TableNText"/>
            </w:pPr>
            <w:r w:rsidRPr="00D5597B">
              <w:t>Program approved</w:t>
            </w:r>
          </w:p>
        </w:tc>
        <w:tc>
          <w:tcPr>
            <w:tcW w:w="2861" w:type="dxa"/>
          </w:tcPr>
          <w:p w14:paraId="06DD5012" w14:textId="77777777" w:rsidR="00D902ED" w:rsidRPr="00D5597B" w:rsidRDefault="00D902ED" w:rsidP="00D5597B">
            <w:pPr>
              <w:pStyle w:val="TableNText"/>
            </w:pPr>
            <w:r w:rsidRPr="00D5597B">
              <w:t>The Department of Health and Aged Care</w:t>
            </w:r>
          </w:p>
        </w:tc>
      </w:tr>
      <w:tr w:rsidR="00D902ED" w:rsidRPr="004523AB" w14:paraId="2D7AC688" w14:textId="77777777" w:rsidTr="00D902ED">
        <w:tc>
          <w:tcPr>
            <w:tcW w:w="2479" w:type="dxa"/>
          </w:tcPr>
          <w:p w14:paraId="3174DF6D" w14:textId="77777777" w:rsidR="00D902ED" w:rsidRPr="00D5597B" w:rsidRDefault="00D902ED" w:rsidP="00D5597B">
            <w:pPr>
              <w:pStyle w:val="TableNText"/>
            </w:pPr>
            <w:r w:rsidRPr="00D5597B">
              <w:t>November 2022</w:t>
            </w:r>
          </w:p>
        </w:tc>
        <w:tc>
          <w:tcPr>
            <w:tcW w:w="3580" w:type="dxa"/>
          </w:tcPr>
          <w:p w14:paraId="6BAC2FE3" w14:textId="77777777" w:rsidR="00D902ED" w:rsidRPr="00D5597B" w:rsidRDefault="00D902ED" w:rsidP="00D5597B">
            <w:pPr>
              <w:pStyle w:val="TableNText"/>
            </w:pPr>
            <w:r w:rsidRPr="00D5597B">
              <w:t>External sector consultation on program design with peak bodies including RACGP</w:t>
            </w:r>
          </w:p>
        </w:tc>
        <w:tc>
          <w:tcPr>
            <w:tcW w:w="2861" w:type="dxa"/>
          </w:tcPr>
          <w:p w14:paraId="47B608C2" w14:textId="77777777" w:rsidR="00D902ED" w:rsidRPr="00D5597B" w:rsidRDefault="00D902ED" w:rsidP="00D5597B">
            <w:pPr>
              <w:pStyle w:val="TableNText"/>
            </w:pPr>
            <w:r w:rsidRPr="00D5597B">
              <w:t>The Department of Health and Aged Care</w:t>
            </w:r>
          </w:p>
        </w:tc>
      </w:tr>
      <w:tr w:rsidR="00D902ED" w:rsidRPr="004523AB" w14:paraId="340D6FEF" w14:textId="77777777" w:rsidTr="00D902ED">
        <w:tc>
          <w:tcPr>
            <w:tcW w:w="2479" w:type="dxa"/>
          </w:tcPr>
          <w:p w14:paraId="5A1F10E4" w14:textId="77777777" w:rsidR="00D902ED" w:rsidRPr="00D5597B" w:rsidRDefault="00D902ED" w:rsidP="00D5597B">
            <w:pPr>
              <w:pStyle w:val="TableNText"/>
            </w:pPr>
            <w:r w:rsidRPr="00D5597B">
              <w:t>November 2022</w:t>
            </w:r>
          </w:p>
        </w:tc>
        <w:tc>
          <w:tcPr>
            <w:tcW w:w="3580" w:type="dxa"/>
          </w:tcPr>
          <w:p w14:paraId="74D7F196" w14:textId="77777777" w:rsidR="00D902ED" w:rsidRPr="00D5597B" w:rsidRDefault="00D902ED" w:rsidP="00D5597B">
            <w:pPr>
              <w:pStyle w:val="TableNText"/>
            </w:pPr>
            <w:r w:rsidRPr="00D5597B">
              <w:t xml:space="preserve">Small group of </w:t>
            </w:r>
            <w:proofErr w:type="gramStart"/>
            <w:r w:rsidRPr="00D5597B">
              <w:t>PHN</w:t>
            </w:r>
            <w:proofErr w:type="gramEnd"/>
            <w:r w:rsidRPr="00D5597B">
              <w:t xml:space="preserve"> CEOs engaged by the Department to discuss implementation</w:t>
            </w:r>
          </w:p>
        </w:tc>
        <w:tc>
          <w:tcPr>
            <w:tcW w:w="2861" w:type="dxa"/>
          </w:tcPr>
          <w:p w14:paraId="1B5C03E0" w14:textId="77777777" w:rsidR="00D902ED" w:rsidRPr="00D5597B" w:rsidRDefault="00D902ED" w:rsidP="00D5597B">
            <w:pPr>
              <w:pStyle w:val="TableNText"/>
            </w:pPr>
            <w:r w:rsidRPr="00D5597B">
              <w:t>PHNs</w:t>
            </w:r>
          </w:p>
        </w:tc>
      </w:tr>
      <w:tr w:rsidR="00D902ED" w:rsidRPr="004523AB" w14:paraId="47D28F91" w14:textId="77777777" w:rsidTr="00D902ED">
        <w:tc>
          <w:tcPr>
            <w:tcW w:w="2479" w:type="dxa"/>
          </w:tcPr>
          <w:p w14:paraId="028BE936" w14:textId="77777777" w:rsidR="00D902ED" w:rsidRPr="00D5597B" w:rsidRDefault="00D902ED" w:rsidP="00D5597B">
            <w:pPr>
              <w:pStyle w:val="TableNText"/>
            </w:pPr>
            <w:r w:rsidRPr="00D5597B">
              <w:t>22 December 2022</w:t>
            </w:r>
          </w:p>
        </w:tc>
        <w:tc>
          <w:tcPr>
            <w:tcW w:w="3580" w:type="dxa"/>
          </w:tcPr>
          <w:p w14:paraId="4C7E77BC" w14:textId="77777777" w:rsidR="00D902ED" w:rsidRPr="00D5597B" w:rsidRDefault="00D902ED" w:rsidP="00D5597B">
            <w:pPr>
              <w:pStyle w:val="TableNText"/>
            </w:pPr>
            <w:r w:rsidRPr="00D5597B">
              <w:t>Program guidelines approved</w:t>
            </w:r>
          </w:p>
        </w:tc>
        <w:tc>
          <w:tcPr>
            <w:tcW w:w="2861" w:type="dxa"/>
          </w:tcPr>
          <w:p w14:paraId="2AC44D34" w14:textId="77777777" w:rsidR="00D902ED" w:rsidRPr="00D5597B" w:rsidRDefault="00D902ED" w:rsidP="00D5597B">
            <w:pPr>
              <w:pStyle w:val="TableNText"/>
            </w:pPr>
            <w:r w:rsidRPr="00D5597B">
              <w:t>The Department of Health and Aged Care</w:t>
            </w:r>
          </w:p>
        </w:tc>
      </w:tr>
      <w:tr w:rsidR="00D902ED" w:rsidRPr="004523AB" w14:paraId="38DE50A0" w14:textId="77777777" w:rsidTr="00D902ED">
        <w:tc>
          <w:tcPr>
            <w:tcW w:w="2479" w:type="dxa"/>
          </w:tcPr>
          <w:p w14:paraId="73DA990C" w14:textId="77777777" w:rsidR="00D902ED" w:rsidRPr="00D5597B" w:rsidRDefault="00D902ED" w:rsidP="00D5597B">
            <w:pPr>
              <w:pStyle w:val="TableNText"/>
            </w:pPr>
            <w:r w:rsidRPr="00D5597B">
              <w:t>18 January 2023</w:t>
            </w:r>
          </w:p>
        </w:tc>
        <w:tc>
          <w:tcPr>
            <w:tcW w:w="3580" w:type="dxa"/>
          </w:tcPr>
          <w:p w14:paraId="242E465D" w14:textId="77777777" w:rsidR="00D902ED" w:rsidRPr="00D5597B" w:rsidRDefault="00D902ED" w:rsidP="00D5597B">
            <w:pPr>
              <w:pStyle w:val="TableNText"/>
            </w:pPr>
            <w:r w:rsidRPr="00D5597B">
              <w:t>Program for PHNs opens</w:t>
            </w:r>
          </w:p>
        </w:tc>
        <w:tc>
          <w:tcPr>
            <w:tcW w:w="2861" w:type="dxa"/>
          </w:tcPr>
          <w:p w14:paraId="1E4E31EF" w14:textId="77777777" w:rsidR="00D902ED" w:rsidRPr="00D5597B" w:rsidRDefault="00D902ED" w:rsidP="00D5597B">
            <w:pPr>
              <w:pStyle w:val="TableNText"/>
            </w:pPr>
            <w:r w:rsidRPr="00D5597B">
              <w:t>PHNs</w:t>
            </w:r>
          </w:p>
        </w:tc>
      </w:tr>
      <w:tr w:rsidR="00D902ED" w:rsidRPr="004523AB" w14:paraId="4D03173D" w14:textId="77777777" w:rsidTr="00D902ED">
        <w:tc>
          <w:tcPr>
            <w:tcW w:w="2479" w:type="dxa"/>
          </w:tcPr>
          <w:p w14:paraId="43C7E9CF" w14:textId="77777777" w:rsidR="00D902ED" w:rsidRPr="00D5597B" w:rsidRDefault="00D902ED" w:rsidP="00D5597B">
            <w:pPr>
              <w:pStyle w:val="TableNText"/>
            </w:pPr>
            <w:r w:rsidRPr="00D5597B">
              <w:t>February to March 2023</w:t>
            </w:r>
          </w:p>
        </w:tc>
        <w:tc>
          <w:tcPr>
            <w:tcW w:w="3580" w:type="dxa"/>
          </w:tcPr>
          <w:p w14:paraId="67618250" w14:textId="77777777" w:rsidR="00D902ED" w:rsidRPr="00D5597B" w:rsidRDefault="00D902ED" w:rsidP="00D5597B">
            <w:pPr>
              <w:pStyle w:val="TableNText"/>
            </w:pPr>
            <w:r w:rsidRPr="00D5597B">
              <w:t>Six Working Group sessions held with Department to discuss implementation</w:t>
            </w:r>
          </w:p>
        </w:tc>
        <w:tc>
          <w:tcPr>
            <w:tcW w:w="2861" w:type="dxa"/>
          </w:tcPr>
          <w:p w14:paraId="22D12848" w14:textId="77777777" w:rsidR="00D902ED" w:rsidRPr="00D5597B" w:rsidRDefault="00D902ED" w:rsidP="00D5597B">
            <w:pPr>
              <w:pStyle w:val="TableNText"/>
            </w:pPr>
            <w:r w:rsidRPr="00D5597B">
              <w:t>PHNs</w:t>
            </w:r>
          </w:p>
        </w:tc>
      </w:tr>
      <w:tr w:rsidR="00D902ED" w:rsidRPr="004523AB" w14:paraId="01F5C9AC" w14:textId="77777777" w:rsidTr="00D902ED">
        <w:tc>
          <w:tcPr>
            <w:tcW w:w="2479" w:type="dxa"/>
          </w:tcPr>
          <w:p w14:paraId="0A9F6B23" w14:textId="77777777" w:rsidR="00D902ED" w:rsidRPr="00D5597B" w:rsidRDefault="00D902ED" w:rsidP="00D5597B">
            <w:pPr>
              <w:pStyle w:val="TableNText"/>
            </w:pPr>
            <w:r w:rsidRPr="00D5597B">
              <w:t>21 April 2023</w:t>
            </w:r>
          </w:p>
        </w:tc>
        <w:tc>
          <w:tcPr>
            <w:tcW w:w="3580" w:type="dxa"/>
          </w:tcPr>
          <w:p w14:paraId="20DDC761" w14:textId="77777777" w:rsidR="00D902ED" w:rsidRPr="00D5597B" w:rsidRDefault="00D902ED" w:rsidP="00D5597B">
            <w:pPr>
              <w:pStyle w:val="TableNText"/>
            </w:pPr>
            <w:r w:rsidRPr="00D5597B">
              <w:t>PHNs send application packs to eligible practices 21-26 April 2023</w:t>
            </w:r>
          </w:p>
        </w:tc>
        <w:tc>
          <w:tcPr>
            <w:tcW w:w="2861" w:type="dxa"/>
          </w:tcPr>
          <w:p w14:paraId="77368769" w14:textId="77777777" w:rsidR="00D902ED" w:rsidRPr="00D5597B" w:rsidRDefault="00D902ED" w:rsidP="00D5597B">
            <w:pPr>
              <w:pStyle w:val="TableNText"/>
            </w:pPr>
            <w:r w:rsidRPr="00D5597B">
              <w:t>PHNs</w:t>
            </w:r>
          </w:p>
        </w:tc>
      </w:tr>
      <w:tr w:rsidR="00D902ED" w:rsidRPr="004523AB" w14:paraId="64560A7F" w14:textId="77777777" w:rsidTr="00D902ED">
        <w:tc>
          <w:tcPr>
            <w:tcW w:w="2479" w:type="dxa"/>
          </w:tcPr>
          <w:p w14:paraId="4D468F25" w14:textId="77777777" w:rsidR="00D902ED" w:rsidRPr="004523AB" w:rsidRDefault="00D902ED" w:rsidP="00323C65">
            <w:pPr>
              <w:pStyle w:val="TableNText"/>
              <w:rPr>
                <w:lang w:eastAsia="en-AU"/>
              </w:rPr>
            </w:pPr>
            <w:r w:rsidRPr="004523AB">
              <w:rPr>
                <w:lang w:eastAsia="en-AU"/>
              </w:rPr>
              <w:lastRenderedPageBreak/>
              <w:t>5 May 2023</w:t>
            </w:r>
          </w:p>
        </w:tc>
        <w:tc>
          <w:tcPr>
            <w:tcW w:w="3580" w:type="dxa"/>
          </w:tcPr>
          <w:p w14:paraId="26EE591C" w14:textId="77777777" w:rsidR="00D902ED" w:rsidRPr="004523AB" w:rsidRDefault="00D902ED" w:rsidP="00323C65">
            <w:pPr>
              <w:pStyle w:val="TableNText"/>
              <w:rPr>
                <w:lang w:eastAsia="en-AU"/>
              </w:rPr>
            </w:pPr>
            <w:r w:rsidRPr="004523AB">
              <w:rPr>
                <w:lang w:eastAsia="en-AU"/>
              </w:rPr>
              <w:t>NACCHO sends grant packs to ACCHOs</w:t>
            </w:r>
          </w:p>
        </w:tc>
        <w:tc>
          <w:tcPr>
            <w:tcW w:w="2861" w:type="dxa"/>
          </w:tcPr>
          <w:p w14:paraId="20DD4969" w14:textId="77777777" w:rsidR="00D902ED" w:rsidRPr="004523AB" w:rsidRDefault="00D902ED" w:rsidP="00323C65">
            <w:pPr>
              <w:pStyle w:val="TableNText"/>
              <w:rPr>
                <w:lang w:eastAsia="en-AU"/>
              </w:rPr>
            </w:pPr>
            <w:r w:rsidRPr="004523AB">
              <w:rPr>
                <w:lang w:eastAsia="en-AU"/>
              </w:rPr>
              <w:t>NACCHO</w:t>
            </w:r>
          </w:p>
        </w:tc>
      </w:tr>
      <w:tr w:rsidR="00D902ED" w:rsidRPr="004523AB" w14:paraId="7AC2A540" w14:textId="77777777" w:rsidTr="00D902ED">
        <w:tc>
          <w:tcPr>
            <w:tcW w:w="2479" w:type="dxa"/>
          </w:tcPr>
          <w:p w14:paraId="53DDA3AB" w14:textId="77777777" w:rsidR="00D902ED" w:rsidRPr="004523AB" w:rsidRDefault="00D902ED" w:rsidP="00323C65">
            <w:pPr>
              <w:pStyle w:val="TableNText"/>
              <w:rPr>
                <w:lang w:eastAsia="en-AU"/>
              </w:rPr>
            </w:pPr>
            <w:r w:rsidRPr="004523AB">
              <w:rPr>
                <w:lang w:eastAsia="en-AU"/>
              </w:rPr>
              <w:t>5 May 2023</w:t>
            </w:r>
          </w:p>
        </w:tc>
        <w:tc>
          <w:tcPr>
            <w:tcW w:w="3580" w:type="dxa"/>
          </w:tcPr>
          <w:p w14:paraId="78DCC8C9" w14:textId="77777777" w:rsidR="00D902ED" w:rsidRPr="004523AB" w:rsidRDefault="00D902ED" w:rsidP="00323C65">
            <w:pPr>
              <w:pStyle w:val="TableNText"/>
              <w:rPr>
                <w:lang w:eastAsia="en-AU"/>
              </w:rPr>
            </w:pPr>
            <w:r w:rsidRPr="004523AB">
              <w:rPr>
                <w:lang w:eastAsia="en-AU"/>
              </w:rPr>
              <w:t>Program is opened to ACCHOs</w:t>
            </w:r>
          </w:p>
        </w:tc>
        <w:tc>
          <w:tcPr>
            <w:tcW w:w="2861" w:type="dxa"/>
          </w:tcPr>
          <w:p w14:paraId="490FB5EA" w14:textId="77777777" w:rsidR="00D902ED" w:rsidRPr="004523AB" w:rsidRDefault="00D902ED" w:rsidP="00323C65">
            <w:pPr>
              <w:pStyle w:val="TableNText"/>
              <w:rPr>
                <w:lang w:eastAsia="en-AU"/>
              </w:rPr>
            </w:pPr>
            <w:r w:rsidRPr="004523AB">
              <w:rPr>
                <w:lang w:eastAsia="en-AU"/>
              </w:rPr>
              <w:t>ACCHOs</w:t>
            </w:r>
          </w:p>
        </w:tc>
      </w:tr>
      <w:tr w:rsidR="00D902ED" w:rsidRPr="004523AB" w14:paraId="0149B552" w14:textId="77777777" w:rsidTr="00D902ED">
        <w:tc>
          <w:tcPr>
            <w:tcW w:w="2479" w:type="dxa"/>
          </w:tcPr>
          <w:p w14:paraId="184A80E3" w14:textId="77777777" w:rsidR="00D902ED" w:rsidRPr="004523AB" w:rsidRDefault="00D902ED" w:rsidP="00323C65">
            <w:pPr>
              <w:pStyle w:val="TableNText"/>
              <w:rPr>
                <w:lang w:eastAsia="en-AU"/>
              </w:rPr>
            </w:pPr>
            <w:r w:rsidRPr="004523AB">
              <w:rPr>
                <w:lang w:eastAsia="en-AU"/>
              </w:rPr>
              <w:t>6 June 2023</w:t>
            </w:r>
          </w:p>
        </w:tc>
        <w:tc>
          <w:tcPr>
            <w:tcW w:w="3580" w:type="dxa"/>
          </w:tcPr>
          <w:p w14:paraId="7D3F4905" w14:textId="77777777" w:rsidR="00D902ED" w:rsidRPr="004523AB" w:rsidRDefault="00D902ED" w:rsidP="00323C65">
            <w:pPr>
              <w:pStyle w:val="TableNText"/>
              <w:rPr>
                <w:lang w:eastAsia="en-AU"/>
              </w:rPr>
            </w:pPr>
            <w:r w:rsidRPr="004523AB">
              <w:rPr>
                <w:lang w:eastAsia="en-AU"/>
              </w:rPr>
              <w:t xml:space="preserve">Q&amp;A Webinar for PHNs to clarify practice eligibility </w:t>
            </w:r>
          </w:p>
        </w:tc>
        <w:tc>
          <w:tcPr>
            <w:tcW w:w="2861" w:type="dxa"/>
          </w:tcPr>
          <w:p w14:paraId="7FE14CBC" w14:textId="77777777" w:rsidR="00D902ED" w:rsidRPr="004523AB" w:rsidRDefault="00D902ED" w:rsidP="00323C65">
            <w:pPr>
              <w:pStyle w:val="TableNText"/>
              <w:rPr>
                <w:lang w:eastAsia="en-AU"/>
              </w:rPr>
            </w:pPr>
            <w:r w:rsidRPr="004523AB">
              <w:rPr>
                <w:lang w:eastAsia="en-AU"/>
              </w:rPr>
              <w:t>The Department of Health and Aged Care</w:t>
            </w:r>
          </w:p>
        </w:tc>
      </w:tr>
      <w:tr w:rsidR="00D902ED" w:rsidRPr="004523AB" w14:paraId="116A7F15" w14:textId="77777777" w:rsidTr="00D902ED">
        <w:tc>
          <w:tcPr>
            <w:tcW w:w="2479" w:type="dxa"/>
          </w:tcPr>
          <w:p w14:paraId="03BDC95C" w14:textId="77777777" w:rsidR="00D902ED" w:rsidRPr="004523AB" w:rsidRDefault="00D902ED" w:rsidP="00323C65">
            <w:pPr>
              <w:pStyle w:val="TableNText"/>
              <w:rPr>
                <w:lang w:eastAsia="en-AU"/>
              </w:rPr>
            </w:pPr>
            <w:r w:rsidRPr="004523AB">
              <w:rPr>
                <w:lang w:eastAsia="en-AU"/>
              </w:rPr>
              <w:t>15 June 2023</w:t>
            </w:r>
          </w:p>
        </w:tc>
        <w:tc>
          <w:tcPr>
            <w:tcW w:w="3580" w:type="dxa"/>
          </w:tcPr>
          <w:p w14:paraId="22E2753D" w14:textId="77777777" w:rsidR="00D902ED" w:rsidRPr="004523AB" w:rsidRDefault="00D902ED" w:rsidP="00323C65">
            <w:pPr>
              <w:pStyle w:val="TableNText"/>
              <w:rPr>
                <w:lang w:eastAsia="en-AU"/>
              </w:rPr>
            </w:pPr>
            <w:r w:rsidRPr="004523AB">
              <w:rPr>
                <w:lang w:eastAsia="en-AU"/>
              </w:rPr>
              <w:t>Practices must return application packs to their local PHN</w:t>
            </w:r>
          </w:p>
        </w:tc>
        <w:tc>
          <w:tcPr>
            <w:tcW w:w="2861" w:type="dxa"/>
          </w:tcPr>
          <w:p w14:paraId="64B86794" w14:textId="77777777" w:rsidR="00D902ED" w:rsidRPr="004523AB" w:rsidRDefault="00D902ED" w:rsidP="00323C65">
            <w:pPr>
              <w:pStyle w:val="TableNText"/>
              <w:rPr>
                <w:lang w:eastAsia="en-AU"/>
              </w:rPr>
            </w:pPr>
            <w:r w:rsidRPr="004523AB">
              <w:rPr>
                <w:lang w:eastAsia="en-AU"/>
              </w:rPr>
              <w:t>Practices</w:t>
            </w:r>
          </w:p>
        </w:tc>
      </w:tr>
      <w:tr w:rsidR="00D902ED" w:rsidRPr="004523AB" w14:paraId="632E2713" w14:textId="77777777" w:rsidTr="00D902ED">
        <w:tc>
          <w:tcPr>
            <w:tcW w:w="2479" w:type="dxa"/>
          </w:tcPr>
          <w:p w14:paraId="3D9A1069" w14:textId="77777777" w:rsidR="00D902ED" w:rsidRPr="004523AB" w:rsidRDefault="00D902ED" w:rsidP="00323C65">
            <w:pPr>
              <w:pStyle w:val="TableNText"/>
              <w:rPr>
                <w:lang w:eastAsia="en-AU"/>
              </w:rPr>
            </w:pPr>
            <w:r w:rsidRPr="004523AB">
              <w:rPr>
                <w:lang w:eastAsia="en-AU"/>
              </w:rPr>
              <w:t>15 June 2023</w:t>
            </w:r>
          </w:p>
        </w:tc>
        <w:tc>
          <w:tcPr>
            <w:tcW w:w="3580" w:type="dxa"/>
          </w:tcPr>
          <w:p w14:paraId="5A74666F" w14:textId="77777777" w:rsidR="00D902ED" w:rsidRPr="004523AB" w:rsidRDefault="00D902ED" w:rsidP="00323C65">
            <w:pPr>
              <w:pStyle w:val="TableNText"/>
              <w:rPr>
                <w:lang w:eastAsia="en-AU"/>
              </w:rPr>
            </w:pPr>
            <w:r w:rsidRPr="004523AB">
              <w:rPr>
                <w:lang w:eastAsia="en-AU"/>
              </w:rPr>
              <w:t>ACCHOs must return application packs to their local PHN</w:t>
            </w:r>
          </w:p>
        </w:tc>
        <w:tc>
          <w:tcPr>
            <w:tcW w:w="2861" w:type="dxa"/>
          </w:tcPr>
          <w:p w14:paraId="3E8A8571" w14:textId="77777777" w:rsidR="00D902ED" w:rsidRPr="004523AB" w:rsidRDefault="00D902ED" w:rsidP="00323C65">
            <w:pPr>
              <w:pStyle w:val="TableNText"/>
              <w:rPr>
                <w:lang w:eastAsia="en-AU"/>
              </w:rPr>
            </w:pPr>
            <w:r w:rsidRPr="004523AB">
              <w:rPr>
                <w:lang w:eastAsia="en-AU"/>
              </w:rPr>
              <w:t>ACCHOs</w:t>
            </w:r>
          </w:p>
        </w:tc>
      </w:tr>
      <w:tr w:rsidR="00D902ED" w:rsidRPr="004523AB" w14:paraId="42791EA7" w14:textId="77777777" w:rsidTr="00D902ED">
        <w:tc>
          <w:tcPr>
            <w:tcW w:w="2479" w:type="dxa"/>
          </w:tcPr>
          <w:p w14:paraId="7C9DFABC" w14:textId="77777777" w:rsidR="00D902ED" w:rsidRPr="004523AB" w:rsidRDefault="00D902ED" w:rsidP="00323C65">
            <w:pPr>
              <w:pStyle w:val="TableNText"/>
              <w:rPr>
                <w:lang w:eastAsia="en-AU"/>
              </w:rPr>
            </w:pPr>
            <w:r w:rsidRPr="004523AB">
              <w:rPr>
                <w:lang w:eastAsia="en-AU"/>
              </w:rPr>
              <w:t>28 September 2023</w:t>
            </w:r>
          </w:p>
        </w:tc>
        <w:tc>
          <w:tcPr>
            <w:tcW w:w="3580" w:type="dxa"/>
          </w:tcPr>
          <w:p w14:paraId="53A901A5" w14:textId="77777777" w:rsidR="00D902ED" w:rsidRPr="004523AB" w:rsidRDefault="00D902ED" w:rsidP="00323C65">
            <w:pPr>
              <w:pStyle w:val="TableNText"/>
              <w:rPr>
                <w:lang w:eastAsia="en-AU"/>
              </w:rPr>
            </w:pPr>
            <w:r w:rsidRPr="004523AB">
              <w:rPr>
                <w:lang w:eastAsia="en-AU"/>
              </w:rPr>
              <w:t xml:space="preserve">Minister approves opening remaining funding to previously ineligible practices, grant amounts remain the </w:t>
            </w:r>
            <w:proofErr w:type="gramStart"/>
            <w:r w:rsidRPr="004523AB">
              <w:rPr>
                <w:lang w:eastAsia="en-AU"/>
              </w:rPr>
              <w:t>same.*</w:t>
            </w:r>
            <w:proofErr w:type="gramEnd"/>
          </w:p>
        </w:tc>
        <w:tc>
          <w:tcPr>
            <w:tcW w:w="2861" w:type="dxa"/>
          </w:tcPr>
          <w:p w14:paraId="15B100D1" w14:textId="77777777" w:rsidR="00D902ED" w:rsidRPr="004523AB" w:rsidRDefault="00D902ED" w:rsidP="00323C65">
            <w:pPr>
              <w:pStyle w:val="TableNText"/>
              <w:rPr>
                <w:lang w:eastAsia="en-AU"/>
              </w:rPr>
            </w:pPr>
            <w:r w:rsidRPr="004523AB">
              <w:rPr>
                <w:lang w:eastAsia="en-AU"/>
              </w:rPr>
              <w:t>The Department of Health and Aged Care</w:t>
            </w:r>
          </w:p>
        </w:tc>
      </w:tr>
      <w:tr w:rsidR="00D902ED" w:rsidRPr="004523AB" w14:paraId="5869AC23" w14:textId="77777777" w:rsidTr="00D902ED">
        <w:tc>
          <w:tcPr>
            <w:tcW w:w="2479" w:type="dxa"/>
          </w:tcPr>
          <w:p w14:paraId="3B99C682" w14:textId="77777777" w:rsidR="00D902ED" w:rsidRPr="004523AB" w:rsidRDefault="00D902ED" w:rsidP="00323C65">
            <w:pPr>
              <w:pStyle w:val="TableNText"/>
              <w:rPr>
                <w:lang w:eastAsia="en-AU"/>
              </w:rPr>
            </w:pPr>
            <w:r w:rsidRPr="004523AB">
              <w:rPr>
                <w:lang w:eastAsia="en-AU"/>
              </w:rPr>
              <w:t>30 September 2023</w:t>
            </w:r>
          </w:p>
        </w:tc>
        <w:tc>
          <w:tcPr>
            <w:tcW w:w="3580" w:type="dxa"/>
          </w:tcPr>
          <w:p w14:paraId="15613AE7" w14:textId="77777777" w:rsidR="00D902ED" w:rsidRPr="004523AB" w:rsidRDefault="00D902ED" w:rsidP="00323C65">
            <w:pPr>
              <w:pStyle w:val="TableNText"/>
              <w:rPr>
                <w:lang w:eastAsia="en-AU"/>
              </w:rPr>
            </w:pPr>
            <w:r w:rsidRPr="004523AB">
              <w:rPr>
                <w:lang w:eastAsia="en-AU"/>
              </w:rPr>
              <w:t>NACCHO submits financial report and acquittal report to NT PHN</w:t>
            </w:r>
          </w:p>
        </w:tc>
        <w:tc>
          <w:tcPr>
            <w:tcW w:w="2861" w:type="dxa"/>
          </w:tcPr>
          <w:p w14:paraId="4E1D62F2" w14:textId="77777777" w:rsidR="00D902ED" w:rsidRPr="004523AB" w:rsidRDefault="00D902ED" w:rsidP="00323C65">
            <w:pPr>
              <w:pStyle w:val="TableNText"/>
              <w:rPr>
                <w:lang w:eastAsia="en-AU"/>
              </w:rPr>
            </w:pPr>
            <w:r w:rsidRPr="004523AB">
              <w:rPr>
                <w:lang w:eastAsia="en-AU"/>
              </w:rPr>
              <w:t>NACCHO</w:t>
            </w:r>
          </w:p>
        </w:tc>
      </w:tr>
      <w:tr w:rsidR="00D902ED" w:rsidRPr="004523AB" w14:paraId="44CF9412" w14:textId="77777777" w:rsidTr="00D902ED">
        <w:tc>
          <w:tcPr>
            <w:tcW w:w="2479" w:type="dxa"/>
          </w:tcPr>
          <w:p w14:paraId="68FDACD4" w14:textId="77777777" w:rsidR="00D902ED" w:rsidRPr="004523AB" w:rsidRDefault="00D902ED" w:rsidP="00323C65">
            <w:pPr>
              <w:pStyle w:val="TableNText"/>
              <w:rPr>
                <w:lang w:eastAsia="en-AU"/>
              </w:rPr>
            </w:pPr>
            <w:r w:rsidRPr="004523AB">
              <w:rPr>
                <w:lang w:eastAsia="en-AU"/>
              </w:rPr>
              <w:t>Mid-November 2023</w:t>
            </w:r>
          </w:p>
        </w:tc>
        <w:tc>
          <w:tcPr>
            <w:tcW w:w="3580" w:type="dxa"/>
          </w:tcPr>
          <w:p w14:paraId="66DC335B" w14:textId="77777777" w:rsidR="00D902ED" w:rsidRPr="004523AB" w:rsidRDefault="00D902ED" w:rsidP="00323C65">
            <w:pPr>
              <w:pStyle w:val="TableNText"/>
              <w:rPr>
                <w:lang w:eastAsia="en-AU"/>
              </w:rPr>
            </w:pPr>
            <w:r w:rsidRPr="004523AB">
              <w:rPr>
                <w:lang w:eastAsia="en-AU"/>
              </w:rPr>
              <w:t>Remaining funding opens to State and Territory practices, new practices and late applicants</w:t>
            </w:r>
          </w:p>
        </w:tc>
        <w:tc>
          <w:tcPr>
            <w:tcW w:w="2861" w:type="dxa"/>
          </w:tcPr>
          <w:p w14:paraId="28AB0AF1" w14:textId="77777777" w:rsidR="00D902ED" w:rsidRPr="004523AB" w:rsidRDefault="00D902ED" w:rsidP="00323C65">
            <w:pPr>
              <w:pStyle w:val="TableNText"/>
              <w:rPr>
                <w:lang w:eastAsia="en-AU"/>
              </w:rPr>
            </w:pPr>
            <w:r w:rsidRPr="004523AB">
              <w:rPr>
                <w:lang w:eastAsia="en-AU"/>
              </w:rPr>
              <w:t>Practices</w:t>
            </w:r>
          </w:p>
        </w:tc>
      </w:tr>
      <w:tr w:rsidR="00D902ED" w:rsidRPr="004523AB" w14:paraId="3C6C0A37" w14:textId="77777777" w:rsidTr="00D902ED">
        <w:tc>
          <w:tcPr>
            <w:tcW w:w="2479" w:type="dxa"/>
          </w:tcPr>
          <w:p w14:paraId="6A704C2E" w14:textId="77777777" w:rsidR="00D902ED" w:rsidRPr="004523AB" w:rsidRDefault="00D902ED" w:rsidP="00323C65">
            <w:pPr>
              <w:pStyle w:val="TableNText"/>
              <w:rPr>
                <w:lang w:eastAsia="en-AU"/>
              </w:rPr>
            </w:pPr>
            <w:r w:rsidRPr="004523AB">
              <w:rPr>
                <w:lang w:eastAsia="en-AU"/>
              </w:rPr>
              <w:t>31 July 2024</w:t>
            </w:r>
          </w:p>
        </w:tc>
        <w:tc>
          <w:tcPr>
            <w:tcW w:w="3580" w:type="dxa"/>
          </w:tcPr>
          <w:p w14:paraId="71277226" w14:textId="77777777" w:rsidR="00D902ED" w:rsidRPr="004523AB" w:rsidRDefault="00D902ED" w:rsidP="00323C65">
            <w:pPr>
              <w:pStyle w:val="TableNText"/>
              <w:rPr>
                <w:lang w:eastAsia="en-AU"/>
              </w:rPr>
            </w:pPr>
            <w:r w:rsidRPr="004523AB">
              <w:rPr>
                <w:lang w:eastAsia="en-AU"/>
              </w:rPr>
              <w:t>Practices must spend their grant funds by end of program.</w:t>
            </w:r>
          </w:p>
        </w:tc>
        <w:tc>
          <w:tcPr>
            <w:tcW w:w="2861" w:type="dxa"/>
          </w:tcPr>
          <w:p w14:paraId="11531C29" w14:textId="77777777" w:rsidR="00D902ED" w:rsidRPr="004523AB" w:rsidRDefault="00D902ED" w:rsidP="00323C65">
            <w:pPr>
              <w:pStyle w:val="TableNText"/>
              <w:rPr>
                <w:lang w:eastAsia="en-AU"/>
              </w:rPr>
            </w:pPr>
            <w:r w:rsidRPr="004523AB">
              <w:rPr>
                <w:lang w:eastAsia="en-AU"/>
              </w:rPr>
              <w:t>Practices</w:t>
            </w:r>
          </w:p>
        </w:tc>
      </w:tr>
      <w:tr w:rsidR="00D902ED" w:rsidRPr="004523AB" w14:paraId="12A7B80B" w14:textId="77777777" w:rsidTr="00D902ED">
        <w:tc>
          <w:tcPr>
            <w:tcW w:w="2479" w:type="dxa"/>
          </w:tcPr>
          <w:p w14:paraId="17D0B819" w14:textId="77777777" w:rsidR="00D902ED" w:rsidRPr="004523AB" w:rsidRDefault="00D902ED" w:rsidP="00323C65">
            <w:pPr>
              <w:pStyle w:val="TableNText"/>
              <w:rPr>
                <w:lang w:eastAsia="en-AU"/>
              </w:rPr>
            </w:pPr>
            <w:r w:rsidRPr="004523AB">
              <w:rPr>
                <w:lang w:eastAsia="en-AU"/>
              </w:rPr>
              <w:t>30 August 2024</w:t>
            </w:r>
          </w:p>
        </w:tc>
        <w:tc>
          <w:tcPr>
            <w:tcW w:w="3580" w:type="dxa"/>
          </w:tcPr>
          <w:p w14:paraId="3D3361F0" w14:textId="77777777" w:rsidR="00D902ED" w:rsidRPr="004523AB" w:rsidRDefault="00D902ED" w:rsidP="00323C65">
            <w:pPr>
              <w:pStyle w:val="TableNText"/>
              <w:rPr>
                <w:lang w:eastAsia="en-AU"/>
              </w:rPr>
            </w:pPr>
            <w:r w:rsidRPr="004523AB">
              <w:rPr>
                <w:lang w:eastAsia="en-AU"/>
              </w:rPr>
              <w:t>Some practices provided extensions to spend their grant funds</w:t>
            </w:r>
          </w:p>
        </w:tc>
        <w:tc>
          <w:tcPr>
            <w:tcW w:w="2861" w:type="dxa"/>
          </w:tcPr>
          <w:p w14:paraId="7740F945" w14:textId="77777777" w:rsidR="00D902ED" w:rsidRPr="004523AB" w:rsidRDefault="00D902ED" w:rsidP="00323C65">
            <w:pPr>
              <w:pStyle w:val="TableNText"/>
              <w:rPr>
                <w:lang w:eastAsia="en-AU"/>
              </w:rPr>
            </w:pPr>
            <w:r w:rsidRPr="004523AB">
              <w:rPr>
                <w:lang w:eastAsia="en-AU"/>
              </w:rPr>
              <w:t>Practices</w:t>
            </w:r>
          </w:p>
        </w:tc>
      </w:tr>
      <w:tr w:rsidR="00D902ED" w:rsidRPr="004523AB" w14:paraId="074B009C" w14:textId="77777777" w:rsidTr="00D902ED">
        <w:tc>
          <w:tcPr>
            <w:tcW w:w="2479" w:type="dxa"/>
          </w:tcPr>
          <w:p w14:paraId="474C27BB" w14:textId="77777777" w:rsidR="00D902ED" w:rsidRPr="004523AB" w:rsidRDefault="00D902ED" w:rsidP="00323C65">
            <w:pPr>
              <w:pStyle w:val="TableNText"/>
              <w:rPr>
                <w:lang w:eastAsia="en-AU"/>
              </w:rPr>
            </w:pPr>
            <w:r w:rsidRPr="004523AB">
              <w:rPr>
                <w:lang w:eastAsia="en-AU"/>
              </w:rPr>
              <w:t>1 September 2024</w:t>
            </w:r>
          </w:p>
        </w:tc>
        <w:tc>
          <w:tcPr>
            <w:tcW w:w="3580" w:type="dxa"/>
          </w:tcPr>
          <w:p w14:paraId="4F9D1171" w14:textId="77777777" w:rsidR="00D902ED" w:rsidRPr="004523AB" w:rsidRDefault="00D902ED" w:rsidP="00323C65">
            <w:pPr>
              <w:pStyle w:val="TableNText"/>
              <w:rPr>
                <w:lang w:eastAsia="en-AU"/>
              </w:rPr>
            </w:pPr>
            <w:r w:rsidRPr="004523AB">
              <w:rPr>
                <w:lang w:eastAsia="en-AU"/>
              </w:rPr>
              <w:t>Practices to complete financial acquittal report</w:t>
            </w:r>
          </w:p>
        </w:tc>
        <w:tc>
          <w:tcPr>
            <w:tcW w:w="2861" w:type="dxa"/>
          </w:tcPr>
          <w:p w14:paraId="57B2F417" w14:textId="77777777" w:rsidR="00D902ED" w:rsidRPr="004523AB" w:rsidRDefault="00D902ED" w:rsidP="00323C65">
            <w:pPr>
              <w:pStyle w:val="TableNText"/>
              <w:rPr>
                <w:lang w:eastAsia="en-AU"/>
              </w:rPr>
            </w:pPr>
            <w:r w:rsidRPr="004523AB">
              <w:rPr>
                <w:lang w:eastAsia="en-AU"/>
              </w:rPr>
              <w:t>Practices</w:t>
            </w:r>
          </w:p>
        </w:tc>
      </w:tr>
      <w:tr w:rsidR="00D902ED" w:rsidRPr="004523AB" w14:paraId="35FEC354" w14:textId="77777777" w:rsidTr="00D902ED">
        <w:tc>
          <w:tcPr>
            <w:tcW w:w="2479" w:type="dxa"/>
          </w:tcPr>
          <w:p w14:paraId="63630383" w14:textId="77777777" w:rsidR="00D902ED" w:rsidRPr="004523AB" w:rsidRDefault="00D902ED" w:rsidP="00323C65">
            <w:pPr>
              <w:pStyle w:val="TableNText"/>
              <w:rPr>
                <w:lang w:eastAsia="en-AU"/>
              </w:rPr>
            </w:pPr>
            <w:r w:rsidRPr="004523AB">
              <w:rPr>
                <w:lang w:eastAsia="en-AU"/>
              </w:rPr>
              <w:t>30 September 2024</w:t>
            </w:r>
          </w:p>
        </w:tc>
        <w:tc>
          <w:tcPr>
            <w:tcW w:w="3580" w:type="dxa"/>
          </w:tcPr>
          <w:p w14:paraId="688AA42F" w14:textId="77777777" w:rsidR="00D902ED" w:rsidRPr="004523AB" w:rsidRDefault="00D902ED" w:rsidP="00323C65">
            <w:pPr>
              <w:pStyle w:val="TableNText"/>
              <w:rPr>
                <w:lang w:eastAsia="en-AU"/>
              </w:rPr>
            </w:pPr>
            <w:r w:rsidRPr="004523AB">
              <w:rPr>
                <w:lang w:eastAsia="en-AU"/>
              </w:rPr>
              <w:t>NACCHO submits financial report and acquittal to NT PHN and final summary report to the Department</w:t>
            </w:r>
          </w:p>
        </w:tc>
        <w:tc>
          <w:tcPr>
            <w:tcW w:w="2861" w:type="dxa"/>
          </w:tcPr>
          <w:p w14:paraId="29C998FC" w14:textId="77777777" w:rsidR="00D902ED" w:rsidRPr="004523AB" w:rsidRDefault="00D902ED" w:rsidP="00323C65">
            <w:pPr>
              <w:pStyle w:val="TableNText"/>
              <w:rPr>
                <w:lang w:eastAsia="en-AU"/>
              </w:rPr>
            </w:pPr>
            <w:r w:rsidRPr="004523AB">
              <w:rPr>
                <w:lang w:eastAsia="en-AU"/>
              </w:rPr>
              <w:t>NACCHO</w:t>
            </w:r>
          </w:p>
        </w:tc>
      </w:tr>
      <w:tr w:rsidR="00D902ED" w:rsidRPr="004523AB" w14:paraId="25B09999" w14:textId="77777777" w:rsidTr="00D902ED">
        <w:tc>
          <w:tcPr>
            <w:tcW w:w="2479" w:type="dxa"/>
          </w:tcPr>
          <w:p w14:paraId="099847CF" w14:textId="77777777" w:rsidR="00D902ED" w:rsidRPr="004523AB" w:rsidRDefault="00D902ED" w:rsidP="00323C65">
            <w:pPr>
              <w:pStyle w:val="TableNText"/>
              <w:rPr>
                <w:lang w:eastAsia="en-AU"/>
              </w:rPr>
            </w:pPr>
            <w:r w:rsidRPr="004523AB">
              <w:rPr>
                <w:lang w:eastAsia="en-AU"/>
              </w:rPr>
              <w:t>30 September 2024</w:t>
            </w:r>
          </w:p>
        </w:tc>
        <w:tc>
          <w:tcPr>
            <w:tcW w:w="3580" w:type="dxa"/>
          </w:tcPr>
          <w:p w14:paraId="32077EF5" w14:textId="77777777" w:rsidR="00D902ED" w:rsidRPr="004523AB" w:rsidRDefault="00D902ED" w:rsidP="00323C65">
            <w:pPr>
              <w:pStyle w:val="TableNText"/>
              <w:rPr>
                <w:lang w:eastAsia="en-AU"/>
              </w:rPr>
            </w:pPr>
            <w:r w:rsidRPr="004523AB">
              <w:rPr>
                <w:lang w:eastAsia="en-AU"/>
              </w:rPr>
              <w:t xml:space="preserve">Deadline for practices to provide self-evaluation and financial acquittal report to their PHN  </w:t>
            </w:r>
          </w:p>
        </w:tc>
        <w:tc>
          <w:tcPr>
            <w:tcW w:w="2861" w:type="dxa"/>
          </w:tcPr>
          <w:p w14:paraId="649E3DAA" w14:textId="77777777" w:rsidR="00D902ED" w:rsidRPr="004523AB" w:rsidRDefault="00D902ED" w:rsidP="00323C65">
            <w:pPr>
              <w:pStyle w:val="TableNText"/>
              <w:rPr>
                <w:lang w:eastAsia="en-AU"/>
              </w:rPr>
            </w:pPr>
            <w:r w:rsidRPr="004523AB">
              <w:rPr>
                <w:lang w:eastAsia="en-AU"/>
              </w:rPr>
              <w:t>Practices</w:t>
            </w:r>
          </w:p>
        </w:tc>
      </w:tr>
      <w:tr w:rsidR="00D902ED" w:rsidRPr="004523AB" w14:paraId="2451416A" w14:textId="77777777" w:rsidTr="00D902ED">
        <w:tc>
          <w:tcPr>
            <w:tcW w:w="2479" w:type="dxa"/>
          </w:tcPr>
          <w:p w14:paraId="03013935" w14:textId="77777777" w:rsidR="00D902ED" w:rsidRPr="004523AB" w:rsidRDefault="00D902ED" w:rsidP="00323C65">
            <w:pPr>
              <w:pStyle w:val="TableNText"/>
              <w:rPr>
                <w:lang w:eastAsia="en-AU"/>
              </w:rPr>
            </w:pPr>
            <w:r w:rsidRPr="004523AB">
              <w:rPr>
                <w:lang w:eastAsia="en-AU"/>
              </w:rPr>
              <w:lastRenderedPageBreak/>
              <w:t>31 December 2024</w:t>
            </w:r>
          </w:p>
        </w:tc>
        <w:tc>
          <w:tcPr>
            <w:tcW w:w="3580" w:type="dxa"/>
          </w:tcPr>
          <w:p w14:paraId="60FC69B0" w14:textId="77777777" w:rsidR="00D902ED" w:rsidRPr="004523AB" w:rsidRDefault="00D902ED" w:rsidP="00323C65">
            <w:pPr>
              <w:pStyle w:val="TableNText"/>
              <w:rPr>
                <w:lang w:eastAsia="en-AU"/>
              </w:rPr>
            </w:pPr>
            <w:r w:rsidRPr="004523AB">
              <w:rPr>
                <w:lang w:eastAsia="en-AU"/>
              </w:rPr>
              <w:t>Grant agreement between the Department and PHNs ends</w:t>
            </w:r>
          </w:p>
        </w:tc>
        <w:tc>
          <w:tcPr>
            <w:tcW w:w="2861" w:type="dxa"/>
          </w:tcPr>
          <w:p w14:paraId="4E6F7110" w14:textId="77777777" w:rsidR="00D902ED" w:rsidRPr="004523AB" w:rsidRDefault="00D902ED" w:rsidP="00323C65">
            <w:pPr>
              <w:pStyle w:val="TableNText"/>
              <w:rPr>
                <w:lang w:eastAsia="en-AU"/>
              </w:rPr>
            </w:pPr>
            <w:r w:rsidRPr="004523AB">
              <w:rPr>
                <w:lang w:eastAsia="en-AU"/>
              </w:rPr>
              <w:t>The Department of Health and Aged Care and PHNs</w:t>
            </w:r>
          </w:p>
        </w:tc>
      </w:tr>
    </w:tbl>
    <w:p w14:paraId="74FC4661" w14:textId="41661BD1" w:rsidR="00D902ED" w:rsidRPr="004523AB" w:rsidRDefault="00D902ED" w:rsidP="00D902ED">
      <w:pPr>
        <w:pStyle w:val="Caption"/>
      </w:pPr>
      <w:bookmarkStart w:id="16" w:name="_Ref184907157"/>
      <w:r w:rsidRPr="004523AB">
        <w:t xml:space="preserve">Table </w:t>
      </w:r>
      <w:r w:rsidRPr="004523AB">
        <w:fldChar w:fldCharType="begin"/>
      </w:r>
      <w:r w:rsidRPr="004523AB">
        <w:instrText xml:space="preserve"> SEQ Table \* ARABIC </w:instrText>
      </w:r>
      <w:r w:rsidRPr="004523AB">
        <w:fldChar w:fldCharType="separate"/>
      </w:r>
      <w:r w:rsidR="00B96E50">
        <w:rPr>
          <w:noProof/>
        </w:rPr>
        <w:t>6</w:t>
      </w:r>
      <w:r w:rsidRPr="004523AB">
        <w:fldChar w:fldCharType="end"/>
      </w:r>
      <w:bookmarkEnd w:id="16"/>
      <w:r w:rsidRPr="004523AB">
        <w:t xml:space="preserve"> | The program timeline - by stage</w:t>
      </w:r>
    </w:p>
    <w:tbl>
      <w:tblPr>
        <w:tblStyle w:val="AccessibleNousTable"/>
        <w:tblW w:w="0" w:type="auto"/>
        <w:tblLook w:val="04A0" w:firstRow="1" w:lastRow="0" w:firstColumn="1" w:lastColumn="0" w:noHBand="0" w:noVBand="1"/>
      </w:tblPr>
      <w:tblGrid>
        <w:gridCol w:w="4477"/>
        <w:gridCol w:w="4443"/>
      </w:tblGrid>
      <w:tr w:rsidR="00D902ED" w:rsidRPr="004523AB" w14:paraId="45815BA5" w14:textId="77777777" w:rsidTr="00D902ED">
        <w:trPr>
          <w:cnfStyle w:val="100000000000" w:firstRow="1" w:lastRow="0" w:firstColumn="0" w:lastColumn="0" w:oddVBand="0" w:evenVBand="0" w:oddHBand="0" w:evenHBand="0" w:firstRowFirstColumn="0" w:firstRowLastColumn="0" w:lastRowFirstColumn="0" w:lastRowLastColumn="0"/>
          <w:tblHeader/>
        </w:trPr>
        <w:tc>
          <w:tcPr>
            <w:tcW w:w="4477" w:type="dxa"/>
          </w:tcPr>
          <w:p w14:paraId="22943473" w14:textId="77777777" w:rsidR="00D902ED" w:rsidRPr="004523AB" w:rsidRDefault="00D902ED" w:rsidP="00D902ED">
            <w:pPr>
              <w:pStyle w:val="TableNheader"/>
              <w:rPr>
                <w:highlight w:val="yellow"/>
                <w:lang w:eastAsia="en-AU"/>
              </w:rPr>
            </w:pPr>
            <w:r w:rsidRPr="004523AB">
              <w:rPr>
                <w:lang w:eastAsia="en-AU"/>
              </w:rPr>
              <w:t>Key stage</w:t>
            </w:r>
          </w:p>
        </w:tc>
        <w:tc>
          <w:tcPr>
            <w:tcW w:w="4443" w:type="dxa"/>
          </w:tcPr>
          <w:p w14:paraId="2AACE2B1" w14:textId="77777777" w:rsidR="00D902ED" w:rsidRPr="004523AB" w:rsidRDefault="00D902ED" w:rsidP="00D902ED">
            <w:pPr>
              <w:pStyle w:val="TableNheader"/>
              <w:rPr>
                <w:lang w:eastAsia="en-AU"/>
              </w:rPr>
            </w:pPr>
            <w:r w:rsidRPr="004523AB">
              <w:rPr>
                <w:lang w:eastAsia="en-AU"/>
              </w:rPr>
              <w:t>Date</w:t>
            </w:r>
          </w:p>
        </w:tc>
      </w:tr>
      <w:tr w:rsidR="00D902ED" w:rsidRPr="004523AB" w14:paraId="76793BC6" w14:textId="77777777" w:rsidTr="00D902ED">
        <w:tc>
          <w:tcPr>
            <w:tcW w:w="4477" w:type="dxa"/>
          </w:tcPr>
          <w:p w14:paraId="0EA59D64" w14:textId="77777777" w:rsidR="00D902ED" w:rsidRPr="004523AB" w:rsidRDefault="00D902ED" w:rsidP="00323C65">
            <w:pPr>
              <w:pStyle w:val="TableNText"/>
              <w:rPr>
                <w:lang w:eastAsia="en-AU"/>
              </w:rPr>
            </w:pPr>
            <w:r w:rsidRPr="004523AB">
              <w:rPr>
                <w:lang w:eastAsia="en-AU"/>
              </w:rPr>
              <w:t>Planning</w:t>
            </w:r>
          </w:p>
        </w:tc>
        <w:tc>
          <w:tcPr>
            <w:tcW w:w="4443" w:type="dxa"/>
          </w:tcPr>
          <w:p w14:paraId="0293ADA5" w14:textId="77777777" w:rsidR="00D902ED" w:rsidRPr="004523AB" w:rsidRDefault="00D902ED" w:rsidP="00323C65">
            <w:pPr>
              <w:pStyle w:val="TableNText"/>
              <w:rPr>
                <w:lang w:eastAsia="en-AU"/>
              </w:rPr>
            </w:pPr>
            <w:r w:rsidRPr="004523AB">
              <w:rPr>
                <w:lang w:eastAsia="en-AU"/>
              </w:rPr>
              <w:t>October 2022 to March 2023</w:t>
            </w:r>
          </w:p>
        </w:tc>
      </w:tr>
      <w:tr w:rsidR="00D902ED" w:rsidRPr="004523AB" w14:paraId="22E10F11" w14:textId="77777777" w:rsidTr="00D902ED">
        <w:tc>
          <w:tcPr>
            <w:tcW w:w="4477" w:type="dxa"/>
          </w:tcPr>
          <w:p w14:paraId="23F71AE9" w14:textId="77777777" w:rsidR="00D902ED" w:rsidRPr="004523AB" w:rsidRDefault="00D902ED" w:rsidP="00323C65">
            <w:pPr>
              <w:pStyle w:val="TableNText"/>
              <w:rPr>
                <w:lang w:eastAsia="en-AU"/>
              </w:rPr>
            </w:pPr>
            <w:r w:rsidRPr="004523AB">
              <w:rPr>
                <w:lang w:eastAsia="en-AU"/>
              </w:rPr>
              <w:t>Standard grant application period</w:t>
            </w:r>
          </w:p>
        </w:tc>
        <w:tc>
          <w:tcPr>
            <w:tcW w:w="4443" w:type="dxa"/>
          </w:tcPr>
          <w:p w14:paraId="59D0307D" w14:textId="77777777" w:rsidR="00D902ED" w:rsidRPr="004523AB" w:rsidRDefault="00D902ED" w:rsidP="00323C65">
            <w:pPr>
              <w:pStyle w:val="TableNText"/>
              <w:rPr>
                <w:lang w:eastAsia="en-AU"/>
              </w:rPr>
            </w:pPr>
            <w:r w:rsidRPr="004523AB">
              <w:rPr>
                <w:lang w:eastAsia="en-AU"/>
              </w:rPr>
              <w:t>21 April 2023 to 15 June 2023</w:t>
            </w:r>
          </w:p>
        </w:tc>
      </w:tr>
      <w:tr w:rsidR="00D902ED" w:rsidRPr="004523AB" w14:paraId="4F748D5C" w14:textId="77777777" w:rsidTr="00D902ED">
        <w:tc>
          <w:tcPr>
            <w:tcW w:w="4477" w:type="dxa"/>
          </w:tcPr>
          <w:p w14:paraId="2F0BC8FB" w14:textId="77777777" w:rsidR="00D902ED" w:rsidRPr="004523AB" w:rsidRDefault="00D902ED" w:rsidP="00323C65">
            <w:pPr>
              <w:pStyle w:val="TableNText"/>
              <w:rPr>
                <w:lang w:eastAsia="en-AU"/>
              </w:rPr>
            </w:pPr>
            <w:r w:rsidRPr="004523AB">
              <w:rPr>
                <w:lang w:eastAsia="en-AU"/>
              </w:rPr>
              <w:t>Late grant application period</w:t>
            </w:r>
          </w:p>
          <w:p w14:paraId="722A1BCC" w14:textId="77777777" w:rsidR="00D902ED" w:rsidRPr="004523AB" w:rsidRDefault="00D902ED" w:rsidP="00323C65">
            <w:pPr>
              <w:pStyle w:val="TableNText"/>
              <w:rPr>
                <w:lang w:eastAsia="en-AU"/>
              </w:rPr>
            </w:pPr>
            <w:r w:rsidRPr="004523AB">
              <w:rPr>
                <w:lang w:eastAsia="en-AU"/>
              </w:rPr>
              <w:t>The late grant application period applies to Practices that became eligible in September 2023. This included state/territory/local government owned/managed practices, and newly opened eligible practices.</w:t>
            </w:r>
          </w:p>
        </w:tc>
        <w:tc>
          <w:tcPr>
            <w:tcW w:w="4443" w:type="dxa"/>
          </w:tcPr>
          <w:p w14:paraId="54796069" w14:textId="77777777" w:rsidR="00D902ED" w:rsidRPr="004523AB" w:rsidRDefault="00D902ED" w:rsidP="00323C65">
            <w:pPr>
              <w:pStyle w:val="TableNText"/>
              <w:rPr>
                <w:lang w:eastAsia="en-AU"/>
              </w:rPr>
            </w:pPr>
            <w:r w:rsidRPr="004523AB">
              <w:rPr>
                <w:lang w:eastAsia="en-AU"/>
              </w:rPr>
              <w:t>Mid-November 2023 to mid-December 2023</w:t>
            </w:r>
          </w:p>
        </w:tc>
      </w:tr>
      <w:tr w:rsidR="00D902ED" w:rsidRPr="004523AB" w14:paraId="735628C8" w14:textId="77777777" w:rsidTr="00D902ED">
        <w:tc>
          <w:tcPr>
            <w:tcW w:w="4477" w:type="dxa"/>
          </w:tcPr>
          <w:p w14:paraId="455FEDDE" w14:textId="77777777" w:rsidR="00D902ED" w:rsidRPr="004523AB" w:rsidRDefault="00D902ED" w:rsidP="00323C65">
            <w:pPr>
              <w:pStyle w:val="TableNText"/>
              <w:rPr>
                <w:lang w:eastAsia="en-AU"/>
              </w:rPr>
            </w:pPr>
            <w:r w:rsidRPr="004523AB">
              <w:rPr>
                <w:lang w:eastAsia="en-AU"/>
              </w:rPr>
              <w:t>Grand spending period</w:t>
            </w:r>
          </w:p>
        </w:tc>
        <w:tc>
          <w:tcPr>
            <w:tcW w:w="4443" w:type="dxa"/>
          </w:tcPr>
          <w:p w14:paraId="0C3549A0" w14:textId="77777777" w:rsidR="00D902ED" w:rsidRPr="004523AB" w:rsidRDefault="00D902ED" w:rsidP="00323C65">
            <w:pPr>
              <w:pStyle w:val="TableNText"/>
              <w:rPr>
                <w:lang w:eastAsia="en-AU"/>
              </w:rPr>
            </w:pPr>
            <w:r w:rsidRPr="004523AB">
              <w:rPr>
                <w:lang w:eastAsia="en-AU"/>
              </w:rPr>
              <w:t>June 2023 to September 2024</w:t>
            </w:r>
          </w:p>
        </w:tc>
      </w:tr>
      <w:tr w:rsidR="00D902ED" w:rsidRPr="004523AB" w14:paraId="2B485DEB" w14:textId="77777777" w:rsidTr="00D902ED">
        <w:tc>
          <w:tcPr>
            <w:tcW w:w="4477" w:type="dxa"/>
          </w:tcPr>
          <w:p w14:paraId="4B67808F" w14:textId="77777777" w:rsidR="00D902ED" w:rsidRPr="004523AB" w:rsidRDefault="00D902ED" w:rsidP="00323C65">
            <w:pPr>
              <w:pStyle w:val="TableNText"/>
              <w:rPr>
                <w:lang w:eastAsia="en-AU"/>
              </w:rPr>
            </w:pPr>
            <w:r w:rsidRPr="004523AB">
              <w:rPr>
                <w:lang w:eastAsia="en-AU"/>
              </w:rPr>
              <w:t>Self-evaluation survey</w:t>
            </w:r>
          </w:p>
        </w:tc>
        <w:tc>
          <w:tcPr>
            <w:tcW w:w="4443" w:type="dxa"/>
          </w:tcPr>
          <w:p w14:paraId="5CBBCA2F" w14:textId="77777777" w:rsidR="00D902ED" w:rsidRPr="004523AB" w:rsidRDefault="00D902ED" w:rsidP="00323C65">
            <w:pPr>
              <w:pStyle w:val="TableNText"/>
              <w:rPr>
                <w:lang w:eastAsia="en-AU"/>
              </w:rPr>
            </w:pPr>
            <w:r w:rsidRPr="004523AB">
              <w:rPr>
                <w:lang w:eastAsia="en-AU"/>
              </w:rPr>
              <w:t>February 2024 to September 2024</w:t>
            </w:r>
          </w:p>
        </w:tc>
      </w:tr>
      <w:tr w:rsidR="00D902ED" w:rsidRPr="004523AB" w14:paraId="055F9C6C" w14:textId="77777777" w:rsidTr="00D902ED">
        <w:tc>
          <w:tcPr>
            <w:tcW w:w="4477" w:type="dxa"/>
          </w:tcPr>
          <w:p w14:paraId="1247C8FB" w14:textId="77777777" w:rsidR="00D902ED" w:rsidRPr="004523AB" w:rsidRDefault="00D902ED" w:rsidP="00323C65">
            <w:pPr>
              <w:pStyle w:val="TableNText"/>
              <w:rPr>
                <w:lang w:eastAsia="en-AU"/>
              </w:rPr>
            </w:pPr>
            <w:r w:rsidRPr="004523AB">
              <w:rPr>
                <w:lang w:eastAsia="en-AU"/>
              </w:rPr>
              <w:t>Monitoring and compliance</w:t>
            </w:r>
          </w:p>
        </w:tc>
        <w:tc>
          <w:tcPr>
            <w:tcW w:w="4443" w:type="dxa"/>
          </w:tcPr>
          <w:p w14:paraId="66F5F908" w14:textId="77777777" w:rsidR="00D902ED" w:rsidRPr="004523AB" w:rsidRDefault="00D902ED" w:rsidP="00323C65">
            <w:pPr>
              <w:pStyle w:val="TableNText"/>
              <w:rPr>
                <w:lang w:eastAsia="en-AU"/>
              </w:rPr>
            </w:pPr>
            <w:r w:rsidRPr="004523AB">
              <w:rPr>
                <w:lang w:eastAsia="en-AU"/>
              </w:rPr>
              <w:t>July 2024 to September 2024</w:t>
            </w:r>
          </w:p>
        </w:tc>
      </w:tr>
      <w:tr w:rsidR="00D902ED" w:rsidRPr="004523AB" w14:paraId="08F48485" w14:textId="77777777" w:rsidTr="00D902ED">
        <w:tc>
          <w:tcPr>
            <w:tcW w:w="4477" w:type="dxa"/>
          </w:tcPr>
          <w:p w14:paraId="4000A005" w14:textId="77777777" w:rsidR="00D902ED" w:rsidRPr="004523AB" w:rsidRDefault="00D902ED" w:rsidP="00323C65">
            <w:pPr>
              <w:pStyle w:val="TableNText"/>
              <w:rPr>
                <w:lang w:eastAsia="en-AU"/>
              </w:rPr>
            </w:pPr>
            <w:r w:rsidRPr="004523AB">
              <w:rPr>
                <w:lang w:eastAsia="en-AU"/>
              </w:rPr>
              <w:t>Financial acquittal</w:t>
            </w:r>
          </w:p>
        </w:tc>
        <w:tc>
          <w:tcPr>
            <w:tcW w:w="4443" w:type="dxa"/>
          </w:tcPr>
          <w:p w14:paraId="7307AFE9" w14:textId="77777777" w:rsidR="00D902ED" w:rsidRPr="004523AB" w:rsidRDefault="00D902ED" w:rsidP="00323C65">
            <w:pPr>
              <w:pStyle w:val="TableNText"/>
              <w:rPr>
                <w:lang w:eastAsia="en-AU"/>
              </w:rPr>
            </w:pPr>
            <w:r w:rsidRPr="004523AB">
              <w:rPr>
                <w:lang w:eastAsia="en-AU"/>
              </w:rPr>
              <w:t>July 2024 to September 2024</w:t>
            </w:r>
          </w:p>
        </w:tc>
      </w:tr>
    </w:tbl>
    <w:p w14:paraId="534F7D21" w14:textId="77777777" w:rsidR="00ED74F8" w:rsidRPr="00314541" w:rsidRDefault="00ED74F8" w:rsidP="00314541">
      <w:r w:rsidRPr="004523AB">
        <w:rPr>
          <w:b/>
          <w:bCs/>
          <w:sz w:val="28"/>
          <w:szCs w:val="32"/>
        </w:rPr>
        <w:br w:type="page"/>
      </w:r>
    </w:p>
    <w:p w14:paraId="7445EED8" w14:textId="08D43AC5" w:rsidR="00ED74F8" w:rsidRPr="004523AB" w:rsidRDefault="00D225BC" w:rsidP="00ED74F8">
      <w:pPr>
        <w:pStyle w:val="Heading1"/>
      </w:pPr>
      <w:bookmarkStart w:id="17" w:name="_Toc184982758"/>
      <w:r w:rsidRPr="004523AB">
        <w:lastRenderedPageBreak/>
        <w:t xml:space="preserve">Evaluation approach </w:t>
      </w:r>
      <w:r w:rsidR="008B5BAD" w:rsidRPr="004523AB">
        <w:t>and methodology</w:t>
      </w:r>
      <w:bookmarkEnd w:id="17"/>
    </w:p>
    <w:tbl>
      <w:tblPr>
        <w:tblStyle w:val="NousLongformcallout"/>
        <w:tblW w:w="4950" w:type="pct"/>
        <w:tblCellMar>
          <w:top w:w="170" w:type="dxa"/>
          <w:bottom w:w="170" w:type="dxa"/>
        </w:tblCellMar>
        <w:tblLook w:val="04A0" w:firstRow="1" w:lastRow="0" w:firstColumn="1" w:lastColumn="0" w:noHBand="0" w:noVBand="1"/>
      </w:tblPr>
      <w:tblGrid>
        <w:gridCol w:w="8818"/>
      </w:tblGrid>
      <w:tr w:rsidR="000549A4" w:rsidRPr="004523AB" w14:paraId="56B8C8B4" w14:textId="77777777" w:rsidTr="00A806ED">
        <w:tc>
          <w:tcPr>
            <w:tcW w:w="7285" w:type="dxa"/>
          </w:tcPr>
          <w:p w14:paraId="038C5A29" w14:textId="77777777" w:rsidR="00E55824" w:rsidRPr="004523AB" w:rsidRDefault="00E55824" w:rsidP="00323C65">
            <w:pPr>
              <w:pStyle w:val="Sectionintroduction"/>
            </w:pPr>
            <w:r w:rsidRPr="004523AB">
              <w:t>This section details the approach and framework that structures the evaluation. It includes the:</w:t>
            </w:r>
          </w:p>
          <w:p w14:paraId="3A6B9622" w14:textId="77777777" w:rsidR="00E55824" w:rsidRPr="004523AB" w:rsidRDefault="00E55824" w:rsidP="00323C65">
            <w:pPr>
              <w:pStyle w:val="intoductionbullet"/>
            </w:pPr>
            <w:r w:rsidRPr="004523AB">
              <w:t>evaluation scope and objectives</w:t>
            </w:r>
          </w:p>
          <w:p w14:paraId="4C6B7BE1" w14:textId="77777777" w:rsidR="00E55824" w:rsidRPr="004523AB" w:rsidRDefault="00E55824" w:rsidP="00323C65">
            <w:pPr>
              <w:pStyle w:val="intoductionbullet"/>
            </w:pPr>
            <w:r w:rsidRPr="004523AB">
              <w:t>evaluation approach and program logic</w:t>
            </w:r>
          </w:p>
          <w:p w14:paraId="527C454C" w14:textId="77777777" w:rsidR="00E55824" w:rsidRPr="004523AB" w:rsidRDefault="00E55824" w:rsidP="00323C65">
            <w:pPr>
              <w:pStyle w:val="intoductionbullet"/>
            </w:pPr>
            <w:r w:rsidRPr="004523AB">
              <w:t>key evaluation questions</w:t>
            </w:r>
          </w:p>
          <w:p w14:paraId="523F053D" w14:textId="047B574B" w:rsidR="000549A4" w:rsidRPr="004523AB" w:rsidRDefault="00E55824" w:rsidP="00323C65">
            <w:pPr>
              <w:pStyle w:val="intoductionbullet"/>
              <w:rPr>
                <w:b/>
              </w:rPr>
            </w:pPr>
            <w:r w:rsidRPr="004523AB">
              <w:t>methodology</w:t>
            </w:r>
          </w:p>
        </w:tc>
      </w:tr>
    </w:tbl>
    <w:p w14:paraId="73ECA9DE" w14:textId="4780DBD2" w:rsidR="00076171" w:rsidRPr="004523AB" w:rsidRDefault="00036B64" w:rsidP="00D902ED">
      <w:pPr>
        <w:pStyle w:val="Heading2"/>
      </w:pPr>
      <w:bookmarkStart w:id="18" w:name="_Toc184982759"/>
      <w:proofErr w:type="spellStart"/>
      <w:r w:rsidRPr="004523AB">
        <w:t>Evalution</w:t>
      </w:r>
      <w:proofErr w:type="spellEnd"/>
      <w:r w:rsidRPr="004523AB">
        <w:t xml:space="preserve"> </w:t>
      </w:r>
      <w:r w:rsidR="004C7AC8" w:rsidRPr="004523AB">
        <w:t>scope and objectives</w:t>
      </w:r>
      <w:bookmarkEnd w:id="18"/>
    </w:p>
    <w:p w14:paraId="21FC4E61" w14:textId="77777777" w:rsidR="006153B3" w:rsidRPr="004523AB" w:rsidRDefault="006153B3" w:rsidP="00314541">
      <w:r w:rsidRPr="004523AB">
        <w:t>Nous was engaged by the Department to independently evaluate</w:t>
      </w:r>
      <w:r w:rsidRPr="004523AB" w:rsidDel="00660475">
        <w:t xml:space="preserve"> </w:t>
      </w:r>
      <w:r w:rsidRPr="004523AB">
        <w:t>the Program. The evaluation was conducted between December 2023 and October 2024. The</w:t>
      </w:r>
      <w:r w:rsidRPr="004523AB" w:rsidDel="001831B3">
        <w:t xml:space="preserve"> </w:t>
      </w:r>
      <w:r w:rsidRPr="004523AB">
        <w:t>evaluation assessed the extent to which the aims and objectives of the Program have been achieved. The findings will</w:t>
      </w:r>
      <w:r w:rsidRPr="004523AB" w:rsidDel="001831B3">
        <w:t xml:space="preserve"> </w:t>
      </w:r>
      <w:r w:rsidRPr="004523AB">
        <w:t xml:space="preserve">contribute to the national evidence base and informing policy decisions about primary care grant programs, including the mechanism by which grants are administered going forward. </w:t>
      </w:r>
    </w:p>
    <w:p w14:paraId="25A16849" w14:textId="564F7F0B" w:rsidR="006153B3" w:rsidRPr="004523AB" w:rsidRDefault="006153B3" w:rsidP="00314541">
      <w:r w:rsidRPr="004523AB">
        <w:t xml:space="preserve">The objectives of the evaluation were to assess the: </w:t>
      </w:r>
    </w:p>
    <w:p w14:paraId="3C2A6FAB" w14:textId="77777777" w:rsidR="006153B3" w:rsidRPr="00314541" w:rsidRDefault="006153B3" w:rsidP="00314541">
      <w:pPr>
        <w:pStyle w:val="ListBullet"/>
      </w:pPr>
      <w:r w:rsidRPr="004523AB">
        <w:t xml:space="preserve">Appropriateness and </w:t>
      </w:r>
      <w:r w:rsidRPr="00314541">
        <w:t>design of the Program for achieving its objectives.</w:t>
      </w:r>
    </w:p>
    <w:p w14:paraId="430AC0F9" w14:textId="77777777" w:rsidR="006153B3" w:rsidRPr="00314541" w:rsidRDefault="006153B3" w:rsidP="00314541">
      <w:pPr>
        <w:pStyle w:val="ListBullet"/>
      </w:pPr>
      <w:r w:rsidRPr="00314541">
        <w:t>Effectiveness and efficiency of the implementation process of the Program.</w:t>
      </w:r>
    </w:p>
    <w:p w14:paraId="6DD3DF5F" w14:textId="26E837EC" w:rsidR="006153B3" w:rsidRPr="00314541" w:rsidRDefault="006153B3" w:rsidP="00314541">
      <w:pPr>
        <w:pStyle w:val="ListBullet"/>
      </w:pPr>
      <w:r w:rsidRPr="00314541">
        <w:t xml:space="preserve">Effectiveness of the grant distribution mechanism of the Program, and any barriers and enablers to achieving its intended outcomes. </w:t>
      </w:r>
    </w:p>
    <w:p w14:paraId="732E9422" w14:textId="76078676" w:rsidR="00FD42B7" w:rsidRPr="004523AB" w:rsidRDefault="00FD42B7" w:rsidP="00D902ED">
      <w:pPr>
        <w:pStyle w:val="Heading2"/>
        <w:rPr>
          <w:rFonts w:eastAsiaTheme="minorHAnsi"/>
        </w:rPr>
      </w:pPr>
      <w:bookmarkStart w:id="19" w:name="_Toc183696564"/>
      <w:bookmarkStart w:id="20" w:name="_Toc184982760"/>
      <w:r w:rsidRPr="004523AB">
        <w:rPr>
          <w:rFonts w:eastAsiaTheme="minorHAnsi"/>
        </w:rPr>
        <w:t>Evaluation approach and program logic</w:t>
      </w:r>
      <w:bookmarkEnd w:id="19"/>
      <w:bookmarkEnd w:id="20"/>
    </w:p>
    <w:p w14:paraId="5F19D53D" w14:textId="77777777" w:rsidR="00FD47AE" w:rsidRPr="004523AB" w:rsidRDefault="00FD47AE" w:rsidP="00FD47AE">
      <w:pPr>
        <w:rPr>
          <w:lang w:eastAsia="en-AU"/>
        </w:rPr>
      </w:pPr>
      <w:r w:rsidRPr="004523AB">
        <w:rPr>
          <w:lang w:eastAsia="en-AU"/>
        </w:rPr>
        <w:t xml:space="preserve">The evaluation used a program logic approach with a realist lens, combining both formative and summative elements. A realist lens is appropriate for this evaluation because it ensures analysis is undertaken from the perspective that outcomes are context dependent, and that even though an action may have one specific intention, the outcome may change depending on the context. The </w:t>
      </w:r>
      <w:r w:rsidRPr="004523AB">
        <w:t>formative (or process) elements provide the Department with feedback about effectiveness of the design and delivery of the Program, including assessing the suitability of the Program’s design for achieving the intended outcomes, and whether and how initial implementation resulted in changes to the design and delivery of the Program. Summative (or outcome) elements provide the Department with feedback about the outcomes the Program achieved.</w:t>
      </w:r>
    </w:p>
    <w:p w14:paraId="0F5C5111" w14:textId="28D556A1" w:rsidR="00B76D39" w:rsidRPr="004523AB" w:rsidRDefault="00E55824" w:rsidP="00FD47AE">
      <w:pPr>
        <w:rPr>
          <w:highlight w:val="yellow"/>
          <w:lang w:eastAsia="en-AU"/>
        </w:rPr>
        <w:sectPr w:rsidR="00B76D39" w:rsidRPr="004523AB" w:rsidSect="00660A4D">
          <w:headerReference w:type="even" r:id="rId21"/>
          <w:headerReference w:type="default" r:id="rId22"/>
          <w:footerReference w:type="default" r:id="rId23"/>
          <w:headerReference w:type="first" r:id="rId24"/>
          <w:footerReference w:type="first" r:id="rId25"/>
          <w:pgSz w:w="11907" w:h="16839" w:code="9"/>
          <w:pgMar w:top="1247" w:right="1418" w:bottom="1701" w:left="1559" w:header="720" w:footer="720" w:gutter="0"/>
          <w:pgNumType w:start="1"/>
          <w:cols w:space="720"/>
          <w:titlePg/>
          <w:docGrid w:linePitch="360"/>
        </w:sectPr>
      </w:pPr>
      <w:r w:rsidRPr="004523AB">
        <w:rPr>
          <w:lang w:eastAsia="en-AU"/>
        </w:rPr>
        <w:fldChar w:fldCharType="begin"/>
      </w:r>
      <w:r w:rsidRPr="004523AB">
        <w:rPr>
          <w:lang w:eastAsia="en-AU"/>
        </w:rPr>
        <w:instrText xml:space="preserve"> REF _Ref184907615 \h </w:instrText>
      </w:r>
      <w:r w:rsidR="004523AB" w:rsidRPr="004523AB">
        <w:rPr>
          <w:lang w:eastAsia="en-AU"/>
        </w:rPr>
        <w:instrText xml:space="preserve"> \* MERGEFORMAT </w:instrText>
      </w:r>
      <w:r w:rsidRPr="004523AB">
        <w:rPr>
          <w:lang w:eastAsia="en-AU"/>
        </w:rPr>
      </w:r>
      <w:r w:rsidRPr="004523AB">
        <w:rPr>
          <w:lang w:eastAsia="en-AU"/>
        </w:rPr>
        <w:fldChar w:fldCharType="separate"/>
      </w:r>
      <w:r w:rsidR="00B96E50" w:rsidRPr="004523AB">
        <w:t xml:space="preserve">Table </w:t>
      </w:r>
      <w:r w:rsidR="00B96E50">
        <w:rPr>
          <w:noProof/>
        </w:rPr>
        <w:t>7</w:t>
      </w:r>
      <w:r w:rsidRPr="004523AB">
        <w:rPr>
          <w:lang w:eastAsia="en-AU"/>
        </w:rPr>
        <w:fldChar w:fldCharType="end"/>
      </w:r>
      <w:r w:rsidR="00FD47AE" w:rsidRPr="004523AB">
        <w:rPr>
          <w:lang w:eastAsia="en-AU"/>
        </w:rPr>
        <w:t xml:space="preserve"> shows the Program logic</w:t>
      </w:r>
      <w:r w:rsidR="00FD47AE" w:rsidRPr="004523AB" w:rsidDel="002902BA">
        <w:rPr>
          <w:lang w:eastAsia="en-AU"/>
        </w:rPr>
        <w:t xml:space="preserve"> </w:t>
      </w:r>
      <w:r w:rsidR="00FD47AE" w:rsidRPr="004523AB">
        <w:rPr>
          <w:lang w:eastAsia="en-AU"/>
        </w:rPr>
        <w:t xml:space="preserve">refined through the evaluation, which sets out the intended relationships between inputs, activities and outcomes. This program logic guided the development of the KEQs in </w:t>
      </w:r>
      <w:r w:rsidRPr="004523AB">
        <w:rPr>
          <w:lang w:eastAsia="en-AU"/>
        </w:rPr>
        <w:fldChar w:fldCharType="begin"/>
      </w:r>
      <w:r w:rsidRPr="004523AB">
        <w:rPr>
          <w:lang w:eastAsia="en-AU"/>
        </w:rPr>
        <w:instrText xml:space="preserve"> REF _Ref184907372 \h </w:instrText>
      </w:r>
      <w:r w:rsidR="004523AB" w:rsidRPr="004523AB">
        <w:rPr>
          <w:lang w:eastAsia="en-AU"/>
        </w:rPr>
        <w:instrText xml:space="preserve"> \* MERGEFORMAT </w:instrText>
      </w:r>
      <w:r w:rsidRPr="004523AB">
        <w:rPr>
          <w:lang w:eastAsia="en-AU"/>
        </w:rPr>
      </w:r>
      <w:r w:rsidRPr="004523AB">
        <w:rPr>
          <w:lang w:eastAsia="en-AU"/>
        </w:rPr>
        <w:fldChar w:fldCharType="separate"/>
      </w:r>
      <w:r w:rsidR="00B96E50" w:rsidRPr="004523AB">
        <w:t xml:space="preserve">Table </w:t>
      </w:r>
      <w:r w:rsidR="00B96E50">
        <w:rPr>
          <w:noProof/>
        </w:rPr>
        <w:t>8</w:t>
      </w:r>
      <w:r w:rsidRPr="004523AB">
        <w:rPr>
          <w:lang w:eastAsia="en-AU"/>
        </w:rPr>
        <w:fldChar w:fldCharType="end"/>
      </w:r>
      <w:r w:rsidRPr="004523AB">
        <w:rPr>
          <w:lang w:eastAsia="en-AU"/>
        </w:rPr>
        <w:t>.</w:t>
      </w:r>
      <w:r w:rsidR="00B76D39" w:rsidRPr="004523AB">
        <w:rPr>
          <w:highlight w:val="yellow"/>
          <w:lang w:eastAsia="en-AU"/>
        </w:rPr>
        <w:br w:type="page"/>
      </w:r>
    </w:p>
    <w:p w14:paraId="04A58D07" w14:textId="7D66FB22" w:rsidR="00E55824" w:rsidRPr="004523AB" w:rsidRDefault="00E55824" w:rsidP="00E55824">
      <w:pPr>
        <w:pStyle w:val="Caption"/>
      </w:pPr>
      <w:bookmarkStart w:id="21" w:name="_Ref184907615"/>
      <w:r w:rsidRPr="004523AB">
        <w:lastRenderedPageBreak/>
        <w:t xml:space="preserve">Table </w:t>
      </w:r>
      <w:r w:rsidRPr="004523AB">
        <w:fldChar w:fldCharType="begin"/>
      </w:r>
      <w:r w:rsidRPr="004523AB">
        <w:instrText xml:space="preserve"> SEQ Table \* ARABIC </w:instrText>
      </w:r>
      <w:r w:rsidRPr="004523AB">
        <w:fldChar w:fldCharType="separate"/>
      </w:r>
      <w:r w:rsidR="00B96E50">
        <w:rPr>
          <w:noProof/>
        </w:rPr>
        <w:t>7</w:t>
      </w:r>
      <w:r w:rsidRPr="004523AB">
        <w:fldChar w:fldCharType="end"/>
      </w:r>
      <w:bookmarkEnd w:id="21"/>
      <w:r w:rsidRPr="004523AB">
        <w:t xml:space="preserve"> | Program logic</w:t>
      </w:r>
    </w:p>
    <w:tbl>
      <w:tblPr>
        <w:tblStyle w:val="AccessibleNousTable"/>
        <w:tblW w:w="0" w:type="auto"/>
        <w:tblLook w:val="04A0" w:firstRow="1" w:lastRow="0" w:firstColumn="1" w:lastColumn="0" w:noHBand="0" w:noVBand="1"/>
      </w:tblPr>
      <w:tblGrid>
        <w:gridCol w:w="1548"/>
        <w:gridCol w:w="1991"/>
        <w:gridCol w:w="3544"/>
        <w:gridCol w:w="2016"/>
        <w:gridCol w:w="2236"/>
        <w:gridCol w:w="2546"/>
      </w:tblGrid>
      <w:tr w:rsidR="00424E5D" w:rsidRPr="004523AB" w14:paraId="6D5EB34D" w14:textId="77777777" w:rsidTr="00F46999">
        <w:trPr>
          <w:cnfStyle w:val="100000000000" w:firstRow="1" w:lastRow="0" w:firstColumn="0" w:lastColumn="0" w:oddVBand="0" w:evenVBand="0" w:oddHBand="0" w:evenHBand="0" w:firstRowFirstColumn="0" w:firstRowLastColumn="0" w:lastRowFirstColumn="0" w:lastRowLastColumn="0"/>
          <w:tblHeader/>
        </w:trPr>
        <w:tc>
          <w:tcPr>
            <w:tcW w:w="1548" w:type="dxa"/>
          </w:tcPr>
          <w:p w14:paraId="79842DE4" w14:textId="02DD1659" w:rsidR="00B76D39" w:rsidRPr="004523AB" w:rsidRDefault="008030E2" w:rsidP="00F46999">
            <w:pPr>
              <w:pStyle w:val="TableNheader"/>
              <w:rPr>
                <w:lang w:eastAsia="en-AU"/>
              </w:rPr>
            </w:pPr>
            <w:r w:rsidRPr="004523AB">
              <w:rPr>
                <w:lang w:eastAsia="en-AU"/>
              </w:rPr>
              <w:t xml:space="preserve">Need </w:t>
            </w:r>
          </w:p>
        </w:tc>
        <w:tc>
          <w:tcPr>
            <w:tcW w:w="1991" w:type="dxa"/>
          </w:tcPr>
          <w:p w14:paraId="5EE180CF" w14:textId="16408398" w:rsidR="00B76D39" w:rsidRPr="004523AB" w:rsidRDefault="008030E2" w:rsidP="00F46999">
            <w:pPr>
              <w:pStyle w:val="TableNheader"/>
              <w:rPr>
                <w:lang w:eastAsia="en-AU"/>
              </w:rPr>
            </w:pPr>
            <w:r w:rsidRPr="004523AB">
              <w:rPr>
                <w:lang w:eastAsia="en-AU"/>
              </w:rPr>
              <w:t>Inputs</w:t>
            </w:r>
          </w:p>
        </w:tc>
        <w:tc>
          <w:tcPr>
            <w:tcW w:w="3544" w:type="dxa"/>
          </w:tcPr>
          <w:p w14:paraId="0C175E25" w14:textId="15D89E4F" w:rsidR="00B76D39" w:rsidRPr="004523AB" w:rsidRDefault="00E6007F" w:rsidP="00F46999">
            <w:pPr>
              <w:pStyle w:val="TableNheader"/>
              <w:rPr>
                <w:lang w:eastAsia="en-AU"/>
              </w:rPr>
            </w:pPr>
            <w:r w:rsidRPr="004523AB">
              <w:rPr>
                <w:lang w:eastAsia="en-AU"/>
              </w:rPr>
              <w:t>Activities</w:t>
            </w:r>
          </w:p>
        </w:tc>
        <w:tc>
          <w:tcPr>
            <w:tcW w:w="2016" w:type="dxa"/>
          </w:tcPr>
          <w:p w14:paraId="778355DA" w14:textId="47A4250D" w:rsidR="00B76D39" w:rsidRPr="004523AB" w:rsidRDefault="00BE7BC5" w:rsidP="00F46999">
            <w:pPr>
              <w:pStyle w:val="TableNheader"/>
              <w:rPr>
                <w:lang w:eastAsia="en-AU"/>
              </w:rPr>
            </w:pPr>
            <w:r w:rsidRPr="004523AB">
              <w:rPr>
                <w:lang w:eastAsia="en-AU"/>
              </w:rPr>
              <w:t>Outputs</w:t>
            </w:r>
          </w:p>
        </w:tc>
        <w:tc>
          <w:tcPr>
            <w:tcW w:w="2236" w:type="dxa"/>
          </w:tcPr>
          <w:p w14:paraId="0481970B" w14:textId="483CC896" w:rsidR="00B76D39" w:rsidRPr="004523AB" w:rsidRDefault="00375109" w:rsidP="00F46999">
            <w:pPr>
              <w:pStyle w:val="TableNheader"/>
              <w:rPr>
                <w:lang w:eastAsia="en-AU"/>
              </w:rPr>
            </w:pPr>
            <w:r w:rsidRPr="004523AB">
              <w:rPr>
                <w:lang w:eastAsia="en-AU"/>
              </w:rPr>
              <w:t>Outcomes</w:t>
            </w:r>
          </w:p>
        </w:tc>
        <w:tc>
          <w:tcPr>
            <w:tcW w:w="2546" w:type="dxa"/>
          </w:tcPr>
          <w:p w14:paraId="7A8C246F" w14:textId="73739267" w:rsidR="00B76D39" w:rsidRPr="004523AB" w:rsidRDefault="00DE709E" w:rsidP="00F46999">
            <w:pPr>
              <w:pStyle w:val="TableNheader"/>
              <w:rPr>
                <w:lang w:eastAsia="en-AU"/>
              </w:rPr>
            </w:pPr>
            <w:r w:rsidRPr="004523AB">
              <w:rPr>
                <w:lang w:eastAsia="en-AU"/>
              </w:rPr>
              <w:t>Impact</w:t>
            </w:r>
          </w:p>
        </w:tc>
      </w:tr>
      <w:tr w:rsidR="00561BE3" w:rsidRPr="004523AB" w14:paraId="22E5A71A" w14:textId="77777777" w:rsidTr="006D695F">
        <w:tc>
          <w:tcPr>
            <w:tcW w:w="1548" w:type="dxa"/>
            <w:shd w:val="clear" w:color="auto" w:fill="D9D9D9" w:themeFill="background1" w:themeFillShade="D9"/>
          </w:tcPr>
          <w:p w14:paraId="65119046" w14:textId="6740E5E8" w:rsidR="00B76D39" w:rsidRPr="004523AB" w:rsidRDefault="00830897" w:rsidP="00FD47AE">
            <w:pPr>
              <w:rPr>
                <w:lang w:eastAsia="en-AU"/>
              </w:rPr>
            </w:pPr>
            <w:r w:rsidRPr="004523AB">
              <w:rPr>
                <w:lang w:eastAsia="en-AU"/>
              </w:rPr>
              <w:t>What need is being assessed?</w:t>
            </w:r>
          </w:p>
        </w:tc>
        <w:tc>
          <w:tcPr>
            <w:tcW w:w="1991" w:type="dxa"/>
            <w:shd w:val="clear" w:color="auto" w:fill="D9D9D9" w:themeFill="background1" w:themeFillShade="D9"/>
          </w:tcPr>
          <w:p w14:paraId="6DD8BEA5" w14:textId="644623F5" w:rsidR="00B76D39" w:rsidRPr="004523AB" w:rsidRDefault="00FF4674" w:rsidP="00FD47AE">
            <w:pPr>
              <w:rPr>
                <w:lang w:eastAsia="en-AU"/>
              </w:rPr>
            </w:pPr>
            <w:r w:rsidRPr="004523AB">
              <w:rPr>
                <w:lang w:eastAsia="en-AU"/>
              </w:rPr>
              <w:t xml:space="preserve">What </w:t>
            </w:r>
            <w:r w:rsidR="002E6786" w:rsidRPr="004523AB">
              <w:rPr>
                <w:lang w:eastAsia="en-AU"/>
              </w:rPr>
              <w:t>is being invested?</w:t>
            </w:r>
          </w:p>
        </w:tc>
        <w:tc>
          <w:tcPr>
            <w:tcW w:w="3544" w:type="dxa"/>
            <w:shd w:val="clear" w:color="auto" w:fill="D9D9D9" w:themeFill="background1" w:themeFillShade="D9"/>
          </w:tcPr>
          <w:p w14:paraId="2F16AB64" w14:textId="48308B16" w:rsidR="00B76D39" w:rsidRPr="004523AB" w:rsidRDefault="009C6986" w:rsidP="00FD47AE">
            <w:pPr>
              <w:rPr>
                <w:lang w:eastAsia="en-AU"/>
              </w:rPr>
            </w:pPr>
            <w:r w:rsidRPr="004523AB">
              <w:rPr>
                <w:lang w:eastAsia="en-AU"/>
              </w:rPr>
              <w:t xml:space="preserve">What is the program </w:t>
            </w:r>
            <w:r w:rsidR="00CE1F0E" w:rsidRPr="004523AB">
              <w:rPr>
                <w:lang w:eastAsia="en-AU"/>
              </w:rPr>
              <w:t>designed to do?</w:t>
            </w:r>
          </w:p>
        </w:tc>
        <w:tc>
          <w:tcPr>
            <w:tcW w:w="2016" w:type="dxa"/>
            <w:shd w:val="clear" w:color="auto" w:fill="D9D9D9" w:themeFill="background1" w:themeFillShade="D9"/>
          </w:tcPr>
          <w:p w14:paraId="13B9E117" w14:textId="0856DF76" w:rsidR="00B76D39" w:rsidRPr="004523AB" w:rsidRDefault="00F76255" w:rsidP="00FD47AE">
            <w:pPr>
              <w:rPr>
                <w:lang w:eastAsia="en-AU"/>
              </w:rPr>
            </w:pPr>
            <w:r w:rsidRPr="004523AB">
              <w:rPr>
                <w:lang w:eastAsia="en-AU"/>
              </w:rPr>
              <w:t xml:space="preserve">What is the program </w:t>
            </w:r>
            <w:proofErr w:type="spellStart"/>
            <w:r w:rsidRPr="004523AB">
              <w:rPr>
                <w:lang w:eastAsia="en-AU"/>
              </w:rPr>
              <w:t>intented</w:t>
            </w:r>
            <w:proofErr w:type="spellEnd"/>
            <w:r w:rsidRPr="004523AB">
              <w:rPr>
                <w:lang w:eastAsia="en-AU"/>
              </w:rPr>
              <w:t xml:space="preserve"> to do?</w:t>
            </w:r>
          </w:p>
        </w:tc>
        <w:tc>
          <w:tcPr>
            <w:tcW w:w="2236" w:type="dxa"/>
            <w:shd w:val="clear" w:color="auto" w:fill="D9D9D9" w:themeFill="background1" w:themeFillShade="D9"/>
          </w:tcPr>
          <w:p w14:paraId="5CFCE6F3" w14:textId="7C35B2E8" w:rsidR="00B76D39" w:rsidRPr="004523AB" w:rsidRDefault="0050517D" w:rsidP="00FD47AE">
            <w:pPr>
              <w:rPr>
                <w:lang w:eastAsia="en-AU"/>
              </w:rPr>
            </w:pPr>
            <w:r w:rsidRPr="004523AB">
              <w:rPr>
                <w:lang w:eastAsia="en-AU"/>
              </w:rPr>
              <w:t>What will the program achieve/</w:t>
            </w:r>
          </w:p>
        </w:tc>
        <w:tc>
          <w:tcPr>
            <w:tcW w:w="2546" w:type="dxa"/>
            <w:shd w:val="clear" w:color="auto" w:fill="D9D9D9" w:themeFill="background1" w:themeFillShade="D9"/>
          </w:tcPr>
          <w:p w14:paraId="6D34EFEF" w14:textId="12EC5331" w:rsidR="00B76D39" w:rsidRPr="004523AB" w:rsidRDefault="00681FCE" w:rsidP="00FD47AE">
            <w:pPr>
              <w:rPr>
                <w:lang w:eastAsia="en-AU"/>
              </w:rPr>
            </w:pPr>
            <w:r w:rsidRPr="004523AB">
              <w:rPr>
                <w:lang w:eastAsia="en-AU"/>
              </w:rPr>
              <w:t>What will the broad</w:t>
            </w:r>
            <w:r w:rsidR="00C50103" w:rsidRPr="004523AB">
              <w:rPr>
                <w:lang w:eastAsia="en-AU"/>
              </w:rPr>
              <w:t xml:space="preserve">er reform </w:t>
            </w:r>
            <w:r w:rsidR="006B231D" w:rsidRPr="004523AB">
              <w:rPr>
                <w:lang w:eastAsia="en-AU"/>
              </w:rPr>
              <w:t>agenda contribute?</w:t>
            </w:r>
          </w:p>
        </w:tc>
      </w:tr>
      <w:tr w:rsidR="00424E5D" w:rsidRPr="004523AB" w14:paraId="6A271941" w14:textId="77777777" w:rsidTr="006D695F">
        <w:tc>
          <w:tcPr>
            <w:tcW w:w="1548" w:type="dxa"/>
          </w:tcPr>
          <w:p w14:paraId="1B382AE0" w14:textId="068E2F24" w:rsidR="00DE709E" w:rsidRPr="004523AB" w:rsidRDefault="00E608B7" w:rsidP="00FD47AE">
            <w:pPr>
              <w:rPr>
                <w:lang w:eastAsia="en-AU"/>
              </w:rPr>
            </w:pPr>
            <w:r w:rsidRPr="004523AB">
              <w:rPr>
                <w:lang w:eastAsia="en-AU"/>
              </w:rPr>
              <w:t xml:space="preserve">Priority investment is needed to strengthen general practices and ACCHOs to expand patient access and improve quality, safe and affordable primary health care. </w:t>
            </w:r>
          </w:p>
        </w:tc>
        <w:tc>
          <w:tcPr>
            <w:tcW w:w="1991" w:type="dxa"/>
          </w:tcPr>
          <w:p w14:paraId="1C73035E" w14:textId="77777777" w:rsidR="00A2502D" w:rsidRPr="004523AB" w:rsidRDefault="00A2502D" w:rsidP="00424E5D">
            <w:pPr>
              <w:pStyle w:val="TableNBullet"/>
            </w:pPr>
            <w:r w:rsidRPr="004523AB">
              <w:rPr>
                <w:rFonts w:eastAsiaTheme="minorEastAsia"/>
              </w:rPr>
              <w:t>Australian Government health policy (Strengthening Medicare).</w:t>
            </w:r>
          </w:p>
          <w:p w14:paraId="0354E726" w14:textId="77777777" w:rsidR="00A2502D" w:rsidRPr="004523AB" w:rsidRDefault="00A2502D" w:rsidP="00424E5D">
            <w:pPr>
              <w:pStyle w:val="TableNBullet"/>
            </w:pPr>
            <w:r w:rsidRPr="004523AB">
              <w:rPr>
                <w:rFonts w:eastAsiaTheme="minorEastAsia"/>
              </w:rPr>
              <w:t>General Practice Grants Program funding- $220 million in grants and $4.59 for PHNs to administer and manage.</w:t>
            </w:r>
          </w:p>
          <w:p w14:paraId="6B34408B" w14:textId="77777777" w:rsidR="00A2502D" w:rsidRPr="004523AB" w:rsidRDefault="00A2502D" w:rsidP="00424E5D">
            <w:pPr>
              <w:pStyle w:val="TableNBullet"/>
            </w:pPr>
            <w:r w:rsidRPr="004523AB">
              <w:rPr>
                <w:rFonts w:eastAsiaTheme="minorEastAsia"/>
              </w:rPr>
              <w:t>General Practice Grants policy and support.</w:t>
            </w:r>
          </w:p>
          <w:p w14:paraId="4E9D06FD" w14:textId="77777777" w:rsidR="00A2502D" w:rsidRPr="004523AB" w:rsidRDefault="00A2502D" w:rsidP="00424E5D">
            <w:pPr>
              <w:pStyle w:val="TableNBullet"/>
            </w:pPr>
            <w:r w:rsidRPr="004523AB">
              <w:rPr>
                <w:rFonts w:eastAsiaTheme="minorEastAsia"/>
              </w:rPr>
              <w:t xml:space="preserve">Funding agreements with 31 PHNs and a subcontract with </w:t>
            </w:r>
            <w:r w:rsidRPr="004523AB">
              <w:rPr>
                <w:rFonts w:eastAsiaTheme="minorEastAsia"/>
              </w:rPr>
              <w:lastRenderedPageBreak/>
              <w:t>National Aboriginal Community Controlled Health Organisation.</w:t>
            </w:r>
          </w:p>
          <w:p w14:paraId="7921F771" w14:textId="77777777" w:rsidR="00A2502D" w:rsidRPr="004523AB" w:rsidRDefault="00A2502D" w:rsidP="00424E5D">
            <w:pPr>
              <w:pStyle w:val="TableNBullet"/>
            </w:pPr>
            <w:r w:rsidRPr="004523AB">
              <w:rPr>
                <w:rFonts w:eastAsiaTheme="minorEastAsia"/>
              </w:rPr>
              <w:t>RACGP and peak bodies.</w:t>
            </w:r>
          </w:p>
          <w:p w14:paraId="271E9A98" w14:textId="77777777" w:rsidR="00A2502D" w:rsidRPr="004523AB" w:rsidRDefault="00A2502D" w:rsidP="00424E5D">
            <w:pPr>
              <w:pStyle w:val="TableNBullet"/>
            </w:pPr>
            <w:r w:rsidRPr="004523AB">
              <w:rPr>
                <w:rFonts w:eastAsiaTheme="minorEastAsia"/>
              </w:rPr>
              <w:t>General practices and Aboriginal Community Controlled Health Services.</w:t>
            </w:r>
          </w:p>
          <w:p w14:paraId="54D184E7" w14:textId="4967A2FA" w:rsidR="00DE709E" w:rsidRPr="004523AB" w:rsidRDefault="00A2502D" w:rsidP="00424E5D">
            <w:pPr>
              <w:pStyle w:val="TableNBullet"/>
            </w:pPr>
            <w:r w:rsidRPr="004523AB">
              <w:rPr>
                <w:rFonts w:eastAsiaTheme="minorEastAsia"/>
              </w:rPr>
              <w:t>Data, including Practice Incentives Program (PIP), general practitioner full time equivalent, ACCHO, and PHN verification.</w:t>
            </w:r>
          </w:p>
        </w:tc>
        <w:tc>
          <w:tcPr>
            <w:tcW w:w="3544" w:type="dxa"/>
          </w:tcPr>
          <w:p w14:paraId="5DFFDF87" w14:textId="77777777" w:rsidR="00983974" w:rsidRPr="004523AB" w:rsidRDefault="00983974" w:rsidP="00424E5D">
            <w:pPr>
              <w:pStyle w:val="TableNBullet"/>
              <w:rPr>
                <w:rFonts w:eastAsiaTheme="minorEastAsia"/>
              </w:rPr>
            </w:pPr>
            <w:r w:rsidRPr="004523AB">
              <w:rPr>
                <w:rFonts w:eastAsiaTheme="minorEastAsia"/>
              </w:rPr>
              <w:lastRenderedPageBreak/>
              <w:t>Grant policy and program design and governance</w:t>
            </w:r>
          </w:p>
          <w:p w14:paraId="3C2F296A" w14:textId="77777777" w:rsidR="00983974" w:rsidRPr="004523AB" w:rsidRDefault="00983974" w:rsidP="00424E5D">
            <w:pPr>
              <w:pStyle w:val="TableNBullet"/>
              <w:rPr>
                <w:rFonts w:eastAsiaTheme="minorEastAsia"/>
              </w:rPr>
            </w:pPr>
            <w:r w:rsidRPr="004523AB">
              <w:rPr>
                <w:rFonts w:eastAsiaTheme="minorEastAsia"/>
              </w:rPr>
              <w:t>Amendment to existing PHN Schedules (Grant agreements).</w:t>
            </w:r>
          </w:p>
          <w:p w14:paraId="7854AC82" w14:textId="77777777" w:rsidR="00983974" w:rsidRPr="004523AB" w:rsidRDefault="00983974" w:rsidP="00424E5D">
            <w:pPr>
              <w:pStyle w:val="TableNBullet"/>
              <w:rPr>
                <w:rFonts w:eastAsiaTheme="minorEastAsia"/>
              </w:rPr>
            </w:pPr>
            <w:r w:rsidRPr="004523AB">
              <w:rPr>
                <w:rFonts w:eastAsiaTheme="minorEastAsia"/>
              </w:rPr>
              <w:t>Grant communication and promotion.</w:t>
            </w:r>
          </w:p>
          <w:p w14:paraId="636AF1BC" w14:textId="77777777" w:rsidR="00983974" w:rsidRPr="004523AB" w:rsidRDefault="00983974" w:rsidP="00424E5D">
            <w:pPr>
              <w:pStyle w:val="TableNBullet"/>
              <w:rPr>
                <w:rFonts w:eastAsiaTheme="minorEastAsia"/>
              </w:rPr>
            </w:pPr>
            <w:r w:rsidRPr="004523AB">
              <w:rPr>
                <w:rFonts w:eastAsiaTheme="minorEastAsia"/>
              </w:rPr>
              <w:t>Stakeholder engagement with PHNs and NACCHO.</w:t>
            </w:r>
          </w:p>
          <w:p w14:paraId="18C8928A" w14:textId="77777777" w:rsidR="00983974" w:rsidRPr="004523AB" w:rsidRDefault="00983974" w:rsidP="00424E5D">
            <w:pPr>
              <w:pStyle w:val="TableNBullet"/>
              <w:rPr>
                <w:rFonts w:eastAsiaTheme="minorEastAsia"/>
              </w:rPr>
            </w:pPr>
            <w:r w:rsidRPr="004523AB">
              <w:rPr>
                <w:rFonts w:eastAsiaTheme="minorEastAsia"/>
              </w:rPr>
              <w:t>Administration of the Program by PHNs and NACCHO for each region, including letters of offer, assessment, funding, monitoring/reporting and data capture.</w:t>
            </w:r>
          </w:p>
          <w:p w14:paraId="61AA786B" w14:textId="77777777" w:rsidR="00983974" w:rsidRPr="004523AB" w:rsidRDefault="00983974" w:rsidP="00424E5D">
            <w:pPr>
              <w:pStyle w:val="TableNBullet"/>
              <w:rPr>
                <w:rFonts w:eastAsiaTheme="minorEastAsia"/>
              </w:rPr>
            </w:pPr>
            <w:r w:rsidRPr="004523AB">
              <w:rPr>
                <w:rFonts w:eastAsiaTheme="minorEastAsia"/>
              </w:rPr>
              <w:t>Practices / ACCHOs invest in innovation, training, equipment, and/or minor capital works across three investment streams.</w:t>
            </w:r>
          </w:p>
          <w:p w14:paraId="63DA9B3A" w14:textId="77777777" w:rsidR="00983974" w:rsidRPr="004523AB" w:rsidRDefault="00983974" w:rsidP="00424E5D">
            <w:pPr>
              <w:pStyle w:val="TableNBullet"/>
              <w:rPr>
                <w:rFonts w:eastAsiaTheme="minorEastAsia"/>
              </w:rPr>
            </w:pPr>
            <w:r w:rsidRPr="004523AB">
              <w:rPr>
                <w:rFonts w:eastAsiaTheme="minorEastAsia"/>
              </w:rPr>
              <w:t>Targeted grant compliance and monitoring activities.</w:t>
            </w:r>
          </w:p>
          <w:p w14:paraId="04E46E3C" w14:textId="41A1B178" w:rsidR="00DE709E" w:rsidRPr="004523AB" w:rsidRDefault="00983974" w:rsidP="00424E5D">
            <w:pPr>
              <w:pStyle w:val="TableNBullet"/>
              <w:rPr>
                <w:rFonts w:eastAsiaTheme="minorEastAsia"/>
              </w:rPr>
            </w:pPr>
            <w:r w:rsidRPr="004523AB">
              <w:rPr>
                <w:rFonts w:eastAsiaTheme="minorEastAsia"/>
              </w:rPr>
              <w:lastRenderedPageBreak/>
              <w:t>General practices/ACCHOs financial acquittals.</w:t>
            </w:r>
          </w:p>
        </w:tc>
        <w:tc>
          <w:tcPr>
            <w:tcW w:w="2016" w:type="dxa"/>
          </w:tcPr>
          <w:p w14:paraId="4A659EE1" w14:textId="63478C60" w:rsidR="00DE709E" w:rsidRPr="004523AB" w:rsidRDefault="009D46EB" w:rsidP="00D5597B">
            <w:pPr>
              <w:pStyle w:val="TableNText"/>
              <w:rPr>
                <w:lang w:eastAsia="en-AU"/>
              </w:rPr>
            </w:pPr>
            <w:r w:rsidRPr="004523AB">
              <w:rPr>
                <w:lang w:eastAsia="en-AU"/>
              </w:rPr>
              <w:lastRenderedPageBreak/>
              <w:t>Department obtains more complete Practice / ACCHO practice data set.</w:t>
            </w:r>
          </w:p>
        </w:tc>
        <w:tc>
          <w:tcPr>
            <w:tcW w:w="2236" w:type="dxa"/>
          </w:tcPr>
          <w:p w14:paraId="42B88A5B" w14:textId="77777777" w:rsidR="00561BE3" w:rsidRPr="00442231" w:rsidRDefault="00561BE3" w:rsidP="00442231">
            <w:pPr>
              <w:rPr>
                <w:rStyle w:val="Strong"/>
              </w:rPr>
            </w:pPr>
            <w:r w:rsidRPr="00442231">
              <w:rPr>
                <w:rStyle w:val="Strong"/>
              </w:rPr>
              <w:t>Short term outcomes (1-2 years)</w:t>
            </w:r>
          </w:p>
          <w:p w14:paraId="34213253" w14:textId="795C63CF" w:rsidR="006841F8" w:rsidRPr="004523AB" w:rsidRDefault="006841F8" w:rsidP="006841F8">
            <w:pPr>
              <w:pStyle w:val="TableNBullet"/>
              <w:rPr>
                <w:rFonts w:asciiTheme="minorHAnsi" w:eastAsiaTheme="minorEastAsia" w:hAnsiTheme="minorHAnsi" w:cstheme="minorHAnsi"/>
              </w:rPr>
            </w:pPr>
            <w:r w:rsidRPr="004523AB">
              <w:rPr>
                <w:rFonts w:asciiTheme="minorHAnsi" w:eastAsiaTheme="minorEastAsia" w:hAnsiTheme="minorHAnsi" w:cstheme="minorHAnsi"/>
              </w:rPr>
              <w:t>National list of practices / ACCHOs for future policy development.</w:t>
            </w:r>
          </w:p>
          <w:p w14:paraId="378D0896" w14:textId="789A51DF" w:rsidR="00DE709E" w:rsidRPr="000145D3" w:rsidRDefault="006841F8" w:rsidP="000145D3">
            <w:pPr>
              <w:pStyle w:val="TableNBullet"/>
              <w:rPr>
                <w:rFonts w:asciiTheme="minorHAnsi" w:hAnsiTheme="minorHAnsi" w:cstheme="minorHAnsi"/>
              </w:rPr>
            </w:pPr>
            <w:r w:rsidRPr="004523AB">
              <w:rPr>
                <w:rFonts w:asciiTheme="minorHAnsi" w:eastAsiaTheme="minorEastAsia" w:hAnsiTheme="minorHAnsi" w:cstheme="minorHAnsi"/>
              </w:rPr>
              <w:t>Improved relationships between practices and PHNs/ACCHOs and NACCO</w:t>
            </w:r>
          </w:p>
        </w:tc>
        <w:tc>
          <w:tcPr>
            <w:tcW w:w="2546" w:type="dxa"/>
          </w:tcPr>
          <w:p w14:paraId="3993C266" w14:textId="77777777" w:rsidR="00347659" w:rsidRPr="00442231" w:rsidRDefault="00347659" w:rsidP="00442231">
            <w:pPr>
              <w:rPr>
                <w:rStyle w:val="Strong"/>
              </w:rPr>
            </w:pPr>
            <w:r w:rsidRPr="00442231">
              <w:rPr>
                <w:rStyle w:val="Strong"/>
              </w:rPr>
              <w:t>Medium-term outcomes (2-4 years)</w:t>
            </w:r>
          </w:p>
          <w:p w14:paraId="7495A788" w14:textId="77777777" w:rsidR="00347659" w:rsidRPr="004523AB" w:rsidRDefault="00347659" w:rsidP="00347659">
            <w:pPr>
              <w:pStyle w:val="TableNBullet"/>
            </w:pPr>
            <w:r w:rsidRPr="004523AB">
              <w:rPr>
                <w:rFonts w:eastAsiaTheme="minorEastAsia"/>
              </w:rPr>
              <w:t>Expanded patient access to and improved general practice services.</w:t>
            </w:r>
          </w:p>
          <w:p w14:paraId="2C48FC80" w14:textId="77777777" w:rsidR="00347659" w:rsidRPr="004523AB" w:rsidRDefault="00347659" w:rsidP="00347659">
            <w:pPr>
              <w:pStyle w:val="TableNBullet"/>
            </w:pPr>
            <w:r w:rsidRPr="004523AB">
              <w:rPr>
                <w:rFonts w:eastAsiaTheme="minorEastAsia"/>
              </w:rPr>
              <w:t>Improved, secure access and sharing of patient information across the health system.</w:t>
            </w:r>
          </w:p>
          <w:p w14:paraId="070B8A27" w14:textId="77777777" w:rsidR="00347659" w:rsidRPr="004523AB" w:rsidRDefault="00347659" w:rsidP="00347659">
            <w:pPr>
              <w:pStyle w:val="TableNBullet"/>
            </w:pPr>
            <w:r w:rsidRPr="004523AB">
              <w:rPr>
                <w:rFonts w:eastAsiaTheme="minorEastAsia"/>
              </w:rPr>
              <w:t>Supporting general practices to increase quality of primary health care services in local regions, particularly for people at risk of poorer health outcomes.</w:t>
            </w:r>
          </w:p>
          <w:p w14:paraId="60BFB0DD" w14:textId="77777777" w:rsidR="00347659" w:rsidRPr="004523AB" w:rsidRDefault="00347659" w:rsidP="00347659">
            <w:pPr>
              <w:pStyle w:val="TableNBullet"/>
            </w:pPr>
            <w:r w:rsidRPr="004523AB">
              <w:rPr>
                <w:rFonts w:eastAsiaTheme="minorEastAsia"/>
              </w:rPr>
              <w:lastRenderedPageBreak/>
              <w:t>Supporting the delivery of health information, advice and services to help people care for themselves and their families.</w:t>
            </w:r>
          </w:p>
          <w:p w14:paraId="388F3D15" w14:textId="3EF58A10" w:rsidR="00DE709E" w:rsidRPr="004523AB" w:rsidRDefault="00347659" w:rsidP="00347659">
            <w:pPr>
              <w:pStyle w:val="TableNBullet"/>
            </w:pPr>
            <w:r w:rsidRPr="004523AB">
              <w:rPr>
                <w:rStyle w:val="TableNBulletChar"/>
                <w:rFonts w:eastAsiaTheme="minorEastAsia"/>
              </w:rPr>
              <w:t>Improved quality and safety in health services and ensuring a high standard of national general practice services through increased proportion of practices accredited against</w:t>
            </w:r>
            <w:r w:rsidRPr="004523AB">
              <w:rPr>
                <w:rFonts w:eastAsiaTheme="minorEastAsia"/>
              </w:rPr>
              <w:t xml:space="preserve"> RACGP Standards.</w:t>
            </w:r>
          </w:p>
        </w:tc>
      </w:tr>
      <w:tr w:rsidR="00347659" w:rsidRPr="004523AB" w14:paraId="67241C39" w14:textId="77777777" w:rsidTr="00215FF7">
        <w:tc>
          <w:tcPr>
            <w:tcW w:w="1548" w:type="dxa"/>
          </w:tcPr>
          <w:p w14:paraId="6D036019" w14:textId="77777777" w:rsidR="005D6B55" w:rsidRPr="004523AB" w:rsidRDefault="005D6B55" w:rsidP="00FD47AE">
            <w:pPr>
              <w:rPr>
                <w:lang w:eastAsia="en-AU"/>
              </w:rPr>
            </w:pPr>
          </w:p>
        </w:tc>
        <w:tc>
          <w:tcPr>
            <w:tcW w:w="1991" w:type="dxa"/>
          </w:tcPr>
          <w:p w14:paraId="358A9791" w14:textId="77777777" w:rsidR="005D6B55" w:rsidRPr="004523AB" w:rsidRDefault="005D6B55" w:rsidP="009E63FD">
            <w:pPr>
              <w:pStyle w:val="TableNBullet"/>
              <w:numPr>
                <w:ilvl w:val="0"/>
                <w:numId w:val="0"/>
              </w:numPr>
              <w:ind w:left="227" w:hanging="227"/>
              <w:rPr>
                <w:rFonts w:eastAsiaTheme="minorEastAsia"/>
              </w:rPr>
            </w:pPr>
          </w:p>
        </w:tc>
        <w:tc>
          <w:tcPr>
            <w:tcW w:w="3544" w:type="dxa"/>
            <w:shd w:val="clear" w:color="auto" w:fill="auto"/>
          </w:tcPr>
          <w:p w14:paraId="436F0F05" w14:textId="77777777" w:rsidR="00863556" w:rsidRPr="004523AB" w:rsidRDefault="00863556" w:rsidP="00424E5D">
            <w:pPr>
              <w:pStyle w:val="TableNBullet"/>
              <w:rPr>
                <w:rFonts w:eastAsiaTheme="minorEastAsia"/>
              </w:rPr>
            </w:pPr>
            <w:r w:rsidRPr="004523AB">
              <w:rPr>
                <w:rFonts w:eastAsiaTheme="minorEastAsia"/>
              </w:rPr>
              <w:t>Investment in clinical software and equipment.</w:t>
            </w:r>
          </w:p>
          <w:p w14:paraId="16A005B1" w14:textId="77777777" w:rsidR="00863556" w:rsidRPr="004523AB" w:rsidRDefault="00863556" w:rsidP="00424E5D">
            <w:pPr>
              <w:pStyle w:val="TableNBullet"/>
              <w:rPr>
                <w:rFonts w:eastAsiaTheme="minorEastAsia"/>
              </w:rPr>
            </w:pPr>
            <w:r w:rsidRPr="004523AB">
              <w:rPr>
                <w:rFonts w:eastAsiaTheme="minorEastAsia"/>
              </w:rPr>
              <w:t xml:space="preserve">Staff training on digital capability. </w:t>
            </w:r>
          </w:p>
          <w:p w14:paraId="20E57284" w14:textId="6401D197" w:rsidR="005D6B55" w:rsidRPr="004523AB" w:rsidRDefault="00863556" w:rsidP="00424E5D">
            <w:pPr>
              <w:pStyle w:val="TableNBullet"/>
              <w:rPr>
                <w:rFonts w:eastAsiaTheme="minorEastAsia"/>
              </w:rPr>
            </w:pPr>
            <w:r w:rsidRPr="004523AB">
              <w:rPr>
                <w:rFonts w:eastAsiaTheme="minorEastAsia"/>
              </w:rPr>
              <w:t xml:space="preserve">Capital works to secure or upgrade IT infrastructure. </w:t>
            </w:r>
          </w:p>
        </w:tc>
        <w:tc>
          <w:tcPr>
            <w:tcW w:w="2016" w:type="dxa"/>
            <w:shd w:val="clear" w:color="auto" w:fill="auto"/>
          </w:tcPr>
          <w:p w14:paraId="1D66E774" w14:textId="1188D0A4" w:rsidR="005D6B55" w:rsidRPr="004523AB" w:rsidRDefault="001C46D2" w:rsidP="00D5597B">
            <w:pPr>
              <w:pStyle w:val="TableNText"/>
              <w:rPr>
                <w:lang w:eastAsia="en-AU"/>
              </w:rPr>
            </w:pPr>
            <w:r w:rsidRPr="004523AB">
              <w:rPr>
                <w:lang w:eastAsia="en-AU"/>
              </w:rPr>
              <w:t>Practices / ACCHOs will enhance digital health capability (e.g. IT hardware and software upgrade).</w:t>
            </w:r>
          </w:p>
        </w:tc>
        <w:tc>
          <w:tcPr>
            <w:tcW w:w="2236" w:type="dxa"/>
            <w:shd w:val="clear" w:color="auto" w:fill="auto"/>
          </w:tcPr>
          <w:p w14:paraId="0FCA1B25" w14:textId="1F5B5081" w:rsidR="005D6B55" w:rsidRPr="004523AB" w:rsidRDefault="00DE27D0" w:rsidP="00D5597B">
            <w:pPr>
              <w:pStyle w:val="TableNText"/>
              <w:rPr>
                <w:lang w:eastAsia="en-AU"/>
              </w:rPr>
            </w:pPr>
            <w:r w:rsidRPr="004523AB">
              <w:rPr>
                <w:lang w:eastAsia="en-AU"/>
              </w:rPr>
              <w:t>Increased uptake of contemporary digital health solutions.</w:t>
            </w:r>
          </w:p>
        </w:tc>
        <w:tc>
          <w:tcPr>
            <w:tcW w:w="2546" w:type="dxa"/>
          </w:tcPr>
          <w:p w14:paraId="5780114A" w14:textId="77777777" w:rsidR="005D6B55" w:rsidRPr="004523AB" w:rsidRDefault="005D6B55" w:rsidP="00FD47AE">
            <w:pPr>
              <w:rPr>
                <w:lang w:eastAsia="en-AU"/>
              </w:rPr>
            </w:pPr>
          </w:p>
        </w:tc>
      </w:tr>
      <w:tr w:rsidR="00347659" w:rsidRPr="004523AB" w14:paraId="272108E9" w14:textId="77777777" w:rsidTr="00215FF7">
        <w:tc>
          <w:tcPr>
            <w:tcW w:w="1548" w:type="dxa"/>
          </w:tcPr>
          <w:p w14:paraId="143BD2C9" w14:textId="77777777" w:rsidR="00ED7341" w:rsidRPr="004523AB" w:rsidRDefault="00ED7341" w:rsidP="00ED7341">
            <w:pPr>
              <w:rPr>
                <w:lang w:eastAsia="en-AU"/>
              </w:rPr>
            </w:pPr>
          </w:p>
        </w:tc>
        <w:tc>
          <w:tcPr>
            <w:tcW w:w="1991" w:type="dxa"/>
          </w:tcPr>
          <w:p w14:paraId="561222A3" w14:textId="77777777" w:rsidR="00ED7341" w:rsidRPr="004523AB" w:rsidRDefault="00ED7341" w:rsidP="009E63FD">
            <w:pPr>
              <w:pStyle w:val="TableNBullet"/>
              <w:numPr>
                <w:ilvl w:val="0"/>
                <w:numId w:val="0"/>
              </w:numPr>
              <w:ind w:left="227" w:hanging="227"/>
              <w:rPr>
                <w:rFonts w:eastAsiaTheme="minorEastAsia"/>
              </w:rPr>
            </w:pPr>
          </w:p>
        </w:tc>
        <w:tc>
          <w:tcPr>
            <w:tcW w:w="3544" w:type="dxa"/>
            <w:shd w:val="clear" w:color="auto" w:fill="auto"/>
          </w:tcPr>
          <w:p w14:paraId="1D3EFBCC" w14:textId="77777777" w:rsidR="005E1510" w:rsidRPr="004523AB" w:rsidRDefault="005E1510" w:rsidP="00424E5D">
            <w:pPr>
              <w:pStyle w:val="TableNBullet"/>
              <w:rPr>
                <w:rFonts w:eastAsiaTheme="minorEastAsia"/>
              </w:rPr>
            </w:pPr>
            <w:r w:rsidRPr="004523AB">
              <w:rPr>
                <w:rFonts w:eastAsiaTheme="minorEastAsia"/>
              </w:rPr>
              <w:t>Professional assessment of existing infection prevention control arrangements.</w:t>
            </w:r>
          </w:p>
          <w:p w14:paraId="144E9362" w14:textId="77777777" w:rsidR="005E1510" w:rsidRPr="004523AB" w:rsidRDefault="005E1510" w:rsidP="00424E5D">
            <w:pPr>
              <w:pStyle w:val="TableNBullet"/>
              <w:rPr>
                <w:rFonts w:eastAsiaTheme="minorEastAsia"/>
              </w:rPr>
            </w:pPr>
            <w:r w:rsidRPr="004523AB">
              <w:rPr>
                <w:rFonts w:eastAsiaTheme="minorEastAsia"/>
              </w:rPr>
              <w:t>Investment in infrastructure and equipment to improve infection and prevention.</w:t>
            </w:r>
          </w:p>
          <w:p w14:paraId="10C7BB35" w14:textId="7CB13473" w:rsidR="00ED7341" w:rsidRPr="004523AB" w:rsidRDefault="005E1510" w:rsidP="00424E5D">
            <w:pPr>
              <w:pStyle w:val="TableNBullet"/>
              <w:rPr>
                <w:rFonts w:eastAsiaTheme="minorEastAsia"/>
              </w:rPr>
            </w:pPr>
            <w:r w:rsidRPr="004523AB">
              <w:rPr>
                <w:rFonts w:eastAsiaTheme="minorEastAsia"/>
              </w:rPr>
              <w:t xml:space="preserve">Staff training on practice controls. </w:t>
            </w:r>
          </w:p>
        </w:tc>
        <w:tc>
          <w:tcPr>
            <w:tcW w:w="2016" w:type="dxa"/>
            <w:shd w:val="clear" w:color="auto" w:fill="auto"/>
          </w:tcPr>
          <w:p w14:paraId="59659A9F" w14:textId="63FBD04D" w:rsidR="00ED7341" w:rsidRPr="004523AB" w:rsidRDefault="00ED7341" w:rsidP="00D5597B">
            <w:pPr>
              <w:pStyle w:val="TableNText"/>
              <w:rPr>
                <w:lang w:eastAsia="en-AU"/>
              </w:rPr>
            </w:pPr>
            <w:r w:rsidRPr="004523AB">
              <w:rPr>
                <w:lang w:eastAsia="en-AU"/>
              </w:rPr>
              <w:t>Practices / ACCHOs will upgrade infection prevention and control arrangements to improve capacity for patients to be safely seen face to face.</w:t>
            </w:r>
          </w:p>
        </w:tc>
        <w:tc>
          <w:tcPr>
            <w:tcW w:w="2236" w:type="dxa"/>
            <w:shd w:val="clear" w:color="auto" w:fill="auto"/>
          </w:tcPr>
          <w:p w14:paraId="29E9B2B6" w14:textId="1C6F6B80" w:rsidR="00ED7341" w:rsidRPr="004523AB" w:rsidRDefault="00E34F7E" w:rsidP="00D5597B">
            <w:pPr>
              <w:pStyle w:val="TableNText"/>
              <w:rPr>
                <w:lang w:eastAsia="en-AU"/>
              </w:rPr>
            </w:pPr>
            <w:r w:rsidRPr="004523AB">
              <w:rPr>
                <w:lang w:eastAsia="en-AU"/>
              </w:rPr>
              <w:t>Increased proportion of COVID positive and other respiratory patients treated in a general practice setting (by increasing practices’ capacity to treat more of these patients).</w:t>
            </w:r>
          </w:p>
        </w:tc>
        <w:tc>
          <w:tcPr>
            <w:tcW w:w="2546" w:type="dxa"/>
          </w:tcPr>
          <w:p w14:paraId="0579A7A5" w14:textId="77777777" w:rsidR="00ED7341" w:rsidRPr="004523AB" w:rsidRDefault="00ED7341" w:rsidP="00ED7341">
            <w:pPr>
              <w:rPr>
                <w:lang w:eastAsia="en-AU"/>
              </w:rPr>
            </w:pPr>
          </w:p>
        </w:tc>
      </w:tr>
      <w:tr w:rsidR="00347659" w:rsidRPr="004523AB" w14:paraId="7DD74F69" w14:textId="77777777" w:rsidTr="00215FF7">
        <w:tc>
          <w:tcPr>
            <w:tcW w:w="1548" w:type="dxa"/>
          </w:tcPr>
          <w:p w14:paraId="7202B0F5" w14:textId="77777777" w:rsidR="00ED7341" w:rsidRPr="004523AB" w:rsidRDefault="00ED7341" w:rsidP="00ED7341">
            <w:pPr>
              <w:rPr>
                <w:lang w:eastAsia="en-AU"/>
              </w:rPr>
            </w:pPr>
          </w:p>
        </w:tc>
        <w:tc>
          <w:tcPr>
            <w:tcW w:w="1991" w:type="dxa"/>
          </w:tcPr>
          <w:p w14:paraId="6C4BA0EA" w14:textId="77777777" w:rsidR="00ED7341" w:rsidRPr="004523AB" w:rsidRDefault="00ED7341" w:rsidP="009E63FD">
            <w:pPr>
              <w:pStyle w:val="TableNBullet"/>
              <w:numPr>
                <w:ilvl w:val="0"/>
                <w:numId w:val="0"/>
              </w:numPr>
              <w:ind w:left="227" w:hanging="227"/>
              <w:rPr>
                <w:rFonts w:eastAsiaTheme="minorEastAsia"/>
              </w:rPr>
            </w:pPr>
          </w:p>
        </w:tc>
        <w:tc>
          <w:tcPr>
            <w:tcW w:w="3544" w:type="dxa"/>
            <w:shd w:val="clear" w:color="auto" w:fill="auto"/>
          </w:tcPr>
          <w:p w14:paraId="588DE43A" w14:textId="77777777" w:rsidR="00261509" w:rsidRPr="004523AB" w:rsidRDefault="00261509" w:rsidP="00424E5D">
            <w:pPr>
              <w:pStyle w:val="TableNBullet"/>
              <w:rPr>
                <w:rFonts w:eastAsiaTheme="minorEastAsia"/>
              </w:rPr>
            </w:pPr>
            <w:r w:rsidRPr="004523AB">
              <w:rPr>
                <w:rFonts w:eastAsiaTheme="minorEastAsia"/>
              </w:rPr>
              <w:t xml:space="preserve">Investment in equipment or procedures to improve accessibility. </w:t>
            </w:r>
          </w:p>
          <w:p w14:paraId="56795B29" w14:textId="77777777" w:rsidR="00261509" w:rsidRPr="004523AB" w:rsidRDefault="00261509" w:rsidP="00424E5D">
            <w:pPr>
              <w:pStyle w:val="TableNBullet"/>
              <w:rPr>
                <w:rFonts w:eastAsiaTheme="minorEastAsia"/>
              </w:rPr>
            </w:pPr>
            <w:r w:rsidRPr="004523AB">
              <w:rPr>
                <w:rFonts w:eastAsiaTheme="minorEastAsia"/>
              </w:rPr>
              <w:t>Capital works and/or training to improve patient safety and quality of care.</w:t>
            </w:r>
          </w:p>
          <w:p w14:paraId="08AB28C9" w14:textId="77777777" w:rsidR="00261509" w:rsidRPr="004523AB" w:rsidRDefault="00261509" w:rsidP="00424E5D">
            <w:pPr>
              <w:pStyle w:val="TableNBullet"/>
              <w:rPr>
                <w:rFonts w:eastAsiaTheme="minorEastAsia"/>
              </w:rPr>
            </w:pPr>
            <w:proofErr w:type="gramStart"/>
            <w:r w:rsidRPr="004523AB">
              <w:rPr>
                <w:rFonts w:eastAsiaTheme="minorEastAsia"/>
              </w:rPr>
              <w:lastRenderedPageBreak/>
              <w:t>Investment  in</w:t>
            </w:r>
            <w:proofErr w:type="gramEnd"/>
            <w:r w:rsidRPr="004523AB">
              <w:rPr>
                <w:rFonts w:eastAsiaTheme="minorEastAsia"/>
              </w:rPr>
              <w:t xml:space="preserve"> initiatives to support staff health, wellbeing and safety. </w:t>
            </w:r>
          </w:p>
          <w:p w14:paraId="29486849" w14:textId="77777777" w:rsidR="00261509" w:rsidRPr="004523AB" w:rsidRDefault="00261509" w:rsidP="00424E5D">
            <w:pPr>
              <w:pStyle w:val="TableNBullet"/>
              <w:rPr>
                <w:rFonts w:eastAsiaTheme="minorEastAsia"/>
              </w:rPr>
            </w:pPr>
            <w:r w:rsidRPr="004523AB">
              <w:rPr>
                <w:rFonts w:eastAsiaTheme="minorEastAsia"/>
              </w:rPr>
              <w:t>Professional development or equipment purchase to maintain/gain accreditation.</w:t>
            </w:r>
          </w:p>
          <w:p w14:paraId="2C690FCB" w14:textId="7E36118A" w:rsidR="00ED7341" w:rsidRPr="004523AB" w:rsidRDefault="00261509" w:rsidP="00424E5D">
            <w:pPr>
              <w:pStyle w:val="TableNBullet"/>
              <w:rPr>
                <w:rFonts w:eastAsiaTheme="minorEastAsia"/>
              </w:rPr>
            </w:pPr>
            <w:r w:rsidRPr="004523AB">
              <w:rPr>
                <w:rFonts w:eastAsiaTheme="minorEastAsia"/>
              </w:rPr>
              <w:t>Consultant services to undertake practice improvements to gain/maintain accreditation.</w:t>
            </w:r>
          </w:p>
        </w:tc>
        <w:tc>
          <w:tcPr>
            <w:tcW w:w="2016" w:type="dxa"/>
            <w:shd w:val="clear" w:color="auto" w:fill="auto"/>
          </w:tcPr>
          <w:p w14:paraId="558FB00B" w14:textId="0FDADFE6" w:rsidR="00ED7341" w:rsidRPr="004523AB" w:rsidRDefault="00A0646A" w:rsidP="00D5597B">
            <w:pPr>
              <w:pStyle w:val="TableNText"/>
              <w:rPr>
                <w:lang w:eastAsia="en-AU"/>
              </w:rPr>
            </w:pPr>
            <w:r w:rsidRPr="004523AB">
              <w:rPr>
                <w:lang w:eastAsia="en-AU"/>
              </w:rPr>
              <w:lastRenderedPageBreak/>
              <w:t xml:space="preserve">Practices / ACCHOs to maintain and/or achieve accreditation against the RACGP </w:t>
            </w:r>
            <w:r w:rsidRPr="004523AB">
              <w:rPr>
                <w:lang w:eastAsia="en-AU"/>
              </w:rPr>
              <w:lastRenderedPageBreak/>
              <w:t>Standards for General Practice under the General Practice Accreditation Scheme.</w:t>
            </w:r>
          </w:p>
        </w:tc>
        <w:tc>
          <w:tcPr>
            <w:tcW w:w="2236" w:type="dxa"/>
            <w:shd w:val="clear" w:color="auto" w:fill="auto"/>
          </w:tcPr>
          <w:p w14:paraId="046172E9" w14:textId="42BA8EB4" w:rsidR="00ED7341" w:rsidRPr="004523AB" w:rsidRDefault="00E34F7E" w:rsidP="00D5597B">
            <w:pPr>
              <w:pStyle w:val="TableNText"/>
              <w:rPr>
                <w:lang w:eastAsia="en-AU"/>
              </w:rPr>
            </w:pPr>
            <w:r w:rsidRPr="004523AB">
              <w:rPr>
                <w:lang w:eastAsia="en-AU"/>
              </w:rPr>
              <w:lastRenderedPageBreak/>
              <w:t xml:space="preserve">Increased proportion of accreditation general practices/ ACCHOs supporting patient safety and assuring a high level </w:t>
            </w:r>
            <w:r w:rsidRPr="004523AB">
              <w:rPr>
                <w:lang w:eastAsia="en-AU"/>
              </w:rPr>
              <w:lastRenderedPageBreak/>
              <w:t>of care, effective risk management, and building a culture of quality and continuous improvement in general practice services.</w:t>
            </w:r>
          </w:p>
        </w:tc>
        <w:tc>
          <w:tcPr>
            <w:tcW w:w="2546" w:type="dxa"/>
          </w:tcPr>
          <w:p w14:paraId="2982111D" w14:textId="77777777" w:rsidR="00ED7341" w:rsidRPr="004523AB" w:rsidRDefault="00ED7341" w:rsidP="00ED7341">
            <w:pPr>
              <w:rPr>
                <w:lang w:eastAsia="en-AU"/>
              </w:rPr>
            </w:pPr>
          </w:p>
        </w:tc>
      </w:tr>
    </w:tbl>
    <w:p w14:paraId="639EC048" w14:textId="77777777" w:rsidR="00B76D39" w:rsidRPr="004523AB" w:rsidRDefault="00B76D39" w:rsidP="00FD47AE">
      <w:pPr>
        <w:rPr>
          <w:lang w:eastAsia="en-AU"/>
        </w:rPr>
        <w:sectPr w:rsidR="00B76D39" w:rsidRPr="004523AB" w:rsidSect="00B76D39">
          <w:pgSz w:w="16839" w:h="11907" w:orient="landscape" w:code="9"/>
          <w:pgMar w:top="1559" w:right="1247" w:bottom="1418" w:left="1701" w:header="720" w:footer="720" w:gutter="0"/>
          <w:cols w:space="720"/>
          <w:titlePg/>
          <w:docGrid w:linePitch="360"/>
        </w:sectPr>
      </w:pPr>
    </w:p>
    <w:p w14:paraId="46979E68" w14:textId="77777777" w:rsidR="00FD47AE" w:rsidRPr="004523AB" w:rsidRDefault="00FD47AE" w:rsidP="00FD47AE">
      <w:pPr>
        <w:rPr>
          <w:lang w:eastAsia="en-AU"/>
        </w:rPr>
      </w:pPr>
    </w:p>
    <w:p w14:paraId="447C0834" w14:textId="3CAD9664" w:rsidR="00FD33AB" w:rsidRPr="004523AB" w:rsidRDefault="00F5114E" w:rsidP="00215FF7">
      <w:pPr>
        <w:pStyle w:val="Heading2"/>
      </w:pPr>
      <w:bookmarkStart w:id="22" w:name="_Toc184982761"/>
      <w:r w:rsidRPr="004523AB">
        <w:t>Key evaluation questions</w:t>
      </w:r>
      <w:bookmarkEnd w:id="22"/>
    </w:p>
    <w:p w14:paraId="121B30BE" w14:textId="20DB48F9" w:rsidR="0013218E" w:rsidRPr="004523AB" w:rsidRDefault="0013218E" w:rsidP="0013218E">
      <w:pPr>
        <w:rPr>
          <w:lang w:eastAsia="en-AU"/>
        </w:rPr>
      </w:pPr>
      <w:r w:rsidRPr="004523AB">
        <w:rPr>
          <w:lang w:eastAsia="en-AU"/>
        </w:rPr>
        <w:t xml:space="preserve">Four KEQs were used to structure the evaluation, and guided data collection and analysis. These are set out in </w:t>
      </w:r>
      <w:r w:rsidR="00F46999" w:rsidRPr="004523AB">
        <w:rPr>
          <w:lang w:eastAsia="en-AU"/>
        </w:rPr>
        <w:fldChar w:fldCharType="begin"/>
      </w:r>
      <w:r w:rsidR="00F46999" w:rsidRPr="004523AB">
        <w:rPr>
          <w:lang w:eastAsia="en-AU"/>
        </w:rPr>
        <w:instrText xml:space="preserve"> REF _Ref184907372 \h </w:instrText>
      </w:r>
      <w:r w:rsidR="004523AB" w:rsidRPr="004523AB">
        <w:rPr>
          <w:lang w:eastAsia="en-AU"/>
        </w:rPr>
        <w:instrText xml:space="preserve"> \* MERGEFORMAT </w:instrText>
      </w:r>
      <w:r w:rsidR="00F46999" w:rsidRPr="004523AB">
        <w:rPr>
          <w:lang w:eastAsia="en-AU"/>
        </w:rPr>
      </w:r>
      <w:r w:rsidR="00F46999" w:rsidRPr="004523AB">
        <w:rPr>
          <w:lang w:eastAsia="en-AU"/>
        </w:rPr>
        <w:fldChar w:fldCharType="separate"/>
      </w:r>
      <w:r w:rsidR="00B96E50" w:rsidRPr="004523AB">
        <w:t xml:space="preserve">Table </w:t>
      </w:r>
      <w:r w:rsidR="00B96E50">
        <w:rPr>
          <w:noProof/>
        </w:rPr>
        <w:t>8</w:t>
      </w:r>
      <w:r w:rsidR="00F46999" w:rsidRPr="004523AB">
        <w:rPr>
          <w:lang w:eastAsia="en-AU"/>
        </w:rPr>
        <w:fldChar w:fldCharType="end"/>
      </w:r>
      <w:r w:rsidRPr="004523AB">
        <w:rPr>
          <w:lang w:eastAsia="en-AU"/>
        </w:rPr>
        <w:t xml:space="preserve">, which includes mapping to where the relevant findings can be found in this report.  </w:t>
      </w:r>
    </w:p>
    <w:p w14:paraId="62E09370" w14:textId="40D528BA" w:rsidR="00F46999" w:rsidRPr="004523AB" w:rsidRDefault="00F46999" w:rsidP="00F46999">
      <w:pPr>
        <w:pStyle w:val="Caption"/>
      </w:pPr>
      <w:bookmarkStart w:id="23" w:name="_Ref184907372"/>
      <w:r w:rsidRPr="004523AB">
        <w:t xml:space="preserve">Table </w:t>
      </w:r>
      <w:r w:rsidRPr="004523AB">
        <w:fldChar w:fldCharType="begin"/>
      </w:r>
      <w:r w:rsidRPr="004523AB">
        <w:instrText xml:space="preserve"> SEQ Table \* ARABIC </w:instrText>
      </w:r>
      <w:r w:rsidRPr="004523AB">
        <w:fldChar w:fldCharType="separate"/>
      </w:r>
      <w:r w:rsidR="00B96E50">
        <w:rPr>
          <w:noProof/>
        </w:rPr>
        <w:t>8</w:t>
      </w:r>
      <w:r w:rsidRPr="004523AB">
        <w:fldChar w:fldCharType="end"/>
      </w:r>
      <w:bookmarkEnd w:id="23"/>
      <w:r w:rsidRPr="004523AB">
        <w:t xml:space="preserve"> | Key Evaluation Questions and research questions</w:t>
      </w:r>
    </w:p>
    <w:tbl>
      <w:tblPr>
        <w:tblStyle w:val="AccessibleNousTable"/>
        <w:tblW w:w="0" w:type="auto"/>
        <w:tblLook w:val="04A0" w:firstRow="1" w:lastRow="0" w:firstColumn="1" w:lastColumn="0" w:noHBand="0" w:noVBand="1"/>
      </w:tblPr>
      <w:tblGrid>
        <w:gridCol w:w="8920"/>
      </w:tblGrid>
      <w:tr w:rsidR="005A1034" w:rsidRPr="004523AB" w14:paraId="5AF5E679" w14:textId="77777777" w:rsidTr="00F46999">
        <w:trPr>
          <w:cnfStyle w:val="100000000000" w:firstRow="1" w:lastRow="0" w:firstColumn="0" w:lastColumn="0" w:oddVBand="0" w:evenVBand="0" w:oddHBand="0" w:evenHBand="0" w:firstRowFirstColumn="0" w:firstRowLastColumn="0" w:lastRowFirstColumn="0" w:lastRowLastColumn="0"/>
          <w:tblHeader/>
        </w:trPr>
        <w:tc>
          <w:tcPr>
            <w:tcW w:w="8920" w:type="dxa"/>
          </w:tcPr>
          <w:p w14:paraId="435CD220" w14:textId="296241D2" w:rsidR="005A1034" w:rsidRPr="004523AB" w:rsidRDefault="005A1034" w:rsidP="00F46999">
            <w:pPr>
              <w:pStyle w:val="TableNheader"/>
              <w:rPr>
                <w:color w:val="00264D" w:themeColor="background2"/>
                <w:sz w:val="24"/>
                <w:szCs w:val="28"/>
                <w:lang w:eastAsia="en-AU"/>
              </w:rPr>
            </w:pPr>
            <w:r w:rsidRPr="004523AB">
              <w:rPr>
                <w:lang w:eastAsia="en-AU"/>
              </w:rPr>
              <w:t>KEQ research questions</w:t>
            </w:r>
          </w:p>
        </w:tc>
      </w:tr>
      <w:tr w:rsidR="005A1034" w:rsidRPr="004523AB" w14:paraId="1E7FC96E" w14:textId="77777777" w:rsidTr="005A1034">
        <w:tc>
          <w:tcPr>
            <w:tcW w:w="8920" w:type="dxa"/>
          </w:tcPr>
          <w:p w14:paraId="31FA14AA" w14:textId="77777777" w:rsidR="005A1034" w:rsidRPr="000145D3" w:rsidRDefault="005A1034" w:rsidP="000145D3">
            <w:pPr>
              <w:rPr>
                <w:rStyle w:val="Strong"/>
              </w:rPr>
            </w:pPr>
            <w:r w:rsidRPr="000145D3">
              <w:rPr>
                <w:rStyle w:val="Strong"/>
              </w:rPr>
              <w:t>Implementation:</w:t>
            </w:r>
          </w:p>
          <w:p w14:paraId="5290E656" w14:textId="0E0BE933" w:rsidR="00A90367" w:rsidRPr="00D5597B" w:rsidRDefault="00203524" w:rsidP="00D5597B">
            <w:pPr>
              <w:pStyle w:val="TableNBullet"/>
            </w:pPr>
            <w:r w:rsidRPr="00D5597B">
              <w:rPr>
                <w:rStyle w:val="TableNTextStrongChar"/>
              </w:rPr>
              <w:t>Design stage</w:t>
            </w:r>
            <w:r w:rsidRPr="00D5597B">
              <w:t xml:space="preserve">: </w:t>
            </w:r>
            <w:r w:rsidR="00A90367" w:rsidRPr="00D5597B">
              <w:t>Was the Program’s design appropriate to deliver the intended outcomes?</w:t>
            </w:r>
            <w:r w:rsidR="00BC2854" w:rsidRPr="00D5597B">
              <w:t xml:space="preserve"> </w:t>
            </w:r>
          </w:p>
          <w:p w14:paraId="52B4FD6D" w14:textId="0208B7B9" w:rsidR="000B69B3" w:rsidRPr="00D5597B" w:rsidRDefault="00203524" w:rsidP="00D5597B">
            <w:pPr>
              <w:pStyle w:val="TableNBullet"/>
            </w:pPr>
            <w:r w:rsidRPr="00D5597B">
              <w:rPr>
                <w:rStyle w:val="TableNTextStrongChar"/>
              </w:rPr>
              <w:t xml:space="preserve">Design </w:t>
            </w:r>
            <w:r w:rsidR="003038B5" w:rsidRPr="00D5597B">
              <w:rPr>
                <w:rStyle w:val="TableNTextStrongChar"/>
              </w:rPr>
              <w:t xml:space="preserve">and delivery </w:t>
            </w:r>
            <w:r w:rsidRPr="00D5597B">
              <w:rPr>
                <w:rStyle w:val="TableNTextStrongChar"/>
              </w:rPr>
              <w:t>stage</w:t>
            </w:r>
            <w:r w:rsidR="002E6015" w:rsidRPr="00D5597B">
              <w:rPr>
                <w:rStyle w:val="TableNTextStrongChar"/>
              </w:rPr>
              <w:t>s</w:t>
            </w:r>
            <w:r w:rsidRPr="00D5597B">
              <w:t xml:space="preserve">: </w:t>
            </w:r>
            <w:r w:rsidR="000B69B3" w:rsidRPr="00D5597B">
              <w:t>What were the implementation issues, barriers to uptake, and lessons learnt?</w:t>
            </w:r>
          </w:p>
          <w:p w14:paraId="398DA9C9" w14:textId="221AD057" w:rsidR="000B69B3" w:rsidRPr="00D5597B" w:rsidRDefault="00203524" w:rsidP="00D5597B">
            <w:pPr>
              <w:pStyle w:val="TableNBullet"/>
            </w:pPr>
            <w:r w:rsidRPr="00D5597B">
              <w:rPr>
                <w:rStyle w:val="TableNTextStrongChar"/>
              </w:rPr>
              <w:t>Design stage</w:t>
            </w:r>
            <w:r w:rsidRPr="00D5597B">
              <w:t xml:space="preserve">: </w:t>
            </w:r>
            <w:r w:rsidR="000B69B3" w:rsidRPr="00D5597B">
              <w:t>What were the reasons why some eligible practices did not apply for grants?</w:t>
            </w:r>
          </w:p>
          <w:p w14:paraId="1A5523B2" w14:textId="50BCB9F9" w:rsidR="00331FFB" w:rsidRPr="00D5597B" w:rsidRDefault="00203524" w:rsidP="00D5597B">
            <w:pPr>
              <w:pStyle w:val="TableNBullet"/>
            </w:pPr>
            <w:r w:rsidRPr="00D5597B">
              <w:rPr>
                <w:rStyle w:val="TableNTextStrongChar"/>
              </w:rPr>
              <w:t>Design</w:t>
            </w:r>
            <w:r w:rsidR="002E6015" w:rsidRPr="00D5597B">
              <w:rPr>
                <w:rStyle w:val="TableNTextStrongChar"/>
              </w:rPr>
              <w:t xml:space="preserve"> and delivery</w:t>
            </w:r>
            <w:r w:rsidRPr="00D5597B">
              <w:rPr>
                <w:rStyle w:val="TableNTextStrongChar"/>
              </w:rPr>
              <w:t xml:space="preserve"> stage</w:t>
            </w:r>
            <w:r w:rsidR="002E6015" w:rsidRPr="00D5597B">
              <w:rPr>
                <w:rStyle w:val="TableNTextStrongChar"/>
              </w:rPr>
              <w:t>s</w:t>
            </w:r>
            <w:r w:rsidRPr="00D5597B">
              <w:t xml:space="preserve">: </w:t>
            </w:r>
            <w:r w:rsidR="00331FFB" w:rsidRPr="00D5597B">
              <w:t>Lessons learnt for future rollout/application.</w:t>
            </w:r>
          </w:p>
          <w:p w14:paraId="2697896C" w14:textId="0D70129E" w:rsidR="004057EA" w:rsidRPr="004523AB" w:rsidRDefault="00203524" w:rsidP="00D5597B">
            <w:pPr>
              <w:pStyle w:val="TableNBullet"/>
              <w:rPr>
                <w:rFonts w:asciiTheme="majorHAnsi" w:hAnsiTheme="majorHAnsi" w:cstheme="majorHAnsi"/>
                <w:color w:val="00264D" w:themeColor="background2"/>
                <w:szCs w:val="21"/>
              </w:rPr>
            </w:pPr>
            <w:r w:rsidRPr="00D5597B">
              <w:rPr>
                <w:rStyle w:val="TableNTextStrongChar"/>
              </w:rPr>
              <w:t>Design stage</w:t>
            </w:r>
            <w:r w:rsidRPr="00D5597B">
              <w:t xml:space="preserve">: </w:t>
            </w:r>
            <w:r w:rsidR="00BC2854" w:rsidRPr="00D5597B">
              <w:t>Sustainability of interventions in each stream, does this investment set them up for long term success?</w:t>
            </w:r>
          </w:p>
        </w:tc>
      </w:tr>
      <w:tr w:rsidR="005A1034" w:rsidRPr="004523AB" w14:paraId="0D70BB93" w14:textId="77777777" w:rsidTr="005A1034">
        <w:tc>
          <w:tcPr>
            <w:tcW w:w="8920" w:type="dxa"/>
          </w:tcPr>
          <w:p w14:paraId="18A05B76" w14:textId="77777777" w:rsidR="005A1034" w:rsidRPr="000145D3" w:rsidRDefault="005A1034" w:rsidP="000145D3">
            <w:pPr>
              <w:rPr>
                <w:rStyle w:val="Strong"/>
              </w:rPr>
            </w:pPr>
            <w:r w:rsidRPr="000145D3">
              <w:rPr>
                <w:rStyle w:val="Strong"/>
              </w:rPr>
              <w:t>Effectiveness:</w:t>
            </w:r>
          </w:p>
          <w:p w14:paraId="30B2F7CB" w14:textId="3A974608" w:rsidR="00A751D8" w:rsidRPr="00D5597B" w:rsidRDefault="002F34CE" w:rsidP="00D5597B">
            <w:pPr>
              <w:pStyle w:val="TableNBullet"/>
            </w:pPr>
            <w:r w:rsidRPr="00D5597B">
              <w:rPr>
                <w:rStyle w:val="TableNTextStrongChar"/>
              </w:rPr>
              <w:t>Outcomes stage</w:t>
            </w:r>
            <w:r w:rsidRPr="00D5597B">
              <w:t xml:space="preserve">: </w:t>
            </w:r>
            <w:r w:rsidR="00A751D8" w:rsidRPr="00D5597B">
              <w:t xml:space="preserve">Has the Program increased the take up and use of contemporary digital health solutions for improved and secure communication of patient information? </w:t>
            </w:r>
          </w:p>
          <w:p w14:paraId="35F64206" w14:textId="3E068018" w:rsidR="00A751D8" w:rsidRPr="00D5597B" w:rsidRDefault="002F34CE" w:rsidP="00D5597B">
            <w:pPr>
              <w:pStyle w:val="TableNBullet"/>
            </w:pPr>
            <w:r w:rsidRPr="00D5597B">
              <w:rPr>
                <w:rStyle w:val="TableNTextStrongChar"/>
              </w:rPr>
              <w:t>Outcomes stage</w:t>
            </w:r>
            <w:r w:rsidRPr="00D5597B">
              <w:t xml:space="preserve">: </w:t>
            </w:r>
            <w:r w:rsidR="00A751D8" w:rsidRPr="00D5597B">
              <w:t xml:space="preserve">Have the infection prevention and control measures funded under the grants enabled your practice to see more patients face to face? </w:t>
            </w:r>
          </w:p>
          <w:p w14:paraId="2E54A8C7" w14:textId="1A6CF69B" w:rsidR="00A751D8" w:rsidRPr="00D5597B" w:rsidRDefault="002F34CE" w:rsidP="00D5597B">
            <w:pPr>
              <w:pStyle w:val="TableNBullet"/>
            </w:pPr>
            <w:r w:rsidRPr="00D5597B">
              <w:rPr>
                <w:rStyle w:val="TableNTextStrongChar"/>
              </w:rPr>
              <w:t>Outcomes stage</w:t>
            </w:r>
            <w:r w:rsidRPr="00D5597B">
              <w:t xml:space="preserve">: </w:t>
            </w:r>
            <w:r w:rsidR="00A751D8" w:rsidRPr="00D5597B">
              <w:t>Has the Program increased the proportion of practices maintaining and gaining General Practice accreditation overall, and in under-serviced locations?</w:t>
            </w:r>
          </w:p>
          <w:p w14:paraId="4BD9FF85" w14:textId="567F6001" w:rsidR="00A751D8" w:rsidRPr="00D5597B" w:rsidRDefault="00C511F2" w:rsidP="00D5597B">
            <w:pPr>
              <w:pStyle w:val="TableNBullet"/>
            </w:pPr>
            <w:r w:rsidRPr="00D5597B">
              <w:rPr>
                <w:rStyle w:val="TableNTextStrongChar"/>
              </w:rPr>
              <w:t>Delivery and o</w:t>
            </w:r>
            <w:r w:rsidR="002F34CE" w:rsidRPr="00D5597B">
              <w:rPr>
                <w:rStyle w:val="TableNTextStrongChar"/>
              </w:rPr>
              <w:t>utcomes stage</w:t>
            </w:r>
            <w:r w:rsidRPr="00D5597B">
              <w:rPr>
                <w:rStyle w:val="TableNTextStrongChar"/>
              </w:rPr>
              <w:t>s</w:t>
            </w:r>
            <w:r w:rsidR="002F34CE" w:rsidRPr="00D5597B">
              <w:t xml:space="preserve">: </w:t>
            </w:r>
            <w:r w:rsidR="00A751D8" w:rsidRPr="00D5597B">
              <w:t>Has the Program, through support to ACCHOs, benefitted First Nations Peoples in accessing primary healthcare?</w:t>
            </w:r>
          </w:p>
          <w:p w14:paraId="5FF942C2" w14:textId="1B4D322F" w:rsidR="00A751D8" w:rsidRPr="00D5597B" w:rsidRDefault="0033319F" w:rsidP="00D5597B">
            <w:pPr>
              <w:pStyle w:val="TableNBullet"/>
            </w:pPr>
            <w:r w:rsidRPr="00D5597B">
              <w:rPr>
                <w:rStyle w:val="TableNTextStrongChar"/>
              </w:rPr>
              <w:t>Design and delivery</w:t>
            </w:r>
            <w:r w:rsidR="00C511F2" w:rsidRPr="00D5597B">
              <w:rPr>
                <w:rStyle w:val="TableNTextStrongChar"/>
              </w:rPr>
              <w:t xml:space="preserve"> stage</w:t>
            </w:r>
            <w:r w:rsidRPr="00D5597B">
              <w:rPr>
                <w:rStyle w:val="TableNTextStrongChar"/>
              </w:rPr>
              <w:t>s</w:t>
            </w:r>
            <w:r w:rsidR="00C511F2" w:rsidRPr="00D5597B">
              <w:t xml:space="preserve">: </w:t>
            </w:r>
            <w:r w:rsidR="00A751D8" w:rsidRPr="00D5597B">
              <w:t xml:space="preserve">What are the key features of the Program that have assisted or hindered its success? </w:t>
            </w:r>
          </w:p>
          <w:p w14:paraId="50021B0D" w14:textId="0E0AC7A3" w:rsidR="00A751D8" w:rsidRPr="00D5597B" w:rsidRDefault="000E7285" w:rsidP="00D5597B">
            <w:pPr>
              <w:pStyle w:val="TableNBullet"/>
            </w:pPr>
            <w:r w:rsidRPr="00D5597B">
              <w:rPr>
                <w:rStyle w:val="TableNTextStrongChar"/>
              </w:rPr>
              <w:t>Delivery stage</w:t>
            </w:r>
            <w:r w:rsidRPr="00D5597B">
              <w:t xml:space="preserve">: </w:t>
            </w:r>
            <w:r w:rsidR="00A751D8" w:rsidRPr="00D5597B">
              <w:t xml:space="preserve">How have the investment streams of the Program leveraged or interacted with other programs, including state/territory funded programs? E.g. state and territory/local government funded clinics. </w:t>
            </w:r>
          </w:p>
          <w:p w14:paraId="275F4898" w14:textId="11A7F57D" w:rsidR="00A751D8" w:rsidRPr="004523AB" w:rsidRDefault="00624A97" w:rsidP="00D5597B">
            <w:pPr>
              <w:pStyle w:val="TableNBullet"/>
              <w:rPr>
                <w:rFonts w:asciiTheme="majorHAnsi" w:hAnsiTheme="majorHAnsi" w:cstheme="majorHAnsi"/>
                <w:color w:val="00264D" w:themeColor="background2"/>
                <w:sz w:val="24"/>
                <w:szCs w:val="28"/>
              </w:rPr>
            </w:pPr>
            <w:r w:rsidRPr="00D5597B">
              <w:rPr>
                <w:rStyle w:val="TableNTextStrongChar"/>
              </w:rPr>
              <w:t>Outcomes stage</w:t>
            </w:r>
            <w:r w:rsidRPr="00D5597B">
              <w:t xml:space="preserve">: </w:t>
            </w:r>
            <w:r w:rsidR="00A751D8" w:rsidRPr="00D5597B">
              <w:t>Has the Program produced any unintended outcomes or impacts? If so, what are the key features of the Program that contributed to most of these?</w:t>
            </w:r>
            <w:r w:rsidR="00A751D8" w:rsidRPr="004523AB">
              <w:t xml:space="preserve"> </w:t>
            </w:r>
          </w:p>
        </w:tc>
      </w:tr>
      <w:tr w:rsidR="005A1034" w:rsidRPr="004523AB" w14:paraId="6B810854" w14:textId="77777777" w:rsidTr="005A1034">
        <w:tc>
          <w:tcPr>
            <w:tcW w:w="8920" w:type="dxa"/>
          </w:tcPr>
          <w:p w14:paraId="473E0E2E" w14:textId="77777777" w:rsidR="005A1034" w:rsidRPr="000145D3" w:rsidRDefault="005A1034" w:rsidP="000145D3">
            <w:pPr>
              <w:pStyle w:val="TableNText"/>
              <w:rPr>
                <w:rStyle w:val="Strong"/>
              </w:rPr>
            </w:pPr>
            <w:r w:rsidRPr="000145D3">
              <w:rPr>
                <w:rStyle w:val="Strong"/>
              </w:rPr>
              <w:t>Appropriateness:</w:t>
            </w:r>
          </w:p>
          <w:p w14:paraId="2A274CE1" w14:textId="0562280A" w:rsidR="00D47538" w:rsidRPr="00D5597B" w:rsidRDefault="000C209C" w:rsidP="00D5597B">
            <w:pPr>
              <w:pStyle w:val="TableNBullet"/>
            </w:pPr>
            <w:r w:rsidRPr="00D5597B">
              <w:rPr>
                <w:rStyle w:val="TableNTextStrongChar"/>
              </w:rPr>
              <w:t>Design and d</w:t>
            </w:r>
            <w:r w:rsidR="007C1CFE" w:rsidRPr="00D5597B">
              <w:rPr>
                <w:rStyle w:val="TableNTextStrongChar"/>
              </w:rPr>
              <w:t>elivery stage</w:t>
            </w:r>
            <w:r w:rsidRPr="00D5597B">
              <w:rPr>
                <w:rStyle w:val="TableNTextStrongChar"/>
              </w:rPr>
              <w:t>s</w:t>
            </w:r>
            <w:r w:rsidR="007C1CFE" w:rsidRPr="00D5597B">
              <w:t xml:space="preserve">: </w:t>
            </w:r>
            <w:r w:rsidR="00D47538" w:rsidRPr="00D5597B">
              <w:t xml:space="preserve">Was providing one off grants, administered by PHNs/NACCHO the most appropriate way to achieve the Program objectives? </w:t>
            </w:r>
          </w:p>
          <w:p w14:paraId="67328E5D" w14:textId="5832F911" w:rsidR="00F16323" w:rsidRPr="00D5597B" w:rsidRDefault="00CB7868" w:rsidP="00D5597B">
            <w:pPr>
              <w:pStyle w:val="TableNBullet"/>
            </w:pPr>
            <w:r w:rsidRPr="00D5597B">
              <w:rPr>
                <w:rStyle w:val="TableNTextStrongChar"/>
              </w:rPr>
              <w:t>Design and outcomes stages</w:t>
            </w:r>
            <w:r w:rsidRPr="00D5597B">
              <w:t xml:space="preserve">: </w:t>
            </w:r>
            <w:r w:rsidR="00F16323" w:rsidRPr="00D5597B">
              <w:t xml:space="preserve">To what extent were the investment streams included in the current Program appropriate in meeting the aims and objectives of the Program? </w:t>
            </w:r>
          </w:p>
          <w:p w14:paraId="4574E16C" w14:textId="29F90B0C" w:rsidR="006063BE" w:rsidRPr="00D5597B" w:rsidRDefault="001C271D" w:rsidP="00D5597B">
            <w:pPr>
              <w:pStyle w:val="TableNBullet"/>
            </w:pPr>
            <w:r w:rsidRPr="00D5597B">
              <w:rPr>
                <w:rStyle w:val="TableNTextStrongChar"/>
              </w:rPr>
              <w:lastRenderedPageBreak/>
              <w:t>Design and delivery stages</w:t>
            </w:r>
            <w:r w:rsidRPr="00D5597B">
              <w:t xml:space="preserve">: </w:t>
            </w:r>
            <w:r w:rsidR="006063BE" w:rsidRPr="00D5597B">
              <w:t>What are the key factors influencing the Program design (including eligibility to receive funding under the Program) and implementation? Have these changed since the Program implementation, if so, why?</w:t>
            </w:r>
          </w:p>
          <w:p w14:paraId="38D8AD67" w14:textId="36B7566E" w:rsidR="00624A97" w:rsidRPr="004523AB" w:rsidRDefault="003352BB" w:rsidP="00D5597B">
            <w:pPr>
              <w:pStyle w:val="TableNBullet"/>
            </w:pPr>
            <w:r w:rsidRPr="00D5597B">
              <w:rPr>
                <w:rStyle w:val="TableNTextStrongChar"/>
              </w:rPr>
              <w:t>Outcomes stage</w:t>
            </w:r>
            <w:r w:rsidRPr="00D5597B">
              <w:t xml:space="preserve">: </w:t>
            </w:r>
            <w:r w:rsidR="006063BE" w:rsidRPr="00D5597B">
              <w:t>What are the insights and other unintended benefits from the Program implementation that could be applied to other broader health policy program reforms in the future?</w:t>
            </w:r>
            <w:r w:rsidR="006063BE" w:rsidRPr="004523AB">
              <w:t xml:space="preserve"> </w:t>
            </w:r>
          </w:p>
        </w:tc>
      </w:tr>
      <w:tr w:rsidR="005A1034" w:rsidRPr="004523AB" w14:paraId="62960E86" w14:textId="77777777" w:rsidTr="005A1034">
        <w:tc>
          <w:tcPr>
            <w:tcW w:w="8920" w:type="dxa"/>
          </w:tcPr>
          <w:p w14:paraId="3407FA8E" w14:textId="77777777" w:rsidR="005A1034" w:rsidRPr="000145D3" w:rsidRDefault="005A1034" w:rsidP="000145D3">
            <w:pPr>
              <w:rPr>
                <w:rStyle w:val="Strong"/>
              </w:rPr>
            </w:pPr>
            <w:r w:rsidRPr="000145D3">
              <w:rPr>
                <w:rStyle w:val="Strong"/>
              </w:rPr>
              <w:lastRenderedPageBreak/>
              <w:t>Efficiency:</w:t>
            </w:r>
          </w:p>
          <w:p w14:paraId="6F909726" w14:textId="2FC3F17B" w:rsidR="00D00480" w:rsidRPr="00D5597B" w:rsidRDefault="003352BB" w:rsidP="00D5597B">
            <w:pPr>
              <w:pStyle w:val="TableNBullet"/>
            </w:pPr>
            <w:r w:rsidRPr="00D5597B">
              <w:rPr>
                <w:rStyle w:val="TableNTextStrongChar"/>
              </w:rPr>
              <w:t>Design and outcomes stages</w:t>
            </w:r>
            <w:r w:rsidRPr="00D5597B">
              <w:t xml:space="preserve">: </w:t>
            </w:r>
            <w:r w:rsidR="00D00480" w:rsidRPr="00D5597B">
              <w:t>Does the Program provide value for money/investment?</w:t>
            </w:r>
          </w:p>
          <w:p w14:paraId="50297C65" w14:textId="13736386" w:rsidR="00D00480" w:rsidRPr="004523AB" w:rsidRDefault="003352BB" w:rsidP="00D5597B">
            <w:pPr>
              <w:pStyle w:val="TableNBullet"/>
            </w:pPr>
            <w:r w:rsidRPr="00D5597B">
              <w:rPr>
                <w:rStyle w:val="TableNTextStrongChar"/>
              </w:rPr>
              <w:t>Delivery</w:t>
            </w:r>
            <w:r w:rsidRPr="00D5597B">
              <w:t xml:space="preserve">: </w:t>
            </w:r>
            <w:r w:rsidR="007C1CFE" w:rsidRPr="00D5597B">
              <w:t>How efficiently have the Program resources been used?</w:t>
            </w:r>
            <w:r w:rsidR="007C1CFE" w:rsidRPr="004523AB">
              <w:t xml:space="preserve"> </w:t>
            </w:r>
          </w:p>
        </w:tc>
      </w:tr>
    </w:tbl>
    <w:p w14:paraId="7586ECBF" w14:textId="77777777" w:rsidR="00371D98" w:rsidRPr="004523AB" w:rsidRDefault="00371D98">
      <w:pPr>
        <w:spacing w:after="165" w:line="259" w:lineRule="auto"/>
        <w:rPr>
          <w:rFonts w:asciiTheme="majorHAnsi" w:hAnsiTheme="majorHAnsi" w:cstheme="majorHAnsi"/>
          <w:color w:val="00264D" w:themeColor="background2"/>
          <w:sz w:val="24"/>
          <w:szCs w:val="28"/>
          <w:lang w:eastAsia="en-AU"/>
        </w:rPr>
      </w:pPr>
      <w:r w:rsidRPr="004523AB">
        <w:rPr>
          <w:rFonts w:asciiTheme="majorHAnsi" w:hAnsiTheme="majorHAnsi" w:cstheme="majorHAnsi"/>
          <w:color w:val="00264D" w:themeColor="background2"/>
          <w:sz w:val="24"/>
          <w:szCs w:val="28"/>
          <w:lang w:eastAsia="en-AU"/>
        </w:rPr>
        <w:br w:type="page"/>
      </w:r>
    </w:p>
    <w:p w14:paraId="4676F67A" w14:textId="43226F62" w:rsidR="004C337F" w:rsidRPr="004523AB" w:rsidRDefault="003163FF" w:rsidP="00F46999">
      <w:pPr>
        <w:pStyle w:val="Heading2"/>
      </w:pPr>
      <w:bookmarkStart w:id="24" w:name="_Toc184982762"/>
      <w:r w:rsidRPr="004523AB">
        <w:lastRenderedPageBreak/>
        <w:t>Methodology</w:t>
      </w:r>
      <w:bookmarkEnd w:id="24"/>
    </w:p>
    <w:p w14:paraId="5CDA8E78" w14:textId="77777777" w:rsidR="004C337F" w:rsidRPr="004523AB" w:rsidRDefault="004C337F" w:rsidP="004C337F">
      <w:r w:rsidRPr="004523AB">
        <w:t xml:space="preserve">The evaluation used mixed methods, triangulating quantitative and qualitative data from surveys, interviews, case studies, and program documentation. This approach enabled a robust and comprehensive assessment of the Program’s design, delivery and outcomes. A detailed engagement and analysis approach was developed as part of the Evaluation Plan, which set out the quantum, format, and purpose of engagement with each group. </w:t>
      </w:r>
    </w:p>
    <w:p w14:paraId="47987DDD" w14:textId="77777777" w:rsidR="004C337F" w:rsidRPr="004523AB" w:rsidRDefault="004C337F" w:rsidP="004C337F">
      <w:r w:rsidRPr="004523AB">
        <w:t xml:space="preserve">Evaluation engagement and data collection activities conducted included: </w:t>
      </w:r>
    </w:p>
    <w:p w14:paraId="4021732F" w14:textId="77777777" w:rsidR="004C337F" w:rsidRPr="000145D3" w:rsidRDefault="004C337F" w:rsidP="000145D3">
      <w:pPr>
        <w:pStyle w:val="ListBullet"/>
      </w:pPr>
      <w:r w:rsidRPr="000145D3">
        <w:t>31 PHN interviews and surveys and an interview with NACCHO to understand the process of implementing the Program and to seek feedback on the design of the Program.</w:t>
      </w:r>
    </w:p>
    <w:p w14:paraId="5E4C9B21" w14:textId="77777777" w:rsidR="004C337F" w:rsidRPr="000145D3" w:rsidRDefault="004C337F" w:rsidP="000145D3">
      <w:pPr>
        <w:pStyle w:val="ListBullet"/>
      </w:pPr>
      <w:r w:rsidRPr="000145D3">
        <w:t xml:space="preserve">32 practice consultations, covering more than 100 clinics or practices, to understand the experience of applying for the grant and to understand any early outcomes from the Program. Practices were selected from a combination of a random sample, targeted sample, and practices put forward by PHNs. </w:t>
      </w:r>
    </w:p>
    <w:p w14:paraId="3BE81EA6" w14:textId="77777777" w:rsidR="004C337F" w:rsidRPr="000145D3" w:rsidRDefault="004C337F" w:rsidP="000145D3">
      <w:pPr>
        <w:pStyle w:val="ListBullet"/>
      </w:pPr>
      <w:r w:rsidRPr="000145D3">
        <w:t>Interviews with 9 Department stakeholders to understand the policy context and implementation decisions of the Program.</w:t>
      </w:r>
    </w:p>
    <w:p w14:paraId="52ECA217" w14:textId="77777777" w:rsidR="004C337F" w:rsidRPr="000145D3" w:rsidRDefault="004C337F" w:rsidP="000145D3">
      <w:pPr>
        <w:pStyle w:val="ListBullet"/>
      </w:pPr>
      <w:r w:rsidRPr="000145D3">
        <w:t>5 peak body interviews to understand the policy context of the Program, and any consultation undertaken during design and implementation.</w:t>
      </w:r>
    </w:p>
    <w:p w14:paraId="5B1339C0" w14:textId="77777777" w:rsidR="004C337F" w:rsidRPr="000145D3" w:rsidRDefault="004C337F" w:rsidP="000145D3">
      <w:pPr>
        <w:pStyle w:val="ListBullet"/>
      </w:pPr>
      <w:r w:rsidRPr="000145D3">
        <w:t xml:space="preserve">Analysis of the grants master dataset to understand the types of practices who were and were not eligible for the grant. The master dataset was also used to select the random sample of practices invited for consults. </w:t>
      </w:r>
    </w:p>
    <w:p w14:paraId="0B9B5C16" w14:textId="77777777" w:rsidR="004C337F" w:rsidRPr="000145D3" w:rsidRDefault="004C337F" w:rsidP="000145D3">
      <w:pPr>
        <w:pStyle w:val="ListBullet"/>
      </w:pPr>
      <w:r w:rsidRPr="000145D3">
        <w:t>Review of key program documents including grant guidelines, ministerial submissions, and communications to PHNs to understand the strategic intent and rollout of the Program.</w:t>
      </w:r>
    </w:p>
    <w:p w14:paraId="62286998" w14:textId="77777777" w:rsidR="004C337F" w:rsidRPr="000145D3" w:rsidRDefault="004C337F" w:rsidP="000145D3">
      <w:pPr>
        <w:pStyle w:val="ListBullet"/>
      </w:pPr>
      <w:r w:rsidRPr="000145D3">
        <w:t xml:space="preserve">Qualitative and quantitative analysis of the practice and ACCHO self-evaluation survey. </w:t>
      </w:r>
    </w:p>
    <w:p w14:paraId="4367CF80" w14:textId="4AD8FE83" w:rsidR="004C337F" w:rsidRPr="004523AB" w:rsidRDefault="004C337F" w:rsidP="004C337F">
      <w:r w:rsidRPr="004523AB">
        <w:t>The detailed data collection and analysis methodology can be found in</w:t>
      </w:r>
      <w:r w:rsidR="00D20493" w:rsidRPr="004523AB">
        <w:t xml:space="preserve"> </w:t>
      </w:r>
      <w:r w:rsidR="00D20493" w:rsidRPr="004523AB">
        <w:fldChar w:fldCharType="begin"/>
      </w:r>
      <w:r w:rsidR="00D20493" w:rsidRPr="004523AB">
        <w:instrText xml:space="preserve"> REF _Ref184972581 \n \h </w:instrText>
      </w:r>
      <w:r w:rsidR="004523AB" w:rsidRPr="004523AB">
        <w:instrText xml:space="preserve"> \* MERGEFORMAT </w:instrText>
      </w:r>
      <w:r w:rsidR="00D20493" w:rsidRPr="004523AB">
        <w:fldChar w:fldCharType="separate"/>
      </w:r>
      <w:r w:rsidR="00B96E50">
        <w:t>Appendix A</w:t>
      </w:r>
      <w:r w:rsidR="00D20493" w:rsidRPr="004523AB">
        <w:fldChar w:fldCharType="end"/>
      </w:r>
      <w:r w:rsidRPr="004523AB">
        <w:t xml:space="preserve"> (data collection and analysis approach), </w:t>
      </w:r>
      <w:r w:rsidR="0007176B" w:rsidRPr="004523AB">
        <w:fldChar w:fldCharType="begin"/>
      </w:r>
      <w:r w:rsidR="0007176B" w:rsidRPr="004523AB">
        <w:instrText xml:space="preserve"> REF _Ref184972603 \n \h </w:instrText>
      </w:r>
      <w:r w:rsidR="004523AB" w:rsidRPr="004523AB">
        <w:instrText xml:space="preserve"> \* MERGEFORMAT </w:instrText>
      </w:r>
      <w:r w:rsidR="0007176B" w:rsidRPr="004523AB">
        <w:fldChar w:fldCharType="separate"/>
      </w:r>
      <w:r w:rsidR="00B96E50">
        <w:t>Appendix B</w:t>
      </w:r>
      <w:r w:rsidR="0007176B" w:rsidRPr="004523AB">
        <w:fldChar w:fldCharType="end"/>
      </w:r>
      <w:r w:rsidR="0007176B" w:rsidRPr="004523AB">
        <w:t xml:space="preserve"> </w:t>
      </w:r>
      <w:r w:rsidRPr="004523AB">
        <w:t xml:space="preserve">(consultation log), and </w:t>
      </w:r>
      <w:r w:rsidR="0007176B" w:rsidRPr="004523AB">
        <w:fldChar w:fldCharType="begin"/>
      </w:r>
      <w:r w:rsidR="0007176B" w:rsidRPr="004523AB">
        <w:instrText xml:space="preserve"> REF _Ref184972620 \n \h </w:instrText>
      </w:r>
      <w:r w:rsidR="004523AB" w:rsidRPr="004523AB">
        <w:instrText xml:space="preserve"> \* MERGEFORMAT </w:instrText>
      </w:r>
      <w:r w:rsidR="0007176B" w:rsidRPr="004523AB">
        <w:fldChar w:fldCharType="separate"/>
      </w:r>
      <w:r w:rsidR="00B96E50">
        <w:t>Appendix C</w:t>
      </w:r>
      <w:r w:rsidR="0007176B" w:rsidRPr="004523AB">
        <w:fldChar w:fldCharType="end"/>
      </w:r>
      <w:r w:rsidR="0007176B" w:rsidRPr="004523AB">
        <w:t xml:space="preserve"> </w:t>
      </w:r>
      <w:r w:rsidRPr="004523AB">
        <w:t>(data collection tools).</w:t>
      </w:r>
    </w:p>
    <w:p w14:paraId="00902ED5" w14:textId="77777777" w:rsidR="004C337F" w:rsidRPr="000145D3" w:rsidRDefault="004C337F" w:rsidP="000145D3">
      <w:pPr>
        <w:rPr>
          <w:rStyle w:val="Strong"/>
        </w:rPr>
      </w:pPr>
      <w:r w:rsidRPr="000145D3">
        <w:rPr>
          <w:rStyle w:val="Strong"/>
        </w:rPr>
        <w:t>A small number of changes were made to the planned evaluation methodology to respond to emerging implementation issues and progress</w:t>
      </w:r>
    </w:p>
    <w:p w14:paraId="36613FE0" w14:textId="77777777" w:rsidR="004C337F" w:rsidRPr="004523AB" w:rsidRDefault="004C337F" w:rsidP="004C337F">
      <w:r w:rsidRPr="004523AB">
        <w:t xml:space="preserve">The evaluation plan evolved to respond to the dynamic nature of the ongoing Program implementation. </w:t>
      </w:r>
    </w:p>
    <w:p w14:paraId="4BDC4B71" w14:textId="77777777" w:rsidR="004C337F" w:rsidRPr="004523AB" w:rsidRDefault="004C337F" w:rsidP="004C337F">
      <w:r w:rsidRPr="004523AB">
        <w:t xml:space="preserve">Each PHN implemented their own process to administer and manage the grants. </w:t>
      </w:r>
      <w:proofErr w:type="gramStart"/>
      <w:r w:rsidRPr="004523AB">
        <w:t>In order to</w:t>
      </w:r>
      <w:proofErr w:type="gramEnd"/>
      <w:r w:rsidRPr="004523AB">
        <w:t xml:space="preserve"> best understand the national implementation of the Program, PHNs were individually consulted rather than conducting a series of combined focus groups. This</w:t>
      </w:r>
      <w:r w:rsidRPr="004523AB" w:rsidDel="00B7606E">
        <w:t xml:space="preserve"> </w:t>
      </w:r>
      <w:r w:rsidRPr="004523AB">
        <w:t>yielded substantial insight into the variability of grant delivery processes, enablers and barriers.</w:t>
      </w:r>
    </w:p>
    <w:p w14:paraId="5D4715E6" w14:textId="77777777" w:rsidR="004C337F" w:rsidRPr="004523AB" w:rsidRDefault="004C337F" w:rsidP="004C337F">
      <w:r w:rsidRPr="004523AB">
        <w:t xml:space="preserve">Initially, the majority of stakeholder engagement time was planned with practice managers, however this stakeholder group is time poor, difficult to reach. A revised sampling approach was implemented which included pooling together a list of over 200 practices using three different approaches to reduce bias and assure representation of practices from priority regions. A random sample of 60 were then invited to participate in an interview. The three approaches to developing the initial sample included: </w:t>
      </w:r>
    </w:p>
    <w:p w14:paraId="0B200F52" w14:textId="77777777" w:rsidR="004C337F" w:rsidRPr="000145D3" w:rsidRDefault="004C337F" w:rsidP="000145D3">
      <w:pPr>
        <w:pStyle w:val="ListBullet"/>
      </w:pPr>
      <w:r w:rsidRPr="000145D3">
        <w:rPr>
          <w:rStyle w:val="Strong"/>
        </w:rPr>
        <w:lastRenderedPageBreak/>
        <w:t>Targeted selection</w:t>
      </w:r>
      <w:r w:rsidRPr="000145D3">
        <w:t xml:space="preserve"> of practices in priority areas including regional, rural and remote geographies and low Socio-Economic Indexes for Areas (SEIFA).</w:t>
      </w:r>
    </w:p>
    <w:p w14:paraId="67F86C71" w14:textId="77777777" w:rsidR="004C337F" w:rsidRPr="000145D3" w:rsidRDefault="004C337F" w:rsidP="000145D3">
      <w:pPr>
        <w:pStyle w:val="ListBullet"/>
      </w:pPr>
      <w:r w:rsidRPr="000145D3">
        <w:rPr>
          <w:rStyle w:val="Strong"/>
        </w:rPr>
        <w:t>Randomised selection</w:t>
      </w:r>
      <w:r w:rsidRPr="000145D3">
        <w:t xml:space="preserve"> of practices that participated in the Program. </w:t>
      </w:r>
    </w:p>
    <w:p w14:paraId="406518F9" w14:textId="77777777" w:rsidR="004C337F" w:rsidRPr="000145D3" w:rsidRDefault="004C337F" w:rsidP="000145D3">
      <w:pPr>
        <w:pStyle w:val="ListBullet"/>
      </w:pPr>
      <w:r w:rsidRPr="000145D3">
        <w:rPr>
          <w:rStyle w:val="Strong"/>
        </w:rPr>
        <w:t>Selected sample</w:t>
      </w:r>
      <w:r w:rsidRPr="000145D3">
        <w:t xml:space="preserve"> from individual PHNs. Each PHN was invited to nominate up to 10 practices that could be randomly selected from to participate in interviews. </w:t>
      </w:r>
    </w:p>
    <w:p w14:paraId="08705FC2" w14:textId="77777777" w:rsidR="00B3479F" w:rsidRPr="004523AB" w:rsidRDefault="00921B41" w:rsidP="00921B41">
      <w:r w:rsidRPr="000145D3">
        <w:rPr>
          <w:rStyle w:val="Strong"/>
        </w:rPr>
        <w:t>Note</w:t>
      </w:r>
      <w:r w:rsidRPr="004523AB">
        <w:t xml:space="preserve">: Practices that were selected for compliance checks by the Department were omitted from the sampling pool to reduce administrative burden. </w:t>
      </w:r>
    </w:p>
    <w:p w14:paraId="25583A89" w14:textId="77777777" w:rsidR="00B3479F" w:rsidRPr="004523AB" w:rsidRDefault="00B3479F">
      <w:pPr>
        <w:spacing w:after="165" w:line="259" w:lineRule="auto"/>
      </w:pPr>
      <w:r w:rsidRPr="004523AB">
        <w:br w:type="page"/>
      </w:r>
    </w:p>
    <w:p w14:paraId="74FCF25D" w14:textId="7AB1D04B" w:rsidR="00921B41" w:rsidRPr="004523AB" w:rsidRDefault="009A5A03" w:rsidP="009A5A03">
      <w:pPr>
        <w:pStyle w:val="Heading1"/>
      </w:pPr>
      <w:bookmarkStart w:id="25" w:name="_Ref184972293"/>
      <w:bookmarkStart w:id="26" w:name="_Toc184982763"/>
      <w:r w:rsidRPr="004523AB">
        <w:lastRenderedPageBreak/>
        <w:t>Findings</w:t>
      </w:r>
      <w:bookmarkEnd w:id="25"/>
      <w:bookmarkEnd w:id="26"/>
    </w:p>
    <w:tbl>
      <w:tblPr>
        <w:tblStyle w:val="NousLongformcallout"/>
        <w:tblW w:w="4950" w:type="pct"/>
        <w:tblCellMar>
          <w:top w:w="170" w:type="dxa"/>
          <w:bottom w:w="170" w:type="dxa"/>
        </w:tblCellMar>
        <w:tblLook w:val="04A0" w:firstRow="1" w:lastRow="0" w:firstColumn="1" w:lastColumn="0" w:noHBand="0" w:noVBand="1"/>
      </w:tblPr>
      <w:tblGrid>
        <w:gridCol w:w="8818"/>
      </w:tblGrid>
      <w:tr w:rsidR="00A776BE" w:rsidRPr="004523AB" w14:paraId="6820357A" w14:textId="77777777" w:rsidTr="00A806ED">
        <w:tc>
          <w:tcPr>
            <w:tcW w:w="7285" w:type="dxa"/>
          </w:tcPr>
          <w:p w14:paraId="0F0911F7" w14:textId="77777777" w:rsidR="00976BE4" w:rsidRPr="004523AB" w:rsidRDefault="00976BE4" w:rsidP="00323C65">
            <w:pPr>
              <w:pStyle w:val="Sectionintroduction"/>
            </w:pPr>
            <w:r w:rsidRPr="004523AB">
              <w:t>This section provides a summary of interim report findings against the KEQs, structured by:</w:t>
            </w:r>
          </w:p>
          <w:p w14:paraId="6A02DEE2" w14:textId="77777777" w:rsidR="00976BE4" w:rsidRPr="004523AB" w:rsidRDefault="00976BE4" w:rsidP="00323C65">
            <w:pPr>
              <w:pStyle w:val="intoductionbullet"/>
            </w:pPr>
            <w:r w:rsidRPr="004523AB">
              <w:t>program design</w:t>
            </w:r>
          </w:p>
          <w:p w14:paraId="0B2D801D" w14:textId="77777777" w:rsidR="00976BE4" w:rsidRPr="004523AB" w:rsidRDefault="00976BE4" w:rsidP="00323C65">
            <w:pPr>
              <w:pStyle w:val="intoductionbullet"/>
            </w:pPr>
            <w:r w:rsidRPr="004523AB">
              <w:t>program delivery</w:t>
            </w:r>
          </w:p>
          <w:p w14:paraId="29A2DDB5" w14:textId="6B987D3F" w:rsidR="00A776BE" w:rsidRPr="004523AB" w:rsidRDefault="00976BE4" w:rsidP="00323C65">
            <w:pPr>
              <w:pStyle w:val="intoductionbullet"/>
              <w:rPr>
                <w:b/>
              </w:rPr>
            </w:pPr>
            <w:r w:rsidRPr="004523AB">
              <w:t>program outcomes</w:t>
            </w:r>
          </w:p>
        </w:tc>
      </w:tr>
    </w:tbl>
    <w:p w14:paraId="74601B47" w14:textId="77777777" w:rsidR="00BF3528" w:rsidRPr="004523AB" w:rsidRDefault="00BF3528" w:rsidP="00BF3528">
      <w:r w:rsidRPr="004523AB">
        <w:t>The evaluation findings reflect the views of PHNs and practices that participated in the evaluation and shared their insights either through interviews and/or a survey. The evaluation also collected insights from NACCHO through an interview and ACCHOs through a survey at the end of the Program. The evaluation team has consolidated insights to reflect the chronology of the Program’s implementation across program design, delivery and outcomes.</w:t>
      </w:r>
    </w:p>
    <w:p w14:paraId="11130894" w14:textId="46488FCB" w:rsidR="00E627AF" w:rsidRPr="004523AB" w:rsidRDefault="00FA46A9" w:rsidP="00C93326">
      <w:pPr>
        <w:pStyle w:val="Heading2"/>
      </w:pPr>
      <w:bookmarkStart w:id="27" w:name="_Toc184982764"/>
      <w:r w:rsidRPr="004523AB">
        <w:t>Program design</w:t>
      </w:r>
      <w:bookmarkEnd w:id="27"/>
    </w:p>
    <w:p w14:paraId="5A2F92C4" w14:textId="15E785AB" w:rsidR="00A83DD8" w:rsidRPr="004523AB" w:rsidRDefault="00A83DD8" w:rsidP="00C93326">
      <w:pPr>
        <w:pStyle w:val="Heading3"/>
      </w:pPr>
      <w:bookmarkStart w:id="28" w:name="_Ref183526493"/>
      <w:r w:rsidRPr="004523AB">
        <w:t>Consultation with the sector supported the design of the Program and delivery process, but could have been strengthened by earlier and broader engagement</w:t>
      </w:r>
      <w:bookmarkEnd w:id="28"/>
      <w:r w:rsidRPr="004523AB">
        <w:t xml:space="preserve">  </w:t>
      </w:r>
    </w:p>
    <w:p w14:paraId="66C93813" w14:textId="239B5640" w:rsidR="001B4C5F" w:rsidRPr="000145D3" w:rsidRDefault="001B4C5F" w:rsidP="000145D3">
      <w:pPr>
        <w:rPr>
          <w:rStyle w:val="Strong"/>
          <w:highlight w:val="yellow"/>
        </w:rPr>
      </w:pPr>
      <w:r w:rsidRPr="000145D3">
        <w:rPr>
          <w:rStyle w:val="Strong"/>
        </w:rPr>
        <w:t xml:space="preserve">A small number of peak bodies were involved in the initial design of the investment streams </w:t>
      </w:r>
    </w:p>
    <w:p w14:paraId="5079147B" w14:textId="77777777" w:rsidR="001B4C5F" w:rsidRPr="004523AB" w:rsidRDefault="001B4C5F" w:rsidP="00C93326">
      <w:r w:rsidRPr="004523AB">
        <w:t xml:space="preserve">There was some consultation on the design of </w:t>
      </w:r>
      <w:r w:rsidRPr="004523AB" w:rsidDel="00F559ED">
        <w:t xml:space="preserve">the </w:t>
      </w:r>
      <w:r w:rsidRPr="004523AB">
        <w:t xml:space="preserve">Program investment streams and grant mechanisms with peak body representatives, including RACGP and the Australian Medical Association (AMA). Peak bodies who were involved in this process provided positive feedback on how they were involved, noting that engagement in the early design phase allowed discussion on appropriate investment streams to best meet the needs of general practice. </w:t>
      </w:r>
    </w:p>
    <w:p w14:paraId="50139BE2" w14:textId="77777777" w:rsidR="001B4C5F" w:rsidRPr="004523AB" w:rsidRDefault="001B4C5F" w:rsidP="00C93326">
      <w:r w:rsidRPr="004523AB">
        <w:t xml:space="preserve">Peak bodies interviewed largely felt that the investment streams were appropriate in meeting the needs of general practice, although some felt that infection prevention and control was less relevant given recent COVID-19 pandemic related funding at the time. Interviews with peak bodies consulted during the design phase suggests that the investment streams were not changed through consultation despite feedback being provided.   </w:t>
      </w:r>
    </w:p>
    <w:p w14:paraId="1B5007D8" w14:textId="43C3771B" w:rsidR="001B4C5F" w:rsidRPr="004523AB" w:rsidRDefault="001B4C5F" w:rsidP="00C93326">
      <w:r w:rsidRPr="004523AB">
        <w:t xml:space="preserve">Peak bodies who were not involved in the design process provided feedback that if they had been involved earlier, they could have contributed to spreading accurate and timely information about the Program to the general practice sector. They also noted that they received questions directly from practices about the grant which they were ill informed to answer suggesting that it would be valuable where possible for the Department to provide information to all relevant peak bodies to provide accurate and consistent advice across the primary care sector. Whilst NACCHO was not involved in the design of the investment streams, they had some later input </w:t>
      </w:r>
      <w:r w:rsidRPr="004523AB">
        <w:lastRenderedPageBreak/>
        <w:t xml:space="preserve">into changes made to the delivery of the Program for ACCHOs (for example, changing the grant allocation amounts) as outlined in </w:t>
      </w:r>
      <w:r w:rsidR="00081D6E" w:rsidRPr="004523AB">
        <w:t xml:space="preserve">section </w:t>
      </w:r>
      <w:r w:rsidR="00081D6E" w:rsidRPr="004523AB">
        <w:rPr>
          <w:highlight w:val="yellow"/>
        </w:rPr>
        <w:fldChar w:fldCharType="begin"/>
      </w:r>
      <w:r w:rsidR="00081D6E" w:rsidRPr="004523AB">
        <w:instrText xml:space="preserve"> REF _Ref181202945 \r \h </w:instrText>
      </w:r>
      <w:r w:rsidR="004523AB" w:rsidRPr="004523AB">
        <w:rPr>
          <w:highlight w:val="yellow"/>
        </w:rPr>
        <w:instrText xml:space="preserve"> \* MERGEFORMAT </w:instrText>
      </w:r>
      <w:r w:rsidR="00081D6E" w:rsidRPr="004523AB">
        <w:rPr>
          <w:highlight w:val="yellow"/>
        </w:rPr>
      </w:r>
      <w:r w:rsidR="00081D6E" w:rsidRPr="004523AB">
        <w:rPr>
          <w:highlight w:val="yellow"/>
        </w:rPr>
        <w:fldChar w:fldCharType="separate"/>
      </w:r>
      <w:r w:rsidR="00B96E50">
        <w:t>4.1.4</w:t>
      </w:r>
      <w:r w:rsidR="00081D6E" w:rsidRPr="004523AB">
        <w:rPr>
          <w:highlight w:val="yellow"/>
        </w:rPr>
        <w:fldChar w:fldCharType="end"/>
      </w:r>
      <w:r w:rsidRPr="004523AB">
        <w:t xml:space="preserve">.  </w:t>
      </w:r>
    </w:p>
    <w:p w14:paraId="68499BAB" w14:textId="77777777" w:rsidR="001B4C5F" w:rsidRPr="00B7385B" w:rsidRDefault="001B4C5F" w:rsidP="00B7385B">
      <w:pPr>
        <w:rPr>
          <w:rStyle w:val="Strong"/>
        </w:rPr>
      </w:pPr>
      <w:r w:rsidRPr="00B7385B">
        <w:rPr>
          <w:rStyle w:val="Strong"/>
        </w:rPr>
        <w:t xml:space="preserve">PHNs, including a PHN working group, were engaged in the Program delivery process </w:t>
      </w:r>
    </w:p>
    <w:p w14:paraId="6AE5E3C8" w14:textId="77777777" w:rsidR="001B4C5F" w:rsidRPr="004523AB" w:rsidRDefault="001B4C5F" w:rsidP="001B4C5F">
      <w:r w:rsidRPr="004523AB">
        <w:t>PHNs were engaged in the design process at two points; all PHN CEOs were provided with high-level information on the Program in November 2022 and from this meeting with CEOs, 10 PHN representatives were selected to participate in a working group to test Program delivery documents and processes in early 2023. The role of this group was to inform the design and rollout process, and not to provide input into the three investment streams or the grant mechanism i.e. one-off, non-competitive grants. The working group was responsible for providing review and feedback on key grant documents and communication material, the approach to distributing FARs and the approach to distributing the self-evaluation survey to practices.</w:t>
      </w:r>
    </w:p>
    <w:p w14:paraId="106068BE" w14:textId="77777777" w:rsidR="001B4C5F" w:rsidRPr="004523AB" w:rsidRDefault="001B4C5F" w:rsidP="001B4C5F">
      <w:r w:rsidRPr="004523AB">
        <w:t xml:space="preserve">PHN representatives involved reflected positively about their involvement in the PHN working group and being consulted through the design phase. A PHN representative commented that they “can’t speak highly enough” of the working group and that, in future programs, all PHNs should have the opportunity to be involved. Other PHN representatives engaged through the evaluation stated they would have liked to be involved to communicate the needs of their region and inform processes that would have saved later work such as ongoing refinements to the process. </w:t>
      </w:r>
    </w:p>
    <w:p w14:paraId="5D9F08E1" w14:textId="77777777" w:rsidR="001B4C5F" w:rsidRPr="004523AB" w:rsidRDefault="001B4C5F" w:rsidP="001B4C5F">
      <w:pPr>
        <w:rPr>
          <w:b/>
        </w:rPr>
      </w:pPr>
      <w:r w:rsidRPr="004523AB">
        <w:t xml:space="preserve">The Department’s engagement with PHNs was primarily at a very senior level, engaging with PHN CEOs or executives. This may have had benefits for building relationships between the Department and PHNs, however it meant that some of the knowledge and feedback that more operational PHN staff could have fed into the process was not available. For example, PHN representatives responsible for administering the program who were interviewed as part of the evaluation, provided constructive feedback on how they would have designed documents or processes differently if they had been involved in the design process (for example quick reference guides, and clarity on the guidelines), despite their senior colleagues being involved in the working group.   </w:t>
      </w:r>
    </w:p>
    <w:p w14:paraId="392480FF" w14:textId="77777777" w:rsidR="001B4C5F" w:rsidRPr="00340B1E" w:rsidRDefault="001B4C5F" w:rsidP="00340B1E">
      <w:pPr>
        <w:rPr>
          <w:rStyle w:val="Strong"/>
        </w:rPr>
      </w:pPr>
      <w:r w:rsidRPr="00340B1E">
        <w:rPr>
          <w:rStyle w:val="Strong"/>
        </w:rPr>
        <w:t>More consultation with PHNs, practices and consumer reference groups could have improved the Program’s design</w:t>
      </w:r>
    </w:p>
    <w:p w14:paraId="487587A2" w14:textId="77777777" w:rsidR="001B4C5F" w:rsidRPr="004523AB" w:rsidRDefault="001B4C5F" w:rsidP="00C93326">
      <w:r w:rsidRPr="004523AB">
        <w:t xml:space="preserve">Many PHN representatives suggested engagement on the Program design could have also included consultation with general practitioners, especially to confirm the investment streams, and consumer reference groups to take a more patient-led approach to program design. However, whilst many practices reported there were other areas they would have liked to see investment in, beyond the three streams, almost all practices interviewed found the investment streams appropriate and did not provide feedback that they would have liked to be directly involved in the design process. This may reflect practice staff being time poor, or not being aware early engagement was possible. Given the scale of practices across the country, engagement through peak bodies would be appropriate, complemented by a targeted sample of practices.  </w:t>
      </w:r>
    </w:p>
    <w:p w14:paraId="5FE13940" w14:textId="77777777" w:rsidR="001B4C5F" w:rsidRPr="004523AB" w:rsidRDefault="001B4C5F" w:rsidP="00C93326">
      <w:r w:rsidRPr="004523AB">
        <w:lastRenderedPageBreak/>
        <w:t>Stakeholders suggested that more inclusive or in-depth consultation could have:</w:t>
      </w:r>
    </w:p>
    <w:p w14:paraId="5E5E3F90" w14:textId="77777777" w:rsidR="001B4C5F" w:rsidRPr="00340B1E" w:rsidRDefault="001B4C5F" w:rsidP="00340B1E">
      <w:pPr>
        <w:pStyle w:val="ListBullet"/>
      </w:pPr>
      <w:r w:rsidRPr="00340B1E">
        <w:t xml:space="preserve">Improved the appropriateness of the grant’s timing. As above, this largely relates to the infection prevention and control stream, which following COVID-19 was less appropriate for many practices that had already made many necessary upgrades. </w:t>
      </w:r>
    </w:p>
    <w:p w14:paraId="60B9660E" w14:textId="77777777" w:rsidR="001B4C5F" w:rsidRPr="00340B1E" w:rsidRDefault="001B4C5F" w:rsidP="00340B1E">
      <w:pPr>
        <w:pStyle w:val="ListBullet"/>
      </w:pPr>
      <w:r w:rsidRPr="00340B1E">
        <w:t xml:space="preserve">Informed a more robust set of guidance documents. Common themes emerged from consultations regarding areas of confusion in the application process for practices. This included aspects of the application form and eligible spending under each stream. Greater consultation could have highlighted these issues for inclusion in initial guidance documents s and made implementation more efficient. </w:t>
      </w:r>
    </w:p>
    <w:p w14:paraId="438D12C2" w14:textId="2AAA0B0C" w:rsidR="001B4C5F" w:rsidRPr="004523AB" w:rsidRDefault="001B4C5F" w:rsidP="00340B1E">
      <w:pPr>
        <w:pStyle w:val="ListBullet"/>
      </w:pPr>
      <w:r w:rsidRPr="00340B1E">
        <w:t>Highlighted</w:t>
      </w:r>
      <w:r w:rsidRPr="004523AB">
        <w:t xml:space="preserve"> areas of need for additional investment streams. Practices raised additional areas of need that could have been called out either within or in addition to the three investment streams as listed in </w:t>
      </w:r>
      <w:r w:rsidR="000772A9" w:rsidRPr="004523AB">
        <w:rPr>
          <w:highlight w:val="yellow"/>
        </w:rPr>
        <w:fldChar w:fldCharType="begin"/>
      </w:r>
      <w:r w:rsidR="000772A9" w:rsidRPr="004523AB">
        <w:instrText xml:space="preserve"> REF _Ref184908531 \h </w:instrText>
      </w:r>
      <w:r w:rsidR="004523AB" w:rsidRPr="004523AB">
        <w:rPr>
          <w:highlight w:val="yellow"/>
        </w:rPr>
        <w:instrText xml:space="preserve"> \* MERGEFORMAT </w:instrText>
      </w:r>
      <w:r w:rsidR="000772A9" w:rsidRPr="004523AB">
        <w:rPr>
          <w:highlight w:val="yellow"/>
        </w:rPr>
      </w:r>
      <w:r w:rsidR="000772A9" w:rsidRPr="004523AB">
        <w:rPr>
          <w:highlight w:val="yellow"/>
        </w:rPr>
        <w:fldChar w:fldCharType="separate"/>
      </w:r>
      <w:r w:rsidR="00B96E50" w:rsidRPr="004523AB">
        <w:t xml:space="preserve">Table </w:t>
      </w:r>
      <w:r w:rsidR="00B96E50">
        <w:rPr>
          <w:noProof/>
        </w:rPr>
        <w:t>12</w:t>
      </w:r>
      <w:r w:rsidR="000772A9" w:rsidRPr="004523AB">
        <w:rPr>
          <w:highlight w:val="yellow"/>
        </w:rPr>
        <w:fldChar w:fldCharType="end"/>
      </w:r>
      <w:r w:rsidRPr="004523AB">
        <w:t>.</w:t>
      </w:r>
    </w:p>
    <w:tbl>
      <w:tblPr>
        <w:tblStyle w:val="NousLongformcallout"/>
        <w:tblW w:w="4950" w:type="pct"/>
        <w:tblCellMar>
          <w:top w:w="170" w:type="dxa"/>
          <w:bottom w:w="170" w:type="dxa"/>
        </w:tblCellMar>
        <w:tblLook w:val="04A0" w:firstRow="1" w:lastRow="0" w:firstColumn="1" w:lastColumn="0" w:noHBand="0" w:noVBand="1"/>
      </w:tblPr>
      <w:tblGrid>
        <w:gridCol w:w="8818"/>
      </w:tblGrid>
      <w:tr w:rsidR="00323C65" w:rsidRPr="004523AB" w14:paraId="53886663" w14:textId="77777777" w:rsidTr="00323C65">
        <w:tc>
          <w:tcPr>
            <w:tcW w:w="8818" w:type="dxa"/>
          </w:tcPr>
          <w:p w14:paraId="1FFD4D3A" w14:textId="71DC401D" w:rsidR="00323C65" w:rsidRPr="004523AB" w:rsidRDefault="00323C65" w:rsidP="00323C65">
            <w:pPr>
              <w:pStyle w:val="Longformcallout"/>
            </w:pPr>
            <w:r w:rsidRPr="004523AB">
              <w:t xml:space="preserve">“Government needs a mechanism for continuously engaging with the Australian community. They should think about engagement like the census, so there is always a baseline understanding of community needs. Then when rolling out programs quickly, consultation can be bespoke and rapid to test whether assumptions are still correct.” – Peak body representative </w:t>
            </w:r>
          </w:p>
        </w:tc>
      </w:tr>
    </w:tbl>
    <w:p w14:paraId="427A748F" w14:textId="522F4D28" w:rsidR="00A848E3" w:rsidRPr="004523AB" w:rsidRDefault="00A848E3" w:rsidP="0007627E">
      <w:pPr>
        <w:pStyle w:val="Heading3"/>
      </w:pPr>
      <w:r w:rsidRPr="004523AB">
        <w:t>Structuring the Program</w:t>
      </w:r>
      <w:r w:rsidRPr="004523AB" w:rsidDel="00D511C8">
        <w:t xml:space="preserve"> </w:t>
      </w:r>
      <w:r w:rsidRPr="004523AB">
        <w:t>in five stages supported smooth delivery</w:t>
      </w:r>
    </w:p>
    <w:p w14:paraId="0CD19CAC" w14:textId="5AF723D6" w:rsidR="004D36BF" w:rsidRPr="004523AB" w:rsidRDefault="004D36BF" w:rsidP="004D36BF">
      <w:pPr>
        <w:rPr>
          <w:lang w:eastAsia="en-AU"/>
        </w:rPr>
      </w:pPr>
      <w:r w:rsidRPr="004523AB">
        <w:rPr>
          <w:lang w:eastAsia="en-AU"/>
        </w:rPr>
        <w:t xml:space="preserve">The Program design was divided into five stages of delivery, as shown in the roadmap in </w:t>
      </w:r>
      <w:r w:rsidR="008A2293" w:rsidRPr="004523AB">
        <w:rPr>
          <w:lang w:eastAsia="en-AU"/>
        </w:rPr>
        <w:fldChar w:fldCharType="begin"/>
      </w:r>
      <w:r w:rsidR="008A2293" w:rsidRPr="004523AB">
        <w:rPr>
          <w:lang w:eastAsia="en-AU"/>
        </w:rPr>
        <w:instrText xml:space="preserve"> REF _Ref184920174 \r \h </w:instrText>
      </w:r>
      <w:r w:rsidR="004523AB" w:rsidRPr="004523AB">
        <w:rPr>
          <w:lang w:eastAsia="en-AU"/>
        </w:rPr>
        <w:instrText xml:space="preserve"> \* MERGEFORMAT </w:instrText>
      </w:r>
      <w:r w:rsidR="008A2293" w:rsidRPr="004523AB">
        <w:rPr>
          <w:lang w:eastAsia="en-AU"/>
        </w:rPr>
      </w:r>
      <w:r w:rsidR="008A2293" w:rsidRPr="004523AB">
        <w:rPr>
          <w:lang w:eastAsia="en-AU"/>
        </w:rPr>
        <w:fldChar w:fldCharType="separate"/>
      </w:r>
      <w:r w:rsidR="00B96E50">
        <w:rPr>
          <w:lang w:eastAsia="en-AU"/>
        </w:rPr>
        <w:t>C.1.2</w:t>
      </w:r>
      <w:r w:rsidR="008A2293" w:rsidRPr="004523AB">
        <w:rPr>
          <w:lang w:eastAsia="en-AU"/>
        </w:rPr>
        <w:fldChar w:fldCharType="end"/>
      </w:r>
      <w:r w:rsidRPr="004523AB">
        <w:rPr>
          <w:lang w:eastAsia="en-AU"/>
        </w:rPr>
        <w:t xml:space="preserve"> including:  </w:t>
      </w:r>
    </w:p>
    <w:p w14:paraId="45E402F3" w14:textId="77777777" w:rsidR="00555E56" w:rsidRPr="004523AB" w:rsidRDefault="00555E56" w:rsidP="008A550C">
      <w:pPr>
        <w:pStyle w:val="Listnumbered"/>
        <w:numPr>
          <w:ilvl w:val="0"/>
          <w:numId w:val="18"/>
        </w:numPr>
        <w:spacing w:line="259" w:lineRule="auto"/>
        <w:rPr>
          <w:rFonts w:asciiTheme="majorHAnsi" w:hAnsiTheme="majorHAnsi" w:cstheme="majorHAnsi"/>
          <w:lang w:eastAsia="en-AU"/>
        </w:rPr>
      </w:pPr>
      <w:r w:rsidRPr="004523AB">
        <w:rPr>
          <w:rFonts w:asciiTheme="majorHAnsi" w:hAnsiTheme="majorHAnsi" w:cstheme="majorHAnsi"/>
          <w:lang w:eastAsia="en-AU"/>
        </w:rPr>
        <w:t xml:space="preserve">Planning: </w:t>
      </w:r>
      <w:r w:rsidRPr="004523AB">
        <w:rPr>
          <w:rFonts w:asciiTheme="minorHAnsi" w:hAnsiTheme="minorHAnsi" w:cstheme="minorHAnsi"/>
          <w:lang w:eastAsia="en-AU"/>
        </w:rPr>
        <w:t xml:space="preserve">The Department provided PHNs and NACCHO with guidance documentation and grant agreement packs. PHNs planned and designed processes for managing and implementing the Program and liaising with the Department to update practice data where required. NACCHO tailored the materials for their established processes, and provided collated reports as contracted to NTPHN and the Department. </w:t>
      </w:r>
    </w:p>
    <w:p w14:paraId="5752054F" w14:textId="77777777" w:rsidR="00555E56" w:rsidRPr="004523AB" w:rsidRDefault="00555E56" w:rsidP="008A550C">
      <w:pPr>
        <w:pStyle w:val="Listnumbered"/>
        <w:numPr>
          <w:ilvl w:val="0"/>
          <w:numId w:val="18"/>
        </w:numPr>
        <w:spacing w:line="259" w:lineRule="auto"/>
        <w:rPr>
          <w:rFonts w:asciiTheme="majorHAnsi" w:hAnsiTheme="majorHAnsi" w:cstheme="majorHAnsi"/>
          <w:lang w:eastAsia="en-AU"/>
        </w:rPr>
      </w:pPr>
      <w:r w:rsidRPr="004523AB">
        <w:rPr>
          <w:rFonts w:asciiTheme="majorHAnsi" w:hAnsiTheme="majorHAnsi" w:cstheme="majorHAnsi"/>
          <w:lang w:eastAsia="en-AU"/>
        </w:rPr>
        <w:t xml:space="preserve">Go – live: </w:t>
      </w:r>
      <w:r w:rsidRPr="004523AB">
        <w:rPr>
          <w:rFonts w:asciiTheme="minorHAnsi" w:hAnsiTheme="minorHAnsi" w:cstheme="minorHAnsi"/>
          <w:lang w:eastAsia="en-AU"/>
        </w:rPr>
        <w:t>The Program was launched and PHNs dispatched application packs to practices. NACCHO</w:t>
      </w:r>
      <w:r w:rsidRPr="004523AB" w:rsidDel="001042ED">
        <w:rPr>
          <w:rFonts w:asciiTheme="minorHAnsi" w:hAnsiTheme="minorHAnsi" w:cstheme="minorHAnsi"/>
          <w:lang w:eastAsia="en-AU"/>
        </w:rPr>
        <w:t xml:space="preserve"> </w:t>
      </w:r>
      <w:r w:rsidRPr="004523AB">
        <w:rPr>
          <w:rFonts w:asciiTheme="minorHAnsi" w:hAnsiTheme="minorHAnsi" w:cstheme="minorHAnsi"/>
          <w:lang w:eastAsia="en-AU"/>
        </w:rPr>
        <w:t xml:space="preserve">managed the distribution of ACCHO grants. </w:t>
      </w:r>
    </w:p>
    <w:p w14:paraId="00A28A29" w14:textId="77777777" w:rsidR="00555E56" w:rsidRPr="004523AB" w:rsidRDefault="00555E56" w:rsidP="008A550C">
      <w:pPr>
        <w:pStyle w:val="Listnumbered"/>
        <w:numPr>
          <w:ilvl w:val="0"/>
          <w:numId w:val="18"/>
        </w:numPr>
        <w:spacing w:line="259" w:lineRule="auto"/>
        <w:rPr>
          <w:rFonts w:asciiTheme="majorHAnsi" w:hAnsiTheme="majorHAnsi" w:cstheme="majorHAnsi"/>
          <w:lang w:eastAsia="en-AU"/>
        </w:rPr>
      </w:pPr>
      <w:r w:rsidRPr="004523AB">
        <w:rPr>
          <w:rFonts w:asciiTheme="majorHAnsi" w:hAnsiTheme="majorHAnsi" w:cstheme="majorHAnsi"/>
          <w:lang w:eastAsia="en-AU"/>
        </w:rPr>
        <w:t xml:space="preserve">Grant implementation: </w:t>
      </w:r>
      <w:r w:rsidRPr="004523AB">
        <w:rPr>
          <w:rFonts w:asciiTheme="minorHAnsi" w:hAnsiTheme="minorHAnsi" w:cstheme="minorHAnsi"/>
          <w:lang w:eastAsia="en-AU"/>
        </w:rPr>
        <w:t>Practices applied for grants which were assessed and administered by PHNs. Practices then spent the grant funding across the three investment streams. ACCHOs were required to express their interest in the grant, and funds were administered through existing processes by NACCHO.</w:t>
      </w:r>
    </w:p>
    <w:p w14:paraId="769AEDEE" w14:textId="77777777" w:rsidR="00555E56" w:rsidRPr="004523AB" w:rsidRDefault="00555E56" w:rsidP="008A550C">
      <w:pPr>
        <w:pStyle w:val="Listnumbered"/>
        <w:numPr>
          <w:ilvl w:val="0"/>
          <w:numId w:val="18"/>
        </w:numPr>
        <w:spacing w:line="259" w:lineRule="auto"/>
        <w:rPr>
          <w:rFonts w:asciiTheme="minorHAnsi" w:hAnsiTheme="minorHAnsi" w:cstheme="minorHAnsi"/>
          <w:lang w:eastAsia="en-AU"/>
        </w:rPr>
      </w:pPr>
      <w:r w:rsidRPr="004523AB">
        <w:rPr>
          <w:rFonts w:asciiTheme="majorHAnsi" w:hAnsiTheme="majorHAnsi" w:cstheme="majorHAnsi"/>
          <w:lang w:eastAsia="en-AU"/>
        </w:rPr>
        <w:t xml:space="preserve">Monitoring and compliance: </w:t>
      </w:r>
      <w:r w:rsidRPr="004523AB">
        <w:rPr>
          <w:rFonts w:asciiTheme="minorHAnsi" w:hAnsiTheme="minorHAnsi" w:cstheme="minorHAnsi"/>
          <w:lang w:eastAsia="en-AU"/>
        </w:rPr>
        <w:t>Practices selected for audit submitted information on investment activities. The Department also provided self-evaluation reporting templates and financial acquittal reports for PHNs to distribute to practices for completion.</w:t>
      </w:r>
    </w:p>
    <w:p w14:paraId="1E7A04D0" w14:textId="77777777" w:rsidR="00555E56" w:rsidRPr="004523AB" w:rsidRDefault="00555E56" w:rsidP="008A550C">
      <w:pPr>
        <w:pStyle w:val="Listnumbered"/>
        <w:numPr>
          <w:ilvl w:val="0"/>
          <w:numId w:val="18"/>
        </w:numPr>
        <w:spacing w:line="259" w:lineRule="auto"/>
        <w:rPr>
          <w:rFonts w:asciiTheme="majorHAnsi" w:hAnsiTheme="majorHAnsi" w:cstheme="majorHAnsi"/>
          <w:lang w:eastAsia="en-AU"/>
        </w:rPr>
      </w:pPr>
      <w:r w:rsidRPr="004523AB">
        <w:rPr>
          <w:rFonts w:asciiTheme="majorHAnsi" w:hAnsiTheme="majorHAnsi" w:cstheme="majorHAnsi"/>
          <w:lang w:eastAsia="en-AU"/>
        </w:rPr>
        <w:t xml:space="preserve">Financial acquittal: </w:t>
      </w:r>
      <w:r w:rsidRPr="004523AB">
        <w:rPr>
          <w:rFonts w:asciiTheme="minorHAnsi" w:hAnsiTheme="minorHAnsi" w:cstheme="minorHAnsi"/>
          <w:lang w:eastAsia="en-AU"/>
        </w:rPr>
        <w:t>Practices completed their self-evaluation and financial acquittal reports. Any unspent funding will be returned to the Department via PHNs or NACCHO at the end of the grant period. Final financial acquittal</w:t>
      </w:r>
      <w:r w:rsidR="00BD3C99" w:rsidRPr="004523AB">
        <w:rPr>
          <w:rFonts w:asciiTheme="minorHAnsi" w:hAnsiTheme="minorHAnsi" w:cstheme="minorHAnsi"/>
          <w:lang w:eastAsia="en-AU"/>
        </w:rPr>
        <w:t>.</w:t>
      </w:r>
    </w:p>
    <w:p w14:paraId="4FBBA767" w14:textId="77777777" w:rsidR="006B41FE" w:rsidRPr="004523AB" w:rsidRDefault="006B41FE" w:rsidP="006B41FE">
      <w:pPr>
        <w:rPr>
          <w:lang w:eastAsia="en-AU"/>
        </w:rPr>
      </w:pPr>
      <w:r w:rsidRPr="004523AB">
        <w:rPr>
          <w:lang w:eastAsia="en-AU"/>
        </w:rPr>
        <w:lastRenderedPageBreak/>
        <w:t>The process aligns to best practice grant delivery (</w:t>
      </w:r>
      <w:r w:rsidRPr="004523AB">
        <w:rPr>
          <w:rFonts w:asciiTheme="minorHAnsi" w:hAnsiTheme="minorHAnsi" w:cstheme="minorHAnsi"/>
        </w:rPr>
        <w:t>with reference to the Commonwealth Grant Rules and Guidelines, Administration of Government Grants in the ACT: A framework and best practice policy, and Treasury’s Best Practice Guide for the Administration of Grants).</w:t>
      </w:r>
      <w:r w:rsidRPr="004523AB">
        <w:rPr>
          <w:rStyle w:val="FootnoteReference"/>
          <w:rFonts w:asciiTheme="minorHAnsi" w:hAnsiTheme="minorHAnsi" w:cstheme="minorHAnsi"/>
        </w:rPr>
        <w:footnoteReference w:id="16"/>
      </w:r>
      <w:r w:rsidRPr="004523AB">
        <w:rPr>
          <w:rFonts w:asciiTheme="minorHAnsi" w:hAnsiTheme="minorHAnsi" w:cstheme="minorHAnsi"/>
        </w:rPr>
        <w:t xml:space="preserve"> In practice, this supported PHNs to plan internal delivery processes and forecast workload and assist in timely and informative communications to practices. </w:t>
      </w:r>
      <w:r w:rsidRPr="004523AB">
        <w:rPr>
          <w:lang w:eastAsia="en-AU"/>
        </w:rPr>
        <w:t xml:space="preserve">PHN representatives felt the Program adhered to the proposed five stages in delivery. </w:t>
      </w:r>
    </w:p>
    <w:p w14:paraId="6D11EDF6" w14:textId="77777777" w:rsidR="006B41FE" w:rsidRPr="004523AB" w:rsidRDefault="006B41FE" w:rsidP="00725750">
      <w:pPr>
        <w:rPr>
          <w:lang w:eastAsia="en-AU"/>
        </w:rPr>
      </w:pPr>
      <w:r w:rsidRPr="004523AB">
        <w:rPr>
          <w:lang w:eastAsia="en-AU"/>
        </w:rPr>
        <w:t xml:space="preserve">NACCHO note that direct contractual arrangements between the Department and NACCHO (rather than through NTPHN) could streamline processes and optimise opportunities for co-design, appropriate tailoring, and reporting that is aligned nationally across practices and ACCHOs. </w:t>
      </w:r>
    </w:p>
    <w:p w14:paraId="37B51C4E" w14:textId="77777777" w:rsidR="00725750" w:rsidRPr="004523AB" w:rsidRDefault="00725750" w:rsidP="00725750">
      <w:pPr>
        <w:rPr>
          <w:rFonts w:asciiTheme="minorHAnsi" w:hAnsiTheme="minorHAnsi" w:cstheme="minorHAnsi"/>
        </w:rPr>
      </w:pPr>
      <w:r w:rsidRPr="004523AB">
        <w:rPr>
          <w:lang w:eastAsia="en-AU"/>
        </w:rPr>
        <w:t xml:space="preserve">HN representatives identified three changes that could have reduced pressure: </w:t>
      </w:r>
    </w:p>
    <w:p w14:paraId="3A0B9ECC" w14:textId="77777777" w:rsidR="00725750" w:rsidRPr="004523AB" w:rsidRDefault="00725750" w:rsidP="008A550C">
      <w:pPr>
        <w:pStyle w:val="Listnumbered"/>
        <w:numPr>
          <w:ilvl w:val="0"/>
          <w:numId w:val="16"/>
        </w:numPr>
        <w:spacing w:line="259" w:lineRule="auto"/>
        <w:rPr>
          <w:lang w:eastAsia="en-AU"/>
        </w:rPr>
      </w:pPr>
      <w:r w:rsidRPr="004523AB">
        <w:rPr>
          <w:rFonts w:asciiTheme="majorHAnsi" w:hAnsiTheme="majorHAnsi" w:cstheme="majorHAnsi"/>
          <w:lang w:eastAsia="en-AU"/>
        </w:rPr>
        <w:t>A longer planning phase</w:t>
      </w:r>
      <w:r w:rsidRPr="004523AB">
        <w:rPr>
          <w:lang w:eastAsia="en-AU"/>
        </w:rPr>
        <w:t xml:space="preserve"> would have provided PHNs with more of an opportunity to plan how they would deliver the grant. However, many PHN representatives did acknowledge that the Department also faced time pressures to deliver the Program. </w:t>
      </w:r>
    </w:p>
    <w:p w14:paraId="6AD7D65E" w14:textId="245772DF" w:rsidR="00725750" w:rsidRPr="004523AB" w:rsidRDefault="00725750" w:rsidP="008A550C">
      <w:pPr>
        <w:pStyle w:val="Listnumbered"/>
        <w:numPr>
          <w:ilvl w:val="0"/>
          <w:numId w:val="16"/>
        </w:numPr>
        <w:spacing w:line="259" w:lineRule="auto"/>
        <w:rPr>
          <w:lang w:eastAsia="en-AU"/>
        </w:rPr>
      </w:pPr>
      <w:r w:rsidRPr="004523AB">
        <w:rPr>
          <w:rFonts w:asciiTheme="majorHAnsi" w:hAnsiTheme="majorHAnsi" w:cstheme="majorHAnsi"/>
          <w:lang w:eastAsia="en-AU"/>
        </w:rPr>
        <w:t xml:space="preserve">Involving PHNs more in the design process </w:t>
      </w:r>
      <w:r w:rsidRPr="004523AB">
        <w:rPr>
          <w:lang w:eastAsia="en-AU"/>
        </w:rPr>
        <w:t xml:space="preserve">to establish more realistic timelines and provide prior notice of what to expect. It would have also provided the opportunity for PHNs from a range of operational maturities to provide feedback to the Department on potential implementation challenges to mitigate (see Section </w:t>
      </w:r>
      <w:r w:rsidRPr="004523AB">
        <w:rPr>
          <w:lang w:eastAsia="en-AU"/>
        </w:rPr>
        <w:fldChar w:fldCharType="begin"/>
      </w:r>
      <w:r w:rsidRPr="004523AB">
        <w:rPr>
          <w:lang w:eastAsia="en-AU"/>
        </w:rPr>
        <w:instrText xml:space="preserve"> REF _Ref183526493 \n \h  \* MERGEFORMAT </w:instrText>
      </w:r>
      <w:r w:rsidRPr="004523AB">
        <w:rPr>
          <w:lang w:eastAsia="en-AU"/>
        </w:rPr>
      </w:r>
      <w:r w:rsidRPr="004523AB">
        <w:rPr>
          <w:lang w:eastAsia="en-AU"/>
        </w:rPr>
        <w:fldChar w:fldCharType="separate"/>
      </w:r>
      <w:r w:rsidR="00B96E50">
        <w:rPr>
          <w:lang w:eastAsia="en-AU"/>
        </w:rPr>
        <w:t>4.1.1</w:t>
      </w:r>
      <w:r w:rsidRPr="004523AB">
        <w:rPr>
          <w:lang w:eastAsia="en-AU"/>
        </w:rPr>
        <w:fldChar w:fldCharType="end"/>
      </w:r>
      <w:r w:rsidRPr="004523AB">
        <w:rPr>
          <w:lang w:eastAsia="en-AU"/>
        </w:rPr>
        <w:t xml:space="preserve">). </w:t>
      </w:r>
    </w:p>
    <w:p w14:paraId="7547C151" w14:textId="77777777" w:rsidR="00725750" w:rsidRPr="004523AB" w:rsidRDefault="00725750" w:rsidP="008A550C">
      <w:pPr>
        <w:pStyle w:val="Listnumbered"/>
        <w:numPr>
          <w:ilvl w:val="0"/>
          <w:numId w:val="16"/>
        </w:numPr>
        <w:spacing w:line="259" w:lineRule="auto"/>
        <w:rPr>
          <w:lang w:eastAsia="en-AU"/>
        </w:rPr>
      </w:pPr>
      <w:r w:rsidRPr="004523AB">
        <w:rPr>
          <w:rFonts w:asciiTheme="majorHAnsi" w:hAnsiTheme="majorHAnsi" w:cstheme="majorHAnsi"/>
          <w:lang w:eastAsia="en-AU"/>
        </w:rPr>
        <w:t xml:space="preserve">Centralising some administrative tasks </w:t>
      </w:r>
      <w:r w:rsidRPr="004523AB">
        <w:rPr>
          <w:lang w:eastAsia="en-AU"/>
        </w:rPr>
        <w:t xml:space="preserve">to reduce and streamline PHN workload. For example, many PHNs established individual processes to execute grant agreements and distribute grant packs. Some PHNs took manual processes and others implemented a digital solution. PHN representatives suggested the Department could have provided pre-filled templates or provided guidance on approaches to adopting a digital solution to reduce pressure on PHNs. </w:t>
      </w:r>
    </w:p>
    <w:tbl>
      <w:tblPr>
        <w:tblStyle w:val="NousLongformcallout"/>
        <w:tblW w:w="4950" w:type="pct"/>
        <w:tblCellMar>
          <w:top w:w="170" w:type="dxa"/>
          <w:bottom w:w="170" w:type="dxa"/>
        </w:tblCellMar>
        <w:tblLook w:val="04A0" w:firstRow="1" w:lastRow="0" w:firstColumn="1" w:lastColumn="0" w:noHBand="0" w:noVBand="1"/>
      </w:tblPr>
      <w:tblGrid>
        <w:gridCol w:w="8818"/>
      </w:tblGrid>
      <w:tr w:rsidR="007D356A" w:rsidRPr="004523AB" w14:paraId="4B9C690B" w14:textId="77777777" w:rsidTr="007D356A">
        <w:tc>
          <w:tcPr>
            <w:tcW w:w="8818" w:type="dxa"/>
          </w:tcPr>
          <w:p w14:paraId="50724A62" w14:textId="61E22D29" w:rsidR="007D356A" w:rsidRPr="004523AB" w:rsidRDefault="007D356A" w:rsidP="007D356A">
            <w:pPr>
              <w:pStyle w:val="Longformcallout"/>
            </w:pPr>
            <w:r w:rsidRPr="004523AB">
              <w:t>"We missed the opportunity to work with the practices to plan - we just had to go." – PHN representatives.</w:t>
            </w:r>
          </w:p>
        </w:tc>
      </w:tr>
    </w:tbl>
    <w:p w14:paraId="59F31409" w14:textId="39D5010D" w:rsidR="004776B9" w:rsidRPr="004523AB" w:rsidRDefault="004F5B1A" w:rsidP="00340B1E">
      <w:pPr>
        <w:rPr>
          <w:rFonts w:asciiTheme="minorHAnsi" w:hAnsiTheme="minorHAnsi" w:cstheme="minorHAnsi"/>
        </w:rPr>
        <w:sectPr w:rsidR="004776B9" w:rsidRPr="004523AB" w:rsidSect="00725750">
          <w:headerReference w:type="first" r:id="rId26"/>
          <w:pgSz w:w="11907" w:h="16839" w:code="9"/>
          <w:pgMar w:top="1247" w:right="1418" w:bottom="1701" w:left="1559" w:header="720" w:footer="720" w:gutter="0"/>
          <w:cols w:space="720"/>
          <w:titlePg/>
          <w:docGrid w:linePitch="360"/>
        </w:sectPr>
      </w:pPr>
      <w:r w:rsidRPr="004523AB">
        <w:rPr>
          <w:highlight w:val="yellow"/>
          <w:lang w:eastAsia="en-AU"/>
        </w:rPr>
        <w:fldChar w:fldCharType="begin"/>
      </w:r>
      <w:r w:rsidRPr="004523AB">
        <w:rPr>
          <w:rFonts w:asciiTheme="minorHAnsi" w:hAnsiTheme="minorHAnsi" w:cstheme="minorHAnsi"/>
        </w:rPr>
        <w:instrText xml:space="preserve"> REF _Ref184908182 \h </w:instrText>
      </w:r>
      <w:r w:rsidR="004523AB" w:rsidRPr="004523AB">
        <w:rPr>
          <w:highlight w:val="yellow"/>
          <w:lang w:eastAsia="en-AU"/>
        </w:rPr>
        <w:instrText xml:space="preserve"> \* MERGEFORMAT </w:instrText>
      </w:r>
      <w:r w:rsidRPr="004523AB">
        <w:rPr>
          <w:highlight w:val="yellow"/>
          <w:lang w:eastAsia="en-AU"/>
        </w:rPr>
      </w:r>
      <w:r w:rsidRPr="004523AB">
        <w:rPr>
          <w:highlight w:val="yellow"/>
          <w:lang w:eastAsia="en-AU"/>
        </w:rPr>
        <w:fldChar w:fldCharType="separate"/>
      </w:r>
      <w:r w:rsidR="00B96E50" w:rsidRPr="004523AB">
        <w:t xml:space="preserve">Table </w:t>
      </w:r>
      <w:r w:rsidR="00B96E50">
        <w:rPr>
          <w:noProof/>
        </w:rPr>
        <w:t>9</w:t>
      </w:r>
      <w:r w:rsidRPr="004523AB">
        <w:rPr>
          <w:highlight w:val="yellow"/>
          <w:lang w:eastAsia="en-AU"/>
        </w:rPr>
        <w:fldChar w:fldCharType="end"/>
      </w:r>
      <w:r w:rsidR="00725750" w:rsidRPr="004523AB">
        <w:rPr>
          <w:lang w:eastAsia="en-AU"/>
        </w:rPr>
        <w:t xml:space="preserve"> </w:t>
      </w:r>
      <w:r w:rsidR="00725750" w:rsidRPr="004523AB">
        <w:rPr>
          <w:rFonts w:asciiTheme="minorHAnsi" w:hAnsiTheme="minorHAnsi" w:cstheme="minorHAnsi"/>
        </w:rPr>
        <w:t xml:space="preserve">provides a high-level process map of the Program and key stakeholders’ roles and responsibilities at different stages. It has been adapted using the 16 steps and five stages listed in the </w:t>
      </w:r>
      <w:r w:rsidR="007D356A" w:rsidRPr="004523AB">
        <w:rPr>
          <w:rFonts w:asciiTheme="minorHAnsi" w:hAnsiTheme="minorHAnsi" w:cstheme="minorHAnsi"/>
        </w:rPr>
        <w:t>‘</w:t>
      </w:r>
      <w:r w:rsidR="00725750" w:rsidRPr="004523AB">
        <w:rPr>
          <w:rFonts w:asciiTheme="minorHAnsi" w:hAnsiTheme="minorHAnsi" w:cstheme="minorHAnsi"/>
        </w:rPr>
        <w:t>Guidance for Primary Health Networks</w:t>
      </w:r>
      <w:r w:rsidR="007D356A" w:rsidRPr="004523AB">
        <w:rPr>
          <w:rFonts w:asciiTheme="minorHAnsi" w:hAnsiTheme="minorHAnsi" w:cstheme="minorHAnsi"/>
        </w:rPr>
        <w:t>’</w:t>
      </w:r>
      <w:r w:rsidR="00725750" w:rsidRPr="004523AB">
        <w:rPr>
          <w:rFonts w:asciiTheme="minorHAnsi" w:hAnsiTheme="minorHAnsi" w:cstheme="minorHAnsi"/>
        </w:rPr>
        <w:t xml:space="preserve"> document (Appendix </w:t>
      </w:r>
      <w:r w:rsidR="008A2293" w:rsidRPr="004523AB">
        <w:rPr>
          <w:rFonts w:asciiTheme="minorHAnsi" w:hAnsiTheme="minorHAnsi" w:cstheme="minorHAnsi"/>
        </w:rPr>
        <w:fldChar w:fldCharType="begin"/>
      </w:r>
      <w:r w:rsidR="008A2293" w:rsidRPr="004523AB">
        <w:rPr>
          <w:rFonts w:asciiTheme="minorHAnsi" w:hAnsiTheme="minorHAnsi" w:cstheme="minorHAnsi"/>
        </w:rPr>
        <w:instrText xml:space="preserve"> REF _Ref184920174 \r \h </w:instrText>
      </w:r>
      <w:r w:rsidR="004523AB" w:rsidRPr="004523AB">
        <w:rPr>
          <w:rFonts w:asciiTheme="minorHAnsi" w:hAnsiTheme="minorHAnsi" w:cstheme="minorHAnsi"/>
        </w:rPr>
        <w:instrText xml:space="preserve"> \* MERGEFORMAT </w:instrText>
      </w:r>
      <w:r w:rsidR="008A2293" w:rsidRPr="004523AB">
        <w:rPr>
          <w:rFonts w:asciiTheme="minorHAnsi" w:hAnsiTheme="minorHAnsi" w:cstheme="minorHAnsi"/>
        </w:rPr>
      </w:r>
      <w:r w:rsidR="008A2293" w:rsidRPr="004523AB">
        <w:rPr>
          <w:rFonts w:asciiTheme="minorHAnsi" w:hAnsiTheme="minorHAnsi" w:cstheme="minorHAnsi"/>
        </w:rPr>
        <w:fldChar w:fldCharType="separate"/>
      </w:r>
      <w:r w:rsidR="00B96E50">
        <w:rPr>
          <w:rFonts w:asciiTheme="minorHAnsi" w:hAnsiTheme="minorHAnsi" w:cstheme="minorHAnsi"/>
        </w:rPr>
        <w:t>C.1.2</w:t>
      </w:r>
      <w:r w:rsidR="008A2293" w:rsidRPr="004523AB">
        <w:rPr>
          <w:rFonts w:asciiTheme="minorHAnsi" w:hAnsiTheme="minorHAnsi" w:cstheme="minorHAnsi"/>
        </w:rPr>
        <w:fldChar w:fldCharType="end"/>
      </w:r>
      <w:r w:rsidR="00725750" w:rsidRPr="004523AB">
        <w:rPr>
          <w:rFonts w:asciiTheme="minorHAnsi" w:hAnsiTheme="minorHAnsi" w:cstheme="minorHAnsi"/>
        </w:rPr>
        <w:t>) and highlights that PHNs and NACCHO were responsible for a large proportion of the Program activity</w:t>
      </w:r>
    </w:p>
    <w:p w14:paraId="5492580D" w14:textId="78039E0F" w:rsidR="004776B9" w:rsidRPr="004523AB" w:rsidRDefault="004776B9">
      <w:pPr>
        <w:spacing w:after="165" w:line="259" w:lineRule="auto"/>
        <w:rPr>
          <w:rFonts w:asciiTheme="minorHAnsi" w:hAnsiTheme="minorHAnsi" w:cstheme="minorHAnsi"/>
        </w:rPr>
      </w:pPr>
    </w:p>
    <w:p w14:paraId="7F56B36C" w14:textId="77777777" w:rsidR="004F5B1A" w:rsidRPr="004523AB" w:rsidRDefault="004F5B1A" w:rsidP="00725750">
      <w:pPr>
        <w:rPr>
          <w:rFonts w:asciiTheme="minorHAnsi" w:hAnsiTheme="minorHAnsi" w:cstheme="minorHAnsi"/>
        </w:rPr>
        <w:sectPr w:rsidR="004F5B1A" w:rsidRPr="004523AB" w:rsidSect="004776B9">
          <w:type w:val="continuous"/>
          <w:pgSz w:w="11907" w:h="16839" w:code="9"/>
          <w:pgMar w:top="1247" w:right="1418" w:bottom="1701" w:left="1559" w:header="720" w:footer="720" w:gutter="0"/>
          <w:cols w:space="720"/>
          <w:titlePg/>
          <w:docGrid w:linePitch="360"/>
        </w:sectPr>
      </w:pPr>
    </w:p>
    <w:p w14:paraId="53B39EBE" w14:textId="1CBE07AB" w:rsidR="004F5B1A" w:rsidRPr="004523AB" w:rsidRDefault="004F5B1A" w:rsidP="004F5B1A">
      <w:pPr>
        <w:pStyle w:val="Caption"/>
      </w:pPr>
      <w:bookmarkStart w:id="29" w:name="_Ref184908182"/>
      <w:r w:rsidRPr="004523AB">
        <w:lastRenderedPageBreak/>
        <w:t xml:space="preserve">Table </w:t>
      </w:r>
      <w:r w:rsidRPr="004523AB">
        <w:fldChar w:fldCharType="begin"/>
      </w:r>
      <w:r w:rsidRPr="004523AB">
        <w:instrText xml:space="preserve"> SEQ Table \* ARABIC </w:instrText>
      </w:r>
      <w:r w:rsidRPr="004523AB">
        <w:fldChar w:fldCharType="separate"/>
      </w:r>
      <w:r w:rsidR="00B96E50">
        <w:rPr>
          <w:noProof/>
        </w:rPr>
        <w:t>9</w:t>
      </w:r>
      <w:r w:rsidRPr="004523AB">
        <w:fldChar w:fldCharType="end"/>
      </w:r>
      <w:bookmarkEnd w:id="29"/>
      <w:r w:rsidRPr="004523AB">
        <w:t xml:space="preserve"> | Project process steps</w:t>
      </w:r>
    </w:p>
    <w:tbl>
      <w:tblPr>
        <w:tblStyle w:val="AccessibleCombinationHeader"/>
        <w:tblW w:w="0" w:type="auto"/>
        <w:tblLook w:val="04A0" w:firstRow="1" w:lastRow="0" w:firstColumn="1" w:lastColumn="0" w:noHBand="0" w:noVBand="1"/>
      </w:tblPr>
      <w:tblGrid>
        <w:gridCol w:w="1475"/>
        <w:gridCol w:w="2454"/>
        <w:gridCol w:w="1737"/>
        <w:gridCol w:w="3171"/>
        <w:gridCol w:w="2454"/>
        <w:gridCol w:w="2455"/>
      </w:tblGrid>
      <w:tr w:rsidR="004F5B1A" w:rsidRPr="004523AB" w14:paraId="71EE2D0C" w14:textId="77777777" w:rsidTr="00340B1E">
        <w:trPr>
          <w:cnfStyle w:val="100000000000" w:firstRow="1" w:lastRow="0" w:firstColumn="0" w:lastColumn="0" w:oddVBand="0" w:evenVBand="0" w:oddHBand="0" w:evenHBand="0" w:firstRowFirstColumn="0" w:firstRowLastColumn="0" w:lastRowFirstColumn="0" w:lastRowLastColumn="0"/>
          <w:trHeight w:val="990"/>
          <w:tblHeader/>
        </w:trPr>
        <w:tc>
          <w:tcPr>
            <w:cnfStyle w:val="001000000000" w:firstRow="0" w:lastRow="0" w:firstColumn="1" w:lastColumn="0" w:oddVBand="0" w:evenVBand="0" w:oddHBand="0" w:evenHBand="0" w:firstRowFirstColumn="0" w:firstRowLastColumn="0" w:lastRowFirstColumn="0" w:lastRowLastColumn="0"/>
            <w:tcW w:w="1474" w:type="dxa"/>
          </w:tcPr>
          <w:p w14:paraId="3C2E3D41" w14:textId="77777777" w:rsidR="004F5B1A" w:rsidRPr="004523AB" w:rsidRDefault="004F5B1A">
            <w:pPr>
              <w:pStyle w:val="TableNheader"/>
            </w:pPr>
          </w:p>
        </w:tc>
        <w:tc>
          <w:tcPr>
            <w:tcW w:w="2454" w:type="dxa"/>
          </w:tcPr>
          <w:p w14:paraId="54F0CCBD" w14:textId="77777777" w:rsidR="004F5B1A" w:rsidRPr="004523AB" w:rsidRDefault="004F5B1A">
            <w:pPr>
              <w:pStyle w:val="TableNheader"/>
              <w:cnfStyle w:val="100000000000" w:firstRow="1" w:lastRow="0" w:firstColumn="0" w:lastColumn="0" w:oddVBand="0" w:evenVBand="0" w:oddHBand="0" w:evenHBand="0" w:firstRowFirstColumn="0" w:firstRowLastColumn="0" w:lastRowFirstColumn="0" w:lastRowLastColumn="0"/>
            </w:pPr>
            <w:r w:rsidRPr="004523AB">
              <w:t>Planning</w:t>
            </w:r>
          </w:p>
        </w:tc>
        <w:tc>
          <w:tcPr>
            <w:tcW w:w="1737" w:type="dxa"/>
          </w:tcPr>
          <w:p w14:paraId="34EB5E9B" w14:textId="77777777" w:rsidR="004F5B1A" w:rsidRPr="004523AB" w:rsidRDefault="004F5B1A">
            <w:pPr>
              <w:pStyle w:val="TableNheader"/>
              <w:cnfStyle w:val="100000000000" w:firstRow="1" w:lastRow="0" w:firstColumn="0" w:lastColumn="0" w:oddVBand="0" w:evenVBand="0" w:oddHBand="0" w:evenHBand="0" w:firstRowFirstColumn="0" w:firstRowLastColumn="0" w:lastRowFirstColumn="0" w:lastRowLastColumn="0"/>
            </w:pPr>
            <w:r w:rsidRPr="004523AB">
              <w:t>Go-live</w:t>
            </w:r>
          </w:p>
        </w:tc>
        <w:tc>
          <w:tcPr>
            <w:tcW w:w="3171" w:type="dxa"/>
          </w:tcPr>
          <w:p w14:paraId="44992205" w14:textId="77777777" w:rsidR="004F5B1A" w:rsidRPr="004523AB" w:rsidRDefault="004F5B1A">
            <w:pPr>
              <w:pStyle w:val="TableNheader"/>
              <w:cnfStyle w:val="100000000000" w:firstRow="1" w:lastRow="0" w:firstColumn="0" w:lastColumn="0" w:oddVBand="0" w:evenVBand="0" w:oddHBand="0" w:evenHBand="0" w:firstRowFirstColumn="0" w:firstRowLastColumn="0" w:lastRowFirstColumn="0" w:lastRowLastColumn="0"/>
            </w:pPr>
            <w:r w:rsidRPr="004523AB">
              <w:t>Program implementation</w:t>
            </w:r>
          </w:p>
        </w:tc>
        <w:tc>
          <w:tcPr>
            <w:tcW w:w="2454" w:type="dxa"/>
          </w:tcPr>
          <w:p w14:paraId="41BAFF1F" w14:textId="77777777" w:rsidR="004F5B1A" w:rsidRPr="004523AB" w:rsidRDefault="004F5B1A">
            <w:pPr>
              <w:pStyle w:val="TableNheader"/>
              <w:cnfStyle w:val="100000000000" w:firstRow="1" w:lastRow="0" w:firstColumn="0" w:lastColumn="0" w:oddVBand="0" w:evenVBand="0" w:oddHBand="0" w:evenHBand="0" w:firstRowFirstColumn="0" w:firstRowLastColumn="0" w:lastRowFirstColumn="0" w:lastRowLastColumn="0"/>
            </w:pPr>
            <w:r w:rsidRPr="004523AB">
              <w:t>Monitoring and compliance</w:t>
            </w:r>
          </w:p>
        </w:tc>
        <w:tc>
          <w:tcPr>
            <w:tcW w:w="2455" w:type="dxa"/>
          </w:tcPr>
          <w:p w14:paraId="3DDA11EB" w14:textId="77777777" w:rsidR="004F5B1A" w:rsidRPr="004523AB" w:rsidRDefault="004F5B1A">
            <w:pPr>
              <w:pStyle w:val="TableNheader"/>
              <w:cnfStyle w:val="100000000000" w:firstRow="1" w:lastRow="0" w:firstColumn="0" w:lastColumn="0" w:oddVBand="0" w:evenVBand="0" w:oddHBand="0" w:evenHBand="0" w:firstRowFirstColumn="0" w:firstRowLastColumn="0" w:lastRowFirstColumn="0" w:lastRowLastColumn="0"/>
            </w:pPr>
            <w:r w:rsidRPr="004523AB">
              <w:t>Financial acquittal</w:t>
            </w:r>
          </w:p>
        </w:tc>
      </w:tr>
      <w:tr w:rsidR="004F5B1A" w:rsidRPr="004523AB" w14:paraId="3A87E233" w14:textId="77777777">
        <w:trPr>
          <w:trHeight w:val="3231"/>
        </w:trPr>
        <w:tc>
          <w:tcPr>
            <w:cnfStyle w:val="001000000000" w:firstRow="0" w:lastRow="0" w:firstColumn="1" w:lastColumn="0" w:oddVBand="0" w:evenVBand="0" w:oddHBand="0" w:evenHBand="0" w:firstRowFirstColumn="0" w:firstRowLastColumn="0" w:lastRowFirstColumn="0" w:lastRowLastColumn="0"/>
            <w:tcW w:w="1474" w:type="dxa"/>
          </w:tcPr>
          <w:p w14:paraId="59432CE7" w14:textId="77777777" w:rsidR="004F5B1A" w:rsidRPr="004523AB" w:rsidRDefault="004F5B1A">
            <w:pPr>
              <w:pStyle w:val="TableNheader"/>
              <w:rPr>
                <w:color w:val="2E368F" w:themeColor="text2"/>
              </w:rPr>
            </w:pPr>
            <w:r w:rsidRPr="004523AB">
              <w:rPr>
                <w:color w:val="00264D" w:themeColor="background2"/>
              </w:rPr>
              <w:t>Department of Health and Aged Care</w:t>
            </w:r>
          </w:p>
        </w:tc>
        <w:tc>
          <w:tcPr>
            <w:tcW w:w="2454" w:type="dxa"/>
          </w:tcPr>
          <w:p w14:paraId="011E8A64" w14:textId="77777777" w:rsidR="004F5B1A" w:rsidRPr="004523AB" w:rsidRDefault="004F5B1A">
            <w:pPr>
              <w:pStyle w:val="TableNBullet"/>
              <w:cnfStyle w:val="000000000000" w:firstRow="0" w:lastRow="0" w:firstColumn="0" w:lastColumn="0" w:oddVBand="0" w:evenVBand="0" w:oddHBand="0" w:evenHBand="0" w:firstRowFirstColumn="0" w:firstRowLastColumn="0" w:lastRowFirstColumn="0" w:lastRowLastColumn="0"/>
            </w:pPr>
            <w:r w:rsidRPr="004523AB">
              <w:t>Allocates funding to PHNs based on confirmed practice lists for PHNs + a small buffer</w:t>
            </w:r>
          </w:p>
          <w:p w14:paraId="0BAFC418" w14:textId="77777777" w:rsidR="004F5B1A" w:rsidRPr="004523AB" w:rsidRDefault="004F5B1A">
            <w:pPr>
              <w:pStyle w:val="TableNBullet"/>
              <w:cnfStyle w:val="000000000000" w:firstRow="0" w:lastRow="0" w:firstColumn="0" w:lastColumn="0" w:oddVBand="0" w:evenVBand="0" w:oddHBand="0" w:evenHBand="0" w:firstRowFirstColumn="0" w:firstRowLastColumn="0" w:lastRowFirstColumn="0" w:lastRowLastColumn="0"/>
            </w:pPr>
            <w:r w:rsidRPr="004523AB">
              <w:t>Provides practice grant agreement packs and practice grant data to PHNs</w:t>
            </w:r>
          </w:p>
        </w:tc>
        <w:tc>
          <w:tcPr>
            <w:tcW w:w="1737" w:type="dxa"/>
          </w:tcPr>
          <w:p w14:paraId="7102952C" w14:textId="77777777" w:rsidR="004F5B1A" w:rsidRPr="004523AB" w:rsidRDefault="004F5B1A">
            <w:pPr>
              <w:pStyle w:val="TableNBullet"/>
              <w:cnfStyle w:val="000000000000" w:firstRow="0" w:lastRow="0" w:firstColumn="0" w:lastColumn="0" w:oddVBand="0" w:evenVBand="0" w:oddHBand="0" w:evenHBand="0" w:firstRowFirstColumn="0" w:firstRowLastColumn="0" w:lastRowFirstColumn="0" w:lastRowLastColumn="0"/>
            </w:pPr>
            <w:r w:rsidRPr="004523AB">
              <w:t>Promotes the Program to practices</w:t>
            </w:r>
          </w:p>
        </w:tc>
        <w:tc>
          <w:tcPr>
            <w:tcW w:w="3171" w:type="dxa"/>
          </w:tcPr>
          <w:p w14:paraId="0B21B721" w14:textId="77777777" w:rsidR="004F5B1A" w:rsidRPr="004523AB" w:rsidRDefault="004F5B1A">
            <w:pPr>
              <w:pStyle w:val="TableNBullet"/>
              <w:cnfStyle w:val="000000000000" w:firstRow="0" w:lastRow="0" w:firstColumn="0" w:lastColumn="0" w:oddVBand="0" w:evenVBand="0" w:oddHBand="0" w:evenHBand="0" w:firstRowFirstColumn="0" w:firstRowLastColumn="0" w:lastRowFirstColumn="0" w:lastRowLastColumn="0"/>
            </w:pPr>
            <w:r w:rsidRPr="004523AB">
              <w:t>Oversees the national data reporting spreadsheet</w:t>
            </w:r>
          </w:p>
        </w:tc>
        <w:tc>
          <w:tcPr>
            <w:tcW w:w="2454" w:type="dxa"/>
          </w:tcPr>
          <w:p w14:paraId="277B2BB5" w14:textId="77777777" w:rsidR="004F5B1A" w:rsidRPr="004523AB" w:rsidRDefault="004F5B1A">
            <w:pPr>
              <w:pStyle w:val="TableNBullet"/>
              <w:cnfStyle w:val="000000000000" w:firstRow="0" w:lastRow="0" w:firstColumn="0" w:lastColumn="0" w:oddVBand="0" w:evenVBand="0" w:oddHBand="0" w:evenHBand="0" w:firstRowFirstColumn="0" w:firstRowLastColumn="0" w:lastRowFirstColumn="0" w:lastRowLastColumn="0"/>
            </w:pPr>
            <w:r w:rsidRPr="004523AB">
              <w:t>Conducts audits of a random sample of 5% of practices.</w:t>
            </w:r>
          </w:p>
          <w:p w14:paraId="3B487381" w14:textId="77777777" w:rsidR="004F5B1A" w:rsidRPr="004523AB" w:rsidRDefault="004F5B1A">
            <w:pPr>
              <w:pStyle w:val="TableNBullet"/>
              <w:cnfStyle w:val="000000000000" w:firstRow="0" w:lastRow="0" w:firstColumn="0" w:lastColumn="0" w:oddVBand="0" w:evenVBand="0" w:oddHBand="0" w:evenHBand="0" w:firstRowFirstColumn="0" w:firstRowLastColumn="0" w:lastRowFirstColumn="0" w:lastRowLastColumn="0"/>
            </w:pPr>
            <w:r w:rsidRPr="004523AB">
              <w:t>Distributes self-evaluation reporting template and financial acquittal report to PHNs.</w:t>
            </w:r>
          </w:p>
          <w:p w14:paraId="6583F0E8" w14:textId="77777777" w:rsidR="004F5B1A" w:rsidRPr="004523AB" w:rsidRDefault="004F5B1A">
            <w:pPr>
              <w:pStyle w:val="TableNBullet"/>
              <w:cnfStyle w:val="000000000000" w:firstRow="0" w:lastRow="0" w:firstColumn="0" w:lastColumn="0" w:oddVBand="0" w:evenVBand="0" w:oddHBand="0" w:evenHBand="0" w:firstRowFirstColumn="0" w:firstRowLastColumn="0" w:lastRowFirstColumn="0" w:lastRowLastColumn="0"/>
            </w:pPr>
            <w:r w:rsidRPr="004523AB">
              <w:t>Oversees the national data reporting spreadsheet</w:t>
            </w:r>
          </w:p>
        </w:tc>
        <w:tc>
          <w:tcPr>
            <w:tcW w:w="2455" w:type="dxa"/>
          </w:tcPr>
          <w:p w14:paraId="11BDD458" w14:textId="77777777" w:rsidR="004F5B1A" w:rsidRPr="004523AB" w:rsidRDefault="004F5B1A">
            <w:pPr>
              <w:pStyle w:val="TableNBullet"/>
              <w:cnfStyle w:val="000000000000" w:firstRow="0" w:lastRow="0" w:firstColumn="0" w:lastColumn="0" w:oddVBand="0" w:evenVBand="0" w:oddHBand="0" w:evenHBand="0" w:firstRowFirstColumn="0" w:firstRowLastColumn="0" w:lastRowFirstColumn="0" w:lastRowLastColumn="0"/>
            </w:pPr>
            <w:r w:rsidRPr="004523AB">
              <w:t>Receives total unspent grant funding from PHNs.</w:t>
            </w:r>
          </w:p>
        </w:tc>
      </w:tr>
      <w:tr w:rsidR="004F5B1A" w:rsidRPr="004523AB" w14:paraId="2DA2EDC0" w14:textId="77777777">
        <w:trPr>
          <w:trHeight w:val="1827"/>
        </w:trPr>
        <w:tc>
          <w:tcPr>
            <w:cnfStyle w:val="001000000000" w:firstRow="0" w:lastRow="0" w:firstColumn="1" w:lastColumn="0" w:oddVBand="0" w:evenVBand="0" w:oddHBand="0" w:evenHBand="0" w:firstRowFirstColumn="0" w:firstRowLastColumn="0" w:lastRowFirstColumn="0" w:lastRowLastColumn="0"/>
            <w:tcW w:w="1474" w:type="dxa"/>
          </w:tcPr>
          <w:p w14:paraId="09FD9B24" w14:textId="77777777" w:rsidR="004F5B1A" w:rsidRPr="004523AB" w:rsidRDefault="004F5B1A">
            <w:pPr>
              <w:pStyle w:val="TableNheader"/>
              <w:rPr>
                <w:color w:val="0070C0"/>
              </w:rPr>
            </w:pPr>
            <w:r w:rsidRPr="004523AB">
              <w:rPr>
                <w:color w:val="2E368F" w:themeColor="text2"/>
              </w:rPr>
              <w:t>PHNs and ACCHOs</w:t>
            </w:r>
          </w:p>
        </w:tc>
        <w:tc>
          <w:tcPr>
            <w:tcW w:w="2454" w:type="dxa"/>
          </w:tcPr>
          <w:p w14:paraId="61357B09" w14:textId="77777777" w:rsidR="004F5B1A" w:rsidRPr="004523AB" w:rsidRDefault="004F5B1A">
            <w:pPr>
              <w:pStyle w:val="TableNBullet"/>
              <w:cnfStyle w:val="000000000000" w:firstRow="0" w:lastRow="0" w:firstColumn="0" w:lastColumn="0" w:oddVBand="0" w:evenVBand="0" w:oddHBand="0" w:evenHBand="0" w:firstRowFirstColumn="0" w:firstRowLastColumn="0" w:lastRowFirstColumn="0" w:lastRowLastColumn="0"/>
            </w:pPr>
            <w:r w:rsidRPr="004523AB">
              <w:t xml:space="preserve">Review practice </w:t>
            </w:r>
            <w:r w:rsidRPr="004523AB">
              <w:br/>
              <w:t>grant data and notify the Department of key changes and review and collate invitation packs.</w:t>
            </w:r>
          </w:p>
          <w:p w14:paraId="5BBDE2A2" w14:textId="77777777" w:rsidR="004F5B1A" w:rsidRPr="004523AB" w:rsidRDefault="004F5B1A">
            <w:pPr>
              <w:pStyle w:val="TableNBullet"/>
              <w:cnfStyle w:val="000000000000" w:firstRow="0" w:lastRow="0" w:firstColumn="0" w:lastColumn="0" w:oddVBand="0" w:evenVBand="0" w:oddHBand="0" w:evenHBand="0" w:firstRowFirstColumn="0" w:firstRowLastColumn="0" w:lastRowFirstColumn="0" w:lastRowLastColumn="0"/>
            </w:pPr>
            <w:r w:rsidRPr="004523AB">
              <w:t>Design, plan and develop processes for managing and implementing the program.</w:t>
            </w:r>
          </w:p>
          <w:p w14:paraId="1EAC3CF1" w14:textId="77777777" w:rsidR="004F5B1A" w:rsidRPr="004523AB" w:rsidRDefault="004F5B1A">
            <w:pPr>
              <w:pStyle w:val="TableNBullet"/>
              <w:cnfStyle w:val="000000000000" w:firstRow="0" w:lastRow="0" w:firstColumn="0" w:lastColumn="0" w:oddVBand="0" w:evenVBand="0" w:oddHBand="0" w:evenHBand="0" w:firstRowFirstColumn="0" w:firstRowLastColumn="0" w:lastRowFirstColumn="0" w:lastRowLastColumn="0"/>
            </w:pPr>
            <w:r w:rsidRPr="004523AB">
              <w:lastRenderedPageBreak/>
              <w:t>NACCHO contracted to deliver the grant for ACCHOs through NTPHN.</w:t>
            </w:r>
          </w:p>
        </w:tc>
        <w:tc>
          <w:tcPr>
            <w:tcW w:w="1737" w:type="dxa"/>
          </w:tcPr>
          <w:p w14:paraId="50AAA618" w14:textId="77777777" w:rsidR="004F5B1A" w:rsidRPr="004523AB" w:rsidRDefault="004F5B1A">
            <w:pPr>
              <w:pStyle w:val="TableNBullet"/>
              <w:cnfStyle w:val="000000000000" w:firstRow="0" w:lastRow="0" w:firstColumn="0" w:lastColumn="0" w:oddVBand="0" w:evenVBand="0" w:oddHBand="0" w:evenHBand="0" w:firstRowFirstColumn="0" w:firstRowLastColumn="0" w:lastRowFirstColumn="0" w:lastRowLastColumn="0"/>
            </w:pPr>
            <w:r w:rsidRPr="004523AB">
              <w:lastRenderedPageBreak/>
              <w:t>Open grant round and dispatch application pack to practices.</w:t>
            </w:r>
          </w:p>
          <w:p w14:paraId="3DB2B791" w14:textId="77777777" w:rsidR="004F5B1A" w:rsidRPr="004523AB" w:rsidRDefault="004F5B1A">
            <w:pPr>
              <w:pStyle w:val="TableNBullet"/>
              <w:cnfStyle w:val="000000000000" w:firstRow="0" w:lastRow="0" w:firstColumn="0" w:lastColumn="0" w:oddVBand="0" w:evenVBand="0" w:oddHBand="0" w:evenHBand="0" w:firstRowFirstColumn="0" w:firstRowLastColumn="0" w:lastRowFirstColumn="0" w:lastRowLastColumn="0"/>
            </w:pPr>
            <w:r w:rsidRPr="004523AB">
              <w:t>Promote the Program to their practices or ACCHOs.</w:t>
            </w:r>
          </w:p>
          <w:p w14:paraId="0C390F25" w14:textId="77777777" w:rsidR="004F5B1A" w:rsidRPr="004523AB" w:rsidRDefault="004F5B1A">
            <w:pPr>
              <w:pStyle w:val="TableNBullet"/>
              <w:cnfStyle w:val="000000000000" w:firstRow="0" w:lastRow="0" w:firstColumn="0" w:lastColumn="0" w:oddVBand="0" w:evenVBand="0" w:oddHBand="0" w:evenHBand="0" w:firstRowFirstColumn="0" w:firstRowLastColumn="0" w:lastRowFirstColumn="0" w:lastRowLastColumn="0"/>
            </w:pPr>
            <w:r w:rsidRPr="004523AB">
              <w:lastRenderedPageBreak/>
              <w:t>PHNs and NACCHO manage enquiries from practices and ACCHOs.</w:t>
            </w:r>
          </w:p>
        </w:tc>
        <w:tc>
          <w:tcPr>
            <w:tcW w:w="3171" w:type="dxa"/>
          </w:tcPr>
          <w:p w14:paraId="0406AD47" w14:textId="77777777" w:rsidR="004F5B1A" w:rsidRPr="004523AB" w:rsidRDefault="004F5B1A">
            <w:pPr>
              <w:pStyle w:val="TableNBullet"/>
              <w:cnfStyle w:val="000000000000" w:firstRow="0" w:lastRow="0" w:firstColumn="0" w:lastColumn="0" w:oddVBand="0" w:evenVBand="0" w:oddHBand="0" w:evenHBand="0" w:firstRowFirstColumn="0" w:firstRowLastColumn="0" w:lastRowFirstColumn="0" w:lastRowLastColumn="0"/>
            </w:pPr>
            <w:r w:rsidRPr="004523AB">
              <w:lastRenderedPageBreak/>
              <w:t xml:space="preserve">Update the national data reporting spreadsheet on the PHN </w:t>
            </w:r>
            <w:proofErr w:type="spellStart"/>
            <w:r w:rsidRPr="004523AB">
              <w:t>Sharepoint</w:t>
            </w:r>
            <w:proofErr w:type="spellEnd"/>
            <w:r w:rsidRPr="004523AB">
              <w:t>.</w:t>
            </w:r>
          </w:p>
          <w:p w14:paraId="0F321E10" w14:textId="77777777" w:rsidR="004F5B1A" w:rsidRPr="004523AB" w:rsidRDefault="004F5B1A">
            <w:pPr>
              <w:pStyle w:val="TableNBullet"/>
              <w:cnfStyle w:val="000000000000" w:firstRow="0" w:lastRow="0" w:firstColumn="0" w:lastColumn="0" w:oddVBand="0" w:evenVBand="0" w:oddHBand="0" w:evenHBand="0" w:firstRowFirstColumn="0" w:firstRowLastColumn="0" w:lastRowFirstColumn="0" w:lastRowLastColumn="0"/>
            </w:pPr>
            <w:r w:rsidRPr="004523AB">
              <w:t xml:space="preserve">Receive and assess completed application / grant agreement </w:t>
            </w:r>
            <w:proofErr w:type="gramStart"/>
            <w:r w:rsidRPr="004523AB">
              <w:t>form, and</w:t>
            </w:r>
            <w:proofErr w:type="gramEnd"/>
            <w:r w:rsidRPr="004523AB">
              <w:t xml:space="preserve"> determine grant amount applicable.</w:t>
            </w:r>
          </w:p>
          <w:p w14:paraId="10B8182B" w14:textId="77777777" w:rsidR="004F5B1A" w:rsidRPr="004523AB" w:rsidRDefault="004F5B1A">
            <w:pPr>
              <w:pStyle w:val="TableNBullet"/>
              <w:cnfStyle w:val="000000000000" w:firstRow="0" w:lastRow="0" w:firstColumn="0" w:lastColumn="0" w:oddVBand="0" w:evenVBand="0" w:oddHBand="0" w:evenHBand="0" w:firstRowFirstColumn="0" w:firstRowLastColumn="0" w:lastRowFirstColumn="0" w:lastRowLastColumn="0"/>
            </w:pPr>
            <w:r w:rsidRPr="004523AB">
              <w:t xml:space="preserve">Prepare and dispatch letter of grant application outcome </w:t>
            </w:r>
            <w:r w:rsidRPr="004523AB">
              <w:lastRenderedPageBreak/>
              <w:t>and grant agreement for each applicant.</w:t>
            </w:r>
          </w:p>
          <w:p w14:paraId="0183E09F" w14:textId="77777777" w:rsidR="004F5B1A" w:rsidRPr="004523AB" w:rsidRDefault="004F5B1A">
            <w:pPr>
              <w:pStyle w:val="TableNBullet"/>
              <w:cnfStyle w:val="000000000000" w:firstRow="0" w:lastRow="0" w:firstColumn="0" w:lastColumn="0" w:oddVBand="0" w:evenVBand="0" w:oddHBand="0" w:evenHBand="0" w:firstRowFirstColumn="0" w:firstRowLastColumn="0" w:lastRowFirstColumn="0" w:lastRowLastColumn="0"/>
            </w:pPr>
            <w:r w:rsidRPr="004523AB">
              <w:t>Execute and pay grant funding.</w:t>
            </w:r>
          </w:p>
          <w:p w14:paraId="3B4CF3AD" w14:textId="77777777" w:rsidR="004F5B1A" w:rsidRPr="004523AB" w:rsidRDefault="004F5B1A">
            <w:pPr>
              <w:pStyle w:val="TableNBullet"/>
              <w:cnfStyle w:val="000000000000" w:firstRow="0" w:lastRow="0" w:firstColumn="0" w:lastColumn="0" w:oddVBand="0" w:evenVBand="0" w:oddHBand="0" w:evenHBand="0" w:firstRowFirstColumn="0" w:firstRowLastColumn="0" w:lastRowFirstColumn="0" w:lastRowLastColumn="0"/>
            </w:pPr>
            <w:r w:rsidRPr="004523AB">
              <w:t>PHNs and NACCHO manage enquiries from practices and ACCHOs</w:t>
            </w:r>
          </w:p>
        </w:tc>
        <w:tc>
          <w:tcPr>
            <w:tcW w:w="2454" w:type="dxa"/>
          </w:tcPr>
          <w:p w14:paraId="122D0B5E" w14:textId="77777777" w:rsidR="004F5B1A" w:rsidRPr="004523AB" w:rsidRDefault="004F5B1A">
            <w:pPr>
              <w:pStyle w:val="TableNBullet"/>
              <w:cnfStyle w:val="000000000000" w:firstRow="0" w:lastRow="0" w:firstColumn="0" w:lastColumn="0" w:oddVBand="0" w:evenVBand="0" w:oddHBand="0" w:evenHBand="0" w:firstRowFirstColumn="0" w:firstRowLastColumn="0" w:lastRowFirstColumn="0" w:lastRowLastColumn="0"/>
            </w:pPr>
            <w:r w:rsidRPr="004523AB">
              <w:lastRenderedPageBreak/>
              <w:t>Liaise with grant recipients for information requested.</w:t>
            </w:r>
          </w:p>
          <w:p w14:paraId="6519DA15" w14:textId="77777777" w:rsidR="004F5B1A" w:rsidRPr="004523AB" w:rsidRDefault="004F5B1A">
            <w:pPr>
              <w:pStyle w:val="TableNBullet"/>
              <w:cnfStyle w:val="000000000000" w:firstRow="0" w:lastRow="0" w:firstColumn="0" w:lastColumn="0" w:oddVBand="0" w:evenVBand="0" w:oddHBand="0" w:evenHBand="0" w:firstRowFirstColumn="0" w:firstRowLastColumn="0" w:lastRowFirstColumn="0" w:lastRowLastColumn="0"/>
            </w:pPr>
            <w:r w:rsidRPr="004523AB">
              <w:t>Circulate evaluation reporting template and financial acquittal report to practices</w:t>
            </w:r>
          </w:p>
          <w:p w14:paraId="2BD035AA" w14:textId="77777777" w:rsidR="004F5B1A" w:rsidRPr="004523AB" w:rsidRDefault="004F5B1A">
            <w:pPr>
              <w:pStyle w:val="TableNBullet"/>
              <w:cnfStyle w:val="000000000000" w:firstRow="0" w:lastRow="0" w:firstColumn="0" w:lastColumn="0" w:oddVBand="0" w:evenVBand="0" w:oddHBand="0" w:evenHBand="0" w:firstRowFirstColumn="0" w:firstRowLastColumn="0" w:lastRowFirstColumn="0" w:lastRowLastColumn="0"/>
            </w:pPr>
            <w:r w:rsidRPr="004523AB">
              <w:t xml:space="preserve">PHNs and NACCHO manage enquiries </w:t>
            </w:r>
            <w:r w:rsidRPr="004523AB">
              <w:lastRenderedPageBreak/>
              <w:t>from practices and ACCHOs</w:t>
            </w:r>
          </w:p>
        </w:tc>
        <w:tc>
          <w:tcPr>
            <w:tcW w:w="2455" w:type="dxa"/>
          </w:tcPr>
          <w:p w14:paraId="6DA79305" w14:textId="77777777" w:rsidR="004F5B1A" w:rsidRPr="004523AB" w:rsidRDefault="004F5B1A">
            <w:pPr>
              <w:pStyle w:val="TableNBullet"/>
              <w:cnfStyle w:val="000000000000" w:firstRow="0" w:lastRow="0" w:firstColumn="0" w:lastColumn="0" w:oddVBand="0" w:evenVBand="0" w:oddHBand="0" w:evenHBand="0" w:firstRowFirstColumn="0" w:firstRowLastColumn="0" w:lastRowFirstColumn="0" w:lastRowLastColumn="0"/>
            </w:pPr>
            <w:r w:rsidRPr="004523AB">
              <w:lastRenderedPageBreak/>
              <w:t>Identify total unspent grant funds.</w:t>
            </w:r>
          </w:p>
          <w:p w14:paraId="50C025F8" w14:textId="77777777" w:rsidR="004F5B1A" w:rsidRPr="004523AB" w:rsidRDefault="004F5B1A">
            <w:pPr>
              <w:pStyle w:val="TableNBullet"/>
              <w:cnfStyle w:val="000000000000" w:firstRow="0" w:lastRow="0" w:firstColumn="0" w:lastColumn="0" w:oddVBand="0" w:evenVBand="0" w:oddHBand="0" w:evenHBand="0" w:firstRowFirstColumn="0" w:firstRowLastColumn="0" w:lastRowFirstColumn="0" w:lastRowLastColumn="0"/>
            </w:pPr>
            <w:r w:rsidRPr="004523AB">
              <w:t>Review financial acquittal reports and evaluation forms.</w:t>
            </w:r>
          </w:p>
          <w:p w14:paraId="767D7E5F" w14:textId="77777777" w:rsidR="004F5B1A" w:rsidRPr="004523AB" w:rsidRDefault="004F5B1A">
            <w:pPr>
              <w:pStyle w:val="TableNBullet"/>
              <w:cnfStyle w:val="000000000000" w:firstRow="0" w:lastRow="0" w:firstColumn="0" w:lastColumn="0" w:oddVBand="0" w:evenVBand="0" w:oddHBand="0" w:evenHBand="0" w:firstRowFirstColumn="0" w:firstRowLastColumn="0" w:lastRowFirstColumn="0" w:lastRowLastColumn="0"/>
            </w:pPr>
            <w:r w:rsidRPr="004523AB">
              <w:rPr>
                <w:rFonts w:eastAsiaTheme="minorHAnsi" w:cstheme="minorBidi"/>
                <w:szCs w:val="22"/>
                <w:lang w:eastAsia="en-US"/>
              </w:rPr>
              <w:t>Submit final financial acquittal report to the Department.</w:t>
            </w:r>
          </w:p>
          <w:p w14:paraId="4765F633" w14:textId="77777777" w:rsidR="004F5B1A" w:rsidRPr="004523AB" w:rsidRDefault="004F5B1A">
            <w:pPr>
              <w:pStyle w:val="TableNBullet"/>
              <w:cnfStyle w:val="000000000000" w:firstRow="0" w:lastRow="0" w:firstColumn="0" w:lastColumn="0" w:oddVBand="0" w:evenVBand="0" w:oddHBand="0" w:evenHBand="0" w:firstRowFirstColumn="0" w:firstRowLastColumn="0" w:lastRowFirstColumn="0" w:lastRowLastColumn="0"/>
            </w:pPr>
            <w:r w:rsidRPr="004523AB">
              <w:t xml:space="preserve">Update the national data reporting spreadsheet on the </w:t>
            </w:r>
            <w:r w:rsidRPr="004523AB">
              <w:lastRenderedPageBreak/>
              <w:t xml:space="preserve">PHN </w:t>
            </w:r>
            <w:proofErr w:type="spellStart"/>
            <w:r w:rsidRPr="004523AB">
              <w:t>Sharepoint</w:t>
            </w:r>
            <w:proofErr w:type="spellEnd"/>
            <w:r w:rsidRPr="004523AB">
              <w:t xml:space="preserve"> upon receiving end of program declarations, self-evaluations and unspent funding.</w:t>
            </w:r>
          </w:p>
        </w:tc>
      </w:tr>
      <w:tr w:rsidR="004F5B1A" w:rsidRPr="004523AB" w14:paraId="5CA8ACE7" w14:textId="77777777">
        <w:trPr>
          <w:trHeight w:val="695"/>
        </w:trPr>
        <w:tc>
          <w:tcPr>
            <w:cnfStyle w:val="001000000000" w:firstRow="0" w:lastRow="0" w:firstColumn="1" w:lastColumn="0" w:oddVBand="0" w:evenVBand="0" w:oddHBand="0" w:evenHBand="0" w:firstRowFirstColumn="0" w:firstRowLastColumn="0" w:lastRowFirstColumn="0" w:lastRowLastColumn="0"/>
            <w:tcW w:w="1474" w:type="dxa"/>
          </w:tcPr>
          <w:p w14:paraId="5E87B5D1" w14:textId="77777777" w:rsidR="004F5B1A" w:rsidRPr="004523AB" w:rsidRDefault="004F5B1A">
            <w:pPr>
              <w:pStyle w:val="TableNheader"/>
              <w:rPr>
                <w:color w:val="25B3E0" w:themeColor="accent6"/>
              </w:rPr>
            </w:pPr>
            <w:r w:rsidRPr="004523AB">
              <w:rPr>
                <w:color w:val="003F88"/>
              </w:rPr>
              <w:lastRenderedPageBreak/>
              <w:t>Practices and ACCHOs</w:t>
            </w:r>
          </w:p>
        </w:tc>
        <w:tc>
          <w:tcPr>
            <w:tcW w:w="2454" w:type="dxa"/>
          </w:tcPr>
          <w:p w14:paraId="1756EF51" w14:textId="77777777" w:rsidR="004F5B1A" w:rsidRPr="004523AB" w:rsidRDefault="004F5B1A" w:rsidP="00340B1E">
            <w:pPr>
              <w:pStyle w:val="TableNText"/>
              <w:cnfStyle w:val="000000000000" w:firstRow="0" w:lastRow="0" w:firstColumn="0" w:lastColumn="0" w:oddVBand="0" w:evenVBand="0" w:oddHBand="0" w:evenHBand="0" w:firstRowFirstColumn="0" w:firstRowLastColumn="0" w:lastRowFirstColumn="0" w:lastRowLastColumn="0"/>
            </w:pPr>
          </w:p>
        </w:tc>
        <w:tc>
          <w:tcPr>
            <w:tcW w:w="1737" w:type="dxa"/>
          </w:tcPr>
          <w:p w14:paraId="7D27A879" w14:textId="77777777" w:rsidR="004F5B1A" w:rsidRPr="004523AB" w:rsidRDefault="004F5B1A" w:rsidP="00340B1E">
            <w:pPr>
              <w:pStyle w:val="TableNText"/>
              <w:cnfStyle w:val="000000000000" w:firstRow="0" w:lastRow="0" w:firstColumn="0" w:lastColumn="0" w:oddVBand="0" w:evenVBand="0" w:oddHBand="0" w:evenHBand="0" w:firstRowFirstColumn="0" w:firstRowLastColumn="0" w:lastRowFirstColumn="0" w:lastRowLastColumn="0"/>
            </w:pPr>
          </w:p>
        </w:tc>
        <w:tc>
          <w:tcPr>
            <w:tcW w:w="3171" w:type="dxa"/>
          </w:tcPr>
          <w:p w14:paraId="7577370B" w14:textId="77777777" w:rsidR="004F5B1A" w:rsidRPr="004523AB" w:rsidRDefault="004F5B1A">
            <w:pPr>
              <w:pStyle w:val="TableNBullet"/>
              <w:cnfStyle w:val="000000000000" w:firstRow="0" w:lastRow="0" w:firstColumn="0" w:lastColumn="0" w:oddVBand="0" w:evenVBand="0" w:oddHBand="0" w:evenHBand="0" w:firstRowFirstColumn="0" w:firstRowLastColumn="0" w:lastRowFirstColumn="0" w:lastRowLastColumn="0"/>
            </w:pPr>
            <w:r w:rsidRPr="004523AB">
              <w:t>Practices apply for grants by completing funding agreements and returning to PHNs.</w:t>
            </w:r>
          </w:p>
          <w:p w14:paraId="7987A265" w14:textId="77777777" w:rsidR="004F5B1A" w:rsidRPr="004523AB" w:rsidRDefault="004F5B1A">
            <w:pPr>
              <w:pStyle w:val="TableNBullet"/>
              <w:cnfStyle w:val="000000000000" w:firstRow="0" w:lastRow="0" w:firstColumn="0" w:lastColumn="0" w:oddVBand="0" w:evenVBand="0" w:oddHBand="0" w:evenHBand="0" w:firstRowFirstColumn="0" w:firstRowLastColumn="0" w:lastRowFirstColumn="0" w:lastRowLastColumn="0"/>
            </w:pPr>
            <w:r w:rsidRPr="004523AB">
              <w:t xml:space="preserve">ACCHOs respond </w:t>
            </w:r>
            <w:r w:rsidRPr="004523AB">
              <w:br/>
              <w:t>to grant EOI by responding to NACCHO they wanted to participate.</w:t>
            </w:r>
          </w:p>
          <w:p w14:paraId="636DF134" w14:textId="77777777" w:rsidR="004F5B1A" w:rsidRPr="004523AB" w:rsidRDefault="004F5B1A">
            <w:pPr>
              <w:pStyle w:val="TableNBullet"/>
              <w:cnfStyle w:val="000000000000" w:firstRow="0" w:lastRow="0" w:firstColumn="0" w:lastColumn="0" w:oddVBand="0" w:evenVBand="0" w:oddHBand="0" w:evenHBand="0" w:firstRowFirstColumn="0" w:firstRowLastColumn="0" w:lastRowFirstColumn="0" w:lastRowLastColumn="0"/>
            </w:pPr>
            <w:r w:rsidRPr="004523AB">
              <w:t>Spend grant funding</w:t>
            </w:r>
          </w:p>
          <w:p w14:paraId="0BCB431E" w14:textId="77777777" w:rsidR="004F5B1A" w:rsidRPr="004523AB" w:rsidRDefault="004F5B1A">
            <w:pPr>
              <w:pStyle w:val="TableNBullet"/>
              <w:cnfStyle w:val="000000000000" w:firstRow="0" w:lastRow="0" w:firstColumn="0" w:lastColumn="0" w:oddVBand="0" w:evenVBand="0" w:oddHBand="0" w:evenHBand="0" w:firstRowFirstColumn="0" w:firstRowLastColumn="0" w:lastRowFirstColumn="0" w:lastRowLastColumn="0"/>
            </w:pPr>
            <w:r w:rsidRPr="004523AB">
              <w:t>Keep records and proof of investments on how their practice has used the grant.</w:t>
            </w:r>
          </w:p>
        </w:tc>
        <w:tc>
          <w:tcPr>
            <w:tcW w:w="2454" w:type="dxa"/>
          </w:tcPr>
          <w:p w14:paraId="0FDA869B" w14:textId="77777777" w:rsidR="004F5B1A" w:rsidRPr="004523AB" w:rsidRDefault="004F5B1A">
            <w:pPr>
              <w:pStyle w:val="TableNBullet"/>
              <w:cnfStyle w:val="000000000000" w:firstRow="0" w:lastRow="0" w:firstColumn="0" w:lastColumn="0" w:oddVBand="0" w:evenVBand="0" w:oddHBand="0" w:evenHBand="0" w:firstRowFirstColumn="0" w:firstRowLastColumn="0" w:lastRowFirstColumn="0" w:lastRowLastColumn="0"/>
            </w:pPr>
            <w:r w:rsidRPr="004523AB">
              <w:t>During program: Practices selected for compliance activities submit information on investment activities.</w:t>
            </w:r>
          </w:p>
          <w:p w14:paraId="4D6A9E55" w14:textId="77777777" w:rsidR="004F5B1A" w:rsidRPr="004523AB" w:rsidRDefault="004F5B1A">
            <w:pPr>
              <w:pStyle w:val="TableNBullet"/>
              <w:cnfStyle w:val="000000000000" w:firstRow="0" w:lastRow="0" w:firstColumn="0" w:lastColumn="0" w:oddVBand="0" w:evenVBand="0" w:oddHBand="0" w:evenHBand="0" w:firstRowFirstColumn="0" w:firstRowLastColumn="0" w:lastRowFirstColumn="0" w:lastRowLastColumn="0"/>
            </w:pPr>
            <w:r w:rsidRPr="004523AB">
              <w:t xml:space="preserve">End of program: Complete self-evaluation form and financial acquittal report. </w:t>
            </w:r>
            <w:r w:rsidRPr="004523AB">
              <w:rPr>
                <w:rFonts w:eastAsiaTheme="minorHAnsi" w:cstheme="minorBidi"/>
                <w:szCs w:val="22"/>
                <w:lang w:eastAsia="en-US"/>
              </w:rPr>
              <w:t>ACCHOs completed a separate survey driven by NACCHO.</w:t>
            </w:r>
          </w:p>
        </w:tc>
        <w:tc>
          <w:tcPr>
            <w:tcW w:w="2455" w:type="dxa"/>
          </w:tcPr>
          <w:p w14:paraId="0E48FB4C" w14:textId="77777777" w:rsidR="004F5B1A" w:rsidRPr="004523AB" w:rsidRDefault="004F5B1A">
            <w:pPr>
              <w:pStyle w:val="TableNBullet"/>
              <w:cnfStyle w:val="000000000000" w:firstRow="0" w:lastRow="0" w:firstColumn="0" w:lastColumn="0" w:oddVBand="0" w:evenVBand="0" w:oddHBand="0" w:evenHBand="0" w:firstRowFirstColumn="0" w:firstRowLastColumn="0" w:lastRowFirstColumn="0" w:lastRowLastColumn="0"/>
            </w:pPr>
            <w:r w:rsidRPr="004523AB">
              <w:t>Return:</w:t>
            </w:r>
          </w:p>
          <w:p w14:paraId="20DD52FA" w14:textId="77777777" w:rsidR="004F5B1A" w:rsidRPr="004523AB" w:rsidRDefault="004F5B1A" w:rsidP="00D5597B">
            <w:pPr>
              <w:pStyle w:val="TableNBulletlevel2"/>
              <w:cnfStyle w:val="000000000000" w:firstRow="0" w:lastRow="0" w:firstColumn="0" w:lastColumn="0" w:oddVBand="0" w:evenVBand="0" w:oddHBand="0" w:evenHBand="0" w:firstRowFirstColumn="0" w:firstRowLastColumn="0" w:lastRowFirstColumn="0" w:lastRowLastColumn="0"/>
            </w:pPr>
            <w:r w:rsidRPr="004523AB">
              <w:t>Unspent grant funding</w:t>
            </w:r>
          </w:p>
          <w:p w14:paraId="65C4F56B" w14:textId="77777777" w:rsidR="004F5B1A" w:rsidRPr="004523AB" w:rsidRDefault="004F5B1A" w:rsidP="00D5597B">
            <w:pPr>
              <w:pStyle w:val="TableNBulletlevel2"/>
              <w:cnfStyle w:val="000000000000" w:firstRow="0" w:lastRow="0" w:firstColumn="0" w:lastColumn="0" w:oddVBand="0" w:evenVBand="0" w:oddHBand="0" w:evenHBand="0" w:firstRowFirstColumn="0" w:firstRowLastColumn="0" w:lastRowFirstColumn="0" w:lastRowLastColumn="0"/>
            </w:pPr>
            <w:r w:rsidRPr="004523AB">
              <w:t>Completed evaluation form</w:t>
            </w:r>
          </w:p>
          <w:p w14:paraId="5007F757" w14:textId="77777777" w:rsidR="004F5B1A" w:rsidRPr="004523AB" w:rsidRDefault="004F5B1A" w:rsidP="00D5597B">
            <w:pPr>
              <w:pStyle w:val="TableNBulletlevel2"/>
              <w:cnfStyle w:val="000000000000" w:firstRow="0" w:lastRow="0" w:firstColumn="0" w:lastColumn="0" w:oddVBand="0" w:evenVBand="0" w:oddHBand="0" w:evenHBand="0" w:firstRowFirstColumn="0" w:firstRowLastColumn="0" w:lastRowFirstColumn="0" w:lastRowLastColumn="0"/>
            </w:pPr>
            <w:r w:rsidRPr="004523AB">
              <w:rPr>
                <w:rFonts w:eastAsiaTheme="minorHAnsi" w:cstheme="minorBidi"/>
                <w:szCs w:val="22"/>
                <w:lang w:eastAsia="en-US"/>
              </w:rPr>
              <w:t>Completed financial acquittal report</w:t>
            </w:r>
          </w:p>
        </w:tc>
      </w:tr>
    </w:tbl>
    <w:p w14:paraId="5CD0334A" w14:textId="7110471B" w:rsidR="00725750" w:rsidRPr="004523AB" w:rsidRDefault="00725750" w:rsidP="00725750">
      <w:pPr>
        <w:rPr>
          <w:rFonts w:asciiTheme="minorHAnsi" w:hAnsiTheme="minorHAnsi" w:cstheme="minorHAnsi"/>
        </w:rPr>
        <w:sectPr w:rsidR="00725750" w:rsidRPr="004523AB" w:rsidSect="004F5B1A">
          <w:pgSz w:w="16839" w:h="11907" w:orient="landscape" w:code="9"/>
          <w:pgMar w:top="1559" w:right="1247" w:bottom="1418" w:left="1701" w:header="720" w:footer="720" w:gutter="0"/>
          <w:cols w:space="720"/>
          <w:titlePg/>
          <w:docGrid w:linePitch="360"/>
        </w:sectPr>
      </w:pPr>
    </w:p>
    <w:p w14:paraId="397BFE34" w14:textId="64585049" w:rsidR="008D47E4" w:rsidRPr="004523AB" w:rsidRDefault="008D47E4" w:rsidP="004F5B1A">
      <w:pPr>
        <w:pStyle w:val="Heading3"/>
      </w:pPr>
      <w:r w:rsidRPr="004523AB">
        <w:lastRenderedPageBreak/>
        <w:t xml:space="preserve">PHNs, NACCHO, practices and ACCHOs reported the three funding streams were appropriate for meeting the objectives of the Program </w:t>
      </w:r>
    </w:p>
    <w:p w14:paraId="64D3EC27" w14:textId="77777777" w:rsidR="008D47E4" w:rsidRPr="004523AB" w:rsidRDefault="008D47E4" w:rsidP="004F5B1A">
      <w:r w:rsidRPr="004523AB">
        <w:t>The Program was a 2022 Australian Labor Party election promise, forming part of a broader Government commitment to supporting and uplifting primary care. The initial commitment was for $220M ‘in practice infrastructure grants for improvements like upgrading IT systems to support telehealth consultations, upskilling staff, better ventilation and infection control, and purchasing new equipment’.</w:t>
      </w:r>
      <w:r w:rsidRPr="004523AB">
        <w:rPr>
          <w:rStyle w:val="FootnoteReference"/>
        </w:rPr>
        <w:footnoteReference w:id="17"/>
      </w:r>
      <w:r w:rsidRPr="004523AB">
        <w:t xml:space="preserve"> This provided direction for the Department to design the Program. The specific nature of the three investment streams was guided by this election commitment and the recommendations of the Strengthening Medicare </w:t>
      </w:r>
      <w:proofErr w:type="gramStart"/>
      <w:r w:rsidRPr="004523AB">
        <w:t>Review, and</w:t>
      </w:r>
      <w:proofErr w:type="gramEnd"/>
      <w:r w:rsidRPr="004523AB">
        <w:t xml:space="preserve"> were intentionally broad to meet a range of diverse needs for practices and ACCHOs. As noted above, the three investment streams were defined as expenditure to:</w:t>
      </w:r>
    </w:p>
    <w:p w14:paraId="31177726" w14:textId="77777777" w:rsidR="008D47E4" w:rsidRPr="004523AB" w:rsidRDefault="008D47E4" w:rsidP="00340B1E">
      <w:pPr>
        <w:pStyle w:val="ListBullet"/>
      </w:pPr>
      <w:r w:rsidRPr="004523AB">
        <w:t>Enhance digital health capability.</w:t>
      </w:r>
    </w:p>
    <w:p w14:paraId="6C42C49E" w14:textId="77777777" w:rsidR="008D47E4" w:rsidRPr="004523AB" w:rsidRDefault="008D47E4" w:rsidP="00340B1E">
      <w:pPr>
        <w:pStyle w:val="ListBullet"/>
      </w:pPr>
      <w:r w:rsidRPr="004523AB">
        <w:t>Upgrade infection and prevention control arrangements.</w:t>
      </w:r>
    </w:p>
    <w:p w14:paraId="587DDD1B" w14:textId="77777777" w:rsidR="008D47E4" w:rsidRPr="004523AB" w:rsidRDefault="008D47E4" w:rsidP="00340B1E">
      <w:pPr>
        <w:pStyle w:val="ListBullet"/>
      </w:pPr>
      <w:r w:rsidRPr="004523AB">
        <w:t>Maintain and/or achieve accreditation.</w:t>
      </w:r>
    </w:p>
    <w:p w14:paraId="6F982A73" w14:textId="67098853" w:rsidR="008D47E4" w:rsidRPr="004523AB" w:rsidRDefault="008D47E4" w:rsidP="008D47E4">
      <w:r w:rsidRPr="004523AB">
        <w:t xml:space="preserve">Early in the implementation process, application packs were distributed to eligible practices and ACCHOs to participate in the Program. These packs required practices and ACCHOs to select the investment stream that they intended to allocate funds to. The initial intent from practices and ACCHOs is shown in </w:t>
      </w:r>
      <w:r w:rsidR="00202194" w:rsidRPr="004523AB">
        <w:rPr>
          <w:highlight w:val="yellow"/>
        </w:rPr>
        <w:fldChar w:fldCharType="begin"/>
      </w:r>
      <w:r w:rsidR="00202194" w:rsidRPr="004523AB">
        <w:instrText xml:space="preserve"> REF _Ref184908291 \h </w:instrText>
      </w:r>
      <w:r w:rsidR="004523AB" w:rsidRPr="004523AB">
        <w:rPr>
          <w:highlight w:val="yellow"/>
        </w:rPr>
        <w:instrText xml:space="preserve"> \* MERGEFORMAT </w:instrText>
      </w:r>
      <w:r w:rsidR="00202194" w:rsidRPr="004523AB">
        <w:rPr>
          <w:highlight w:val="yellow"/>
        </w:rPr>
      </w:r>
      <w:r w:rsidR="00202194" w:rsidRPr="004523AB">
        <w:rPr>
          <w:highlight w:val="yellow"/>
        </w:rPr>
        <w:fldChar w:fldCharType="separate"/>
      </w:r>
      <w:r w:rsidR="00B96E50" w:rsidRPr="004523AB">
        <w:t xml:space="preserve">Figure </w:t>
      </w:r>
      <w:r w:rsidR="00B96E50">
        <w:rPr>
          <w:noProof/>
        </w:rPr>
        <w:t>1</w:t>
      </w:r>
      <w:r w:rsidR="00202194" w:rsidRPr="004523AB">
        <w:rPr>
          <w:highlight w:val="yellow"/>
        </w:rPr>
        <w:fldChar w:fldCharType="end"/>
      </w:r>
      <w:r w:rsidR="00202194" w:rsidRPr="004523AB">
        <w:t>.</w:t>
      </w:r>
      <w:r w:rsidRPr="004523AB">
        <w:t xml:space="preserve"> </w:t>
      </w:r>
    </w:p>
    <w:p w14:paraId="6F906B1D" w14:textId="587E280A" w:rsidR="00202194" w:rsidRPr="004523AB" w:rsidRDefault="00202194" w:rsidP="00202194">
      <w:pPr>
        <w:pStyle w:val="Caption"/>
      </w:pPr>
      <w:bookmarkStart w:id="30" w:name="_Ref184908291"/>
      <w:r w:rsidRPr="004523AB">
        <w:lastRenderedPageBreak/>
        <w:t xml:space="preserve">Figure </w:t>
      </w:r>
      <w:r w:rsidRPr="004523AB">
        <w:fldChar w:fldCharType="begin"/>
      </w:r>
      <w:r w:rsidRPr="004523AB">
        <w:instrText xml:space="preserve"> SEQ Figure \* ARABIC </w:instrText>
      </w:r>
      <w:r w:rsidRPr="004523AB">
        <w:fldChar w:fldCharType="separate"/>
      </w:r>
      <w:r w:rsidR="00B96E50">
        <w:rPr>
          <w:noProof/>
        </w:rPr>
        <w:t>1</w:t>
      </w:r>
      <w:r w:rsidRPr="004523AB">
        <w:fldChar w:fldCharType="end"/>
      </w:r>
      <w:bookmarkEnd w:id="30"/>
      <w:r w:rsidRPr="004523AB">
        <w:t xml:space="preserve"> | Investment streams selected by practices and ACCHOs</w:t>
      </w:r>
    </w:p>
    <w:p w14:paraId="43F79D7D" w14:textId="59129243" w:rsidR="00F431E0" w:rsidRPr="004523AB" w:rsidRDefault="00202194" w:rsidP="003E7001">
      <w:pPr>
        <w:rPr>
          <w:rFonts w:asciiTheme="majorHAnsi" w:hAnsiTheme="majorHAnsi" w:cstheme="majorHAnsi"/>
          <w:lang w:eastAsia="en-AU"/>
        </w:rPr>
      </w:pPr>
      <w:r w:rsidRPr="003E7001">
        <w:drawing>
          <wp:inline distT="0" distB="0" distL="0" distR="0" wp14:anchorId="388208DB" wp14:editId="3C38A8CB">
            <wp:extent cx="5670550" cy="4358494"/>
            <wp:effectExtent l="0" t="0" r="6350" b="4445"/>
            <wp:docPr id="1618178388" name="Picture 2" descr="Figure in 2 bar chart comparing the proportion of intended and actual spend on digital health capability, accreditation, and infection control in general practices and ACC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178388" name="Picture 2" descr="Figure in 2 bar chart comparing the proportion of intended and actual spend on digital health capability, accreditation, and infection control in general practices and ACCHO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70550" cy="4358494"/>
                    </a:xfrm>
                    <a:prstGeom prst="rect">
                      <a:avLst/>
                    </a:prstGeom>
                  </pic:spPr>
                </pic:pic>
              </a:graphicData>
            </a:graphic>
          </wp:inline>
        </w:drawing>
      </w:r>
    </w:p>
    <w:p w14:paraId="0D619BDB" w14:textId="77777777" w:rsidR="008E0AB9" w:rsidRPr="004523AB" w:rsidRDefault="008E0AB9" w:rsidP="008E0AB9">
      <w:r w:rsidRPr="004523AB">
        <w:t xml:space="preserve">The percentage noted for each investment stream represents the proportion of initial grant agreements that indicated an intent to allocate the grant funds to that investment stream, noting that grant applicants were able to select more than one stream. Despite nominating their preferences in the initial stages of the Program, grant applicants were able to allocate funds to any stream during implementation. This data demonstrates that the percentage of practices spending some of their funding on each stream was relatively consistent from planned to actual, and that most practices spent across more than one investment stream. </w:t>
      </w:r>
    </w:p>
    <w:p w14:paraId="74A4D30F" w14:textId="77777777" w:rsidR="008E0AB9" w:rsidRPr="004523AB" w:rsidRDefault="008E0AB9" w:rsidP="008E0AB9">
      <w:r w:rsidRPr="004523AB">
        <w:t xml:space="preserve">Across both practices and ACCHOs, digital health capability was most likely to be selected, while infection prevention and control was least likely to be selected.  ACCHOs were notably less likely to choose to spend grant funds on infection prevention and control compared to practices (22 per cent versus 62 per cent). Consultation with NACCHO suggests this is likely because ACCHOs had already received additional funding for infection prevention and control during the COVID-19 pandemic. </w:t>
      </w:r>
    </w:p>
    <w:p w14:paraId="7241D09F" w14:textId="77777777" w:rsidR="008E0AB9" w:rsidRPr="004523AB" w:rsidRDefault="008E0AB9" w:rsidP="009B45EB">
      <w:r w:rsidRPr="004523AB">
        <w:t xml:space="preserve">While most PHNs agreed that the investment streams targeted areas of need for practices, digital health capability and accreditation streams were noted through consultations to be most critical. Infection prevention and control initiatives were thought to have been addressed by many practices during the COVID-19 pandemic. One PHN representative noted a focus on accreditation and digital health was consistent with identified areas of need from an annual survey the PHN runs for their practices. </w:t>
      </w:r>
    </w:p>
    <w:p w14:paraId="3C1C1947" w14:textId="3E9725E5" w:rsidR="00980D99" w:rsidRPr="004523AB" w:rsidRDefault="00980D99" w:rsidP="00980D99">
      <w:pPr>
        <w:rPr>
          <w:rFonts w:asciiTheme="majorHAnsi" w:hAnsiTheme="majorHAnsi" w:cstheme="majorHAnsi"/>
          <w:color w:val="00264D" w:themeColor="background2"/>
        </w:rPr>
      </w:pPr>
      <w:r w:rsidRPr="004523AB">
        <w:rPr>
          <w:rFonts w:asciiTheme="majorHAnsi" w:hAnsiTheme="majorHAnsi" w:cstheme="majorHAnsi"/>
          <w:color w:val="00264D" w:themeColor="background2"/>
        </w:rPr>
        <w:lastRenderedPageBreak/>
        <w:t xml:space="preserve">High interest in digital health capability investment saw many practices and ACCHOs taking the opportunity to upgrade outdated IT systems and improve telehealth capacity </w:t>
      </w:r>
    </w:p>
    <w:tbl>
      <w:tblPr>
        <w:tblStyle w:val="NousLongformcallout"/>
        <w:tblW w:w="4950" w:type="pct"/>
        <w:tblCellMar>
          <w:top w:w="170" w:type="dxa"/>
          <w:bottom w:w="170" w:type="dxa"/>
        </w:tblCellMar>
        <w:tblLook w:val="04A0" w:firstRow="1" w:lastRow="0" w:firstColumn="1" w:lastColumn="0" w:noHBand="0" w:noVBand="1"/>
      </w:tblPr>
      <w:tblGrid>
        <w:gridCol w:w="8818"/>
      </w:tblGrid>
      <w:tr w:rsidR="007D356A" w:rsidRPr="004523AB" w14:paraId="0B4CEF02" w14:textId="77777777" w:rsidTr="00A806ED">
        <w:tc>
          <w:tcPr>
            <w:tcW w:w="7285" w:type="dxa"/>
          </w:tcPr>
          <w:p w14:paraId="1BD9BDA4" w14:textId="2960C84A" w:rsidR="007D356A" w:rsidRPr="004523AB" w:rsidRDefault="007D356A" w:rsidP="007D356A">
            <w:pPr>
              <w:pStyle w:val="Longformcallout"/>
            </w:pPr>
            <w:r w:rsidRPr="004523AB">
              <w:t>“Digital health is the cornerstone of our new strategic plan, so it aligned very well. It’s the only way we will be able to address the primary care access issues.” – Rural PHN.</w:t>
            </w:r>
          </w:p>
        </w:tc>
      </w:tr>
    </w:tbl>
    <w:p w14:paraId="0FBC1FDD" w14:textId="77777777" w:rsidR="00980D99" w:rsidRPr="004523AB" w:rsidRDefault="00980D99" w:rsidP="00980D99">
      <w:r w:rsidRPr="004523AB">
        <w:rPr>
          <w:lang w:eastAsia="en-AU"/>
        </w:rPr>
        <w:t xml:space="preserve">Digital health is widely accepted as a foundation to quality primary care. </w:t>
      </w:r>
      <w:r w:rsidRPr="004523AB">
        <w:t xml:space="preserve">Digital health improvements are often directly beneficial to patients by increasing access and quality, two of the key objectives of the Program. They can allow practices to increase the access to primary care through the provision of telehealth and video consults, and digital upgrades can streamline processes and support information and data quality and management. These improvements can allow practices to operate with greater efficiency, increase their capacity and better target patient needs. </w:t>
      </w:r>
    </w:p>
    <w:p w14:paraId="3F1F1429" w14:textId="77777777" w:rsidR="00980D99" w:rsidRPr="004523AB" w:rsidRDefault="00980D99" w:rsidP="00980D99">
      <w:r w:rsidRPr="004523AB">
        <w:rPr>
          <w:lang w:eastAsia="en-AU"/>
        </w:rPr>
        <w:t xml:space="preserve">Practices noted that establishing the right digital infrastructure and skills is a priority for many practices. They were supportive of this investment stream, suggesting that practices can fall behind if they lack technical skills and resources and that it can be difficult to find the funding to acquire them. Many practices saw this as an important opportunity to make significant IT investments, such as on new servers, computers, or workstations, which they otherwise would have struggled to afford. They reported that these investments have had immediate benefits for their practices in terms of improved efficiency and data security. </w:t>
      </w:r>
    </w:p>
    <w:p w14:paraId="26554F8C" w14:textId="7B3C545F" w:rsidR="00980D99" w:rsidRPr="004523AB" w:rsidRDefault="00980D99" w:rsidP="00980D99">
      <w:pPr>
        <w:rPr>
          <w:lang w:eastAsia="en-AU"/>
        </w:rPr>
      </w:pPr>
      <w:r w:rsidRPr="004523AB">
        <w:rPr>
          <w:lang w:eastAsia="en-AU"/>
        </w:rPr>
        <w:t xml:space="preserve">Digital infrastructure requires significant upfront investment, which many practices noted they struggled to prioritise under current economic conditions until a piece of equipment or system stopped working. Insights from practice managers suggest that digital equipment and software are often out of date in clinics, and the grant was timely and helped to upgrade hardware and systems. The value of the grant in investing in this infrastructure is reflected by more than 90 per cent of practices spending some of their funding on the digital capability investment stream. Around 75 per cent (n=4,000) of practices purchased IT systems and/or equipment. </w:t>
      </w:r>
    </w:p>
    <w:p w14:paraId="3ABF8089" w14:textId="1B0510F4" w:rsidR="00AD7DD1" w:rsidRPr="004523AB" w:rsidRDefault="00980D99" w:rsidP="009B45EB">
      <w:pPr>
        <w:rPr>
          <w:rFonts w:asciiTheme="majorHAnsi" w:hAnsiTheme="majorHAnsi" w:cstheme="majorHAnsi"/>
        </w:rPr>
      </w:pPr>
      <w:r w:rsidRPr="004523AB">
        <w:t xml:space="preserve">Digital healthcare, especially telehealth, was expressed to be even more important in rural areas where primary care access can be constrained by distance. However, connectivity and infrastructure challenges can inhibit the use of technology. While many regional PHN representatives agreed enhancing practices’ capacity to provide digital care is needed, the grant was unable to address broader connectivity challenges. For example, the benefits of a new computer and software are minimised without stable internet connection. Interestingly the level of significant improvement seen in video telehealth capacity noted by MMM 6 &amp; 7 practices at 48.3 per cent was much higher than MMM 1 &amp; 2 practices at 25.8 per cent (see </w:t>
      </w:r>
      <w:r w:rsidR="00F0795D" w:rsidRPr="004523AB">
        <w:fldChar w:fldCharType="begin"/>
      </w:r>
      <w:r w:rsidR="00F0795D" w:rsidRPr="004523AB">
        <w:instrText xml:space="preserve"> REF _Ref184917362 \h  \* MERGEFORMAT </w:instrText>
      </w:r>
      <w:r w:rsidR="00F0795D" w:rsidRPr="004523AB">
        <w:fldChar w:fldCharType="separate"/>
      </w:r>
      <w:r w:rsidR="00B96E50" w:rsidRPr="004523AB">
        <w:t xml:space="preserve">Table </w:t>
      </w:r>
      <w:r w:rsidR="00B96E50">
        <w:rPr>
          <w:noProof/>
        </w:rPr>
        <w:t>11</w:t>
      </w:r>
      <w:r w:rsidR="00F0795D" w:rsidRPr="004523AB">
        <w:fldChar w:fldCharType="end"/>
      </w:r>
      <w:r w:rsidR="00F0795D" w:rsidRPr="004523AB">
        <w:t>)</w:t>
      </w:r>
      <w:r w:rsidRPr="004523AB">
        <w:t xml:space="preserve">. This is despite per cent spending on purchase of equipment in the digital capability stream being similar across MMM groups at 82.9 per cent, 79.4 per cent and 85.5 per cent in MMM 1 &amp; 2, MMM 3, 4 &amp; 5 and MMM 6 &amp; 7 respectively (see </w:t>
      </w:r>
      <w:r w:rsidR="00B064A8" w:rsidRPr="004523AB">
        <w:fldChar w:fldCharType="begin"/>
      </w:r>
      <w:r w:rsidR="00B064A8" w:rsidRPr="004523AB">
        <w:instrText xml:space="preserve"> REF _Ref184908381 \h  \* MERGEFORMAT </w:instrText>
      </w:r>
      <w:r w:rsidR="00B064A8" w:rsidRPr="004523AB">
        <w:fldChar w:fldCharType="separate"/>
      </w:r>
      <w:r w:rsidR="00B96E50" w:rsidRPr="004523AB">
        <w:t xml:space="preserve">Table </w:t>
      </w:r>
      <w:r w:rsidR="00B96E50">
        <w:rPr>
          <w:noProof/>
        </w:rPr>
        <w:t>10</w:t>
      </w:r>
      <w:r w:rsidR="00B064A8" w:rsidRPr="004523AB">
        <w:fldChar w:fldCharType="end"/>
      </w:r>
      <w:r w:rsidRPr="004523AB">
        <w:t xml:space="preserve">). It was hypothesised by PHN stakeholders that this could be due to a combination of these practices having less existing technology infrastructure and telehealth capability. </w:t>
      </w:r>
    </w:p>
    <w:p w14:paraId="722CFA09" w14:textId="7D99E165" w:rsidR="00661922" w:rsidRPr="004523AB" w:rsidRDefault="00661922" w:rsidP="00661922">
      <w:pPr>
        <w:pStyle w:val="Caption"/>
      </w:pPr>
      <w:bookmarkStart w:id="31" w:name="_Ref184908381"/>
      <w:bookmarkStart w:id="32" w:name="_Ref184908377"/>
      <w:r w:rsidRPr="004523AB">
        <w:lastRenderedPageBreak/>
        <w:t xml:space="preserve">Table </w:t>
      </w:r>
      <w:r w:rsidRPr="004523AB">
        <w:fldChar w:fldCharType="begin"/>
      </w:r>
      <w:r w:rsidRPr="004523AB">
        <w:instrText xml:space="preserve"> SEQ Table \* ARABIC </w:instrText>
      </w:r>
      <w:r w:rsidRPr="004523AB">
        <w:fldChar w:fldCharType="separate"/>
      </w:r>
      <w:r w:rsidR="00B96E50">
        <w:rPr>
          <w:noProof/>
        </w:rPr>
        <w:t>10</w:t>
      </w:r>
      <w:r w:rsidRPr="004523AB">
        <w:fldChar w:fldCharType="end"/>
      </w:r>
      <w:bookmarkEnd w:id="31"/>
      <w:r w:rsidRPr="004523AB">
        <w:t xml:space="preserve"> | Number and percentage of practices spending on digital capability stream by MMM</w:t>
      </w:r>
      <w:bookmarkEnd w:id="32"/>
    </w:p>
    <w:tbl>
      <w:tblPr>
        <w:tblStyle w:val="AccessibleCombinationHeader"/>
        <w:tblW w:w="0" w:type="auto"/>
        <w:tblLook w:val="04A0" w:firstRow="1" w:lastRow="0" w:firstColumn="1" w:lastColumn="0" w:noHBand="0" w:noVBand="1"/>
      </w:tblPr>
      <w:tblGrid>
        <w:gridCol w:w="2230"/>
        <w:gridCol w:w="2230"/>
        <w:gridCol w:w="2230"/>
        <w:gridCol w:w="2230"/>
      </w:tblGrid>
      <w:tr w:rsidR="00AD7DD1" w:rsidRPr="004523AB" w14:paraId="7AEF47C6" w14:textId="77777777" w:rsidTr="009931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0" w:type="dxa"/>
          </w:tcPr>
          <w:p w14:paraId="6B39B35F" w14:textId="6BBC5578" w:rsidR="00AD7DD1" w:rsidRPr="004523AB" w:rsidRDefault="00AD7DD1" w:rsidP="007D356A">
            <w:pPr>
              <w:pStyle w:val="TableNheader"/>
              <w:rPr>
                <w:lang w:eastAsia="en-AU"/>
              </w:rPr>
            </w:pPr>
            <w:r w:rsidRPr="004523AB">
              <w:rPr>
                <w:lang w:eastAsia="en-AU"/>
              </w:rPr>
              <w:t>Response</w:t>
            </w:r>
          </w:p>
        </w:tc>
        <w:tc>
          <w:tcPr>
            <w:tcW w:w="2230" w:type="dxa"/>
          </w:tcPr>
          <w:p w14:paraId="1FA33E65" w14:textId="61CED299" w:rsidR="00AD7DD1" w:rsidRPr="004523AB" w:rsidRDefault="00AD7DD1" w:rsidP="007D356A">
            <w:pPr>
              <w:pStyle w:val="TableNheader"/>
              <w:cnfStyle w:val="100000000000" w:firstRow="1" w:lastRow="0" w:firstColumn="0" w:lastColumn="0" w:oddVBand="0" w:evenVBand="0" w:oddHBand="0" w:evenHBand="0" w:firstRowFirstColumn="0" w:firstRowLastColumn="0" w:lastRowFirstColumn="0" w:lastRowLastColumn="0"/>
              <w:rPr>
                <w:lang w:eastAsia="en-AU"/>
              </w:rPr>
            </w:pPr>
            <w:r w:rsidRPr="004523AB">
              <w:rPr>
                <w:lang w:eastAsia="en-AU"/>
              </w:rPr>
              <w:t>MMM group 1 and 2</w:t>
            </w:r>
          </w:p>
        </w:tc>
        <w:tc>
          <w:tcPr>
            <w:tcW w:w="2230" w:type="dxa"/>
          </w:tcPr>
          <w:p w14:paraId="549D7E55" w14:textId="04B6467A" w:rsidR="00AD7DD1" w:rsidRPr="004523AB" w:rsidRDefault="00AD7DD1" w:rsidP="007D356A">
            <w:pPr>
              <w:pStyle w:val="TableNheader"/>
              <w:cnfStyle w:val="100000000000" w:firstRow="1" w:lastRow="0" w:firstColumn="0" w:lastColumn="0" w:oddVBand="0" w:evenVBand="0" w:oddHBand="0" w:evenHBand="0" w:firstRowFirstColumn="0" w:firstRowLastColumn="0" w:lastRowFirstColumn="0" w:lastRowLastColumn="0"/>
              <w:rPr>
                <w:lang w:eastAsia="en-AU"/>
              </w:rPr>
            </w:pPr>
            <w:r w:rsidRPr="004523AB">
              <w:rPr>
                <w:lang w:eastAsia="en-AU"/>
              </w:rPr>
              <w:t>MMM group 3, 4, and 5</w:t>
            </w:r>
          </w:p>
        </w:tc>
        <w:tc>
          <w:tcPr>
            <w:tcW w:w="2230" w:type="dxa"/>
          </w:tcPr>
          <w:p w14:paraId="39047452" w14:textId="241C03F0" w:rsidR="00AD7DD1" w:rsidRPr="004523AB" w:rsidRDefault="00AD7DD1" w:rsidP="007D356A">
            <w:pPr>
              <w:pStyle w:val="TableNheader"/>
              <w:cnfStyle w:val="100000000000" w:firstRow="1" w:lastRow="0" w:firstColumn="0" w:lastColumn="0" w:oddVBand="0" w:evenVBand="0" w:oddHBand="0" w:evenHBand="0" w:firstRowFirstColumn="0" w:firstRowLastColumn="0" w:lastRowFirstColumn="0" w:lastRowLastColumn="0"/>
              <w:rPr>
                <w:lang w:eastAsia="en-AU"/>
              </w:rPr>
            </w:pPr>
            <w:r w:rsidRPr="004523AB">
              <w:rPr>
                <w:lang w:eastAsia="en-AU"/>
              </w:rPr>
              <w:t>MMM group 6 and 7</w:t>
            </w:r>
          </w:p>
        </w:tc>
      </w:tr>
      <w:tr w:rsidR="00AD7DD1" w:rsidRPr="004523AB" w14:paraId="06BBC69D" w14:textId="77777777" w:rsidTr="007D356A">
        <w:tc>
          <w:tcPr>
            <w:cnfStyle w:val="001000000000" w:firstRow="0" w:lastRow="0" w:firstColumn="1" w:lastColumn="0" w:oddVBand="0" w:evenVBand="0" w:oddHBand="0" w:evenHBand="0" w:firstRowFirstColumn="0" w:firstRowLastColumn="0" w:lastRowFirstColumn="0" w:lastRowLastColumn="0"/>
            <w:tcW w:w="2230" w:type="dxa"/>
          </w:tcPr>
          <w:p w14:paraId="48A17CE7" w14:textId="5C56E348" w:rsidR="00AD7DD1" w:rsidRPr="004523AB" w:rsidRDefault="00AD7DD1" w:rsidP="007D356A">
            <w:pPr>
              <w:pStyle w:val="TableNText"/>
              <w:rPr>
                <w:rFonts w:asciiTheme="majorHAnsi" w:hAnsiTheme="majorHAnsi" w:cstheme="majorHAnsi"/>
                <w:lang w:eastAsia="en-AU"/>
              </w:rPr>
            </w:pPr>
            <w:r w:rsidRPr="004523AB">
              <w:rPr>
                <w:lang w:eastAsia="en-AU"/>
              </w:rPr>
              <w:t>General Practice IT systems</w:t>
            </w:r>
          </w:p>
        </w:tc>
        <w:tc>
          <w:tcPr>
            <w:tcW w:w="2230" w:type="dxa"/>
          </w:tcPr>
          <w:p w14:paraId="76417B10" w14:textId="6F959C21" w:rsidR="00AD7DD1" w:rsidRPr="004523AB" w:rsidRDefault="00AD7DD1" w:rsidP="007D356A">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eastAsia="en-AU"/>
              </w:rPr>
            </w:pPr>
            <w:r w:rsidRPr="004523AB">
              <w:rPr>
                <w:lang w:eastAsia="en-AU"/>
              </w:rPr>
              <w:t>3,377 (87.4</w:t>
            </w:r>
            <w:r w:rsidR="00A515E9" w:rsidRPr="004523AB">
              <w:rPr>
                <w:lang w:eastAsia="en-AU"/>
              </w:rPr>
              <w:t xml:space="preserve"> per cent</w:t>
            </w:r>
            <w:r w:rsidRPr="004523AB">
              <w:rPr>
                <w:lang w:eastAsia="en-AU"/>
              </w:rPr>
              <w:t>)</w:t>
            </w:r>
          </w:p>
        </w:tc>
        <w:tc>
          <w:tcPr>
            <w:tcW w:w="2230" w:type="dxa"/>
          </w:tcPr>
          <w:p w14:paraId="491B0A26" w14:textId="035E15B2" w:rsidR="00AD7DD1" w:rsidRPr="004523AB" w:rsidRDefault="00AD7DD1" w:rsidP="007D356A">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eastAsia="en-AU"/>
              </w:rPr>
            </w:pPr>
            <w:r w:rsidRPr="004523AB">
              <w:rPr>
                <w:lang w:eastAsia="en-AU"/>
              </w:rPr>
              <w:t>720 (86.1</w:t>
            </w:r>
            <w:r w:rsidR="00A515E9" w:rsidRPr="004523AB">
              <w:rPr>
                <w:lang w:eastAsia="en-AU"/>
              </w:rPr>
              <w:t xml:space="preserve"> per cent</w:t>
            </w:r>
            <w:r w:rsidRPr="004523AB">
              <w:rPr>
                <w:lang w:eastAsia="en-AU"/>
              </w:rPr>
              <w:t>)</w:t>
            </w:r>
          </w:p>
        </w:tc>
        <w:tc>
          <w:tcPr>
            <w:tcW w:w="2230" w:type="dxa"/>
          </w:tcPr>
          <w:p w14:paraId="2D613F07" w14:textId="4D43D66F" w:rsidR="00AD7DD1" w:rsidRPr="004523AB" w:rsidRDefault="00AD7DD1" w:rsidP="007D356A">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eastAsia="en-AU"/>
              </w:rPr>
            </w:pPr>
            <w:r w:rsidRPr="004523AB">
              <w:rPr>
                <w:lang w:eastAsia="en-AU"/>
              </w:rPr>
              <w:t>80 (55.2</w:t>
            </w:r>
            <w:r w:rsidR="00DA3717" w:rsidRPr="004523AB">
              <w:rPr>
                <w:lang w:eastAsia="en-AU"/>
              </w:rPr>
              <w:t xml:space="preserve"> per cent</w:t>
            </w:r>
            <w:r w:rsidRPr="004523AB">
              <w:rPr>
                <w:lang w:eastAsia="en-AU"/>
              </w:rPr>
              <w:t>)</w:t>
            </w:r>
          </w:p>
        </w:tc>
      </w:tr>
      <w:tr w:rsidR="00AD7DD1" w:rsidRPr="004523AB" w14:paraId="4CF09110" w14:textId="77777777" w:rsidTr="007D356A">
        <w:tc>
          <w:tcPr>
            <w:cnfStyle w:val="001000000000" w:firstRow="0" w:lastRow="0" w:firstColumn="1" w:lastColumn="0" w:oddVBand="0" w:evenVBand="0" w:oddHBand="0" w:evenHBand="0" w:firstRowFirstColumn="0" w:firstRowLastColumn="0" w:lastRowFirstColumn="0" w:lastRowLastColumn="0"/>
            <w:tcW w:w="2230" w:type="dxa"/>
          </w:tcPr>
          <w:p w14:paraId="6CBF2B0E" w14:textId="0C5A1B39" w:rsidR="00AD7DD1" w:rsidRPr="004523AB" w:rsidRDefault="00AD7DD1" w:rsidP="007D356A">
            <w:pPr>
              <w:pStyle w:val="TableNText"/>
              <w:rPr>
                <w:rFonts w:asciiTheme="majorHAnsi" w:hAnsiTheme="majorHAnsi" w:cstheme="majorHAnsi"/>
                <w:lang w:eastAsia="en-AU"/>
              </w:rPr>
            </w:pPr>
            <w:r w:rsidRPr="004523AB">
              <w:rPr>
                <w:lang w:eastAsia="en-AU"/>
              </w:rPr>
              <w:t>Internet connectivity improvements</w:t>
            </w:r>
          </w:p>
        </w:tc>
        <w:tc>
          <w:tcPr>
            <w:tcW w:w="2230" w:type="dxa"/>
          </w:tcPr>
          <w:p w14:paraId="7CE3B6DC" w14:textId="142B9992" w:rsidR="00AD7DD1" w:rsidRPr="004523AB" w:rsidRDefault="00AD7DD1" w:rsidP="007D356A">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eastAsia="en-AU"/>
              </w:rPr>
            </w:pPr>
            <w:r w:rsidRPr="004523AB">
              <w:rPr>
                <w:lang w:eastAsia="en-AU"/>
              </w:rPr>
              <w:t>1,873 (48.5</w:t>
            </w:r>
            <w:r w:rsidR="00A515E9" w:rsidRPr="004523AB">
              <w:rPr>
                <w:lang w:eastAsia="en-AU"/>
              </w:rPr>
              <w:t xml:space="preserve"> per cent</w:t>
            </w:r>
            <w:r w:rsidRPr="004523AB">
              <w:rPr>
                <w:lang w:eastAsia="en-AU"/>
              </w:rPr>
              <w:t>)</w:t>
            </w:r>
          </w:p>
        </w:tc>
        <w:tc>
          <w:tcPr>
            <w:tcW w:w="2230" w:type="dxa"/>
          </w:tcPr>
          <w:p w14:paraId="46EB2303" w14:textId="1ECBE128" w:rsidR="00AD7DD1" w:rsidRPr="004523AB" w:rsidRDefault="00AD7DD1" w:rsidP="007D356A">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eastAsia="en-AU"/>
              </w:rPr>
            </w:pPr>
            <w:r w:rsidRPr="004523AB">
              <w:rPr>
                <w:lang w:eastAsia="en-AU"/>
              </w:rPr>
              <w:t>368 (44.0</w:t>
            </w:r>
            <w:r w:rsidR="00A515E9" w:rsidRPr="004523AB">
              <w:rPr>
                <w:lang w:eastAsia="en-AU"/>
              </w:rPr>
              <w:t xml:space="preserve"> per cent</w:t>
            </w:r>
            <w:r w:rsidRPr="004523AB">
              <w:rPr>
                <w:lang w:eastAsia="en-AU"/>
              </w:rPr>
              <w:t>)</w:t>
            </w:r>
          </w:p>
        </w:tc>
        <w:tc>
          <w:tcPr>
            <w:tcW w:w="2230" w:type="dxa"/>
          </w:tcPr>
          <w:p w14:paraId="45AB0521" w14:textId="554AD379" w:rsidR="00AD7DD1" w:rsidRPr="004523AB" w:rsidRDefault="00AD7DD1" w:rsidP="007D356A">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eastAsia="en-AU"/>
              </w:rPr>
            </w:pPr>
            <w:r w:rsidRPr="004523AB">
              <w:rPr>
                <w:lang w:eastAsia="en-AU"/>
              </w:rPr>
              <w:t>52 (35.9</w:t>
            </w:r>
            <w:r w:rsidR="00DA3717" w:rsidRPr="004523AB">
              <w:rPr>
                <w:lang w:eastAsia="en-AU"/>
              </w:rPr>
              <w:t xml:space="preserve"> per cent</w:t>
            </w:r>
            <w:r w:rsidRPr="004523AB">
              <w:rPr>
                <w:lang w:eastAsia="en-AU"/>
              </w:rPr>
              <w:t>)</w:t>
            </w:r>
          </w:p>
        </w:tc>
      </w:tr>
      <w:tr w:rsidR="00AD7DD1" w:rsidRPr="004523AB" w14:paraId="50A9CD1C" w14:textId="77777777" w:rsidTr="007D356A">
        <w:tc>
          <w:tcPr>
            <w:cnfStyle w:val="001000000000" w:firstRow="0" w:lastRow="0" w:firstColumn="1" w:lastColumn="0" w:oddVBand="0" w:evenVBand="0" w:oddHBand="0" w:evenHBand="0" w:firstRowFirstColumn="0" w:firstRowLastColumn="0" w:lastRowFirstColumn="0" w:lastRowLastColumn="0"/>
            <w:tcW w:w="2230" w:type="dxa"/>
          </w:tcPr>
          <w:p w14:paraId="43F9F6FE" w14:textId="77D319EB" w:rsidR="00AD7DD1" w:rsidRPr="004523AB" w:rsidRDefault="00AD7DD1" w:rsidP="007D356A">
            <w:pPr>
              <w:pStyle w:val="TableNText"/>
              <w:rPr>
                <w:rFonts w:asciiTheme="majorHAnsi" w:hAnsiTheme="majorHAnsi" w:cstheme="majorHAnsi"/>
                <w:lang w:eastAsia="en-AU"/>
              </w:rPr>
            </w:pPr>
            <w:r w:rsidRPr="004523AB">
              <w:rPr>
                <w:lang w:eastAsia="en-AU"/>
              </w:rPr>
              <w:t>Upskilling staff in digital capability</w:t>
            </w:r>
          </w:p>
        </w:tc>
        <w:tc>
          <w:tcPr>
            <w:tcW w:w="2230" w:type="dxa"/>
          </w:tcPr>
          <w:p w14:paraId="6785427E" w14:textId="34B68AEB" w:rsidR="00AD7DD1" w:rsidRPr="004523AB" w:rsidRDefault="00AD7DD1" w:rsidP="007D356A">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eastAsia="en-AU"/>
              </w:rPr>
            </w:pPr>
            <w:r w:rsidRPr="004523AB">
              <w:rPr>
                <w:lang w:eastAsia="en-AU"/>
              </w:rPr>
              <w:t>1,354 (35.1</w:t>
            </w:r>
            <w:r w:rsidR="00A515E9" w:rsidRPr="004523AB">
              <w:rPr>
                <w:lang w:eastAsia="en-AU"/>
              </w:rPr>
              <w:t xml:space="preserve"> per cent</w:t>
            </w:r>
            <w:r w:rsidRPr="004523AB">
              <w:rPr>
                <w:lang w:eastAsia="en-AU"/>
              </w:rPr>
              <w:t>)</w:t>
            </w:r>
          </w:p>
        </w:tc>
        <w:tc>
          <w:tcPr>
            <w:tcW w:w="2230" w:type="dxa"/>
          </w:tcPr>
          <w:p w14:paraId="7E54BBE7" w14:textId="5F84A1EC" w:rsidR="00AD7DD1" w:rsidRPr="004523AB" w:rsidRDefault="00AD7DD1" w:rsidP="007D356A">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eastAsia="en-AU"/>
              </w:rPr>
            </w:pPr>
            <w:r w:rsidRPr="004523AB">
              <w:rPr>
                <w:lang w:eastAsia="en-AU"/>
              </w:rPr>
              <w:t>242 (28.9</w:t>
            </w:r>
            <w:r w:rsidR="00A515E9" w:rsidRPr="004523AB">
              <w:rPr>
                <w:lang w:eastAsia="en-AU"/>
              </w:rPr>
              <w:t xml:space="preserve"> per cent</w:t>
            </w:r>
            <w:r w:rsidRPr="004523AB">
              <w:rPr>
                <w:lang w:eastAsia="en-AU"/>
              </w:rPr>
              <w:t>)</w:t>
            </w:r>
          </w:p>
        </w:tc>
        <w:tc>
          <w:tcPr>
            <w:tcW w:w="2230" w:type="dxa"/>
          </w:tcPr>
          <w:p w14:paraId="13B98ED9" w14:textId="21BBA61F" w:rsidR="00AD7DD1" w:rsidRPr="004523AB" w:rsidRDefault="00AD7DD1" w:rsidP="007D356A">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eastAsia="en-AU"/>
              </w:rPr>
            </w:pPr>
            <w:r w:rsidRPr="004523AB">
              <w:rPr>
                <w:lang w:eastAsia="en-AU"/>
              </w:rPr>
              <w:t>70 (48.3</w:t>
            </w:r>
            <w:r w:rsidR="00DA3717" w:rsidRPr="004523AB">
              <w:rPr>
                <w:lang w:eastAsia="en-AU"/>
              </w:rPr>
              <w:t xml:space="preserve"> per cent</w:t>
            </w:r>
            <w:r w:rsidRPr="004523AB">
              <w:rPr>
                <w:lang w:eastAsia="en-AU"/>
              </w:rPr>
              <w:t>)</w:t>
            </w:r>
          </w:p>
        </w:tc>
      </w:tr>
      <w:tr w:rsidR="00AD7DD1" w:rsidRPr="004523AB" w14:paraId="005FC9A4" w14:textId="77777777" w:rsidTr="007D356A">
        <w:tc>
          <w:tcPr>
            <w:cnfStyle w:val="001000000000" w:firstRow="0" w:lastRow="0" w:firstColumn="1" w:lastColumn="0" w:oddVBand="0" w:evenVBand="0" w:oddHBand="0" w:evenHBand="0" w:firstRowFirstColumn="0" w:firstRowLastColumn="0" w:lastRowFirstColumn="0" w:lastRowLastColumn="0"/>
            <w:tcW w:w="2230" w:type="dxa"/>
          </w:tcPr>
          <w:p w14:paraId="1D2E8071" w14:textId="78963FC2" w:rsidR="00AD7DD1" w:rsidRPr="004523AB" w:rsidRDefault="00AD7DD1" w:rsidP="007D356A">
            <w:pPr>
              <w:pStyle w:val="TableNText"/>
              <w:rPr>
                <w:rFonts w:asciiTheme="majorHAnsi" w:hAnsiTheme="majorHAnsi" w:cstheme="majorHAnsi"/>
                <w:lang w:eastAsia="en-AU"/>
              </w:rPr>
            </w:pPr>
            <w:r w:rsidRPr="004523AB">
              <w:rPr>
                <w:lang w:eastAsia="en-AU"/>
              </w:rPr>
              <w:t>Purchase of equipment</w:t>
            </w:r>
          </w:p>
        </w:tc>
        <w:tc>
          <w:tcPr>
            <w:tcW w:w="2230" w:type="dxa"/>
          </w:tcPr>
          <w:p w14:paraId="1C023DA7" w14:textId="5CF078A0" w:rsidR="00AD7DD1" w:rsidRPr="004523AB" w:rsidRDefault="00AD7DD1" w:rsidP="007D356A">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eastAsia="en-AU"/>
              </w:rPr>
            </w:pPr>
            <w:r w:rsidRPr="004523AB">
              <w:rPr>
                <w:lang w:eastAsia="en-AU"/>
              </w:rPr>
              <w:t>3,203 (82.9</w:t>
            </w:r>
            <w:r w:rsidR="00A515E9" w:rsidRPr="004523AB">
              <w:rPr>
                <w:lang w:eastAsia="en-AU"/>
              </w:rPr>
              <w:t xml:space="preserve"> per cent</w:t>
            </w:r>
            <w:r w:rsidRPr="004523AB">
              <w:rPr>
                <w:lang w:eastAsia="en-AU"/>
              </w:rPr>
              <w:t>)</w:t>
            </w:r>
          </w:p>
        </w:tc>
        <w:tc>
          <w:tcPr>
            <w:tcW w:w="2230" w:type="dxa"/>
          </w:tcPr>
          <w:p w14:paraId="1D03F7E7" w14:textId="748E5C74" w:rsidR="00AD7DD1" w:rsidRPr="004523AB" w:rsidRDefault="00AD7DD1" w:rsidP="007D356A">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eastAsia="en-AU"/>
              </w:rPr>
            </w:pPr>
            <w:r w:rsidRPr="004523AB">
              <w:rPr>
                <w:lang w:eastAsia="en-AU"/>
              </w:rPr>
              <w:t>664 (79.4</w:t>
            </w:r>
            <w:r w:rsidR="00A515E9" w:rsidRPr="004523AB">
              <w:rPr>
                <w:lang w:eastAsia="en-AU"/>
              </w:rPr>
              <w:t xml:space="preserve"> per cent</w:t>
            </w:r>
            <w:r w:rsidRPr="004523AB">
              <w:rPr>
                <w:lang w:eastAsia="en-AU"/>
              </w:rPr>
              <w:t>)</w:t>
            </w:r>
          </w:p>
        </w:tc>
        <w:tc>
          <w:tcPr>
            <w:tcW w:w="2230" w:type="dxa"/>
          </w:tcPr>
          <w:p w14:paraId="3C4A104A" w14:textId="7033CAA0" w:rsidR="00AD7DD1" w:rsidRPr="004523AB" w:rsidRDefault="00AD7DD1" w:rsidP="007D356A">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eastAsia="en-AU"/>
              </w:rPr>
            </w:pPr>
            <w:r w:rsidRPr="004523AB">
              <w:rPr>
                <w:lang w:eastAsia="en-AU"/>
              </w:rPr>
              <w:t>124 (85.5</w:t>
            </w:r>
            <w:r w:rsidR="00DA3717" w:rsidRPr="004523AB">
              <w:rPr>
                <w:lang w:eastAsia="en-AU"/>
              </w:rPr>
              <w:t xml:space="preserve"> per cent</w:t>
            </w:r>
            <w:r w:rsidRPr="004523AB">
              <w:rPr>
                <w:lang w:eastAsia="en-AU"/>
              </w:rPr>
              <w:t>)</w:t>
            </w:r>
          </w:p>
        </w:tc>
      </w:tr>
      <w:tr w:rsidR="00AD7DD1" w:rsidRPr="004523AB" w14:paraId="5AA2A104" w14:textId="77777777" w:rsidTr="007D356A">
        <w:tc>
          <w:tcPr>
            <w:cnfStyle w:val="001000000000" w:firstRow="0" w:lastRow="0" w:firstColumn="1" w:lastColumn="0" w:oddVBand="0" w:evenVBand="0" w:oddHBand="0" w:evenHBand="0" w:firstRowFirstColumn="0" w:firstRowLastColumn="0" w:lastRowFirstColumn="0" w:lastRowLastColumn="0"/>
            <w:tcW w:w="2230" w:type="dxa"/>
          </w:tcPr>
          <w:p w14:paraId="75C75B7C" w14:textId="3718EB31" w:rsidR="00AD7DD1" w:rsidRPr="004523AB" w:rsidRDefault="00AD7DD1" w:rsidP="007D356A">
            <w:pPr>
              <w:pStyle w:val="TableNText"/>
              <w:rPr>
                <w:rFonts w:asciiTheme="majorHAnsi" w:hAnsiTheme="majorHAnsi" w:cstheme="majorHAnsi"/>
                <w:lang w:eastAsia="en-AU"/>
              </w:rPr>
            </w:pPr>
            <w:r w:rsidRPr="004523AB">
              <w:rPr>
                <w:lang w:eastAsia="en-AU"/>
              </w:rPr>
              <w:t>Upgrade of equipment</w:t>
            </w:r>
          </w:p>
        </w:tc>
        <w:tc>
          <w:tcPr>
            <w:tcW w:w="2230" w:type="dxa"/>
          </w:tcPr>
          <w:p w14:paraId="7C0DAC1D" w14:textId="26FDDB34" w:rsidR="00AD7DD1" w:rsidRPr="004523AB" w:rsidRDefault="00AD7DD1" w:rsidP="007D356A">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eastAsia="en-AU"/>
              </w:rPr>
            </w:pPr>
            <w:r w:rsidRPr="004523AB">
              <w:rPr>
                <w:lang w:eastAsia="en-AU"/>
              </w:rPr>
              <w:t>2,988 (77.3</w:t>
            </w:r>
            <w:r w:rsidR="00A515E9" w:rsidRPr="004523AB">
              <w:rPr>
                <w:lang w:eastAsia="en-AU"/>
              </w:rPr>
              <w:t xml:space="preserve"> per cent</w:t>
            </w:r>
            <w:r w:rsidRPr="004523AB">
              <w:rPr>
                <w:lang w:eastAsia="en-AU"/>
              </w:rPr>
              <w:t>)</w:t>
            </w:r>
          </w:p>
        </w:tc>
        <w:tc>
          <w:tcPr>
            <w:tcW w:w="2230" w:type="dxa"/>
          </w:tcPr>
          <w:p w14:paraId="3390DDBB" w14:textId="6A0BCFE0" w:rsidR="00AD7DD1" w:rsidRPr="004523AB" w:rsidRDefault="00AD7DD1" w:rsidP="007D356A">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eastAsia="en-AU"/>
              </w:rPr>
            </w:pPr>
            <w:r w:rsidRPr="004523AB">
              <w:rPr>
                <w:lang w:eastAsia="en-AU"/>
              </w:rPr>
              <w:t>575 (68.8</w:t>
            </w:r>
            <w:r w:rsidR="00A515E9" w:rsidRPr="004523AB">
              <w:rPr>
                <w:lang w:eastAsia="en-AU"/>
              </w:rPr>
              <w:t xml:space="preserve"> per cent</w:t>
            </w:r>
            <w:r w:rsidRPr="004523AB">
              <w:rPr>
                <w:lang w:eastAsia="en-AU"/>
              </w:rPr>
              <w:t>)</w:t>
            </w:r>
          </w:p>
        </w:tc>
        <w:tc>
          <w:tcPr>
            <w:tcW w:w="2230" w:type="dxa"/>
          </w:tcPr>
          <w:p w14:paraId="579718E3" w14:textId="75B787CA" w:rsidR="00AD7DD1" w:rsidRPr="004523AB" w:rsidRDefault="00AD7DD1" w:rsidP="007D356A">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eastAsia="en-AU"/>
              </w:rPr>
            </w:pPr>
            <w:r w:rsidRPr="004523AB">
              <w:rPr>
                <w:lang w:eastAsia="en-AU"/>
              </w:rPr>
              <w:t>99 (68.3</w:t>
            </w:r>
            <w:r w:rsidR="00DA3717" w:rsidRPr="004523AB">
              <w:rPr>
                <w:lang w:eastAsia="en-AU"/>
              </w:rPr>
              <w:t xml:space="preserve"> per cent</w:t>
            </w:r>
            <w:r w:rsidRPr="004523AB">
              <w:rPr>
                <w:lang w:eastAsia="en-AU"/>
              </w:rPr>
              <w:t>)</w:t>
            </w:r>
          </w:p>
        </w:tc>
      </w:tr>
      <w:tr w:rsidR="00AD7DD1" w:rsidRPr="004523AB" w14:paraId="1465C2D8" w14:textId="77777777" w:rsidTr="007D356A">
        <w:tc>
          <w:tcPr>
            <w:cnfStyle w:val="001000000000" w:firstRow="0" w:lastRow="0" w:firstColumn="1" w:lastColumn="0" w:oddVBand="0" w:evenVBand="0" w:oddHBand="0" w:evenHBand="0" w:firstRowFirstColumn="0" w:firstRowLastColumn="0" w:lastRowFirstColumn="0" w:lastRowLastColumn="0"/>
            <w:tcW w:w="2230" w:type="dxa"/>
          </w:tcPr>
          <w:p w14:paraId="2C080D84" w14:textId="52037810" w:rsidR="00AD7DD1" w:rsidRPr="004523AB" w:rsidRDefault="00AD7DD1" w:rsidP="007D356A">
            <w:pPr>
              <w:pStyle w:val="TableNText"/>
              <w:rPr>
                <w:rFonts w:asciiTheme="majorHAnsi" w:hAnsiTheme="majorHAnsi" w:cstheme="majorHAnsi"/>
                <w:lang w:eastAsia="en-AU"/>
              </w:rPr>
            </w:pPr>
            <w:r w:rsidRPr="004523AB">
              <w:rPr>
                <w:lang w:eastAsia="en-AU"/>
              </w:rPr>
              <w:t>Training courses</w:t>
            </w:r>
          </w:p>
        </w:tc>
        <w:tc>
          <w:tcPr>
            <w:tcW w:w="2230" w:type="dxa"/>
          </w:tcPr>
          <w:p w14:paraId="4BFB4C7B" w14:textId="0D4FE111" w:rsidR="00AD7DD1" w:rsidRPr="004523AB" w:rsidRDefault="00AD7DD1" w:rsidP="007D356A">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eastAsia="en-AU"/>
              </w:rPr>
            </w:pPr>
            <w:r w:rsidRPr="004523AB">
              <w:rPr>
                <w:lang w:eastAsia="en-AU"/>
              </w:rPr>
              <w:t>791 (20.5</w:t>
            </w:r>
            <w:r w:rsidR="00A515E9" w:rsidRPr="004523AB">
              <w:rPr>
                <w:lang w:eastAsia="en-AU"/>
              </w:rPr>
              <w:t xml:space="preserve"> per cent</w:t>
            </w:r>
            <w:r w:rsidRPr="004523AB">
              <w:rPr>
                <w:lang w:eastAsia="en-AU"/>
              </w:rPr>
              <w:t>)</w:t>
            </w:r>
          </w:p>
        </w:tc>
        <w:tc>
          <w:tcPr>
            <w:tcW w:w="2230" w:type="dxa"/>
          </w:tcPr>
          <w:p w14:paraId="02B1E820" w14:textId="1147FCEA" w:rsidR="00AD7DD1" w:rsidRPr="004523AB" w:rsidRDefault="00AD7DD1" w:rsidP="007D356A">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eastAsia="en-AU"/>
              </w:rPr>
            </w:pPr>
            <w:r w:rsidRPr="004523AB">
              <w:rPr>
                <w:lang w:eastAsia="en-AU"/>
              </w:rPr>
              <w:t>162 (19.4</w:t>
            </w:r>
            <w:r w:rsidR="00A515E9" w:rsidRPr="004523AB">
              <w:rPr>
                <w:lang w:eastAsia="en-AU"/>
              </w:rPr>
              <w:t xml:space="preserve"> per cent</w:t>
            </w:r>
            <w:r w:rsidRPr="004523AB">
              <w:rPr>
                <w:lang w:eastAsia="en-AU"/>
              </w:rPr>
              <w:t>)</w:t>
            </w:r>
          </w:p>
        </w:tc>
        <w:tc>
          <w:tcPr>
            <w:tcW w:w="2230" w:type="dxa"/>
          </w:tcPr>
          <w:p w14:paraId="7E22B424" w14:textId="2CBD7542" w:rsidR="00AD7DD1" w:rsidRPr="004523AB" w:rsidRDefault="00AD7DD1" w:rsidP="007D356A">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eastAsia="en-AU"/>
              </w:rPr>
            </w:pPr>
            <w:r w:rsidRPr="004523AB">
              <w:rPr>
                <w:lang w:eastAsia="en-AU"/>
              </w:rPr>
              <w:t>20 (13.8</w:t>
            </w:r>
            <w:r w:rsidR="00DA3717" w:rsidRPr="004523AB">
              <w:rPr>
                <w:lang w:eastAsia="en-AU"/>
              </w:rPr>
              <w:t xml:space="preserve"> per cent</w:t>
            </w:r>
            <w:r w:rsidRPr="004523AB">
              <w:rPr>
                <w:lang w:eastAsia="en-AU"/>
              </w:rPr>
              <w:t>)</w:t>
            </w:r>
          </w:p>
        </w:tc>
      </w:tr>
      <w:tr w:rsidR="00AD7DD1" w:rsidRPr="004523AB" w14:paraId="36DFF8FD" w14:textId="77777777" w:rsidTr="007D356A">
        <w:tc>
          <w:tcPr>
            <w:cnfStyle w:val="001000000000" w:firstRow="0" w:lastRow="0" w:firstColumn="1" w:lastColumn="0" w:oddVBand="0" w:evenVBand="0" w:oddHBand="0" w:evenHBand="0" w:firstRowFirstColumn="0" w:firstRowLastColumn="0" w:lastRowFirstColumn="0" w:lastRowLastColumn="0"/>
            <w:tcW w:w="2230" w:type="dxa"/>
          </w:tcPr>
          <w:p w14:paraId="1EF082F5" w14:textId="6A21DFAB" w:rsidR="00AD7DD1" w:rsidRPr="004523AB" w:rsidRDefault="00AD7DD1" w:rsidP="007D356A">
            <w:pPr>
              <w:pStyle w:val="TableNText"/>
              <w:rPr>
                <w:rFonts w:asciiTheme="majorHAnsi" w:hAnsiTheme="majorHAnsi" w:cstheme="majorHAnsi"/>
                <w:lang w:eastAsia="en-AU"/>
              </w:rPr>
            </w:pPr>
            <w:r w:rsidRPr="004523AB">
              <w:rPr>
                <w:lang w:eastAsia="en-AU"/>
              </w:rPr>
              <w:t>Professional assessment of existing digital / cyber security capability and arrangements</w:t>
            </w:r>
          </w:p>
        </w:tc>
        <w:tc>
          <w:tcPr>
            <w:tcW w:w="2230" w:type="dxa"/>
          </w:tcPr>
          <w:p w14:paraId="0BDCA41C" w14:textId="44E22D5F" w:rsidR="00AD7DD1" w:rsidRPr="004523AB" w:rsidRDefault="00AD7DD1" w:rsidP="007D356A">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eastAsia="en-AU"/>
              </w:rPr>
            </w:pPr>
            <w:r w:rsidRPr="004523AB">
              <w:rPr>
                <w:lang w:eastAsia="en-AU"/>
              </w:rPr>
              <w:t>1,206 (31.2</w:t>
            </w:r>
            <w:r w:rsidR="00A515E9" w:rsidRPr="004523AB">
              <w:rPr>
                <w:lang w:eastAsia="en-AU"/>
              </w:rPr>
              <w:t xml:space="preserve"> per cent</w:t>
            </w:r>
            <w:r w:rsidRPr="004523AB">
              <w:rPr>
                <w:lang w:eastAsia="en-AU"/>
              </w:rPr>
              <w:t>)</w:t>
            </w:r>
          </w:p>
        </w:tc>
        <w:tc>
          <w:tcPr>
            <w:tcW w:w="2230" w:type="dxa"/>
          </w:tcPr>
          <w:p w14:paraId="2A907501" w14:textId="183BA86B" w:rsidR="00AD7DD1" w:rsidRPr="004523AB" w:rsidRDefault="00AD7DD1" w:rsidP="007D356A">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eastAsia="en-AU"/>
              </w:rPr>
            </w:pPr>
            <w:r w:rsidRPr="004523AB">
              <w:rPr>
                <w:lang w:eastAsia="en-AU"/>
              </w:rPr>
              <w:t>218 (26.1</w:t>
            </w:r>
            <w:r w:rsidR="00A515E9" w:rsidRPr="004523AB">
              <w:rPr>
                <w:lang w:eastAsia="en-AU"/>
              </w:rPr>
              <w:t xml:space="preserve"> per cent</w:t>
            </w:r>
            <w:r w:rsidRPr="004523AB">
              <w:rPr>
                <w:lang w:eastAsia="en-AU"/>
              </w:rPr>
              <w:t>)</w:t>
            </w:r>
          </w:p>
        </w:tc>
        <w:tc>
          <w:tcPr>
            <w:tcW w:w="2230" w:type="dxa"/>
          </w:tcPr>
          <w:p w14:paraId="02E56F00" w14:textId="6D7EBEAD" w:rsidR="00AD7DD1" w:rsidRPr="004523AB" w:rsidRDefault="00AD7DD1" w:rsidP="007D356A">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eastAsia="en-AU"/>
              </w:rPr>
            </w:pPr>
            <w:r w:rsidRPr="004523AB">
              <w:rPr>
                <w:lang w:eastAsia="en-AU"/>
              </w:rPr>
              <w:t>40 (27.6</w:t>
            </w:r>
            <w:r w:rsidR="00DA3717" w:rsidRPr="004523AB">
              <w:rPr>
                <w:lang w:eastAsia="en-AU"/>
              </w:rPr>
              <w:t xml:space="preserve"> per cent</w:t>
            </w:r>
            <w:r w:rsidRPr="004523AB">
              <w:rPr>
                <w:lang w:eastAsia="en-AU"/>
              </w:rPr>
              <w:t>)</w:t>
            </w:r>
          </w:p>
        </w:tc>
      </w:tr>
      <w:tr w:rsidR="00AD7DD1" w:rsidRPr="004523AB" w14:paraId="45FB403D" w14:textId="77777777" w:rsidTr="007D356A">
        <w:tc>
          <w:tcPr>
            <w:cnfStyle w:val="001000000000" w:firstRow="0" w:lastRow="0" w:firstColumn="1" w:lastColumn="0" w:oddVBand="0" w:evenVBand="0" w:oddHBand="0" w:evenHBand="0" w:firstRowFirstColumn="0" w:firstRowLastColumn="0" w:lastRowFirstColumn="0" w:lastRowLastColumn="0"/>
            <w:tcW w:w="2230" w:type="dxa"/>
          </w:tcPr>
          <w:p w14:paraId="364F359A" w14:textId="52DC36BB" w:rsidR="00AD7DD1" w:rsidRPr="004523AB" w:rsidRDefault="00AD7DD1" w:rsidP="007D356A">
            <w:pPr>
              <w:pStyle w:val="TableNText"/>
              <w:rPr>
                <w:lang w:eastAsia="en-AU"/>
              </w:rPr>
            </w:pPr>
            <w:r w:rsidRPr="004523AB">
              <w:rPr>
                <w:lang w:eastAsia="en-AU"/>
              </w:rPr>
              <w:t>Other digital health capability enhancement (please provide a brief description)</w:t>
            </w:r>
          </w:p>
        </w:tc>
        <w:tc>
          <w:tcPr>
            <w:tcW w:w="2230" w:type="dxa"/>
          </w:tcPr>
          <w:p w14:paraId="17C81815" w14:textId="4D121110" w:rsidR="00AD7DD1" w:rsidRPr="004523AB" w:rsidRDefault="00AD7DD1" w:rsidP="007D356A">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eastAsia="en-AU"/>
              </w:rPr>
            </w:pPr>
            <w:r w:rsidRPr="004523AB">
              <w:rPr>
                <w:lang w:eastAsia="en-AU"/>
              </w:rPr>
              <w:t>812 (21.0</w:t>
            </w:r>
            <w:r w:rsidR="00A515E9" w:rsidRPr="004523AB">
              <w:rPr>
                <w:lang w:eastAsia="en-AU"/>
              </w:rPr>
              <w:t xml:space="preserve"> per cent</w:t>
            </w:r>
            <w:r w:rsidRPr="004523AB">
              <w:rPr>
                <w:lang w:eastAsia="en-AU"/>
              </w:rPr>
              <w:t>)</w:t>
            </w:r>
          </w:p>
        </w:tc>
        <w:tc>
          <w:tcPr>
            <w:tcW w:w="2230" w:type="dxa"/>
          </w:tcPr>
          <w:p w14:paraId="7250ADE0" w14:textId="38BEE901" w:rsidR="00AD7DD1" w:rsidRPr="004523AB" w:rsidRDefault="00AD7DD1" w:rsidP="007D356A">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eastAsia="en-AU"/>
              </w:rPr>
            </w:pPr>
            <w:r w:rsidRPr="004523AB">
              <w:rPr>
                <w:lang w:eastAsia="en-AU"/>
              </w:rPr>
              <w:t>141 (16.9</w:t>
            </w:r>
            <w:r w:rsidR="00DA3717" w:rsidRPr="004523AB">
              <w:rPr>
                <w:lang w:eastAsia="en-AU"/>
              </w:rPr>
              <w:t xml:space="preserve"> per cent</w:t>
            </w:r>
            <w:r w:rsidRPr="004523AB">
              <w:rPr>
                <w:lang w:eastAsia="en-AU"/>
              </w:rPr>
              <w:t>)</w:t>
            </w:r>
          </w:p>
        </w:tc>
        <w:tc>
          <w:tcPr>
            <w:tcW w:w="2230" w:type="dxa"/>
          </w:tcPr>
          <w:p w14:paraId="1C2B58D2" w14:textId="46B464DA" w:rsidR="00AD7DD1" w:rsidRPr="004523AB" w:rsidRDefault="00AD7DD1" w:rsidP="007D356A">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eastAsia="en-AU"/>
              </w:rPr>
            </w:pPr>
            <w:r w:rsidRPr="004523AB">
              <w:rPr>
                <w:lang w:eastAsia="en-AU"/>
              </w:rPr>
              <w:t>19 (13.1</w:t>
            </w:r>
            <w:r w:rsidR="00DA3717" w:rsidRPr="004523AB">
              <w:rPr>
                <w:lang w:eastAsia="en-AU"/>
              </w:rPr>
              <w:t xml:space="preserve"> per cent</w:t>
            </w:r>
            <w:r w:rsidRPr="004523AB">
              <w:rPr>
                <w:lang w:eastAsia="en-AU"/>
              </w:rPr>
              <w:t>)</w:t>
            </w:r>
          </w:p>
        </w:tc>
      </w:tr>
    </w:tbl>
    <w:p w14:paraId="36C49906" w14:textId="277046A2" w:rsidR="00506D2E" w:rsidRPr="004523AB" w:rsidRDefault="00506D2E" w:rsidP="00506D2E">
      <w:pPr>
        <w:pStyle w:val="Caption"/>
      </w:pPr>
      <w:bookmarkStart w:id="33" w:name="_Ref184917362"/>
      <w:r w:rsidRPr="004523AB">
        <w:t xml:space="preserve">Table </w:t>
      </w:r>
      <w:r w:rsidRPr="004523AB">
        <w:fldChar w:fldCharType="begin"/>
      </w:r>
      <w:r w:rsidRPr="004523AB">
        <w:instrText xml:space="preserve"> SEQ Table \* ARABIC </w:instrText>
      </w:r>
      <w:r w:rsidRPr="004523AB">
        <w:fldChar w:fldCharType="separate"/>
      </w:r>
      <w:r w:rsidR="00B96E50">
        <w:rPr>
          <w:noProof/>
        </w:rPr>
        <w:t>11</w:t>
      </w:r>
      <w:r w:rsidRPr="004523AB">
        <w:fldChar w:fldCharType="end"/>
      </w:r>
      <w:bookmarkEnd w:id="33"/>
      <w:r w:rsidRPr="004523AB">
        <w:t xml:space="preserve"> | Self-evaluation survey responses by MMM to level of improvement seen in video telehealth capacity</w:t>
      </w:r>
    </w:p>
    <w:tbl>
      <w:tblPr>
        <w:tblStyle w:val="AccessibleCombinationHeader"/>
        <w:tblW w:w="0" w:type="auto"/>
        <w:tblLook w:val="04A0" w:firstRow="1" w:lastRow="0" w:firstColumn="1" w:lastColumn="0" w:noHBand="0" w:noVBand="1"/>
      </w:tblPr>
      <w:tblGrid>
        <w:gridCol w:w="2230"/>
        <w:gridCol w:w="2230"/>
        <w:gridCol w:w="2230"/>
        <w:gridCol w:w="2230"/>
      </w:tblGrid>
      <w:tr w:rsidR="009F6AE6" w:rsidRPr="004523AB" w14:paraId="028612D1" w14:textId="77777777" w:rsidTr="009931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0" w:type="dxa"/>
          </w:tcPr>
          <w:p w14:paraId="3BF217E7" w14:textId="77777777" w:rsidR="009F6AE6" w:rsidRPr="004523AB" w:rsidRDefault="009F6AE6" w:rsidP="007D356A">
            <w:pPr>
              <w:pStyle w:val="TableNheader"/>
              <w:rPr>
                <w:lang w:eastAsia="en-AU"/>
              </w:rPr>
            </w:pPr>
            <w:r w:rsidRPr="004523AB">
              <w:rPr>
                <w:lang w:eastAsia="en-AU"/>
              </w:rPr>
              <w:t>Response</w:t>
            </w:r>
          </w:p>
        </w:tc>
        <w:tc>
          <w:tcPr>
            <w:tcW w:w="2230" w:type="dxa"/>
          </w:tcPr>
          <w:p w14:paraId="518BC472" w14:textId="77777777" w:rsidR="009F6AE6" w:rsidRPr="004523AB" w:rsidRDefault="009F6AE6" w:rsidP="007D356A">
            <w:pPr>
              <w:pStyle w:val="TableNheader"/>
              <w:cnfStyle w:val="100000000000" w:firstRow="1" w:lastRow="0" w:firstColumn="0" w:lastColumn="0" w:oddVBand="0" w:evenVBand="0" w:oddHBand="0" w:evenHBand="0" w:firstRowFirstColumn="0" w:firstRowLastColumn="0" w:lastRowFirstColumn="0" w:lastRowLastColumn="0"/>
              <w:rPr>
                <w:lang w:eastAsia="en-AU"/>
              </w:rPr>
            </w:pPr>
            <w:r w:rsidRPr="004523AB">
              <w:rPr>
                <w:lang w:eastAsia="en-AU"/>
              </w:rPr>
              <w:t>MMM group 1 and 2</w:t>
            </w:r>
          </w:p>
        </w:tc>
        <w:tc>
          <w:tcPr>
            <w:tcW w:w="2230" w:type="dxa"/>
          </w:tcPr>
          <w:p w14:paraId="79FC26D9" w14:textId="77777777" w:rsidR="009F6AE6" w:rsidRPr="004523AB" w:rsidRDefault="009F6AE6" w:rsidP="007D356A">
            <w:pPr>
              <w:pStyle w:val="TableNheader"/>
              <w:cnfStyle w:val="100000000000" w:firstRow="1" w:lastRow="0" w:firstColumn="0" w:lastColumn="0" w:oddVBand="0" w:evenVBand="0" w:oddHBand="0" w:evenHBand="0" w:firstRowFirstColumn="0" w:firstRowLastColumn="0" w:lastRowFirstColumn="0" w:lastRowLastColumn="0"/>
              <w:rPr>
                <w:lang w:eastAsia="en-AU"/>
              </w:rPr>
            </w:pPr>
            <w:r w:rsidRPr="004523AB">
              <w:rPr>
                <w:lang w:eastAsia="en-AU"/>
              </w:rPr>
              <w:t>MMM group 3, 4, and 5</w:t>
            </w:r>
          </w:p>
        </w:tc>
        <w:tc>
          <w:tcPr>
            <w:tcW w:w="2230" w:type="dxa"/>
          </w:tcPr>
          <w:p w14:paraId="596B4014" w14:textId="77777777" w:rsidR="009F6AE6" w:rsidRPr="004523AB" w:rsidRDefault="009F6AE6" w:rsidP="007D356A">
            <w:pPr>
              <w:pStyle w:val="TableNheader"/>
              <w:cnfStyle w:val="100000000000" w:firstRow="1" w:lastRow="0" w:firstColumn="0" w:lastColumn="0" w:oddVBand="0" w:evenVBand="0" w:oddHBand="0" w:evenHBand="0" w:firstRowFirstColumn="0" w:firstRowLastColumn="0" w:lastRowFirstColumn="0" w:lastRowLastColumn="0"/>
              <w:rPr>
                <w:lang w:eastAsia="en-AU"/>
              </w:rPr>
            </w:pPr>
            <w:r w:rsidRPr="004523AB">
              <w:rPr>
                <w:lang w:eastAsia="en-AU"/>
              </w:rPr>
              <w:t>MMM group 6 and 7</w:t>
            </w:r>
          </w:p>
        </w:tc>
      </w:tr>
      <w:tr w:rsidR="000B222C" w:rsidRPr="004523AB" w14:paraId="162E0F4C" w14:textId="77777777" w:rsidTr="007D356A">
        <w:tc>
          <w:tcPr>
            <w:cnfStyle w:val="001000000000" w:firstRow="0" w:lastRow="0" w:firstColumn="1" w:lastColumn="0" w:oddVBand="0" w:evenVBand="0" w:oddHBand="0" w:evenHBand="0" w:firstRowFirstColumn="0" w:firstRowLastColumn="0" w:lastRowFirstColumn="0" w:lastRowLastColumn="0"/>
            <w:tcW w:w="2230" w:type="dxa"/>
          </w:tcPr>
          <w:p w14:paraId="6C8C7D57" w14:textId="2BFE2982" w:rsidR="000B222C" w:rsidRPr="004523AB" w:rsidRDefault="000B222C" w:rsidP="007D356A">
            <w:pPr>
              <w:pStyle w:val="TableNText"/>
              <w:rPr>
                <w:rFonts w:asciiTheme="majorHAnsi" w:hAnsiTheme="majorHAnsi" w:cstheme="majorHAnsi"/>
                <w:lang w:eastAsia="en-AU"/>
              </w:rPr>
            </w:pPr>
            <w:r w:rsidRPr="004523AB">
              <w:rPr>
                <w:lang w:eastAsia="en-AU"/>
              </w:rPr>
              <w:t>Did not use grant for this purpose</w:t>
            </w:r>
          </w:p>
        </w:tc>
        <w:tc>
          <w:tcPr>
            <w:tcW w:w="2230" w:type="dxa"/>
          </w:tcPr>
          <w:p w14:paraId="64B17342" w14:textId="676CD482" w:rsidR="000B222C" w:rsidRPr="004523AB" w:rsidRDefault="000B222C" w:rsidP="007D356A">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eastAsia="en-AU"/>
              </w:rPr>
            </w:pPr>
            <w:r w:rsidRPr="004523AB">
              <w:rPr>
                <w:lang w:eastAsia="en-AU"/>
              </w:rPr>
              <w:t>1,224 (31.7</w:t>
            </w:r>
            <w:r w:rsidR="00DA3717" w:rsidRPr="004523AB">
              <w:rPr>
                <w:lang w:eastAsia="en-AU"/>
              </w:rPr>
              <w:t xml:space="preserve"> per cent)</w:t>
            </w:r>
          </w:p>
        </w:tc>
        <w:tc>
          <w:tcPr>
            <w:tcW w:w="2230" w:type="dxa"/>
          </w:tcPr>
          <w:p w14:paraId="069F971A" w14:textId="09EFF51E" w:rsidR="000B222C" w:rsidRPr="004523AB" w:rsidRDefault="000B222C" w:rsidP="007D356A">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eastAsia="en-AU"/>
              </w:rPr>
            </w:pPr>
            <w:r w:rsidRPr="004523AB">
              <w:rPr>
                <w:lang w:eastAsia="en-AU"/>
              </w:rPr>
              <w:t>246 (29.4</w:t>
            </w:r>
            <w:r w:rsidR="00826C9D" w:rsidRPr="004523AB">
              <w:rPr>
                <w:lang w:eastAsia="en-AU"/>
              </w:rPr>
              <w:t xml:space="preserve"> per cent</w:t>
            </w:r>
            <w:r w:rsidRPr="004523AB">
              <w:rPr>
                <w:lang w:eastAsia="en-AU"/>
              </w:rPr>
              <w:t>)</w:t>
            </w:r>
          </w:p>
        </w:tc>
        <w:tc>
          <w:tcPr>
            <w:tcW w:w="2230" w:type="dxa"/>
          </w:tcPr>
          <w:p w14:paraId="3374780B" w14:textId="316CC01E" w:rsidR="000B222C" w:rsidRPr="004523AB" w:rsidRDefault="000B222C" w:rsidP="007D356A">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eastAsia="en-AU"/>
              </w:rPr>
            </w:pPr>
            <w:r w:rsidRPr="004523AB">
              <w:rPr>
                <w:lang w:eastAsia="en-AU"/>
              </w:rPr>
              <w:t>18 (12.4</w:t>
            </w:r>
            <w:r w:rsidR="00826C9D" w:rsidRPr="004523AB">
              <w:rPr>
                <w:lang w:eastAsia="en-AU"/>
              </w:rPr>
              <w:t xml:space="preserve"> per cent</w:t>
            </w:r>
            <w:r w:rsidRPr="004523AB">
              <w:rPr>
                <w:lang w:eastAsia="en-AU"/>
              </w:rPr>
              <w:t>)</w:t>
            </w:r>
          </w:p>
        </w:tc>
      </w:tr>
      <w:tr w:rsidR="000B222C" w:rsidRPr="004523AB" w14:paraId="0D7E8B54" w14:textId="77777777" w:rsidTr="007D356A">
        <w:tc>
          <w:tcPr>
            <w:cnfStyle w:val="001000000000" w:firstRow="0" w:lastRow="0" w:firstColumn="1" w:lastColumn="0" w:oddVBand="0" w:evenVBand="0" w:oddHBand="0" w:evenHBand="0" w:firstRowFirstColumn="0" w:firstRowLastColumn="0" w:lastRowFirstColumn="0" w:lastRowLastColumn="0"/>
            <w:tcW w:w="2230" w:type="dxa"/>
          </w:tcPr>
          <w:p w14:paraId="000D8D29" w14:textId="6868E378" w:rsidR="000B222C" w:rsidRPr="004523AB" w:rsidRDefault="000B222C" w:rsidP="007D356A">
            <w:pPr>
              <w:pStyle w:val="TableNText"/>
              <w:rPr>
                <w:rFonts w:asciiTheme="majorHAnsi" w:hAnsiTheme="majorHAnsi" w:cstheme="majorHAnsi"/>
                <w:lang w:eastAsia="en-AU"/>
              </w:rPr>
            </w:pPr>
            <w:r w:rsidRPr="004523AB">
              <w:rPr>
                <w:lang w:eastAsia="en-AU"/>
              </w:rPr>
              <w:t>No change</w:t>
            </w:r>
          </w:p>
        </w:tc>
        <w:tc>
          <w:tcPr>
            <w:tcW w:w="2230" w:type="dxa"/>
          </w:tcPr>
          <w:p w14:paraId="22ED1A5D" w14:textId="4FC6E154" w:rsidR="000B222C" w:rsidRPr="004523AB" w:rsidRDefault="000B222C" w:rsidP="007D356A">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eastAsia="en-AU"/>
              </w:rPr>
            </w:pPr>
            <w:r w:rsidRPr="004523AB">
              <w:rPr>
                <w:lang w:eastAsia="en-AU"/>
              </w:rPr>
              <w:t>481 (12.5</w:t>
            </w:r>
            <w:r w:rsidR="00DA3717" w:rsidRPr="004523AB">
              <w:rPr>
                <w:lang w:eastAsia="en-AU"/>
              </w:rPr>
              <w:t xml:space="preserve"> per cent</w:t>
            </w:r>
            <w:r w:rsidRPr="004523AB">
              <w:rPr>
                <w:lang w:eastAsia="en-AU"/>
              </w:rPr>
              <w:t>)</w:t>
            </w:r>
          </w:p>
        </w:tc>
        <w:tc>
          <w:tcPr>
            <w:tcW w:w="2230" w:type="dxa"/>
          </w:tcPr>
          <w:p w14:paraId="7D192BAA" w14:textId="6F92F79D" w:rsidR="000B222C" w:rsidRPr="004523AB" w:rsidRDefault="000B222C" w:rsidP="007D356A">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eastAsia="en-AU"/>
              </w:rPr>
            </w:pPr>
            <w:r w:rsidRPr="004523AB">
              <w:rPr>
                <w:lang w:eastAsia="en-AU"/>
              </w:rPr>
              <w:t>94 (11.2</w:t>
            </w:r>
            <w:r w:rsidR="00826C9D" w:rsidRPr="004523AB">
              <w:rPr>
                <w:lang w:eastAsia="en-AU"/>
              </w:rPr>
              <w:t xml:space="preserve"> per cent</w:t>
            </w:r>
            <w:r w:rsidRPr="004523AB">
              <w:rPr>
                <w:lang w:eastAsia="en-AU"/>
              </w:rPr>
              <w:t>)</w:t>
            </w:r>
          </w:p>
        </w:tc>
        <w:tc>
          <w:tcPr>
            <w:tcW w:w="2230" w:type="dxa"/>
          </w:tcPr>
          <w:p w14:paraId="49AD03FB" w14:textId="1E2E4132" w:rsidR="000B222C" w:rsidRPr="004523AB" w:rsidRDefault="000B222C" w:rsidP="007D356A">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eastAsia="en-AU"/>
              </w:rPr>
            </w:pPr>
            <w:r w:rsidRPr="004523AB">
              <w:rPr>
                <w:lang w:eastAsia="en-AU"/>
              </w:rPr>
              <w:t>9 (6.2</w:t>
            </w:r>
            <w:r w:rsidR="00826C9D" w:rsidRPr="004523AB">
              <w:rPr>
                <w:lang w:eastAsia="en-AU"/>
              </w:rPr>
              <w:t xml:space="preserve"> per cent</w:t>
            </w:r>
            <w:r w:rsidRPr="004523AB">
              <w:rPr>
                <w:lang w:eastAsia="en-AU"/>
              </w:rPr>
              <w:t>)</w:t>
            </w:r>
          </w:p>
        </w:tc>
      </w:tr>
      <w:tr w:rsidR="000B222C" w:rsidRPr="004523AB" w14:paraId="2B846FEE" w14:textId="77777777" w:rsidTr="007D356A">
        <w:tc>
          <w:tcPr>
            <w:cnfStyle w:val="001000000000" w:firstRow="0" w:lastRow="0" w:firstColumn="1" w:lastColumn="0" w:oddVBand="0" w:evenVBand="0" w:oddHBand="0" w:evenHBand="0" w:firstRowFirstColumn="0" w:firstRowLastColumn="0" w:lastRowFirstColumn="0" w:lastRowLastColumn="0"/>
            <w:tcW w:w="2230" w:type="dxa"/>
          </w:tcPr>
          <w:p w14:paraId="4AB3D282" w14:textId="33DE02B4" w:rsidR="000B222C" w:rsidRPr="004523AB" w:rsidRDefault="000B222C" w:rsidP="007D356A">
            <w:pPr>
              <w:pStyle w:val="TableNText"/>
              <w:rPr>
                <w:rFonts w:asciiTheme="majorHAnsi" w:hAnsiTheme="majorHAnsi" w:cstheme="majorHAnsi"/>
                <w:lang w:eastAsia="en-AU"/>
              </w:rPr>
            </w:pPr>
            <w:r w:rsidRPr="004523AB">
              <w:rPr>
                <w:lang w:eastAsia="en-AU"/>
              </w:rPr>
              <w:t>Minor improvement</w:t>
            </w:r>
          </w:p>
        </w:tc>
        <w:tc>
          <w:tcPr>
            <w:tcW w:w="2230" w:type="dxa"/>
          </w:tcPr>
          <w:p w14:paraId="6F9F9985" w14:textId="2DF905CC" w:rsidR="000B222C" w:rsidRPr="004523AB" w:rsidRDefault="000B222C" w:rsidP="007D356A">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eastAsia="en-AU"/>
              </w:rPr>
            </w:pPr>
            <w:r w:rsidRPr="004523AB">
              <w:rPr>
                <w:lang w:eastAsia="en-AU"/>
              </w:rPr>
              <w:t>444 (11.5</w:t>
            </w:r>
            <w:r w:rsidR="00DA3717" w:rsidRPr="004523AB">
              <w:rPr>
                <w:lang w:eastAsia="en-AU"/>
              </w:rPr>
              <w:t xml:space="preserve"> per cent</w:t>
            </w:r>
            <w:r w:rsidRPr="004523AB">
              <w:rPr>
                <w:lang w:eastAsia="en-AU"/>
              </w:rPr>
              <w:t>)</w:t>
            </w:r>
          </w:p>
        </w:tc>
        <w:tc>
          <w:tcPr>
            <w:tcW w:w="2230" w:type="dxa"/>
          </w:tcPr>
          <w:p w14:paraId="58D16A6B" w14:textId="200C13BC" w:rsidR="000B222C" w:rsidRPr="004523AB" w:rsidRDefault="000B222C" w:rsidP="007D356A">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eastAsia="en-AU"/>
              </w:rPr>
            </w:pPr>
            <w:r w:rsidRPr="004523AB">
              <w:rPr>
                <w:lang w:eastAsia="en-AU"/>
              </w:rPr>
              <w:t>110 (13.2</w:t>
            </w:r>
            <w:r w:rsidR="00826C9D" w:rsidRPr="004523AB">
              <w:rPr>
                <w:lang w:eastAsia="en-AU"/>
              </w:rPr>
              <w:t xml:space="preserve"> per cent</w:t>
            </w:r>
            <w:r w:rsidRPr="004523AB">
              <w:rPr>
                <w:lang w:eastAsia="en-AU"/>
              </w:rPr>
              <w:t>)</w:t>
            </w:r>
          </w:p>
        </w:tc>
        <w:tc>
          <w:tcPr>
            <w:tcW w:w="2230" w:type="dxa"/>
          </w:tcPr>
          <w:p w14:paraId="74EC624F" w14:textId="4DF91F15" w:rsidR="000B222C" w:rsidRPr="004523AB" w:rsidRDefault="000B222C" w:rsidP="007D356A">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eastAsia="en-AU"/>
              </w:rPr>
            </w:pPr>
            <w:r w:rsidRPr="004523AB">
              <w:rPr>
                <w:lang w:eastAsia="en-AU"/>
              </w:rPr>
              <w:t>24 (16.6</w:t>
            </w:r>
            <w:r w:rsidR="00826C9D" w:rsidRPr="004523AB">
              <w:rPr>
                <w:lang w:eastAsia="en-AU"/>
              </w:rPr>
              <w:t xml:space="preserve"> per cent</w:t>
            </w:r>
            <w:r w:rsidRPr="004523AB">
              <w:rPr>
                <w:lang w:eastAsia="en-AU"/>
              </w:rPr>
              <w:t>)</w:t>
            </w:r>
          </w:p>
        </w:tc>
      </w:tr>
      <w:tr w:rsidR="000B222C" w:rsidRPr="004523AB" w14:paraId="2DF747B0" w14:textId="77777777" w:rsidTr="007D356A">
        <w:tc>
          <w:tcPr>
            <w:cnfStyle w:val="001000000000" w:firstRow="0" w:lastRow="0" w:firstColumn="1" w:lastColumn="0" w:oddVBand="0" w:evenVBand="0" w:oddHBand="0" w:evenHBand="0" w:firstRowFirstColumn="0" w:firstRowLastColumn="0" w:lastRowFirstColumn="0" w:lastRowLastColumn="0"/>
            <w:tcW w:w="2230" w:type="dxa"/>
          </w:tcPr>
          <w:p w14:paraId="12C6C16D" w14:textId="7148F13A" w:rsidR="000B222C" w:rsidRPr="004523AB" w:rsidRDefault="000B222C" w:rsidP="007D356A">
            <w:pPr>
              <w:pStyle w:val="TableNText"/>
              <w:rPr>
                <w:rFonts w:asciiTheme="majorHAnsi" w:hAnsiTheme="majorHAnsi" w:cstheme="majorHAnsi"/>
                <w:lang w:eastAsia="en-AU"/>
              </w:rPr>
            </w:pPr>
            <w:r w:rsidRPr="004523AB">
              <w:rPr>
                <w:lang w:eastAsia="en-AU"/>
              </w:rPr>
              <w:lastRenderedPageBreak/>
              <w:t>Moderate improvement</w:t>
            </w:r>
          </w:p>
        </w:tc>
        <w:tc>
          <w:tcPr>
            <w:tcW w:w="2230" w:type="dxa"/>
          </w:tcPr>
          <w:p w14:paraId="6DF71C68" w14:textId="2EDF5C40" w:rsidR="000B222C" w:rsidRPr="004523AB" w:rsidRDefault="000B222C" w:rsidP="007D356A">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eastAsia="en-AU"/>
              </w:rPr>
            </w:pPr>
            <w:r w:rsidRPr="004523AB">
              <w:rPr>
                <w:lang w:eastAsia="en-AU"/>
              </w:rPr>
              <w:t>636 (16.5</w:t>
            </w:r>
            <w:r w:rsidR="00DA3717" w:rsidRPr="004523AB">
              <w:rPr>
                <w:lang w:eastAsia="en-AU"/>
              </w:rPr>
              <w:t xml:space="preserve"> per cent</w:t>
            </w:r>
            <w:r w:rsidRPr="004523AB">
              <w:rPr>
                <w:lang w:eastAsia="en-AU"/>
              </w:rPr>
              <w:t>)</w:t>
            </w:r>
          </w:p>
        </w:tc>
        <w:tc>
          <w:tcPr>
            <w:tcW w:w="2230" w:type="dxa"/>
          </w:tcPr>
          <w:p w14:paraId="3C09A942" w14:textId="7C8A212E" w:rsidR="000B222C" w:rsidRPr="004523AB" w:rsidRDefault="000B222C" w:rsidP="007D356A">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eastAsia="en-AU"/>
              </w:rPr>
            </w:pPr>
            <w:r w:rsidRPr="004523AB">
              <w:rPr>
                <w:lang w:eastAsia="en-AU"/>
              </w:rPr>
              <w:t>156 (18.7</w:t>
            </w:r>
            <w:r w:rsidR="00826C9D" w:rsidRPr="004523AB">
              <w:rPr>
                <w:lang w:eastAsia="en-AU"/>
              </w:rPr>
              <w:t xml:space="preserve"> per cent</w:t>
            </w:r>
            <w:r w:rsidRPr="004523AB">
              <w:rPr>
                <w:lang w:eastAsia="en-AU"/>
              </w:rPr>
              <w:t>)</w:t>
            </w:r>
          </w:p>
        </w:tc>
        <w:tc>
          <w:tcPr>
            <w:tcW w:w="2230" w:type="dxa"/>
          </w:tcPr>
          <w:p w14:paraId="59AF1CF8" w14:textId="40E20CD5" w:rsidR="000B222C" w:rsidRPr="004523AB" w:rsidRDefault="000B222C" w:rsidP="007D356A">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eastAsia="en-AU"/>
              </w:rPr>
            </w:pPr>
            <w:r w:rsidRPr="004523AB">
              <w:rPr>
                <w:lang w:eastAsia="en-AU"/>
              </w:rPr>
              <w:t>22 (15.2</w:t>
            </w:r>
            <w:r w:rsidR="00826C9D" w:rsidRPr="004523AB">
              <w:rPr>
                <w:lang w:eastAsia="en-AU"/>
              </w:rPr>
              <w:t xml:space="preserve"> per cent) </w:t>
            </w:r>
          </w:p>
        </w:tc>
      </w:tr>
      <w:tr w:rsidR="000B222C" w:rsidRPr="004523AB" w14:paraId="5FEC2AE7" w14:textId="77777777" w:rsidTr="007D356A">
        <w:tc>
          <w:tcPr>
            <w:cnfStyle w:val="001000000000" w:firstRow="0" w:lastRow="0" w:firstColumn="1" w:lastColumn="0" w:oddVBand="0" w:evenVBand="0" w:oddHBand="0" w:evenHBand="0" w:firstRowFirstColumn="0" w:firstRowLastColumn="0" w:lastRowFirstColumn="0" w:lastRowLastColumn="0"/>
            <w:tcW w:w="2230" w:type="dxa"/>
          </w:tcPr>
          <w:p w14:paraId="0285EC81" w14:textId="3441D9F2" w:rsidR="000B222C" w:rsidRPr="004523AB" w:rsidRDefault="000B222C" w:rsidP="007D356A">
            <w:pPr>
              <w:pStyle w:val="TableNText"/>
              <w:rPr>
                <w:rFonts w:asciiTheme="majorHAnsi" w:hAnsiTheme="majorHAnsi" w:cstheme="majorHAnsi"/>
                <w:lang w:eastAsia="en-AU"/>
              </w:rPr>
            </w:pPr>
            <w:r w:rsidRPr="004523AB">
              <w:rPr>
                <w:lang w:eastAsia="en-AU"/>
              </w:rPr>
              <w:t>Significant improvement</w:t>
            </w:r>
          </w:p>
        </w:tc>
        <w:tc>
          <w:tcPr>
            <w:tcW w:w="2230" w:type="dxa"/>
          </w:tcPr>
          <w:p w14:paraId="66CEC1DD" w14:textId="3B77B645" w:rsidR="000B222C" w:rsidRPr="004523AB" w:rsidRDefault="000B222C" w:rsidP="007D356A">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eastAsia="en-AU"/>
              </w:rPr>
            </w:pPr>
            <w:r w:rsidRPr="004523AB">
              <w:rPr>
                <w:lang w:eastAsia="en-AU"/>
              </w:rPr>
              <w:t>997 (25.8</w:t>
            </w:r>
            <w:r w:rsidR="00DA3717" w:rsidRPr="004523AB">
              <w:rPr>
                <w:lang w:eastAsia="en-AU"/>
              </w:rPr>
              <w:t xml:space="preserve"> per cent</w:t>
            </w:r>
            <w:r w:rsidRPr="004523AB">
              <w:rPr>
                <w:lang w:eastAsia="en-AU"/>
              </w:rPr>
              <w:t>)</w:t>
            </w:r>
          </w:p>
        </w:tc>
        <w:tc>
          <w:tcPr>
            <w:tcW w:w="2230" w:type="dxa"/>
          </w:tcPr>
          <w:p w14:paraId="24F0338D" w14:textId="46AA7F3E" w:rsidR="000B222C" w:rsidRPr="004523AB" w:rsidRDefault="000B222C" w:rsidP="007D356A">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eastAsia="en-AU"/>
              </w:rPr>
            </w:pPr>
            <w:r w:rsidRPr="004523AB">
              <w:rPr>
                <w:lang w:eastAsia="en-AU"/>
              </w:rPr>
              <w:t>210 (25.1</w:t>
            </w:r>
            <w:r w:rsidR="00826C9D" w:rsidRPr="004523AB">
              <w:rPr>
                <w:lang w:eastAsia="en-AU"/>
              </w:rPr>
              <w:t xml:space="preserve"> per cent</w:t>
            </w:r>
            <w:r w:rsidRPr="004523AB">
              <w:rPr>
                <w:lang w:eastAsia="en-AU"/>
              </w:rPr>
              <w:t>)</w:t>
            </w:r>
          </w:p>
        </w:tc>
        <w:tc>
          <w:tcPr>
            <w:tcW w:w="2230" w:type="dxa"/>
          </w:tcPr>
          <w:p w14:paraId="2DF660CC" w14:textId="284127EE" w:rsidR="000B222C" w:rsidRPr="004523AB" w:rsidRDefault="000B222C" w:rsidP="007D356A">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eastAsia="en-AU"/>
              </w:rPr>
            </w:pPr>
            <w:r w:rsidRPr="004523AB">
              <w:rPr>
                <w:lang w:eastAsia="en-AU"/>
              </w:rPr>
              <w:t>70 (48.3</w:t>
            </w:r>
            <w:r w:rsidR="00826C9D" w:rsidRPr="004523AB">
              <w:rPr>
                <w:lang w:eastAsia="en-AU"/>
              </w:rPr>
              <w:t xml:space="preserve"> per cent</w:t>
            </w:r>
            <w:r w:rsidRPr="004523AB">
              <w:rPr>
                <w:lang w:eastAsia="en-AU"/>
              </w:rPr>
              <w:t>)</w:t>
            </w:r>
          </w:p>
        </w:tc>
      </w:tr>
      <w:tr w:rsidR="000B222C" w:rsidRPr="004523AB" w14:paraId="5057938D" w14:textId="77777777" w:rsidTr="007D356A">
        <w:tc>
          <w:tcPr>
            <w:cnfStyle w:val="001000000000" w:firstRow="0" w:lastRow="0" w:firstColumn="1" w:lastColumn="0" w:oddVBand="0" w:evenVBand="0" w:oddHBand="0" w:evenHBand="0" w:firstRowFirstColumn="0" w:firstRowLastColumn="0" w:lastRowFirstColumn="0" w:lastRowLastColumn="0"/>
            <w:tcW w:w="2230" w:type="dxa"/>
          </w:tcPr>
          <w:p w14:paraId="0236D3FC" w14:textId="0E7C8964" w:rsidR="000B222C" w:rsidRPr="004523AB" w:rsidRDefault="000B222C" w:rsidP="007D356A">
            <w:pPr>
              <w:pStyle w:val="TableNText"/>
              <w:rPr>
                <w:rFonts w:asciiTheme="majorHAnsi" w:hAnsiTheme="majorHAnsi" w:cstheme="majorHAnsi"/>
                <w:lang w:eastAsia="en-AU"/>
              </w:rPr>
            </w:pPr>
            <w:r w:rsidRPr="004523AB">
              <w:rPr>
                <w:lang w:eastAsia="en-AU"/>
              </w:rPr>
              <w:t>No response</w:t>
            </w:r>
          </w:p>
        </w:tc>
        <w:tc>
          <w:tcPr>
            <w:tcW w:w="2230" w:type="dxa"/>
          </w:tcPr>
          <w:p w14:paraId="0C6F2BE3" w14:textId="18BF6C2C" w:rsidR="000B222C" w:rsidRPr="004523AB" w:rsidRDefault="000B222C" w:rsidP="007D356A">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eastAsia="en-AU"/>
              </w:rPr>
            </w:pPr>
            <w:r w:rsidRPr="004523AB">
              <w:rPr>
                <w:lang w:eastAsia="en-AU"/>
              </w:rPr>
              <w:t>81 (2.1</w:t>
            </w:r>
            <w:r w:rsidR="00DA3717" w:rsidRPr="004523AB">
              <w:rPr>
                <w:lang w:eastAsia="en-AU"/>
              </w:rPr>
              <w:t xml:space="preserve"> per cent</w:t>
            </w:r>
            <w:r w:rsidRPr="004523AB">
              <w:rPr>
                <w:lang w:eastAsia="en-AU"/>
              </w:rPr>
              <w:t>)</w:t>
            </w:r>
          </w:p>
        </w:tc>
        <w:tc>
          <w:tcPr>
            <w:tcW w:w="2230" w:type="dxa"/>
          </w:tcPr>
          <w:p w14:paraId="1FF365EE" w14:textId="466667C5" w:rsidR="000B222C" w:rsidRPr="004523AB" w:rsidRDefault="000B222C" w:rsidP="007D356A">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eastAsia="en-AU"/>
              </w:rPr>
            </w:pPr>
            <w:r w:rsidRPr="004523AB">
              <w:rPr>
                <w:lang w:eastAsia="en-AU"/>
              </w:rPr>
              <w:t>20 (2.4</w:t>
            </w:r>
            <w:r w:rsidR="00826C9D" w:rsidRPr="004523AB">
              <w:rPr>
                <w:lang w:eastAsia="en-AU"/>
              </w:rPr>
              <w:t xml:space="preserve"> per cent</w:t>
            </w:r>
            <w:r w:rsidRPr="004523AB">
              <w:rPr>
                <w:lang w:eastAsia="en-AU"/>
              </w:rPr>
              <w:t>)</w:t>
            </w:r>
          </w:p>
        </w:tc>
        <w:tc>
          <w:tcPr>
            <w:tcW w:w="2230" w:type="dxa"/>
          </w:tcPr>
          <w:p w14:paraId="579A2A5A" w14:textId="05C05145" w:rsidR="000B222C" w:rsidRPr="004523AB" w:rsidRDefault="000B222C" w:rsidP="007D356A">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eastAsia="en-AU"/>
              </w:rPr>
            </w:pPr>
            <w:r w:rsidRPr="004523AB">
              <w:rPr>
                <w:lang w:eastAsia="en-AU"/>
              </w:rPr>
              <w:t>2 (1.4</w:t>
            </w:r>
            <w:r w:rsidR="00826C9D" w:rsidRPr="004523AB">
              <w:rPr>
                <w:lang w:eastAsia="en-AU"/>
              </w:rPr>
              <w:t xml:space="preserve"> per cent)</w:t>
            </w:r>
          </w:p>
        </w:tc>
      </w:tr>
    </w:tbl>
    <w:p w14:paraId="616E02D1" w14:textId="77777777" w:rsidR="002852E6" w:rsidRPr="0099313E" w:rsidRDefault="002852E6" w:rsidP="0099313E">
      <w:pPr>
        <w:rPr>
          <w:rStyle w:val="Strong"/>
        </w:rPr>
      </w:pPr>
      <w:r w:rsidRPr="0099313E">
        <w:rPr>
          <w:rStyle w:val="Strong"/>
        </w:rPr>
        <w:t xml:space="preserve">A one-time $25K grant may not provide a sustainable solution for practices to maintain or achieve accreditation </w:t>
      </w:r>
    </w:p>
    <w:p w14:paraId="546EF978" w14:textId="77777777" w:rsidR="002852E6" w:rsidRPr="004523AB" w:rsidRDefault="002852E6" w:rsidP="00E90538">
      <w:r w:rsidRPr="004523AB">
        <w:t>The accreditation process prompts practices to enhance and maintain their safety and quality standards to achieve compliance. Additionally, accreditation enables practices to access additional payments, such as the Practice Incentives Program Quality Improvement Incentive (</w:t>
      </w:r>
      <w:proofErr w:type="spellStart"/>
      <w:r w:rsidRPr="004523AB">
        <w:t>PiP</w:t>
      </w:r>
      <w:proofErr w:type="spellEnd"/>
      <w:r w:rsidRPr="004523AB">
        <w:t xml:space="preserve"> QI), that supports continuous quality improvement activities and provides confidence to practices and their communities that they are delivering safe and quality primary care.</w:t>
      </w:r>
    </w:p>
    <w:p w14:paraId="40655FDD" w14:textId="77777777" w:rsidR="002852E6" w:rsidRPr="004523AB" w:rsidRDefault="002852E6" w:rsidP="00E90538">
      <w:r w:rsidRPr="004523AB">
        <w:t>PHNs and practices were mostly supportive of the accreditation stream, emphasising that accreditation is a major priority and expense for practices. Several practices expressed gratitude for the accreditation support, stating that the grant was pivotal in enabling them to attain or maintain accreditation. Practices expressed that they valued support to maintain or achieve accreditation not only to retain access to funding which requires accreditation but also because it provided assurance and helped their confidence that they were delivering care with a high degree of clinical safety. One PHN also noted that the timing of the grant in conjunction with the introduction of MyMedicare support (which practices need to be accredited to access) was especially effective, as they could pool funding from both programs.</w:t>
      </w:r>
      <w:r w:rsidRPr="004523AB">
        <w:rPr>
          <w:rStyle w:val="FootnoteReference"/>
        </w:rPr>
        <w:footnoteReference w:id="18"/>
      </w:r>
      <w:r w:rsidRPr="004523AB">
        <w:t xml:space="preserve">  Despite universal acceptance that accreditation is a priority for practices, there were some mixed views across stakeholders on its suitability for a grant program, including: </w:t>
      </w:r>
    </w:p>
    <w:p w14:paraId="0C1B7103" w14:textId="77777777" w:rsidR="002852E6" w:rsidRPr="004523AB" w:rsidRDefault="002852E6" w:rsidP="0099313E">
      <w:pPr>
        <w:pStyle w:val="ListBullet"/>
      </w:pPr>
      <w:r w:rsidRPr="004523AB">
        <w:t xml:space="preserve">The relevance of the stream was dependent on the timing of a practice’s accreditation cycle. This meant some practices reported this stream was very useful for them, whilst others who had just been through the accreditation process could not use it within the Program’s timeline. </w:t>
      </w:r>
    </w:p>
    <w:p w14:paraId="13CB3DC2" w14:textId="77777777" w:rsidR="002852E6" w:rsidRPr="004523AB" w:rsidRDefault="002852E6" w:rsidP="0099313E">
      <w:pPr>
        <w:pStyle w:val="ListBullet"/>
      </w:pPr>
      <w:r w:rsidRPr="004523AB">
        <w:t xml:space="preserve">Practices who found this stream most useful tended to use it on a combination of clinical equipment and workforce support to help cover the additional workload from the accreditation process. </w:t>
      </w:r>
    </w:p>
    <w:p w14:paraId="770D01C2" w14:textId="77777777" w:rsidR="002852E6" w:rsidRPr="004523AB" w:rsidDel="00D74A23" w:rsidRDefault="002852E6" w:rsidP="0099313E">
      <w:pPr>
        <w:pStyle w:val="ListBullet"/>
      </w:pPr>
      <w:r w:rsidRPr="004523AB" w:rsidDel="00D74A23">
        <w:t xml:space="preserve">Whilst most practices interviewed noted that they would have made the accreditation investments anyway, they valued that it took some of the financial and time pressure off the process. Similarly, PHN representatives felt that many practices already budget for spending required to maintain accreditation. </w:t>
      </w:r>
    </w:p>
    <w:p w14:paraId="490957DA" w14:textId="77777777" w:rsidR="002852E6" w:rsidRPr="004523AB" w:rsidRDefault="002852E6" w:rsidP="0099313E">
      <w:pPr>
        <w:pStyle w:val="ListBullet"/>
      </w:pPr>
      <w:r w:rsidRPr="004523AB">
        <w:lastRenderedPageBreak/>
        <w:t>For those not yet accredited, a one-off grant of this size is not likely to support them to achieve accreditation, and very few practices used the grant to achieve accreditation for the first time.</w:t>
      </w:r>
    </w:p>
    <w:p w14:paraId="067C2116" w14:textId="77777777" w:rsidR="002852E6" w:rsidRPr="004523AB" w:rsidRDefault="002852E6" w:rsidP="0099313E">
      <w:pPr>
        <w:pStyle w:val="ListBullet"/>
      </w:pPr>
      <w:r w:rsidRPr="004523AB">
        <w:t xml:space="preserve">A one-off grant may not prepare clinics for the ongoing costs of maintaining accreditation. </w:t>
      </w:r>
    </w:p>
    <w:p w14:paraId="630E0921" w14:textId="77777777" w:rsidR="002852E6" w:rsidRPr="004523AB" w:rsidRDefault="002852E6" w:rsidP="0099313E">
      <w:pPr>
        <w:pStyle w:val="ListBullet"/>
      </w:pPr>
      <w:r w:rsidRPr="004523AB">
        <w:t xml:space="preserve">Practices who found this stream most useful tended to use it on a combination of clinical equipment and workforce support to help cover the additional workload from the accreditation process. </w:t>
      </w:r>
    </w:p>
    <w:p w14:paraId="341B4B03" w14:textId="77777777" w:rsidR="00A65BEE" w:rsidRPr="0099313E" w:rsidRDefault="00A65BEE" w:rsidP="0099313E">
      <w:pPr>
        <w:rPr>
          <w:rStyle w:val="Strong"/>
        </w:rPr>
      </w:pPr>
      <w:r w:rsidRPr="0099313E">
        <w:rPr>
          <w:rStyle w:val="Strong"/>
        </w:rPr>
        <w:t xml:space="preserve">There was uptake of the infection prevention and control stream, despite feedback this need had already been funded recently, during the pandemic </w:t>
      </w:r>
    </w:p>
    <w:p w14:paraId="16198989" w14:textId="77777777" w:rsidR="00A65BEE" w:rsidRPr="004523AB" w:rsidRDefault="00A65BEE" w:rsidP="00A65BEE">
      <w:pPr>
        <w:rPr>
          <w:lang w:eastAsia="en-AU"/>
        </w:rPr>
      </w:pPr>
      <w:r w:rsidRPr="004523AB">
        <w:rPr>
          <w:lang w:eastAsia="en-AU"/>
        </w:rPr>
        <w:t xml:space="preserve">Infection prevention and control is critical to maintaining the safety of patients and clinicians. This grant provided an opportunity to make structural improvements to practices, such as upgrading ventilation or waiting rooms, which practices may not have otherwise been able to afford. </w:t>
      </w:r>
    </w:p>
    <w:p w14:paraId="6CBDFF45" w14:textId="77777777" w:rsidR="00A65BEE" w:rsidRPr="004523AB" w:rsidRDefault="00A65BEE" w:rsidP="00A65BEE">
      <w:pPr>
        <w:rPr>
          <w:b/>
        </w:rPr>
      </w:pPr>
      <w:r w:rsidRPr="004523AB">
        <w:rPr>
          <w:lang w:eastAsia="en-AU"/>
        </w:rPr>
        <w:t xml:space="preserve">Several PHN representatives, some practices and peak bodies felt that the infection prevention and control stream had become less relevant, as practices upgraded their equipment and implemented quality improvement during the pandemic. Whilst many practices did still spend some of their grant on this investment stream, it tended to be on smaller ad hoc purchases or renovations rather than strategic investments seen in the other two streams. One PHN representative suggested that this stream was less relevant because of the parallel Vulnerable Populations COVID-19 Vaccinations Program funded by the Department which provided grants to support the vaccination of at-risk cohorts. </w:t>
      </w:r>
      <w:r w:rsidRPr="004523AB">
        <w:t xml:space="preserve">Another noted that they received more questions from practices on what constituted eligible spending under this stream than the other two streams. As noted above, there was a much lower uptake of this investment stream by ACCHOs, with feedback provided by NACCHO that this need had already been met through previous grants during the COVID-19 pandemic response.  </w:t>
      </w:r>
    </w:p>
    <w:p w14:paraId="4FF6E43D" w14:textId="77777777" w:rsidR="00A65BEE" w:rsidRPr="0099313E" w:rsidRDefault="00A65BEE" w:rsidP="0099313E">
      <w:pPr>
        <w:rPr>
          <w:rStyle w:val="Strong"/>
        </w:rPr>
      </w:pPr>
      <w:r w:rsidRPr="0099313E">
        <w:rPr>
          <w:rStyle w:val="Strong"/>
        </w:rPr>
        <w:t xml:space="preserve">Program stakeholders identified additional challenges sitting outside the three investment streams </w:t>
      </w:r>
    </w:p>
    <w:p w14:paraId="4D9EE0D6" w14:textId="77777777" w:rsidR="00A65BEE" w:rsidRPr="004523AB" w:rsidRDefault="00A65BEE" w:rsidP="00A65BEE">
      <w:pPr>
        <w:rPr>
          <w:lang w:eastAsia="en-AU"/>
        </w:rPr>
      </w:pPr>
      <w:r w:rsidRPr="004523AB">
        <w:rPr>
          <w:lang w:eastAsia="en-AU"/>
        </w:rPr>
        <w:t xml:space="preserve">During consultations, peak bodies, general practitioners and practice managers reflected on challenges faced in primary care and general practice, beyond the three investment streams. Three key areas of need were identified by practices in interviews: workforce, MBS reform, and investment in preventative health. This reflects the broader financial challenges in the primary care landscape, and the need for ongoing and structural supports to maintain financial viability in the future.  </w:t>
      </w:r>
    </w:p>
    <w:p w14:paraId="63244210" w14:textId="5F9DE25F" w:rsidR="002376B8" w:rsidRPr="004523AB" w:rsidRDefault="00A65BEE" w:rsidP="00A65BEE">
      <w:pPr>
        <w:rPr>
          <w:lang w:eastAsia="en-AU"/>
        </w:rPr>
      </w:pPr>
      <w:r w:rsidRPr="004523AB">
        <w:rPr>
          <w:lang w:eastAsia="en-AU"/>
        </w:rPr>
        <w:t xml:space="preserve">The areas of focus consistently highlighted by PHN representatives were similar to those raised by grant recipients Including workforce, staff training and education, innovative models of care, targeted support for priority population communities and integrated care (as summarised in </w:t>
      </w:r>
      <w:r w:rsidR="00C44E31" w:rsidRPr="004523AB">
        <w:rPr>
          <w:highlight w:val="yellow"/>
          <w:lang w:eastAsia="en-AU"/>
        </w:rPr>
        <w:fldChar w:fldCharType="begin"/>
      </w:r>
      <w:r w:rsidR="00C44E31" w:rsidRPr="004523AB">
        <w:rPr>
          <w:lang w:eastAsia="en-AU"/>
        </w:rPr>
        <w:instrText xml:space="preserve"> REF _Ref184908531 \h </w:instrText>
      </w:r>
      <w:r w:rsidR="004523AB" w:rsidRPr="004523AB">
        <w:rPr>
          <w:highlight w:val="yellow"/>
          <w:lang w:eastAsia="en-AU"/>
        </w:rPr>
        <w:instrText xml:space="preserve"> \* MERGEFORMAT </w:instrText>
      </w:r>
      <w:r w:rsidR="00C44E31" w:rsidRPr="004523AB">
        <w:rPr>
          <w:highlight w:val="yellow"/>
          <w:lang w:eastAsia="en-AU"/>
        </w:rPr>
      </w:r>
      <w:r w:rsidR="00C44E31" w:rsidRPr="004523AB">
        <w:rPr>
          <w:highlight w:val="yellow"/>
          <w:lang w:eastAsia="en-AU"/>
        </w:rPr>
        <w:fldChar w:fldCharType="separate"/>
      </w:r>
      <w:r w:rsidR="00B96E50" w:rsidRPr="004523AB">
        <w:t xml:space="preserve">Table </w:t>
      </w:r>
      <w:r w:rsidR="00B96E50">
        <w:rPr>
          <w:noProof/>
        </w:rPr>
        <w:t>12</w:t>
      </w:r>
      <w:r w:rsidR="00C44E31" w:rsidRPr="004523AB">
        <w:rPr>
          <w:highlight w:val="yellow"/>
          <w:lang w:eastAsia="en-AU"/>
        </w:rPr>
        <w:fldChar w:fldCharType="end"/>
      </w:r>
      <w:r w:rsidRPr="004523AB">
        <w:rPr>
          <w:lang w:eastAsia="en-AU"/>
        </w:rPr>
        <w:t>). PHN representatives recognised the alignment of some of these identified areas to existing investment streams but noted the value of specifically identifying them in recognition of their importance.</w:t>
      </w:r>
    </w:p>
    <w:p w14:paraId="0186B6EA" w14:textId="77777777" w:rsidR="002376B8" w:rsidRPr="004523AB" w:rsidRDefault="002376B8">
      <w:pPr>
        <w:spacing w:after="165" w:line="259" w:lineRule="auto"/>
        <w:rPr>
          <w:lang w:eastAsia="en-AU"/>
        </w:rPr>
      </w:pPr>
      <w:r w:rsidRPr="004523AB">
        <w:rPr>
          <w:lang w:eastAsia="en-AU"/>
        </w:rPr>
        <w:br w:type="page"/>
      </w:r>
    </w:p>
    <w:p w14:paraId="6F9C68CE" w14:textId="77777777" w:rsidR="00B54CDD" w:rsidRPr="004523AB" w:rsidRDefault="00B54CDD" w:rsidP="0097434E">
      <w:pPr>
        <w:rPr>
          <w:rFonts w:asciiTheme="majorHAnsi" w:hAnsiTheme="majorHAnsi" w:cstheme="majorHAnsi"/>
          <w:color w:val="FF3A40" w:themeColor="accent1"/>
          <w:szCs w:val="21"/>
          <w:lang w:eastAsia="en-AU"/>
        </w:rPr>
        <w:sectPr w:rsidR="00B54CDD" w:rsidRPr="004523AB" w:rsidSect="00FD47AE">
          <w:pgSz w:w="11907" w:h="16839" w:code="9"/>
          <w:pgMar w:top="1247" w:right="1418" w:bottom="1701" w:left="1559" w:header="720" w:footer="720" w:gutter="0"/>
          <w:cols w:space="720"/>
          <w:titlePg/>
          <w:docGrid w:linePitch="360"/>
        </w:sectPr>
      </w:pPr>
    </w:p>
    <w:p w14:paraId="46AE3C4B" w14:textId="57CE8FFC" w:rsidR="00425B87" w:rsidRPr="004523AB" w:rsidRDefault="00425B87" w:rsidP="00425B87">
      <w:pPr>
        <w:pStyle w:val="Caption"/>
      </w:pPr>
      <w:bookmarkStart w:id="34" w:name="_Ref184908531"/>
      <w:r w:rsidRPr="004523AB">
        <w:lastRenderedPageBreak/>
        <w:t xml:space="preserve">Table </w:t>
      </w:r>
      <w:r w:rsidRPr="004523AB">
        <w:fldChar w:fldCharType="begin"/>
      </w:r>
      <w:r w:rsidRPr="004523AB">
        <w:instrText xml:space="preserve"> SEQ Table \* ARABIC </w:instrText>
      </w:r>
      <w:r w:rsidRPr="004523AB">
        <w:fldChar w:fldCharType="separate"/>
      </w:r>
      <w:r w:rsidR="00B96E50">
        <w:rPr>
          <w:noProof/>
        </w:rPr>
        <w:t>12</w:t>
      </w:r>
      <w:r w:rsidRPr="004523AB">
        <w:fldChar w:fldCharType="end"/>
      </w:r>
      <w:bookmarkEnd w:id="34"/>
      <w:r w:rsidRPr="004523AB">
        <w:t xml:space="preserve"> | </w:t>
      </w:r>
      <w:r w:rsidR="00427733" w:rsidRPr="004523AB">
        <w:t>Identified priorities of practice need (n= number of PHNs identifying the area of need)</w:t>
      </w:r>
    </w:p>
    <w:tbl>
      <w:tblPr>
        <w:tblStyle w:val="AccessibleNousTable"/>
        <w:tblW w:w="0" w:type="auto"/>
        <w:tblLook w:val="04A0" w:firstRow="1" w:lastRow="0" w:firstColumn="1" w:lastColumn="0" w:noHBand="0" w:noVBand="1"/>
      </w:tblPr>
      <w:tblGrid>
        <w:gridCol w:w="2257"/>
        <w:gridCol w:w="2558"/>
        <w:gridCol w:w="2693"/>
        <w:gridCol w:w="2126"/>
        <w:gridCol w:w="1961"/>
        <w:gridCol w:w="2259"/>
      </w:tblGrid>
      <w:tr w:rsidR="0097434E" w:rsidRPr="004523AB" w14:paraId="72C8A835" w14:textId="77777777" w:rsidTr="0099313E">
        <w:trPr>
          <w:cnfStyle w:val="100000000000" w:firstRow="1" w:lastRow="0" w:firstColumn="0" w:lastColumn="0" w:oddVBand="0" w:evenVBand="0" w:oddHBand="0" w:evenHBand="0" w:firstRowFirstColumn="0" w:firstRowLastColumn="0" w:lastRowFirstColumn="0" w:lastRowLastColumn="0"/>
          <w:trHeight w:val="1351"/>
          <w:tblHeader/>
        </w:trPr>
        <w:tc>
          <w:tcPr>
            <w:tcW w:w="2257" w:type="dxa"/>
          </w:tcPr>
          <w:p w14:paraId="15F1E875" w14:textId="77777777" w:rsidR="0097434E" w:rsidRPr="004523AB" w:rsidRDefault="0097434E" w:rsidP="007D356A">
            <w:pPr>
              <w:pStyle w:val="TableNheader"/>
              <w:rPr>
                <w:lang w:eastAsia="en-AU"/>
              </w:rPr>
            </w:pPr>
            <w:r w:rsidRPr="004523AB">
              <w:rPr>
                <w:lang w:eastAsia="en-AU"/>
              </w:rPr>
              <w:t>Workforce</w:t>
            </w:r>
          </w:p>
          <w:p w14:paraId="5EBBA1E3" w14:textId="7C6F81A7" w:rsidR="0097434E" w:rsidRPr="004523AB" w:rsidRDefault="0097434E" w:rsidP="007D356A">
            <w:pPr>
              <w:pStyle w:val="TableNheader"/>
              <w:rPr>
                <w:lang w:eastAsia="en-AU"/>
              </w:rPr>
            </w:pPr>
            <w:r w:rsidRPr="004523AB">
              <w:rPr>
                <w:lang w:eastAsia="en-AU"/>
              </w:rPr>
              <w:t>(n=20)</w:t>
            </w:r>
          </w:p>
        </w:tc>
        <w:tc>
          <w:tcPr>
            <w:tcW w:w="2558" w:type="dxa"/>
          </w:tcPr>
          <w:p w14:paraId="7694CE53" w14:textId="77777777" w:rsidR="0097434E" w:rsidRPr="004523AB" w:rsidRDefault="0097434E" w:rsidP="007D356A">
            <w:pPr>
              <w:pStyle w:val="TableNheader"/>
              <w:rPr>
                <w:lang w:eastAsia="en-AU"/>
              </w:rPr>
            </w:pPr>
            <w:r w:rsidRPr="004523AB">
              <w:rPr>
                <w:lang w:eastAsia="en-AU"/>
              </w:rPr>
              <w:t>Staff training and education</w:t>
            </w:r>
          </w:p>
          <w:p w14:paraId="5F3E61BF" w14:textId="45BC4A53" w:rsidR="0097434E" w:rsidRPr="004523AB" w:rsidRDefault="0097434E" w:rsidP="007D356A">
            <w:pPr>
              <w:pStyle w:val="TableNheader"/>
              <w:rPr>
                <w:lang w:eastAsia="en-AU"/>
              </w:rPr>
            </w:pPr>
            <w:r w:rsidRPr="004523AB">
              <w:rPr>
                <w:lang w:eastAsia="en-AU"/>
              </w:rPr>
              <w:t>(n=15)</w:t>
            </w:r>
          </w:p>
        </w:tc>
        <w:tc>
          <w:tcPr>
            <w:tcW w:w="2693" w:type="dxa"/>
          </w:tcPr>
          <w:p w14:paraId="5D2FEE98" w14:textId="77777777" w:rsidR="0097434E" w:rsidRPr="004523AB" w:rsidRDefault="0097434E" w:rsidP="007D356A">
            <w:pPr>
              <w:pStyle w:val="TableNheader"/>
              <w:rPr>
                <w:lang w:eastAsia="en-AU"/>
              </w:rPr>
            </w:pPr>
            <w:r w:rsidRPr="004523AB">
              <w:rPr>
                <w:lang w:eastAsia="en-AU"/>
              </w:rPr>
              <w:t>Business viability and sustainability</w:t>
            </w:r>
          </w:p>
          <w:p w14:paraId="7738C5E2" w14:textId="12E12FB6" w:rsidR="0097434E" w:rsidRPr="004523AB" w:rsidRDefault="0097434E" w:rsidP="007D356A">
            <w:pPr>
              <w:pStyle w:val="TableNheader"/>
              <w:rPr>
                <w:lang w:eastAsia="en-AU"/>
              </w:rPr>
            </w:pPr>
            <w:r w:rsidRPr="004523AB">
              <w:rPr>
                <w:lang w:eastAsia="en-AU"/>
              </w:rPr>
              <w:t>(n=14)</w:t>
            </w:r>
          </w:p>
        </w:tc>
        <w:tc>
          <w:tcPr>
            <w:tcW w:w="2126" w:type="dxa"/>
          </w:tcPr>
          <w:p w14:paraId="7DF8C230" w14:textId="77777777" w:rsidR="0097434E" w:rsidRPr="004523AB" w:rsidRDefault="0097434E" w:rsidP="007D356A">
            <w:pPr>
              <w:pStyle w:val="TableNheader"/>
              <w:rPr>
                <w:lang w:eastAsia="en-AU"/>
              </w:rPr>
            </w:pPr>
            <w:r w:rsidRPr="004523AB">
              <w:rPr>
                <w:lang w:eastAsia="en-AU"/>
              </w:rPr>
              <w:t>Priority populations</w:t>
            </w:r>
          </w:p>
          <w:p w14:paraId="580C65B6" w14:textId="4B3EAE30" w:rsidR="0097434E" w:rsidRPr="004523AB" w:rsidRDefault="0097434E" w:rsidP="007D356A">
            <w:pPr>
              <w:pStyle w:val="TableNheader"/>
              <w:rPr>
                <w:lang w:eastAsia="en-AU"/>
              </w:rPr>
            </w:pPr>
            <w:r w:rsidRPr="004523AB">
              <w:rPr>
                <w:lang w:eastAsia="en-AU"/>
              </w:rPr>
              <w:t>(n=10)</w:t>
            </w:r>
          </w:p>
        </w:tc>
        <w:tc>
          <w:tcPr>
            <w:tcW w:w="1961" w:type="dxa"/>
          </w:tcPr>
          <w:p w14:paraId="0C72CA53" w14:textId="77777777" w:rsidR="00404652" w:rsidRPr="004523AB" w:rsidRDefault="00404652" w:rsidP="007D356A">
            <w:pPr>
              <w:pStyle w:val="TableNheader"/>
              <w:rPr>
                <w:lang w:eastAsia="en-AU"/>
              </w:rPr>
            </w:pPr>
            <w:r w:rsidRPr="004523AB">
              <w:rPr>
                <w:lang w:eastAsia="en-AU"/>
              </w:rPr>
              <w:t>Innovative models of care</w:t>
            </w:r>
          </w:p>
          <w:p w14:paraId="6EA6E5A2" w14:textId="2AC88D46" w:rsidR="0097434E" w:rsidRPr="004523AB" w:rsidRDefault="00404652" w:rsidP="007D356A">
            <w:pPr>
              <w:pStyle w:val="TableNheader"/>
              <w:rPr>
                <w:lang w:eastAsia="en-AU"/>
              </w:rPr>
            </w:pPr>
            <w:r w:rsidRPr="004523AB">
              <w:rPr>
                <w:szCs w:val="19"/>
                <w:lang w:eastAsia="en-AU"/>
              </w:rPr>
              <w:t>(n=9)</w:t>
            </w:r>
          </w:p>
        </w:tc>
        <w:tc>
          <w:tcPr>
            <w:tcW w:w="2259" w:type="dxa"/>
          </w:tcPr>
          <w:p w14:paraId="3143D29C" w14:textId="77777777" w:rsidR="002376B8" w:rsidRPr="004523AB" w:rsidRDefault="002376B8" w:rsidP="007D356A">
            <w:pPr>
              <w:pStyle w:val="TableNheader"/>
              <w:rPr>
                <w:lang w:eastAsia="en-AU"/>
              </w:rPr>
            </w:pPr>
            <w:r w:rsidRPr="004523AB">
              <w:rPr>
                <w:lang w:eastAsia="en-AU"/>
              </w:rPr>
              <w:t>Integrated and continuous care</w:t>
            </w:r>
          </w:p>
          <w:p w14:paraId="13C474FC" w14:textId="11F37288" w:rsidR="0097434E" w:rsidRPr="004523AB" w:rsidRDefault="002376B8" w:rsidP="007D356A">
            <w:pPr>
              <w:pStyle w:val="TableNheader"/>
              <w:rPr>
                <w:lang w:eastAsia="en-AU"/>
              </w:rPr>
            </w:pPr>
            <w:r w:rsidRPr="004523AB">
              <w:rPr>
                <w:szCs w:val="19"/>
                <w:lang w:eastAsia="en-AU"/>
              </w:rPr>
              <w:t>(n=9)</w:t>
            </w:r>
          </w:p>
        </w:tc>
      </w:tr>
      <w:tr w:rsidR="0097434E" w:rsidRPr="004523AB" w14:paraId="50CF272D" w14:textId="77777777" w:rsidTr="007D356A">
        <w:trPr>
          <w:trHeight w:val="1545"/>
        </w:trPr>
        <w:tc>
          <w:tcPr>
            <w:tcW w:w="2257" w:type="dxa"/>
          </w:tcPr>
          <w:p w14:paraId="28EAE5DB" w14:textId="77777777" w:rsidR="00C363A2" w:rsidRPr="004523AB" w:rsidRDefault="00C363A2" w:rsidP="00D5597B">
            <w:pPr>
              <w:pStyle w:val="TableNText"/>
              <w:rPr>
                <w:lang w:eastAsia="en-AU"/>
              </w:rPr>
            </w:pPr>
            <w:r w:rsidRPr="004523AB">
              <w:rPr>
                <w:lang w:eastAsia="en-AU"/>
              </w:rPr>
              <w:t>Workforce shortages especially in regional, rural and remote areas present a threat to the long-term sustainability of general practice. PHNs and practices suggested that support in this area could include resources to:</w:t>
            </w:r>
          </w:p>
          <w:p w14:paraId="5680C3D2" w14:textId="77777777" w:rsidR="00C363A2" w:rsidRPr="004523AB" w:rsidRDefault="00C363A2" w:rsidP="00F14D6F">
            <w:pPr>
              <w:pStyle w:val="TableNBullet"/>
              <w:rPr>
                <w:szCs w:val="21"/>
              </w:rPr>
            </w:pPr>
            <w:r w:rsidRPr="004523AB">
              <w:rPr>
                <w:szCs w:val="21"/>
              </w:rPr>
              <w:t>Support practices to employ medical assistants or improve retention rates.</w:t>
            </w:r>
          </w:p>
          <w:p w14:paraId="16E9F018" w14:textId="24E53126" w:rsidR="0097434E" w:rsidRPr="004523AB" w:rsidRDefault="00C363A2" w:rsidP="00F14D6F">
            <w:pPr>
              <w:pStyle w:val="TableNBullet"/>
            </w:pPr>
            <w:r w:rsidRPr="004523AB">
              <w:rPr>
                <w:szCs w:val="21"/>
              </w:rPr>
              <w:t xml:space="preserve">Bring specialist resources to </w:t>
            </w:r>
            <w:r w:rsidRPr="004523AB">
              <w:rPr>
                <w:szCs w:val="21"/>
              </w:rPr>
              <w:lastRenderedPageBreak/>
              <w:t>regional, rural and remote areas.</w:t>
            </w:r>
          </w:p>
        </w:tc>
        <w:tc>
          <w:tcPr>
            <w:tcW w:w="2558" w:type="dxa"/>
          </w:tcPr>
          <w:p w14:paraId="22863BC0" w14:textId="77777777" w:rsidR="00426CA8" w:rsidRPr="004523AB" w:rsidRDefault="00426CA8" w:rsidP="00D5597B">
            <w:pPr>
              <w:pStyle w:val="TableNText"/>
              <w:rPr>
                <w:szCs w:val="21"/>
                <w:lang w:eastAsia="en-AU"/>
              </w:rPr>
            </w:pPr>
            <w:r w:rsidRPr="00D5597B">
              <w:lastRenderedPageBreak/>
              <w:t>Training and education for staff can address the evolving demands of primary care and support with retention of staff. Suggestions for future focus areas included training for</w:t>
            </w:r>
            <w:r w:rsidRPr="004523AB">
              <w:rPr>
                <w:szCs w:val="21"/>
                <w:lang w:eastAsia="en-AU"/>
              </w:rPr>
              <w:t xml:space="preserve">: </w:t>
            </w:r>
          </w:p>
          <w:p w14:paraId="12AEF5CA" w14:textId="77777777" w:rsidR="00426CA8" w:rsidRPr="004523AB" w:rsidRDefault="00426CA8" w:rsidP="00F14D6F">
            <w:pPr>
              <w:pStyle w:val="TableNBullet"/>
              <w:rPr>
                <w:szCs w:val="21"/>
              </w:rPr>
            </w:pPr>
            <w:r w:rsidRPr="004523AB">
              <w:rPr>
                <w:szCs w:val="21"/>
              </w:rPr>
              <w:t xml:space="preserve">Professional development for clinical staff, including specialist training closely related to patient outcomes, e.g. wound specialists, pharmacists etc. </w:t>
            </w:r>
          </w:p>
          <w:p w14:paraId="5D181355" w14:textId="77777777" w:rsidR="00426CA8" w:rsidRPr="004523AB" w:rsidRDefault="00426CA8" w:rsidP="00F14D6F">
            <w:pPr>
              <w:pStyle w:val="TableNBullet"/>
              <w:rPr>
                <w:szCs w:val="21"/>
              </w:rPr>
            </w:pPr>
            <w:r w:rsidRPr="004523AB">
              <w:rPr>
                <w:szCs w:val="21"/>
              </w:rPr>
              <w:t xml:space="preserve">Digital capability uplift, including for practice staff to learn </w:t>
            </w:r>
            <w:r w:rsidRPr="004523AB">
              <w:rPr>
                <w:szCs w:val="21"/>
              </w:rPr>
              <w:lastRenderedPageBreak/>
              <w:t>how to use newly implemented systems.</w:t>
            </w:r>
          </w:p>
          <w:p w14:paraId="7FAA929F" w14:textId="77777777" w:rsidR="00426CA8" w:rsidRPr="004523AB" w:rsidRDefault="00426CA8" w:rsidP="00F14D6F">
            <w:pPr>
              <w:pStyle w:val="TableNBullet"/>
              <w:rPr>
                <w:szCs w:val="21"/>
              </w:rPr>
            </w:pPr>
            <w:r w:rsidRPr="004523AB">
              <w:rPr>
                <w:szCs w:val="21"/>
              </w:rPr>
              <w:t>Business skills such as business planning, workforce modelling, clinical governance and change management support.</w:t>
            </w:r>
          </w:p>
          <w:p w14:paraId="4DC7C96F" w14:textId="77777777" w:rsidR="00426CA8" w:rsidRPr="004523AB" w:rsidRDefault="00426CA8" w:rsidP="00F14D6F">
            <w:pPr>
              <w:pStyle w:val="TableNBullet"/>
              <w:rPr>
                <w:szCs w:val="21"/>
              </w:rPr>
            </w:pPr>
            <w:r w:rsidRPr="004523AB">
              <w:rPr>
                <w:szCs w:val="21"/>
              </w:rPr>
              <w:t>Cultural competency and general communication skills.</w:t>
            </w:r>
          </w:p>
          <w:p w14:paraId="27AC7F7E" w14:textId="048781EB" w:rsidR="0097434E" w:rsidRPr="004523AB" w:rsidRDefault="00426CA8" w:rsidP="00426CA8">
            <w:pPr>
              <w:rPr>
                <w:lang w:eastAsia="en-AU"/>
              </w:rPr>
            </w:pPr>
            <w:r w:rsidRPr="004523AB">
              <w:rPr>
                <w:szCs w:val="21"/>
                <w:lang w:eastAsia="en-AU"/>
              </w:rPr>
              <w:t xml:space="preserve">Some </w:t>
            </w:r>
            <w:r w:rsidRPr="00D5597B">
              <w:rPr>
                <w:rStyle w:val="TableNTextChar"/>
              </w:rPr>
              <w:t>practices spent their grants on staff training for digital capability uplift or accreditation; others weren’t aware they could spend it on training.</w:t>
            </w:r>
          </w:p>
        </w:tc>
        <w:tc>
          <w:tcPr>
            <w:tcW w:w="2693" w:type="dxa"/>
          </w:tcPr>
          <w:p w14:paraId="581BE250" w14:textId="77777777" w:rsidR="006329AA" w:rsidRPr="004523AB" w:rsidRDefault="006329AA" w:rsidP="00D5597B">
            <w:pPr>
              <w:pStyle w:val="TableNText"/>
              <w:rPr>
                <w:lang w:eastAsia="en-AU"/>
              </w:rPr>
            </w:pPr>
            <w:r w:rsidRPr="004523AB">
              <w:rPr>
                <w:lang w:eastAsia="en-AU"/>
              </w:rPr>
              <w:lastRenderedPageBreak/>
              <w:t xml:space="preserve">Business viability and sustainability emerged as a key challenge for clinics, including: </w:t>
            </w:r>
          </w:p>
          <w:p w14:paraId="40C5EFC7" w14:textId="77777777" w:rsidR="006329AA" w:rsidRPr="004523AB" w:rsidRDefault="006329AA" w:rsidP="00F14D6F">
            <w:pPr>
              <w:pStyle w:val="TableNBullet"/>
              <w:rPr>
                <w:szCs w:val="21"/>
              </w:rPr>
            </w:pPr>
            <w:r w:rsidRPr="004523AB">
              <w:rPr>
                <w:szCs w:val="21"/>
              </w:rPr>
              <w:t>Business continuity planning and capability building for business viability</w:t>
            </w:r>
          </w:p>
          <w:p w14:paraId="048C8CFF" w14:textId="77777777" w:rsidR="006329AA" w:rsidRPr="004523AB" w:rsidRDefault="006329AA" w:rsidP="00F14D6F">
            <w:pPr>
              <w:pStyle w:val="TableNBullet"/>
              <w:rPr>
                <w:szCs w:val="21"/>
              </w:rPr>
            </w:pPr>
            <w:r w:rsidRPr="004523AB">
              <w:rPr>
                <w:szCs w:val="21"/>
              </w:rPr>
              <w:t>innovative and efficient workforce models.</w:t>
            </w:r>
          </w:p>
          <w:p w14:paraId="1FA3D626" w14:textId="1F09D51A" w:rsidR="0097434E" w:rsidRPr="004523AB" w:rsidRDefault="006329AA" w:rsidP="006329AA">
            <w:pPr>
              <w:rPr>
                <w:lang w:eastAsia="en-AU"/>
              </w:rPr>
            </w:pPr>
            <w:r w:rsidRPr="004523AB">
              <w:rPr>
                <w:szCs w:val="21"/>
              </w:rPr>
              <w:t>Top-up to MBS items to increase business viability without additional financial pressures on patients.</w:t>
            </w:r>
          </w:p>
        </w:tc>
        <w:tc>
          <w:tcPr>
            <w:tcW w:w="2126" w:type="dxa"/>
          </w:tcPr>
          <w:p w14:paraId="6B5B2D52" w14:textId="0563408D" w:rsidR="0097434E" w:rsidRPr="004523AB" w:rsidRDefault="000114EB" w:rsidP="00D5597B">
            <w:pPr>
              <w:pStyle w:val="TableNText"/>
              <w:rPr>
                <w:lang w:eastAsia="en-AU"/>
              </w:rPr>
            </w:pPr>
            <w:r w:rsidRPr="004523AB">
              <w:rPr>
                <w:lang w:eastAsia="en-AU"/>
              </w:rPr>
              <w:t>Improving access for priority populations, including rural and remote communities. Support could enable practices to meet local community needs and enhance their support of priority populations. One PHN also proposed further support for the transition of health services to ACCHOs.</w:t>
            </w:r>
          </w:p>
        </w:tc>
        <w:tc>
          <w:tcPr>
            <w:tcW w:w="1961" w:type="dxa"/>
          </w:tcPr>
          <w:p w14:paraId="01EA44CE" w14:textId="77777777" w:rsidR="00B6286E" w:rsidRPr="004523AB" w:rsidRDefault="00B6286E" w:rsidP="00B6286E">
            <w:pPr>
              <w:rPr>
                <w:szCs w:val="21"/>
                <w:lang w:eastAsia="en-AU"/>
              </w:rPr>
            </w:pPr>
            <w:r w:rsidRPr="004523AB">
              <w:rPr>
                <w:szCs w:val="21"/>
                <w:lang w:eastAsia="en-AU"/>
              </w:rPr>
              <w:t>Opportunity to pilot new, best practice or innovative models of care, including:</w:t>
            </w:r>
          </w:p>
          <w:p w14:paraId="135E3741" w14:textId="77777777" w:rsidR="00B6286E" w:rsidRPr="004523AB" w:rsidRDefault="00B6286E" w:rsidP="00F14D6F">
            <w:pPr>
              <w:pStyle w:val="TableNBullet"/>
              <w:rPr>
                <w:szCs w:val="21"/>
              </w:rPr>
            </w:pPr>
            <w:r w:rsidRPr="004523AB">
              <w:rPr>
                <w:szCs w:val="21"/>
              </w:rPr>
              <w:t>Multidisciplinary teams and team-based models of care including nurse practitioner models.</w:t>
            </w:r>
          </w:p>
          <w:p w14:paraId="207A76BC" w14:textId="77777777" w:rsidR="00B6286E" w:rsidRPr="004523AB" w:rsidRDefault="00B6286E" w:rsidP="00F14D6F">
            <w:pPr>
              <w:pStyle w:val="TableNBullet"/>
              <w:rPr>
                <w:szCs w:val="21"/>
              </w:rPr>
            </w:pPr>
            <w:r w:rsidRPr="004523AB">
              <w:rPr>
                <w:szCs w:val="21"/>
              </w:rPr>
              <w:t>Alternative, more efficient workforce structures.</w:t>
            </w:r>
          </w:p>
          <w:p w14:paraId="23E68180" w14:textId="1529C4AB" w:rsidR="0097434E" w:rsidRPr="004523AB" w:rsidRDefault="00B6286E" w:rsidP="00D5597B">
            <w:pPr>
              <w:pStyle w:val="TableNText"/>
              <w:rPr>
                <w:lang w:eastAsia="en-AU"/>
              </w:rPr>
            </w:pPr>
            <w:r w:rsidRPr="004523AB">
              <w:t xml:space="preserve">Technological innovation, including within the scope </w:t>
            </w:r>
            <w:r w:rsidRPr="004523AB">
              <w:lastRenderedPageBreak/>
              <w:t>available to nurses.</w:t>
            </w:r>
          </w:p>
        </w:tc>
        <w:tc>
          <w:tcPr>
            <w:tcW w:w="2259" w:type="dxa"/>
          </w:tcPr>
          <w:p w14:paraId="7037D2B0" w14:textId="77777777" w:rsidR="00425B87" w:rsidRPr="004523AB" w:rsidRDefault="00425B87" w:rsidP="00425B87">
            <w:pPr>
              <w:rPr>
                <w:szCs w:val="21"/>
                <w:lang w:eastAsia="en-AU"/>
              </w:rPr>
            </w:pPr>
            <w:r w:rsidRPr="004523AB">
              <w:rPr>
                <w:szCs w:val="21"/>
                <w:lang w:eastAsia="en-AU"/>
              </w:rPr>
              <w:lastRenderedPageBreak/>
              <w:t>Opportunity to collaboratively support integrated and more continuous care, including:</w:t>
            </w:r>
          </w:p>
          <w:p w14:paraId="289AA8A5" w14:textId="77777777" w:rsidR="00425B87" w:rsidRPr="004523AB" w:rsidRDefault="00425B87" w:rsidP="00F14D6F">
            <w:pPr>
              <w:pStyle w:val="TableNBullet"/>
              <w:rPr>
                <w:szCs w:val="21"/>
              </w:rPr>
            </w:pPr>
            <w:r w:rsidRPr="004523AB">
              <w:rPr>
                <w:szCs w:val="21"/>
              </w:rPr>
              <w:t xml:space="preserve">Collaboration between practices and hospital and health services (HHS) in local regions to support </w:t>
            </w:r>
            <w:proofErr w:type="gramStart"/>
            <w:r w:rsidRPr="004523AB">
              <w:rPr>
                <w:szCs w:val="21"/>
              </w:rPr>
              <w:t>particular areas</w:t>
            </w:r>
            <w:proofErr w:type="gramEnd"/>
            <w:r w:rsidRPr="004523AB">
              <w:rPr>
                <w:szCs w:val="21"/>
              </w:rPr>
              <w:t xml:space="preserve"> of health, e.g. promoting shared care for obstetrics.</w:t>
            </w:r>
          </w:p>
          <w:p w14:paraId="50447B69" w14:textId="77777777" w:rsidR="00425B87" w:rsidRPr="004523AB" w:rsidRDefault="00425B87" w:rsidP="00F14D6F">
            <w:pPr>
              <w:pStyle w:val="TableNBullet"/>
              <w:rPr>
                <w:szCs w:val="21"/>
              </w:rPr>
            </w:pPr>
            <w:r w:rsidRPr="004523AB">
              <w:rPr>
                <w:szCs w:val="21"/>
              </w:rPr>
              <w:t>Integrated Indigenous healthcare.</w:t>
            </w:r>
          </w:p>
          <w:p w14:paraId="6E3F5132" w14:textId="77777777" w:rsidR="00425B87" w:rsidRPr="004523AB" w:rsidRDefault="00425B87" w:rsidP="00F14D6F">
            <w:pPr>
              <w:pStyle w:val="TableNBullet"/>
              <w:rPr>
                <w:szCs w:val="21"/>
              </w:rPr>
            </w:pPr>
            <w:r w:rsidRPr="004523AB">
              <w:rPr>
                <w:szCs w:val="21"/>
              </w:rPr>
              <w:t>Integration of digital systems.</w:t>
            </w:r>
          </w:p>
          <w:p w14:paraId="5D02D5C1" w14:textId="0E1AD424" w:rsidR="0097434E" w:rsidRPr="004523AB" w:rsidRDefault="00425B87" w:rsidP="00425B87">
            <w:pPr>
              <w:rPr>
                <w:lang w:eastAsia="en-AU"/>
              </w:rPr>
            </w:pPr>
            <w:r w:rsidRPr="004523AB">
              <w:rPr>
                <w:szCs w:val="21"/>
              </w:rPr>
              <w:lastRenderedPageBreak/>
              <w:t>Collaboration across practices for large digital solutions.</w:t>
            </w:r>
          </w:p>
        </w:tc>
      </w:tr>
    </w:tbl>
    <w:p w14:paraId="5E6D9C9F" w14:textId="77777777" w:rsidR="00B54CDD" w:rsidRPr="004523AB" w:rsidRDefault="00B54CDD" w:rsidP="00A65BEE">
      <w:pPr>
        <w:rPr>
          <w:lang w:eastAsia="en-AU"/>
        </w:rPr>
        <w:sectPr w:rsidR="00B54CDD" w:rsidRPr="004523AB" w:rsidSect="00B54CDD">
          <w:pgSz w:w="16839" w:h="11907" w:orient="landscape" w:code="9"/>
          <w:pgMar w:top="1559" w:right="1247" w:bottom="1418" w:left="1701" w:header="720" w:footer="720" w:gutter="0"/>
          <w:cols w:space="720"/>
          <w:titlePg/>
          <w:docGrid w:linePitch="360"/>
        </w:sectPr>
      </w:pPr>
    </w:p>
    <w:p w14:paraId="072D595F" w14:textId="77777777" w:rsidR="0083576A" w:rsidRPr="004523AB" w:rsidRDefault="0083576A" w:rsidP="00C44E31">
      <w:r w:rsidRPr="004523AB">
        <w:lastRenderedPageBreak/>
        <w:t>PHN representatives felt that the Program was well aligned to the Strengthening Medicare reform, including the focus of the Program on supporting practices to uplift primary care specifically around digital capability. Despite this, some felt links could have been more clearly drawn to help practices use the money effectively. For example, guidelines could have highlighted that the funding could be used to buy key pieces of equipment to meet changes in RACGP standards. Some PHNs felt that the $220M committed to the Program could have been used more effectively to support MBS reform.</w:t>
      </w:r>
    </w:p>
    <w:p w14:paraId="7F78E439" w14:textId="77777777" w:rsidR="003D485F" w:rsidRPr="004523AB" w:rsidRDefault="003D485F" w:rsidP="00C44E31">
      <w:r w:rsidRPr="004523AB">
        <w:t xml:space="preserve">One PHN suggested that the government could have provided larger grants for bigger, shared solutions such as subscriptions to digital platforms that could be shared by multiple practice and give them access to upgrades, they would otherwise be unable to afford. One group of practices pooled the money across multiple clinics to implement large IT upgrades, noting that the upgrades would have been significantly more expensive individually. </w:t>
      </w:r>
    </w:p>
    <w:p w14:paraId="6B9750FE" w14:textId="3C322D14" w:rsidR="007607AF" w:rsidRPr="004523AB" w:rsidRDefault="007607AF" w:rsidP="003162F1">
      <w:pPr>
        <w:pStyle w:val="Heading3"/>
      </w:pPr>
      <w:bookmarkStart w:id="35" w:name="_Ref181202945"/>
      <w:r w:rsidRPr="004523AB">
        <w:t>Engaging NACCHO in the early co-design of the Program would have helped create investment streams that better served ACCHO’s needs</w:t>
      </w:r>
      <w:bookmarkEnd w:id="35"/>
    </w:p>
    <w:p w14:paraId="063D06EA" w14:textId="77777777" w:rsidR="00BE1B75" w:rsidRPr="004523AB" w:rsidRDefault="00BE1B75" w:rsidP="003162F1">
      <w:r w:rsidRPr="004523AB">
        <w:t xml:space="preserve">NACCHO did not have a role in the early design of the Program’s investment streams, delivery or communication material. As a result, several aspects of the Program could have been more tailored to suit the needs of ACCHOs. NACCHO’s feedback was that although the investment streams were broadly appropriate, there was an opportunity for a more tailored and targeted approach, including: </w:t>
      </w:r>
    </w:p>
    <w:p w14:paraId="6E3EDFE6" w14:textId="77777777" w:rsidR="00BE1B75" w:rsidRPr="004523AB" w:rsidRDefault="00BE1B75" w:rsidP="0099313E">
      <w:pPr>
        <w:pStyle w:val="ListBullet"/>
      </w:pPr>
      <w:r w:rsidRPr="004523AB">
        <w:rPr>
          <w:rFonts w:asciiTheme="majorHAnsi" w:hAnsiTheme="majorHAnsi" w:cstheme="majorHAnsi"/>
        </w:rPr>
        <w:t>Enhancing digital health capability</w:t>
      </w:r>
      <w:r w:rsidRPr="004523AB">
        <w:t xml:space="preserve"> | Digital health was a key area of need, but there was missed potential for targeted investment around cyber security and interoperability. </w:t>
      </w:r>
    </w:p>
    <w:p w14:paraId="7D2070CA" w14:textId="77777777" w:rsidR="00BE1B75" w:rsidRPr="004523AB" w:rsidRDefault="00BE1B75" w:rsidP="0099313E">
      <w:pPr>
        <w:pStyle w:val="ListBullet"/>
      </w:pPr>
      <w:r w:rsidRPr="004523AB">
        <w:rPr>
          <w:rFonts w:asciiTheme="majorHAnsi" w:hAnsiTheme="majorHAnsi" w:cstheme="majorHAnsi"/>
        </w:rPr>
        <w:t>Upgrading infection prevention and control arrangements</w:t>
      </w:r>
      <w:r w:rsidRPr="004523AB">
        <w:t xml:space="preserve"> | Similar to practices, ACCHOs had already received funding for improving infection prevention control measures during COVID-19. As a result, this stream was less relevant for ACCHOs. </w:t>
      </w:r>
    </w:p>
    <w:p w14:paraId="6093E77F" w14:textId="77777777" w:rsidR="00BE1B75" w:rsidRPr="004523AB" w:rsidRDefault="00BE1B75" w:rsidP="0099313E">
      <w:pPr>
        <w:pStyle w:val="ListBullet"/>
      </w:pPr>
      <w:r w:rsidRPr="004523AB">
        <w:rPr>
          <w:rFonts w:asciiTheme="majorHAnsi" w:hAnsiTheme="majorHAnsi" w:cstheme="majorHAnsi"/>
        </w:rPr>
        <w:t>Maintaining or achieving accreditation |</w:t>
      </w:r>
      <w:r w:rsidRPr="004523AB">
        <w:t xml:space="preserve"> ACCHOs’ accreditation obligations are markedly different to practices’; NACCHO reported many ACCHOs need to manage up to seven distinct accreditations to meet the requirements of their funders which significantly adds to the burden and complexity of their accreditation processes. By keeping the investment stream confined to RACGP accreditation, the grant missed the opportunity to support ACCHOs’ to manage this complex process (for example, through software that could decrease accreditation burden and duplication across accreditation requirements). Despite this, NACCHO representatives reported that ACCHOs appreciated the funding to support their many requirements. </w:t>
      </w:r>
    </w:p>
    <w:p w14:paraId="2524E58E" w14:textId="77777777" w:rsidR="00BE1B75" w:rsidRPr="004523AB" w:rsidRDefault="00BE1B75" w:rsidP="003162F1">
      <w:r w:rsidRPr="004523AB">
        <w:t xml:space="preserve">Outside of the three investment streams, NACCHO representatives reported that funding for staff and infrastructure are also key needs of ACCHOs and would have liked to be able to use the grant to fund these areas. </w:t>
      </w:r>
    </w:p>
    <w:p w14:paraId="13873A14" w14:textId="53F323DF" w:rsidR="00BE1B75" w:rsidRPr="004523AB" w:rsidRDefault="00BE1B75" w:rsidP="003162F1">
      <w:r w:rsidRPr="004523AB">
        <w:t xml:space="preserve">Early co-design with NACCHO for this stream of the Program would have saved the additional work required for later amendments to tailor and enable the Program to be more fit for purpose for the needs of ACCHOs. As per the NACCHO summary report (see </w:t>
      </w:r>
      <w:r w:rsidR="00681820" w:rsidRPr="004523AB">
        <w:fldChar w:fldCharType="begin"/>
      </w:r>
      <w:r w:rsidR="00681820" w:rsidRPr="004523AB">
        <w:instrText xml:space="preserve"> REF _Ref184917735 \r \h </w:instrText>
      </w:r>
      <w:r w:rsidR="004523AB" w:rsidRPr="004523AB">
        <w:instrText xml:space="preserve"> \* MERGEFORMAT </w:instrText>
      </w:r>
      <w:r w:rsidR="00681820" w:rsidRPr="004523AB">
        <w:fldChar w:fldCharType="separate"/>
      </w:r>
      <w:r w:rsidR="00B96E50">
        <w:t>Appendix D</w:t>
      </w:r>
      <w:r w:rsidR="00681820" w:rsidRPr="004523AB">
        <w:fldChar w:fldCharType="end"/>
      </w:r>
      <w:r w:rsidRPr="004523AB">
        <w:t>), NACCHO was able to work closely with the Department to adapt the Program process to better suit ACCHOs including (page 2):</w:t>
      </w:r>
    </w:p>
    <w:p w14:paraId="45CBBB4D" w14:textId="77777777" w:rsidR="00BE1B75" w:rsidRPr="004523AB" w:rsidRDefault="00BE1B75" w:rsidP="0099313E">
      <w:pPr>
        <w:pStyle w:val="ListBullet"/>
      </w:pPr>
      <w:r w:rsidRPr="004523AB">
        <w:lastRenderedPageBreak/>
        <w:t>“</w:t>
      </w:r>
      <w:proofErr w:type="gramStart"/>
      <w:r w:rsidRPr="004523AB">
        <w:t>ensuring</w:t>
      </w:r>
      <w:proofErr w:type="gramEnd"/>
      <w:r w:rsidRPr="004523AB">
        <w:t xml:space="preserve"> all eligible ACCHOs were captured in the final list of organisations to receive funding;</w:t>
      </w:r>
    </w:p>
    <w:p w14:paraId="33DD4EFE" w14:textId="77777777" w:rsidR="00BE1B75" w:rsidRPr="004523AB" w:rsidRDefault="00BE1B75" w:rsidP="0099313E">
      <w:pPr>
        <w:pStyle w:val="ListBullet"/>
      </w:pPr>
      <w:r w:rsidRPr="004523AB">
        <w:t xml:space="preserve">providing feedback on eligible activities under each investment </w:t>
      </w:r>
      <w:proofErr w:type="gramStart"/>
      <w:r w:rsidRPr="004523AB">
        <w:t>stream;</w:t>
      </w:r>
      <w:proofErr w:type="gramEnd"/>
    </w:p>
    <w:p w14:paraId="4C2C2DD4" w14:textId="77777777" w:rsidR="00BE1B75" w:rsidRPr="004523AB" w:rsidRDefault="00BE1B75" w:rsidP="0099313E">
      <w:pPr>
        <w:pStyle w:val="ListBullet"/>
      </w:pPr>
      <w:r w:rsidRPr="004523AB">
        <w:t xml:space="preserve">negotiating a top-up payment for ACCHOs with the inclusion of OSR data due to the ACCHO model of care and Medicare throughput compared to mainstream </w:t>
      </w:r>
      <w:proofErr w:type="gramStart"/>
      <w:r w:rsidRPr="004523AB">
        <w:t>practices;</w:t>
      </w:r>
      <w:proofErr w:type="gramEnd"/>
    </w:p>
    <w:p w14:paraId="55E709C3" w14:textId="77777777" w:rsidR="00BE1B75" w:rsidRPr="004523AB" w:rsidRDefault="00BE1B75" w:rsidP="0099313E">
      <w:pPr>
        <w:pStyle w:val="ListBullet"/>
      </w:pPr>
      <w:r w:rsidRPr="004523AB">
        <w:t>co-designing the ACCHO grant agreement template and supporting documentation; and</w:t>
      </w:r>
    </w:p>
    <w:p w14:paraId="1B6E5F53" w14:textId="77777777" w:rsidR="00BE1B75" w:rsidRPr="004523AB" w:rsidRDefault="00BE1B75" w:rsidP="0099313E">
      <w:pPr>
        <w:pStyle w:val="ListBullet"/>
      </w:pPr>
      <w:r w:rsidRPr="004523AB">
        <w:t>offering the grant to ACCHOs rather than having them apply.”</w:t>
      </w:r>
    </w:p>
    <w:p w14:paraId="744BB2B0" w14:textId="1348C0F9" w:rsidR="00BE1B75" w:rsidRPr="004523AB" w:rsidRDefault="00BE1B75" w:rsidP="003162F1">
      <w:pPr>
        <w:rPr>
          <w:noProof/>
        </w:rPr>
      </w:pPr>
      <w:r w:rsidRPr="004523AB">
        <w:t xml:space="preserve">Further detail on the appropriateness of the Program design and design process is captured below in </w:t>
      </w:r>
      <w:r w:rsidR="002856BF" w:rsidRPr="004523AB">
        <w:fldChar w:fldCharType="begin"/>
      </w:r>
      <w:r w:rsidR="002856BF" w:rsidRPr="004523AB">
        <w:instrText xml:space="preserve"> REF _Ref184917530 \h </w:instrText>
      </w:r>
      <w:r w:rsidR="004523AB" w:rsidRPr="004523AB">
        <w:instrText xml:space="preserve"> \* MERGEFORMAT </w:instrText>
      </w:r>
      <w:r w:rsidR="002856BF" w:rsidRPr="004523AB">
        <w:fldChar w:fldCharType="separate"/>
      </w:r>
      <w:r w:rsidR="0099313E">
        <w:t xml:space="preserve">Table </w:t>
      </w:r>
      <w:r w:rsidR="00B96E50" w:rsidRPr="004523AB">
        <w:t xml:space="preserve"> | Case study 1 - Appropriateness of the Program design for </w:t>
      </w:r>
      <w:proofErr w:type="spellStart"/>
      <w:r w:rsidR="00B96E50" w:rsidRPr="004523AB">
        <w:t>ACCHOs</w:t>
      </w:r>
      <w:r w:rsidR="002856BF" w:rsidRPr="004523AB">
        <w:fldChar w:fldCharType="end"/>
      </w:r>
      <w:r w:rsidR="002856BF" w:rsidRPr="004523AB">
        <w:t>,</w:t>
      </w:r>
      <w:r w:rsidRPr="004523AB">
        <w:t>this</w:t>
      </w:r>
      <w:proofErr w:type="spellEnd"/>
      <w:r w:rsidRPr="004523AB">
        <w:t xml:space="preserve"> should be read in conjunction with the summary report NACCHO delivered on the Program (see </w:t>
      </w:r>
      <w:r w:rsidR="00D51896" w:rsidRPr="004523AB">
        <w:fldChar w:fldCharType="begin"/>
      </w:r>
      <w:r w:rsidR="00D51896" w:rsidRPr="004523AB">
        <w:instrText xml:space="preserve"> REF _Ref184917778 \r \h </w:instrText>
      </w:r>
      <w:r w:rsidR="004523AB" w:rsidRPr="004523AB">
        <w:instrText xml:space="preserve"> \* MERGEFORMAT </w:instrText>
      </w:r>
      <w:r w:rsidR="00D51896" w:rsidRPr="004523AB">
        <w:fldChar w:fldCharType="separate"/>
      </w:r>
      <w:r w:rsidR="00B96E50">
        <w:t>Appendix D</w:t>
      </w:r>
      <w:r w:rsidR="00D51896" w:rsidRPr="004523AB">
        <w:fldChar w:fldCharType="end"/>
      </w:r>
      <w:r w:rsidR="002856BF" w:rsidRPr="004523AB">
        <w:t>)</w:t>
      </w:r>
    </w:p>
    <w:p w14:paraId="5923EA03" w14:textId="57773B46" w:rsidR="00F97C81" w:rsidRPr="004523AB" w:rsidRDefault="0099313E" w:rsidP="00F97C81">
      <w:pPr>
        <w:pStyle w:val="Caption"/>
      </w:pPr>
      <w:bookmarkStart w:id="36" w:name="_Ref184917530"/>
      <w:proofErr w:type="gramStart"/>
      <w:r>
        <w:t xml:space="preserve">Table </w:t>
      </w:r>
      <w:r w:rsidR="00F97C81" w:rsidRPr="004523AB">
        <w:t xml:space="preserve"> |</w:t>
      </w:r>
      <w:proofErr w:type="gramEnd"/>
      <w:r w:rsidR="00F97C81" w:rsidRPr="004523AB">
        <w:t xml:space="preserve"> Case study 1 - Appropriateness of the Program design for ACCHOs</w:t>
      </w:r>
      <w:bookmarkEnd w:id="36"/>
    </w:p>
    <w:tbl>
      <w:tblPr>
        <w:tblStyle w:val="AccessibleNousTable"/>
        <w:tblW w:w="0" w:type="auto"/>
        <w:tblLook w:val="04A0" w:firstRow="1" w:lastRow="0" w:firstColumn="1" w:lastColumn="0" w:noHBand="0" w:noVBand="1"/>
      </w:tblPr>
      <w:tblGrid>
        <w:gridCol w:w="8920"/>
      </w:tblGrid>
      <w:tr w:rsidR="00F97C81" w:rsidRPr="004523AB" w14:paraId="36823901" w14:textId="77777777" w:rsidTr="0099313E">
        <w:trPr>
          <w:cnfStyle w:val="100000000000" w:firstRow="1" w:lastRow="0" w:firstColumn="0" w:lastColumn="0" w:oddVBand="0" w:evenVBand="0" w:oddHBand="0" w:evenHBand="0" w:firstRowFirstColumn="0" w:firstRowLastColumn="0" w:lastRowFirstColumn="0" w:lastRowLastColumn="0"/>
          <w:tblHeader/>
        </w:trPr>
        <w:tc>
          <w:tcPr>
            <w:tcW w:w="8920" w:type="dxa"/>
          </w:tcPr>
          <w:p w14:paraId="369F64FE" w14:textId="7741C019" w:rsidR="00F97C81" w:rsidRPr="004523AB" w:rsidRDefault="00F97C81">
            <w:pPr>
              <w:rPr>
                <w:rFonts w:asciiTheme="majorHAnsi" w:hAnsiTheme="majorHAnsi" w:cstheme="majorHAnsi"/>
                <w:sz w:val="23"/>
                <w:szCs w:val="23"/>
                <w:lang w:eastAsia="en-AU"/>
              </w:rPr>
            </w:pPr>
            <w:r w:rsidRPr="004523AB">
              <w:rPr>
                <w:rFonts w:asciiTheme="majorHAnsi" w:hAnsiTheme="majorHAnsi" w:cstheme="majorHAnsi"/>
                <w:sz w:val="23"/>
                <w:szCs w:val="23"/>
                <w:lang w:eastAsia="en-AU"/>
              </w:rPr>
              <w:t xml:space="preserve">Case study 1 – </w:t>
            </w:r>
            <w:r w:rsidR="00393ED0">
              <w:rPr>
                <w:rFonts w:asciiTheme="majorHAnsi" w:hAnsiTheme="majorHAnsi" w:cstheme="majorHAnsi"/>
                <w:sz w:val="23"/>
                <w:szCs w:val="23"/>
                <w:lang w:eastAsia="en-AU"/>
              </w:rPr>
              <w:t>National</w:t>
            </w:r>
          </w:p>
          <w:p w14:paraId="1BF23905" w14:textId="77777777" w:rsidR="00F97C81" w:rsidRPr="004523AB" w:rsidRDefault="00F97C81">
            <w:pPr>
              <w:rPr>
                <w:rFonts w:asciiTheme="majorHAnsi" w:hAnsiTheme="majorHAnsi" w:cstheme="majorHAnsi"/>
                <w:sz w:val="23"/>
                <w:szCs w:val="23"/>
                <w:lang w:eastAsia="en-AU"/>
              </w:rPr>
            </w:pPr>
            <w:r w:rsidRPr="004523AB">
              <w:rPr>
                <w:rFonts w:asciiTheme="majorHAnsi" w:hAnsiTheme="majorHAnsi" w:cstheme="majorHAnsi"/>
                <w:sz w:val="23"/>
                <w:szCs w:val="23"/>
                <w:lang w:eastAsia="en-AU"/>
              </w:rPr>
              <w:t>Appropriateness of the Program design for ACCHOs</w:t>
            </w:r>
          </w:p>
        </w:tc>
      </w:tr>
      <w:tr w:rsidR="00F97C81" w:rsidRPr="004523AB" w14:paraId="2F7D7A49" w14:textId="77777777">
        <w:tc>
          <w:tcPr>
            <w:tcW w:w="8920" w:type="dxa"/>
          </w:tcPr>
          <w:p w14:paraId="3CD19A14" w14:textId="77777777" w:rsidR="00F97C81" w:rsidRPr="004523AB" w:rsidRDefault="00F97C81" w:rsidP="009B45EB">
            <w:r w:rsidRPr="004523AB">
              <w:t>Context</w:t>
            </w:r>
          </w:p>
          <w:p w14:paraId="5010CC61" w14:textId="77777777" w:rsidR="00F97C81" w:rsidRPr="004523AB" w:rsidRDefault="00F97C81" w:rsidP="009B45EB">
            <w:r w:rsidRPr="004523AB">
              <w:t xml:space="preserve">The Strengthening Medicare - General Practice Grants Program was distributed to practices and ACCHOs through separate funding mechanisms. Funding for ACCHOs was administered by NACCHO under an agreement with NTPHN, who were engaged by the Department. Features of the ACCHO program that differed to the general practice and PHN process </w:t>
            </w:r>
            <w:proofErr w:type="gramStart"/>
            <w:r w:rsidRPr="004523AB">
              <w:t>included;</w:t>
            </w:r>
            <w:proofErr w:type="gramEnd"/>
            <w:r w:rsidRPr="004523AB">
              <w:t xml:space="preserve"> a shorter administration process through an expression of interest (without a formal application), different reporting timeframes, and tailored formula to allocate funding amounts. After negotiation between the Department and NACCHO, the general practitioner FTE formula to determine grant size was adjusted to recognise the team-based care model</w:t>
            </w:r>
          </w:p>
        </w:tc>
      </w:tr>
      <w:tr w:rsidR="00F97C81" w:rsidRPr="004523AB" w14:paraId="44F2FE0E" w14:textId="77777777">
        <w:tc>
          <w:tcPr>
            <w:tcW w:w="8920" w:type="dxa"/>
          </w:tcPr>
          <w:p w14:paraId="051AAC36" w14:textId="1A13DA66" w:rsidR="004523AB" w:rsidRDefault="004523AB" w:rsidP="009B45EB">
            <w:r>
              <w:t>Improving the Department’s working relationship with NACCHO and ACCHOs</w:t>
            </w:r>
          </w:p>
          <w:p w14:paraId="68809E93" w14:textId="77777777" w:rsidR="00F97C81" w:rsidRPr="004523AB" w:rsidRDefault="00F97C81" w:rsidP="009B45EB">
            <w:r w:rsidRPr="004523AB">
              <w:t>More detailed lessons learnt have been captured directly by NACCHO in their Summary report (see Appendix D). The observations presented here are drawn from all evaluation consultation, analysis and document review.</w:t>
            </w:r>
          </w:p>
          <w:p w14:paraId="29504A17" w14:textId="77777777" w:rsidR="00F97C81" w:rsidRPr="004523AB" w:rsidRDefault="00F97C81" w:rsidP="009B45EB">
            <w:r w:rsidRPr="004523AB">
              <w:t xml:space="preserve">Increased involvement of NACCHO in the design phase for a fit-for-purpose grant </w:t>
            </w:r>
          </w:p>
          <w:p w14:paraId="08372249" w14:textId="77777777" w:rsidR="00142411" w:rsidRPr="004523AB" w:rsidRDefault="0022723F" w:rsidP="00F97C81">
            <w:pPr>
              <w:pStyle w:val="TableNBullet"/>
            </w:pPr>
            <w:r w:rsidRPr="004523AB">
              <w:t>Direct or streamlined contracting between the Department and NACCHO may have contributed to more efficient processes and alignment in timelines and reporting for the national program (practices and ACCHOs).</w:t>
            </w:r>
          </w:p>
          <w:p w14:paraId="462AFA66" w14:textId="77777777" w:rsidR="00142411" w:rsidRPr="004523AB" w:rsidRDefault="0022723F" w:rsidP="00F97C81">
            <w:pPr>
              <w:pStyle w:val="TableNBullet"/>
            </w:pPr>
            <w:r w:rsidRPr="004523AB">
              <w:t>Early consultation with NACCHO would have supported:</w:t>
            </w:r>
          </w:p>
          <w:p w14:paraId="79D4F783" w14:textId="77777777" w:rsidR="00142411" w:rsidRPr="004523AB" w:rsidRDefault="0022723F" w:rsidP="008A550C">
            <w:pPr>
              <w:pStyle w:val="TableNBullet"/>
              <w:numPr>
                <w:ilvl w:val="2"/>
                <w:numId w:val="2"/>
              </w:numPr>
            </w:pPr>
            <w:r w:rsidRPr="004523AB">
              <w:t>earlier tailoring of communication, appropriate for ACCHO engagement</w:t>
            </w:r>
          </w:p>
          <w:p w14:paraId="7A286255" w14:textId="77777777" w:rsidR="00142411" w:rsidRPr="004523AB" w:rsidRDefault="0022723F" w:rsidP="008A550C">
            <w:pPr>
              <w:pStyle w:val="TableNBullet"/>
              <w:numPr>
                <w:ilvl w:val="2"/>
                <w:numId w:val="2"/>
              </w:numPr>
            </w:pPr>
            <w:r w:rsidRPr="004523AB">
              <w:t>earlier advice, solutions and adjustment on the grant size allocation formula.</w:t>
            </w:r>
          </w:p>
          <w:p w14:paraId="7A515FEB" w14:textId="77777777" w:rsidR="00F97C81" w:rsidRPr="004523AB" w:rsidRDefault="00F97C81" w:rsidP="009B45EB">
            <w:r w:rsidRPr="004523AB">
              <w:t>ACCHOs take an integrated, holistic and multidisciplinary care approach, reflecting the aspirations of the Strengthening Medicare reforms</w:t>
            </w:r>
          </w:p>
          <w:p w14:paraId="1ED9C31E" w14:textId="77777777" w:rsidR="00F97C81" w:rsidRPr="004523AB" w:rsidRDefault="00F97C81" w:rsidP="009B45EB">
            <w:r w:rsidRPr="004523AB">
              <w:t xml:space="preserve">Several of the Strengthening Medicare reforms are standard ways of working in ACCHOs. This includes multidisciplinary care which is central to the way that ACCHOs support their communities and patients. There are opportunities for ACCHOs to play a thought leadership </w:t>
            </w:r>
            <w:r w:rsidRPr="004523AB">
              <w:lastRenderedPageBreak/>
              <w:t xml:space="preserve">role in the design of future programs that are driving reform in Australian primary health care more broadly or be used as demonstrations or desired models of care. </w:t>
            </w:r>
          </w:p>
          <w:p w14:paraId="231F1C68" w14:textId="77777777" w:rsidR="00F97C81" w:rsidRPr="004523AB" w:rsidRDefault="00F97C81" w:rsidP="009B45EB">
            <w:r w:rsidRPr="004523AB">
              <w:t xml:space="preserve">Working with NACCHO and ACCHOs effectively requires cultural awareness </w:t>
            </w:r>
          </w:p>
          <w:p w14:paraId="7B9198B2" w14:textId="77777777" w:rsidR="00F97C81" w:rsidRPr="004523AB" w:rsidRDefault="00F97C81" w:rsidP="009B45EB">
            <w:r w:rsidRPr="004523AB">
              <w:t xml:space="preserve">The Department’s obligations under the National Agreement on Closing the Gap, and specific recommendations of Strengthening Medicare, require working in partnership with First Nations organisations for shared decision making. Ongoing efforts to enhance cultural awareness and competency within the Department, including on issues of Indigenous data sovereignty, will be important to continue a collaborative partnership with NACCHO and ACCHOs. </w:t>
            </w:r>
          </w:p>
          <w:p w14:paraId="1B9BD97B" w14:textId="77777777" w:rsidR="00F97C81" w:rsidRPr="004523AB" w:rsidRDefault="00F97C81" w:rsidP="009B45EB">
            <w:r w:rsidRPr="004523AB">
              <w:t xml:space="preserve">The high uptake and complete expenditure of the grant amongst ACCHOs suggests that they were able to use the grant to meet their needs. Consultation with NACCHO also suggested these streams were largely appropriate but could have been tailored to better suit the needs of ACCHOs. </w:t>
            </w:r>
          </w:p>
        </w:tc>
      </w:tr>
      <w:tr w:rsidR="00F97C81" w:rsidRPr="004523AB" w14:paraId="2EF6EF02" w14:textId="77777777">
        <w:tc>
          <w:tcPr>
            <w:tcW w:w="8920" w:type="dxa"/>
            <w:shd w:val="clear" w:color="auto" w:fill="00264D" w:themeFill="background2"/>
          </w:tcPr>
          <w:p w14:paraId="390925AB" w14:textId="5A69FD89" w:rsidR="00F97C81" w:rsidRPr="004523AB" w:rsidRDefault="009F13BE">
            <w:pPr>
              <w:rPr>
                <w:b/>
                <w:bCs/>
                <w:lang w:eastAsia="en-AU"/>
              </w:rPr>
            </w:pPr>
            <w:r>
              <w:rPr>
                <w:b/>
                <w:bCs/>
                <w:lang w:eastAsia="en-AU"/>
              </w:rPr>
              <w:lastRenderedPageBreak/>
              <w:t>Fit for purpose investment streams</w:t>
            </w:r>
            <w:r w:rsidR="00F97C81" w:rsidRPr="004523AB">
              <w:rPr>
                <w:b/>
                <w:bCs/>
                <w:lang w:eastAsia="en-AU"/>
              </w:rPr>
              <w:t xml:space="preserve"> </w:t>
            </w:r>
          </w:p>
        </w:tc>
      </w:tr>
      <w:tr w:rsidR="00F97C81" w:rsidRPr="004523AB" w14:paraId="20208976" w14:textId="77777777">
        <w:trPr>
          <w:trHeight w:val="391"/>
        </w:trPr>
        <w:tc>
          <w:tcPr>
            <w:tcW w:w="8920" w:type="dxa"/>
          </w:tcPr>
          <w:p w14:paraId="523BEA0E" w14:textId="77777777" w:rsidR="00F97C81" w:rsidRPr="004523AB" w:rsidRDefault="00F97C81" w:rsidP="009B45EB">
            <w:r w:rsidRPr="004523AB">
              <w:rPr>
                <w:b/>
                <w:bCs/>
              </w:rPr>
              <w:t>Digital capability</w:t>
            </w:r>
            <w:r w:rsidRPr="004523AB">
              <w:t xml:space="preserve"> There was a high uptake of this investment stream, and many ACCHOs used the funding for significant and/or strategic investments. Compared to general practice there was a greater focus on improving internet or cloud connectivity, and data security. ACCHOs using this stream often chose investments in new IT infrastructure/ software that included training for staff.  </w:t>
            </w:r>
          </w:p>
          <w:p w14:paraId="5F8EFC1E" w14:textId="77777777" w:rsidR="00F97C81" w:rsidRPr="004523AB" w:rsidRDefault="00F97C81" w:rsidP="009B45EB">
            <w:r w:rsidRPr="004523AB">
              <w:rPr>
                <w:b/>
                <w:bCs/>
              </w:rPr>
              <w:t xml:space="preserve">Infection prevention and control: </w:t>
            </w:r>
            <w:r w:rsidRPr="004523AB">
              <w:t xml:space="preserve">There was a very low uptake of this stream by ACCHOs, which NACCHO attributed to overlapping funding during COVID-19. The 28 ACCHOs that did spend some of their funding in this stream, focused on a combination of infrastructure improvements, improving patient flows through space to improve safety, and other process improvements. </w:t>
            </w:r>
          </w:p>
          <w:p w14:paraId="0B6AED5C" w14:textId="77777777" w:rsidR="00F97C81" w:rsidRPr="004523AB" w:rsidRDefault="00F97C81" w:rsidP="009B45EB">
            <w:r w:rsidRPr="004523AB">
              <w:rPr>
                <w:b/>
                <w:bCs/>
              </w:rPr>
              <w:t xml:space="preserve">Accreditation: </w:t>
            </w:r>
            <w:r w:rsidRPr="004523AB">
              <w:t xml:space="preserve">ACCHOs accreditation needs are more complex than those of general practices, as they have several </w:t>
            </w:r>
            <w:proofErr w:type="gramStart"/>
            <w:r w:rsidRPr="004523AB">
              <w:t>accreditation</w:t>
            </w:r>
            <w:proofErr w:type="gramEnd"/>
            <w:r w:rsidRPr="004523AB">
              <w:t xml:space="preserve"> standards they need to meet in addition to RACGP standards. Compared to general practices, ACCHOs were more likely to use the accreditation stream on people costs. This included training, but also temporary external support to help meet accreditation standards or covering additional wages for staff working overtime on activities to meet accreditation standards. </w:t>
            </w:r>
          </w:p>
        </w:tc>
      </w:tr>
    </w:tbl>
    <w:p w14:paraId="06E2F07F" w14:textId="57AF6F3A" w:rsidR="00C657A2" w:rsidRPr="004523AB" w:rsidRDefault="00C657A2" w:rsidP="00597A03">
      <w:pPr>
        <w:pStyle w:val="Heading3"/>
        <w:rPr>
          <w:rFonts w:asciiTheme="majorHAnsi" w:hAnsiTheme="majorHAnsi" w:cstheme="majorHAnsi"/>
          <w:color w:val="00264D" w:themeColor="background2"/>
          <w:sz w:val="24"/>
          <w:szCs w:val="24"/>
        </w:rPr>
      </w:pPr>
      <w:r w:rsidRPr="004523AB">
        <w:lastRenderedPageBreak/>
        <w:t>The one-off, non-competitive and flexible nature of the grants supported delivery of the Program objectives</w:t>
      </w:r>
    </w:p>
    <w:tbl>
      <w:tblPr>
        <w:tblStyle w:val="NousLongformcallout"/>
        <w:tblW w:w="4950" w:type="pct"/>
        <w:tblCellMar>
          <w:top w:w="170" w:type="dxa"/>
          <w:bottom w:w="170" w:type="dxa"/>
        </w:tblCellMar>
        <w:tblLook w:val="04A0" w:firstRow="1" w:lastRow="0" w:firstColumn="1" w:lastColumn="0" w:noHBand="0" w:noVBand="1"/>
      </w:tblPr>
      <w:tblGrid>
        <w:gridCol w:w="9069"/>
      </w:tblGrid>
      <w:tr w:rsidR="00FF4A73" w:rsidRPr="004523AB" w14:paraId="3057256C" w14:textId="77777777" w:rsidTr="00FF4A73">
        <w:tc>
          <w:tcPr>
            <w:tcW w:w="9069" w:type="dxa"/>
          </w:tcPr>
          <w:p w14:paraId="41929B28" w14:textId="559EB322" w:rsidR="00FF4A73" w:rsidRPr="004523AB" w:rsidRDefault="00FF4A73" w:rsidP="00FF4A73">
            <w:pPr>
              <w:pStyle w:val="Longformcallout"/>
            </w:pPr>
            <w:r w:rsidRPr="004523AB">
              <w:t>“When the government funds initiatives this sends a price signal that those expenses are not part of core best practice, and the government should continue to pay for it.” – Peak body representative.</w:t>
            </w:r>
          </w:p>
        </w:tc>
      </w:tr>
    </w:tbl>
    <w:p w14:paraId="4B30EAA3" w14:textId="5FADE87D" w:rsidR="00C657A2" w:rsidRPr="004523AB" w:rsidRDefault="00C657A2" w:rsidP="00C657A2">
      <w:pPr>
        <w:rPr>
          <w:rFonts w:asciiTheme="majorHAnsi" w:hAnsiTheme="majorHAnsi" w:cstheme="majorHAnsi"/>
          <w:color w:val="00264D" w:themeColor="background2"/>
          <w:sz w:val="24"/>
          <w:szCs w:val="24"/>
        </w:rPr>
      </w:pPr>
      <w:r w:rsidRPr="004523AB">
        <w:rPr>
          <w:lang w:eastAsia="en-AU"/>
        </w:rPr>
        <w:t xml:space="preserve">The Program was defined by three design mechanisms: (1) one-off (2) non-competitive and open to unaccredited practices, and (3) highly flexible in what constituted eligible spend. </w:t>
      </w:r>
    </w:p>
    <w:p w14:paraId="2EA65964" w14:textId="77777777" w:rsidR="00C657A2" w:rsidRPr="004523AB" w:rsidRDefault="00C657A2" w:rsidP="00913229">
      <w:pPr>
        <w:rPr>
          <w:rFonts w:asciiTheme="majorHAnsi" w:hAnsiTheme="majorHAnsi" w:cstheme="majorHAnsi"/>
          <w:b/>
          <w:color w:val="00264D" w:themeColor="background2"/>
        </w:rPr>
      </w:pPr>
      <w:r w:rsidRPr="004523AB">
        <w:rPr>
          <w:rFonts w:asciiTheme="majorHAnsi" w:hAnsiTheme="majorHAnsi" w:cstheme="majorHAnsi"/>
          <w:color w:val="00264D" w:themeColor="background2"/>
        </w:rPr>
        <w:t>The one-off nature of the grants supported financially pressured practices to make critical investments to support quality and efficient patient care</w:t>
      </w:r>
    </w:p>
    <w:p w14:paraId="3EC01391" w14:textId="60F10360" w:rsidR="00C657A2" w:rsidRPr="004523AB" w:rsidRDefault="00C657A2" w:rsidP="00846D4D">
      <w:r w:rsidRPr="004523AB">
        <w:t xml:space="preserve">Practice and PHN representatives agreed that one-off nature of the grants supported practices to make critical and intensive purchases or upgrades, and they came at the right time following the additional financial strain imposed by the COVID-19 pandemic. Many felt the grants were able to fund high-cost equipment and much-needed upgrades. Others raised concerns that maintaining accreditation and digital upgrades paid for by the grant will typically require ongoing funding and practices may struggle to sustain this (e.g. software with ongoing subscription fees). </w:t>
      </w:r>
    </w:p>
    <w:p w14:paraId="69BB6B07" w14:textId="77777777" w:rsidR="00C657A2" w:rsidRPr="004523AB" w:rsidRDefault="00C657A2" w:rsidP="00846D4D">
      <w:r w:rsidRPr="004523AB">
        <w:t xml:space="preserve">Some PHN representatives and peak bodies suggested that despite clear communications that the grants were one-off, there may be an expectation from the sector that the government will continue funding similar grants in future. </w:t>
      </w:r>
    </w:p>
    <w:p w14:paraId="5605E513" w14:textId="77777777" w:rsidR="00C657A2" w:rsidRPr="004523AB" w:rsidRDefault="00C657A2" w:rsidP="00846D4D">
      <w:r w:rsidRPr="004523AB">
        <w:t xml:space="preserve">The non-competitive nature of the grant allowed NACCHO to take a streamlined approach, where they leant into their active, existing relationships and processes (for example, using up to date contact lists) to administer quickly to all ACCHOs. </w:t>
      </w:r>
    </w:p>
    <w:p w14:paraId="3B31FB92" w14:textId="77777777" w:rsidR="00C657A2" w:rsidRPr="004523AB" w:rsidRDefault="00C657A2" w:rsidP="00EE6D91">
      <w:pPr>
        <w:rPr>
          <w:rFonts w:asciiTheme="majorHAnsi" w:hAnsiTheme="majorHAnsi" w:cstheme="majorHAnsi"/>
          <w:b/>
          <w:color w:val="00264D" w:themeColor="background2"/>
        </w:rPr>
      </w:pPr>
      <w:r w:rsidRPr="004523AB">
        <w:rPr>
          <w:rFonts w:asciiTheme="majorHAnsi" w:hAnsiTheme="majorHAnsi" w:cstheme="majorHAnsi"/>
          <w:color w:val="00264D" w:themeColor="background2"/>
        </w:rPr>
        <w:t>Practices found receiving up-front lump funding very useful</w:t>
      </w:r>
      <w:r w:rsidRPr="004523AB">
        <w:rPr>
          <w:rFonts w:asciiTheme="majorHAnsi" w:hAnsiTheme="majorHAnsi" w:cstheme="majorHAnsi"/>
          <w:b/>
          <w:color w:val="00264D" w:themeColor="background2"/>
        </w:rPr>
        <w:t xml:space="preserve"> </w:t>
      </w:r>
    </w:p>
    <w:p w14:paraId="256FB9CD" w14:textId="13EC360E" w:rsidR="00486F18" w:rsidRPr="004523AB" w:rsidRDefault="00C657A2" w:rsidP="0041795A">
      <w:r w:rsidRPr="004523AB">
        <w:t xml:space="preserve">Many practices noted that a key strength of the grant design was that they received the full grant amount in a lump sum upfront. Many practices interviewed noted they were surprised how quickly they received the funds and valued that this allowed them to start spending quickly. This is reflected in the self-evaluation survey data where 95 per cent of practices reported that it ‘was easy for our practice to receive the grant funds’ (see </w:t>
      </w:r>
      <w:r w:rsidR="0041795A" w:rsidRPr="004523AB">
        <w:fldChar w:fldCharType="begin"/>
      </w:r>
      <w:r w:rsidR="0041795A" w:rsidRPr="004523AB">
        <w:instrText xml:space="preserve"> REF _Ref184917845 \h </w:instrText>
      </w:r>
      <w:r w:rsidR="004523AB" w:rsidRPr="004523AB">
        <w:instrText xml:space="preserve"> \* MERGEFORMAT </w:instrText>
      </w:r>
      <w:r w:rsidR="0041795A" w:rsidRPr="004523AB">
        <w:fldChar w:fldCharType="separate"/>
      </w:r>
      <w:r w:rsidR="00B96E50" w:rsidRPr="004523AB">
        <w:t xml:space="preserve">Figure </w:t>
      </w:r>
      <w:r w:rsidR="00B96E50">
        <w:rPr>
          <w:noProof/>
        </w:rPr>
        <w:t>3</w:t>
      </w:r>
      <w:r w:rsidR="0041795A" w:rsidRPr="004523AB">
        <w:fldChar w:fldCharType="end"/>
      </w:r>
      <w:r w:rsidRPr="004523AB">
        <w:t>). This enabled them to invest in more expensive capital purchases, such as servers, that they would have struggled to afford otherwise or that would have created cash flow issues even if they knew the rest of the funding was coming.</w:t>
      </w:r>
    </w:p>
    <w:p w14:paraId="30A8D7A0" w14:textId="77A26E06" w:rsidR="0041795A" w:rsidRPr="004523AB" w:rsidRDefault="0041795A" w:rsidP="0041795A">
      <w:pPr>
        <w:pStyle w:val="Caption"/>
      </w:pPr>
      <w:bookmarkStart w:id="37" w:name="_Ref184917845"/>
      <w:r w:rsidRPr="004523AB">
        <w:lastRenderedPageBreak/>
        <w:t xml:space="preserve">Figure </w:t>
      </w:r>
      <w:r w:rsidRPr="004523AB">
        <w:fldChar w:fldCharType="begin"/>
      </w:r>
      <w:r w:rsidRPr="004523AB">
        <w:instrText xml:space="preserve"> SEQ Figure \* ARABIC </w:instrText>
      </w:r>
      <w:r w:rsidRPr="004523AB">
        <w:fldChar w:fldCharType="separate"/>
      </w:r>
      <w:r w:rsidR="00B96E50">
        <w:rPr>
          <w:noProof/>
        </w:rPr>
        <w:t>3</w:t>
      </w:r>
      <w:r w:rsidRPr="004523AB">
        <w:fldChar w:fldCharType="end"/>
      </w:r>
      <w:bookmarkEnd w:id="37"/>
      <w:r w:rsidRPr="004523AB">
        <w:t xml:space="preserve"> | Practice self-evaluation survey responses to ‘It was easy for our practice to receive the grant funds’</w:t>
      </w:r>
    </w:p>
    <w:p w14:paraId="0F38C6BD" w14:textId="01BD7CAB" w:rsidR="00B251D4" w:rsidRPr="004523AB" w:rsidRDefault="00B44762" w:rsidP="00B251D4">
      <w:r w:rsidRPr="004523AB">
        <w:rPr>
          <w:noProof/>
          <w:lang w:eastAsia="en-AU"/>
        </w:rPr>
        <w:drawing>
          <wp:inline distT="0" distB="0" distL="0" distR="0" wp14:anchorId="695292A5" wp14:editId="0EF7459E">
            <wp:extent cx="5670550" cy="2851328"/>
            <wp:effectExtent l="0" t="0" r="6350" b="6350"/>
            <wp:docPr id="967252224" name="Picture 3" descr="Figure 3 is a bar chart showing responses to the statement “It was easy for our practice to receive the grant funds”. 213 strongly disagree, 53 disagree, 2586 agree, 2446 strongly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252224" name="Picture 3" descr="Figure 3 is a bar chart showing responses to the statement “It was easy for our practice to receive the grant funds”. 213 strongly disagree, 53 disagree, 2586 agree, 2446 strongly agre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70550" cy="2851328"/>
                    </a:xfrm>
                    <a:prstGeom prst="rect">
                      <a:avLst/>
                    </a:prstGeom>
                  </pic:spPr>
                </pic:pic>
              </a:graphicData>
            </a:graphic>
          </wp:inline>
        </w:drawing>
      </w:r>
      <w:r w:rsidR="00B251D4" w:rsidRPr="004523AB">
        <w:t xml:space="preserve">This aspect of the Program design may have influenced what practices spent the grant on. Across the three investment streams, purchase and upgrade of equipment (and/or purchase of IT systems) was the most common thing that funding was spent on (see </w:t>
      </w:r>
      <w:r w:rsidR="001749F6" w:rsidRPr="004523AB">
        <w:fldChar w:fldCharType="begin"/>
      </w:r>
      <w:r w:rsidR="001749F6" w:rsidRPr="004523AB">
        <w:instrText xml:space="preserve"> REF _Ref184918533 \h </w:instrText>
      </w:r>
      <w:r w:rsidR="004523AB" w:rsidRPr="004523AB">
        <w:instrText xml:space="preserve"> \* MERGEFORMAT </w:instrText>
      </w:r>
      <w:r w:rsidR="001749F6" w:rsidRPr="004523AB">
        <w:fldChar w:fldCharType="separate"/>
      </w:r>
      <w:r w:rsidR="00B96E50" w:rsidRPr="004523AB">
        <w:t xml:space="preserve">Figure </w:t>
      </w:r>
      <w:r w:rsidR="00B96E50">
        <w:rPr>
          <w:noProof/>
        </w:rPr>
        <w:t>4</w:t>
      </w:r>
      <w:r w:rsidR="001749F6" w:rsidRPr="004523AB">
        <w:fldChar w:fldCharType="end"/>
      </w:r>
      <w:r w:rsidR="00127927" w:rsidRPr="004523AB">
        <w:t>,</w:t>
      </w:r>
      <w:r w:rsidR="00FD41A9" w:rsidRPr="004523AB">
        <w:t xml:space="preserve"> </w:t>
      </w:r>
      <w:r w:rsidR="00FD41A9" w:rsidRPr="004523AB">
        <w:fldChar w:fldCharType="begin"/>
      </w:r>
      <w:r w:rsidR="00FD41A9" w:rsidRPr="004523AB">
        <w:instrText xml:space="preserve"> REF _Ref184972752 \h </w:instrText>
      </w:r>
      <w:r w:rsidR="004523AB" w:rsidRPr="004523AB">
        <w:instrText xml:space="preserve"> \* MERGEFORMAT </w:instrText>
      </w:r>
      <w:r w:rsidR="00FD41A9" w:rsidRPr="004523AB">
        <w:fldChar w:fldCharType="separate"/>
      </w:r>
      <w:r w:rsidR="00B96E50" w:rsidRPr="004523AB">
        <w:t xml:space="preserve">Figure </w:t>
      </w:r>
      <w:r w:rsidR="00B96E50">
        <w:rPr>
          <w:noProof/>
        </w:rPr>
        <w:t>5</w:t>
      </w:r>
      <w:r w:rsidR="00FD41A9" w:rsidRPr="004523AB">
        <w:fldChar w:fldCharType="end"/>
      </w:r>
      <w:r w:rsidR="00FD41A9" w:rsidRPr="004523AB">
        <w:t>,</w:t>
      </w:r>
      <w:r w:rsidR="00127927" w:rsidRPr="004523AB">
        <w:t xml:space="preserve"> </w:t>
      </w:r>
      <w:r w:rsidR="001749F6" w:rsidRPr="004523AB">
        <w:fldChar w:fldCharType="begin"/>
      </w:r>
      <w:r w:rsidR="001749F6" w:rsidRPr="004523AB">
        <w:instrText xml:space="preserve"> REF _Ref184918556 \h  \* MERGEFORMAT </w:instrText>
      </w:r>
      <w:r w:rsidR="001749F6" w:rsidRPr="004523AB">
        <w:fldChar w:fldCharType="separate"/>
      </w:r>
      <w:r w:rsidR="00B96E50" w:rsidRPr="004523AB">
        <w:t>Figure</w:t>
      </w:r>
      <w:r w:rsidR="00B96E50" w:rsidRPr="004523AB">
        <w:rPr>
          <w:noProof/>
        </w:rPr>
        <w:t xml:space="preserve"> </w:t>
      </w:r>
      <w:r w:rsidR="00B96E50">
        <w:rPr>
          <w:noProof/>
        </w:rPr>
        <w:t>6</w:t>
      </w:r>
      <w:r w:rsidR="001749F6" w:rsidRPr="004523AB">
        <w:fldChar w:fldCharType="end"/>
      </w:r>
      <w:r w:rsidR="00FD41A9" w:rsidRPr="004523AB">
        <w:t xml:space="preserve">, </w:t>
      </w:r>
      <w:r w:rsidR="001749F6" w:rsidRPr="004523AB">
        <w:fldChar w:fldCharType="begin"/>
      </w:r>
      <w:r w:rsidR="001749F6" w:rsidRPr="004523AB">
        <w:instrText xml:space="preserve"> REF _Ref184918566 \h  \* MERGEFORMAT </w:instrText>
      </w:r>
      <w:r w:rsidR="001749F6" w:rsidRPr="004523AB">
        <w:fldChar w:fldCharType="separate"/>
      </w:r>
      <w:r w:rsidR="00B96E50" w:rsidRPr="004523AB">
        <w:t xml:space="preserve">Figure </w:t>
      </w:r>
      <w:r w:rsidR="00B96E50">
        <w:rPr>
          <w:noProof/>
        </w:rPr>
        <w:t>7</w:t>
      </w:r>
      <w:r w:rsidR="001749F6" w:rsidRPr="004523AB">
        <w:fldChar w:fldCharType="end"/>
      </w:r>
      <w:r w:rsidR="002C13EF" w:rsidRPr="004523AB">
        <w:t xml:space="preserve">, </w:t>
      </w:r>
      <w:r w:rsidR="002C13EF" w:rsidRPr="004523AB">
        <w:fldChar w:fldCharType="begin"/>
      </w:r>
      <w:r w:rsidR="002C13EF" w:rsidRPr="004523AB">
        <w:instrText xml:space="preserve"> REF _Ref184972950 \h </w:instrText>
      </w:r>
      <w:r w:rsidR="004523AB" w:rsidRPr="004523AB">
        <w:instrText xml:space="preserve"> \* MERGEFORMAT </w:instrText>
      </w:r>
      <w:r w:rsidR="002C13EF" w:rsidRPr="004523AB">
        <w:fldChar w:fldCharType="separate"/>
      </w:r>
      <w:r w:rsidR="00B96E50" w:rsidRPr="004523AB">
        <w:t xml:space="preserve">Figure </w:t>
      </w:r>
      <w:r w:rsidR="00B96E50">
        <w:rPr>
          <w:noProof/>
        </w:rPr>
        <w:t>8</w:t>
      </w:r>
      <w:r w:rsidR="002C13EF" w:rsidRPr="004523AB">
        <w:fldChar w:fldCharType="end"/>
      </w:r>
      <w:r w:rsidR="001749F6" w:rsidRPr="004523AB">
        <w:t xml:space="preserve"> </w:t>
      </w:r>
      <w:r w:rsidR="00FD41A9" w:rsidRPr="004523AB">
        <w:t xml:space="preserve">and </w:t>
      </w:r>
      <w:r w:rsidR="001749F6" w:rsidRPr="004523AB">
        <w:rPr>
          <w:highlight w:val="yellow"/>
        </w:rPr>
        <w:fldChar w:fldCharType="begin"/>
      </w:r>
      <w:r w:rsidR="001749F6" w:rsidRPr="004523AB">
        <w:instrText xml:space="preserve"> REF _Ref184918574 \h </w:instrText>
      </w:r>
      <w:r w:rsidR="004523AB" w:rsidRPr="004523AB">
        <w:rPr>
          <w:highlight w:val="yellow"/>
        </w:rPr>
        <w:instrText xml:space="preserve"> \* MERGEFORMAT </w:instrText>
      </w:r>
      <w:r w:rsidR="001749F6" w:rsidRPr="004523AB">
        <w:rPr>
          <w:highlight w:val="yellow"/>
        </w:rPr>
      </w:r>
      <w:r w:rsidR="001749F6" w:rsidRPr="004523AB">
        <w:rPr>
          <w:highlight w:val="yellow"/>
        </w:rPr>
        <w:fldChar w:fldCharType="separate"/>
      </w:r>
      <w:r w:rsidR="00B96E50" w:rsidRPr="004523AB">
        <w:t xml:space="preserve">Figure </w:t>
      </w:r>
      <w:r w:rsidR="00B96E50">
        <w:rPr>
          <w:noProof/>
        </w:rPr>
        <w:t>9</w:t>
      </w:r>
      <w:r w:rsidR="001749F6" w:rsidRPr="004523AB">
        <w:rPr>
          <w:highlight w:val="yellow"/>
        </w:rPr>
        <w:fldChar w:fldCharType="end"/>
      </w:r>
      <w:r w:rsidR="001749F6" w:rsidRPr="004523AB">
        <w:t>)</w:t>
      </w:r>
      <w:r w:rsidR="00B251D4" w:rsidRPr="004523AB">
        <w:t xml:space="preserve"> for a breakdown of spending in each investment stream). In the digital capability and infection prevention control streams more than 90 per cent of practices spent at least some of their funding on equipment. While this may partly be because equipment was what practices needed most, it also fit most neatly into a one-off lump sum grant that did not support an ongoing investment.  </w:t>
      </w:r>
    </w:p>
    <w:p w14:paraId="25E93297" w14:textId="77777777" w:rsidR="006A335C" w:rsidRPr="0099313E" w:rsidRDefault="006A335C" w:rsidP="0099313E">
      <w:pPr>
        <w:rPr>
          <w:rStyle w:val="Strong"/>
        </w:rPr>
      </w:pPr>
      <w:r w:rsidRPr="0099313E">
        <w:rPr>
          <w:rStyle w:val="Strong"/>
        </w:rPr>
        <w:t xml:space="preserve">The non-competitive mechanism ensured the Program was equitable and reached more practices </w:t>
      </w:r>
    </w:p>
    <w:tbl>
      <w:tblPr>
        <w:tblStyle w:val="NousLongformcallout"/>
        <w:tblW w:w="4950" w:type="pct"/>
        <w:tblCellMar>
          <w:top w:w="170" w:type="dxa"/>
          <w:bottom w:w="170" w:type="dxa"/>
        </w:tblCellMar>
        <w:tblLook w:val="04A0" w:firstRow="1" w:lastRow="0" w:firstColumn="1" w:lastColumn="0" w:noHBand="0" w:noVBand="1"/>
      </w:tblPr>
      <w:tblGrid>
        <w:gridCol w:w="9069"/>
      </w:tblGrid>
      <w:tr w:rsidR="00FF4A73" w:rsidRPr="004523AB" w14:paraId="498D3A03" w14:textId="77777777" w:rsidTr="00FF4A73">
        <w:tc>
          <w:tcPr>
            <w:tcW w:w="9069" w:type="dxa"/>
          </w:tcPr>
          <w:p w14:paraId="4BA9BB8F" w14:textId="49562B55" w:rsidR="00FF4A73" w:rsidRPr="004523AB" w:rsidRDefault="00FF4A73" w:rsidP="00FF4A73">
            <w:pPr>
              <w:pStyle w:val="Longformcallout"/>
            </w:pPr>
            <w:r w:rsidRPr="004523AB">
              <w:t xml:space="preserve">“It was good to provide funds to all practices – not just those that are good at writing grant applications.” - PHN Representative </w:t>
            </w:r>
          </w:p>
        </w:tc>
      </w:tr>
    </w:tbl>
    <w:p w14:paraId="7E4682C9" w14:textId="18D91E3F" w:rsidR="006A335C" w:rsidRPr="004523AB" w:rsidRDefault="006A335C" w:rsidP="009B45EB">
      <w:r w:rsidRPr="004523AB">
        <w:t xml:space="preserve">The non-competitive nature was central to the equity and accessibility of the Program, and most stakeholders appreciated this. Some PHN representatives noted that competitive grants often involve arduous processes and benefit those experienced in writing compelling applications over need. </w:t>
      </w:r>
    </w:p>
    <w:p w14:paraId="72145CDA" w14:textId="77777777" w:rsidR="006A335C" w:rsidRPr="004523AB" w:rsidRDefault="006A335C" w:rsidP="009B45EB">
      <w:r w:rsidRPr="004523AB">
        <w:t xml:space="preserve">Additionally, PHN representatives reported that this was the first grant many practices had applied for, either because of limited capacity or limited grants available to unaccredited practices. Several stakeholders felt the grant design was helpful for supporting smaller practices who needed the funds to improve their practice or gain accreditation for the first time. Almost all stakeholders interviewed noted the dramatically smaller administrative burden compared to other grant programs. </w:t>
      </w:r>
    </w:p>
    <w:p w14:paraId="123B1B26" w14:textId="77777777" w:rsidR="006A335C" w:rsidRPr="004523AB" w:rsidRDefault="006A335C" w:rsidP="009B45EB">
      <w:r w:rsidRPr="004523AB">
        <w:t xml:space="preserve">Not all PHN representatives and practices felt the non-competitive nature of the grant was a strength. A small number felt that fewer competitive grants could have allowed practices who </w:t>
      </w:r>
      <w:r w:rsidRPr="004523AB">
        <w:lastRenderedPageBreak/>
        <w:t xml:space="preserve">could demonstrate a clear business case to receive more funding, and that those practices may have used the funding more effectively. </w:t>
      </w:r>
    </w:p>
    <w:p w14:paraId="008D2F57" w14:textId="77777777" w:rsidR="006A335C" w:rsidRPr="0099313E" w:rsidRDefault="006A335C" w:rsidP="0099313E">
      <w:pPr>
        <w:rPr>
          <w:rStyle w:val="Strong"/>
        </w:rPr>
      </w:pPr>
      <w:r w:rsidRPr="0099313E">
        <w:rPr>
          <w:rStyle w:val="Strong"/>
        </w:rPr>
        <w:t xml:space="preserve">The flexibility of the grant was generally well received. It caused confusion for some practices. ACCHOs required no additional support or clarification </w:t>
      </w:r>
    </w:p>
    <w:p w14:paraId="435DC85D" w14:textId="77777777" w:rsidR="006A335C" w:rsidRPr="004523AB" w:rsidRDefault="006A335C" w:rsidP="009B45EB">
      <w:r w:rsidRPr="004523AB">
        <w:t xml:space="preserve">PHN representatives and practices appreciated the flexibility of eligible spends across the three investment streams. It enabled practices to tailor the funds to their highest areas of need and that it was a welcome contrast to other grant programs. </w:t>
      </w:r>
    </w:p>
    <w:p w14:paraId="7FDC749E" w14:textId="6F695A1B" w:rsidR="006A335C" w:rsidRPr="004523AB" w:rsidRDefault="006A335C" w:rsidP="009B45EB">
      <w:r w:rsidRPr="004523AB">
        <w:t xml:space="preserve">With this came some confusion regarding what constituted eligible spend. The breadth of eligible spend meant that some inclusions, such as training and education as it related to accreditation or digital skills uplift were not immediately clear to participants. This meant many PHNs had to respond to additional questions relating to what constituted eligible spend, placing a time burden on PHNs (see Section </w:t>
      </w:r>
      <w:r w:rsidRPr="004523AB">
        <w:fldChar w:fldCharType="begin"/>
      </w:r>
      <w:r w:rsidRPr="004523AB">
        <w:instrText xml:space="preserve"> REF _Ref179528291 \n \h </w:instrText>
      </w:r>
      <w:r w:rsidR="007174D8" w:rsidRPr="004523AB">
        <w:instrText xml:space="preserve"> \* MERGEFORMAT </w:instrText>
      </w:r>
      <w:r w:rsidRPr="004523AB">
        <w:fldChar w:fldCharType="separate"/>
      </w:r>
      <w:r w:rsidR="00B96E50">
        <w:t>4.2.5</w:t>
      </w:r>
      <w:r w:rsidRPr="004523AB">
        <w:fldChar w:fldCharType="end"/>
      </w:r>
      <w:r w:rsidRPr="004523AB">
        <w:t xml:space="preserve">). </w:t>
      </w:r>
    </w:p>
    <w:p w14:paraId="4772DF16" w14:textId="5E27D6BC" w:rsidR="006A335C" w:rsidRPr="004523AB" w:rsidRDefault="006A335C" w:rsidP="009B45EB">
      <w:r w:rsidRPr="004523AB">
        <w:t xml:space="preserve">NACCHO reported that they did not have a similar problem, with almost no ACCHOs needing assistance to understand what was eligible under each of the investment streams, and no ACCHOs needing clarification about the Program or processes (see further discussion at Section </w:t>
      </w:r>
      <w:r w:rsidR="004A0E68" w:rsidRPr="004523AB">
        <w:fldChar w:fldCharType="begin"/>
      </w:r>
      <w:r w:rsidR="004A0E68" w:rsidRPr="004523AB">
        <w:instrText xml:space="preserve"> REF _Ref184919115 \r \h </w:instrText>
      </w:r>
      <w:r w:rsidR="004523AB" w:rsidRPr="004523AB">
        <w:instrText xml:space="preserve"> \* MERGEFORMAT </w:instrText>
      </w:r>
      <w:r w:rsidR="004A0E68" w:rsidRPr="004523AB">
        <w:fldChar w:fldCharType="separate"/>
      </w:r>
      <w:r w:rsidR="00B96E50">
        <w:t>4.2.1</w:t>
      </w:r>
      <w:r w:rsidR="004A0E68" w:rsidRPr="004523AB">
        <w:fldChar w:fldCharType="end"/>
      </w:r>
      <w:r w:rsidR="004A0E68" w:rsidRPr="004523AB">
        <w:t>)</w:t>
      </w:r>
    </w:p>
    <w:p w14:paraId="1CE53B6A" w14:textId="106FE0E6" w:rsidR="006A335C" w:rsidRPr="004523AB" w:rsidRDefault="006A335C" w:rsidP="009B45EB">
      <w:pPr>
        <w:rPr>
          <w:rStyle w:val="Heading5Char"/>
          <w:rFonts w:eastAsiaTheme="majorEastAsia"/>
          <w:b w:val="0"/>
          <w:bCs/>
          <w:color w:val="auto"/>
          <w:sz w:val="19"/>
        </w:rPr>
      </w:pPr>
      <w:r w:rsidRPr="004523AB">
        <w:t xml:space="preserve">Some stakeholders suggested that additional streams or more examples could have provided more clarity without any detriment to the grant’s flexibility. One practice suggested that having a list of ineligible spending areas (e.g. capital works) could have been clearer. The implications of the grant’s flexibility on delivery are discussed further in Program Delivery, Section </w:t>
      </w:r>
      <w:r w:rsidR="004A0E68" w:rsidRPr="004523AB">
        <w:rPr>
          <w:highlight w:val="yellow"/>
        </w:rPr>
        <w:fldChar w:fldCharType="begin"/>
      </w:r>
      <w:r w:rsidR="004A0E68" w:rsidRPr="004523AB">
        <w:instrText xml:space="preserve"> REF _Ref169261680 \r \h </w:instrText>
      </w:r>
      <w:r w:rsidR="004523AB" w:rsidRPr="004523AB">
        <w:rPr>
          <w:highlight w:val="yellow"/>
        </w:rPr>
        <w:instrText xml:space="preserve"> \* MERGEFORMAT </w:instrText>
      </w:r>
      <w:r w:rsidR="004A0E68" w:rsidRPr="004523AB">
        <w:rPr>
          <w:highlight w:val="yellow"/>
        </w:rPr>
      </w:r>
      <w:r w:rsidR="004A0E68" w:rsidRPr="004523AB">
        <w:rPr>
          <w:highlight w:val="yellow"/>
        </w:rPr>
        <w:fldChar w:fldCharType="separate"/>
      </w:r>
      <w:r w:rsidR="00B96E50">
        <w:t>4.2.5</w:t>
      </w:r>
      <w:r w:rsidR="004A0E68" w:rsidRPr="004523AB">
        <w:rPr>
          <w:highlight w:val="yellow"/>
        </w:rPr>
        <w:fldChar w:fldCharType="end"/>
      </w:r>
      <w:r w:rsidR="004A0E68" w:rsidRPr="004523AB">
        <w:t>.</w:t>
      </w:r>
    </w:p>
    <w:p w14:paraId="212524FB" w14:textId="77777777" w:rsidR="006A335C" w:rsidRPr="0099313E" w:rsidRDefault="006A335C" w:rsidP="0099313E">
      <w:pPr>
        <w:rPr>
          <w:rStyle w:val="Strong"/>
        </w:rPr>
      </w:pPr>
      <w:r w:rsidRPr="0099313E">
        <w:rPr>
          <w:rStyle w:val="Strong"/>
        </w:rPr>
        <w:t xml:space="preserve">General practitioner FTE was a largely appropriate mechanism to determine grant amount allocation, however it disadvantaged practices and ACCHOs using multidisciplinary models of care </w:t>
      </w:r>
    </w:p>
    <w:p w14:paraId="29087200" w14:textId="77777777" w:rsidR="006A335C" w:rsidRPr="004523AB" w:rsidRDefault="006A335C" w:rsidP="006A335C">
      <w:r w:rsidRPr="004523AB">
        <w:rPr>
          <w:lang w:eastAsia="en-AU"/>
        </w:rPr>
        <w:t>Most practices and PHNs interviewed reported that the FTE of general practitioners within a practice or ACCHO was a fair mechanism to allocate funding amounts noting accreditation status was also considered and total client volume for ACCHOs.</w:t>
      </w:r>
      <w:r w:rsidRPr="004523AB">
        <w:rPr>
          <w:rStyle w:val="FootnoteReference"/>
          <w:lang w:eastAsia="en-AU"/>
        </w:rPr>
        <w:footnoteReference w:id="19"/>
      </w:r>
      <w:r w:rsidRPr="004523AB">
        <w:rPr>
          <w:lang w:eastAsia="en-AU"/>
        </w:rPr>
        <w:t xml:space="preserve"> This made it easy to justify respective amounts and practices generally were comfortable with this approach. Some PHNs reflected that sharing the formula directly with practices or ACCHOS could have addressed most questions regarding allocation amounts. Some practices raised questions about the data used to determine general practitioner FTE. For example, the formula relied on 2019 FTE data, which no longer reflected the current situation for some practices. The Department responded to queries or updates from practices and ACCHOs and adjusted their allocation as appropriate. </w:t>
      </w:r>
    </w:p>
    <w:p w14:paraId="440A220C" w14:textId="77777777" w:rsidR="006A335C" w:rsidRPr="004523AB" w:rsidRDefault="006A335C" w:rsidP="009B45EB">
      <w:r w:rsidRPr="004523AB">
        <w:t xml:space="preserve">Importantly, ACCHOs provide healthcare through multidisciplinary teams, with general practitioners making up a small portion of the diverse ACCHO workforce. As such, general practitioner FTE does not accurately reflect the size and resource requirements of an ACCHO and may not have been an appropriate determinant for the allocation of grant amounts. This concern was raised and addressed through liaison between the Department and NACCHO which resulted in </w:t>
      </w:r>
      <w:r w:rsidRPr="004523AB">
        <w:lastRenderedPageBreak/>
        <w:t>patient cohort size as a determinant of grant allocations, meaning that most ACCHOs received $5000 - $10,000 more than they otherwise would have.</w:t>
      </w:r>
    </w:p>
    <w:p w14:paraId="53C8FB1A" w14:textId="77777777" w:rsidR="006A335C" w:rsidRPr="004523AB" w:rsidRDefault="006A335C" w:rsidP="009B45EB">
      <w:r w:rsidRPr="004523AB">
        <w:t>A small number of practices also suggested that using general practitioner FTE for calculations disadvantaged practices with nurse practitioners and/or allied health staff – despite this workforce mix reflecting the multidisciplinary model of care Strengthening Medicare is aiming to create.</w:t>
      </w:r>
    </w:p>
    <w:p w14:paraId="6055FEFE" w14:textId="77777777" w:rsidR="00121281" w:rsidRPr="004523AB" w:rsidRDefault="006A335C" w:rsidP="009F6AE6">
      <w:pPr>
        <w:rPr>
          <w:lang w:eastAsia="en-AU"/>
        </w:rPr>
      </w:pPr>
      <w:r w:rsidRPr="004523AB">
        <w:rPr>
          <w:lang w:eastAsia="en-AU"/>
        </w:rPr>
        <w:t>Suggestions on alternate mechanisms to determine grant allocation amounts were most often in addition to FTE, rather than in replacement of FTE. Some practices believed regionality by Modified Monash Model of practices and ACCHOs should have been considered, as well as whether the practice or ACCHO targeted priority populations, such as a high proportion of First Nations, Culturally and Linguistically Diverse individuals, or those experiencing socioeconomic disadvantage. However, it was noted by participants that there is no ‘perfect’ formula.</w:t>
      </w:r>
    </w:p>
    <w:p w14:paraId="10B0E6F7" w14:textId="77777777" w:rsidR="00121281" w:rsidRPr="004523AB" w:rsidRDefault="00121281">
      <w:pPr>
        <w:spacing w:after="165" w:line="259" w:lineRule="auto"/>
        <w:rPr>
          <w:lang w:eastAsia="en-AU"/>
        </w:rPr>
      </w:pPr>
      <w:r w:rsidRPr="004523AB">
        <w:rPr>
          <w:lang w:eastAsia="en-AU"/>
        </w:rPr>
        <w:br w:type="page"/>
      </w:r>
    </w:p>
    <w:p w14:paraId="661A2FE1" w14:textId="28F1F916" w:rsidR="00121281" w:rsidRPr="004523AB" w:rsidRDefault="00863709" w:rsidP="00997138">
      <w:pPr>
        <w:pStyle w:val="Heading2"/>
      </w:pPr>
      <w:bookmarkStart w:id="38" w:name="_Toc184982765"/>
      <w:r w:rsidRPr="004523AB">
        <w:lastRenderedPageBreak/>
        <w:t>Program delivery</w:t>
      </w:r>
      <w:bookmarkEnd w:id="38"/>
    </w:p>
    <w:p w14:paraId="26336E49" w14:textId="213099C0" w:rsidR="009A2DAB" w:rsidRPr="004523AB" w:rsidRDefault="005E497F" w:rsidP="00997138">
      <w:pPr>
        <w:pStyle w:val="Heading3"/>
        <w:rPr>
          <w:rFonts w:asciiTheme="majorHAnsi" w:hAnsiTheme="majorHAnsi" w:cstheme="majorHAnsi"/>
          <w:color w:val="00264D" w:themeColor="background2"/>
          <w:sz w:val="24"/>
          <w:szCs w:val="28"/>
        </w:rPr>
      </w:pPr>
      <w:bookmarkStart w:id="39" w:name="_Ref184919115"/>
      <w:r w:rsidRPr="004523AB">
        <w:t xml:space="preserve">There was </w:t>
      </w:r>
      <w:r w:rsidR="000A4846" w:rsidRPr="004523AB">
        <w:t xml:space="preserve">high uptake across </w:t>
      </w:r>
      <w:r w:rsidR="004B7C98" w:rsidRPr="004523AB">
        <w:t xml:space="preserve">practices and </w:t>
      </w:r>
      <w:r w:rsidR="00132A74" w:rsidRPr="004523AB">
        <w:rPr>
          <w:rFonts w:asciiTheme="majorHAnsi" w:hAnsiTheme="majorHAnsi" w:cstheme="majorHAnsi"/>
          <w:color w:val="00264D" w:themeColor="background2"/>
          <w:sz w:val="24"/>
          <w:szCs w:val="28"/>
        </w:rPr>
        <w:t>ACCHOs</w:t>
      </w:r>
      <w:bookmarkEnd w:id="39"/>
    </w:p>
    <w:p w14:paraId="3FFE250D" w14:textId="35D59A53" w:rsidR="00F47D5A" w:rsidRPr="004523AB" w:rsidRDefault="00F47D5A" w:rsidP="009B45EB">
      <w:r w:rsidRPr="004523AB">
        <w:t>Nearly all eligible practices (93 per cent), and all ACCHOs chose to participate in the Program.</w:t>
      </w:r>
      <w:r w:rsidRPr="004523AB" w:rsidDel="009B36AE">
        <w:t xml:space="preserve"> </w:t>
      </w:r>
      <w:r w:rsidR="00AE30FB" w:rsidRPr="004523AB">
        <w:fldChar w:fldCharType="begin"/>
      </w:r>
      <w:r w:rsidR="00AE30FB" w:rsidRPr="004523AB">
        <w:instrText xml:space="preserve"> REF _Ref184972832 \h </w:instrText>
      </w:r>
      <w:r w:rsidR="004523AB" w:rsidRPr="004523AB">
        <w:instrText xml:space="preserve"> \* MERGEFORMAT </w:instrText>
      </w:r>
      <w:r w:rsidR="00AE30FB" w:rsidRPr="004523AB">
        <w:fldChar w:fldCharType="separate"/>
      </w:r>
      <w:r w:rsidR="00B96E50" w:rsidRPr="004523AB">
        <w:t xml:space="preserve">Table </w:t>
      </w:r>
      <w:r w:rsidR="00B96E50">
        <w:rPr>
          <w:noProof/>
        </w:rPr>
        <w:t>13</w:t>
      </w:r>
      <w:r w:rsidR="00AE30FB" w:rsidRPr="004523AB">
        <w:fldChar w:fldCharType="end"/>
      </w:r>
      <w:r w:rsidR="00AE30FB" w:rsidRPr="004523AB">
        <w:t xml:space="preserve">, </w:t>
      </w:r>
      <w:r w:rsidR="00AE30FB" w:rsidRPr="004523AB">
        <w:fldChar w:fldCharType="begin"/>
      </w:r>
      <w:r w:rsidR="00AE30FB" w:rsidRPr="004523AB">
        <w:instrText xml:space="preserve"> REF _Ref184972833 \h </w:instrText>
      </w:r>
      <w:r w:rsidR="004523AB" w:rsidRPr="004523AB">
        <w:instrText xml:space="preserve"> \* MERGEFORMAT </w:instrText>
      </w:r>
      <w:r w:rsidR="00AE30FB" w:rsidRPr="004523AB">
        <w:fldChar w:fldCharType="separate"/>
      </w:r>
      <w:r w:rsidR="00B96E50" w:rsidRPr="004523AB">
        <w:t xml:space="preserve">Table </w:t>
      </w:r>
      <w:r w:rsidR="00B96E50">
        <w:rPr>
          <w:noProof/>
        </w:rPr>
        <w:t>14</w:t>
      </w:r>
      <w:r w:rsidR="00AE30FB" w:rsidRPr="004523AB">
        <w:fldChar w:fldCharType="end"/>
      </w:r>
      <w:r w:rsidR="00AE30FB" w:rsidRPr="004523AB">
        <w:t xml:space="preserve">, and </w:t>
      </w:r>
      <w:r w:rsidR="00AE30FB" w:rsidRPr="004523AB">
        <w:fldChar w:fldCharType="begin"/>
      </w:r>
      <w:r w:rsidR="00AE30FB" w:rsidRPr="004523AB">
        <w:instrText xml:space="preserve"> REF _Ref184972834 \h </w:instrText>
      </w:r>
      <w:r w:rsidR="004523AB" w:rsidRPr="004523AB">
        <w:instrText xml:space="preserve"> \* MERGEFORMAT </w:instrText>
      </w:r>
      <w:r w:rsidR="00AE30FB" w:rsidRPr="004523AB">
        <w:fldChar w:fldCharType="separate"/>
      </w:r>
      <w:r w:rsidR="00B96E50" w:rsidRPr="004523AB">
        <w:t xml:space="preserve">Table </w:t>
      </w:r>
      <w:r w:rsidR="00B96E50">
        <w:rPr>
          <w:noProof/>
        </w:rPr>
        <w:t>15</w:t>
      </w:r>
      <w:r w:rsidR="00AE30FB" w:rsidRPr="004523AB">
        <w:fldChar w:fldCharType="end"/>
      </w:r>
      <w:r w:rsidR="00AE30FB" w:rsidRPr="004523AB">
        <w:t xml:space="preserve"> </w:t>
      </w:r>
      <w:r w:rsidRPr="004523AB">
        <w:t xml:space="preserve">summarise the total Program uptake. As shown in </w:t>
      </w:r>
      <w:r w:rsidR="00424F3E" w:rsidRPr="004523AB">
        <w:fldChar w:fldCharType="begin"/>
      </w:r>
      <w:r w:rsidR="00424F3E" w:rsidRPr="004523AB">
        <w:instrText xml:space="preserve"> REF _Ref184917954 \h </w:instrText>
      </w:r>
      <w:r w:rsidR="004523AB" w:rsidRPr="004523AB">
        <w:instrText xml:space="preserve"> \* MERGEFORMAT </w:instrText>
      </w:r>
      <w:r w:rsidR="00424F3E" w:rsidRPr="004523AB">
        <w:fldChar w:fldCharType="separate"/>
      </w:r>
      <w:r w:rsidR="00B96E50" w:rsidRPr="004523AB">
        <w:t xml:space="preserve">Table </w:t>
      </w:r>
      <w:r w:rsidR="00B96E50">
        <w:rPr>
          <w:noProof/>
        </w:rPr>
        <w:t>16</w:t>
      </w:r>
      <w:r w:rsidR="00424F3E" w:rsidRPr="004523AB">
        <w:fldChar w:fldCharType="end"/>
      </w:r>
      <w:r w:rsidRPr="004523AB">
        <w:t xml:space="preserve">, uptake amongst practices was relatively consistent across states and territories Distribution of spending across the three </w:t>
      </w:r>
      <w:r w:rsidRPr="009B45EB">
        <w:t>investment</w:t>
      </w:r>
      <w:r w:rsidRPr="004523AB">
        <w:t xml:space="preserve"> streams was largely consistent for practices across states and territories, with a small number of larger variations (for example lower uptake of stream two and three in the Northern Territory). More detail on this can be found in </w:t>
      </w:r>
      <w:r w:rsidR="009A4F0C" w:rsidRPr="004523AB">
        <w:fldChar w:fldCharType="begin"/>
      </w:r>
      <w:r w:rsidR="009A4F0C" w:rsidRPr="004523AB">
        <w:instrText xml:space="preserve"> REF _Ref184919494 \r \h </w:instrText>
      </w:r>
      <w:r w:rsidR="004523AB" w:rsidRPr="004523AB">
        <w:instrText xml:space="preserve"> \* MERGEFORMAT </w:instrText>
      </w:r>
      <w:r w:rsidR="009A4F0C" w:rsidRPr="004523AB">
        <w:fldChar w:fldCharType="separate"/>
      </w:r>
      <w:r w:rsidR="00B96E50">
        <w:t>Appendix E</w:t>
      </w:r>
      <w:r w:rsidR="009A4F0C" w:rsidRPr="004523AB">
        <w:fldChar w:fldCharType="end"/>
      </w:r>
      <w:r w:rsidRPr="004523AB">
        <w:t xml:space="preserve"> (ACCHO breakdown by geography is not available). The Department’s FAR process will confirm the total final spend per investment stream. A more detailed breakdown of how practices and ACCHOs spent the grant within each investment stream is captured in </w:t>
      </w:r>
      <w:r w:rsidR="006F6411" w:rsidRPr="004523AB">
        <w:fldChar w:fldCharType="begin"/>
      </w:r>
      <w:r w:rsidR="006F6411" w:rsidRPr="004523AB">
        <w:instrText xml:space="preserve"> REF _Ref184918533 \h </w:instrText>
      </w:r>
      <w:r w:rsidR="004523AB" w:rsidRPr="004523AB">
        <w:instrText xml:space="preserve"> \* MERGEFORMAT </w:instrText>
      </w:r>
      <w:r w:rsidR="006F6411" w:rsidRPr="004523AB">
        <w:fldChar w:fldCharType="separate"/>
      </w:r>
      <w:r w:rsidR="00B96E50" w:rsidRPr="004523AB">
        <w:t xml:space="preserve">Figure </w:t>
      </w:r>
      <w:r w:rsidR="00B96E50">
        <w:rPr>
          <w:noProof/>
        </w:rPr>
        <w:t>4</w:t>
      </w:r>
      <w:r w:rsidR="006F6411" w:rsidRPr="004523AB">
        <w:fldChar w:fldCharType="end"/>
      </w:r>
      <w:r w:rsidR="00656F1A" w:rsidRPr="004523AB">
        <w:t xml:space="preserve">, </w:t>
      </w:r>
      <w:r w:rsidR="00656F1A" w:rsidRPr="004523AB">
        <w:fldChar w:fldCharType="begin"/>
      </w:r>
      <w:r w:rsidR="00656F1A" w:rsidRPr="004523AB">
        <w:instrText xml:space="preserve"> REF _Ref184972752 \h </w:instrText>
      </w:r>
      <w:r w:rsidR="004523AB" w:rsidRPr="004523AB">
        <w:instrText xml:space="preserve"> \* MERGEFORMAT </w:instrText>
      </w:r>
      <w:r w:rsidR="00656F1A" w:rsidRPr="004523AB">
        <w:fldChar w:fldCharType="separate"/>
      </w:r>
      <w:r w:rsidR="00B96E50" w:rsidRPr="004523AB">
        <w:t xml:space="preserve">Figure </w:t>
      </w:r>
      <w:r w:rsidR="00B96E50">
        <w:rPr>
          <w:noProof/>
        </w:rPr>
        <w:t>5</w:t>
      </w:r>
      <w:r w:rsidR="00656F1A" w:rsidRPr="004523AB">
        <w:fldChar w:fldCharType="end"/>
      </w:r>
      <w:r w:rsidR="00656F1A" w:rsidRPr="004523AB">
        <w:t>,</w:t>
      </w:r>
      <w:r w:rsidR="006F6411" w:rsidRPr="004523AB">
        <w:t xml:space="preserve"> </w:t>
      </w:r>
      <w:r w:rsidR="006F6411" w:rsidRPr="004523AB">
        <w:fldChar w:fldCharType="begin"/>
      </w:r>
      <w:r w:rsidR="006F6411" w:rsidRPr="004523AB">
        <w:instrText xml:space="preserve"> REF _Ref184918556 \h  \* MERGEFORMAT </w:instrText>
      </w:r>
      <w:r w:rsidR="006F6411" w:rsidRPr="004523AB">
        <w:fldChar w:fldCharType="separate"/>
      </w:r>
      <w:r w:rsidR="00B96E50" w:rsidRPr="004523AB">
        <w:t>Figure</w:t>
      </w:r>
      <w:r w:rsidR="00B96E50" w:rsidRPr="004523AB">
        <w:rPr>
          <w:noProof/>
        </w:rPr>
        <w:t xml:space="preserve"> </w:t>
      </w:r>
      <w:r w:rsidR="00B96E50">
        <w:rPr>
          <w:noProof/>
        </w:rPr>
        <w:t>6</w:t>
      </w:r>
      <w:r w:rsidR="006F6411" w:rsidRPr="004523AB">
        <w:fldChar w:fldCharType="end"/>
      </w:r>
      <w:r w:rsidR="00656F1A" w:rsidRPr="004523AB">
        <w:t>,</w:t>
      </w:r>
      <w:r w:rsidR="006F6411" w:rsidRPr="004523AB">
        <w:t xml:space="preserve"> </w:t>
      </w:r>
      <w:r w:rsidR="006F6411" w:rsidRPr="004523AB">
        <w:fldChar w:fldCharType="begin"/>
      </w:r>
      <w:r w:rsidR="006F6411" w:rsidRPr="004523AB">
        <w:instrText xml:space="preserve"> REF _Ref184918566 \h  \* MERGEFORMAT </w:instrText>
      </w:r>
      <w:r w:rsidR="006F6411" w:rsidRPr="004523AB">
        <w:fldChar w:fldCharType="separate"/>
      </w:r>
      <w:r w:rsidR="00B96E50" w:rsidRPr="004523AB">
        <w:t xml:space="preserve">Figure </w:t>
      </w:r>
      <w:r w:rsidR="00B96E50">
        <w:rPr>
          <w:noProof/>
        </w:rPr>
        <w:t>7</w:t>
      </w:r>
      <w:r w:rsidR="006F6411" w:rsidRPr="004523AB">
        <w:fldChar w:fldCharType="end"/>
      </w:r>
      <w:r w:rsidR="002C13EF" w:rsidRPr="004523AB">
        <w:t xml:space="preserve">, </w:t>
      </w:r>
      <w:r w:rsidR="002C13EF" w:rsidRPr="004523AB">
        <w:fldChar w:fldCharType="begin"/>
      </w:r>
      <w:r w:rsidR="002C13EF" w:rsidRPr="004523AB">
        <w:instrText xml:space="preserve"> REF _Ref184972950 \h </w:instrText>
      </w:r>
      <w:r w:rsidR="004523AB" w:rsidRPr="004523AB">
        <w:instrText xml:space="preserve"> \* MERGEFORMAT </w:instrText>
      </w:r>
      <w:r w:rsidR="002C13EF" w:rsidRPr="004523AB">
        <w:fldChar w:fldCharType="separate"/>
      </w:r>
      <w:r w:rsidR="00B96E50" w:rsidRPr="004523AB">
        <w:t xml:space="preserve">Figure </w:t>
      </w:r>
      <w:r w:rsidR="00B96E50">
        <w:rPr>
          <w:noProof/>
        </w:rPr>
        <w:t>8</w:t>
      </w:r>
      <w:r w:rsidR="002C13EF" w:rsidRPr="004523AB">
        <w:fldChar w:fldCharType="end"/>
      </w:r>
      <w:r w:rsidR="00656F1A" w:rsidRPr="004523AB">
        <w:t xml:space="preserve"> and</w:t>
      </w:r>
      <w:r w:rsidR="006F6411" w:rsidRPr="004523AB">
        <w:t xml:space="preserve"> </w:t>
      </w:r>
      <w:r w:rsidR="006F6411" w:rsidRPr="004523AB">
        <w:rPr>
          <w:highlight w:val="yellow"/>
        </w:rPr>
        <w:fldChar w:fldCharType="begin"/>
      </w:r>
      <w:r w:rsidR="006F6411" w:rsidRPr="004523AB">
        <w:instrText xml:space="preserve"> REF _Ref184918574 \h </w:instrText>
      </w:r>
      <w:r w:rsidR="004523AB" w:rsidRPr="004523AB">
        <w:rPr>
          <w:highlight w:val="yellow"/>
        </w:rPr>
        <w:instrText xml:space="preserve"> \* MERGEFORMAT </w:instrText>
      </w:r>
      <w:r w:rsidR="006F6411" w:rsidRPr="004523AB">
        <w:rPr>
          <w:highlight w:val="yellow"/>
        </w:rPr>
      </w:r>
      <w:r w:rsidR="006F6411" w:rsidRPr="004523AB">
        <w:rPr>
          <w:highlight w:val="yellow"/>
        </w:rPr>
        <w:fldChar w:fldCharType="separate"/>
      </w:r>
      <w:r w:rsidR="00B96E50" w:rsidRPr="004523AB">
        <w:t xml:space="preserve">Figure </w:t>
      </w:r>
      <w:r w:rsidR="00B96E50">
        <w:rPr>
          <w:noProof/>
        </w:rPr>
        <w:t>9</w:t>
      </w:r>
      <w:r w:rsidR="006F6411" w:rsidRPr="004523AB">
        <w:rPr>
          <w:highlight w:val="yellow"/>
        </w:rPr>
        <w:fldChar w:fldCharType="end"/>
      </w:r>
      <w:r w:rsidR="006F6411" w:rsidRPr="004523AB">
        <w:t>.</w:t>
      </w:r>
      <w:r w:rsidRPr="004523AB">
        <w:t xml:space="preserve"> </w:t>
      </w:r>
    </w:p>
    <w:p w14:paraId="16242232" w14:textId="122F4BE2" w:rsidR="003E0682" w:rsidRPr="004523AB" w:rsidRDefault="003E0682" w:rsidP="003E0682">
      <w:pPr>
        <w:pStyle w:val="Caption"/>
      </w:pPr>
      <w:bookmarkStart w:id="40" w:name="_Ref184972832"/>
      <w:r w:rsidRPr="004523AB">
        <w:t xml:space="preserve">Table </w:t>
      </w:r>
      <w:r w:rsidRPr="004523AB">
        <w:fldChar w:fldCharType="begin"/>
      </w:r>
      <w:r w:rsidRPr="004523AB">
        <w:instrText xml:space="preserve"> SEQ Table \* ARABIC </w:instrText>
      </w:r>
      <w:r w:rsidRPr="004523AB">
        <w:fldChar w:fldCharType="separate"/>
      </w:r>
      <w:r w:rsidR="00B96E50">
        <w:rPr>
          <w:noProof/>
        </w:rPr>
        <w:t>13</w:t>
      </w:r>
      <w:r w:rsidRPr="004523AB">
        <w:fldChar w:fldCharType="end"/>
      </w:r>
      <w:bookmarkEnd w:id="40"/>
      <w:r w:rsidRPr="004523AB">
        <w:t xml:space="preserve"> | Summary of program uptake</w:t>
      </w:r>
    </w:p>
    <w:tbl>
      <w:tblPr>
        <w:tblStyle w:val="AccessibleNousTable"/>
        <w:tblW w:w="0" w:type="auto"/>
        <w:tblLook w:val="04A0" w:firstRow="1" w:lastRow="0" w:firstColumn="1" w:lastColumn="0" w:noHBand="0" w:noVBand="1"/>
      </w:tblPr>
      <w:tblGrid>
        <w:gridCol w:w="2973"/>
        <w:gridCol w:w="2973"/>
        <w:gridCol w:w="2974"/>
      </w:tblGrid>
      <w:tr w:rsidR="00241438" w:rsidRPr="004523AB" w14:paraId="2CF1C9C4" w14:textId="77777777" w:rsidTr="0099313E">
        <w:trPr>
          <w:cnfStyle w:val="100000000000" w:firstRow="1" w:lastRow="0" w:firstColumn="0" w:lastColumn="0" w:oddVBand="0" w:evenVBand="0" w:oddHBand="0" w:evenHBand="0" w:firstRowFirstColumn="0" w:firstRowLastColumn="0" w:lastRowFirstColumn="0" w:lastRowLastColumn="0"/>
          <w:tblHeader/>
        </w:trPr>
        <w:tc>
          <w:tcPr>
            <w:tcW w:w="2973" w:type="dxa"/>
          </w:tcPr>
          <w:p w14:paraId="2F1D9CFB" w14:textId="2E1F60DD" w:rsidR="00241438" w:rsidRPr="004523AB" w:rsidRDefault="00241438" w:rsidP="00241438">
            <w:pPr>
              <w:rPr>
                <w:rFonts w:asciiTheme="majorHAnsi" w:hAnsiTheme="majorHAnsi" w:cstheme="majorHAnsi"/>
                <w:color w:val="00264D" w:themeColor="background2"/>
                <w:szCs w:val="21"/>
                <w:lang w:eastAsia="en-AU"/>
              </w:rPr>
            </w:pPr>
            <w:r w:rsidRPr="004523AB">
              <w:rPr>
                <w:rFonts w:asciiTheme="majorHAnsi" w:hAnsiTheme="majorHAnsi" w:cstheme="majorHAnsi"/>
                <w:szCs w:val="21"/>
                <w:lang w:eastAsia="en-AU"/>
              </w:rPr>
              <w:t>Grant information</w:t>
            </w:r>
          </w:p>
        </w:tc>
        <w:tc>
          <w:tcPr>
            <w:tcW w:w="2973" w:type="dxa"/>
          </w:tcPr>
          <w:p w14:paraId="1E1C1324" w14:textId="04D3DD00" w:rsidR="00241438" w:rsidRPr="004523AB" w:rsidRDefault="00241438" w:rsidP="00241438">
            <w:pPr>
              <w:rPr>
                <w:rFonts w:asciiTheme="majorHAnsi" w:hAnsiTheme="majorHAnsi" w:cstheme="majorHAnsi"/>
                <w:color w:val="00264D" w:themeColor="background2"/>
                <w:szCs w:val="21"/>
                <w:lang w:eastAsia="en-AU"/>
              </w:rPr>
            </w:pPr>
            <w:r w:rsidRPr="004523AB">
              <w:rPr>
                <w:rFonts w:asciiTheme="majorHAnsi" w:hAnsiTheme="majorHAnsi" w:cstheme="majorHAnsi"/>
                <w:szCs w:val="21"/>
                <w:lang w:eastAsia="en-AU"/>
              </w:rPr>
              <w:t>Practices</w:t>
            </w:r>
          </w:p>
        </w:tc>
        <w:tc>
          <w:tcPr>
            <w:tcW w:w="2974" w:type="dxa"/>
          </w:tcPr>
          <w:p w14:paraId="36170A45" w14:textId="4ED1ECE4" w:rsidR="00241438" w:rsidRPr="004523AB" w:rsidRDefault="00241438" w:rsidP="00241438">
            <w:pPr>
              <w:rPr>
                <w:rFonts w:asciiTheme="majorHAnsi" w:hAnsiTheme="majorHAnsi" w:cstheme="majorHAnsi"/>
                <w:color w:val="00264D" w:themeColor="background2"/>
                <w:szCs w:val="21"/>
                <w:lang w:eastAsia="en-AU"/>
              </w:rPr>
            </w:pPr>
            <w:r w:rsidRPr="004523AB">
              <w:rPr>
                <w:rFonts w:asciiTheme="majorHAnsi" w:hAnsiTheme="majorHAnsi" w:cstheme="majorHAnsi"/>
                <w:szCs w:val="21"/>
                <w:lang w:eastAsia="en-AU"/>
              </w:rPr>
              <w:t>ACCHOs</w:t>
            </w:r>
          </w:p>
        </w:tc>
      </w:tr>
      <w:tr w:rsidR="00241438" w:rsidRPr="004523AB" w14:paraId="05F6333E" w14:textId="77777777" w:rsidTr="001D3191">
        <w:tc>
          <w:tcPr>
            <w:tcW w:w="2973" w:type="dxa"/>
          </w:tcPr>
          <w:p w14:paraId="52D62FBB" w14:textId="2EFDDB39" w:rsidR="00241438" w:rsidRPr="004523AB" w:rsidRDefault="00241438" w:rsidP="00241438">
            <w:pPr>
              <w:rPr>
                <w:rFonts w:asciiTheme="majorHAnsi" w:hAnsiTheme="majorHAnsi" w:cstheme="majorHAnsi"/>
                <w:color w:val="00264D" w:themeColor="background2"/>
                <w:szCs w:val="21"/>
                <w:lang w:eastAsia="en-AU"/>
              </w:rPr>
            </w:pPr>
            <w:r w:rsidRPr="004523AB">
              <w:rPr>
                <w:rFonts w:asciiTheme="majorHAnsi" w:hAnsiTheme="majorHAnsi" w:cstheme="majorHAnsi"/>
                <w:szCs w:val="21"/>
                <w:lang w:eastAsia="en-AU"/>
              </w:rPr>
              <w:t xml:space="preserve">Number eligible </w:t>
            </w:r>
          </w:p>
        </w:tc>
        <w:tc>
          <w:tcPr>
            <w:tcW w:w="2973" w:type="dxa"/>
          </w:tcPr>
          <w:p w14:paraId="7DF1F65E" w14:textId="7DE16A61" w:rsidR="00241438" w:rsidRPr="004523AB" w:rsidRDefault="00241438" w:rsidP="00241438">
            <w:pPr>
              <w:rPr>
                <w:rFonts w:asciiTheme="majorHAnsi" w:hAnsiTheme="majorHAnsi" w:cstheme="majorHAnsi"/>
                <w:color w:val="00264D" w:themeColor="background2"/>
                <w:szCs w:val="21"/>
                <w:lang w:eastAsia="en-AU"/>
              </w:rPr>
            </w:pPr>
            <w:r w:rsidRPr="004523AB">
              <w:rPr>
                <w:szCs w:val="21"/>
                <w:lang w:eastAsia="en-AU"/>
              </w:rPr>
              <w:t>7,607</w:t>
            </w:r>
          </w:p>
        </w:tc>
        <w:tc>
          <w:tcPr>
            <w:tcW w:w="2974" w:type="dxa"/>
          </w:tcPr>
          <w:p w14:paraId="46856165" w14:textId="4BBB1508" w:rsidR="00241438" w:rsidRPr="004523AB" w:rsidRDefault="00241438" w:rsidP="00241438">
            <w:pPr>
              <w:rPr>
                <w:rFonts w:asciiTheme="majorHAnsi" w:hAnsiTheme="majorHAnsi" w:cstheme="majorHAnsi"/>
                <w:color w:val="00264D" w:themeColor="background2"/>
                <w:szCs w:val="21"/>
                <w:lang w:eastAsia="en-AU"/>
              </w:rPr>
            </w:pPr>
            <w:r w:rsidRPr="004523AB">
              <w:rPr>
                <w:szCs w:val="21"/>
                <w:lang w:eastAsia="en-AU"/>
              </w:rPr>
              <w:t>126</w:t>
            </w:r>
          </w:p>
        </w:tc>
      </w:tr>
      <w:tr w:rsidR="00241438" w:rsidRPr="004523AB" w14:paraId="17B853BC" w14:textId="77777777" w:rsidTr="001D3191">
        <w:tc>
          <w:tcPr>
            <w:tcW w:w="2973" w:type="dxa"/>
          </w:tcPr>
          <w:p w14:paraId="511872F1" w14:textId="5BCFE7EE" w:rsidR="00241438" w:rsidRPr="004523AB" w:rsidRDefault="00241438" w:rsidP="00241438">
            <w:pPr>
              <w:rPr>
                <w:rFonts w:asciiTheme="majorHAnsi" w:hAnsiTheme="majorHAnsi" w:cstheme="majorHAnsi"/>
                <w:color w:val="00264D" w:themeColor="background2"/>
                <w:szCs w:val="21"/>
                <w:lang w:eastAsia="en-AU"/>
              </w:rPr>
            </w:pPr>
            <w:r w:rsidRPr="004523AB">
              <w:rPr>
                <w:rFonts w:asciiTheme="majorHAnsi" w:hAnsiTheme="majorHAnsi" w:cstheme="majorHAnsi"/>
                <w:szCs w:val="21"/>
                <w:lang w:eastAsia="en-AU"/>
              </w:rPr>
              <w:t xml:space="preserve">% uptake </w:t>
            </w:r>
          </w:p>
        </w:tc>
        <w:tc>
          <w:tcPr>
            <w:tcW w:w="2973" w:type="dxa"/>
          </w:tcPr>
          <w:p w14:paraId="31FE61D7" w14:textId="6322AF3E" w:rsidR="00241438" w:rsidRPr="004523AB" w:rsidRDefault="00241438" w:rsidP="00241438">
            <w:pPr>
              <w:rPr>
                <w:rFonts w:asciiTheme="majorHAnsi" w:hAnsiTheme="majorHAnsi" w:cstheme="majorHAnsi"/>
                <w:color w:val="00264D" w:themeColor="background2"/>
                <w:szCs w:val="21"/>
                <w:lang w:eastAsia="en-AU"/>
              </w:rPr>
            </w:pPr>
            <w:r w:rsidRPr="004523AB">
              <w:rPr>
                <w:szCs w:val="21"/>
                <w:lang w:eastAsia="en-AU"/>
              </w:rPr>
              <w:t>7,047 (93%)</w:t>
            </w:r>
          </w:p>
        </w:tc>
        <w:tc>
          <w:tcPr>
            <w:tcW w:w="2974" w:type="dxa"/>
          </w:tcPr>
          <w:p w14:paraId="06FC4A3A" w14:textId="49714F83" w:rsidR="00241438" w:rsidRPr="004523AB" w:rsidRDefault="00241438" w:rsidP="00241438">
            <w:pPr>
              <w:rPr>
                <w:rFonts w:asciiTheme="majorHAnsi" w:hAnsiTheme="majorHAnsi" w:cstheme="majorHAnsi"/>
                <w:color w:val="00264D" w:themeColor="background2"/>
                <w:szCs w:val="21"/>
                <w:lang w:eastAsia="en-AU"/>
              </w:rPr>
            </w:pPr>
            <w:r w:rsidRPr="004523AB">
              <w:rPr>
                <w:szCs w:val="21"/>
                <w:lang w:eastAsia="en-AU"/>
              </w:rPr>
              <w:t>126 (100%)</w:t>
            </w:r>
            <w:r w:rsidRPr="004523AB">
              <w:rPr>
                <w:rStyle w:val="FootnoteReference"/>
                <w:szCs w:val="21"/>
                <w:lang w:eastAsia="en-AU"/>
              </w:rPr>
              <w:footnoteReference w:id="20"/>
            </w:r>
          </w:p>
        </w:tc>
      </w:tr>
      <w:tr w:rsidR="00241438" w:rsidRPr="004523AB" w14:paraId="683C4BF0" w14:textId="77777777" w:rsidTr="001D3191">
        <w:tc>
          <w:tcPr>
            <w:tcW w:w="2973" w:type="dxa"/>
          </w:tcPr>
          <w:p w14:paraId="157123C6" w14:textId="52018793" w:rsidR="00241438" w:rsidRPr="004523AB" w:rsidRDefault="00241438" w:rsidP="00241438">
            <w:pPr>
              <w:rPr>
                <w:rFonts w:asciiTheme="majorHAnsi" w:hAnsiTheme="majorHAnsi" w:cstheme="majorHAnsi"/>
                <w:color w:val="00264D" w:themeColor="background2"/>
                <w:szCs w:val="21"/>
                <w:lang w:eastAsia="en-AU"/>
              </w:rPr>
            </w:pPr>
            <w:r w:rsidRPr="004523AB">
              <w:rPr>
                <w:rFonts w:asciiTheme="majorHAnsi" w:hAnsiTheme="majorHAnsi" w:cstheme="majorHAnsi"/>
                <w:szCs w:val="21"/>
                <w:lang w:eastAsia="en-AU"/>
              </w:rPr>
              <w:t>Total $ allocated</w:t>
            </w:r>
          </w:p>
        </w:tc>
        <w:tc>
          <w:tcPr>
            <w:tcW w:w="2973" w:type="dxa"/>
          </w:tcPr>
          <w:p w14:paraId="3076198E" w14:textId="0BDA739A" w:rsidR="00241438" w:rsidRPr="004523AB" w:rsidRDefault="00241438" w:rsidP="00241438">
            <w:pPr>
              <w:rPr>
                <w:rFonts w:asciiTheme="majorHAnsi" w:hAnsiTheme="majorHAnsi" w:cstheme="majorHAnsi"/>
                <w:color w:val="00264D" w:themeColor="background2"/>
                <w:szCs w:val="21"/>
                <w:lang w:eastAsia="en-AU"/>
              </w:rPr>
            </w:pPr>
            <w:r w:rsidRPr="004523AB">
              <w:rPr>
                <w:szCs w:val="21"/>
                <w:lang w:eastAsia="en-AU"/>
              </w:rPr>
              <w:t>$189.3M</w:t>
            </w:r>
          </w:p>
        </w:tc>
        <w:tc>
          <w:tcPr>
            <w:tcW w:w="2974" w:type="dxa"/>
          </w:tcPr>
          <w:p w14:paraId="3DBF2006" w14:textId="569181AF" w:rsidR="00241438" w:rsidRPr="004523AB" w:rsidRDefault="00241438" w:rsidP="00241438">
            <w:pPr>
              <w:rPr>
                <w:rFonts w:asciiTheme="majorHAnsi" w:hAnsiTheme="majorHAnsi" w:cstheme="majorHAnsi"/>
                <w:color w:val="00264D" w:themeColor="background2"/>
                <w:szCs w:val="21"/>
                <w:lang w:eastAsia="en-AU"/>
              </w:rPr>
            </w:pPr>
            <w:r w:rsidRPr="004523AB">
              <w:rPr>
                <w:szCs w:val="21"/>
                <w:lang w:eastAsia="en-AU"/>
              </w:rPr>
              <w:t>$3.8M</w:t>
            </w:r>
          </w:p>
        </w:tc>
      </w:tr>
    </w:tbl>
    <w:p w14:paraId="34B954C9" w14:textId="03C21F9A" w:rsidR="003E0682" w:rsidRPr="004523AB" w:rsidRDefault="003E0682" w:rsidP="003E0682">
      <w:pPr>
        <w:pStyle w:val="Caption"/>
      </w:pPr>
      <w:bookmarkStart w:id="41" w:name="_Ref184972833"/>
      <w:r w:rsidRPr="004523AB">
        <w:t xml:space="preserve">Table </w:t>
      </w:r>
      <w:r w:rsidRPr="004523AB">
        <w:fldChar w:fldCharType="begin"/>
      </w:r>
      <w:r w:rsidRPr="004523AB">
        <w:instrText xml:space="preserve"> SEQ Table \* ARABIC </w:instrText>
      </w:r>
      <w:r w:rsidRPr="004523AB">
        <w:fldChar w:fldCharType="separate"/>
      </w:r>
      <w:r w:rsidR="00B96E50">
        <w:rPr>
          <w:noProof/>
        </w:rPr>
        <w:t>14</w:t>
      </w:r>
      <w:r w:rsidRPr="004523AB">
        <w:fldChar w:fldCharType="end"/>
      </w:r>
      <w:bookmarkEnd w:id="41"/>
      <w:r w:rsidRPr="004523AB">
        <w:t xml:space="preserve"> | Summary of program uptake by grant size</w:t>
      </w:r>
    </w:p>
    <w:tbl>
      <w:tblPr>
        <w:tblStyle w:val="AccessibleNousTable"/>
        <w:tblW w:w="0" w:type="auto"/>
        <w:tblLook w:val="04A0" w:firstRow="1" w:lastRow="0" w:firstColumn="1" w:lastColumn="0" w:noHBand="0" w:noVBand="1"/>
      </w:tblPr>
      <w:tblGrid>
        <w:gridCol w:w="2973"/>
        <w:gridCol w:w="2973"/>
        <w:gridCol w:w="2974"/>
      </w:tblGrid>
      <w:tr w:rsidR="00DC75F4" w:rsidRPr="004523AB" w14:paraId="2D5A0AF3" w14:textId="77777777" w:rsidTr="0099313E">
        <w:trPr>
          <w:cnfStyle w:val="100000000000" w:firstRow="1" w:lastRow="0" w:firstColumn="0" w:lastColumn="0" w:oddVBand="0" w:evenVBand="0" w:oddHBand="0" w:evenHBand="0" w:firstRowFirstColumn="0" w:firstRowLastColumn="0" w:lastRowFirstColumn="0" w:lastRowLastColumn="0"/>
          <w:tblHeader/>
        </w:trPr>
        <w:tc>
          <w:tcPr>
            <w:tcW w:w="2973" w:type="dxa"/>
          </w:tcPr>
          <w:p w14:paraId="01E357BD" w14:textId="6D67CB01" w:rsidR="00DC75F4" w:rsidRPr="004523AB" w:rsidRDefault="00FF3A84" w:rsidP="009F6AE6">
            <w:pPr>
              <w:rPr>
                <w:rFonts w:asciiTheme="majorHAnsi" w:hAnsiTheme="majorHAnsi" w:cstheme="majorHAnsi"/>
                <w:color w:val="00264D" w:themeColor="background2"/>
                <w:szCs w:val="21"/>
                <w:lang w:eastAsia="en-AU"/>
              </w:rPr>
            </w:pPr>
            <w:r w:rsidRPr="004523AB">
              <w:rPr>
                <w:rFonts w:asciiTheme="majorHAnsi" w:hAnsiTheme="majorHAnsi" w:cstheme="majorHAnsi"/>
                <w:szCs w:val="21"/>
                <w:lang w:eastAsia="en-AU"/>
              </w:rPr>
              <w:t>Grant size</w:t>
            </w:r>
          </w:p>
        </w:tc>
        <w:tc>
          <w:tcPr>
            <w:tcW w:w="2973" w:type="dxa"/>
          </w:tcPr>
          <w:p w14:paraId="09A9AC61" w14:textId="666D60E8" w:rsidR="00DC75F4" w:rsidRPr="004523AB" w:rsidRDefault="00CE5447" w:rsidP="009F6AE6">
            <w:pPr>
              <w:rPr>
                <w:rFonts w:asciiTheme="majorHAnsi" w:hAnsiTheme="majorHAnsi" w:cstheme="majorHAnsi"/>
                <w:color w:val="BFBFBF" w:themeColor="background1" w:themeShade="BF"/>
                <w:szCs w:val="21"/>
                <w:lang w:eastAsia="en-AU"/>
              </w:rPr>
            </w:pPr>
            <w:r w:rsidRPr="004523AB">
              <w:rPr>
                <w:rFonts w:asciiTheme="majorHAnsi" w:hAnsiTheme="majorHAnsi" w:cstheme="majorHAnsi"/>
                <w:szCs w:val="21"/>
                <w:lang w:eastAsia="en-AU"/>
              </w:rPr>
              <w:t>Practices</w:t>
            </w:r>
          </w:p>
        </w:tc>
        <w:tc>
          <w:tcPr>
            <w:tcW w:w="2974" w:type="dxa"/>
          </w:tcPr>
          <w:p w14:paraId="4D46B9FD" w14:textId="498B9DD9" w:rsidR="00DC75F4" w:rsidRPr="004523AB" w:rsidRDefault="00CE5447" w:rsidP="009F6AE6">
            <w:pPr>
              <w:rPr>
                <w:rFonts w:asciiTheme="majorHAnsi" w:hAnsiTheme="majorHAnsi" w:cstheme="majorHAnsi"/>
                <w:color w:val="00264D" w:themeColor="background2"/>
                <w:szCs w:val="21"/>
                <w:lang w:eastAsia="en-AU"/>
              </w:rPr>
            </w:pPr>
            <w:r w:rsidRPr="004523AB">
              <w:rPr>
                <w:rFonts w:asciiTheme="majorHAnsi" w:hAnsiTheme="majorHAnsi" w:cstheme="majorHAnsi"/>
                <w:szCs w:val="21"/>
                <w:lang w:eastAsia="en-AU"/>
              </w:rPr>
              <w:t>ACCHOs</w:t>
            </w:r>
          </w:p>
        </w:tc>
      </w:tr>
      <w:tr w:rsidR="00092435" w:rsidRPr="004523AB" w14:paraId="4A79591E" w14:textId="77777777" w:rsidTr="00DC75F4">
        <w:tc>
          <w:tcPr>
            <w:tcW w:w="2973" w:type="dxa"/>
          </w:tcPr>
          <w:p w14:paraId="7262D3FB" w14:textId="1746C6BE" w:rsidR="00092435" w:rsidRPr="004523AB" w:rsidRDefault="00092435" w:rsidP="00092435">
            <w:pPr>
              <w:rPr>
                <w:rFonts w:asciiTheme="majorHAnsi" w:hAnsiTheme="majorHAnsi" w:cstheme="majorHAnsi"/>
                <w:color w:val="00264D" w:themeColor="background2"/>
                <w:szCs w:val="21"/>
                <w:lang w:eastAsia="en-AU"/>
              </w:rPr>
            </w:pPr>
            <w:r w:rsidRPr="004523AB">
              <w:rPr>
                <w:szCs w:val="21"/>
                <w:lang w:eastAsia="en-AU"/>
              </w:rPr>
              <w:t>$25,000</w:t>
            </w:r>
          </w:p>
        </w:tc>
        <w:tc>
          <w:tcPr>
            <w:tcW w:w="2973" w:type="dxa"/>
          </w:tcPr>
          <w:p w14:paraId="546B3DDE" w14:textId="0973F04F" w:rsidR="00092435" w:rsidRPr="004523AB" w:rsidRDefault="00092435" w:rsidP="00092435">
            <w:pPr>
              <w:rPr>
                <w:rFonts w:asciiTheme="majorHAnsi" w:hAnsiTheme="majorHAnsi" w:cstheme="majorHAnsi"/>
                <w:color w:val="00264D" w:themeColor="background2"/>
                <w:szCs w:val="21"/>
                <w:lang w:eastAsia="en-AU"/>
              </w:rPr>
            </w:pPr>
            <w:r w:rsidRPr="004523AB">
              <w:rPr>
                <w:szCs w:val="21"/>
                <w:lang w:eastAsia="en-AU"/>
              </w:rPr>
              <w:t>6,466 (91.7%)</w:t>
            </w:r>
          </w:p>
        </w:tc>
        <w:tc>
          <w:tcPr>
            <w:tcW w:w="2974" w:type="dxa"/>
          </w:tcPr>
          <w:p w14:paraId="313146E4" w14:textId="3F5C74E5" w:rsidR="00092435" w:rsidRPr="004523AB" w:rsidRDefault="00092435" w:rsidP="00092435">
            <w:pPr>
              <w:rPr>
                <w:rFonts w:asciiTheme="majorHAnsi" w:hAnsiTheme="majorHAnsi" w:cstheme="majorHAnsi"/>
                <w:color w:val="00264D" w:themeColor="background2"/>
                <w:szCs w:val="21"/>
                <w:lang w:eastAsia="en-AU"/>
              </w:rPr>
            </w:pPr>
            <w:r w:rsidRPr="004523AB">
              <w:rPr>
                <w:szCs w:val="21"/>
                <w:lang w:eastAsia="en-AU"/>
              </w:rPr>
              <w:t>27 (21.4%)</w:t>
            </w:r>
          </w:p>
        </w:tc>
      </w:tr>
      <w:tr w:rsidR="00092435" w:rsidRPr="004523AB" w14:paraId="293ED88D" w14:textId="77777777" w:rsidTr="00DC75F4">
        <w:tc>
          <w:tcPr>
            <w:tcW w:w="2973" w:type="dxa"/>
          </w:tcPr>
          <w:p w14:paraId="2C5CA7E5" w14:textId="1143158F" w:rsidR="00092435" w:rsidRPr="004523AB" w:rsidRDefault="00092435" w:rsidP="00092435">
            <w:pPr>
              <w:rPr>
                <w:rFonts w:asciiTheme="majorHAnsi" w:hAnsiTheme="majorHAnsi" w:cstheme="majorHAnsi"/>
                <w:color w:val="00264D" w:themeColor="background2"/>
                <w:szCs w:val="21"/>
                <w:lang w:eastAsia="en-AU"/>
              </w:rPr>
            </w:pPr>
            <w:r w:rsidRPr="004523AB">
              <w:rPr>
                <w:szCs w:val="21"/>
                <w:lang w:eastAsia="en-AU"/>
              </w:rPr>
              <w:t>$30,000</w:t>
            </w:r>
          </w:p>
        </w:tc>
        <w:tc>
          <w:tcPr>
            <w:tcW w:w="2973" w:type="dxa"/>
          </w:tcPr>
          <w:p w14:paraId="79A1C76B" w14:textId="3FD6BD53" w:rsidR="00092435" w:rsidRPr="004523AB" w:rsidRDefault="00092435" w:rsidP="00092435">
            <w:pPr>
              <w:rPr>
                <w:rFonts w:asciiTheme="majorHAnsi" w:hAnsiTheme="majorHAnsi" w:cstheme="majorHAnsi"/>
                <w:color w:val="00264D" w:themeColor="background2"/>
                <w:szCs w:val="21"/>
                <w:lang w:eastAsia="en-AU"/>
              </w:rPr>
            </w:pPr>
            <w:r w:rsidRPr="004523AB">
              <w:rPr>
                <w:szCs w:val="21"/>
                <w:lang w:eastAsia="en-AU"/>
              </w:rPr>
              <w:t>0</w:t>
            </w:r>
          </w:p>
        </w:tc>
        <w:tc>
          <w:tcPr>
            <w:tcW w:w="2974" w:type="dxa"/>
          </w:tcPr>
          <w:p w14:paraId="4E6C3BCC" w14:textId="58FD4CC8" w:rsidR="00092435" w:rsidRPr="004523AB" w:rsidRDefault="00092435" w:rsidP="00092435">
            <w:pPr>
              <w:rPr>
                <w:rFonts w:asciiTheme="majorHAnsi" w:hAnsiTheme="majorHAnsi" w:cstheme="majorHAnsi"/>
                <w:color w:val="00264D" w:themeColor="background2"/>
                <w:szCs w:val="21"/>
                <w:lang w:eastAsia="en-AU"/>
              </w:rPr>
            </w:pPr>
            <w:r w:rsidRPr="004523AB">
              <w:rPr>
                <w:szCs w:val="21"/>
                <w:lang w:eastAsia="en-AU"/>
              </w:rPr>
              <w:t>57 (45.2%)</w:t>
            </w:r>
          </w:p>
        </w:tc>
      </w:tr>
      <w:tr w:rsidR="00092435" w:rsidRPr="004523AB" w14:paraId="6284C838" w14:textId="77777777" w:rsidTr="00DC75F4">
        <w:tc>
          <w:tcPr>
            <w:tcW w:w="2973" w:type="dxa"/>
          </w:tcPr>
          <w:p w14:paraId="6B067216" w14:textId="559EBAB5" w:rsidR="00092435" w:rsidRPr="004523AB" w:rsidRDefault="00092435" w:rsidP="00092435">
            <w:pPr>
              <w:rPr>
                <w:rFonts w:asciiTheme="majorHAnsi" w:hAnsiTheme="majorHAnsi" w:cstheme="majorHAnsi"/>
                <w:color w:val="00264D" w:themeColor="background2"/>
                <w:szCs w:val="21"/>
                <w:lang w:eastAsia="en-AU"/>
              </w:rPr>
            </w:pPr>
            <w:r w:rsidRPr="004523AB">
              <w:rPr>
                <w:szCs w:val="21"/>
                <w:lang w:eastAsia="en-AU"/>
              </w:rPr>
              <w:t>$35,000</w:t>
            </w:r>
          </w:p>
        </w:tc>
        <w:tc>
          <w:tcPr>
            <w:tcW w:w="2973" w:type="dxa"/>
          </w:tcPr>
          <w:p w14:paraId="7153A02A" w14:textId="2C29DC97" w:rsidR="00092435" w:rsidRPr="004523AB" w:rsidRDefault="00092435" w:rsidP="00092435">
            <w:pPr>
              <w:rPr>
                <w:rFonts w:asciiTheme="majorHAnsi" w:hAnsiTheme="majorHAnsi" w:cstheme="majorHAnsi"/>
                <w:color w:val="00264D" w:themeColor="background2"/>
                <w:szCs w:val="21"/>
                <w:lang w:eastAsia="en-AU"/>
              </w:rPr>
            </w:pPr>
            <w:r w:rsidRPr="004523AB">
              <w:rPr>
                <w:szCs w:val="21"/>
                <w:lang w:eastAsia="en-AU"/>
              </w:rPr>
              <w:t>1,081 (15.3%)</w:t>
            </w:r>
          </w:p>
        </w:tc>
        <w:tc>
          <w:tcPr>
            <w:tcW w:w="2974" w:type="dxa"/>
          </w:tcPr>
          <w:p w14:paraId="303453EF" w14:textId="08777B76" w:rsidR="00092435" w:rsidRPr="004523AB" w:rsidRDefault="00092435" w:rsidP="00092435">
            <w:pPr>
              <w:rPr>
                <w:rFonts w:asciiTheme="majorHAnsi" w:hAnsiTheme="majorHAnsi" w:cstheme="majorHAnsi"/>
                <w:color w:val="00264D" w:themeColor="background2"/>
                <w:szCs w:val="21"/>
                <w:lang w:eastAsia="en-AU"/>
              </w:rPr>
            </w:pPr>
            <w:r w:rsidRPr="004523AB">
              <w:rPr>
                <w:szCs w:val="21"/>
                <w:lang w:eastAsia="en-AU"/>
              </w:rPr>
              <w:t>22 (17.5%)</w:t>
            </w:r>
          </w:p>
        </w:tc>
      </w:tr>
      <w:tr w:rsidR="00092435" w:rsidRPr="004523AB" w14:paraId="562A1023" w14:textId="77777777" w:rsidTr="00DC75F4">
        <w:tc>
          <w:tcPr>
            <w:tcW w:w="2973" w:type="dxa"/>
          </w:tcPr>
          <w:p w14:paraId="78943DAD" w14:textId="26B9F7B1" w:rsidR="00092435" w:rsidRPr="004523AB" w:rsidRDefault="00092435" w:rsidP="00092435">
            <w:pPr>
              <w:rPr>
                <w:szCs w:val="21"/>
                <w:lang w:eastAsia="en-AU"/>
              </w:rPr>
            </w:pPr>
            <w:r w:rsidRPr="004523AB">
              <w:rPr>
                <w:szCs w:val="21"/>
                <w:lang w:eastAsia="en-AU"/>
              </w:rPr>
              <w:t>$45,000</w:t>
            </w:r>
          </w:p>
        </w:tc>
        <w:tc>
          <w:tcPr>
            <w:tcW w:w="2973" w:type="dxa"/>
          </w:tcPr>
          <w:p w14:paraId="6A0F148D" w14:textId="5D00529D" w:rsidR="00092435" w:rsidRPr="004523AB" w:rsidRDefault="00092435" w:rsidP="00092435">
            <w:pPr>
              <w:rPr>
                <w:rFonts w:asciiTheme="majorHAnsi" w:hAnsiTheme="majorHAnsi" w:cstheme="majorHAnsi"/>
                <w:color w:val="00264D" w:themeColor="background2"/>
                <w:szCs w:val="21"/>
                <w:lang w:eastAsia="en-AU"/>
              </w:rPr>
            </w:pPr>
            <w:r w:rsidRPr="004523AB">
              <w:rPr>
                <w:szCs w:val="21"/>
                <w:lang w:eastAsia="en-AU"/>
              </w:rPr>
              <w:t>0</w:t>
            </w:r>
          </w:p>
        </w:tc>
        <w:tc>
          <w:tcPr>
            <w:tcW w:w="2974" w:type="dxa"/>
          </w:tcPr>
          <w:p w14:paraId="5F94450E" w14:textId="6AC8196F" w:rsidR="00092435" w:rsidRPr="004523AB" w:rsidRDefault="00092435" w:rsidP="00092435">
            <w:pPr>
              <w:rPr>
                <w:rFonts w:asciiTheme="majorHAnsi" w:hAnsiTheme="majorHAnsi" w:cstheme="majorHAnsi"/>
                <w:color w:val="00264D" w:themeColor="background2"/>
                <w:szCs w:val="21"/>
                <w:lang w:eastAsia="en-AU"/>
              </w:rPr>
            </w:pPr>
            <w:r w:rsidRPr="004523AB">
              <w:rPr>
                <w:szCs w:val="21"/>
                <w:lang w:eastAsia="en-AU"/>
              </w:rPr>
              <w:t>3 (2.4%)</w:t>
            </w:r>
          </w:p>
        </w:tc>
      </w:tr>
      <w:tr w:rsidR="00092435" w:rsidRPr="004523AB" w14:paraId="25528599" w14:textId="77777777" w:rsidTr="00DC75F4">
        <w:tc>
          <w:tcPr>
            <w:tcW w:w="2973" w:type="dxa"/>
          </w:tcPr>
          <w:p w14:paraId="6E563D2A" w14:textId="69DC08C2" w:rsidR="00092435" w:rsidRPr="004523AB" w:rsidRDefault="00092435" w:rsidP="00092435">
            <w:pPr>
              <w:rPr>
                <w:szCs w:val="21"/>
                <w:lang w:eastAsia="en-AU"/>
              </w:rPr>
            </w:pPr>
            <w:r w:rsidRPr="004523AB">
              <w:rPr>
                <w:szCs w:val="21"/>
                <w:lang w:eastAsia="en-AU"/>
              </w:rPr>
              <w:t xml:space="preserve">$50,000 </w:t>
            </w:r>
          </w:p>
        </w:tc>
        <w:tc>
          <w:tcPr>
            <w:tcW w:w="2973" w:type="dxa"/>
          </w:tcPr>
          <w:p w14:paraId="7D755390" w14:textId="706E2EFE" w:rsidR="00092435" w:rsidRPr="004523AB" w:rsidRDefault="00092435" w:rsidP="00092435">
            <w:pPr>
              <w:rPr>
                <w:rFonts w:asciiTheme="majorHAnsi" w:hAnsiTheme="majorHAnsi" w:cstheme="majorHAnsi"/>
                <w:color w:val="00264D" w:themeColor="background2"/>
                <w:szCs w:val="21"/>
                <w:lang w:eastAsia="en-AU"/>
              </w:rPr>
            </w:pPr>
            <w:r w:rsidRPr="004523AB">
              <w:rPr>
                <w:szCs w:val="21"/>
                <w:lang w:eastAsia="en-AU"/>
              </w:rPr>
              <w:t>107 (1.5%)</w:t>
            </w:r>
          </w:p>
        </w:tc>
        <w:tc>
          <w:tcPr>
            <w:tcW w:w="2974" w:type="dxa"/>
          </w:tcPr>
          <w:p w14:paraId="1913BD51" w14:textId="1984A0AD" w:rsidR="00092435" w:rsidRPr="004523AB" w:rsidRDefault="00092435" w:rsidP="00092435">
            <w:pPr>
              <w:rPr>
                <w:rFonts w:asciiTheme="majorHAnsi" w:hAnsiTheme="majorHAnsi" w:cstheme="majorHAnsi"/>
                <w:color w:val="00264D" w:themeColor="background2"/>
                <w:szCs w:val="21"/>
                <w:lang w:eastAsia="en-AU"/>
              </w:rPr>
            </w:pPr>
            <w:r w:rsidRPr="004523AB">
              <w:rPr>
                <w:szCs w:val="21"/>
                <w:lang w:eastAsia="en-AU"/>
              </w:rPr>
              <w:t>1 (0.8%)</w:t>
            </w:r>
          </w:p>
        </w:tc>
      </w:tr>
    </w:tbl>
    <w:p w14:paraId="18BD0E96" w14:textId="56449B3B" w:rsidR="003E0682" w:rsidRPr="004523AB" w:rsidRDefault="003E0682" w:rsidP="003E0682">
      <w:pPr>
        <w:pStyle w:val="Caption"/>
      </w:pPr>
      <w:bookmarkStart w:id="42" w:name="_Ref184972834"/>
      <w:r w:rsidRPr="004523AB">
        <w:lastRenderedPageBreak/>
        <w:t xml:space="preserve">Table </w:t>
      </w:r>
      <w:r w:rsidRPr="004523AB">
        <w:fldChar w:fldCharType="begin"/>
      </w:r>
      <w:r w:rsidRPr="004523AB">
        <w:instrText xml:space="preserve"> SEQ Table \* ARABIC </w:instrText>
      </w:r>
      <w:r w:rsidRPr="004523AB">
        <w:fldChar w:fldCharType="separate"/>
      </w:r>
      <w:r w:rsidR="00B96E50">
        <w:rPr>
          <w:noProof/>
        </w:rPr>
        <w:t>15</w:t>
      </w:r>
      <w:r w:rsidRPr="004523AB">
        <w:fldChar w:fldCharType="end"/>
      </w:r>
      <w:bookmarkEnd w:id="42"/>
      <w:r w:rsidRPr="004523AB">
        <w:t xml:space="preserve"> | Summary of program uptake by investment stream</w:t>
      </w:r>
    </w:p>
    <w:tbl>
      <w:tblPr>
        <w:tblStyle w:val="AccessibleNousTable"/>
        <w:tblW w:w="0" w:type="auto"/>
        <w:tblLook w:val="04A0" w:firstRow="1" w:lastRow="0" w:firstColumn="1" w:lastColumn="0" w:noHBand="0" w:noVBand="1"/>
      </w:tblPr>
      <w:tblGrid>
        <w:gridCol w:w="2973"/>
        <w:gridCol w:w="2973"/>
        <w:gridCol w:w="2974"/>
      </w:tblGrid>
      <w:tr w:rsidR="00562E89" w:rsidRPr="004523AB" w14:paraId="126239CB" w14:textId="77777777" w:rsidTr="0099313E">
        <w:trPr>
          <w:cnfStyle w:val="100000000000" w:firstRow="1" w:lastRow="0" w:firstColumn="0" w:lastColumn="0" w:oddVBand="0" w:evenVBand="0" w:oddHBand="0" w:evenHBand="0" w:firstRowFirstColumn="0" w:firstRowLastColumn="0" w:lastRowFirstColumn="0" w:lastRowLastColumn="0"/>
          <w:tblHeader/>
        </w:trPr>
        <w:tc>
          <w:tcPr>
            <w:tcW w:w="2973" w:type="dxa"/>
          </w:tcPr>
          <w:p w14:paraId="4A76C239" w14:textId="5A2E6C7E" w:rsidR="00562E89" w:rsidRPr="004523AB" w:rsidRDefault="00C138C0">
            <w:pPr>
              <w:rPr>
                <w:rFonts w:asciiTheme="majorHAnsi" w:hAnsiTheme="majorHAnsi" w:cstheme="majorHAnsi"/>
                <w:color w:val="00264D" w:themeColor="background2"/>
                <w:szCs w:val="21"/>
                <w:lang w:eastAsia="en-AU"/>
              </w:rPr>
            </w:pPr>
            <w:r w:rsidRPr="004523AB">
              <w:rPr>
                <w:rFonts w:asciiTheme="majorHAnsi" w:hAnsiTheme="majorHAnsi" w:cstheme="majorHAnsi"/>
                <w:szCs w:val="21"/>
                <w:lang w:eastAsia="en-AU"/>
              </w:rPr>
              <w:t>Investment stream</w:t>
            </w:r>
          </w:p>
        </w:tc>
        <w:tc>
          <w:tcPr>
            <w:tcW w:w="2973" w:type="dxa"/>
          </w:tcPr>
          <w:p w14:paraId="4905D029" w14:textId="571402E1" w:rsidR="00562E89" w:rsidRPr="004523AB" w:rsidRDefault="00562E89">
            <w:pPr>
              <w:rPr>
                <w:rFonts w:asciiTheme="majorHAnsi" w:hAnsiTheme="majorHAnsi" w:cstheme="majorHAnsi"/>
                <w:color w:val="auto"/>
                <w:szCs w:val="21"/>
                <w:lang w:eastAsia="en-AU"/>
              </w:rPr>
            </w:pPr>
            <w:r w:rsidRPr="004523AB">
              <w:rPr>
                <w:rFonts w:asciiTheme="majorHAnsi" w:hAnsiTheme="majorHAnsi" w:cstheme="majorHAnsi"/>
                <w:color w:val="auto"/>
                <w:szCs w:val="21"/>
                <w:lang w:eastAsia="en-AU"/>
              </w:rPr>
              <w:t>Practices</w:t>
            </w:r>
          </w:p>
        </w:tc>
        <w:tc>
          <w:tcPr>
            <w:tcW w:w="2974" w:type="dxa"/>
          </w:tcPr>
          <w:p w14:paraId="7F0F8B5C" w14:textId="77777777" w:rsidR="00562E89" w:rsidRPr="004523AB" w:rsidRDefault="00562E89">
            <w:pPr>
              <w:rPr>
                <w:rFonts w:asciiTheme="majorHAnsi" w:hAnsiTheme="majorHAnsi" w:cstheme="majorHAnsi"/>
                <w:color w:val="00264D" w:themeColor="background2"/>
                <w:szCs w:val="21"/>
                <w:lang w:eastAsia="en-AU"/>
              </w:rPr>
            </w:pPr>
            <w:r w:rsidRPr="004523AB">
              <w:rPr>
                <w:rFonts w:asciiTheme="majorHAnsi" w:hAnsiTheme="majorHAnsi" w:cstheme="majorHAnsi"/>
                <w:szCs w:val="21"/>
                <w:lang w:eastAsia="en-AU"/>
              </w:rPr>
              <w:t>ACCHOs</w:t>
            </w:r>
          </w:p>
        </w:tc>
      </w:tr>
      <w:tr w:rsidR="00DE05B7" w:rsidRPr="004523AB" w14:paraId="74AFB676" w14:textId="77777777">
        <w:tc>
          <w:tcPr>
            <w:tcW w:w="2973" w:type="dxa"/>
          </w:tcPr>
          <w:p w14:paraId="5D4FCD7A" w14:textId="542CB553" w:rsidR="00DE05B7" w:rsidRPr="004523AB" w:rsidRDefault="00DE05B7" w:rsidP="00DE05B7">
            <w:pPr>
              <w:rPr>
                <w:rFonts w:asciiTheme="majorHAnsi" w:hAnsiTheme="majorHAnsi" w:cstheme="majorHAnsi"/>
                <w:color w:val="00264D" w:themeColor="background2"/>
                <w:szCs w:val="21"/>
                <w:lang w:eastAsia="en-AU"/>
              </w:rPr>
            </w:pPr>
            <w:r w:rsidRPr="004523AB">
              <w:rPr>
                <w:szCs w:val="21"/>
                <w:lang w:eastAsia="en-AU"/>
              </w:rPr>
              <w:t>1: Digital capability</w:t>
            </w:r>
          </w:p>
        </w:tc>
        <w:tc>
          <w:tcPr>
            <w:tcW w:w="2973" w:type="dxa"/>
          </w:tcPr>
          <w:p w14:paraId="598AAC04" w14:textId="3EBEFEDA" w:rsidR="00DE05B7" w:rsidRPr="004523AB" w:rsidRDefault="00DE05B7" w:rsidP="00DE05B7">
            <w:pPr>
              <w:rPr>
                <w:rFonts w:asciiTheme="majorHAnsi" w:hAnsiTheme="majorHAnsi" w:cstheme="majorHAnsi"/>
                <w:color w:val="00264D" w:themeColor="background2"/>
                <w:szCs w:val="21"/>
                <w:lang w:eastAsia="en-AU"/>
              </w:rPr>
            </w:pPr>
            <w:r w:rsidRPr="004523AB">
              <w:rPr>
                <w:szCs w:val="21"/>
                <w:lang w:eastAsia="en-AU"/>
              </w:rPr>
              <w:t>4,844 (91%)</w:t>
            </w:r>
          </w:p>
        </w:tc>
        <w:tc>
          <w:tcPr>
            <w:tcW w:w="2974" w:type="dxa"/>
          </w:tcPr>
          <w:p w14:paraId="37F60878" w14:textId="6B7051E1" w:rsidR="00DE05B7" w:rsidRPr="004523AB" w:rsidRDefault="00DE05B7" w:rsidP="00DE05B7">
            <w:pPr>
              <w:rPr>
                <w:rFonts w:asciiTheme="majorHAnsi" w:hAnsiTheme="majorHAnsi" w:cstheme="majorHAnsi"/>
                <w:color w:val="00264D" w:themeColor="background2"/>
                <w:szCs w:val="21"/>
                <w:lang w:eastAsia="en-AU"/>
              </w:rPr>
            </w:pPr>
            <w:r w:rsidRPr="004523AB">
              <w:rPr>
                <w:szCs w:val="21"/>
                <w:lang w:eastAsia="en-AU"/>
              </w:rPr>
              <w:t>72 (57.1%)</w:t>
            </w:r>
          </w:p>
        </w:tc>
      </w:tr>
      <w:tr w:rsidR="001A7CB0" w:rsidRPr="004523AB" w14:paraId="6C3DCBE4" w14:textId="77777777">
        <w:tc>
          <w:tcPr>
            <w:tcW w:w="2973" w:type="dxa"/>
          </w:tcPr>
          <w:p w14:paraId="13F7C907" w14:textId="59BC8F62" w:rsidR="001A7CB0" w:rsidRPr="004523AB" w:rsidRDefault="001A7CB0" w:rsidP="001A7CB0">
            <w:pPr>
              <w:rPr>
                <w:rFonts w:asciiTheme="majorHAnsi" w:hAnsiTheme="majorHAnsi" w:cstheme="majorHAnsi"/>
                <w:color w:val="00264D" w:themeColor="background2"/>
                <w:szCs w:val="21"/>
                <w:lang w:eastAsia="en-AU"/>
              </w:rPr>
            </w:pPr>
            <w:r w:rsidRPr="004523AB">
              <w:rPr>
                <w:szCs w:val="21"/>
                <w:lang w:eastAsia="en-AU"/>
              </w:rPr>
              <w:t xml:space="preserve">2: Infection prevention and control </w:t>
            </w:r>
          </w:p>
        </w:tc>
        <w:tc>
          <w:tcPr>
            <w:tcW w:w="2973" w:type="dxa"/>
          </w:tcPr>
          <w:p w14:paraId="23E7C445" w14:textId="603DBEBE" w:rsidR="001A7CB0" w:rsidRPr="004523AB" w:rsidRDefault="001A7CB0" w:rsidP="001A7CB0">
            <w:pPr>
              <w:rPr>
                <w:rFonts w:asciiTheme="majorHAnsi" w:hAnsiTheme="majorHAnsi" w:cstheme="majorHAnsi"/>
                <w:color w:val="00264D" w:themeColor="background2"/>
                <w:szCs w:val="21"/>
                <w:lang w:eastAsia="en-AU"/>
              </w:rPr>
            </w:pPr>
            <w:r w:rsidRPr="004523AB">
              <w:rPr>
                <w:szCs w:val="21"/>
                <w:lang w:eastAsia="en-AU"/>
              </w:rPr>
              <w:t>3,327 (62%)</w:t>
            </w:r>
          </w:p>
        </w:tc>
        <w:tc>
          <w:tcPr>
            <w:tcW w:w="2974" w:type="dxa"/>
          </w:tcPr>
          <w:p w14:paraId="0D6163C9" w14:textId="110F1180" w:rsidR="001A7CB0" w:rsidRPr="004523AB" w:rsidRDefault="001A7CB0" w:rsidP="001A7CB0">
            <w:pPr>
              <w:rPr>
                <w:rFonts w:asciiTheme="majorHAnsi" w:hAnsiTheme="majorHAnsi" w:cstheme="majorHAnsi"/>
                <w:color w:val="00264D" w:themeColor="background2"/>
                <w:szCs w:val="21"/>
                <w:lang w:eastAsia="en-AU"/>
              </w:rPr>
            </w:pPr>
            <w:r w:rsidRPr="004523AB">
              <w:rPr>
                <w:szCs w:val="21"/>
                <w:lang w:eastAsia="en-AU"/>
              </w:rPr>
              <w:t>28 (22.2%)</w:t>
            </w:r>
          </w:p>
        </w:tc>
      </w:tr>
      <w:tr w:rsidR="001A7CB0" w:rsidRPr="004523AB" w14:paraId="62DFA7F8" w14:textId="77777777">
        <w:tc>
          <w:tcPr>
            <w:tcW w:w="2973" w:type="dxa"/>
          </w:tcPr>
          <w:p w14:paraId="19C3DAAC" w14:textId="658CB2CD" w:rsidR="001A7CB0" w:rsidRPr="004523AB" w:rsidRDefault="001A7CB0" w:rsidP="001A7CB0">
            <w:pPr>
              <w:rPr>
                <w:rFonts w:asciiTheme="majorHAnsi" w:hAnsiTheme="majorHAnsi" w:cstheme="majorHAnsi"/>
                <w:color w:val="00264D" w:themeColor="background2"/>
                <w:szCs w:val="21"/>
                <w:lang w:eastAsia="en-AU"/>
              </w:rPr>
            </w:pPr>
            <w:r w:rsidRPr="004523AB">
              <w:rPr>
                <w:szCs w:val="21"/>
                <w:lang w:eastAsia="en-AU"/>
              </w:rPr>
              <w:t xml:space="preserve">3: Accreditation </w:t>
            </w:r>
          </w:p>
        </w:tc>
        <w:tc>
          <w:tcPr>
            <w:tcW w:w="2973" w:type="dxa"/>
          </w:tcPr>
          <w:p w14:paraId="09A8C13E" w14:textId="57A94829" w:rsidR="001A7CB0" w:rsidRPr="004523AB" w:rsidRDefault="001A7CB0" w:rsidP="001A7CB0">
            <w:pPr>
              <w:rPr>
                <w:rFonts w:asciiTheme="majorHAnsi" w:hAnsiTheme="majorHAnsi" w:cstheme="majorHAnsi"/>
                <w:color w:val="00264D" w:themeColor="background2"/>
                <w:szCs w:val="21"/>
                <w:lang w:eastAsia="en-AU"/>
              </w:rPr>
            </w:pPr>
            <w:r w:rsidRPr="004523AB">
              <w:rPr>
                <w:szCs w:val="21"/>
                <w:lang w:eastAsia="en-AU"/>
              </w:rPr>
              <w:t>3,950 (74%)</w:t>
            </w:r>
          </w:p>
        </w:tc>
        <w:tc>
          <w:tcPr>
            <w:tcW w:w="2974" w:type="dxa"/>
          </w:tcPr>
          <w:p w14:paraId="2A0A2950" w14:textId="5D9C3A1A" w:rsidR="001A7CB0" w:rsidRPr="004523AB" w:rsidRDefault="001A7CB0" w:rsidP="001A7CB0">
            <w:pPr>
              <w:rPr>
                <w:rFonts w:asciiTheme="majorHAnsi" w:hAnsiTheme="majorHAnsi" w:cstheme="majorHAnsi"/>
                <w:color w:val="00264D" w:themeColor="background2"/>
                <w:szCs w:val="21"/>
                <w:lang w:eastAsia="en-AU"/>
              </w:rPr>
            </w:pPr>
            <w:r w:rsidRPr="004523AB">
              <w:rPr>
                <w:szCs w:val="21"/>
                <w:lang w:eastAsia="en-AU"/>
              </w:rPr>
              <w:t>71 (56.3%)</w:t>
            </w:r>
          </w:p>
        </w:tc>
      </w:tr>
    </w:tbl>
    <w:p w14:paraId="7D98FFC0" w14:textId="41139805" w:rsidR="00494E4A" w:rsidRPr="004523AB" w:rsidRDefault="00494E4A" w:rsidP="00494E4A">
      <w:pPr>
        <w:pStyle w:val="Caption"/>
      </w:pPr>
      <w:bookmarkStart w:id="43" w:name="_Ref184917954"/>
      <w:r w:rsidRPr="004523AB">
        <w:t xml:space="preserve">Table </w:t>
      </w:r>
      <w:r w:rsidRPr="004523AB">
        <w:fldChar w:fldCharType="begin"/>
      </w:r>
      <w:r w:rsidRPr="004523AB">
        <w:instrText xml:space="preserve"> SEQ Table \* ARABIC </w:instrText>
      </w:r>
      <w:r w:rsidRPr="004523AB">
        <w:fldChar w:fldCharType="separate"/>
      </w:r>
      <w:r w:rsidR="00B96E50">
        <w:rPr>
          <w:noProof/>
        </w:rPr>
        <w:t>16</w:t>
      </w:r>
      <w:r w:rsidRPr="004523AB">
        <w:fldChar w:fldCharType="end"/>
      </w:r>
      <w:bookmarkEnd w:id="43"/>
      <w:r w:rsidRPr="004523AB">
        <w:t xml:space="preserve"> | | Uptake of the grant and investment streams by state and territory (practice only)</w:t>
      </w:r>
    </w:p>
    <w:tbl>
      <w:tblPr>
        <w:tblStyle w:val="AccessibleNousTable"/>
        <w:tblW w:w="0" w:type="auto"/>
        <w:tblLook w:val="04A0" w:firstRow="1" w:lastRow="0" w:firstColumn="1" w:lastColumn="0" w:noHBand="0" w:noVBand="1"/>
      </w:tblPr>
      <w:tblGrid>
        <w:gridCol w:w="1129"/>
        <w:gridCol w:w="1947"/>
        <w:gridCol w:w="1948"/>
        <w:gridCol w:w="1948"/>
        <w:gridCol w:w="1948"/>
      </w:tblGrid>
      <w:tr w:rsidR="002E4C3E" w:rsidRPr="004523AB" w14:paraId="1901A462" w14:textId="77777777" w:rsidTr="0099313E">
        <w:trPr>
          <w:cnfStyle w:val="100000000000" w:firstRow="1" w:lastRow="0" w:firstColumn="0" w:lastColumn="0" w:oddVBand="0" w:evenVBand="0" w:oddHBand="0" w:evenHBand="0" w:firstRowFirstColumn="0" w:firstRowLastColumn="0" w:lastRowFirstColumn="0" w:lastRowLastColumn="0"/>
          <w:tblHeader/>
        </w:trPr>
        <w:tc>
          <w:tcPr>
            <w:tcW w:w="1129" w:type="dxa"/>
          </w:tcPr>
          <w:p w14:paraId="328F6949" w14:textId="7F4999EC" w:rsidR="002E4C3E" w:rsidRPr="004523AB" w:rsidRDefault="00B52121" w:rsidP="009F6AE6">
            <w:pPr>
              <w:rPr>
                <w:rFonts w:asciiTheme="majorHAnsi" w:hAnsiTheme="majorHAnsi" w:cstheme="majorHAnsi"/>
                <w:szCs w:val="21"/>
                <w:lang w:eastAsia="en-AU"/>
              </w:rPr>
            </w:pPr>
            <w:r w:rsidRPr="004523AB">
              <w:rPr>
                <w:rFonts w:asciiTheme="majorHAnsi" w:hAnsiTheme="majorHAnsi" w:cstheme="majorHAnsi"/>
                <w:szCs w:val="21"/>
                <w:lang w:eastAsia="en-AU"/>
              </w:rPr>
              <w:t>Sta</w:t>
            </w:r>
            <w:r w:rsidR="0004650E" w:rsidRPr="004523AB">
              <w:rPr>
                <w:rFonts w:asciiTheme="majorHAnsi" w:hAnsiTheme="majorHAnsi" w:cstheme="majorHAnsi"/>
                <w:szCs w:val="21"/>
                <w:lang w:eastAsia="en-AU"/>
              </w:rPr>
              <w:t>t</w:t>
            </w:r>
            <w:r w:rsidRPr="004523AB">
              <w:rPr>
                <w:rFonts w:asciiTheme="majorHAnsi" w:hAnsiTheme="majorHAnsi" w:cstheme="majorHAnsi"/>
                <w:szCs w:val="21"/>
                <w:lang w:eastAsia="en-AU"/>
              </w:rPr>
              <w:t>e</w:t>
            </w:r>
          </w:p>
        </w:tc>
        <w:tc>
          <w:tcPr>
            <w:tcW w:w="1947" w:type="dxa"/>
          </w:tcPr>
          <w:p w14:paraId="42C6EE76" w14:textId="5DC08F96" w:rsidR="002E4C3E" w:rsidRPr="004523AB" w:rsidRDefault="00B52121" w:rsidP="009F6AE6">
            <w:pPr>
              <w:rPr>
                <w:rFonts w:asciiTheme="majorHAnsi" w:hAnsiTheme="majorHAnsi" w:cstheme="majorHAnsi"/>
                <w:szCs w:val="21"/>
                <w:lang w:eastAsia="en-AU"/>
              </w:rPr>
            </w:pPr>
            <w:r w:rsidRPr="004523AB">
              <w:rPr>
                <w:rFonts w:asciiTheme="majorHAnsi" w:hAnsiTheme="majorHAnsi" w:cstheme="majorHAnsi"/>
                <w:szCs w:val="21"/>
                <w:lang w:eastAsia="en-AU"/>
              </w:rPr>
              <w:t>Uptake of the grant</w:t>
            </w:r>
          </w:p>
        </w:tc>
        <w:tc>
          <w:tcPr>
            <w:tcW w:w="1948" w:type="dxa"/>
          </w:tcPr>
          <w:p w14:paraId="64B6EFA5" w14:textId="2A403DF9" w:rsidR="002E4C3E" w:rsidRPr="004523AB" w:rsidRDefault="000A6AE3" w:rsidP="009F6AE6">
            <w:pPr>
              <w:rPr>
                <w:rFonts w:asciiTheme="majorHAnsi" w:hAnsiTheme="majorHAnsi" w:cstheme="majorHAnsi"/>
                <w:szCs w:val="21"/>
                <w:lang w:eastAsia="en-AU"/>
              </w:rPr>
            </w:pPr>
            <w:r w:rsidRPr="004523AB">
              <w:rPr>
                <w:rFonts w:asciiTheme="majorHAnsi" w:hAnsiTheme="majorHAnsi" w:cstheme="majorHAnsi"/>
                <w:szCs w:val="21"/>
                <w:lang w:eastAsia="en-AU"/>
              </w:rPr>
              <w:t xml:space="preserve">Stream </w:t>
            </w:r>
            <w:r w:rsidR="004203FE" w:rsidRPr="004523AB">
              <w:rPr>
                <w:rFonts w:asciiTheme="majorHAnsi" w:hAnsiTheme="majorHAnsi" w:cstheme="majorHAnsi"/>
                <w:szCs w:val="21"/>
                <w:lang w:eastAsia="en-AU"/>
              </w:rPr>
              <w:t>1 – Enhancing digital health capability</w:t>
            </w:r>
          </w:p>
        </w:tc>
        <w:tc>
          <w:tcPr>
            <w:tcW w:w="1948" w:type="dxa"/>
          </w:tcPr>
          <w:p w14:paraId="5914716B" w14:textId="7E686979" w:rsidR="002E4C3E" w:rsidRPr="004523AB" w:rsidRDefault="000A6AE3" w:rsidP="009F6AE6">
            <w:pPr>
              <w:rPr>
                <w:rFonts w:asciiTheme="majorHAnsi" w:hAnsiTheme="majorHAnsi" w:cstheme="majorHAnsi"/>
                <w:szCs w:val="21"/>
                <w:lang w:eastAsia="en-AU"/>
              </w:rPr>
            </w:pPr>
            <w:r w:rsidRPr="004523AB">
              <w:rPr>
                <w:rFonts w:asciiTheme="majorHAnsi" w:hAnsiTheme="majorHAnsi" w:cstheme="majorHAnsi"/>
                <w:szCs w:val="21"/>
                <w:lang w:eastAsia="en-AU"/>
              </w:rPr>
              <w:t xml:space="preserve">Stream </w:t>
            </w:r>
            <w:r w:rsidR="00A36330" w:rsidRPr="004523AB">
              <w:rPr>
                <w:rFonts w:asciiTheme="majorHAnsi" w:hAnsiTheme="majorHAnsi" w:cstheme="majorHAnsi"/>
                <w:szCs w:val="21"/>
                <w:lang w:eastAsia="en-AU"/>
              </w:rPr>
              <w:t>2 – Upgrading infection prevention and control arrangements</w:t>
            </w:r>
          </w:p>
        </w:tc>
        <w:tc>
          <w:tcPr>
            <w:tcW w:w="1948" w:type="dxa"/>
          </w:tcPr>
          <w:p w14:paraId="005005F8" w14:textId="68EEA640" w:rsidR="002E4C3E" w:rsidRPr="004523AB" w:rsidRDefault="000A6AE3" w:rsidP="009F6AE6">
            <w:pPr>
              <w:rPr>
                <w:rFonts w:asciiTheme="majorHAnsi" w:hAnsiTheme="majorHAnsi" w:cstheme="majorHAnsi"/>
                <w:szCs w:val="21"/>
                <w:lang w:eastAsia="en-AU"/>
              </w:rPr>
            </w:pPr>
            <w:r w:rsidRPr="004523AB">
              <w:rPr>
                <w:rFonts w:asciiTheme="majorHAnsi" w:hAnsiTheme="majorHAnsi" w:cstheme="majorHAnsi"/>
                <w:szCs w:val="21"/>
                <w:lang w:eastAsia="en-AU"/>
              </w:rPr>
              <w:t>Stream 3 – Maintaining or achieving accreditation</w:t>
            </w:r>
          </w:p>
        </w:tc>
      </w:tr>
      <w:tr w:rsidR="00F07AC2" w:rsidRPr="004523AB" w14:paraId="7974048D" w14:textId="77777777">
        <w:tc>
          <w:tcPr>
            <w:tcW w:w="1129" w:type="dxa"/>
            <w:vAlign w:val="center"/>
          </w:tcPr>
          <w:p w14:paraId="6F0BFA4C" w14:textId="43FF51A9" w:rsidR="00F07AC2" w:rsidRPr="004523AB" w:rsidRDefault="00F07AC2" w:rsidP="00F07AC2">
            <w:pPr>
              <w:rPr>
                <w:rFonts w:asciiTheme="majorHAnsi" w:hAnsiTheme="majorHAnsi" w:cstheme="majorHAnsi"/>
                <w:color w:val="00264D" w:themeColor="background2"/>
                <w:szCs w:val="21"/>
                <w:lang w:eastAsia="en-AU"/>
              </w:rPr>
            </w:pPr>
            <w:r w:rsidRPr="004523AB">
              <w:rPr>
                <w:rFonts w:eastAsia="Segoe UI" w:cs="Times New Roman"/>
                <w:color w:val="000000"/>
                <w:kern w:val="24"/>
                <w:szCs w:val="21"/>
                <w:lang w:eastAsia="en-AU"/>
              </w:rPr>
              <w:t>ACT</w:t>
            </w:r>
          </w:p>
        </w:tc>
        <w:tc>
          <w:tcPr>
            <w:tcW w:w="1947" w:type="dxa"/>
            <w:vAlign w:val="center"/>
          </w:tcPr>
          <w:p w14:paraId="398E34BF" w14:textId="34EC8E8C" w:rsidR="00F07AC2" w:rsidRPr="004523AB" w:rsidRDefault="00F07AC2" w:rsidP="00F07AC2">
            <w:pPr>
              <w:rPr>
                <w:rFonts w:asciiTheme="majorHAnsi" w:hAnsiTheme="majorHAnsi" w:cstheme="majorHAnsi"/>
                <w:color w:val="00264D" w:themeColor="background2"/>
                <w:szCs w:val="21"/>
                <w:lang w:eastAsia="en-AU"/>
              </w:rPr>
            </w:pPr>
            <w:r w:rsidRPr="004523AB">
              <w:rPr>
                <w:rFonts w:eastAsia="Segoe UI" w:cs="Segoe UI"/>
                <w:color w:val="000000"/>
                <w:kern w:val="24"/>
                <w:szCs w:val="21"/>
                <w:lang w:eastAsia="en-AU"/>
              </w:rPr>
              <w:t>99 (100.0%)</w:t>
            </w:r>
          </w:p>
        </w:tc>
        <w:tc>
          <w:tcPr>
            <w:tcW w:w="1948" w:type="dxa"/>
            <w:vAlign w:val="center"/>
          </w:tcPr>
          <w:p w14:paraId="1F8A4819" w14:textId="722555A4" w:rsidR="00F07AC2" w:rsidRPr="004523AB" w:rsidRDefault="00F07AC2" w:rsidP="00F07AC2">
            <w:pPr>
              <w:rPr>
                <w:rFonts w:asciiTheme="majorHAnsi" w:hAnsiTheme="majorHAnsi" w:cstheme="majorHAnsi"/>
                <w:color w:val="00264D" w:themeColor="background2"/>
                <w:szCs w:val="21"/>
                <w:lang w:eastAsia="en-AU"/>
              </w:rPr>
            </w:pPr>
            <w:r w:rsidRPr="004523AB">
              <w:rPr>
                <w:rFonts w:eastAsia="Segoe UI" w:cs="Times New Roman"/>
                <w:color w:val="000000"/>
                <w:kern w:val="24"/>
                <w:szCs w:val="21"/>
                <w:lang w:eastAsia="en-AU"/>
              </w:rPr>
              <w:t>88 (88.9%)</w:t>
            </w:r>
          </w:p>
        </w:tc>
        <w:tc>
          <w:tcPr>
            <w:tcW w:w="1948" w:type="dxa"/>
            <w:vAlign w:val="center"/>
          </w:tcPr>
          <w:p w14:paraId="16FCB037" w14:textId="1D536B0B" w:rsidR="00F07AC2" w:rsidRPr="004523AB" w:rsidRDefault="00F07AC2" w:rsidP="00F07AC2">
            <w:pPr>
              <w:rPr>
                <w:rFonts w:asciiTheme="majorHAnsi" w:hAnsiTheme="majorHAnsi" w:cstheme="majorHAnsi"/>
                <w:color w:val="00264D" w:themeColor="background2"/>
                <w:szCs w:val="21"/>
                <w:lang w:eastAsia="en-AU"/>
              </w:rPr>
            </w:pPr>
            <w:r w:rsidRPr="004523AB">
              <w:rPr>
                <w:rFonts w:eastAsia="Segoe UI" w:cs="Times New Roman"/>
                <w:color w:val="000000"/>
                <w:kern w:val="24"/>
                <w:szCs w:val="21"/>
                <w:lang w:eastAsia="en-AU"/>
              </w:rPr>
              <w:t>57 (57.6%)</w:t>
            </w:r>
          </w:p>
        </w:tc>
        <w:tc>
          <w:tcPr>
            <w:tcW w:w="1948" w:type="dxa"/>
            <w:vAlign w:val="center"/>
          </w:tcPr>
          <w:p w14:paraId="7700EC3E" w14:textId="243E3F38" w:rsidR="00F07AC2" w:rsidRPr="004523AB" w:rsidRDefault="00F07AC2" w:rsidP="00F07AC2">
            <w:pPr>
              <w:rPr>
                <w:rFonts w:asciiTheme="majorHAnsi" w:hAnsiTheme="majorHAnsi" w:cstheme="majorHAnsi"/>
                <w:color w:val="00264D" w:themeColor="background2"/>
                <w:szCs w:val="21"/>
                <w:lang w:eastAsia="en-AU"/>
              </w:rPr>
            </w:pPr>
            <w:r w:rsidRPr="004523AB">
              <w:rPr>
                <w:rFonts w:eastAsia="Segoe UI" w:cs="Times New Roman"/>
                <w:color w:val="000000"/>
                <w:kern w:val="24"/>
                <w:szCs w:val="21"/>
                <w:lang w:eastAsia="en-AU"/>
              </w:rPr>
              <w:t>68 (68.7%)</w:t>
            </w:r>
          </w:p>
        </w:tc>
      </w:tr>
      <w:tr w:rsidR="00F07AC2" w:rsidRPr="004523AB" w14:paraId="2DA0B951" w14:textId="77777777">
        <w:tc>
          <w:tcPr>
            <w:tcW w:w="1129" w:type="dxa"/>
            <w:vAlign w:val="center"/>
          </w:tcPr>
          <w:p w14:paraId="72DF8324" w14:textId="030BFFFE" w:rsidR="00F07AC2" w:rsidRPr="004523AB" w:rsidRDefault="00F07AC2" w:rsidP="00F07AC2">
            <w:pPr>
              <w:rPr>
                <w:rFonts w:asciiTheme="majorHAnsi" w:hAnsiTheme="majorHAnsi" w:cstheme="majorHAnsi"/>
                <w:color w:val="00264D" w:themeColor="background2"/>
                <w:szCs w:val="21"/>
                <w:lang w:eastAsia="en-AU"/>
              </w:rPr>
            </w:pPr>
            <w:r w:rsidRPr="004523AB">
              <w:rPr>
                <w:rFonts w:eastAsia="Segoe UI" w:cs="Times New Roman"/>
                <w:color w:val="000000"/>
                <w:kern w:val="24"/>
                <w:szCs w:val="21"/>
                <w:lang w:eastAsia="en-AU"/>
              </w:rPr>
              <w:t>NSW</w:t>
            </w:r>
          </w:p>
        </w:tc>
        <w:tc>
          <w:tcPr>
            <w:tcW w:w="1947" w:type="dxa"/>
            <w:vAlign w:val="center"/>
          </w:tcPr>
          <w:p w14:paraId="03B6E7E7" w14:textId="7E687309" w:rsidR="00F07AC2" w:rsidRPr="004523AB" w:rsidRDefault="00F07AC2" w:rsidP="00F07AC2">
            <w:pPr>
              <w:rPr>
                <w:rFonts w:asciiTheme="majorHAnsi" w:hAnsiTheme="majorHAnsi" w:cstheme="majorHAnsi"/>
                <w:color w:val="00264D" w:themeColor="background2"/>
                <w:szCs w:val="21"/>
                <w:lang w:eastAsia="en-AU"/>
              </w:rPr>
            </w:pPr>
            <w:r w:rsidRPr="004523AB">
              <w:rPr>
                <w:rFonts w:eastAsia="Segoe UI" w:cs="Segoe UI"/>
                <w:color w:val="000000"/>
                <w:kern w:val="24"/>
                <w:szCs w:val="21"/>
                <w:lang w:eastAsia="en-AU"/>
              </w:rPr>
              <w:t>1,718 (71.7%)</w:t>
            </w:r>
          </w:p>
        </w:tc>
        <w:tc>
          <w:tcPr>
            <w:tcW w:w="1948" w:type="dxa"/>
            <w:vAlign w:val="center"/>
          </w:tcPr>
          <w:p w14:paraId="1AEB4B15" w14:textId="08121038" w:rsidR="00F07AC2" w:rsidRPr="004523AB" w:rsidRDefault="00F07AC2" w:rsidP="00F07AC2">
            <w:pPr>
              <w:rPr>
                <w:rFonts w:asciiTheme="majorHAnsi" w:hAnsiTheme="majorHAnsi" w:cstheme="majorHAnsi"/>
                <w:color w:val="00264D" w:themeColor="background2"/>
                <w:szCs w:val="21"/>
                <w:lang w:eastAsia="en-AU"/>
              </w:rPr>
            </w:pPr>
            <w:r w:rsidRPr="004523AB">
              <w:rPr>
                <w:rFonts w:eastAsia="Segoe UI" w:cs="Times New Roman"/>
                <w:color w:val="000000"/>
                <w:kern w:val="24"/>
                <w:szCs w:val="21"/>
                <w:lang w:eastAsia="en-AU"/>
              </w:rPr>
              <w:t>1,557 (90.6%)</w:t>
            </w:r>
          </w:p>
        </w:tc>
        <w:tc>
          <w:tcPr>
            <w:tcW w:w="1948" w:type="dxa"/>
            <w:vAlign w:val="center"/>
          </w:tcPr>
          <w:p w14:paraId="4FAC2704" w14:textId="3804E6C5" w:rsidR="00F07AC2" w:rsidRPr="004523AB" w:rsidRDefault="00F07AC2" w:rsidP="00F07AC2">
            <w:pPr>
              <w:rPr>
                <w:rFonts w:asciiTheme="majorHAnsi" w:hAnsiTheme="majorHAnsi" w:cstheme="majorHAnsi"/>
                <w:color w:val="00264D" w:themeColor="background2"/>
                <w:szCs w:val="21"/>
                <w:lang w:eastAsia="en-AU"/>
              </w:rPr>
            </w:pPr>
            <w:r w:rsidRPr="004523AB">
              <w:rPr>
                <w:rFonts w:eastAsia="Segoe UI" w:cs="Times New Roman"/>
                <w:color w:val="000000"/>
                <w:kern w:val="24"/>
                <w:szCs w:val="21"/>
                <w:lang w:eastAsia="en-AU"/>
              </w:rPr>
              <w:t>1,118 (65.1%)</w:t>
            </w:r>
          </w:p>
        </w:tc>
        <w:tc>
          <w:tcPr>
            <w:tcW w:w="1948" w:type="dxa"/>
            <w:vAlign w:val="center"/>
          </w:tcPr>
          <w:p w14:paraId="1A619BBF" w14:textId="2F15F6C6" w:rsidR="00F07AC2" w:rsidRPr="004523AB" w:rsidRDefault="00F07AC2" w:rsidP="00F07AC2">
            <w:pPr>
              <w:rPr>
                <w:rFonts w:asciiTheme="majorHAnsi" w:hAnsiTheme="majorHAnsi" w:cstheme="majorHAnsi"/>
                <w:color w:val="00264D" w:themeColor="background2"/>
                <w:szCs w:val="21"/>
                <w:lang w:eastAsia="en-AU"/>
              </w:rPr>
            </w:pPr>
            <w:r w:rsidRPr="004523AB">
              <w:rPr>
                <w:rFonts w:eastAsia="Segoe UI" w:cs="Times New Roman"/>
                <w:color w:val="000000"/>
                <w:kern w:val="24"/>
                <w:szCs w:val="21"/>
                <w:lang w:eastAsia="en-AU"/>
              </w:rPr>
              <w:t>1,254 (73.0%)</w:t>
            </w:r>
          </w:p>
        </w:tc>
      </w:tr>
      <w:tr w:rsidR="00F07AC2" w:rsidRPr="004523AB" w14:paraId="65B7C88F" w14:textId="77777777">
        <w:tc>
          <w:tcPr>
            <w:tcW w:w="1129" w:type="dxa"/>
            <w:vAlign w:val="center"/>
          </w:tcPr>
          <w:p w14:paraId="5AE49501" w14:textId="5695F615" w:rsidR="00F07AC2" w:rsidRPr="004523AB" w:rsidRDefault="00F07AC2" w:rsidP="00F07AC2">
            <w:pPr>
              <w:rPr>
                <w:rFonts w:eastAsia="Segoe UI" w:cs="Times New Roman"/>
                <w:color w:val="000000"/>
                <w:kern w:val="24"/>
                <w:szCs w:val="21"/>
                <w:lang w:eastAsia="en-AU"/>
              </w:rPr>
            </w:pPr>
            <w:r w:rsidRPr="004523AB">
              <w:rPr>
                <w:rFonts w:eastAsia="Segoe UI" w:cs="Times New Roman"/>
                <w:color w:val="000000"/>
                <w:kern w:val="24"/>
                <w:szCs w:val="21"/>
                <w:lang w:eastAsia="en-AU"/>
              </w:rPr>
              <w:t>NT</w:t>
            </w:r>
          </w:p>
        </w:tc>
        <w:tc>
          <w:tcPr>
            <w:tcW w:w="1947" w:type="dxa"/>
            <w:vAlign w:val="center"/>
          </w:tcPr>
          <w:p w14:paraId="0E352D45" w14:textId="520E6D0D" w:rsidR="00F07AC2" w:rsidRPr="004523AB" w:rsidRDefault="00F07AC2" w:rsidP="00F07AC2">
            <w:pPr>
              <w:rPr>
                <w:rFonts w:eastAsia="Segoe UI" w:cs="Segoe UI"/>
                <w:color w:val="000000"/>
                <w:kern w:val="24"/>
                <w:szCs w:val="21"/>
                <w:lang w:eastAsia="en-AU"/>
              </w:rPr>
            </w:pPr>
            <w:r w:rsidRPr="004523AB">
              <w:rPr>
                <w:rFonts w:eastAsia="Segoe UI" w:cs="Segoe UI"/>
                <w:color w:val="000000"/>
                <w:kern w:val="24"/>
                <w:szCs w:val="21"/>
                <w:lang w:eastAsia="en-AU"/>
              </w:rPr>
              <w:t>1,718 (71.7%)</w:t>
            </w:r>
          </w:p>
        </w:tc>
        <w:tc>
          <w:tcPr>
            <w:tcW w:w="1948" w:type="dxa"/>
            <w:vAlign w:val="center"/>
          </w:tcPr>
          <w:p w14:paraId="291664BE" w14:textId="0E7A7B5F" w:rsidR="00F07AC2" w:rsidRPr="004523AB" w:rsidRDefault="00F07AC2" w:rsidP="00F07AC2">
            <w:pPr>
              <w:rPr>
                <w:rFonts w:eastAsia="Segoe UI" w:cs="Times New Roman"/>
                <w:color w:val="000000"/>
                <w:kern w:val="24"/>
                <w:szCs w:val="21"/>
                <w:lang w:eastAsia="en-AU"/>
              </w:rPr>
            </w:pPr>
            <w:r w:rsidRPr="004523AB">
              <w:rPr>
                <w:rFonts w:eastAsia="Segoe UI" w:cs="Times New Roman"/>
                <w:color w:val="000000"/>
                <w:kern w:val="24"/>
                <w:szCs w:val="21"/>
                <w:lang w:eastAsia="en-AU"/>
              </w:rPr>
              <w:t>69 (100.0%)</w:t>
            </w:r>
          </w:p>
        </w:tc>
        <w:tc>
          <w:tcPr>
            <w:tcW w:w="1948" w:type="dxa"/>
            <w:vAlign w:val="center"/>
          </w:tcPr>
          <w:p w14:paraId="5B239B19" w14:textId="0BDB915B" w:rsidR="00F07AC2" w:rsidRPr="004523AB" w:rsidRDefault="00F07AC2" w:rsidP="00F07AC2">
            <w:pPr>
              <w:rPr>
                <w:rFonts w:eastAsia="Segoe UI" w:cs="Times New Roman"/>
                <w:color w:val="000000"/>
                <w:kern w:val="24"/>
                <w:szCs w:val="21"/>
                <w:lang w:eastAsia="en-AU"/>
              </w:rPr>
            </w:pPr>
            <w:r w:rsidRPr="004523AB">
              <w:rPr>
                <w:rFonts w:eastAsia="Segoe UI" w:cs="Times New Roman"/>
                <w:color w:val="000000"/>
                <w:kern w:val="24"/>
                <w:szCs w:val="21"/>
                <w:lang w:eastAsia="en-AU"/>
              </w:rPr>
              <w:t>16 (23.2%)</w:t>
            </w:r>
          </w:p>
        </w:tc>
        <w:tc>
          <w:tcPr>
            <w:tcW w:w="1948" w:type="dxa"/>
            <w:vAlign w:val="center"/>
          </w:tcPr>
          <w:p w14:paraId="0001F244" w14:textId="0163F920" w:rsidR="00F07AC2" w:rsidRPr="004523AB" w:rsidRDefault="00F07AC2" w:rsidP="00F07AC2">
            <w:pPr>
              <w:rPr>
                <w:rFonts w:eastAsia="Segoe UI" w:cs="Times New Roman"/>
                <w:color w:val="000000"/>
                <w:kern w:val="24"/>
                <w:szCs w:val="21"/>
                <w:lang w:eastAsia="en-AU"/>
              </w:rPr>
            </w:pPr>
            <w:r w:rsidRPr="004523AB">
              <w:rPr>
                <w:rFonts w:eastAsia="Segoe UI" w:cs="Times New Roman"/>
                <w:color w:val="000000"/>
                <w:kern w:val="24"/>
                <w:szCs w:val="21"/>
                <w:lang w:eastAsia="en-AU"/>
              </w:rPr>
              <w:t>22 (31.9%)</w:t>
            </w:r>
          </w:p>
        </w:tc>
      </w:tr>
      <w:tr w:rsidR="00F07AC2" w:rsidRPr="004523AB" w14:paraId="6E3689D2" w14:textId="77777777">
        <w:tc>
          <w:tcPr>
            <w:tcW w:w="1129" w:type="dxa"/>
            <w:vAlign w:val="center"/>
          </w:tcPr>
          <w:p w14:paraId="3B479A75" w14:textId="3D52339A" w:rsidR="00F07AC2" w:rsidRPr="004523AB" w:rsidRDefault="00F07AC2" w:rsidP="00F07AC2">
            <w:pPr>
              <w:rPr>
                <w:rFonts w:eastAsia="Segoe UI" w:cs="Times New Roman"/>
                <w:color w:val="000000"/>
                <w:kern w:val="24"/>
                <w:szCs w:val="21"/>
                <w:lang w:eastAsia="en-AU"/>
              </w:rPr>
            </w:pPr>
            <w:r w:rsidRPr="004523AB">
              <w:rPr>
                <w:rFonts w:eastAsia="Segoe UI" w:cs="Times New Roman"/>
                <w:color w:val="000000"/>
                <w:kern w:val="24"/>
                <w:szCs w:val="21"/>
                <w:lang w:eastAsia="en-AU"/>
              </w:rPr>
              <w:t>Qld</w:t>
            </w:r>
          </w:p>
        </w:tc>
        <w:tc>
          <w:tcPr>
            <w:tcW w:w="1947" w:type="dxa"/>
            <w:vAlign w:val="center"/>
          </w:tcPr>
          <w:p w14:paraId="44FD4907" w14:textId="15926D98" w:rsidR="00F07AC2" w:rsidRPr="004523AB" w:rsidRDefault="00F07AC2" w:rsidP="00F07AC2">
            <w:pPr>
              <w:rPr>
                <w:rFonts w:eastAsia="Segoe UI" w:cs="Segoe UI"/>
                <w:color w:val="000000"/>
                <w:kern w:val="24"/>
                <w:szCs w:val="21"/>
                <w:lang w:eastAsia="en-AU"/>
              </w:rPr>
            </w:pPr>
            <w:r w:rsidRPr="004523AB">
              <w:rPr>
                <w:rFonts w:eastAsia="Segoe UI" w:cs="Segoe UI"/>
                <w:color w:val="000000"/>
                <w:kern w:val="24"/>
                <w:szCs w:val="21"/>
                <w:lang w:eastAsia="en-AU"/>
              </w:rPr>
              <w:t>968 (67.4%)</w:t>
            </w:r>
          </w:p>
        </w:tc>
        <w:tc>
          <w:tcPr>
            <w:tcW w:w="1948" w:type="dxa"/>
            <w:vAlign w:val="center"/>
          </w:tcPr>
          <w:p w14:paraId="43E7792B" w14:textId="2D83211C" w:rsidR="00F07AC2" w:rsidRPr="004523AB" w:rsidRDefault="00F07AC2" w:rsidP="00F07AC2">
            <w:pPr>
              <w:rPr>
                <w:rFonts w:eastAsia="Segoe UI" w:cs="Times New Roman"/>
                <w:color w:val="000000"/>
                <w:kern w:val="24"/>
                <w:szCs w:val="21"/>
                <w:lang w:eastAsia="en-AU"/>
              </w:rPr>
            </w:pPr>
            <w:r w:rsidRPr="004523AB">
              <w:rPr>
                <w:rFonts w:eastAsia="Segoe UI" w:cs="Times New Roman"/>
                <w:color w:val="000000"/>
                <w:kern w:val="24"/>
                <w:szCs w:val="21"/>
                <w:lang w:eastAsia="en-AU"/>
              </w:rPr>
              <w:t>876 (90.5%)</w:t>
            </w:r>
          </w:p>
        </w:tc>
        <w:tc>
          <w:tcPr>
            <w:tcW w:w="1948" w:type="dxa"/>
            <w:vAlign w:val="center"/>
          </w:tcPr>
          <w:p w14:paraId="2220487B" w14:textId="1A99EE30" w:rsidR="00F07AC2" w:rsidRPr="004523AB" w:rsidRDefault="00F07AC2" w:rsidP="00F07AC2">
            <w:pPr>
              <w:rPr>
                <w:rFonts w:eastAsia="Segoe UI" w:cs="Times New Roman"/>
                <w:color w:val="000000"/>
                <w:kern w:val="24"/>
                <w:szCs w:val="21"/>
                <w:lang w:eastAsia="en-AU"/>
              </w:rPr>
            </w:pPr>
            <w:r w:rsidRPr="004523AB">
              <w:rPr>
                <w:rFonts w:eastAsia="Segoe UI" w:cs="Times New Roman"/>
                <w:color w:val="000000"/>
                <w:kern w:val="24"/>
                <w:szCs w:val="21"/>
                <w:lang w:eastAsia="en-AU"/>
              </w:rPr>
              <w:t>599 (61.9%)</w:t>
            </w:r>
          </w:p>
        </w:tc>
        <w:tc>
          <w:tcPr>
            <w:tcW w:w="1948" w:type="dxa"/>
            <w:vAlign w:val="center"/>
          </w:tcPr>
          <w:p w14:paraId="4B8952B3" w14:textId="1E537810" w:rsidR="00F07AC2" w:rsidRPr="004523AB" w:rsidRDefault="00F07AC2" w:rsidP="00F07AC2">
            <w:pPr>
              <w:rPr>
                <w:rFonts w:eastAsia="Segoe UI" w:cs="Times New Roman"/>
                <w:color w:val="000000"/>
                <w:kern w:val="24"/>
                <w:szCs w:val="21"/>
                <w:lang w:eastAsia="en-AU"/>
              </w:rPr>
            </w:pPr>
            <w:r w:rsidRPr="004523AB">
              <w:rPr>
                <w:rFonts w:eastAsia="Segoe UI" w:cs="Times New Roman"/>
                <w:color w:val="000000"/>
                <w:kern w:val="24"/>
                <w:szCs w:val="21"/>
                <w:lang w:eastAsia="en-AU"/>
              </w:rPr>
              <w:t>745 (77.0%)</w:t>
            </w:r>
          </w:p>
        </w:tc>
      </w:tr>
      <w:tr w:rsidR="00F07AC2" w:rsidRPr="004523AB" w14:paraId="69DAA523" w14:textId="77777777">
        <w:tc>
          <w:tcPr>
            <w:tcW w:w="1129" w:type="dxa"/>
            <w:vAlign w:val="center"/>
          </w:tcPr>
          <w:p w14:paraId="5462E17C" w14:textId="03FE153F" w:rsidR="00F07AC2" w:rsidRPr="004523AB" w:rsidRDefault="00F07AC2" w:rsidP="00F07AC2">
            <w:pPr>
              <w:rPr>
                <w:rFonts w:eastAsia="Segoe UI" w:cs="Times New Roman"/>
                <w:color w:val="000000"/>
                <w:kern w:val="24"/>
                <w:szCs w:val="21"/>
                <w:lang w:eastAsia="en-AU"/>
              </w:rPr>
            </w:pPr>
            <w:r w:rsidRPr="004523AB">
              <w:rPr>
                <w:rFonts w:eastAsia="Segoe UI" w:cs="Times New Roman"/>
                <w:color w:val="000000"/>
                <w:kern w:val="24"/>
                <w:szCs w:val="21"/>
                <w:lang w:eastAsia="en-AU"/>
              </w:rPr>
              <w:t>SA</w:t>
            </w:r>
          </w:p>
        </w:tc>
        <w:tc>
          <w:tcPr>
            <w:tcW w:w="1947" w:type="dxa"/>
            <w:vAlign w:val="center"/>
          </w:tcPr>
          <w:p w14:paraId="707133D3" w14:textId="4581CA15" w:rsidR="00F07AC2" w:rsidRPr="004523AB" w:rsidRDefault="00F07AC2" w:rsidP="00F07AC2">
            <w:pPr>
              <w:rPr>
                <w:rFonts w:eastAsia="Segoe UI" w:cs="Segoe UI"/>
                <w:color w:val="000000"/>
                <w:kern w:val="24"/>
                <w:szCs w:val="21"/>
                <w:lang w:eastAsia="en-AU"/>
              </w:rPr>
            </w:pPr>
            <w:r w:rsidRPr="004523AB">
              <w:rPr>
                <w:rFonts w:eastAsia="Segoe UI" w:cs="Segoe UI"/>
                <w:color w:val="000000"/>
                <w:kern w:val="24"/>
                <w:szCs w:val="21"/>
                <w:lang w:eastAsia="en-AU"/>
              </w:rPr>
              <w:t>318 (69.4%)</w:t>
            </w:r>
          </w:p>
        </w:tc>
        <w:tc>
          <w:tcPr>
            <w:tcW w:w="1948" w:type="dxa"/>
            <w:vAlign w:val="center"/>
          </w:tcPr>
          <w:p w14:paraId="41DE276E" w14:textId="1F326A50" w:rsidR="00F07AC2" w:rsidRPr="004523AB" w:rsidRDefault="00F07AC2" w:rsidP="00F07AC2">
            <w:pPr>
              <w:rPr>
                <w:rFonts w:eastAsia="Segoe UI" w:cs="Times New Roman"/>
                <w:color w:val="000000"/>
                <w:kern w:val="24"/>
                <w:szCs w:val="21"/>
                <w:lang w:eastAsia="en-AU"/>
              </w:rPr>
            </w:pPr>
            <w:r w:rsidRPr="004523AB">
              <w:rPr>
                <w:rFonts w:eastAsia="Segoe UI" w:cs="Times New Roman"/>
                <w:color w:val="000000"/>
                <w:kern w:val="24"/>
                <w:szCs w:val="21"/>
                <w:lang w:eastAsia="en-AU"/>
              </w:rPr>
              <w:t>286 (89.9%)</w:t>
            </w:r>
          </w:p>
        </w:tc>
        <w:tc>
          <w:tcPr>
            <w:tcW w:w="1948" w:type="dxa"/>
            <w:vAlign w:val="center"/>
          </w:tcPr>
          <w:p w14:paraId="029B7185" w14:textId="6C253B01" w:rsidR="00F07AC2" w:rsidRPr="004523AB" w:rsidRDefault="00F07AC2" w:rsidP="00F07AC2">
            <w:pPr>
              <w:rPr>
                <w:rFonts w:eastAsia="Segoe UI" w:cs="Times New Roman"/>
                <w:color w:val="000000"/>
                <w:kern w:val="24"/>
                <w:szCs w:val="21"/>
                <w:lang w:eastAsia="en-AU"/>
              </w:rPr>
            </w:pPr>
            <w:r w:rsidRPr="004523AB">
              <w:rPr>
                <w:rFonts w:eastAsia="Segoe UI" w:cs="Times New Roman"/>
                <w:color w:val="000000"/>
                <w:kern w:val="24"/>
                <w:szCs w:val="21"/>
                <w:lang w:eastAsia="en-AU"/>
              </w:rPr>
              <w:t>153 (48.1%)</w:t>
            </w:r>
          </w:p>
        </w:tc>
        <w:tc>
          <w:tcPr>
            <w:tcW w:w="1948" w:type="dxa"/>
            <w:vAlign w:val="center"/>
          </w:tcPr>
          <w:p w14:paraId="205EA487" w14:textId="6B557B30" w:rsidR="00F07AC2" w:rsidRPr="004523AB" w:rsidRDefault="00F07AC2" w:rsidP="00F07AC2">
            <w:pPr>
              <w:rPr>
                <w:rFonts w:eastAsia="Segoe UI" w:cs="Times New Roman"/>
                <w:color w:val="000000"/>
                <w:kern w:val="24"/>
                <w:szCs w:val="21"/>
                <w:lang w:eastAsia="en-AU"/>
              </w:rPr>
            </w:pPr>
            <w:r w:rsidRPr="004523AB">
              <w:rPr>
                <w:rFonts w:eastAsia="Segoe UI" w:cs="Times New Roman"/>
                <w:color w:val="000000"/>
                <w:kern w:val="24"/>
                <w:szCs w:val="21"/>
                <w:lang w:eastAsia="en-AU"/>
              </w:rPr>
              <w:t>208 (65.4%)</w:t>
            </w:r>
          </w:p>
        </w:tc>
      </w:tr>
      <w:tr w:rsidR="00F07AC2" w:rsidRPr="004523AB" w14:paraId="62D37A1C" w14:textId="77777777">
        <w:tc>
          <w:tcPr>
            <w:tcW w:w="1129" w:type="dxa"/>
            <w:vAlign w:val="center"/>
          </w:tcPr>
          <w:p w14:paraId="03885751" w14:textId="66006BF2" w:rsidR="00F07AC2" w:rsidRPr="004523AB" w:rsidRDefault="00F07AC2" w:rsidP="00F07AC2">
            <w:pPr>
              <w:rPr>
                <w:rFonts w:eastAsia="Segoe UI" w:cs="Times New Roman"/>
                <w:color w:val="000000"/>
                <w:kern w:val="24"/>
                <w:szCs w:val="21"/>
                <w:lang w:eastAsia="en-AU"/>
              </w:rPr>
            </w:pPr>
            <w:r w:rsidRPr="004523AB">
              <w:rPr>
                <w:rFonts w:eastAsia="Segoe UI" w:cs="Times New Roman"/>
                <w:color w:val="000000"/>
                <w:kern w:val="24"/>
                <w:szCs w:val="21"/>
                <w:lang w:eastAsia="en-AU"/>
              </w:rPr>
              <w:t>Tas</w:t>
            </w:r>
          </w:p>
        </w:tc>
        <w:tc>
          <w:tcPr>
            <w:tcW w:w="1947" w:type="dxa"/>
            <w:vAlign w:val="center"/>
          </w:tcPr>
          <w:p w14:paraId="208A6F6E" w14:textId="393A12B5" w:rsidR="00F07AC2" w:rsidRPr="004523AB" w:rsidRDefault="00F07AC2" w:rsidP="00F07AC2">
            <w:pPr>
              <w:rPr>
                <w:rFonts w:eastAsia="Segoe UI" w:cs="Segoe UI"/>
                <w:color w:val="000000"/>
                <w:kern w:val="24"/>
                <w:szCs w:val="21"/>
                <w:lang w:eastAsia="en-AU"/>
              </w:rPr>
            </w:pPr>
            <w:r w:rsidRPr="004523AB">
              <w:rPr>
                <w:rFonts w:eastAsia="Segoe UI" w:cs="Segoe UI"/>
                <w:color w:val="000000"/>
                <w:kern w:val="24"/>
                <w:szCs w:val="21"/>
                <w:lang w:eastAsia="en-AU"/>
              </w:rPr>
              <w:t>122 (93.8%)</w:t>
            </w:r>
          </w:p>
        </w:tc>
        <w:tc>
          <w:tcPr>
            <w:tcW w:w="1948" w:type="dxa"/>
            <w:vAlign w:val="center"/>
          </w:tcPr>
          <w:p w14:paraId="79E1A0DB" w14:textId="03EC83E6" w:rsidR="00F07AC2" w:rsidRPr="004523AB" w:rsidRDefault="00F07AC2" w:rsidP="00F07AC2">
            <w:pPr>
              <w:rPr>
                <w:rFonts w:eastAsia="Segoe UI" w:cs="Times New Roman"/>
                <w:color w:val="000000"/>
                <w:kern w:val="24"/>
                <w:szCs w:val="21"/>
                <w:lang w:eastAsia="en-AU"/>
              </w:rPr>
            </w:pPr>
            <w:r w:rsidRPr="004523AB">
              <w:rPr>
                <w:rFonts w:eastAsia="Segoe UI" w:cs="Times New Roman"/>
                <w:color w:val="000000"/>
                <w:kern w:val="24"/>
                <w:szCs w:val="21"/>
                <w:lang w:eastAsia="en-AU"/>
              </w:rPr>
              <w:t>111 (91.0%)</w:t>
            </w:r>
          </w:p>
        </w:tc>
        <w:tc>
          <w:tcPr>
            <w:tcW w:w="1948" w:type="dxa"/>
            <w:vAlign w:val="center"/>
          </w:tcPr>
          <w:p w14:paraId="5FE4DFDA" w14:textId="238CAF60" w:rsidR="00F07AC2" w:rsidRPr="004523AB" w:rsidRDefault="00F07AC2" w:rsidP="00F07AC2">
            <w:pPr>
              <w:rPr>
                <w:rFonts w:eastAsia="Segoe UI" w:cs="Times New Roman"/>
                <w:color w:val="000000"/>
                <w:kern w:val="24"/>
                <w:szCs w:val="21"/>
                <w:lang w:eastAsia="en-AU"/>
              </w:rPr>
            </w:pPr>
            <w:r w:rsidRPr="004523AB">
              <w:rPr>
                <w:rFonts w:eastAsia="Segoe UI" w:cs="Times New Roman"/>
                <w:color w:val="000000"/>
                <w:kern w:val="24"/>
                <w:szCs w:val="21"/>
                <w:lang w:eastAsia="en-AU"/>
              </w:rPr>
              <w:t>66 (54.1%)</w:t>
            </w:r>
          </w:p>
        </w:tc>
        <w:tc>
          <w:tcPr>
            <w:tcW w:w="1948" w:type="dxa"/>
            <w:vAlign w:val="center"/>
          </w:tcPr>
          <w:p w14:paraId="6A6C966B" w14:textId="6730BEC7" w:rsidR="00F07AC2" w:rsidRPr="004523AB" w:rsidRDefault="00F07AC2" w:rsidP="00F07AC2">
            <w:pPr>
              <w:rPr>
                <w:rFonts w:eastAsia="Segoe UI" w:cs="Times New Roman"/>
                <w:color w:val="000000"/>
                <w:kern w:val="24"/>
                <w:szCs w:val="21"/>
                <w:lang w:eastAsia="en-AU"/>
              </w:rPr>
            </w:pPr>
            <w:r w:rsidRPr="004523AB">
              <w:rPr>
                <w:rFonts w:eastAsia="Segoe UI" w:cs="Times New Roman"/>
                <w:color w:val="000000"/>
                <w:kern w:val="24"/>
                <w:szCs w:val="21"/>
                <w:lang w:eastAsia="en-AU"/>
              </w:rPr>
              <w:t>96 (78.7%)</w:t>
            </w:r>
          </w:p>
        </w:tc>
      </w:tr>
      <w:tr w:rsidR="00F07AC2" w:rsidRPr="004523AB" w14:paraId="6188DBAB" w14:textId="77777777">
        <w:tc>
          <w:tcPr>
            <w:tcW w:w="1129" w:type="dxa"/>
            <w:vAlign w:val="center"/>
          </w:tcPr>
          <w:p w14:paraId="7E1D5E35" w14:textId="5A601326" w:rsidR="00F07AC2" w:rsidRPr="004523AB" w:rsidRDefault="00F07AC2" w:rsidP="00F07AC2">
            <w:pPr>
              <w:rPr>
                <w:rFonts w:eastAsia="Segoe UI" w:cs="Times New Roman"/>
                <w:color w:val="000000"/>
                <w:kern w:val="24"/>
                <w:szCs w:val="21"/>
                <w:lang w:eastAsia="en-AU"/>
              </w:rPr>
            </w:pPr>
            <w:r w:rsidRPr="004523AB">
              <w:rPr>
                <w:rFonts w:eastAsia="Segoe UI" w:cs="Times New Roman"/>
                <w:color w:val="000000"/>
                <w:kern w:val="24"/>
                <w:szCs w:val="21"/>
                <w:lang w:eastAsia="en-AU"/>
              </w:rPr>
              <w:t>Vic</w:t>
            </w:r>
          </w:p>
        </w:tc>
        <w:tc>
          <w:tcPr>
            <w:tcW w:w="1947" w:type="dxa"/>
            <w:vAlign w:val="center"/>
          </w:tcPr>
          <w:p w14:paraId="47B407DF" w14:textId="32CB90EA" w:rsidR="00F07AC2" w:rsidRPr="004523AB" w:rsidRDefault="00F07AC2" w:rsidP="00F07AC2">
            <w:pPr>
              <w:rPr>
                <w:rFonts w:eastAsia="Segoe UI" w:cs="Segoe UI"/>
                <w:color w:val="000000"/>
                <w:kern w:val="24"/>
                <w:szCs w:val="21"/>
                <w:lang w:eastAsia="en-AU"/>
              </w:rPr>
            </w:pPr>
            <w:r w:rsidRPr="004523AB">
              <w:rPr>
                <w:rFonts w:eastAsia="Segoe UI" w:cs="Segoe UI"/>
                <w:color w:val="000000"/>
                <w:kern w:val="24"/>
                <w:szCs w:val="21"/>
                <w:lang w:eastAsia="en-AU"/>
              </w:rPr>
              <w:t>1,456 (81.8%)</w:t>
            </w:r>
          </w:p>
        </w:tc>
        <w:tc>
          <w:tcPr>
            <w:tcW w:w="1948" w:type="dxa"/>
            <w:vAlign w:val="center"/>
          </w:tcPr>
          <w:p w14:paraId="609ED026" w14:textId="4683415E" w:rsidR="00F07AC2" w:rsidRPr="004523AB" w:rsidRDefault="00F07AC2" w:rsidP="00F07AC2">
            <w:pPr>
              <w:rPr>
                <w:rFonts w:eastAsia="Segoe UI" w:cs="Times New Roman"/>
                <w:color w:val="000000"/>
                <w:kern w:val="24"/>
                <w:szCs w:val="21"/>
                <w:lang w:eastAsia="en-AU"/>
              </w:rPr>
            </w:pPr>
            <w:r w:rsidRPr="004523AB">
              <w:rPr>
                <w:rFonts w:eastAsia="Segoe UI" w:cs="Times New Roman"/>
                <w:color w:val="000000"/>
                <w:kern w:val="24"/>
                <w:szCs w:val="21"/>
                <w:lang w:eastAsia="en-AU"/>
              </w:rPr>
              <w:t>1,309 (89.9%)</w:t>
            </w:r>
          </w:p>
        </w:tc>
        <w:tc>
          <w:tcPr>
            <w:tcW w:w="1948" w:type="dxa"/>
            <w:vAlign w:val="center"/>
          </w:tcPr>
          <w:p w14:paraId="47A42F5A" w14:textId="346F7D41" w:rsidR="00F07AC2" w:rsidRPr="004523AB" w:rsidRDefault="00F07AC2" w:rsidP="00F07AC2">
            <w:pPr>
              <w:rPr>
                <w:rFonts w:eastAsia="Segoe UI" w:cs="Times New Roman"/>
                <w:color w:val="000000"/>
                <w:kern w:val="24"/>
                <w:szCs w:val="21"/>
                <w:lang w:eastAsia="en-AU"/>
              </w:rPr>
            </w:pPr>
            <w:r w:rsidRPr="004523AB">
              <w:rPr>
                <w:rFonts w:eastAsia="Segoe UI" w:cs="Times New Roman"/>
                <w:color w:val="000000"/>
                <w:kern w:val="24"/>
                <w:szCs w:val="21"/>
                <w:lang w:eastAsia="en-AU"/>
              </w:rPr>
              <w:t>950 (65.2%)</w:t>
            </w:r>
          </w:p>
        </w:tc>
        <w:tc>
          <w:tcPr>
            <w:tcW w:w="1948" w:type="dxa"/>
            <w:vAlign w:val="center"/>
          </w:tcPr>
          <w:p w14:paraId="00B9589B" w14:textId="3424F2BE" w:rsidR="00F07AC2" w:rsidRPr="004523AB" w:rsidRDefault="00F07AC2" w:rsidP="00F07AC2">
            <w:pPr>
              <w:rPr>
                <w:rFonts w:eastAsia="Segoe UI" w:cs="Times New Roman"/>
                <w:color w:val="000000"/>
                <w:kern w:val="24"/>
                <w:szCs w:val="21"/>
                <w:lang w:eastAsia="en-AU"/>
              </w:rPr>
            </w:pPr>
            <w:r w:rsidRPr="004523AB">
              <w:rPr>
                <w:rFonts w:eastAsia="Segoe UI" w:cs="Times New Roman"/>
                <w:color w:val="000000"/>
                <w:kern w:val="24"/>
                <w:szCs w:val="21"/>
                <w:lang w:eastAsia="en-AU"/>
              </w:rPr>
              <w:t>1,119 (76.9%)</w:t>
            </w:r>
          </w:p>
        </w:tc>
      </w:tr>
      <w:tr w:rsidR="00F07AC2" w:rsidRPr="004523AB" w14:paraId="143B1684" w14:textId="77777777">
        <w:tc>
          <w:tcPr>
            <w:tcW w:w="1129" w:type="dxa"/>
            <w:vAlign w:val="center"/>
          </w:tcPr>
          <w:p w14:paraId="043CF750" w14:textId="39DB8160" w:rsidR="00F07AC2" w:rsidRPr="004523AB" w:rsidRDefault="00F07AC2" w:rsidP="00F07AC2">
            <w:pPr>
              <w:rPr>
                <w:rFonts w:eastAsia="Segoe UI" w:cs="Times New Roman"/>
                <w:color w:val="000000"/>
                <w:kern w:val="24"/>
                <w:szCs w:val="21"/>
                <w:lang w:eastAsia="en-AU"/>
              </w:rPr>
            </w:pPr>
            <w:r w:rsidRPr="004523AB">
              <w:rPr>
                <w:rFonts w:eastAsia="Segoe UI" w:cs="Times New Roman"/>
                <w:color w:val="000000"/>
                <w:kern w:val="24"/>
                <w:szCs w:val="21"/>
                <w:lang w:eastAsia="en-AU"/>
              </w:rPr>
              <w:t>WA</w:t>
            </w:r>
          </w:p>
        </w:tc>
        <w:tc>
          <w:tcPr>
            <w:tcW w:w="1947" w:type="dxa"/>
            <w:vAlign w:val="center"/>
          </w:tcPr>
          <w:p w14:paraId="31E87175" w14:textId="34FF0BEE" w:rsidR="00F07AC2" w:rsidRPr="004523AB" w:rsidRDefault="00F07AC2" w:rsidP="00F07AC2">
            <w:pPr>
              <w:rPr>
                <w:rFonts w:eastAsia="Segoe UI" w:cs="Segoe UI"/>
                <w:color w:val="000000"/>
                <w:kern w:val="24"/>
                <w:szCs w:val="21"/>
                <w:lang w:eastAsia="en-AU"/>
              </w:rPr>
            </w:pPr>
            <w:r w:rsidRPr="004523AB">
              <w:rPr>
                <w:rFonts w:eastAsia="Segoe UI" w:cs="Segoe UI"/>
                <w:color w:val="000000"/>
                <w:kern w:val="24"/>
                <w:szCs w:val="21"/>
                <w:lang w:eastAsia="en-AU"/>
              </w:rPr>
              <w:t>577 (86.9%)</w:t>
            </w:r>
          </w:p>
        </w:tc>
        <w:tc>
          <w:tcPr>
            <w:tcW w:w="1948" w:type="dxa"/>
            <w:vAlign w:val="center"/>
          </w:tcPr>
          <w:p w14:paraId="3D557497" w14:textId="37796AF3" w:rsidR="00F07AC2" w:rsidRPr="004523AB" w:rsidRDefault="00F07AC2" w:rsidP="00F07AC2">
            <w:pPr>
              <w:rPr>
                <w:rFonts w:eastAsia="Segoe UI" w:cs="Times New Roman"/>
                <w:color w:val="000000"/>
                <w:kern w:val="24"/>
                <w:szCs w:val="21"/>
                <w:lang w:eastAsia="en-AU"/>
              </w:rPr>
            </w:pPr>
            <w:r w:rsidRPr="004523AB">
              <w:rPr>
                <w:rFonts w:eastAsia="Segoe UI" w:cs="Times New Roman"/>
                <w:color w:val="000000"/>
                <w:kern w:val="24"/>
                <w:szCs w:val="21"/>
                <w:lang w:eastAsia="en-AU"/>
              </w:rPr>
              <w:t>548 (95.0%)</w:t>
            </w:r>
          </w:p>
        </w:tc>
        <w:tc>
          <w:tcPr>
            <w:tcW w:w="1948" w:type="dxa"/>
            <w:vAlign w:val="center"/>
          </w:tcPr>
          <w:p w14:paraId="12668B97" w14:textId="4808BCAD" w:rsidR="00F07AC2" w:rsidRPr="004523AB" w:rsidRDefault="00F07AC2" w:rsidP="00F07AC2">
            <w:pPr>
              <w:rPr>
                <w:rFonts w:eastAsia="Segoe UI" w:cs="Times New Roman"/>
                <w:color w:val="000000"/>
                <w:kern w:val="24"/>
                <w:szCs w:val="21"/>
                <w:lang w:eastAsia="en-AU"/>
              </w:rPr>
            </w:pPr>
            <w:r w:rsidRPr="004523AB">
              <w:rPr>
                <w:rFonts w:eastAsia="Segoe UI" w:cs="Times New Roman"/>
                <w:color w:val="000000"/>
                <w:kern w:val="24"/>
                <w:szCs w:val="21"/>
                <w:lang w:eastAsia="en-AU"/>
              </w:rPr>
              <w:t>368 (63.8%)</w:t>
            </w:r>
          </w:p>
        </w:tc>
        <w:tc>
          <w:tcPr>
            <w:tcW w:w="1948" w:type="dxa"/>
            <w:vAlign w:val="center"/>
          </w:tcPr>
          <w:p w14:paraId="0305E551" w14:textId="123B0EDE" w:rsidR="00F07AC2" w:rsidRPr="004523AB" w:rsidRDefault="00F07AC2" w:rsidP="00F07AC2">
            <w:pPr>
              <w:rPr>
                <w:rFonts w:eastAsia="Segoe UI" w:cs="Times New Roman"/>
                <w:color w:val="000000"/>
                <w:kern w:val="24"/>
                <w:szCs w:val="21"/>
                <w:lang w:eastAsia="en-AU"/>
              </w:rPr>
            </w:pPr>
            <w:r w:rsidRPr="004523AB">
              <w:rPr>
                <w:rFonts w:eastAsia="Segoe UI" w:cs="Times New Roman"/>
                <w:color w:val="000000"/>
                <w:kern w:val="24"/>
                <w:szCs w:val="21"/>
                <w:lang w:eastAsia="en-AU"/>
              </w:rPr>
              <w:t>438 (75.9%)</w:t>
            </w:r>
          </w:p>
        </w:tc>
      </w:tr>
      <w:tr w:rsidR="00F07AC2" w:rsidRPr="004523AB" w14:paraId="22326F35" w14:textId="77777777">
        <w:tc>
          <w:tcPr>
            <w:tcW w:w="1129" w:type="dxa"/>
            <w:vAlign w:val="center"/>
          </w:tcPr>
          <w:p w14:paraId="69AD33F6" w14:textId="03E0F7F5" w:rsidR="00F07AC2" w:rsidRPr="004523AB" w:rsidRDefault="00F07AC2" w:rsidP="00F07AC2">
            <w:pPr>
              <w:rPr>
                <w:rFonts w:eastAsia="Segoe UI" w:cs="Times New Roman"/>
                <w:color w:val="000000"/>
                <w:kern w:val="24"/>
                <w:szCs w:val="21"/>
                <w:lang w:eastAsia="en-AU"/>
              </w:rPr>
            </w:pPr>
            <w:r w:rsidRPr="004523AB">
              <w:rPr>
                <w:rFonts w:eastAsia="Segoe UI" w:cs="Times New Roman"/>
                <w:b/>
                <w:bCs/>
                <w:color w:val="000000"/>
                <w:kern w:val="24"/>
                <w:szCs w:val="21"/>
                <w:lang w:eastAsia="en-AU"/>
              </w:rPr>
              <w:t>Total</w:t>
            </w:r>
          </w:p>
        </w:tc>
        <w:tc>
          <w:tcPr>
            <w:tcW w:w="1947" w:type="dxa"/>
            <w:vAlign w:val="center"/>
          </w:tcPr>
          <w:p w14:paraId="34AF4181" w14:textId="68953237" w:rsidR="00F07AC2" w:rsidRPr="004523AB" w:rsidRDefault="00F07AC2" w:rsidP="00F07AC2">
            <w:pPr>
              <w:rPr>
                <w:rFonts w:eastAsia="Segoe UI" w:cs="Segoe UI"/>
                <w:color w:val="000000"/>
                <w:kern w:val="24"/>
                <w:szCs w:val="21"/>
                <w:lang w:eastAsia="en-AU"/>
              </w:rPr>
            </w:pPr>
            <w:r w:rsidRPr="004523AB">
              <w:rPr>
                <w:rFonts w:eastAsia="Segoe UI" w:cs="Segoe UI"/>
                <w:b/>
                <w:bCs/>
                <w:color w:val="000000"/>
                <w:kern w:val="24"/>
                <w:szCs w:val="21"/>
                <w:lang w:eastAsia="en-AU"/>
              </w:rPr>
              <w:t>5,327 (75.6%)</w:t>
            </w:r>
          </w:p>
        </w:tc>
        <w:tc>
          <w:tcPr>
            <w:tcW w:w="1948" w:type="dxa"/>
            <w:vAlign w:val="center"/>
          </w:tcPr>
          <w:p w14:paraId="4270C33C" w14:textId="3EB45B5F" w:rsidR="00F07AC2" w:rsidRPr="004523AB" w:rsidRDefault="00F07AC2" w:rsidP="00F07AC2">
            <w:pPr>
              <w:rPr>
                <w:rFonts w:eastAsia="Segoe UI" w:cs="Times New Roman"/>
                <w:color w:val="000000"/>
                <w:kern w:val="24"/>
                <w:szCs w:val="21"/>
                <w:lang w:eastAsia="en-AU"/>
              </w:rPr>
            </w:pPr>
            <w:r w:rsidRPr="004523AB">
              <w:rPr>
                <w:rFonts w:eastAsia="Segoe UI" w:cs="Times New Roman"/>
                <w:b/>
                <w:bCs/>
                <w:color w:val="000000"/>
                <w:kern w:val="24"/>
                <w:szCs w:val="21"/>
                <w:lang w:eastAsia="en-AU"/>
              </w:rPr>
              <w:t>4,844 (90.9%)</w:t>
            </w:r>
          </w:p>
        </w:tc>
        <w:tc>
          <w:tcPr>
            <w:tcW w:w="1948" w:type="dxa"/>
            <w:vAlign w:val="center"/>
          </w:tcPr>
          <w:p w14:paraId="7AFEB8AC" w14:textId="28221ADD" w:rsidR="00F07AC2" w:rsidRPr="004523AB" w:rsidRDefault="00F07AC2" w:rsidP="00F07AC2">
            <w:pPr>
              <w:rPr>
                <w:rFonts w:eastAsia="Segoe UI" w:cs="Times New Roman"/>
                <w:color w:val="000000"/>
                <w:kern w:val="24"/>
                <w:szCs w:val="21"/>
                <w:lang w:eastAsia="en-AU"/>
              </w:rPr>
            </w:pPr>
            <w:r w:rsidRPr="004523AB">
              <w:rPr>
                <w:rFonts w:eastAsia="Segoe UI" w:cs="Times New Roman"/>
                <w:b/>
                <w:bCs/>
                <w:color w:val="000000"/>
                <w:kern w:val="24"/>
                <w:szCs w:val="21"/>
                <w:lang w:eastAsia="en-AU"/>
              </w:rPr>
              <w:t>3,327 (62.5%)</w:t>
            </w:r>
          </w:p>
        </w:tc>
        <w:tc>
          <w:tcPr>
            <w:tcW w:w="1948" w:type="dxa"/>
            <w:vAlign w:val="center"/>
          </w:tcPr>
          <w:p w14:paraId="18FFA38F" w14:textId="3F6D5179" w:rsidR="00F07AC2" w:rsidRPr="004523AB" w:rsidRDefault="00F07AC2" w:rsidP="00F07AC2">
            <w:pPr>
              <w:rPr>
                <w:rFonts w:eastAsia="Segoe UI" w:cs="Times New Roman"/>
                <w:color w:val="000000"/>
                <w:kern w:val="24"/>
                <w:szCs w:val="21"/>
                <w:lang w:eastAsia="en-AU"/>
              </w:rPr>
            </w:pPr>
            <w:r w:rsidRPr="004523AB">
              <w:rPr>
                <w:rFonts w:eastAsia="Segoe UI" w:cs="Times New Roman"/>
                <w:b/>
                <w:bCs/>
                <w:color w:val="000000"/>
                <w:kern w:val="24"/>
                <w:szCs w:val="21"/>
                <w:lang w:eastAsia="en-AU"/>
              </w:rPr>
              <w:t>3,950 (74.2%)</w:t>
            </w:r>
          </w:p>
        </w:tc>
      </w:tr>
    </w:tbl>
    <w:p w14:paraId="15F68572" w14:textId="265CC90B" w:rsidR="001E6C30" w:rsidRPr="004523AB" w:rsidRDefault="001E6C30" w:rsidP="001E6C30">
      <w:pPr>
        <w:pStyle w:val="Caption"/>
      </w:pPr>
      <w:bookmarkStart w:id="44" w:name="_Ref184918533"/>
      <w:r w:rsidRPr="004523AB">
        <w:lastRenderedPageBreak/>
        <w:t xml:space="preserve">Figure </w:t>
      </w:r>
      <w:r w:rsidRPr="004523AB">
        <w:fldChar w:fldCharType="begin"/>
      </w:r>
      <w:r w:rsidRPr="004523AB">
        <w:instrText xml:space="preserve"> SEQ Figure \* ARABIC </w:instrText>
      </w:r>
      <w:r w:rsidRPr="004523AB">
        <w:fldChar w:fldCharType="separate"/>
      </w:r>
      <w:r w:rsidR="00B96E50">
        <w:rPr>
          <w:noProof/>
        </w:rPr>
        <w:t>4</w:t>
      </w:r>
      <w:r w:rsidRPr="004523AB">
        <w:fldChar w:fldCharType="end"/>
      </w:r>
      <w:bookmarkEnd w:id="44"/>
      <w:r w:rsidRPr="004523AB">
        <w:t xml:space="preserve"> | Summary of grant expenditure by across digital capability</w:t>
      </w:r>
    </w:p>
    <w:p w14:paraId="56784B22" w14:textId="62602A0A" w:rsidR="00D0413B" w:rsidRPr="004523AB" w:rsidRDefault="003C4279" w:rsidP="001E6C30">
      <w:pPr>
        <w:rPr>
          <w:rFonts w:asciiTheme="majorHAnsi" w:hAnsiTheme="majorHAnsi" w:cstheme="majorHAnsi"/>
          <w:b/>
          <w:color w:val="00264D" w:themeColor="background2"/>
          <w:sz w:val="24"/>
          <w:szCs w:val="28"/>
          <w:lang w:eastAsia="en-AU"/>
        </w:rPr>
      </w:pPr>
      <w:r w:rsidRPr="004523AB">
        <w:rPr>
          <w:noProof/>
          <w:lang w:eastAsia="en-AU"/>
        </w:rPr>
        <w:drawing>
          <wp:inline distT="0" distB="0" distL="0" distR="0" wp14:anchorId="5B584140" wp14:editId="4B9EFDC2">
            <wp:extent cx="5670550" cy="4120163"/>
            <wp:effectExtent l="0" t="0" r="6350" b="0"/>
            <wp:docPr id="2080865604" name="Picture 7" descr="Figure 4 is a vertical bar chart showing the number of practices spending on various areas relating to stream 1 (digital capability). The overall number of practices spending in this stream is 4844, with the most common category of spending is “General practice IT systems”(n=417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865604" name="Picture 7" descr="Figure 4 is a vertical bar chart showing the number of practices spending on various areas relating to stream 1 (digital capability). The overall number of practices spending in this stream is 4844, with the most common category of spending is “General practice IT systems”(n=4178). "/>
                    <pic:cNvPicPr/>
                  </pic:nvPicPr>
                  <pic:blipFill rotWithShape="1">
                    <a:blip r:embed="rId29" cstate="print">
                      <a:extLst>
                        <a:ext uri="{28A0092B-C50C-407E-A947-70E740481C1C}">
                          <a14:useLocalDpi xmlns:a14="http://schemas.microsoft.com/office/drawing/2010/main" val="0"/>
                        </a:ext>
                      </a:extLst>
                    </a:blip>
                    <a:srcRect t="7175"/>
                    <a:stretch/>
                  </pic:blipFill>
                  <pic:spPr bwMode="auto">
                    <a:xfrm>
                      <a:off x="0" y="0"/>
                      <a:ext cx="5670550" cy="4120163"/>
                    </a:xfrm>
                    <a:prstGeom prst="rect">
                      <a:avLst/>
                    </a:prstGeom>
                    <a:ln>
                      <a:noFill/>
                    </a:ln>
                    <a:extLst>
                      <a:ext uri="{53640926-AAD7-44D8-BBD7-CCE9431645EC}">
                        <a14:shadowObscured xmlns:a14="http://schemas.microsoft.com/office/drawing/2010/main"/>
                      </a:ext>
                    </a:extLst>
                  </pic:spPr>
                </pic:pic>
              </a:graphicData>
            </a:graphic>
          </wp:inline>
        </w:drawing>
      </w:r>
    </w:p>
    <w:p w14:paraId="7656DF5F" w14:textId="5B174083" w:rsidR="001E6C30" w:rsidRPr="004523AB" w:rsidRDefault="001E6C30" w:rsidP="001E6C30">
      <w:pPr>
        <w:pStyle w:val="Caption"/>
      </w:pPr>
      <w:bookmarkStart w:id="45" w:name="_Ref184972752"/>
      <w:bookmarkStart w:id="46" w:name="_Ref184972749"/>
      <w:r w:rsidRPr="004523AB">
        <w:lastRenderedPageBreak/>
        <w:t xml:space="preserve">Figure </w:t>
      </w:r>
      <w:r w:rsidRPr="004523AB">
        <w:fldChar w:fldCharType="begin"/>
      </w:r>
      <w:r w:rsidRPr="004523AB">
        <w:instrText xml:space="preserve"> SEQ Figure \* ARABIC </w:instrText>
      </w:r>
      <w:r w:rsidRPr="004523AB">
        <w:fldChar w:fldCharType="separate"/>
      </w:r>
      <w:r w:rsidR="00B96E50">
        <w:rPr>
          <w:noProof/>
        </w:rPr>
        <w:t>5</w:t>
      </w:r>
      <w:r w:rsidRPr="004523AB">
        <w:fldChar w:fldCharType="end"/>
      </w:r>
      <w:bookmarkEnd w:id="45"/>
      <w:r w:rsidRPr="004523AB">
        <w:t xml:space="preserve"> | Summary of grant expenditure across infection prevention and control</w:t>
      </w:r>
      <w:bookmarkEnd w:id="46"/>
    </w:p>
    <w:p w14:paraId="0151CE36" w14:textId="1F29DF0B" w:rsidR="00D0413B" w:rsidRPr="004523AB" w:rsidRDefault="003C4279" w:rsidP="001E6C30">
      <w:pPr>
        <w:rPr>
          <w:rFonts w:asciiTheme="majorHAnsi" w:hAnsiTheme="majorHAnsi" w:cstheme="majorHAnsi"/>
          <w:b/>
          <w:color w:val="00264D" w:themeColor="background2"/>
          <w:sz w:val="24"/>
          <w:szCs w:val="28"/>
          <w:lang w:eastAsia="en-AU"/>
        </w:rPr>
      </w:pPr>
      <w:r w:rsidRPr="004523AB">
        <w:rPr>
          <w:noProof/>
          <w:lang w:eastAsia="en-AU"/>
        </w:rPr>
        <w:drawing>
          <wp:inline distT="0" distB="0" distL="0" distR="0" wp14:anchorId="16EE97DF" wp14:editId="547DC641">
            <wp:extent cx="5670550" cy="4446037"/>
            <wp:effectExtent l="0" t="0" r="6350" b="0"/>
            <wp:docPr id="2016396076" name="Picture 8" descr="Figure 5 is a vertical bar chart showing the number of practices spending on various areas relating to stream 2 (infection prevention and control). The overall number of practices spending in this stream is 3327, with the most common category of spending is “Purchase of equipment”(n=260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396076" name="Picture 8" descr="Figure 5 is a vertical bar chart showing the number of practices spending on various areas relating to stream 2 (infection prevention and control). The overall number of practices spending in this stream is 3327, with the most common category of spending is “Purchase of equipment”(n=2609). "/>
                    <pic:cNvPicPr/>
                  </pic:nvPicPr>
                  <pic:blipFill rotWithShape="1">
                    <a:blip r:embed="rId30" cstate="print">
                      <a:extLst>
                        <a:ext uri="{28A0092B-C50C-407E-A947-70E740481C1C}">
                          <a14:useLocalDpi xmlns:a14="http://schemas.microsoft.com/office/drawing/2010/main" val="0"/>
                        </a:ext>
                      </a:extLst>
                    </a:blip>
                    <a:srcRect t="3299" b="4605"/>
                    <a:stretch/>
                  </pic:blipFill>
                  <pic:spPr bwMode="auto">
                    <a:xfrm>
                      <a:off x="0" y="0"/>
                      <a:ext cx="5670550" cy="4446037"/>
                    </a:xfrm>
                    <a:prstGeom prst="rect">
                      <a:avLst/>
                    </a:prstGeom>
                    <a:ln>
                      <a:noFill/>
                    </a:ln>
                    <a:extLst>
                      <a:ext uri="{53640926-AAD7-44D8-BBD7-CCE9431645EC}">
                        <a14:shadowObscured xmlns:a14="http://schemas.microsoft.com/office/drawing/2010/main"/>
                      </a:ext>
                    </a:extLst>
                  </pic:spPr>
                </pic:pic>
              </a:graphicData>
            </a:graphic>
          </wp:inline>
        </w:drawing>
      </w:r>
    </w:p>
    <w:p w14:paraId="3043F139" w14:textId="4573EF1C" w:rsidR="001E6C30" w:rsidRPr="004523AB" w:rsidRDefault="001E6C30" w:rsidP="001E6C30">
      <w:pPr>
        <w:pStyle w:val="Caption"/>
      </w:pPr>
      <w:bookmarkStart w:id="47" w:name="_Ref184918556"/>
      <w:r w:rsidRPr="004523AB">
        <w:lastRenderedPageBreak/>
        <w:t xml:space="preserve">Figure </w:t>
      </w:r>
      <w:r w:rsidRPr="004523AB">
        <w:fldChar w:fldCharType="begin"/>
      </w:r>
      <w:r w:rsidRPr="004523AB">
        <w:instrText xml:space="preserve"> SEQ Figure \* ARABIC </w:instrText>
      </w:r>
      <w:r w:rsidRPr="004523AB">
        <w:fldChar w:fldCharType="separate"/>
      </w:r>
      <w:r w:rsidR="00B96E50">
        <w:rPr>
          <w:noProof/>
        </w:rPr>
        <w:t>6</w:t>
      </w:r>
      <w:r w:rsidRPr="004523AB">
        <w:fldChar w:fldCharType="end"/>
      </w:r>
      <w:bookmarkEnd w:id="47"/>
      <w:r w:rsidRPr="004523AB">
        <w:t xml:space="preserve"> | Summary of grant expenditure across accreditation</w:t>
      </w:r>
    </w:p>
    <w:p w14:paraId="46975CB3" w14:textId="201DD9C6" w:rsidR="005A1EF7" w:rsidRPr="004523AB" w:rsidRDefault="003C4279" w:rsidP="009F6AE6">
      <w:pPr>
        <w:rPr>
          <w:rFonts w:asciiTheme="majorHAnsi" w:hAnsiTheme="majorHAnsi" w:cstheme="majorHAnsi"/>
          <w:b/>
          <w:bCs/>
          <w:color w:val="00264D" w:themeColor="background2"/>
          <w:sz w:val="24"/>
          <w:szCs w:val="28"/>
          <w:lang w:eastAsia="en-AU"/>
        </w:rPr>
      </w:pPr>
      <w:r w:rsidRPr="004523AB">
        <w:rPr>
          <w:noProof/>
          <w:lang w:eastAsia="en-AU"/>
        </w:rPr>
        <w:drawing>
          <wp:inline distT="0" distB="0" distL="0" distR="0" wp14:anchorId="7DC55E36" wp14:editId="70E57285">
            <wp:extent cx="5670550" cy="4615349"/>
            <wp:effectExtent l="0" t="0" r="6350" b="0"/>
            <wp:docPr id="714349221" name="Picture 9" descr="Figure 6 is a vertical barar chart showing the number of practices spending on various areas relating to stream 3 (Accreditation). The overall number of practices spending in this stream is 3950, with the most common category of spending is “Purchase of equipment” (n=304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349221" name="Picture 9" descr="Figure 6 is a vertical barar chart showing the number of practices spending on various areas relating to stream 3 (Accreditation). The overall number of practices spending in this stream is 3950, with the most common category of spending is “Purchase of equipment” (n=3045). "/>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70550" cy="4615349"/>
                    </a:xfrm>
                    <a:prstGeom prst="rect">
                      <a:avLst/>
                    </a:prstGeom>
                  </pic:spPr>
                </pic:pic>
              </a:graphicData>
            </a:graphic>
          </wp:inline>
        </w:drawing>
      </w:r>
    </w:p>
    <w:p w14:paraId="5D003ED3" w14:textId="0E1325A0" w:rsidR="00AB3375" w:rsidRPr="004523AB" w:rsidRDefault="00AB3375" w:rsidP="00AB3375">
      <w:pPr>
        <w:pStyle w:val="Caption"/>
      </w:pPr>
      <w:bookmarkStart w:id="48" w:name="_Ref184918566"/>
      <w:r w:rsidRPr="004523AB">
        <w:t xml:space="preserve">Figure </w:t>
      </w:r>
      <w:r w:rsidRPr="004523AB">
        <w:fldChar w:fldCharType="begin"/>
      </w:r>
      <w:r w:rsidRPr="004523AB">
        <w:instrText xml:space="preserve"> SEQ Figure \* ARABIC </w:instrText>
      </w:r>
      <w:r w:rsidRPr="004523AB">
        <w:fldChar w:fldCharType="separate"/>
      </w:r>
      <w:r w:rsidR="00B96E50">
        <w:rPr>
          <w:noProof/>
        </w:rPr>
        <w:t>7</w:t>
      </w:r>
      <w:r w:rsidRPr="004523AB">
        <w:fldChar w:fldCharType="end"/>
      </w:r>
      <w:bookmarkEnd w:id="48"/>
      <w:r w:rsidRPr="004523AB">
        <w:t xml:space="preserve"> | Summary of ACCHO grant expenditure by number of ACCHOs across digital capability</w:t>
      </w:r>
    </w:p>
    <w:p w14:paraId="20D61ED6" w14:textId="04D69C2D" w:rsidR="00265868" w:rsidRPr="004523AB" w:rsidRDefault="00505810" w:rsidP="00AB3375">
      <w:pPr>
        <w:rPr>
          <w:rFonts w:asciiTheme="majorHAnsi" w:hAnsiTheme="majorHAnsi" w:cstheme="majorHAnsi"/>
          <w:b/>
          <w:color w:val="00264D" w:themeColor="background2"/>
          <w:sz w:val="24"/>
          <w:szCs w:val="28"/>
          <w:lang w:eastAsia="en-AU"/>
        </w:rPr>
      </w:pPr>
      <w:r w:rsidRPr="004523AB">
        <w:rPr>
          <w:noProof/>
          <w:lang w:eastAsia="en-AU"/>
        </w:rPr>
        <w:drawing>
          <wp:inline distT="0" distB="0" distL="0" distR="0" wp14:anchorId="62625496" wp14:editId="29F6A927">
            <wp:extent cx="5670550" cy="3542859"/>
            <wp:effectExtent l="0" t="0" r="6350" b="635"/>
            <wp:docPr id="30263037" name="Picture 10" descr="Figure 7 is a vertical barar chart showing the number of ACCHOs spending on various areas relating to stream 1 (digital capability). The overall number of ACCHOs spending in this stream is 72, with the most common category of spending is “Purchase of equipment”(n=4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63037" name="Picture 10" descr="Figure 7 is a vertical barar chart showing the number of ACCHOs spending on various areas relating to stream 1 (digital capability). The overall number of ACCHOs spending in this stream is 72, with the most common category of spending is “Purchase of equipment”(n=42). "/>
                    <pic:cNvPicPr/>
                  </pic:nvPicPr>
                  <pic:blipFill rotWithShape="1">
                    <a:blip r:embed="rId32" cstate="print">
                      <a:extLst>
                        <a:ext uri="{28A0092B-C50C-407E-A947-70E740481C1C}">
                          <a14:useLocalDpi xmlns:a14="http://schemas.microsoft.com/office/drawing/2010/main" val="0"/>
                        </a:ext>
                      </a:extLst>
                    </a:blip>
                    <a:srcRect b="12921"/>
                    <a:stretch/>
                  </pic:blipFill>
                  <pic:spPr bwMode="auto">
                    <a:xfrm>
                      <a:off x="0" y="0"/>
                      <a:ext cx="5670550" cy="3542859"/>
                    </a:xfrm>
                    <a:prstGeom prst="rect">
                      <a:avLst/>
                    </a:prstGeom>
                    <a:ln>
                      <a:noFill/>
                    </a:ln>
                    <a:extLst>
                      <a:ext uri="{53640926-AAD7-44D8-BBD7-CCE9431645EC}">
                        <a14:shadowObscured xmlns:a14="http://schemas.microsoft.com/office/drawing/2010/main"/>
                      </a:ext>
                    </a:extLst>
                  </pic:spPr>
                </pic:pic>
              </a:graphicData>
            </a:graphic>
          </wp:inline>
        </w:drawing>
      </w:r>
    </w:p>
    <w:p w14:paraId="38788497" w14:textId="0F33DFE8" w:rsidR="00AB3375" w:rsidRPr="004523AB" w:rsidRDefault="00AB3375" w:rsidP="00AB3375">
      <w:pPr>
        <w:pStyle w:val="Caption"/>
      </w:pPr>
      <w:bookmarkStart w:id="49" w:name="_Ref184972950"/>
      <w:r w:rsidRPr="004523AB">
        <w:lastRenderedPageBreak/>
        <w:t>Figure</w:t>
      </w:r>
      <w:r w:rsidR="00265868" w:rsidRPr="004523AB">
        <w:t xml:space="preserve"> </w:t>
      </w:r>
      <w:r w:rsidRPr="004523AB">
        <w:fldChar w:fldCharType="begin"/>
      </w:r>
      <w:r w:rsidRPr="004523AB">
        <w:instrText xml:space="preserve"> SEQ Figure \* ARABIC </w:instrText>
      </w:r>
      <w:r w:rsidRPr="004523AB">
        <w:fldChar w:fldCharType="separate"/>
      </w:r>
      <w:r w:rsidR="00B96E50">
        <w:rPr>
          <w:noProof/>
        </w:rPr>
        <w:t>8</w:t>
      </w:r>
      <w:r w:rsidRPr="004523AB">
        <w:fldChar w:fldCharType="end"/>
      </w:r>
      <w:bookmarkEnd w:id="49"/>
      <w:r w:rsidR="00265868" w:rsidRPr="004523AB">
        <w:t xml:space="preserve"> | Summary of ACCHO grant expenditure by number of ACCHOs across </w:t>
      </w:r>
      <w:r w:rsidRPr="004523AB">
        <w:t>infection prevention and control</w:t>
      </w:r>
    </w:p>
    <w:p w14:paraId="14C5FDCB" w14:textId="26A24FD7" w:rsidR="00265868" w:rsidRPr="004523AB" w:rsidRDefault="00505810" w:rsidP="00AB3375">
      <w:pPr>
        <w:rPr>
          <w:rFonts w:asciiTheme="majorHAnsi" w:hAnsiTheme="majorHAnsi" w:cstheme="majorHAnsi"/>
          <w:b/>
          <w:color w:val="00264D" w:themeColor="background2"/>
          <w:sz w:val="24"/>
          <w:szCs w:val="28"/>
          <w:lang w:eastAsia="en-AU"/>
        </w:rPr>
      </w:pPr>
      <w:r w:rsidRPr="004523AB">
        <w:rPr>
          <w:noProof/>
          <w:lang w:eastAsia="en-AU"/>
        </w:rPr>
        <w:drawing>
          <wp:inline distT="0" distB="0" distL="0" distR="0" wp14:anchorId="372EF475" wp14:editId="7DCEEA5C">
            <wp:extent cx="5670550" cy="4068916"/>
            <wp:effectExtent l="0" t="0" r="6350" b="8255"/>
            <wp:docPr id="99329967" name="Picture 11" descr="Figure 8 is a vertical bar chart showing the number of ACCHOs spending on various areas relating to stream 2 (infection prevention and control). The overall number of ACCHOs spending in this stream is 28, with the most common category of spending is “Improving IPC procedures”(n=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29967" name="Picture 11" descr="Figure 8 is a vertical bar chart showing the number of ACCHOs spending on various areas relating to stream 2 (infection prevention and control). The overall number of ACCHOs spending in this stream is 28, with the most common category of spending is “Improving IPC procedures”(n=19). "/>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70550" cy="4068916"/>
                    </a:xfrm>
                    <a:prstGeom prst="rect">
                      <a:avLst/>
                    </a:prstGeom>
                  </pic:spPr>
                </pic:pic>
              </a:graphicData>
            </a:graphic>
          </wp:inline>
        </w:drawing>
      </w:r>
    </w:p>
    <w:p w14:paraId="4C3F6F59" w14:textId="51A0349F" w:rsidR="00AB3375" w:rsidRPr="004523AB" w:rsidRDefault="00AB3375" w:rsidP="00AB3375">
      <w:pPr>
        <w:pStyle w:val="Caption"/>
      </w:pPr>
      <w:bookmarkStart w:id="50" w:name="_Ref184918574"/>
      <w:r w:rsidRPr="004523AB">
        <w:lastRenderedPageBreak/>
        <w:t xml:space="preserve">Figure </w:t>
      </w:r>
      <w:r w:rsidRPr="004523AB">
        <w:fldChar w:fldCharType="begin"/>
      </w:r>
      <w:r w:rsidRPr="004523AB">
        <w:instrText xml:space="preserve"> SEQ Figure \* ARABIC </w:instrText>
      </w:r>
      <w:r w:rsidRPr="004523AB">
        <w:fldChar w:fldCharType="separate"/>
      </w:r>
      <w:r w:rsidR="00B96E50">
        <w:rPr>
          <w:noProof/>
        </w:rPr>
        <w:t>9</w:t>
      </w:r>
      <w:r w:rsidRPr="004523AB">
        <w:fldChar w:fldCharType="end"/>
      </w:r>
      <w:bookmarkEnd w:id="50"/>
      <w:r w:rsidRPr="004523AB">
        <w:t xml:space="preserve"> | Summary of ACCHO grant expenditure by number of ACCHOs across accreditation</w:t>
      </w:r>
    </w:p>
    <w:p w14:paraId="287C3F27" w14:textId="418F79F5" w:rsidR="00505810" w:rsidRPr="004523AB" w:rsidRDefault="00505810" w:rsidP="009F6AE6">
      <w:pPr>
        <w:rPr>
          <w:rFonts w:asciiTheme="majorHAnsi" w:hAnsiTheme="majorHAnsi" w:cstheme="majorHAnsi"/>
          <w:b/>
          <w:bCs/>
          <w:color w:val="00264D" w:themeColor="background2"/>
          <w:sz w:val="24"/>
          <w:szCs w:val="28"/>
          <w:lang w:eastAsia="en-AU"/>
        </w:rPr>
      </w:pPr>
      <w:r w:rsidRPr="004523AB">
        <w:rPr>
          <w:noProof/>
          <w:lang w:eastAsia="en-AU"/>
        </w:rPr>
        <w:drawing>
          <wp:inline distT="0" distB="0" distL="0" distR="0" wp14:anchorId="38468E16" wp14:editId="133CD182">
            <wp:extent cx="5670550" cy="4068916"/>
            <wp:effectExtent l="0" t="0" r="6350" b="8255"/>
            <wp:docPr id="294217237" name="Picture 12" descr="Figure 9 is a vertical bar chart showing the number of ACCHOs spending on various areas relating to stream 3 (accreditation). The overall number of ACCHOs spending in this stream is 71, with the most common category of spending is “Upskilling of staff/staff training”(n=4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217237" name="Picture 12" descr="Figure 9 is a vertical bar chart showing the number of ACCHOs spending on various areas relating to stream 3 (accreditation). The overall number of ACCHOs spending in this stream is 71, with the most common category of spending is “Upskilling of staff/staff training”(n=43). "/>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70550" cy="4068916"/>
                    </a:xfrm>
                    <a:prstGeom prst="rect">
                      <a:avLst/>
                    </a:prstGeom>
                  </pic:spPr>
                </pic:pic>
              </a:graphicData>
            </a:graphic>
          </wp:inline>
        </w:drawing>
      </w:r>
    </w:p>
    <w:p w14:paraId="64C2485B" w14:textId="6FDD5FBF" w:rsidR="007010E0" w:rsidRPr="004523AB" w:rsidRDefault="007010E0" w:rsidP="00597A03">
      <w:pPr>
        <w:pStyle w:val="Heading3"/>
      </w:pPr>
      <w:r w:rsidRPr="004523AB">
        <w:t>Most practices found the Program process simple and easy to engage with</w:t>
      </w:r>
    </w:p>
    <w:p w14:paraId="05D59824" w14:textId="77777777" w:rsidR="00CB2B31" w:rsidRPr="004523AB" w:rsidRDefault="00CB2B31" w:rsidP="00EE6D91">
      <w:pPr>
        <w:rPr>
          <w:rFonts w:asciiTheme="majorHAnsi" w:hAnsiTheme="majorHAnsi" w:cstheme="majorHAnsi"/>
          <w:b/>
          <w:color w:val="00264D" w:themeColor="background2"/>
        </w:rPr>
      </w:pPr>
      <w:r w:rsidRPr="004523AB">
        <w:rPr>
          <w:rFonts w:asciiTheme="majorHAnsi" w:hAnsiTheme="majorHAnsi" w:cstheme="majorHAnsi"/>
          <w:color w:val="00264D" w:themeColor="background2"/>
        </w:rPr>
        <w:t xml:space="preserve">Almost all practices found the grant processes straightforward </w:t>
      </w:r>
    </w:p>
    <w:p w14:paraId="6E3A3E32" w14:textId="7B53F470" w:rsidR="00CB2B31" w:rsidRPr="004523AB" w:rsidRDefault="00CB2B31" w:rsidP="00CB2B31">
      <w:r w:rsidRPr="004523AB">
        <w:t xml:space="preserve">Practices who received the grant consistently reported that they found the grant application process simple and easy to navigate. As shown below in </w:t>
      </w:r>
      <w:r w:rsidR="001E2D54" w:rsidRPr="004523AB">
        <w:fldChar w:fldCharType="begin"/>
      </w:r>
      <w:r w:rsidR="001E2D54" w:rsidRPr="004523AB">
        <w:instrText xml:space="preserve"> REF _Ref184919450 \h </w:instrText>
      </w:r>
      <w:r w:rsidR="004523AB" w:rsidRPr="004523AB">
        <w:instrText xml:space="preserve"> \* MERGEFORMAT </w:instrText>
      </w:r>
      <w:r w:rsidR="001E2D54" w:rsidRPr="004523AB">
        <w:fldChar w:fldCharType="separate"/>
      </w:r>
      <w:r w:rsidR="00B96E50" w:rsidRPr="004523AB">
        <w:t xml:space="preserve">Figure </w:t>
      </w:r>
      <w:r w:rsidR="00B96E50">
        <w:rPr>
          <w:noProof/>
        </w:rPr>
        <w:t>10</w:t>
      </w:r>
      <w:r w:rsidR="001E2D54" w:rsidRPr="004523AB">
        <w:fldChar w:fldCharType="end"/>
      </w:r>
      <w:r w:rsidRPr="004523AB">
        <w:t xml:space="preserve"> ninety-four per cent of practices (n=5,017) who completed the self-evaluation survey agreed or strongly agreed that ‘it was easy to complete the application and grant agreement form’ suggesting almost all practices found the process simple. </w:t>
      </w:r>
    </w:p>
    <w:p w14:paraId="7BF52642" w14:textId="44E5A197" w:rsidR="008A3FCC" w:rsidRPr="004523AB" w:rsidRDefault="00AB3375" w:rsidP="008A3FCC">
      <w:pPr>
        <w:pStyle w:val="Caption"/>
      </w:pPr>
      <w:bookmarkStart w:id="51" w:name="_Ref184919450"/>
      <w:r w:rsidRPr="004523AB">
        <w:lastRenderedPageBreak/>
        <w:t>Figure</w:t>
      </w:r>
      <w:r w:rsidR="008A3FCC" w:rsidRPr="004523AB">
        <w:t xml:space="preserve"> </w:t>
      </w:r>
      <w:r w:rsidRPr="004523AB">
        <w:fldChar w:fldCharType="begin"/>
      </w:r>
      <w:r w:rsidRPr="004523AB">
        <w:instrText xml:space="preserve"> SEQ Figure \* ARABIC </w:instrText>
      </w:r>
      <w:r w:rsidRPr="004523AB">
        <w:fldChar w:fldCharType="separate"/>
      </w:r>
      <w:r w:rsidR="00B96E50">
        <w:rPr>
          <w:noProof/>
        </w:rPr>
        <w:t>10</w:t>
      </w:r>
      <w:r w:rsidRPr="004523AB">
        <w:fldChar w:fldCharType="end"/>
      </w:r>
      <w:bookmarkEnd w:id="51"/>
      <w:r w:rsidR="008A3FCC" w:rsidRPr="004523AB">
        <w:t xml:space="preserve"> | Practice self-evaluation survey responses to 'It was easy to complete the Application and Grant Application Form</w:t>
      </w:r>
    </w:p>
    <w:p w14:paraId="773C38E6" w14:textId="46721237" w:rsidR="00DE595F" w:rsidRPr="004523AB" w:rsidRDefault="00B061FE" w:rsidP="00DE595F">
      <w:r w:rsidRPr="004523AB">
        <w:rPr>
          <w:noProof/>
          <w:lang w:eastAsia="en-AU"/>
        </w:rPr>
        <w:drawing>
          <wp:inline distT="0" distB="0" distL="0" distR="0" wp14:anchorId="2131B3BB" wp14:editId="032A6865">
            <wp:extent cx="5670550" cy="2717344"/>
            <wp:effectExtent l="0" t="0" r="6350" b="6985"/>
            <wp:docPr id="1836004180" name="Picture 4" descr="Figure 10 is a vertical bar chart showing responses to the statement “It was easy to complete the Application and Grant Agreement Form”. Of the Responses 57 strongly disagree, 60 disagree, 2549 agree, and 2468 strongly agree.A graph with numbers and a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004180" name="Picture 4" descr="Figure 10 is a vertical bar chart showing responses to the statement “It was easy to complete the Application and Grant Agreement Form”. Of the Responses 57 strongly disagree, 60 disagree, 2549 agree, and 2468 strongly agree.A graph with numbers and a ba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70550" cy="2717344"/>
                    </a:xfrm>
                    <a:prstGeom prst="rect">
                      <a:avLst/>
                    </a:prstGeom>
                  </pic:spPr>
                </pic:pic>
              </a:graphicData>
            </a:graphic>
          </wp:inline>
        </w:drawing>
      </w:r>
      <w:r w:rsidR="00DE595F" w:rsidRPr="004523AB">
        <w:t xml:space="preserve">Feedback from many practices interviewed indicated that compared to other grants they had applied for, this process was much more streamlined, and the steps they needed to take were clear. This suggests that PHNs, at least in most cases, successfully absorbed the workload and any complexity to create a process that practices could easily engage with, and not flow-on to practices. Practices interviewed also reported that they received the funds from the grant much quicker than expected. </w:t>
      </w:r>
    </w:p>
    <w:p w14:paraId="3734F8B8" w14:textId="77777777" w:rsidR="00870BFB" w:rsidRPr="004523AB" w:rsidRDefault="00870BFB" w:rsidP="00EE6D91">
      <w:pPr>
        <w:rPr>
          <w:rFonts w:asciiTheme="majorHAnsi" w:hAnsiTheme="majorHAnsi" w:cstheme="majorHAnsi"/>
          <w:b/>
          <w:color w:val="00264D" w:themeColor="background2"/>
        </w:rPr>
      </w:pPr>
      <w:r w:rsidRPr="004523AB">
        <w:rPr>
          <w:rFonts w:asciiTheme="majorHAnsi" w:hAnsiTheme="majorHAnsi" w:cstheme="majorHAnsi"/>
          <w:color w:val="00264D" w:themeColor="background2"/>
        </w:rPr>
        <w:t xml:space="preserve">Most practices understood what was eligible within each investment stream, and their PHN was able to assist when they had questions </w:t>
      </w:r>
    </w:p>
    <w:p w14:paraId="47EEF20C" w14:textId="674F21BF" w:rsidR="00757BF3" w:rsidRPr="004523AB" w:rsidRDefault="00870BFB" w:rsidP="00AB3375">
      <w:r w:rsidRPr="004523AB">
        <w:t xml:space="preserve">Almost all practices reported the guidance documents were clear on what was eligible. Nearly every practice interviewed thought the criteria was clear, especially for the digital capability and infection prevention and control streams. Less than 20 per cent (n = 949) of practices who completed the self-evaluation survey reported that they needed to ask their PHN questions about the grant process or what was eligible. Practice self-evaluation survey results shown in </w:t>
      </w:r>
      <w:r w:rsidR="009A4F0C" w:rsidRPr="004523AB">
        <w:fldChar w:fldCharType="begin"/>
      </w:r>
      <w:r w:rsidR="009A4F0C" w:rsidRPr="004523AB">
        <w:instrText xml:space="preserve"> REF _Ref184919468 \h </w:instrText>
      </w:r>
      <w:r w:rsidR="004523AB" w:rsidRPr="004523AB">
        <w:instrText xml:space="preserve"> \* MERGEFORMAT </w:instrText>
      </w:r>
      <w:r w:rsidR="009A4F0C" w:rsidRPr="004523AB">
        <w:fldChar w:fldCharType="separate"/>
      </w:r>
      <w:r w:rsidR="00B96E50" w:rsidRPr="004523AB">
        <w:t xml:space="preserve">Figure </w:t>
      </w:r>
      <w:r w:rsidR="00B96E50">
        <w:rPr>
          <w:noProof/>
        </w:rPr>
        <w:t>11</w:t>
      </w:r>
      <w:r w:rsidR="009A4F0C" w:rsidRPr="004523AB">
        <w:fldChar w:fldCharType="end"/>
      </w:r>
      <w:r w:rsidRPr="004523AB">
        <w:rPr>
          <w:highlight w:val="yellow"/>
        </w:rPr>
        <w:t xml:space="preserve"> </w:t>
      </w:r>
      <w:r w:rsidRPr="004523AB">
        <w:t xml:space="preserve">demonstrate that while some more clarity could have been provided, </w:t>
      </w:r>
      <w:proofErr w:type="gramStart"/>
      <w:r w:rsidRPr="004523AB">
        <w:t>the majority of</w:t>
      </w:r>
      <w:proofErr w:type="gramEnd"/>
      <w:r w:rsidRPr="004523AB">
        <w:t xml:space="preserve"> practices (97 per cent, n=5039) had a clear understanding of what spend was eligible. Variation of comfort with the application was broadly similar across each state and territory. A more detailed breakdown of survey responses by state/territory can be found in </w:t>
      </w:r>
      <w:r w:rsidR="009A4F0C" w:rsidRPr="004523AB">
        <w:fldChar w:fldCharType="begin"/>
      </w:r>
      <w:r w:rsidR="009A4F0C" w:rsidRPr="004523AB">
        <w:instrText xml:space="preserve"> REF _Ref184919536 \r \h </w:instrText>
      </w:r>
      <w:r w:rsidR="004523AB" w:rsidRPr="004523AB">
        <w:instrText xml:space="preserve"> \* MERGEFORMAT </w:instrText>
      </w:r>
      <w:r w:rsidR="009A4F0C" w:rsidRPr="004523AB">
        <w:fldChar w:fldCharType="separate"/>
      </w:r>
      <w:r w:rsidR="00B96E50">
        <w:t>Appendix E</w:t>
      </w:r>
      <w:r w:rsidR="009A4F0C" w:rsidRPr="004523AB">
        <w:fldChar w:fldCharType="end"/>
      </w:r>
      <w:r w:rsidR="009A4F0C" w:rsidRPr="004523AB">
        <w:t>.</w:t>
      </w:r>
      <w:r w:rsidRPr="004523AB">
        <w:t xml:space="preserve"> </w:t>
      </w:r>
    </w:p>
    <w:p w14:paraId="54D0C267" w14:textId="2705A1D1" w:rsidR="00AB3375" w:rsidRPr="004523AB" w:rsidRDefault="00AB3375" w:rsidP="00AB3375">
      <w:pPr>
        <w:pStyle w:val="Caption"/>
      </w:pPr>
      <w:bookmarkStart w:id="52" w:name="_Ref184919468"/>
      <w:r w:rsidRPr="004523AB">
        <w:lastRenderedPageBreak/>
        <w:t xml:space="preserve">Figure </w:t>
      </w:r>
      <w:r w:rsidRPr="004523AB">
        <w:fldChar w:fldCharType="begin"/>
      </w:r>
      <w:r w:rsidRPr="004523AB">
        <w:instrText xml:space="preserve"> SEQ Figure \* ARABIC </w:instrText>
      </w:r>
      <w:r w:rsidRPr="004523AB">
        <w:fldChar w:fldCharType="separate"/>
      </w:r>
      <w:r w:rsidR="00B96E50">
        <w:rPr>
          <w:noProof/>
        </w:rPr>
        <w:t>11</w:t>
      </w:r>
      <w:r w:rsidRPr="004523AB">
        <w:fldChar w:fldCharType="end"/>
      </w:r>
      <w:bookmarkEnd w:id="52"/>
      <w:r w:rsidRPr="004523AB">
        <w:t xml:space="preserve"> | Self-evaluation survey responses to 'the program guidance document clearly outlined the eligibility</w:t>
      </w:r>
    </w:p>
    <w:p w14:paraId="197347B1" w14:textId="78B95803" w:rsidR="008A3FCC" w:rsidRPr="004523AB" w:rsidRDefault="005A5B43" w:rsidP="00870BFB">
      <w:r w:rsidRPr="004523AB">
        <w:rPr>
          <w:noProof/>
          <w:lang w:eastAsia="en-AU"/>
        </w:rPr>
        <w:drawing>
          <wp:inline distT="0" distB="0" distL="0" distR="0" wp14:anchorId="7972576F" wp14:editId="37066F5E">
            <wp:extent cx="5670550" cy="2717344"/>
            <wp:effectExtent l="0" t="0" r="6350" b="6985"/>
            <wp:docPr id="770565849" name="Picture 5" descr="Figure 11 is a vertical bar chart showing responses to the statement “The program guidance documentation clearly outlined the eligibility criteria”. Of the Responses 53 strongly disagree, 60 disagree, 2731 agree, and 2308 strongly ag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565849" name="Picture 5" descr="Figure 11 is a vertical bar chart showing responses to the statement “The program guidance documentation clearly outlined the eligibility criteria”. Of the Responses 53 strongly disagree, 60 disagree, 2731 agree, and 2308 strongly agree.&#1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670550" cy="2717344"/>
                    </a:xfrm>
                    <a:prstGeom prst="rect">
                      <a:avLst/>
                    </a:prstGeom>
                  </pic:spPr>
                </pic:pic>
              </a:graphicData>
            </a:graphic>
          </wp:inline>
        </w:drawing>
      </w:r>
    </w:p>
    <w:p w14:paraId="35014EA5" w14:textId="77777777" w:rsidR="0048364D" w:rsidRPr="004523AB" w:rsidRDefault="0048364D" w:rsidP="0048364D">
      <w:pPr>
        <w:pStyle w:val="Heading3"/>
      </w:pPr>
      <w:r w:rsidRPr="004523AB">
        <w:t>The Department provided the right information to PHNs and practices. More timely communications could have strengthened rollout</w:t>
      </w:r>
    </w:p>
    <w:tbl>
      <w:tblPr>
        <w:tblStyle w:val="NousLongformcallout"/>
        <w:tblW w:w="4950" w:type="pct"/>
        <w:tblCellMar>
          <w:top w:w="170" w:type="dxa"/>
          <w:bottom w:w="170" w:type="dxa"/>
        </w:tblCellMar>
        <w:tblLook w:val="04A0" w:firstRow="1" w:lastRow="0" w:firstColumn="1" w:lastColumn="0" w:noHBand="0" w:noVBand="1"/>
      </w:tblPr>
      <w:tblGrid>
        <w:gridCol w:w="9069"/>
      </w:tblGrid>
      <w:tr w:rsidR="00FF4A73" w:rsidRPr="004523AB" w14:paraId="2B3B4739" w14:textId="77777777" w:rsidTr="00FF4A73">
        <w:tc>
          <w:tcPr>
            <w:tcW w:w="9069" w:type="dxa"/>
          </w:tcPr>
          <w:p w14:paraId="0F257662" w14:textId="1821BEB4" w:rsidR="00FF4A73" w:rsidRPr="004523AB" w:rsidRDefault="00FF4A73" w:rsidP="00FF4A73">
            <w:pPr>
              <w:pStyle w:val="Longformcallout"/>
            </w:pPr>
            <w:r w:rsidRPr="004523AB">
              <w:t>“Ninety per cent of PHNs agreed or strongly agreed that the Grant Opportunities Guidelines and Application Pack were clear and easily understandable for our PHN to effectively communicate to our practices.” – PHN representative survey</w:t>
            </w:r>
          </w:p>
        </w:tc>
      </w:tr>
    </w:tbl>
    <w:p w14:paraId="21AA628F" w14:textId="77777777" w:rsidR="00DE491B" w:rsidRPr="004523AB" w:rsidRDefault="00DE491B" w:rsidP="00EE6D91">
      <w:pPr>
        <w:rPr>
          <w:rFonts w:asciiTheme="majorHAnsi" w:hAnsiTheme="majorHAnsi" w:cstheme="majorHAnsi"/>
          <w:b/>
          <w:color w:val="00264D" w:themeColor="background2"/>
        </w:rPr>
      </w:pPr>
      <w:r w:rsidRPr="004523AB">
        <w:rPr>
          <w:rFonts w:asciiTheme="majorHAnsi" w:hAnsiTheme="majorHAnsi" w:cstheme="majorHAnsi"/>
          <w:color w:val="00264D" w:themeColor="background2"/>
        </w:rPr>
        <w:t>PHNs reported the</w:t>
      </w:r>
      <w:r w:rsidRPr="004523AB">
        <w:rPr>
          <w:rFonts w:asciiTheme="majorHAnsi" w:hAnsiTheme="majorHAnsi" w:cstheme="majorHAnsi"/>
          <w:b/>
          <w:color w:val="00264D" w:themeColor="background2"/>
        </w:rPr>
        <w:t xml:space="preserve"> </w:t>
      </w:r>
      <w:r w:rsidRPr="004523AB">
        <w:rPr>
          <w:rFonts w:asciiTheme="majorHAnsi" w:hAnsiTheme="majorHAnsi" w:cstheme="majorHAnsi"/>
          <w:bCs/>
          <w:color w:val="00264D" w:themeColor="background2"/>
        </w:rPr>
        <w:t>quality of communications and materials when provided was sufficient and better than other programs, with some areas for improvement identified by stakeholders</w:t>
      </w:r>
    </w:p>
    <w:p w14:paraId="2093D9B3" w14:textId="66D47021" w:rsidR="00DE491B" w:rsidRPr="004523AB" w:rsidRDefault="00DE491B" w:rsidP="00DE491B">
      <w:r w:rsidRPr="004523AB">
        <w:t xml:space="preserve">Most PHN representatives felt communications and materials provided by the Department were useful and high quality. When surveyed, all PHNs that responded (30 out of 31) agreed or strongly agreed that the national program guidance documentation clearly outlined the eligibility requirements for practices. Many PHN representatives found that the Program guidance was better designed than previous Department programs and that the series of webinars created a useful forum to receive information and seek clarification. This extended to the information packs sent out to PHNs as well as guidance documents on practice eligibility and the spending guidelines. </w:t>
      </w:r>
    </w:p>
    <w:p w14:paraId="63136205" w14:textId="77777777" w:rsidR="00DE491B" w:rsidRPr="004523AB" w:rsidRDefault="00DE491B" w:rsidP="00DE491B">
      <w:r w:rsidRPr="004523AB">
        <w:rPr>
          <w:lang w:eastAsia="en-AU"/>
        </w:rPr>
        <w:t xml:space="preserve">PHN representative feedback on communications includes: </w:t>
      </w:r>
    </w:p>
    <w:p w14:paraId="79A44A48" w14:textId="77777777" w:rsidR="00DE491B" w:rsidRPr="004523AB" w:rsidRDefault="00DE491B" w:rsidP="0099313E">
      <w:pPr>
        <w:pStyle w:val="ListBullet"/>
      </w:pPr>
      <w:r w:rsidRPr="004523AB">
        <w:t xml:space="preserve">PHNs valued the flexibility and practical decisions the Department made to help practices get funding for what they needed to improve access. When multiple PHNs were unsure whether funding fell within the guidelines, they had a positive experience working with the Department to get proposed spending approved under the Program guidelines. This was especially the case for regional and rural practices where it can be more difficult to provide and/or increase access than in metropolitan practices. </w:t>
      </w:r>
    </w:p>
    <w:p w14:paraId="2EC29EA6" w14:textId="77777777" w:rsidR="00DE491B" w:rsidRPr="004523AB" w:rsidRDefault="00DE491B" w:rsidP="0099313E">
      <w:pPr>
        <w:pStyle w:val="ListBullet"/>
      </w:pPr>
      <w:r w:rsidRPr="004523AB">
        <w:rPr>
          <w:rFonts w:asciiTheme="majorHAnsi" w:hAnsiTheme="majorHAnsi" w:cstheme="majorHAnsi"/>
        </w:rPr>
        <w:t>PHNs would have liked a consistent point of contact in the Department, including a phone number.</w:t>
      </w:r>
      <w:r w:rsidRPr="004523AB">
        <w:t xml:space="preserve"> Many PHN representatives sought a specific contact person in the Department rather </w:t>
      </w:r>
      <w:r w:rsidRPr="004523AB">
        <w:lastRenderedPageBreak/>
        <w:t xml:space="preserve">than a generic mailbox. They felt this would get decisions quicker and that it could increase the consistency of information if from an individual rather than from a broader, changing team. Many PHN representatives also preferred a phone contact over an email. </w:t>
      </w:r>
    </w:p>
    <w:p w14:paraId="7B4D0EC2" w14:textId="77777777" w:rsidR="00DE491B" w:rsidRPr="004523AB" w:rsidRDefault="00DE491B" w:rsidP="0099313E">
      <w:pPr>
        <w:pStyle w:val="ListBullet"/>
      </w:pPr>
      <w:r w:rsidRPr="004523AB">
        <w:rPr>
          <w:rFonts w:asciiTheme="majorHAnsi" w:hAnsiTheme="majorHAnsi" w:cstheme="majorHAnsi"/>
        </w:rPr>
        <w:t xml:space="preserve">It took an extended </w:t>
      </w:r>
      <w:proofErr w:type="gramStart"/>
      <w:r w:rsidRPr="004523AB">
        <w:rPr>
          <w:rFonts w:asciiTheme="majorHAnsi" w:hAnsiTheme="majorHAnsi" w:cstheme="majorHAnsi"/>
        </w:rPr>
        <w:t>period of time</w:t>
      </w:r>
      <w:proofErr w:type="gramEnd"/>
      <w:r w:rsidRPr="004523AB">
        <w:rPr>
          <w:rFonts w:asciiTheme="majorHAnsi" w:hAnsiTheme="majorHAnsi" w:cstheme="majorHAnsi"/>
        </w:rPr>
        <w:t xml:space="preserve"> to get decisions on practice eligibility</w:t>
      </w:r>
      <w:r w:rsidRPr="004523AB">
        <w:t xml:space="preserve">. Many PHN representatives experienced delays on questions related to practice eligibility. Some noted this may have been unavoidable given the pace of the Program rollout and the number of practices involved, while others found it strained their relationship with practices who were left unsure of their eligibility for a period (some reported weeks, others, months). </w:t>
      </w:r>
    </w:p>
    <w:p w14:paraId="563C1B1E" w14:textId="77777777" w:rsidR="00DE491B" w:rsidRPr="004523AB" w:rsidRDefault="00DE491B" w:rsidP="0099313E">
      <w:pPr>
        <w:pStyle w:val="ListBullet"/>
      </w:pPr>
      <w:r w:rsidRPr="004523AB">
        <w:rPr>
          <w:rFonts w:asciiTheme="majorHAnsi" w:hAnsiTheme="majorHAnsi" w:cstheme="majorHAnsi"/>
        </w:rPr>
        <w:t xml:space="preserve">A better system could be used to inform PHN representatives of updates made to the Master and PHN spreadsheets. </w:t>
      </w:r>
      <w:r w:rsidRPr="004523AB">
        <w:t xml:space="preserve">Many PHN representatives noted that their process would benefit from receiving notifications from the Department if changes were made to the live spreadsheets. Throughout the Program, they were required to regularly check whether decisions or updates have been made in the spreadsheet. </w:t>
      </w:r>
    </w:p>
    <w:p w14:paraId="5AE92470" w14:textId="77777777" w:rsidR="00DE491B" w:rsidRPr="004523AB" w:rsidRDefault="00DE491B" w:rsidP="0099313E">
      <w:pPr>
        <w:pStyle w:val="ListBullet"/>
        <w:rPr>
          <w:rFonts w:asciiTheme="majorHAnsi" w:hAnsiTheme="majorHAnsi" w:cstheme="majorHAnsi"/>
        </w:rPr>
      </w:pPr>
      <w:r w:rsidRPr="004523AB">
        <w:rPr>
          <w:rFonts w:asciiTheme="majorHAnsi" w:hAnsiTheme="majorHAnsi" w:cstheme="majorHAnsi"/>
        </w:rPr>
        <w:t xml:space="preserve">Providing guidance and materials earlier would have supported PHNs to develop their approach. </w:t>
      </w:r>
      <w:r w:rsidRPr="004523AB">
        <w:t xml:space="preserve">While the guidance and materials were noted as useful by PHN representatives, many felt if they were provided earlier, they would have supported better planning and reduced delivery pressure. One PHN representative stated, ‘we were able to react to administering the grant, but if we had more notice and information upfront then we could have implemented more effectively’. It also meant that those without existing grants management or contract management software had to manage the grants manually. </w:t>
      </w:r>
    </w:p>
    <w:p w14:paraId="3D27D506" w14:textId="112FDB61" w:rsidR="00DE491B" w:rsidRPr="004523AB" w:rsidRDefault="00DE491B" w:rsidP="0099313E">
      <w:pPr>
        <w:pStyle w:val="ListBullet"/>
      </w:pPr>
      <w:r w:rsidRPr="004523AB">
        <w:rPr>
          <w:rFonts w:asciiTheme="majorHAnsi" w:hAnsiTheme="majorHAnsi" w:cstheme="majorHAnsi"/>
        </w:rPr>
        <w:t xml:space="preserve">The speed by which the program was delivered was difficult in the early stages. </w:t>
      </w:r>
      <w:r w:rsidRPr="004523AB">
        <w:rPr>
          <w:rFonts w:asciiTheme="minorHAnsi" w:hAnsiTheme="minorHAnsi" w:cstheme="minorHAnsi"/>
        </w:rPr>
        <w:t xml:space="preserve">Most </w:t>
      </w:r>
      <w:r w:rsidRPr="004523AB">
        <w:t>PHN representatives noted the speed with which stages 1-3 of the process needed to be executed (from planning to implementation) was difficult to achieve and required them to pause on other projects to focus on the Program. This time pressure was almost absorbed by PHNs and not passed through to practices - nearly all practices reported they found it easy to apply for and receive the grant. NACCHO’s feedback, provided in their summary report (see</w:t>
      </w:r>
      <w:r w:rsidR="00503B26" w:rsidRPr="004523AB">
        <w:t xml:space="preserve"> </w:t>
      </w:r>
      <w:r w:rsidR="00586EA8" w:rsidRPr="004523AB">
        <w:fldChar w:fldCharType="begin"/>
      </w:r>
      <w:r w:rsidR="00586EA8" w:rsidRPr="004523AB">
        <w:instrText xml:space="preserve"> REF _Ref184973079 \n \h </w:instrText>
      </w:r>
      <w:r w:rsidR="004523AB" w:rsidRPr="004523AB">
        <w:instrText xml:space="preserve"> \* MERGEFORMAT </w:instrText>
      </w:r>
      <w:r w:rsidR="00586EA8" w:rsidRPr="004523AB">
        <w:fldChar w:fldCharType="separate"/>
      </w:r>
      <w:r w:rsidR="00B96E50">
        <w:t>Appendix D</w:t>
      </w:r>
      <w:r w:rsidR="00586EA8" w:rsidRPr="004523AB">
        <w:fldChar w:fldCharType="end"/>
      </w:r>
      <w:r w:rsidRPr="004523AB">
        <w:t xml:space="preserve">), on the early stages of the grant process, indicated they did not have the same challenges with time pressure in the initial distribution. NACCHO noted the importance of ensuring their involvement from the beginning in the design phase, including shared decision-making in line with Priority Reform 1 of the National Agreement on Closing the Gap. </w:t>
      </w:r>
    </w:p>
    <w:p w14:paraId="10C24793" w14:textId="77777777" w:rsidR="00851FBC" w:rsidRPr="004523AB" w:rsidRDefault="00851FBC" w:rsidP="00EE6D91">
      <w:pPr>
        <w:rPr>
          <w:b/>
          <w:color w:val="00264D" w:themeColor="background2"/>
        </w:rPr>
      </w:pPr>
      <w:r w:rsidRPr="004523AB">
        <w:rPr>
          <w:rFonts w:asciiTheme="majorHAnsi" w:hAnsiTheme="majorHAnsi" w:cstheme="majorHAnsi"/>
          <w:color w:val="00264D" w:themeColor="background2"/>
        </w:rPr>
        <w:t>PHNs noted that many practices required a high degree of their support which placed a disproportionate burden on PHNs with high numbers of practices</w:t>
      </w:r>
    </w:p>
    <w:tbl>
      <w:tblPr>
        <w:tblStyle w:val="NousLongformcallout"/>
        <w:tblW w:w="4950" w:type="pct"/>
        <w:tblCellMar>
          <w:top w:w="170" w:type="dxa"/>
          <w:bottom w:w="170" w:type="dxa"/>
        </w:tblCellMar>
        <w:tblLook w:val="04A0" w:firstRow="1" w:lastRow="0" w:firstColumn="1" w:lastColumn="0" w:noHBand="0" w:noVBand="1"/>
      </w:tblPr>
      <w:tblGrid>
        <w:gridCol w:w="9069"/>
      </w:tblGrid>
      <w:tr w:rsidR="00FF4A73" w:rsidRPr="004523AB" w14:paraId="6C7122DD" w14:textId="77777777" w:rsidTr="00FF4A73">
        <w:tc>
          <w:tcPr>
            <w:tcW w:w="9069" w:type="dxa"/>
          </w:tcPr>
          <w:p w14:paraId="75EEFD1C" w14:textId="58063A0D" w:rsidR="00FF4A73" w:rsidRPr="004523AB" w:rsidRDefault="00FF4A73" w:rsidP="00FF4A73">
            <w:pPr>
              <w:pStyle w:val="Longformcallout"/>
            </w:pPr>
            <w:r w:rsidRPr="004523AB">
              <w:t xml:space="preserve">"It was low burden, especially compared to other grants." – Practice Manager </w:t>
            </w:r>
          </w:p>
        </w:tc>
      </w:tr>
    </w:tbl>
    <w:p w14:paraId="08409804" w14:textId="739AE073" w:rsidR="00851FBC" w:rsidRPr="004523AB" w:rsidRDefault="00851FBC" w:rsidP="00851FBC">
      <w:pPr>
        <w:rPr>
          <w:lang w:eastAsia="en-AU"/>
        </w:rPr>
      </w:pPr>
      <w:r w:rsidRPr="004523AB">
        <w:rPr>
          <w:lang w:eastAsia="en-AU"/>
        </w:rPr>
        <w:t>Practices are varied in operational maturity and practice type with some as small solo practices and others as large corporates comprising multiple clinics. In the application phase, practices primarily required support on finding business information (ABN, trading name etc), and as noted earlier in this report, to confirm what they could spend the funding on in each investment stream. For some PHNs, especially those with manual grant management processes, this added unexpected workload burden including multiple back and forth communications with sometimes hundreds of practices.</w:t>
      </w:r>
    </w:p>
    <w:p w14:paraId="41B42EF1" w14:textId="023C91AC" w:rsidR="00FE06DF" w:rsidRPr="004523AB" w:rsidRDefault="00851FBC" w:rsidP="006B54EA">
      <w:r w:rsidRPr="004523AB">
        <w:rPr>
          <w:lang w:eastAsia="en-AU"/>
        </w:rPr>
        <w:lastRenderedPageBreak/>
        <w:t xml:space="preserve">The PHN self-evaluation survey reflects that processes were easier for practices because PHNs absorbed the burden. Ninety per cent of PHN representatives surveyed agreed or strongly agreed that ‘it was easy for practices to complete the application and Grant Agreement Form’. </w:t>
      </w:r>
      <w:r w:rsidRPr="004523AB">
        <w:t>This contrasts with feedback from some PHN representatives that the guidelines were unclear and that many practices needed help to understand what was eligible. This is likely a reflection of the volume of practices applying for the grant.</w:t>
      </w:r>
      <w:r w:rsidR="00586EA8" w:rsidRPr="004523AB">
        <w:t xml:space="preserve"> </w:t>
      </w:r>
      <w:r w:rsidRPr="004523AB">
        <w:fldChar w:fldCharType="begin"/>
      </w:r>
      <w:r w:rsidRPr="004523AB">
        <w:fldChar w:fldCharType="separate"/>
      </w:r>
      <w:r w:rsidRPr="004523AB">
        <w:t xml:space="preserve">Figure </w:t>
      </w:r>
      <w:r w:rsidRPr="004523AB">
        <w:rPr>
          <w:noProof/>
        </w:rPr>
        <w:t>15</w:t>
      </w:r>
      <w:r w:rsidRPr="004523AB">
        <w:fldChar w:fldCharType="end"/>
      </w:r>
      <w:r w:rsidR="009A4F0C" w:rsidRPr="004523AB">
        <w:fldChar w:fldCharType="begin"/>
      </w:r>
      <w:r w:rsidR="009A4F0C" w:rsidRPr="004523AB">
        <w:instrText xml:space="preserve"> REF _Ref184919586 \h </w:instrText>
      </w:r>
      <w:r w:rsidR="004523AB" w:rsidRPr="004523AB">
        <w:instrText xml:space="preserve"> \* MERGEFORMAT </w:instrText>
      </w:r>
      <w:r w:rsidR="009A4F0C" w:rsidRPr="004523AB">
        <w:fldChar w:fldCharType="separate"/>
      </w:r>
      <w:r w:rsidR="00B96E50" w:rsidRPr="004523AB">
        <w:t xml:space="preserve">Figure </w:t>
      </w:r>
      <w:r w:rsidR="00B96E50">
        <w:rPr>
          <w:noProof/>
        </w:rPr>
        <w:t>12</w:t>
      </w:r>
      <w:r w:rsidR="009A4F0C" w:rsidRPr="004523AB">
        <w:fldChar w:fldCharType="end"/>
      </w:r>
      <w:r w:rsidRPr="004523AB">
        <w:t xml:space="preserve"> below illustrates that even though most practices did not need support, the nearly 1,000 practices who did have questions required time and attention from their PHN. </w:t>
      </w:r>
    </w:p>
    <w:p w14:paraId="77D889BB" w14:textId="7BCAD734" w:rsidR="00AB3375" w:rsidRPr="004523AB" w:rsidRDefault="00AB3375" w:rsidP="00AB3375">
      <w:pPr>
        <w:pStyle w:val="Caption"/>
      </w:pPr>
      <w:bookmarkStart w:id="53" w:name="_Ref184919586"/>
      <w:r w:rsidRPr="004523AB">
        <w:t xml:space="preserve">Figure </w:t>
      </w:r>
      <w:r w:rsidRPr="004523AB">
        <w:fldChar w:fldCharType="begin"/>
      </w:r>
      <w:r w:rsidRPr="004523AB">
        <w:instrText xml:space="preserve"> SEQ Figure \* ARABIC </w:instrText>
      </w:r>
      <w:r w:rsidRPr="004523AB">
        <w:fldChar w:fldCharType="separate"/>
      </w:r>
      <w:r w:rsidR="00B96E50">
        <w:rPr>
          <w:noProof/>
        </w:rPr>
        <w:t>12</w:t>
      </w:r>
      <w:r w:rsidRPr="004523AB">
        <w:fldChar w:fldCharType="end"/>
      </w:r>
      <w:bookmarkEnd w:id="53"/>
      <w:r w:rsidRPr="004523AB">
        <w:t xml:space="preserve"> | Practice self-evaluation survey responses to 'Our practice did not need assistance from our Primary Health Network to complete the grant application'</w:t>
      </w:r>
    </w:p>
    <w:p w14:paraId="7DB80EB1" w14:textId="19188A4C" w:rsidR="006B54EA" w:rsidRPr="004523AB" w:rsidRDefault="006B54EA" w:rsidP="006B54EA">
      <w:r w:rsidRPr="004523AB">
        <w:rPr>
          <w:noProof/>
          <w:lang w:eastAsia="en-AU"/>
        </w:rPr>
        <w:drawing>
          <wp:inline distT="0" distB="0" distL="0" distR="0" wp14:anchorId="5D7E51F6" wp14:editId="40831D9C">
            <wp:extent cx="5670550" cy="2717344"/>
            <wp:effectExtent l="0" t="0" r="6350" b="6985"/>
            <wp:docPr id="1765307310" name="Picture 6" descr="Figure 12 is a vertical bar chart showing responses to the statement “Our practice did not need assistance from our Primary Health Network (PHN) to complete the grant application”. Of the Responses 213 strongly disagree, 736 disagree, 2331 agree, and 1784 strongly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307310" name="Picture 6" descr="Figure 12 is a vertical bar chart showing responses to the statement “Our practice did not need assistance from our Primary Health Network (PHN) to complete the grant application”. Of the Responses 213 strongly disagree, 736 disagree, 2331 agree, and 1784 strongly agre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70550" cy="2717344"/>
                    </a:xfrm>
                    <a:prstGeom prst="rect">
                      <a:avLst/>
                    </a:prstGeom>
                  </pic:spPr>
                </pic:pic>
              </a:graphicData>
            </a:graphic>
          </wp:inline>
        </w:drawing>
      </w:r>
    </w:p>
    <w:p w14:paraId="7C4CBA8C" w14:textId="77777777" w:rsidR="009D27EB" w:rsidRPr="0099313E" w:rsidRDefault="009D27EB" w:rsidP="0099313E">
      <w:pPr>
        <w:rPr>
          <w:rStyle w:val="Strong"/>
        </w:rPr>
      </w:pPr>
      <w:r w:rsidRPr="0099313E">
        <w:rPr>
          <w:rStyle w:val="Strong"/>
        </w:rPr>
        <w:t xml:space="preserve">The Department mostly provided timely responses to PHN and practice queries </w:t>
      </w:r>
    </w:p>
    <w:p w14:paraId="269D9455" w14:textId="41778F72" w:rsidR="009D27EB" w:rsidRPr="004523AB" w:rsidRDefault="009D27EB" w:rsidP="0099313E">
      <w:pPr>
        <w:rPr>
          <w:rFonts w:asciiTheme="majorHAnsi" w:eastAsia="Times New Roman" w:hAnsiTheme="majorHAnsi" w:cstheme="majorHAnsi"/>
          <w:sz w:val="20"/>
          <w:szCs w:val="24"/>
          <w:lang w:eastAsia="en-AU"/>
        </w:rPr>
      </w:pPr>
      <w:r w:rsidRPr="004523AB">
        <w:t xml:space="preserve">Especially in the early stages of the Program, many practices were unsure what was eligible under each of the investment streams. The initial guidance released to PHNs when the grant was released included </w:t>
      </w:r>
      <w:r w:rsidR="00FF4A73" w:rsidRPr="004523AB">
        <w:t>‘</w:t>
      </w:r>
      <w:r w:rsidRPr="004523AB">
        <w:t>Guidance for PHNs and Guidance for NACCHO</w:t>
      </w:r>
      <w:r w:rsidR="00FF4A73" w:rsidRPr="004523AB">
        <w:t>’</w:t>
      </w:r>
      <w:r w:rsidRPr="004523AB">
        <w:t>. It included information related to program delivery and the roles PHNs and NACCHO would play. Practices received a grant agreement pack with a 2-page fact sheet on the Program and a placemat providing an overview of the Program.</w:t>
      </w:r>
    </w:p>
    <w:p w14:paraId="065043F2" w14:textId="4CF414CD" w:rsidR="009D27EB" w:rsidRPr="004523AB" w:rsidRDefault="009D27EB" w:rsidP="009D27EB">
      <w:r w:rsidRPr="004523AB">
        <w:t>Following several requests for clarification, the Department released an additional guidance document in June 2023, three months after implementation began, including examples for each stream. While this was useful, PHNs would have appreciated it at the beginning of the Program. Practices had already taken different approaches to how they intended to spend funds as set out in Case Study 2 (</w:t>
      </w:r>
      <w:r w:rsidR="009A4F0C" w:rsidRPr="004523AB">
        <w:rPr>
          <w:highlight w:val="yellow"/>
        </w:rPr>
        <w:fldChar w:fldCharType="begin"/>
      </w:r>
      <w:r w:rsidR="009A4F0C" w:rsidRPr="004523AB">
        <w:instrText xml:space="preserve"> REF _Ref184919605 \h </w:instrText>
      </w:r>
      <w:r w:rsidR="004523AB" w:rsidRPr="004523AB">
        <w:rPr>
          <w:highlight w:val="yellow"/>
        </w:rPr>
        <w:instrText xml:space="preserve"> \* MERGEFORMAT </w:instrText>
      </w:r>
      <w:r w:rsidR="009A4F0C" w:rsidRPr="004523AB">
        <w:rPr>
          <w:highlight w:val="yellow"/>
        </w:rPr>
      </w:r>
      <w:r w:rsidR="009A4F0C" w:rsidRPr="004523AB">
        <w:rPr>
          <w:highlight w:val="yellow"/>
        </w:rPr>
        <w:fldChar w:fldCharType="separate"/>
      </w:r>
      <w:r w:rsidR="00B96E50" w:rsidRPr="004523AB">
        <w:t xml:space="preserve">Figure </w:t>
      </w:r>
      <w:r w:rsidR="00B96E50">
        <w:rPr>
          <w:noProof/>
        </w:rPr>
        <w:t>13</w:t>
      </w:r>
      <w:r w:rsidR="009A4F0C" w:rsidRPr="004523AB">
        <w:rPr>
          <w:highlight w:val="yellow"/>
        </w:rPr>
        <w:fldChar w:fldCharType="end"/>
      </w:r>
      <w:r w:rsidR="009A4F0C" w:rsidRPr="004523AB">
        <w:t>)</w:t>
      </w:r>
      <w:r w:rsidRPr="004523AB">
        <w:t xml:space="preserve">. </w:t>
      </w:r>
    </w:p>
    <w:p w14:paraId="504B3DD4" w14:textId="77777777" w:rsidR="009D27EB" w:rsidRPr="004523AB" w:rsidRDefault="009D27EB" w:rsidP="009D27EB">
      <w:r w:rsidRPr="004523AB">
        <w:t xml:space="preserve">The implications of confusion or lack of clarity on eligible spend included: </w:t>
      </w:r>
    </w:p>
    <w:p w14:paraId="718FE094" w14:textId="77777777" w:rsidR="009D27EB" w:rsidRPr="004523AB" w:rsidRDefault="009D27EB" w:rsidP="0099313E">
      <w:pPr>
        <w:pStyle w:val="ListBullet"/>
      </w:pPr>
      <w:r w:rsidRPr="004523AB">
        <w:t>PHN resources were largely spent providing operational support and clarifying basic program information, which was not viewed as an effective use of PHN time.</w:t>
      </w:r>
    </w:p>
    <w:p w14:paraId="37A7838E" w14:textId="77777777" w:rsidR="009D27EB" w:rsidRPr="004523AB" w:rsidRDefault="009D27EB" w:rsidP="0099313E">
      <w:pPr>
        <w:pStyle w:val="ListBullet"/>
      </w:pPr>
      <w:r w:rsidRPr="004523AB">
        <w:t>It added to decision fatigue for practices as the areas were so broad it was hard to think about and prioritise what fit into it.</w:t>
      </w:r>
    </w:p>
    <w:p w14:paraId="306EA6BE" w14:textId="77777777" w:rsidR="009D27EB" w:rsidRPr="004523AB" w:rsidRDefault="009D27EB" w:rsidP="0099313E">
      <w:pPr>
        <w:pStyle w:val="ListBullet"/>
      </w:pPr>
      <w:r w:rsidRPr="004523AB">
        <w:lastRenderedPageBreak/>
        <w:t>Some practices did not apply or didn’t fully spend funds out of concern that they would need to return funds for ineligible or non-compliant spends.</w:t>
      </w:r>
    </w:p>
    <w:p w14:paraId="09C5EB00" w14:textId="6C4CDB7D" w:rsidR="003764AC" w:rsidRPr="004523AB" w:rsidRDefault="003764AC" w:rsidP="003764AC">
      <w:pPr>
        <w:pStyle w:val="Caption"/>
      </w:pPr>
      <w:bookmarkStart w:id="54" w:name="_Ref184919605"/>
      <w:r w:rsidRPr="004523AB">
        <w:t xml:space="preserve">Figure </w:t>
      </w:r>
      <w:r w:rsidRPr="004523AB">
        <w:fldChar w:fldCharType="begin"/>
      </w:r>
      <w:r w:rsidRPr="004523AB">
        <w:instrText xml:space="preserve"> SEQ Figure \* ARABIC </w:instrText>
      </w:r>
      <w:r w:rsidRPr="004523AB">
        <w:fldChar w:fldCharType="separate"/>
      </w:r>
      <w:r w:rsidR="00B96E50">
        <w:rPr>
          <w:noProof/>
        </w:rPr>
        <w:t>13</w:t>
      </w:r>
      <w:r w:rsidRPr="004523AB">
        <w:fldChar w:fldCharType="end"/>
      </w:r>
      <w:bookmarkEnd w:id="54"/>
      <w:r w:rsidRPr="004523AB">
        <w:t xml:space="preserve"> | Case study 2 - How practices navigated expenditure decisions</w:t>
      </w:r>
    </w:p>
    <w:tbl>
      <w:tblPr>
        <w:tblStyle w:val="AccessibleNousTable"/>
        <w:tblW w:w="0" w:type="auto"/>
        <w:tblLook w:val="04A0" w:firstRow="1" w:lastRow="0" w:firstColumn="1" w:lastColumn="0" w:noHBand="0" w:noVBand="1"/>
      </w:tblPr>
      <w:tblGrid>
        <w:gridCol w:w="8702"/>
      </w:tblGrid>
      <w:tr w:rsidR="003764AC" w:rsidRPr="004523AB" w14:paraId="4FC814E3" w14:textId="77777777" w:rsidTr="0099313E">
        <w:trPr>
          <w:cnfStyle w:val="100000000000" w:firstRow="1" w:lastRow="0" w:firstColumn="0" w:lastColumn="0" w:oddVBand="0" w:evenVBand="0" w:oddHBand="0" w:evenHBand="0" w:firstRowFirstColumn="0" w:firstRowLastColumn="0" w:lastRowFirstColumn="0" w:lastRowLastColumn="0"/>
          <w:tblHeader/>
        </w:trPr>
        <w:tc>
          <w:tcPr>
            <w:tcW w:w="8702" w:type="dxa"/>
          </w:tcPr>
          <w:p w14:paraId="26216BE0" w14:textId="10916832" w:rsidR="003764AC" w:rsidRPr="004523AB" w:rsidRDefault="003764AC">
            <w:pPr>
              <w:rPr>
                <w:rFonts w:asciiTheme="majorHAnsi" w:hAnsiTheme="majorHAnsi" w:cstheme="majorHAnsi"/>
                <w:sz w:val="23"/>
                <w:szCs w:val="23"/>
                <w:lang w:eastAsia="en-AU"/>
              </w:rPr>
            </w:pPr>
            <w:r w:rsidRPr="004523AB">
              <w:rPr>
                <w:rFonts w:asciiTheme="majorHAnsi" w:hAnsiTheme="majorHAnsi" w:cstheme="majorHAnsi"/>
                <w:sz w:val="23"/>
                <w:szCs w:val="23"/>
                <w:lang w:eastAsia="en-AU"/>
              </w:rPr>
              <w:t xml:space="preserve">Case study 2 – </w:t>
            </w:r>
            <w:r w:rsidR="00393ED0">
              <w:rPr>
                <w:rFonts w:asciiTheme="majorHAnsi" w:hAnsiTheme="majorHAnsi" w:cstheme="majorHAnsi"/>
                <w:sz w:val="23"/>
                <w:szCs w:val="23"/>
                <w:lang w:eastAsia="en-AU"/>
              </w:rPr>
              <w:t>Multiple Practices</w:t>
            </w:r>
          </w:p>
          <w:p w14:paraId="6B344857" w14:textId="77777777" w:rsidR="003764AC" w:rsidRPr="004523AB" w:rsidRDefault="003764AC">
            <w:pPr>
              <w:rPr>
                <w:rFonts w:asciiTheme="majorHAnsi" w:hAnsiTheme="majorHAnsi" w:cstheme="majorHAnsi"/>
                <w:sz w:val="23"/>
                <w:szCs w:val="23"/>
                <w:lang w:eastAsia="en-AU"/>
              </w:rPr>
            </w:pPr>
            <w:r w:rsidRPr="004523AB">
              <w:rPr>
                <w:rFonts w:asciiTheme="majorHAnsi" w:hAnsiTheme="majorHAnsi" w:cstheme="majorHAnsi"/>
                <w:sz w:val="23"/>
                <w:szCs w:val="23"/>
                <w:lang w:eastAsia="en-AU"/>
              </w:rPr>
              <w:t>How practices navigated expenditure decisions</w:t>
            </w:r>
          </w:p>
        </w:tc>
      </w:tr>
      <w:tr w:rsidR="003764AC" w:rsidRPr="004523AB" w14:paraId="0C1FA086" w14:textId="77777777" w:rsidTr="003764AC">
        <w:tc>
          <w:tcPr>
            <w:tcW w:w="8702" w:type="dxa"/>
          </w:tcPr>
          <w:p w14:paraId="49D615DE" w14:textId="77777777" w:rsidR="003764AC" w:rsidRPr="00EB4EE6" w:rsidRDefault="003764AC" w:rsidP="00EB4EE6">
            <w:pPr>
              <w:pStyle w:val="TableNTextStrong"/>
            </w:pPr>
            <w:r w:rsidRPr="00EB4EE6">
              <w:t xml:space="preserve">Guidance on what constituted eligible spending was released gradually over the course of the Program </w:t>
            </w:r>
          </w:p>
          <w:p w14:paraId="3511B17A" w14:textId="77777777" w:rsidR="003764AC" w:rsidRPr="00EB4EE6" w:rsidRDefault="003764AC" w:rsidP="00EB4EE6">
            <w:pPr>
              <w:pStyle w:val="TableNBullet"/>
            </w:pPr>
            <w:r w:rsidRPr="00EB4EE6">
              <w:t>April 2023: Initial guidelines released</w:t>
            </w:r>
          </w:p>
          <w:p w14:paraId="02D26845" w14:textId="77777777" w:rsidR="003764AC" w:rsidRPr="00EB4EE6" w:rsidRDefault="003764AC" w:rsidP="00EB4EE6">
            <w:pPr>
              <w:pStyle w:val="TableNBullet"/>
            </w:pPr>
            <w:r w:rsidRPr="00EB4EE6">
              <w:t>April – June 2023: PHNs and Department receive a substantial number of clarification questions on spend eligibility</w:t>
            </w:r>
          </w:p>
          <w:p w14:paraId="5CF6D577" w14:textId="77777777" w:rsidR="003764AC" w:rsidRPr="00EB4EE6" w:rsidRDefault="003764AC" w:rsidP="00EB4EE6">
            <w:pPr>
              <w:pStyle w:val="TableNBullet"/>
            </w:pPr>
            <w:r w:rsidRPr="00EB4EE6">
              <w:t xml:space="preserve">June 2023: Department released updated guidance document with additional examples </w:t>
            </w:r>
          </w:p>
          <w:p w14:paraId="267FB3C0" w14:textId="45ECA819" w:rsidR="003764AC" w:rsidRPr="004523AB" w:rsidRDefault="003764AC" w:rsidP="00EB4EE6">
            <w:pPr>
              <w:pStyle w:val="TableNBullet"/>
            </w:pPr>
            <w:r w:rsidRPr="00EB4EE6">
              <w:t xml:space="preserve">Early 2024: Advice released </w:t>
            </w:r>
            <w:proofErr w:type="gramStart"/>
            <w:r w:rsidRPr="00EB4EE6">
              <w:t>that practices</w:t>
            </w:r>
            <w:proofErr w:type="gramEnd"/>
            <w:r w:rsidRPr="00EB4EE6">
              <w:t xml:space="preserve"> can switch investment streams</w:t>
            </w:r>
          </w:p>
        </w:tc>
      </w:tr>
      <w:tr w:rsidR="003764AC" w:rsidRPr="004523AB" w14:paraId="5FCDBE0E" w14:textId="77777777" w:rsidTr="003764AC">
        <w:tc>
          <w:tcPr>
            <w:tcW w:w="8702" w:type="dxa"/>
          </w:tcPr>
          <w:p w14:paraId="345DEB01" w14:textId="77777777" w:rsidR="003764AC" w:rsidRPr="00EB4EE6" w:rsidRDefault="003764AC" w:rsidP="00EB4EE6">
            <w:pPr>
              <w:pStyle w:val="TableNTextStrong"/>
            </w:pPr>
            <w:r w:rsidRPr="00EB4EE6">
              <w:t>The design of the grant created both benefits and challenges for PHNs and practices</w:t>
            </w:r>
          </w:p>
          <w:p w14:paraId="120D534B" w14:textId="77777777" w:rsidR="003764AC" w:rsidRPr="00EB4EE6" w:rsidRDefault="003764AC" w:rsidP="00EB4EE6">
            <w:pPr>
              <w:pStyle w:val="TableNTextStrong"/>
            </w:pPr>
            <w:r w:rsidRPr="00EB4EE6">
              <w:t xml:space="preserve">Benefits: </w:t>
            </w:r>
          </w:p>
          <w:p w14:paraId="24411421" w14:textId="77777777" w:rsidR="003764AC" w:rsidRPr="004523AB" w:rsidRDefault="003764AC" w:rsidP="00EB4EE6">
            <w:pPr>
              <w:pStyle w:val="TableNBullet"/>
            </w:pPr>
            <w:r w:rsidRPr="004523AB">
              <w:t>Flexibility | Capacity to spend the funding on what was needed was appreciated by practices and important given the financial pressure most practices are under.</w:t>
            </w:r>
          </w:p>
          <w:p w14:paraId="6FADEC15" w14:textId="77777777" w:rsidR="003764AC" w:rsidRPr="004523AB" w:rsidRDefault="003764AC" w:rsidP="00EB4EE6">
            <w:pPr>
              <w:pStyle w:val="TableNBullet"/>
            </w:pPr>
            <w:r w:rsidRPr="004523AB">
              <w:t>Lump sum funding up front allowed larger capital purchases | For practices under financial pressure the grant enabled them to make necessary system upgrades or purchases they could not otherwise afford under usual revenue and budgets.</w:t>
            </w:r>
          </w:p>
          <w:p w14:paraId="7E46E75F" w14:textId="77777777" w:rsidR="003764AC" w:rsidRPr="00EB4EE6" w:rsidRDefault="003764AC" w:rsidP="00EB4EE6">
            <w:pPr>
              <w:pStyle w:val="TableNTextStrong"/>
            </w:pPr>
            <w:r w:rsidRPr="00EB4EE6">
              <w:t xml:space="preserve">Challenges: </w:t>
            </w:r>
          </w:p>
          <w:p w14:paraId="0127308F" w14:textId="77777777" w:rsidR="003764AC" w:rsidRPr="004523AB" w:rsidRDefault="003764AC" w:rsidP="00EB4EE6">
            <w:pPr>
              <w:pStyle w:val="TableNBullet"/>
            </w:pPr>
            <w:r w:rsidRPr="004523AB">
              <w:t>Uncertainty over what constitutes an eligible spend | Because the three streams were so broad, and initially not many examples were provided, some practices were unsure on what was eligible (especially whether staff training and small capital works were included).</w:t>
            </w:r>
          </w:p>
          <w:p w14:paraId="577E99F7" w14:textId="77777777" w:rsidR="003764AC" w:rsidRPr="004523AB" w:rsidRDefault="003764AC" w:rsidP="00EB4EE6">
            <w:pPr>
              <w:pStyle w:val="TableNBullet"/>
            </w:pPr>
            <w:r w:rsidRPr="004523AB">
              <w:t xml:space="preserve">Decision fatigue | A broad range of compliant categories of spend within each stream meant time poor practice managers/owners were fatigued by thinking through options. </w:t>
            </w:r>
          </w:p>
          <w:p w14:paraId="2EE58587" w14:textId="77777777" w:rsidR="003764AC" w:rsidRPr="004523AB" w:rsidRDefault="003764AC" w:rsidP="00EB4EE6">
            <w:pPr>
              <w:pStyle w:val="TableNBullet"/>
            </w:pPr>
            <w:r w:rsidRPr="004523AB">
              <w:t>Cold call approaches | The Program was heavily publicised, especially in rural and remote locations and some IT providers were cold calling practices trying to sell equipment/systems for the grant amount.</w:t>
            </w:r>
          </w:p>
          <w:p w14:paraId="36406775" w14:textId="77777777" w:rsidR="003764AC" w:rsidRPr="004523AB" w:rsidRDefault="003764AC" w:rsidP="00EB4EE6">
            <w:pPr>
              <w:pStyle w:val="TableNBullet"/>
            </w:pPr>
            <w:r w:rsidRPr="004523AB">
              <w:t xml:space="preserve">Time and resource burden for PHNs | Practices wanted assurances their spending fit compliance/eligibility requirements, and some PHNs did not want to take on this risk so logged all queries with the Department. </w:t>
            </w:r>
          </w:p>
        </w:tc>
      </w:tr>
      <w:tr w:rsidR="003764AC" w:rsidRPr="004523AB" w14:paraId="705FDD4A" w14:textId="77777777" w:rsidTr="003764AC">
        <w:tc>
          <w:tcPr>
            <w:tcW w:w="8702" w:type="dxa"/>
          </w:tcPr>
          <w:p w14:paraId="73011505" w14:textId="77777777" w:rsidR="003764AC" w:rsidRPr="004523AB" w:rsidRDefault="003764AC" w:rsidP="00EB4EE6">
            <w:pPr>
              <w:pStyle w:val="TableNText"/>
            </w:pPr>
            <w:r w:rsidRPr="004523AB">
              <w:t>Practices took different approaches to spend grant funding* | examples:</w:t>
            </w:r>
          </w:p>
          <w:p w14:paraId="0B905D47" w14:textId="77777777" w:rsidR="003764AC" w:rsidRPr="00EB4EE6" w:rsidRDefault="003764AC" w:rsidP="00EB4EE6">
            <w:pPr>
              <w:pStyle w:val="TableNTextStrong"/>
            </w:pPr>
            <w:r w:rsidRPr="00EB4EE6">
              <w:t>QLD</w:t>
            </w:r>
          </w:p>
          <w:p w14:paraId="3C571508" w14:textId="77777777" w:rsidR="003764AC" w:rsidRPr="00EB4EE6" w:rsidRDefault="003764AC" w:rsidP="00EB4EE6">
            <w:pPr>
              <w:pStyle w:val="TableNTextStrong"/>
            </w:pPr>
            <w:r w:rsidRPr="00EB4EE6">
              <w:t xml:space="preserve">Targeted investment: </w:t>
            </w:r>
          </w:p>
          <w:p w14:paraId="73CE9C22" w14:textId="77777777" w:rsidR="003764AC" w:rsidRPr="004523AB" w:rsidRDefault="003764AC" w:rsidP="00EB4EE6">
            <w:pPr>
              <w:pStyle w:val="TableNBullet"/>
            </w:pPr>
            <w:r w:rsidRPr="004523AB">
              <w:lastRenderedPageBreak/>
              <w:t xml:space="preserve">Some practices used funding for one or two big ticket purchases, often ones they had prioritised before the Program. Often these aligned to requirements from the updated RACGP accreditation guidelines. </w:t>
            </w:r>
          </w:p>
          <w:p w14:paraId="5848C873" w14:textId="77777777" w:rsidR="003764AC" w:rsidRPr="004523AB" w:rsidRDefault="003764AC" w:rsidP="00EB4EE6">
            <w:pPr>
              <w:pStyle w:val="TableNBullet"/>
            </w:pPr>
            <w:r w:rsidRPr="004523AB">
              <w:t xml:space="preserve">For example, a combination of: </w:t>
            </w:r>
          </w:p>
          <w:p w14:paraId="7B3EC69B" w14:textId="77777777" w:rsidR="00142411" w:rsidRPr="004523AB" w:rsidRDefault="0022723F" w:rsidP="00EB4EE6">
            <w:pPr>
              <w:pStyle w:val="TableNBullet"/>
            </w:pPr>
            <w:r w:rsidRPr="004523AB">
              <w:t>Equipment purchases such as a sterilisation machine.</w:t>
            </w:r>
          </w:p>
          <w:p w14:paraId="3256188D" w14:textId="77777777" w:rsidR="00142411" w:rsidRPr="004523AB" w:rsidRDefault="0022723F" w:rsidP="00EB4EE6">
            <w:pPr>
              <w:pStyle w:val="TableNBullet"/>
            </w:pPr>
            <w:r w:rsidRPr="004523AB">
              <w:t>IT purchases including servers and telehealth equipment.</w:t>
            </w:r>
          </w:p>
          <w:p w14:paraId="2BF8B6F6" w14:textId="77777777" w:rsidR="00142411" w:rsidRPr="004523AB" w:rsidRDefault="0022723F" w:rsidP="00EB4EE6">
            <w:pPr>
              <w:pStyle w:val="TableNBullet"/>
              <w:rPr>
                <w:b/>
                <w:bCs/>
              </w:rPr>
            </w:pPr>
            <w:r w:rsidRPr="004523AB">
              <w:t>Investment in key renovations, often to improve infection control and increase the number of patients seen.</w:t>
            </w:r>
          </w:p>
          <w:p w14:paraId="7F8FB7C1" w14:textId="77777777" w:rsidR="003764AC" w:rsidRPr="00EB4EE6" w:rsidRDefault="003764AC" w:rsidP="00EB4EE6">
            <w:pPr>
              <w:pStyle w:val="TableNTextStrong"/>
            </w:pPr>
            <w:r w:rsidRPr="00EB4EE6">
              <w:t>NSW / ACT</w:t>
            </w:r>
          </w:p>
          <w:p w14:paraId="478976C0" w14:textId="77777777" w:rsidR="003764AC" w:rsidRPr="00EB4EE6" w:rsidRDefault="003764AC" w:rsidP="00EB4EE6">
            <w:pPr>
              <w:pStyle w:val="TableNTextStrong"/>
            </w:pPr>
            <w:r w:rsidRPr="00EB4EE6">
              <w:t xml:space="preserve">For overall quality uplift: </w:t>
            </w:r>
          </w:p>
          <w:p w14:paraId="7F9D8587" w14:textId="77777777" w:rsidR="003764AC" w:rsidRPr="004523AB" w:rsidRDefault="003764AC" w:rsidP="00EB4EE6">
            <w:pPr>
              <w:pStyle w:val="TableNBullet"/>
            </w:pPr>
            <w:r w:rsidRPr="004523AB">
              <w:t>Some practices used funding for a range of smaller purchases, focused on helping the practice improve its efficiency and quality long term.</w:t>
            </w:r>
          </w:p>
          <w:p w14:paraId="59188DD1" w14:textId="77777777" w:rsidR="003764AC" w:rsidRPr="004523AB" w:rsidRDefault="003764AC" w:rsidP="00EB4EE6">
            <w:pPr>
              <w:pStyle w:val="TableNBullet"/>
            </w:pPr>
            <w:r w:rsidRPr="004523AB">
              <w:t xml:space="preserve">For example, a combination of: </w:t>
            </w:r>
          </w:p>
          <w:p w14:paraId="1E057BD8" w14:textId="77777777" w:rsidR="00142411" w:rsidRPr="004523AB" w:rsidRDefault="0022723F" w:rsidP="00EB4EE6">
            <w:pPr>
              <w:pStyle w:val="TableNBullet"/>
            </w:pPr>
            <w:r w:rsidRPr="004523AB">
              <w:t>A mix of capital, software, and training.</w:t>
            </w:r>
          </w:p>
          <w:p w14:paraId="536CDD0B" w14:textId="77777777" w:rsidR="00142411" w:rsidRPr="004523AB" w:rsidRDefault="0022723F" w:rsidP="00EB4EE6">
            <w:pPr>
              <w:pStyle w:val="TableNBullet"/>
              <w:rPr>
                <w:b/>
                <w:bCs/>
              </w:rPr>
            </w:pPr>
            <w:r w:rsidRPr="004523AB">
              <w:t xml:space="preserve">Data consultant or system (such as </w:t>
            </w:r>
            <w:proofErr w:type="spellStart"/>
            <w:r w:rsidRPr="004523AB">
              <w:t>Cubico</w:t>
            </w:r>
            <w:proofErr w:type="spellEnd"/>
            <w:r w:rsidRPr="004523AB">
              <w:t>) to improve data quality and efficiency (often created significant benefits from practices).</w:t>
            </w:r>
          </w:p>
          <w:p w14:paraId="1268C518" w14:textId="77777777" w:rsidR="003764AC" w:rsidRPr="00EB4EE6" w:rsidRDefault="003764AC" w:rsidP="00EB4EE6">
            <w:pPr>
              <w:pStyle w:val="TableNTextStrong"/>
            </w:pPr>
            <w:r w:rsidRPr="00EB4EE6">
              <w:t>WA / SA / NT</w:t>
            </w:r>
          </w:p>
          <w:p w14:paraId="585DD1E1" w14:textId="77777777" w:rsidR="003764AC" w:rsidRPr="00EB4EE6" w:rsidRDefault="003764AC" w:rsidP="00EB4EE6">
            <w:pPr>
              <w:pStyle w:val="TableNTextStrong"/>
            </w:pPr>
            <w:r w:rsidRPr="00EB4EE6">
              <w:t>To support BAU operations</w:t>
            </w:r>
          </w:p>
          <w:p w14:paraId="22498C5E" w14:textId="77777777" w:rsidR="003764AC" w:rsidRDefault="003764AC" w:rsidP="00EB4EE6">
            <w:pPr>
              <w:pStyle w:val="TableNBullet"/>
            </w:pPr>
            <w:r w:rsidRPr="004523AB">
              <w:t>Some practices used funding for a range of purchases, primarily to supplement their BAU operations and take pressure off their operating costs in the shorter term.</w:t>
            </w:r>
          </w:p>
          <w:p w14:paraId="7A9AADA3" w14:textId="77777777" w:rsidR="003764AC" w:rsidRPr="004523AB" w:rsidRDefault="003764AC" w:rsidP="00EB4EE6">
            <w:pPr>
              <w:pStyle w:val="TableNBullet"/>
            </w:pPr>
            <w:r w:rsidRPr="004523AB">
              <w:t xml:space="preserve">For example, a combination of: </w:t>
            </w:r>
          </w:p>
          <w:p w14:paraId="49695F39" w14:textId="77777777" w:rsidR="00163810" w:rsidRDefault="0022723F" w:rsidP="00EB4EE6">
            <w:pPr>
              <w:pStyle w:val="TableNBulletlevel2"/>
            </w:pPr>
            <w:r w:rsidRPr="004523AB">
              <w:t>BAU infection prevention and control purchases such as PPE, disinfectant, sterilisation equipment.</w:t>
            </w:r>
          </w:p>
          <w:p w14:paraId="33D3F18D" w14:textId="77777777" w:rsidR="005C4F2A" w:rsidRPr="004523AB" w:rsidRDefault="005C4F2A" w:rsidP="00EB4EE6">
            <w:pPr>
              <w:pStyle w:val="TableNBulletlevel2"/>
            </w:pPr>
            <w:r w:rsidRPr="00163810">
              <w:t>Training</w:t>
            </w:r>
            <w:r w:rsidRPr="004523AB">
              <w:t xml:space="preserve"> to meet accreditation requirements including CPR training for staff.</w:t>
            </w:r>
          </w:p>
          <w:p w14:paraId="0F55F9E1" w14:textId="7E358A9B" w:rsidR="003764AC" w:rsidRPr="004523AB" w:rsidRDefault="009F1439" w:rsidP="00EB4EE6">
            <w:pPr>
              <w:pStyle w:val="TableNText"/>
            </w:pPr>
            <w:r>
              <w:t>*</w:t>
            </w:r>
            <w:r w:rsidR="003764AC" w:rsidRPr="004523AB">
              <w:t>There is no evidence to suggest there was a difference by PHN or jurisdiction, these are selected examples from consultations to date.</w:t>
            </w:r>
          </w:p>
        </w:tc>
      </w:tr>
    </w:tbl>
    <w:p w14:paraId="1D799851" w14:textId="01D20332" w:rsidR="00FF1FCB" w:rsidRPr="004523AB" w:rsidRDefault="00FF1FCB" w:rsidP="00EE6D91">
      <w:pPr>
        <w:rPr>
          <w:rFonts w:asciiTheme="majorHAnsi" w:hAnsiTheme="majorHAnsi" w:cstheme="majorHAnsi"/>
          <w:b/>
          <w:color w:val="00264D" w:themeColor="background2"/>
        </w:rPr>
      </w:pPr>
      <w:r w:rsidRPr="004523AB">
        <w:rPr>
          <w:rFonts w:asciiTheme="majorHAnsi" w:hAnsiTheme="majorHAnsi" w:cstheme="majorHAnsi"/>
          <w:color w:val="00264D" w:themeColor="background2"/>
        </w:rPr>
        <w:lastRenderedPageBreak/>
        <w:t>NACCHO’s streamlined and simplified communications resulted in high uptake in ACCHOs and minimal clarification questions</w:t>
      </w:r>
    </w:p>
    <w:p w14:paraId="5CD5198A" w14:textId="77777777" w:rsidR="00FF1FCB" w:rsidRPr="004523AB" w:rsidRDefault="00FF1FCB" w:rsidP="00FF1FCB">
      <w:pPr>
        <w:rPr>
          <w:lang w:eastAsia="en-AU"/>
        </w:rPr>
      </w:pPr>
      <w:r w:rsidRPr="004523AB">
        <w:rPr>
          <w:lang w:eastAsia="en-AU"/>
        </w:rPr>
        <w:t xml:space="preserve">The direct distribution of funds to ACCHOs responding to an EOI without an application process resulted in greater uptake of the Program – only one ACCHO chose not to participate compared to 511 practices (6 per cent of eligible practices) who chose not to participate. </w:t>
      </w:r>
    </w:p>
    <w:p w14:paraId="7641B339" w14:textId="77777777" w:rsidR="00FF1FCB" w:rsidRPr="004523AB" w:rsidRDefault="00FF1FCB" w:rsidP="00FF1FCB">
      <w:pPr>
        <w:rPr>
          <w:b/>
        </w:rPr>
      </w:pPr>
      <w:r w:rsidRPr="004523AB">
        <w:rPr>
          <w:lang w:eastAsia="en-AU"/>
        </w:rPr>
        <w:t xml:space="preserve">Alongside changes to the grant agreement and reporting itself, NACCHO streamlined the messaging that sat around the grant to support ease of participation by ACCHOs. The purpose of these changes was to simplify and clarify messaging so that ACCHOs had a clear understanding of what they could spend the funding on and what was expected of them. These adjustments were aligned to established processes between NACCHO and ACCHOs. Potentially </w:t>
      </w:r>
      <w:proofErr w:type="gramStart"/>
      <w:r w:rsidRPr="004523AB">
        <w:rPr>
          <w:lang w:eastAsia="en-AU"/>
        </w:rPr>
        <w:t>as a result of</w:t>
      </w:r>
      <w:proofErr w:type="gramEnd"/>
      <w:r w:rsidRPr="004523AB">
        <w:rPr>
          <w:lang w:eastAsia="en-AU"/>
        </w:rPr>
        <w:t xml:space="preserve"> these </w:t>
      </w:r>
      <w:r w:rsidRPr="004523AB">
        <w:rPr>
          <w:lang w:eastAsia="en-AU"/>
        </w:rPr>
        <w:lastRenderedPageBreak/>
        <w:t xml:space="preserve">changes and adjustments, NACCHO received almost no questions from ACCHOs on eligibility or how funding could be spent, in contrast to the experience of many PHNs. </w:t>
      </w:r>
    </w:p>
    <w:p w14:paraId="518587B8" w14:textId="77777777" w:rsidR="00FF1FCB" w:rsidRPr="004523AB" w:rsidRDefault="00FF1FCB" w:rsidP="00EE6D91">
      <w:pPr>
        <w:rPr>
          <w:rFonts w:asciiTheme="majorHAnsi" w:hAnsiTheme="majorHAnsi" w:cstheme="majorHAnsi"/>
          <w:b/>
          <w:color w:val="00264D" w:themeColor="background2"/>
        </w:rPr>
      </w:pPr>
      <w:r w:rsidRPr="004523AB">
        <w:rPr>
          <w:rFonts w:asciiTheme="majorHAnsi" w:hAnsiTheme="majorHAnsi" w:cstheme="majorHAnsi"/>
          <w:color w:val="00264D" w:themeColor="background2"/>
        </w:rPr>
        <w:t>Changes to the grant process once implementation was underway added burden to PHNs and put pressure on their relationships with practices</w:t>
      </w:r>
    </w:p>
    <w:p w14:paraId="0AB47AFC" w14:textId="3E16B5E8" w:rsidR="00FF1FCB" w:rsidRPr="004523AB" w:rsidRDefault="00FF1FCB" w:rsidP="00FF1FCB">
      <w:r w:rsidRPr="004523AB">
        <w:t xml:space="preserve">While many found that program delivery aligned to the grant guidelines process map (see Appendix </w:t>
      </w:r>
      <w:r w:rsidR="00A131B6" w:rsidRPr="004523AB">
        <w:fldChar w:fldCharType="begin"/>
      </w:r>
      <w:r w:rsidR="00A131B6" w:rsidRPr="004523AB">
        <w:instrText xml:space="preserve"> REF _Ref184920304 \r \h </w:instrText>
      </w:r>
      <w:r w:rsidR="004523AB" w:rsidRPr="004523AB">
        <w:instrText xml:space="preserve"> \* MERGEFORMAT </w:instrText>
      </w:r>
      <w:r w:rsidR="00A131B6" w:rsidRPr="004523AB">
        <w:fldChar w:fldCharType="separate"/>
      </w:r>
      <w:r w:rsidR="00B96E50">
        <w:t>C.1.1</w:t>
      </w:r>
      <w:r w:rsidR="00A131B6" w:rsidRPr="004523AB">
        <w:fldChar w:fldCharType="end"/>
      </w:r>
      <w:r w:rsidRPr="004523AB">
        <w:t xml:space="preserve">, PHN representatives highlighted three changes that impacted delivery: </w:t>
      </w:r>
    </w:p>
    <w:p w14:paraId="48DEC08E" w14:textId="77777777" w:rsidR="00FF1FCB" w:rsidRPr="004523AB" w:rsidRDefault="00FF1FCB" w:rsidP="0099313E">
      <w:pPr>
        <w:pStyle w:val="ListBullet"/>
      </w:pPr>
      <w:r w:rsidRPr="004523AB">
        <w:rPr>
          <w:rFonts w:asciiTheme="majorHAnsi" w:hAnsiTheme="majorHAnsi" w:cstheme="majorHAnsi"/>
        </w:rPr>
        <w:t>Updates to the practice eligibility |</w:t>
      </w:r>
      <w:r w:rsidRPr="004523AB">
        <w:t xml:space="preserve"> As the</w:t>
      </w:r>
      <w:r w:rsidRPr="004523AB" w:rsidDel="00FE1F35">
        <w:t xml:space="preserve"> </w:t>
      </w:r>
      <w:r w:rsidRPr="004523AB">
        <w:t xml:space="preserve">Program was delivered, remaining funds meant the Department expanded practice eligibility criteria to include state and territory practices. The soft close application deadline guidance was also shifted to a hard close with minimal warning. PHN representatives were mostly comfortable with these changes, but it disrupted their communications and engagement with practices and would have preferred more notice or involvement in the decision making. No PHN representatives raised concerns around the quality of the Department’s decisions about practice eligibility. However, the evaluation team noted there was inconsistent reports in decisions made across PHNs, particularly in the case of specialist clinics with some being found eligible and others not. </w:t>
      </w:r>
    </w:p>
    <w:p w14:paraId="248DEB78" w14:textId="77777777" w:rsidR="00FF1FCB" w:rsidRPr="004523AB" w:rsidRDefault="00FF1FCB" w:rsidP="0099313E">
      <w:pPr>
        <w:pStyle w:val="ListBullet"/>
      </w:pPr>
      <w:r w:rsidRPr="004523AB">
        <w:rPr>
          <w:rFonts w:asciiTheme="majorHAnsi" w:hAnsiTheme="majorHAnsi" w:cstheme="majorHAnsi"/>
        </w:rPr>
        <w:t>Changes to communications that PHNs were asked to distribute to practices</w:t>
      </w:r>
      <w:r w:rsidRPr="004523AB">
        <w:t xml:space="preserve"> | Aside from changes to eligibility and the FAR process, some PHN representatives noted that the Department changed its mind on some messaging after it had already sent communications to the PHNs to distribute to practices. This meant PHNs needed to re-contact practices with the updated communication.  At times this strained PHN and practice relationships. Some felt the Department’s desire to communicate fast meant that information was inaccurate or later updated and PHNs that had communicated quickly needed to update their own guidance to practices. </w:t>
      </w:r>
    </w:p>
    <w:p w14:paraId="738F12F0" w14:textId="77777777" w:rsidR="00FF1FCB" w:rsidRPr="004523AB" w:rsidRDefault="00FF1FCB" w:rsidP="0099313E">
      <w:pPr>
        <w:pStyle w:val="ListBullet"/>
      </w:pPr>
      <w:r w:rsidRPr="004523AB">
        <w:rPr>
          <w:rFonts w:asciiTheme="majorHAnsi" w:hAnsiTheme="majorHAnsi" w:cstheme="majorHAnsi"/>
        </w:rPr>
        <w:t>Change to the acquittal process |</w:t>
      </w:r>
      <w:r w:rsidRPr="004523AB">
        <w:t xml:space="preserve"> Twenty per cent of PHN representatives felt the Program’s compliance and reporting requirements hindered their ability to implement the Program.</w:t>
      </w:r>
      <w:r w:rsidRPr="004523AB">
        <w:rPr>
          <w:rStyle w:val="FootnoteReference"/>
        </w:rPr>
        <w:footnoteReference w:id="21"/>
      </w:r>
      <w:r w:rsidRPr="004523AB">
        <w:t xml:space="preserve"> The Department initially sent out a digital static (Word document)</w:t>
      </w:r>
      <w:r w:rsidRPr="004523AB" w:rsidDel="009801D9">
        <w:t xml:space="preserve"> </w:t>
      </w:r>
      <w:r w:rsidRPr="004523AB">
        <w:t xml:space="preserve">financial acquittal report to be submitted via email for PHNs to distribute to practices. On November 6, two months following release of the manual static report and after some responses had been received, the Department changed the process to a digital online form submission. Notably, this change was in response to PHN representative feedback, however this meant that some PHNs needed to manually complete the required digital re-submission for hard copy acquittals already received. </w:t>
      </w:r>
    </w:p>
    <w:p w14:paraId="60774418" w14:textId="77777777" w:rsidR="00A131B6" w:rsidRPr="004523AB" w:rsidRDefault="00A131B6">
      <w:pPr>
        <w:spacing w:after="165" w:line="259" w:lineRule="auto"/>
        <w:rPr>
          <w:rFonts w:ascii="Segoe UI Semibold" w:eastAsia="Times New Roman" w:hAnsi="Segoe UI Semibold" w:cs="Times New Roman"/>
          <w:color w:val="00264D"/>
          <w:sz w:val="26"/>
          <w:szCs w:val="19"/>
          <w:lang w:eastAsia="en-AU"/>
        </w:rPr>
      </w:pPr>
      <w:r w:rsidRPr="004523AB">
        <w:br w:type="page"/>
      </w:r>
    </w:p>
    <w:p w14:paraId="506ED0F9" w14:textId="1ABD050B" w:rsidR="00CB1245" w:rsidRPr="004523AB" w:rsidRDefault="00CB1245" w:rsidP="00CB1245">
      <w:pPr>
        <w:pStyle w:val="Heading3"/>
        <w:ind w:left="851" w:hanging="851"/>
      </w:pPr>
      <w:r w:rsidRPr="004523AB">
        <w:lastRenderedPageBreak/>
        <w:t>PHNs took different approaches to the Program administration and delivery</w:t>
      </w:r>
    </w:p>
    <w:tbl>
      <w:tblPr>
        <w:tblStyle w:val="NousLongformcallout"/>
        <w:tblW w:w="4950" w:type="pct"/>
        <w:tblCellMar>
          <w:top w:w="170" w:type="dxa"/>
          <w:bottom w:w="170" w:type="dxa"/>
        </w:tblCellMar>
        <w:tblLook w:val="04A0" w:firstRow="1" w:lastRow="0" w:firstColumn="1" w:lastColumn="0" w:noHBand="0" w:noVBand="1"/>
      </w:tblPr>
      <w:tblGrid>
        <w:gridCol w:w="9069"/>
      </w:tblGrid>
      <w:tr w:rsidR="00FF4A73" w:rsidRPr="004523AB" w14:paraId="333B79DF" w14:textId="77777777" w:rsidTr="00FF4A73">
        <w:tc>
          <w:tcPr>
            <w:tcW w:w="9069" w:type="dxa"/>
          </w:tcPr>
          <w:p w14:paraId="68C6F1EA" w14:textId="677C51D9" w:rsidR="00FF4A73" w:rsidRPr="004523AB" w:rsidRDefault="00FF4A73" w:rsidP="00FF4A73">
            <w:pPr>
              <w:pStyle w:val="Longformcallout"/>
            </w:pPr>
            <w:r w:rsidRPr="004523AB">
              <w:t xml:space="preserve">"The PHN information was all the same which was helpful. They all had different processes though; some were a survey form, some used a survey and </w:t>
            </w:r>
            <w:proofErr w:type="spellStart"/>
            <w:r w:rsidRPr="004523AB">
              <w:t>Docusign</w:t>
            </w:r>
            <w:proofErr w:type="spellEnd"/>
            <w:r w:rsidRPr="004523AB">
              <w:t xml:space="preserve"> and some just used </w:t>
            </w:r>
            <w:proofErr w:type="spellStart"/>
            <w:r w:rsidRPr="004523AB">
              <w:t>Docusign</w:t>
            </w:r>
            <w:proofErr w:type="spellEnd"/>
            <w:r w:rsidRPr="004523AB">
              <w:t xml:space="preserve"> with blanks, others have manual forms." – National Corporate Practice Manager (with 69 practices across 4 PHNs)</w:t>
            </w:r>
          </w:p>
        </w:tc>
      </w:tr>
    </w:tbl>
    <w:p w14:paraId="4653B5F3" w14:textId="77777777" w:rsidR="00CB1245" w:rsidRPr="004523AB" w:rsidRDefault="00CB1245" w:rsidP="00CB1245">
      <w:pPr>
        <w:rPr>
          <w:lang w:eastAsia="en-AU"/>
        </w:rPr>
      </w:pPr>
      <w:r w:rsidRPr="004523AB">
        <w:rPr>
          <w:lang w:eastAsia="en-AU"/>
        </w:rPr>
        <w:t xml:space="preserve">While the Department provided overarching guidelines on what needed to be delivered, PHNs could choose how they would administer the Program. This included variances in approach that depended on a range of reasons, including: </w:t>
      </w:r>
    </w:p>
    <w:p w14:paraId="14780EC9" w14:textId="77777777" w:rsidR="00CB1245" w:rsidRPr="004523AB" w:rsidRDefault="00CB1245" w:rsidP="0099313E">
      <w:pPr>
        <w:pStyle w:val="ListBullet"/>
      </w:pPr>
      <w:r w:rsidRPr="004523AB">
        <w:t xml:space="preserve">PHN maturity – including if the PHN had existing and established grant distribution mechanisms or digital tools. </w:t>
      </w:r>
    </w:p>
    <w:p w14:paraId="5CDBF0E3" w14:textId="77777777" w:rsidR="00CB1245" w:rsidRPr="004523AB" w:rsidRDefault="00CB1245" w:rsidP="0099313E">
      <w:pPr>
        <w:pStyle w:val="ListBullet"/>
      </w:pPr>
      <w:r w:rsidRPr="004523AB">
        <w:t xml:space="preserve">PHN practice numbers – influencing the capacity required of PHNs to provide hands on support, and </w:t>
      </w:r>
    </w:p>
    <w:p w14:paraId="7CB51352" w14:textId="77777777" w:rsidR="00CB1245" w:rsidRPr="004523AB" w:rsidRDefault="00CB1245" w:rsidP="0099313E">
      <w:pPr>
        <w:pStyle w:val="ListBullet"/>
      </w:pPr>
      <w:r w:rsidRPr="004523AB">
        <w:t xml:space="preserve">PHN relationships with practices in their region – including how well PHNs understood the communication preferences of their practices. </w:t>
      </w:r>
    </w:p>
    <w:p w14:paraId="49B32F58" w14:textId="77777777" w:rsidR="00CB1245" w:rsidRPr="004523AB" w:rsidRDefault="00CB1245" w:rsidP="0099313E">
      <w:pPr>
        <w:pStyle w:val="ListBullet"/>
      </w:pPr>
      <w:r w:rsidRPr="004523AB">
        <w:t xml:space="preserve">PHN collaboration – including whether PHNs collaborated closely with neighbouring PHNs to capture learnings to inform best approach. </w:t>
      </w:r>
    </w:p>
    <w:p w14:paraId="7A2C14DD" w14:textId="77777777" w:rsidR="00CB1245" w:rsidRPr="00EB4EE6" w:rsidRDefault="00CB1245" w:rsidP="00EB4EE6">
      <w:r w:rsidRPr="00EB4EE6">
        <w:t xml:space="preserve">The ways in which the Program administration delivery and administration and delivery varied are described below. </w:t>
      </w:r>
    </w:p>
    <w:p w14:paraId="08295095" w14:textId="77777777" w:rsidR="00CB1245" w:rsidRPr="004523AB" w:rsidRDefault="00CB1245" w:rsidP="00CB1245">
      <w:pPr>
        <w:rPr>
          <w:rFonts w:asciiTheme="majorHAnsi" w:hAnsiTheme="majorHAnsi" w:cstheme="majorBidi"/>
        </w:rPr>
      </w:pPr>
      <w:r w:rsidRPr="004523AB">
        <w:rPr>
          <w:rFonts w:asciiTheme="majorHAnsi" w:hAnsiTheme="majorHAnsi" w:cstheme="majorBidi"/>
        </w:rPr>
        <w:t xml:space="preserve">Program setup | </w:t>
      </w:r>
      <w:r w:rsidRPr="004523AB">
        <w:t xml:space="preserve">PHNs brought internal various teams together to set up the Program. Some delivered with a core team drawing input from others (such as finance, and marketing) as needed, some had one person owning delivery, and others started up a working group at the beginning to identify what was needed and allocated tasks to those best placed to deliver across the stages of the Program. Practice engagement leads were deployed in almost all PHNs to plan and coordinate practice communications. Those that took the time to consider carefully their resourcing and project management approach reported more efficient or streamlined processes and less burden. </w:t>
      </w:r>
    </w:p>
    <w:p w14:paraId="340525FE" w14:textId="77777777" w:rsidR="00CB1245" w:rsidRPr="004523AB" w:rsidRDefault="00CB1245" w:rsidP="00CB1245">
      <w:r w:rsidRPr="004523AB">
        <w:rPr>
          <w:rFonts w:asciiTheme="majorHAnsi" w:hAnsiTheme="majorHAnsi" w:cstheme="majorBidi"/>
        </w:rPr>
        <w:t xml:space="preserve">Contract distribution and management | </w:t>
      </w:r>
      <w:r w:rsidRPr="004523AB">
        <w:t xml:space="preserve">There were two main types of approaches PHNs took to this process: a manual process or using grants management software. </w:t>
      </w:r>
    </w:p>
    <w:p w14:paraId="448F4E26" w14:textId="3DC71AE1" w:rsidR="00CB1245" w:rsidRPr="00DA1113" w:rsidRDefault="00CB1245" w:rsidP="00DA1113">
      <w:pPr>
        <w:pStyle w:val="ListBullet"/>
      </w:pPr>
      <w:r w:rsidRPr="00DA1113">
        <w:t xml:space="preserve">Manual approach: Some PHNs, often smaller or those with lower operational maturity, used a manual process of contract distribution and management, which included forms that needed to be printed off, signed and scanned and individually emailed. This meant that if practices made mistakes or the wrong details were used, there was repetition and double handling of forms with the back and forth. These PHNs reflected if they were running a similar process again, they would explore a digitised approach, such as with fillable PDFs. </w:t>
      </w:r>
    </w:p>
    <w:p w14:paraId="48B5EF95" w14:textId="77777777" w:rsidR="00CB1245" w:rsidRPr="004523AB" w:rsidRDefault="00CB1245" w:rsidP="00DA1113">
      <w:pPr>
        <w:pStyle w:val="ListBullet"/>
      </w:pPr>
      <w:r w:rsidRPr="00DA1113">
        <w:t>Grants management software: Some larger PHNs used existing contracts management software (including Folio, Bang the Table, Aspire Oracle) to manage the grants. Several sent out a survey to practices requesting required information then prepopulated forms for the practices to sign. This process still involved elements of burden on PHNs, including in ensuring they had the right information from practices. The benefits included reducing double handling, improved knowledge of digital tools, and a smoother</w:t>
      </w:r>
      <w:r w:rsidRPr="004523AB">
        <w:t xml:space="preserve"> experience for practices. </w:t>
      </w:r>
    </w:p>
    <w:p w14:paraId="297BA677" w14:textId="77777777" w:rsidR="004053DC" w:rsidRPr="004523AB" w:rsidRDefault="004053DC" w:rsidP="00EE6D91">
      <w:pPr>
        <w:rPr>
          <w:rFonts w:asciiTheme="majorHAnsi" w:hAnsiTheme="majorHAnsi" w:cstheme="majorHAnsi"/>
          <w:color w:val="00264D" w:themeColor="background2"/>
        </w:rPr>
      </w:pPr>
      <w:r w:rsidRPr="004523AB">
        <w:rPr>
          <w:rFonts w:asciiTheme="majorHAnsi" w:hAnsiTheme="majorHAnsi" w:cstheme="majorHAnsi"/>
          <w:color w:val="00264D" w:themeColor="background2"/>
        </w:rPr>
        <w:lastRenderedPageBreak/>
        <w:t xml:space="preserve">An added layer of complexity for corporates with practices across multiple PHNs. </w:t>
      </w:r>
    </w:p>
    <w:p w14:paraId="18ACB157" w14:textId="77777777" w:rsidR="004053DC" w:rsidRPr="004523AB" w:rsidRDefault="004053DC" w:rsidP="004053DC">
      <w:pPr>
        <w:rPr>
          <w:bCs/>
        </w:rPr>
      </w:pPr>
      <w:r w:rsidRPr="004523AB">
        <w:rPr>
          <w:bCs/>
        </w:rPr>
        <w:t>Delivering the grants through location-specific organisations, such as PHNs, suited practices well. They were able to engage directly with a familiar organisation and contact. However, the different processes across PHNs presented a challenge to some corporate entities with practices across multiple PHNs. These organisations needed to work through multiple types of PHN processes to receive the grant in each of their practices, adding complexity to their experience. One organisation administered four different PHN processes across 69 practices nationally (see quote above).</w:t>
      </w:r>
    </w:p>
    <w:p w14:paraId="59C850AA" w14:textId="09D54A72" w:rsidR="00EF7F58" w:rsidRPr="004523AB" w:rsidRDefault="00F87C95" w:rsidP="004053DC">
      <w:pPr>
        <w:rPr>
          <w:lang w:eastAsia="en-AU"/>
        </w:rPr>
      </w:pPr>
      <w:r w:rsidRPr="004523AB">
        <w:rPr>
          <w:lang w:eastAsia="en-AU"/>
        </w:rPr>
        <w:t>Whilst all PHNs took different delivery approaches, there were several attributes that the most effective PHNs shared. Case Study 3 (</w:t>
      </w:r>
      <w:r w:rsidR="00A131B6" w:rsidRPr="004523AB">
        <w:rPr>
          <w:lang w:eastAsia="en-AU"/>
        </w:rPr>
        <w:fldChar w:fldCharType="begin"/>
      </w:r>
      <w:r w:rsidR="00A131B6" w:rsidRPr="004523AB">
        <w:rPr>
          <w:lang w:eastAsia="en-AU"/>
        </w:rPr>
        <w:instrText xml:space="preserve"> REF _Ref184920364 \h  \* MERGEFORMAT </w:instrText>
      </w:r>
      <w:r w:rsidR="00A131B6" w:rsidRPr="004523AB">
        <w:rPr>
          <w:lang w:eastAsia="en-AU"/>
        </w:rPr>
      </w:r>
      <w:r w:rsidR="00A131B6" w:rsidRPr="004523AB">
        <w:rPr>
          <w:lang w:eastAsia="en-AU"/>
        </w:rPr>
        <w:fldChar w:fldCharType="separate"/>
      </w:r>
      <w:r w:rsidR="00B96E50" w:rsidRPr="004523AB">
        <w:t xml:space="preserve">Figure </w:t>
      </w:r>
      <w:r w:rsidR="00B96E50">
        <w:rPr>
          <w:noProof/>
        </w:rPr>
        <w:t>14</w:t>
      </w:r>
      <w:r w:rsidR="00A131B6" w:rsidRPr="004523AB">
        <w:rPr>
          <w:lang w:eastAsia="en-AU"/>
        </w:rPr>
        <w:fldChar w:fldCharType="end"/>
      </w:r>
      <w:r w:rsidRPr="004523AB">
        <w:t>)</w:t>
      </w:r>
      <w:r w:rsidRPr="004523AB">
        <w:rPr>
          <w:lang w:eastAsia="en-AU"/>
        </w:rPr>
        <w:t xml:space="preserve"> sets out these key factors.  </w:t>
      </w:r>
    </w:p>
    <w:p w14:paraId="245F8947" w14:textId="5852E789" w:rsidR="002E1621" w:rsidRPr="004523AB" w:rsidRDefault="002E1621" w:rsidP="002E1621">
      <w:pPr>
        <w:pStyle w:val="Caption"/>
      </w:pPr>
      <w:bookmarkStart w:id="55" w:name="_Ref184920364"/>
      <w:r w:rsidRPr="004523AB">
        <w:t xml:space="preserve">Figure </w:t>
      </w:r>
      <w:r w:rsidRPr="004523AB">
        <w:fldChar w:fldCharType="begin"/>
      </w:r>
      <w:r w:rsidRPr="004523AB">
        <w:instrText xml:space="preserve"> SEQ Figure \* ARABIC </w:instrText>
      </w:r>
      <w:r w:rsidRPr="004523AB">
        <w:fldChar w:fldCharType="separate"/>
      </w:r>
      <w:r w:rsidR="00B96E50">
        <w:rPr>
          <w:noProof/>
        </w:rPr>
        <w:t>14</w:t>
      </w:r>
      <w:r w:rsidRPr="004523AB">
        <w:fldChar w:fldCharType="end"/>
      </w:r>
      <w:bookmarkEnd w:id="55"/>
      <w:r w:rsidRPr="004523AB">
        <w:t xml:space="preserve"> | Case study 3 - Key success factors for PHN delivery</w:t>
      </w:r>
    </w:p>
    <w:tbl>
      <w:tblPr>
        <w:tblStyle w:val="AccessibleNousTable"/>
        <w:tblW w:w="0" w:type="auto"/>
        <w:tblLook w:val="04A0" w:firstRow="1" w:lastRow="0" w:firstColumn="1" w:lastColumn="0" w:noHBand="0" w:noVBand="1"/>
      </w:tblPr>
      <w:tblGrid>
        <w:gridCol w:w="8920"/>
      </w:tblGrid>
      <w:tr w:rsidR="002E1621" w:rsidRPr="004523AB" w14:paraId="1CAF3D1B" w14:textId="77777777" w:rsidTr="0099313E">
        <w:trPr>
          <w:cnfStyle w:val="100000000000" w:firstRow="1" w:lastRow="0" w:firstColumn="0" w:lastColumn="0" w:oddVBand="0" w:evenVBand="0" w:oddHBand="0" w:evenHBand="0" w:firstRowFirstColumn="0" w:firstRowLastColumn="0" w:lastRowFirstColumn="0" w:lastRowLastColumn="0"/>
          <w:tblHeader/>
        </w:trPr>
        <w:tc>
          <w:tcPr>
            <w:tcW w:w="8920" w:type="dxa"/>
          </w:tcPr>
          <w:p w14:paraId="47FC8F04" w14:textId="69DA1214" w:rsidR="002E1621" w:rsidRPr="004523AB" w:rsidRDefault="002E1621">
            <w:pPr>
              <w:rPr>
                <w:rFonts w:asciiTheme="majorHAnsi" w:hAnsiTheme="majorHAnsi" w:cstheme="majorHAnsi"/>
                <w:sz w:val="23"/>
                <w:szCs w:val="23"/>
                <w:lang w:eastAsia="en-AU"/>
              </w:rPr>
            </w:pPr>
            <w:r w:rsidRPr="004523AB">
              <w:rPr>
                <w:rFonts w:asciiTheme="majorHAnsi" w:hAnsiTheme="majorHAnsi" w:cstheme="majorHAnsi"/>
                <w:sz w:val="23"/>
                <w:szCs w:val="23"/>
                <w:lang w:eastAsia="en-AU"/>
              </w:rPr>
              <w:t xml:space="preserve">Case study 3 – </w:t>
            </w:r>
            <w:r w:rsidR="00393ED0">
              <w:rPr>
                <w:rFonts w:asciiTheme="majorHAnsi" w:hAnsiTheme="majorHAnsi" w:cstheme="majorHAnsi"/>
                <w:sz w:val="23"/>
                <w:szCs w:val="23"/>
                <w:lang w:eastAsia="en-AU"/>
              </w:rPr>
              <w:t>Multiple PHNs</w:t>
            </w:r>
          </w:p>
          <w:p w14:paraId="3F0778BA" w14:textId="77777777" w:rsidR="002E1621" w:rsidRPr="004523AB" w:rsidRDefault="002E1621">
            <w:pPr>
              <w:rPr>
                <w:rFonts w:asciiTheme="majorHAnsi" w:hAnsiTheme="majorHAnsi" w:cstheme="majorHAnsi"/>
                <w:sz w:val="23"/>
                <w:szCs w:val="23"/>
                <w:lang w:eastAsia="en-AU"/>
              </w:rPr>
            </w:pPr>
            <w:r w:rsidRPr="004523AB">
              <w:rPr>
                <w:rFonts w:asciiTheme="majorHAnsi" w:hAnsiTheme="majorHAnsi" w:cstheme="majorHAnsi"/>
                <w:sz w:val="23"/>
                <w:szCs w:val="23"/>
                <w:lang w:eastAsia="en-AU"/>
              </w:rPr>
              <w:t>Key success factors for PHN delivery</w:t>
            </w:r>
          </w:p>
        </w:tc>
      </w:tr>
      <w:tr w:rsidR="002E1621" w:rsidRPr="004523AB" w14:paraId="64F5F3B3" w14:textId="77777777">
        <w:tc>
          <w:tcPr>
            <w:tcW w:w="8920" w:type="dxa"/>
          </w:tcPr>
          <w:p w14:paraId="09C7FDDE" w14:textId="77777777" w:rsidR="002E1621" w:rsidRPr="00DF23EE" w:rsidRDefault="002E1621" w:rsidP="00DF23EE">
            <w:pPr>
              <w:pStyle w:val="TableNTextStrong"/>
            </w:pPr>
            <w:r w:rsidRPr="00DF23EE">
              <w:t xml:space="preserve">Context: </w:t>
            </w:r>
          </w:p>
          <w:p w14:paraId="5862E4F2" w14:textId="77777777" w:rsidR="002E1621" w:rsidRPr="004523AB" w:rsidRDefault="002E1621" w:rsidP="00DF23EE">
            <w:pPr>
              <w:pStyle w:val="TableNText"/>
            </w:pPr>
            <w:r w:rsidRPr="004523AB">
              <w:t xml:space="preserve">PHNs reported significantly different experiences in how easy it was for them to deliver the grant. Generally, whether the PHN had a smooth delivery experience was primarily reliant on processes and relationships built prior to the delivery of the grant, rather than decisions made over the course of the grant delivery process. The PHNs who were most effective and efficient in their delivery tended to have at least two out of three of the key success factors below. </w:t>
            </w:r>
          </w:p>
        </w:tc>
      </w:tr>
      <w:tr w:rsidR="002E1621" w:rsidRPr="004523AB" w14:paraId="05909B92" w14:textId="77777777">
        <w:tc>
          <w:tcPr>
            <w:tcW w:w="8920" w:type="dxa"/>
            <w:shd w:val="clear" w:color="auto" w:fill="00264D" w:themeFill="background2"/>
          </w:tcPr>
          <w:p w14:paraId="4A93076C" w14:textId="77777777" w:rsidR="002E1621" w:rsidRPr="00EB4EE6" w:rsidRDefault="002E1621" w:rsidP="00EB4EE6">
            <w:pPr>
              <w:pStyle w:val="TableNheader"/>
            </w:pPr>
            <w:r w:rsidRPr="00EB4EE6">
              <w:t xml:space="preserve">Key success factors: </w:t>
            </w:r>
          </w:p>
        </w:tc>
      </w:tr>
      <w:tr w:rsidR="002E1621" w:rsidRPr="004523AB" w14:paraId="7E657BF1" w14:textId="77777777">
        <w:tc>
          <w:tcPr>
            <w:tcW w:w="8920" w:type="dxa"/>
          </w:tcPr>
          <w:p w14:paraId="17ACE1A5" w14:textId="77777777" w:rsidR="002E1621" w:rsidRPr="00DF23EE" w:rsidRDefault="002E1621" w:rsidP="00DF23EE">
            <w:pPr>
              <w:pStyle w:val="TableNTextStrong"/>
            </w:pPr>
            <w:r w:rsidRPr="00DF23EE">
              <w:t xml:space="preserve">High operational maturity: </w:t>
            </w:r>
          </w:p>
          <w:p w14:paraId="5E5933DB" w14:textId="77777777" w:rsidR="002E1621" w:rsidRPr="004523AB" w:rsidRDefault="002E1621" w:rsidP="00DF23EE">
            <w:pPr>
              <w:pStyle w:val="TableNText"/>
              <w:rPr>
                <w:b/>
                <w:bCs/>
              </w:rPr>
            </w:pPr>
            <w:r w:rsidRPr="004523AB">
              <w:t>The operational maturity of the PHN had a significant impact on how smoothly and efficiently they rolled out the Program. The key relevant areas of operational maturity were:</w:t>
            </w:r>
          </w:p>
          <w:p w14:paraId="1F274C40" w14:textId="77777777" w:rsidR="002E1621" w:rsidRPr="004523AB" w:rsidRDefault="002E1621" w:rsidP="00DF23EE">
            <w:pPr>
              <w:pStyle w:val="TableNText"/>
            </w:pPr>
            <w:r w:rsidRPr="004523AB">
              <w:t>Grants and contract management software</w:t>
            </w:r>
          </w:p>
          <w:p w14:paraId="41A4F81C" w14:textId="77777777" w:rsidR="00142411" w:rsidRPr="004523AB" w:rsidRDefault="0022723F" w:rsidP="00DF23EE">
            <w:pPr>
              <w:pStyle w:val="TableNBullet"/>
            </w:pPr>
            <w:r w:rsidRPr="004523AB">
              <w:t>PHNs that already used grants management software were better prepared to run an automated process, which significantly reduced the manual workload over the Program.</w:t>
            </w:r>
          </w:p>
          <w:p w14:paraId="70CF213C" w14:textId="77777777" w:rsidR="002E1621" w:rsidRPr="004523AB" w:rsidRDefault="0022723F" w:rsidP="00DF23EE">
            <w:pPr>
              <w:pStyle w:val="TableNBullet"/>
            </w:pPr>
            <w:r w:rsidRPr="004523AB">
              <w:t>Where PHNs were able to build the process into their existing software, practices found it easier to engage with as they were already used to using that software.</w:t>
            </w:r>
          </w:p>
          <w:p w14:paraId="553AFD8C" w14:textId="77777777" w:rsidR="002E1621" w:rsidRPr="00DF23EE" w:rsidRDefault="002E1621" w:rsidP="00DF23EE">
            <w:pPr>
              <w:pStyle w:val="TableNText"/>
            </w:pPr>
            <w:r w:rsidRPr="00DF23EE">
              <w:rPr>
                <w:rStyle w:val="TableNTextStrongChar"/>
              </w:rPr>
              <w:t>Example 1</w:t>
            </w:r>
            <w:r w:rsidRPr="00DF23EE">
              <w:t xml:space="preserve">: A Victorian PHN automated their system, and it is set up to be used in future. Using an existing </w:t>
            </w:r>
            <w:proofErr w:type="gramStart"/>
            <w:r w:rsidRPr="00DF23EE">
              <w:t>system  meant</w:t>
            </w:r>
            <w:proofErr w:type="gramEnd"/>
            <w:r w:rsidRPr="00DF23EE">
              <w:t xml:space="preserve"> that their practices were already familiar with it which created a sense of ease. While it took a lot of work they saw significant benefits. </w:t>
            </w:r>
          </w:p>
          <w:p w14:paraId="531DBC59" w14:textId="77777777" w:rsidR="002E1621" w:rsidRPr="00DF23EE" w:rsidRDefault="002E1621" w:rsidP="00DF23EE">
            <w:pPr>
              <w:pStyle w:val="TableNText"/>
            </w:pPr>
            <w:r w:rsidRPr="00DF23EE">
              <w:t>Project management approach</w:t>
            </w:r>
          </w:p>
          <w:p w14:paraId="36CF9007" w14:textId="77777777" w:rsidR="002E1621" w:rsidRPr="004523AB" w:rsidRDefault="002E1621" w:rsidP="00DF23EE">
            <w:pPr>
              <w:pStyle w:val="TableNText"/>
            </w:pPr>
            <w:r w:rsidRPr="004523AB">
              <w:t>Capacity to project manage large collaborative pieces of work including approval processes, and incorporation of automation and digitalisation into their workflows significantly supported streamlined experiences. The PHNs that were most effective:</w:t>
            </w:r>
          </w:p>
          <w:p w14:paraId="53D53362" w14:textId="77777777" w:rsidR="002E1621" w:rsidRPr="004523AB" w:rsidRDefault="002E1621" w:rsidP="00DF23EE">
            <w:pPr>
              <w:pStyle w:val="TableNBullet"/>
            </w:pPr>
            <w:r w:rsidRPr="004523AB">
              <w:rPr>
                <w:rFonts w:eastAsiaTheme="minorEastAsia"/>
              </w:rPr>
              <w:lastRenderedPageBreak/>
              <w:t>Brought together all the relevant stakeholders in the PHN (primary care, finance, marketing, IT etc) to develop their overall approach to delivering the program.</w:t>
            </w:r>
          </w:p>
          <w:p w14:paraId="35212473" w14:textId="77777777" w:rsidR="002E1621" w:rsidRPr="004523AB" w:rsidRDefault="002E1621" w:rsidP="00DF23EE">
            <w:pPr>
              <w:pStyle w:val="TableNBullet"/>
            </w:pPr>
            <w:r w:rsidRPr="004523AB">
              <w:rPr>
                <w:rFonts w:eastAsiaTheme="minorEastAsia"/>
              </w:rPr>
              <w:t>Assigned clear responsibility for different components and streamlined their governance and approvals processes.</w:t>
            </w:r>
          </w:p>
          <w:p w14:paraId="53800E31" w14:textId="77777777" w:rsidR="002E1621" w:rsidRPr="004523AB" w:rsidRDefault="002E1621" w:rsidP="00DF23EE">
            <w:pPr>
              <w:pStyle w:val="TableNBullet"/>
            </w:pPr>
            <w:r w:rsidRPr="004523AB">
              <w:rPr>
                <w:rFonts w:eastAsiaTheme="minorEastAsia"/>
              </w:rPr>
              <w:t xml:space="preserve">Developed a project plan and communications in advance which supported consistent and timely communications. </w:t>
            </w:r>
          </w:p>
          <w:p w14:paraId="72AD5367" w14:textId="77777777" w:rsidR="002E1621" w:rsidRPr="00DF23EE" w:rsidRDefault="002E1621" w:rsidP="00DF23EE">
            <w:pPr>
              <w:pStyle w:val="TableNText"/>
            </w:pPr>
            <w:r w:rsidRPr="00DF23EE">
              <w:rPr>
                <w:rStyle w:val="TableNTextStrongChar"/>
              </w:rPr>
              <w:t>Example 2</w:t>
            </w:r>
            <w:r w:rsidRPr="00DF23EE">
              <w:t xml:space="preserve">: Another Victorian PHN used a structured project management approach, including developing a full project plan at the beginning which included pre-approved messaging so that communications were consistent across the organisation and every individual understood their role in delivery. </w:t>
            </w:r>
          </w:p>
        </w:tc>
      </w:tr>
      <w:tr w:rsidR="002E1621" w:rsidRPr="004523AB" w14:paraId="26408379" w14:textId="77777777">
        <w:tc>
          <w:tcPr>
            <w:tcW w:w="8920" w:type="dxa"/>
          </w:tcPr>
          <w:p w14:paraId="1650D18D" w14:textId="77777777" w:rsidR="002E1621" w:rsidRPr="00DF23EE" w:rsidRDefault="002E1621" w:rsidP="00DF23EE">
            <w:pPr>
              <w:pStyle w:val="TableNTextStrong"/>
            </w:pPr>
            <w:r w:rsidRPr="00DF23EE">
              <w:lastRenderedPageBreak/>
              <w:t xml:space="preserve">Strong existing relationships with practices: </w:t>
            </w:r>
          </w:p>
          <w:p w14:paraId="3583D196" w14:textId="77777777" w:rsidR="002E1621" w:rsidRPr="004523AB" w:rsidRDefault="002E1621" w:rsidP="00DF23EE">
            <w:pPr>
              <w:pStyle w:val="TableNText"/>
            </w:pPr>
            <w:r w:rsidRPr="004523AB">
              <w:t xml:space="preserve">The relationship that PHNs had with their practices appeared to have a significant influence on the </w:t>
            </w:r>
          </w:p>
          <w:p w14:paraId="1D0C2649" w14:textId="77777777" w:rsidR="002E1621" w:rsidRPr="004523AB" w:rsidRDefault="002E1621" w:rsidP="00DF23EE">
            <w:pPr>
              <w:pStyle w:val="TableNText"/>
            </w:pPr>
            <w:r w:rsidRPr="004523AB">
              <w:t>uptake and speed of uptake of the grant by practices, and the level of support PHNs were able to provide practices in how to spend the funding. They did this by:</w:t>
            </w:r>
          </w:p>
          <w:p w14:paraId="76257A3C" w14:textId="77777777" w:rsidR="002E1621" w:rsidRPr="004523AB" w:rsidRDefault="002E1621" w:rsidP="00DF23EE">
            <w:pPr>
              <w:pStyle w:val="TableNBullet"/>
            </w:pPr>
            <w:r w:rsidRPr="004523AB">
              <w:rPr>
                <w:rFonts w:eastAsiaTheme="minorEastAsia"/>
              </w:rPr>
              <w:t>Tailoring their communications to their practices (or different types of practices within their PHN).</w:t>
            </w:r>
          </w:p>
          <w:p w14:paraId="16CF4716" w14:textId="77777777" w:rsidR="002E1621" w:rsidRPr="004523AB" w:rsidRDefault="002E1621" w:rsidP="00DF23EE">
            <w:pPr>
              <w:pStyle w:val="TableNBullet"/>
            </w:pPr>
            <w:r w:rsidRPr="004523AB">
              <w:rPr>
                <w:rFonts w:eastAsiaTheme="minorEastAsia"/>
              </w:rPr>
              <w:t xml:space="preserve">Reaching out directly to practice managers either in person or over the phone to offer support. Additionally, because of the close relationship practice managers felt comfortable reaching out to the PHN when they had questions. </w:t>
            </w:r>
          </w:p>
          <w:p w14:paraId="28E6D110" w14:textId="77777777" w:rsidR="002E1621" w:rsidRPr="004523AB" w:rsidRDefault="002E1621" w:rsidP="00DF23EE">
            <w:pPr>
              <w:pStyle w:val="TableNBullet"/>
            </w:pPr>
            <w:r w:rsidRPr="004523AB">
              <w:rPr>
                <w:rFonts w:eastAsiaTheme="minorEastAsia"/>
              </w:rPr>
              <w:t>Advocating for their practices to try and get them recognised as eligible or to get approval of specific spending.</w:t>
            </w:r>
          </w:p>
          <w:p w14:paraId="39EF23E3" w14:textId="77777777" w:rsidR="002E1621" w:rsidRPr="00DF23EE" w:rsidRDefault="002E1621" w:rsidP="00DF23EE">
            <w:pPr>
              <w:pStyle w:val="TableNText"/>
            </w:pPr>
            <w:r w:rsidRPr="00DF23EE">
              <w:rPr>
                <w:rStyle w:val="TableNTextStrongChar"/>
              </w:rPr>
              <w:t>Example 1</w:t>
            </w:r>
            <w:r w:rsidRPr="00DF23EE">
              <w:t>: One NSW/ACT PHN had strong existing relationships with their practices and consider it their core business to know how to best engage with each individual practice. Some practices respond without question, some never engage and some with inconsistent engagement. This knowledge was used to tailor and segment the communications approach with a 99% return rate very quickly.</w:t>
            </w:r>
          </w:p>
        </w:tc>
      </w:tr>
      <w:tr w:rsidR="002E1621" w:rsidRPr="004523AB" w14:paraId="2EC3023A" w14:textId="77777777">
        <w:tc>
          <w:tcPr>
            <w:tcW w:w="8920" w:type="dxa"/>
          </w:tcPr>
          <w:p w14:paraId="140081CA" w14:textId="77777777" w:rsidR="002E1621" w:rsidRPr="00DF23EE" w:rsidRDefault="002E1621" w:rsidP="00DF23EE">
            <w:pPr>
              <w:pStyle w:val="TableNTextStrong"/>
            </w:pPr>
            <w:r w:rsidRPr="00DF23EE">
              <w:t xml:space="preserve">Lower reliance on operational funding: </w:t>
            </w:r>
          </w:p>
          <w:p w14:paraId="727FEB23" w14:textId="77777777" w:rsidR="002E1621" w:rsidRPr="004523AB" w:rsidRDefault="002E1621" w:rsidP="00DF23EE">
            <w:pPr>
              <w:pStyle w:val="TableNText"/>
            </w:pPr>
            <w:r w:rsidRPr="00DF23EE">
              <w:t xml:space="preserve">Some PHNs noted that the operational funding </w:t>
            </w:r>
            <w:r w:rsidRPr="004523AB">
              <w:t xml:space="preserve">for the PHNs was not sufficient to deliver this program, and that they had needed to divert resources from delivering other programs to be able to deliver the Program on time (especially in the first stage of delivery to get the contracts out on time). </w:t>
            </w:r>
          </w:p>
          <w:p w14:paraId="306C85DE" w14:textId="77777777" w:rsidR="002E1621" w:rsidRPr="004523AB" w:rsidRDefault="002E1621">
            <w:r w:rsidRPr="004523AB">
              <w:t>In general, the larger PHNs tended to have a greater pool of resources they could draw on at short notice and so were better placed to deliver the grant. Several of these PHNs reported the operational funding was adequate.</w:t>
            </w:r>
          </w:p>
          <w:p w14:paraId="4E585BB5" w14:textId="77777777" w:rsidR="002E1621" w:rsidRPr="004523AB" w:rsidRDefault="002E1621">
            <w:pPr>
              <w:rPr>
                <w:b/>
                <w:bCs/>
              </w:rPr>
            </w:pPr>
            <w:r w:rsidRPr="004523AB">
              <w:rPr>
                <w:b/>
                <w:bCs/>
              </w:rPr>
              <w:lastRenderedPageBreak/>
              <w:t xml:space="preserve">Example 1: </w:t>
            </w:r>
            <w:r w:rsidRPr="004523AB">
              <w:t>Another NSW/ACT PHN had an established grants system set up for other programs and used the operational funding to streamline and automate processes. Although they worked across nearly every part of the business to deliver the program, they felt the operational funding was sufficient.</w:t>
            </w:r>
          </w:p>
        </w:tc>
      </w:tr>
    </w:tbl>
    <w:p w14:paraId="6B9755E3" w14:textId="77777777" w:rsidR="00904B05" w:rsidRPr="004523AB" w:rsidRDefault="00904B05" w:rsidP="00904B05">
      <w:pPr>
        <w:pStyle w:val="Heading3"/>
        <w:ind w:left="851" w:hanging="851"/>
      </w:pPr>
      <w:bookmarkStart w:id="56" w:name="_Ref169261680"/>
      <w:bookmarkStart w:id="57" w:name="_Ref179528291"/>
      <w:r w:rsidRPr="004523AB">
        <w:lastRenderedPageBreak/>
        <w:t>Many PHNs found it difficult to meet initial project deadlines for applications and grant agreement distribution</w:t>
      </w:r>
      <w:bookmarkEnd w:id="56"/>
      <w:bookmarkEnd w:id="57"/>
    </w:p>
    <w:p w14:paraId="27C6C53A" w14:textId="77777777" w:rsidR="00904B05" w:rsidRPr="004523AB" w:rsidRDefault="00904B05" w:rsidP="00904B05">
      <w:r w:rsidRPr="004523AB">
        <w:t>All PHNs felt that it was difficult to meet the Department’s initial timelines from grant announcement to grant agreement distribution. To meet these timelines, some needed to deprioritise other work. There were three main reasons that PHNs struggled to meet deadlines as outlined below.</w:t>
      </w:r>
    </w:p>
    <w:p w14:paraId="0F88FAF2" w14:textId="77777777" w:rsidR="00904B05" w:rsidRPr="004523AB" w:rsidRDefault="00904B05" w:rsidP="00EE6D91">
      <w:pPr>
        <w:rPr>
          <w:rFonts w:asciiTheme="majorHAnsi" w:hAnsiTheme="majorHAnsi" w:cstheme="majorHAnsi"/>
          <w:b/>
          <w:color w:val="00264D" w:themeColor="background2"/>
        </w:rPr>
      </w:pPr>
      <w:r w:rsidRPr="004523AB">
        <w:rPr>
          <w:rFonts w:asciiTheme="majorHAnsi" w:hAnsiTheme="majorHAnsi" w:cstheme="majorHAnsi"/>
          <w:color w:val="00264D" w:themeColor="background2"/>
        </w:rPr>
        <w:t xml:space="preserve">PHNs </w:t>
      </w:r>
      <w:r w:rsidRPr="004523AB">
        <w:rPr>
          <w:rFonts w:asciiTheme="majorHAnsi" w:hAnsiTheme="majorHAnsi" w:cstheme="majorHAnsi"/>
          <w:bCs/>
          <w:color w:val="00264D" w:themeColor="background2"/>
        </w:rPr>
        <w:t>struggled to forecast the amount of work required to deliver the grant</w:t>
      </w:r>
      <w:r w:rsidRPr="004523AB">
        <w:rPr>
          <w:rFonts w:asciiTheme="majorHAnsi" w:hAnsiTheme="majorHAnsi" w:cstheme="majorHAnsi"/>
          <w:b/>
          <w:color w:val="00264D" w:themeColor="background2"/>
        </w:rPr>
        <w:t xml:space="preserve"> </w:t>
      </w:r>
    </w:p>
    <w:p w14:paraId="150FC439" w14:textId="77777777" w:rsidR="00904B05" w:rsidRPr="004523AB" w:rsidRDefault="00904B05" w:rsidP="00904B05">
      <w:pPr>
        <w:rPr>
          <w:lang w:eastAsia="en-AU"/>
        </w:rPr>
      </w:pPr>
      <w:r w:rsidRPr="004523AB">
        <w:rPr>
          <w:lang w:eastAsia="en-AU"/>
        </w:rPr>
        <w:t xml:space="preserve">The short window between grant announcement and early deadlines (including applications and distributions of contracts) put a significant resourcing burden on PHNs with limited warning.  It meant most PHNs reprioritised to deliver on time. Some PHN representatives did not have a good reference point to determine how much effort it would take to implement the Program. PHN representatives that were more familiar with programs of this size and nature were able to more effectively establish their processes. </w:t>
      </w:r>
    </w:p>
    <w:p w14:paraId="18E77BED" w14:textId="77777777" w:rsidR="00904B05" w:rsidRPr="004523AB" w:rsidRDefault="00904B05" w:rsidP="00904B05">
      <w:pPr>
        <w:rPr>
          <w:lang w:eastAsia="en-AU"/>
        </w:rPr>
      </w:pPr>
      <w:r w:rsidRPr="004523AB">
        <w:rPr>
          <w:lang w:eastAsia="en-AU"/>
        </w:rPr>
        <w:t xml:space="preserve">Longer lead time between announcement and rollout would have allowed PHNs to better prepare for the Program administration and delivery, including providing them the opportunity to invest in grants management software or build internal processes. Additionally, because information was released gradually the operational load for PHNs ebbed and flowed but was difficult to plan for, especially when Department-communicated timelines shifted. </w:t>
      </w:r>
    </w:p>
    <w:p w14:paraId="0389F5F0" w14:textId="77777777" w:rsidR="00904B05" w:rsidRPr="004523AB" w:rsidRDefault="00904B05" w:rsidP="00EE6D91">
      <w:pPr>
        <w:rPr>
          <w:rFonts w:asciiTheme="majorHAnsi" w:hAnsiTheme="majorHAnsi" w:cstheme="majorHAnsi"/>
          <w:b/>
          <w:color w:val="00264D" w:themeColor="background2"/>
        </w:rPr>
      </w:pPr>
      <w:r w:rsidRPr="004523AB">
        <w:rPr>
          <w:rFonts w:asciiTheme="majorHAnsi" w:hAnsiTheme="majorHAnsi" w:cstheme="majorHAnsi"/>
          <w:color w:val="00264D" w:themeColor="background2"/>
        </w:rPr>
        <w:t xml:space="preserve">NACCHO’s method of grant distribution exemplifies good practice grant management </w:t>
      </w:r>
    </w:p>
    <w:p w14:paraId="5EACAC90" w14:textId="77777777" w:rsidR="00904B05" w:rsidRPr="004523AB" w:rsidRDefault="00904B05" w:rsidP="00904B05">
      <w:pPr>
        <w:rPr>
          <w:lang w:eastAsia="en-AU"/>
        </w:rPr>
      </w:pPr>
      <w:r w:rsidRPr="004523AB">
        <w:rPr>
          <w:lang w:eastAsia="en-AU"/>
        </w:rPr>
        <w:t xml:space="preserve">NACCHO has historically focused on advocacy but has recently expanded its mandate to include program delivery, now managing a significant number of contracts for ACCHOs.  NACCHO now has a wealth of experience in distributing grant funding to ACCHOs, managing 70 to 80 grant programs per year. This shift was partly driven by the Closing the Gap agreement, indicating a proactive approach in direct funding management for ACCHOs, circumventing the variable and sometimes complex liaison between ACCHOs and local PHNs. NACCHO’s workforce is experienced in running grant programs and described it as their “bread and butter”. They have standard and </w:t>
      </w:r>
      <w:proofErr w:type="gramStart"/>
      <w:r w:rsidRPr="004523AB">
        <w:rPr>
          <w:lang w:eastAsia="en-AU"/>
        </w:rPr>
        <w:t>streamlined</w:t>
      </w:r>
      <w:proofErr w:type="gramEnd"/>
      <w:r w:rsidRPr="004523AB">
        <w:rPr>
          <w:lang w:eastAsia="en-AU"/>
        </w:rPr>
        <w:t xml:space="preserve"> procedures for tracking their processes but noted that they were still evolving and improving this newer function. Despite the growth of their remit, there were no reported internal barriers to implementation of the Program for NACCHO or ACCHOs. </w:t>
      </w:r>
    </w:p>
    <w:p w14:paraId="73D81963" w14:textId="3E6E5576" w:rsidR="00A968C8" w:rsidRPr="004523AB" w:rsidRDefault="00904B05" w:rsidP="00EE6D91">
      <w:pPr>
        <w:rPr>
          <w:lang w:eastAsia="en-AU"/>
        </w:rPr>
      </w:pPr>
      <w:r w:rsidRPr="004523AB">
        <w:rPr>
          <w:lang w:eastAsia="en-AU"/>
        </w:rPr>
        <w:t xml:space="preserve">There is an opportunity to learn from NACCHO’s experience for the implementation and delivery of future grant programs. </w:t>
      </w:r>
      <w:bookmarkStart w:id="58" w:name="_Toc183696570"/>
    </w:p>
    <w:p w14:paraId="62353C99" w14:textId="77777777" w:rsidR="00A45068" w:rsidRPr="004523AB" w:rsidRDefault="00A45068" w:rsidP="00A45068">
      <w:pPr>
        <w:pStyle w:val="Heading2"/>
        <w:ind w:left="578" w:hanging="578"/>
      </w:pPr>
      <w:bookmarkStart w:id="59" w:name="_Toc184982766"/>
      <w:r w:rsidRPr="004523AB">
        <w:lastRenderedPageBreak/>
        <w:t>Program outcomes</w:t>
      </w:r>
      <w:bookmarkEnd w:id="58"/>
      <w:bookmarkEnd w:id="59"/>
      <w:r w:rsidRPr="004523AB">
        <w:t xml:space="preserve"> </w:t>
      </w:r>
    </w:p>
    <w:tbl>
      <w:tblPr>
        <w:tblStyle w:val="NousLongformcallout"/>
        <w:tblW w:w="4950" w:type="pct"/>
        <w:tblCellMar>
          <w:top w:w="170" w:type="dxa"/>
          <w:bottom w:w="170" w:type="dxa"/>
        </w:tblCellMar>
        <w:tblLook w:val="04A0" w:firstRow="1" w:lastRow="0" w:firstColumn="1" w:lastColumn="0" w:noHBand="0" w:noVBand="1"/>
      </w:tblPr>
      <w:tblGrid>
        <w:gridCol w:w="9069"/>
      </w:tblGrid>
      <w:tr w:rsidR="00FF4A73" w:rsidRPr="004523AB" w14:paraId="1A3FEF00" w14:textId="77777777" w:rsidTr="00FF4A73">
        <w:tc>
          <w:tcPr>
            <w:tcW w:w="9069" w:type="dxa"/>
          </w:tcPr>
          <w:p w14:paraId="09BC5CC7" w14:textId="7AE67774" w:rsidR="00FF4A73" w:rsidRPr="004523AB" w:rsidRDefault="00FF4A73" w:rsidP="00FF4A73">
            <w:pPr>
              <w:pStyle w:val="Longformcallout"/>
            </w:pPr>
            <w:r w:rsidRPr="004523AB">
              <w:t>“Sixty-six per cent of PHN representatives agreed that the grants were either highly or moderately effective in achieving the Program objectives.” - PHN representative survey</w:t>
            </w:r>
          </w:p>
        </w:tc>
      </w:tr>
    </w:tbl>
    <w:p w14:paraId="2F62B01F" w14:textId="43A9ECAE" w:rsidR="00A45068" w:rsidRPr="004523AB" w:rsidRDefault="00A45068" w:rsidP="00A45068">
      <w:r w:rsidRPr="004523AB">
        <w:rPr>
          <w:lang w:eastAsia="en-AU"/>
        </w:rPr>
        <w:t xml:space="preserve">This section captures outcomes conveyed through interviews and surveys with PHN representatives, interviews with practices, as well as insights from the self-evaluation survey. All outcomes captured below are self-reported. </w:t>
      </w:r>
    </w:p>
    <w:p w14:paraId="780B565F" w14:textId="77777777" w:rsidR="00A45068" w:rsidRPr="004523AB" w:rsidRDefault="00A45068" w:rsidP="00A45068">
      <w:r w:rsidRPr="004523AB">
        <w:t xml:space="preserve">The evaluation team considered outcomes in three ways: </w:t>
      </w:r>
    </w:p>
    <w:p w14:paraId="65FD74CB" w14:textId="77777777" w:rsidR="00A45068" w:rsidRPr="004523AB" w:rsidRDefault="00A45068" w:rsidP="00FF4A73">
      <w:pPr>
        <w:pStyle w:val="Listnumbered"/>
        <w:numPr>
          <w:ilvl w:val="0"/>
          <w:numId w:val="33"/>
        </w:numPr>
        <w:spacing w:line="259" w:lineRule="auto"/>
      </w:pPr>
      <w:r w:rsidRPr="004523AB">
        <w:t>Broad benefits for general practice.</w:t>
      </w:r>
    </w:p>
    <w:p w14:paraId="47767A5E" w14:textId="77777777" w:rsidR="00A45068" w:rsidRPr="004523AB" w:rsidRDefault="00A45068" w:rsidP="00FF4A73">
      <w:pPr>
        <w:pStyle w:val="Listnumbered"/>
        <w:numPr>
          <w:ilvl w:val="0"/>
          <w:numId w:val="33"/>
        </w:numPr>
        <w:spacing w:line="259" w:lineRule="auto"/>
      </w:pPr>
      <w:r w:rsidRPr="004523AB">
        <w:t xml:space="preserve">Investment stream-specific benefits for general practice. </w:t>
      </w:r>
    </w:p>
    <w:p w14:paraId="27415432" w14:textId="77777777" w:rsidR="00A45068" w:rsidRPr="004523AB" w:rsidRDefault="00A45068" w:rsidP="00FF4A73">
      <w:pPr>
        <w:pStyle w:val="Listnumbered"/>
        <w:numPr>
          <w:ilvl w:val="0"/>
          <w:numId w:val="33"/>
        </w:numPr>
        <w:spacing w:line="259" w:lineRule="auto"/>
      </w:pPr>
      <w:r w:rsidRPr="004523AB">
        <w:t xml:space="preserve">Unintended benefits to PHN and general practice relationships. </w:t>
      </w:r>
    </w:p>
    <w:p w14:paraId="1047D929" w14:textId="77777777" w:rsidR="00A45068" w:rsidRPr="004523AB" w:rsidRDefault="00A45068" w:rsidP="00A45068">
      <w:pPr>
        <w:pStyle w:val="Heading3"/>
        <w:ind w:left="851" w:hanging="851"/>
      </w:pPr>
      <w:r w:rsidRPr="004523AB">
        <w:t xml:space="preserve">The Program had broad overall benefits for primary care  </w:t>
      </w:r>
    </w:p>
    <w:p w14:paraId="2F62A8F3" w14:textId="4596099C" w:rsidR="00A45068" w:rsidRPr="004523AB" w:rsidRDefault="00A45068" w:rsidP="00A45068">
      <w:r w:rsidRPr="004523AB">
        <w:t>The broad benefits for general practice have been categorised against the Quintuple Aim Framework, for assessing health outcomes</w:t>
      </w:r>
      <w:r w:rsidRPr="004523AB">
        <w:rPr>
          <w:rStyle w:val="FootnoteReference"/>
        </w:rPr>
        <w:footnoteReference w:id="22"/>
      </w:r>
      <w:r w:rsidRPr="004523AB">
        <w:t xml:space="preserve"> – an important driver for Strengthening Medicare reforms.  This is an extension of the Quadruple Aim, that Department’s primary health 10-year plan draws on.</w:t>
      </w:r>
      <w:r w:rsidRPr="004523AB">
        <w:rPr>
          <w:rStyle w:val="FootnoteReference"/>
        </w:rPr>
        <w:footnoteReference w:id="23"/>
      </w:r>
      <w:r w:rsidRPr="004523AB">
        <w:t xml:space="preserve"> The Quintuple Aim is shown in </w:t>
      </w:r>
      <w:r w:rsidR="00454593" w:rsidRPr="004523AB">
        <w:fldChar w:fldCharType="begin"/>
      </w:r>
      <w:r w:rsidR="00454593" w:rsidRPr="004523AB">
        <w:instrText xml:space="preserve"> REF _Ref184920389 \h </w:instrText>
      </w:r>
      <w:r w:rsidR="004523AB" w:rsidRPr="004523AB">
        <w:instrText xml:space="preserve"> \* MERGEFORMAT </w:instrText>
      </w:r>
      <w:r w:rsidR="00454593" w:rsidRPr="004523AB">
        <w:fldChar w:fldCharType="separate"/>
      </w:r>
      <w:r w:rsidR="00B96E50" w:rsidRPr="004523AB">
        <w:t xml:space="preserve">Figure </w:t>
      </w:r>
      <w:r w:rsidR="00B96E50">
        <w:rPr>
          <w:noProof/>
        </w:rPr>
        <w:t>15</w:t>
      </w:r>
      <w:r w:rsidR="00454593" w:rsidRPr="004523AB">
        <w:fldChar w:fldCharType="end"/>
      </w:r>
      <w:r w:rsidR="00454593" w:rsidRPr="004523AB">
        <w:t>.</w:t>
      </w:r>
    </w:p>
    <w:p w14:paraId="3BF65039" w14:textId="273030DE" w:rsidR="00AB3375" w:rsidRPr="004523AB" w:rsidRDefault="00AB3375" w:rsidP="00AB3375">
      <w:pPr>
        <w:pStyle w:val="Caption"/>
      </w:pPr>
      <w:bookmarkStart w:id="60" w:name="_Ref184920389"/>
      <w:r w:rsidRPr="004523AB">
        <w:t xml:space="preserve">Figure </w:t>
      </w:r>
      <w:r w:rsidRPr="004523AB">
        <w:fldChar w:fldCharType="begin"/>
      </w:r>
      <w:r w:rsidRPr="004523AB">
        <w:instrText xml:space="preserve"> SEQ Figure \* ARABIC </w:instrText>
      </w:r>
      <w:r w:rsidRPr="004523AB">
        <w:fldChar w:fldCharType="separate"/>
      </w:r>
      <w:r w:rsidR="00B96E50">
        <w:rPr>
          <w:noProof/>
        </w:rPr>
        <w:t>15</w:t>
      </w:r>
      <w:r w:rsidRPr="004523AB">
        <w:fldChar w:fldCharType="end"/>
      </w:r>
      <w:bookmarkEnd w:id="60"/>
      <w:r w:rsidRPr="004523AB">
        <w:t xml:space="preserve"> | The Quintuple Aim Framework</w:t>
      </w:r>
    </w:p>
    <w:p w14:paraId="0BE97C59" w14:textId="2A64EEE0" w:rsidR="00B11B5C" w:rsidRPr="004523AB" w:rsidRDefault="00021461" w:rsidP="004053DC">
      <w:pPr>
        <w:rPr>
          <w:rFonts w:asciiTheme="majorHAnsi" w:hAnsiTheme="majorHAnsi" w:cstheme="majorHAnsi"/>
          <w:b/>
          <w:bCs/>
          <w:color w:val="00264D" w:themeColor="background2"/>
          <w:sz w:val="24"/>
          <w:szCs w:val="28"/>
          <w:lang w:eastAsia="en-AU"/>
        </w:rPr>
      </w:pPr>
      <w:r w:rsidRPr="004523AB">
        <w:rPr>
          <w:noProof/>
          <w:lang w:eastAsia="en-AU"/>
        </w:rPr>
        <w:drawing>
          <wp:inline distT="0" distB="0" distL="0" distR="0" wp14:anchorId="7D2CCB08" wp14:editId="55BBAC00">
            <wp:extent cx="5670550" cy="2358613"/>
            <wp:effectExtent l="0" t="0" r="6350" b="3810"/>
            <wp:docPr id="1130549184" name="Picture 13" descr="Figure 15 is an infographic of 5 overlapping circles in a horizontal line with the text:&#10;1. Improve people's experiences of care&#10;2. Improve the health of populations&#10;3. Improve the cost-efficiency of the health system&#10;4. Improve the work life of health care staff&#10;5. Advance health eq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549184" name="Picture 13" descr="Figure 15 is an infographic of 5 overlapping circles in a horizontal line with the text:&#10;1. Improve people's experiences of care&#10;2. Improve the health of populations&#10;3. Improve the cost-efficiency of the health system&#10;4. Improve the work life of health care staff&#10;5. Advance health equity"/>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70550" cy="2358613"/>
                    </a:xfrm>
                    <a:prstGeom prst="rect">
                      <a:avLst/>
                    </a:prstGeom>
                  </pic:spPr>
                </pic:pic>
              </a:graphicData>
            </a:graphic>
          </wp:inline>
        </w:drawing>
      </w:r>
    </w:p>
    <w:p w14:paraId="4F911766" w14:textId="77777777" w:rsidR="00B11B5C" w:rsidRPr="004523AB" w:rsidRDefault="00B11B5C" w:rsidP="00B11B5C">
      <w:r w:rsidRPr="004523AB">
        <w:t>Thematic analysis of responses captured in the self-evaluation survey and practice interviews showed several outcomes against the Quintuple Aim, as detailed below.</w:t>
      </w:r>
    </w:p>
    <w:tbl>
      <w:tblPr>
        <w:tblStyle w:val="NousLongformcallout"/>
        <w:tblW w:w="4950" w:type="pct"/>
        <w:tblCellMar>
          <w:top w:w="170" w:type="dxa"/>
          <w:bottom w:w="170" w:type="dxa"/>
        </w:tblCellMar>
        <w:tblLook w:val="04A0" w:firstRow="1" w:lastRow="0" w:firstColumn="1" w:lastColumn="0" w:noHBand="0" w:noVBand="1"/>
      </w:tblPr>
      <w:tblGrid>
        <w:gridCol w:w="9069"/>
      </w:tblGrid>
      <w:tr w:rsidR="00FF4A73" w:rsidRPr="004523AB" w14:paraId="1C445544" w14:textId="77777777" w:rsidTr="00FF4A73">
        <w:tc>
          <w:tcPr>
            <w:tcW w:w="9069" w:type="dxa"/>
          </w:tcPr>
          <w:p w14:paraId="346EDDEB" w14:textId="2919F1EA" w:rsidR="00FF4A73" w:rsidRPr="004523AB" w:rsidRDefault="00FF4A73" w:rsidP="00FF4A73">
            <w:pPr>
              <w:pStyle w:val="Longformcallout"/>
            </w:pPr>
            <w:r w:rsidRPr="004523AB">
              <w:t xml:space="preserve">"Our GPs don't have to beg and plead for things they should have now. It's done wonders for staff morale." – Practice Manager </w:t>
            </w:r>
          </w:p>
        </w:tc>
      </w:tr>
    </w:tbl>
    <w:p w14:paraId="0C3B8743" w14:textId="77777777" w:rsidR="00B11B5C" w:rsidRPr="0099313E" w:rsidRDefault="00B11B5C" w:rsidP="0099313E">
      <w:pPr>
        <w:rPr>
          <w:rStyle w:val="Strong"/>
        </w:rPr>
      </w:pPr>
      <w:r w:rsidRPr="0099313E">
        <w:rPr>
          <w:rStyle w:val="Strong"/>
        </w:rPr>
        <w:t xml:space="preserve">Quintuple Aim 1: Improve people’s </w:t>
      </w:r>
      <w:r w:rsidRPr="0099313E" w:rsidDel="002C6C48">
        <w:rPr>
          <w:rStyle w:val="Strong"/>
        </w:rPr>
        <w:t>experience</w:t>
      </w:r>
      <w:r w:rsidRPr="0099313E">
        <w:rPr>
          <w:rStyle w:val="Strong"/>
        </w:rPr>
        <w:t xml:space="preserve"> of care</w:t>
      </w:r>
    </w:p>
    <w:p w14:paraId="62C0DBB2" w14:textId="1BC27011" w:rsidR="00B11B5C" w:rsidRPr="004523AB" w:rsidRDefault="00B11B5C" w:rsidP="0099313E">
      <w:pPr>
        <w:pStyle w:val="ListBullet"/>
      </w:pPr>
      <w:r w:rsidRPr="004523AB">
        <w:rPr>
          <w:rFonts w:asciiTheme="majorHAnsi" w:hAnsiTheme="majorHAnsi" w:cstheme="majorHAnsi"/>
        </w:rPr>
        <w:lastRenderedPageBreak/>
        <w:t xml:space="preserve">Quicker, easy to navigate administration </w:t>
      </w:r>
      <w:r w:rsidRPr="004523AB">
        <w:t>through investment in digital health technology to streamline patient registration and</w:t>
      </w:r>
      <w:r w:rsidRPr="004523AB" w:rsidDel="000F3EBB">
        <w:t xml:space="preserve"> </w:t>
      </w:r>
      <w:r w:rsidRPr="004523AB">
        <w:t>appointment scheduling.</w:t>
      </w:r>
    </w:p>
    <w:p w14:paraId="1BB92B03" w14:textId="77777777" w:rsidR="00B11B5C" w:rsidRPr="004523AB" w:rsidRDefault="00B11B5C" w:rsidP="0099313E">
      <w:pPr>
        <w:pStyle w:val="ListBullet"/>
      </w:pPr>
      <w:r w:rsidRPr="004523AB">
        <w:rPr>
          <w:rFonts w:asciiTheme="minorHAnsi" w:hAnsiTheme="minorHAnsi" w:cstheme="minorHAnsi"/>
        </w:rPr>
        <w:t xml:space="preserve">Increased provision of </w:t>
      </w:r>
      <w:r w:rsidRPr="004523AB">
        <w:t>telehealth, enhancing the accessibility</w:t>
      </w:r>
      <w:r w:rsidRPr="004523AB">
        <w:rPr>
          <w:rFonts w:asciiTheme="minorHAnsi" w:hAnsiTheme="minorHAnsi" w:cstheme="minorHAnsi"/>
        </w:rPr>
        <w:t xml:space="preserve"> of services.</w:t>
      </w:r>
    </w:p>
    <w:p w14:paraId="29B3C26C" w14:textId="77777777" w:rsidR="00B11B5C" w:rsidRPr="004523AB" w:rsidRDefault="00B11B5C" w:rsidP="0099313E">
      <w:pPr>
        <w:pStyle w:val="ListBullet"/>
      </w:pPr>
      <w:r w:rsidRPr="004523AB">
        <w:rPr>
          <w:rFonts w:asciiTheme="majorHAnsi" w:hAnsiTheme="majorHAnsi" w:cstheme="majorHAnsi"/>
        </w:rPr>
        <w:t>Engaging, safe and comfortable refurbished facilities</w:t>
      </w:r>
      <w:r w:rsidRPr="004523AB">
        <w:t xml:space="preserve"> positively impacting patient and community morale, and feedback received.</w:t>
      </w:r>
    </w:p>
    <w:p w14:paraId="703662C7" w14:textId="77777777" w:rsidR="00B11B5C" w:rsidRPr="004523AB" w:rsidRDefault="00B11B5C" w:rsidP="0099313E">
      <w:pPr>
        <w:pStyle w:val="ListBullet"/>
      </w:pPr>
      <w:r w:rsidRPr="004523AB">
        <w:rPr>
          <w:rFonts w:asciiTheme="majorHAnsi" w:hAnsiTheme="majorHAnsi" w:cstheme="majorHAnsi"/>
        </w:rPr>
        <w:t>Improved security of patient data</w:t>
      </w:r>
      <w:r w:rsidRPr="004523AB">
        <w:t xml:space="preserve"> from upgrades of IT systems and implementation of enhanced data security systems and protocols. ACCHOs particularly valued the opportunity to improve their digital security and patient confidentiality (n=17).</w:t>
      </w:r>
    </w:p>
    <w:p w14:paraId="71785950" w14:textId="77777777" w:rsidR="00B11B5C" w:rsidRPr="004523AB" w:rsidRDefault="00B11B5C" w:rsidP="00EE6D91">
      <w:pPr>
        <w:rPr>
          <w:rFonts w:ascii="Segoe UI Semibold" w:hAnsi="Segoe UI Semibold" w:cs="Segoe UI Semibold"/>
          <w:color w:val="00264D" w:themeColor="background2"/>
        </w:rPr>
      </w:pPr>
      <w:r w:rsidRPr="004523AB">
        <w:rPr>
          <w:rFonts w:ascii="Segoe UI Semibold" w:hAnsi="Segoe UI Semibold" w:cs="Segoe UI Semibold"/>
          <w:color w:val="00264D" w:themeColor="background2"/>
        </w:rPr>
        <w:t xml:space="preserve">Quintuple Aim 2: </w:t>
      </w:r>
      <w:r w:rsidRPr="004523AB">
        <w:rPr>
          <w:rFonts w:asciiTheme="majorHAnsi" w:hAnsiTheme="majorHAnsi" w:cstheme="majorHAnsi"/>
          <w:bCs/>
          <w:color w:val="00264D" w:themeColor="background2"/>
        </w:rPr>
        <w:t>Improve the health of populations</w:t>
      </w:r>
    </w:p>
    <w:p w14:paraId="310736FE" w14:textId="77777777" w:rsidR="00B11B5C" w:rsidRPr="004523AB" w:rsidRDefault="00B11B5C" w:rsidP="0099313E">
      <w:pPr>
        <w:pStyle w:val="ListBullet"/>
      </w:pPr>
      <w:r w:rsidRPr="004523AB">
        <w:rPr>
          <w:rFonts w:asciiTheme="majorHAnsi" w:hAnsiTheme="majorHAnsi" w:cstheme="majorHAnsi"/>
        </w:rPr>
        <w:t xml:space="preserve">Increased capacity and access, </w:t>
      </w:r>
      <w:r w:rsidRPr="004523AB">
        <w:t>including renovations to create more spaces where patients could be seen, increasing accessibility, and improvements in efficiency and consult methods (such as telehealth) that allowed doctors to see more patients in the same amount of time. More than 50 per cent (n=2,901) of practice survey respondents reported the grant had enhanced their capacity to handle face-to-face appointments for people with respiratory conditions.</w:t>
      </w:r>
    </w:p>
    <w:p w14:paraId="7CD57B85" w14:textId="77777777" w:rsidR="00B11B5C" w:rsidRPr="004523AB" w:rsidRDefault="00B11B5C" w:rsidP="0099313E">
      <w:pPr>
        <w:pStyle w:val="ListBullet"/>
      </w:pPr>
      <w:r w:rsidRPr="004523AB">
        <w:rPr>
          <w:rFonts w:asciiTheme="majorHAnsi" w:hAnsiTheme="majorHAnsi" w:cstheme="majorHAnsi"/>
        </w:rPr>
        <w:t xml:space="preserve">Increased quality of care, </w:t>
      </w:r>
      <w:r w:rsidRPr="004523AB">
        <w:rPr>
          <w:rFonts w:asciiTheme="minorHAnsi" w:hAnsiTheme="minorHAnsi" w:cstheme="minorHAnsi"/>
        </w:rPr>
        <w:t xml:space="preserve">including the </w:t>
      </w:r>
      <w:r w:rsidRPr="004523AB">
        <w:t xml:space="preserve">use of data and systems to flag health concerns which may need to be followed up, and investment across the accreditation cycle in quality improvement. Many practices also noted the grant helped them afford the cost of re-accreditation, which helps maintain quality care for patients. </w:t>
      </w:r>
    </w:p>
    <w:p w14:paraId="24F0A7F0" w14:textId="62519276" w:rsidR="00B11B5C" w:rsidRPr="0099313E" w:rsidRDefault="00B11B5C" w:rsidP="0099313E">
      <w:pPr>
        <w:keepNext/>
        <w:rPr>
          <w:rStyle w:val="Strong"/>
        </w:rPr>
      </w:pPr>
      <w:r w:rsidRPr="0099313E">
        <w:rPr>
          <w:rStyle w:val="Strong"/>
        </w:rPr>
        <w:t>Quintuple Aim 3: Improve the cost-efficiency of the health system</w:t>
      </w:r>
    </w:p>
    <w:p w14:paraId="3F67572A" w14:textId="77777777" w:rsidR="00B11B5C" w:rsidRPr="004523AB" w:rsidRDefault="00B11B5C" w:rsidP="0099313E">
      <w:pPr>
        <w:pStyle w:val="ListBullet"/>
      </w:pPr>
      <w:r w:rsidRPr="004523AB">
        <w:rPr>
          <w:rFonts w:asciiTheme="majorHAnsi" w:hAnsiTheme="majorHAnsi" w:cstheme="majorHAnsi"/>
        </w:rPr>
        <w:t xml:space="preserve">Increased access and efficiency </w:t>
      </w:r>
      <w:r w:rsidRPr="004523AB">
        <w:rPr>
          <w:rFonts w:asciiTheme="minorHAnsi" w:hAnsiTheme="minorHAnsi" w:cstheme="minorHAnsi"/>
        </w:rPr>
        <w:t xml:space="preserve">through </w:t>
      </w:r>
      <w:r w:rsidRPr="004523AB">
        <w:t>data or finance management software, and reductions in IT systems dropouts and delays. One practice interviewed reported they were now able to see 25 per cent more patients with the same FTE.</w:t>
      </w:r>
    </w:p>
    <w:p w14:paraId="7A87A9D7" w14:textId="77777777" w:rsidR="00B11B5C" w:rsidRPr="004523AB" w:rsidRDefault="00B11B5C" w:rsidP="0099313E">
      <w:pPr>
        <w:pStyle w:val="ListBullet"/>
      </w:pPr>
      <w:r w:rsidRPr="004523AB">
        <w:rPr>
          <w:rFonts w:asciiTheme="majorHAnsi" w:hAnsiTheme="majorHAnsi" w:cstheme="majorHAnsi"/>
        </w:rPr>
        <w:t xml:space="preserve">Streamlined access to patient data </w:t>
      </w:r>
      <w:r w:rsidRPr="004523AB">
        <w:t xml:space="preserve">through allocation of funds to sophisticated patient portals that offer easy access to personal health records, test results, and educational resources, enhancing engagement and satisfaction.   </w:t>
      </w:r>
    </w:p>
    <w:p w14:paraId="418B972A" w14:textId="77777777" w:rsidR="00B11B5C" w:rsidRPr="004523AB" w:rsidRDefault="00B11B5C" w:rsidP="00EE6D91">
      <w:pPr>
        <w:rPr>
          <w:rFonts w:asciiTheme="majorHAnsi" w:hAnsiTheme="majorHAnsi" w:cstheme="majorHAnsi"/>
          <w:b/>
          <w:color w:val="00264D" w:themeColor="background2"/>
        </w:rPr>
      </w:pPr>
      <w:r w:rsidRPr="004523AB">
        <w:rPr>
          <w:rFonts w:ascii="Segoe UI Semibold" w:hAnsi="Segoe UI Semibold" w:cs="Segoe UI Semibold"/>
          <w:color w:val="00264D" w:themeColor="background2"/>
        </w:rPr>
        <w:t xml:space="preserve">Quintuple Aim 4: </w:t>
      </w:r>
      <w:r w:rsidRPr="004523AB">
        <w:rPr>
          <w:rFonts w:asciiTheme="majorHAnsi" w:hAnsiTheme="majorHAnsi" w:cstheme="majorHAnsi"/>
          <w:color w:val="00264D" w:themeColor="background2"/>
        </w:rPr>
        <w:t>Improve the work experience of health care providers</w:t>
      </w:r>
    </w:p>
    <w:p w14:paraId="2332FC0E" w14:textId="77777777" w:rsidR="00B11B5C" w:rsidRPr="004523AB" w:rsidRDefault="00B11B5C" w:rsidP="0099313E">
      <w:pPr>
        <w:pStyle w:val="ListBullet"/>
      </w:pPr>
      <w:r w:rsidRPr="004523AB">
        <w:rPr>
          <w:rFonts w:asciiTheme="majorHAnsi" w:hAnsiTheme="majorHAnsi" w:cstheme="majorBidi"/>
        </w:rPr>
        <w:t xml:space="preserve">Skilled workforce, </w:t>
      </w:r>
      <w:r w:rsidRPr="004523AB">
        <w:rPr>
          <w:rFonts w:asciiTheme="minorHAnsi" w:hAnsiTheme="minorHAnsi" w:cstheme="minorHAnsi"/>
        </w:rPr>
        <w:t xml:space="preserve">including to </w:t>
      </w:r>
      <w:r w:rsidRPr="004523AB">
        <w:t xml:space="preserve">support the training and professional development of staff or training as part of their accreditation process, such as First Aid training. </w:t>
      </w:r>
    </w:p>
    <w:p w14:paraId="75FC57BC" w14:textId="199F1E49" w:rsidR="00B11B5C" w:rsidRPr="004523AB" w:rsidRDefault="00B11B5C" w:rsidP="0099313E">
      <w:pPr>
        <w:pStyle w:val="ListBullet"/>
      </w:pPr>
      <w:r w:rsidRPr="004523AB">
        <w:rPr>
          <w:rFonts w:asciiTheme="majorHAnsi" w:hAnsiTheme="majorHAnsi" w:cstheme="majorBidi"/>
        </w:rPr>
        <w:t xml:space="preserve">Improved staff morale </w:t>
      </w:r>
      <w:r w:rsidRPr="004523AB">
        <w:rPr>
          <w:rFonts w:asciiTheme="minorHAnsi" w:hAnsiTheme="minorHAnsi" w:cstheme="minorHAnsi"/>
        </w:rPr>
        <w:t>through</w:t>
      </w:r>
      <w:r w:rsidRPr="004523AB">
        <w:rPr>
          <w:rFonts w:asciiTheme="majorHAnsi" w:hAnsiTheme="majorHAnsi" w:cstheme="majorBidi"/>
        </w:rPr>
        <w:t xml:space="preserve"> </w:t>
      </w:r>
      <w:r w:rsidRPr="004523AB">
        <w:t xml:space="preserve">improvements in day to day working conditions by higher quality technology, up-to date equipment and new nurses’ stations. Or simply in receiving funds as a recognition of the pressure staff have faced over the pandemic. </w:t>
      </w:r>
    </w:p>
    <w:p w14:paraId="6CBEBF68" w14:textId="77777777" w:rsidR="00B11B5C" w:rsidRPr="004523AB" w:rsidRDefault="00B11B5C" w:rsidP="0099313E">
      <w:pPr>
        <w:pStyle w:val="ListBullet"/>
        <w:rPr>
          <w:rFonts w:asciiTheme="majorHAnsi" w:hAnsiTheme="majorHAnsi" w:cstheme="majorHAnsi"/>
        </w:rPr>
      </w:pPr>
      <w:r w:rsidRPr="004523AB">
        <w:rPr>
          <w:rFonts w:asciiTheme="majorHAnsi" w:hAnsiTheme="majorHAnsi" w:cstheme="majorHAnsi"/>
        </w:rPr>
        <w:t xml:space="preserve">Safer working environment for staff, </w:t>
      </w:r>
      <w:r w:rsidRPr="004523AB">
        <w:t xml:space="preserve">such as for those who allocated funding towards infection prevention and control through improved infrastructure, including ventilation or changes to waiting rooms. </w:t>
      </w:r>
    </w:p>
    <w:p w14:paraId="6CC1D936" w14:textId="77777777" w:rsidR="00B11B5C" w:rsidRPr="004523AB" w:rsidRDefault="00B11B5C" w:rsidP="00EE6D91">
      <w:pPr>
        <w:rPr>
          <w:rFonts w:asciiTheme="majorHAnsi" w:hAnsiTheme="majorHAnsi" w:cstheme="majorHAnsi"/>
          <w:b/>
          <w:color w:val="00264D" w:themeColor="background2"/>
        </w:rPr>
      </w:pPr>
      <w:r w:rsidRPr="004523AB">
        <w:rPr>
          <w:rFonts w:ascii="Segoe UI Semibold" w:hAnsi="Segoe UI Semibold" w:cs="Segoe UI Semibold"/>
          <w:color w:val="00264D" w:themeColor="background2"/>
        </w:rPr>
        <w:t xml:space="preserve">Quintuple Aim 5: </w:t>
      </w:r>
      <w:r w:rsidRPr="004523AB">
        <w:rPr>
          <w:rFonts w:asciiTheme="majorHAnsi" w:hAnsiTheme="majorHAnsi" w:cstheme="majorHAnsi"/>
          <w:color w:val="00264D" w:themeColor="background2"/>
        </w:rPr>
        <w:t>Improve health equity</w:t>
      </w:r>
      <w:r w:rsidRPr="004523AB">
        <w:rPr>
          <w:rFonts w:asciiTheme="majorHAnsi" w:hAnsiTheme="majorHAnsi" w:cstheme="majorHAnsi"/>
          <w:b/>
          <w:color w:val="00264D" w:themeColor="background2"/>
        </w:rPr>
        <w:t xml:space="preserve"> </w:t>
      </w:r>
    </w:p>
    <w:p w14:paraId="63B6E420" w14:textId="77777777" w:rsidR="00B11B5C" w:rsidRPr="004523AB" w:rsidRDefault="00B11B5C" w:rsidP="0099313E">
      <w:pPr>
        <w:pStyle w:val="ListBullet"/>
        <w:rPr>
          <w:sz w:val="16"/>
          <w:szCs w:val="16"/>
        </w:rPr>
      </w:pPr>
      <w:r w:rsidRPr="004523AB">
        <w:rPr>
          <w:rFonts w:asciiTheme="majorHAnsi" w:hAnsiTheme="majorHAnsi" w:cstheme="majorHAnsi"/>
        </w:rPr>
        <w:t xml:space="preserve">Equity in access and outcomes across regions, socioeconomic status and patient demographics </w:t>
      </w:r>
      <w:r w:rsidRPr="004523AB">
        <w:t xml:space="preserve">through non-competitive and equitable distribution of funds, compared to competitive grants which tend to be won by practices with higher capacity and capability in grant applications. </w:t>
      </w:r>
    </w:p>
    <w:p w14:paraId="7A5A9509" w14:textId="77777777" w:rsidR="00B11B5C" w:rsidRPr="004523AB" w:rsidRDefault="00B11B5C" w:rsidP="0099313E">
      <w:pPr>
        <w:pStyle w:val="ListBullet"/>
        <w:rPr>
          <w:sz w:val="16"/>
          <w:szCs w:val="16"/>
        </w:rPr>
      </w:pPr>
      <w:r w:rsidRPr="004523AB">
        <w:rPr>
          <w:rFonts w:asciiTheme="majorHAnsi" w:hAnsiTheme="majorHAnsi" w:cstheme="majorHAnsi"/>
        </w:rPr>
        <w:lastRenderedPageBreak/>
        <w:t xml:space="preserve">Increased equity in patient access to services </w:t>
      </w:r>
      <w:r w:rsidRPr="004523AB">
        <w:t xml:space="preserve">through enabling high-quality telehealth services, increasing access to healthcare for rural and remote patients, and increasing the number of available appointments within practices. This was frequently noted in practice interviews and in the ACCHO self-evaluation survey where ACCHOs reported using the grant to support internet and/or cloud connectivity (n=17) and to increase access through telehealth (n=27). </w:t>
      </w:r>
    </w:p>
    <w:p w14:paraId="00146C51" w14:textId="77777777" w:rsidR="00B11B5C" w:rsidRPr="004523AB" w:rsidRDefault="00B11B5C" w:rsidP="00B11B5C">
      <w:pPr>
        <w:pStyle w:val="Heading3"/>
        <w:ind w:left="851" w:hanging="851"/>
      </w:pPr>
      <w:r w:rsidRPr="004523AB">
        <w:t>The Program had direct benefits in individual investment streams</w:t>
      </w:r>
    </w:p>
    <w:p w14:paraId="2A8BFE39" w14:textId="6ABEA31B" w:rsidR="00B11B5C" w:rsidRPr="004523AB" w:rsidRDefault="00B11B5C" w:rsidP="00B11B5C">
      <w:r w:rsidRPr="004523AB">
        <w:t>The direct benefits by investment stream have been captured in Case Study 3 (</w:t>
      </w:r>
      <w:r w:rsidR="00FD5B11" w:rsidRPr="004523AB">
        <w:fldChar w:fldCharType="begin"/>
      </w:r>
      <w:r w:rsidR="00FD5B11" w:rsidRPr="004523AB">
        <w:instrText xml:space="preserve"> REF _Ref184920364 \h </w:instrText>
      </w:r>
      <w:r w:rsidR="004523AB" w:rsidRPr="004523AB">
        <w:instrText xml:space="preserve"> \* MERGEFORMAT </w:instrText>
      </w:r>
      <w:r w:rsidR="00FD5B11" w:rsidRPr="004523AB">
        <w:fldChar w:fldCharType="separate"/>
      </w:r>
      <w:r w:rsidR="00B96E50" w:rsidRPr="004523AB">
        <w:t xml:space="preserve">Figure </w:t>
      </w:r>
      <w:r w:rsidR="00B96E50">
        <w:rPr>
          <w:noProof/>
        </w:rPr>
        <w:t>14</w:t>
      </w:r>
      <w:r w:rsidR="00FD5B11" w:rsidRPr="004523AB">
        <w:fldChar w:fldCharType="end"/>
      </w:r>
      <w:r w:rsidRPr="004523AB">
        <w:t>), Case Study 4 (</w:t>
      </w:r>
      <w:r w:rsidR="00FD5B11" w:rsidRPr="004523AB">
        <w:fldChar w:fldCharType="begin"/>
      </w:r>
      <w:r w:rsidR="00FD5B11" w:rsidRPr="004523AB">
        <w:instrText xml:space="preserve"> REF _Ref184920448 \h </w:instrText>
      </w:r>
      <w:r w:rsidR="004523AB" w:rsidRPr="004523AB">
        <w:instrText xml:space="preserve"> \* MERGEFORMAT </w:instrText>
      </w:r>
      <w:r w:rsidR="00FD5B11" w:rsidRPr="004523AB">
        <w:fldChar w:fldCharType="separate"/>
      </w:r>
      <w:r w:rsidR="00B96E50" w:rsidRPr="004523AB">
        <w:t xml:space="preserve">Figure </w:t>
      </w:r>
      <w:r w:rsidR="00B96E50">
        <w:rPr>
          <w:noProof/>
        </w:rPr>
        <w:t>16</w:t>
      </w:r>
      <w:r w:rsidR="00FD5B11" w:rsidRPr="004523AB">
        <w:fldChar w:fldCharType="end"/>
      </w:r>
      <w:r w:rsidR="00FD5B11" w:rsidRPr="004523AB">
        <w:t>)</w:t>
      </w:r>
      <w:r w:rsidRPr="004523AB">
        <w:t xml:space="preserve"> and Case Study 5 (</w:t>
      </w:r>
      <w:r w:rsidR="00FD5B11" w:rsidRPr="004523AB">
        <w:fldChar w:fldCharType="begin"/>
      </w:r>
      <w:r w:rsidR="00FD5B11" w:rsidRPr="004523AB">
        <w:instrText xml:space="preserve"> REF _Ref184920471 \h </w:instrText>
      </w:r>
      <w:r w:rsidR="004523AB" w:rsidRPr="004523AB">
        <w:instrText xml:space="preserve"> \* MERGEFORMAT </w:instrText>
      </w:r>
      <w:r w:rsidR="00FD5B11" w:rsidRPr="004523AB">
        <w:fldChar w:fldCharType="separate"/>
      </w:r>
      <w:r w:rsidR="00B96E50" w:rsidRPr="004523AB">
        <w:t xml:space="preserve">Figure </w:t>
      </w:r>
      <w:r w:rsidR="00B96E50">
        <w:rPr>
          <w:noProof/>
        </w:rPr>
        <w:t>17</w:t>
      </w:r>
      <w:r w:rsidR="00FD5B11" w:rsidRPr="004523AB">
        <w:fldChar w:fldCharType="end"/>
      </w:r>
      <w:r w:rsidRPr="004523AB">
        <w:t>) overleaf. The considerations from a regional, rural and remote perspective are captured in Case Study 6 (</w:t>
      </w:r>
      <w:r w:rsidR="00FD5B11" w:rsidRPr="004523AB">
        <w:rPr>
          <w:highlight w:val="yellow"/>
        </w:rPr>
        <w:fldChar w:fldCharType="begin"/>
      </w:r>
      <w:r w:rsidR="00FD5B11" w:rsidRPr="004523AB">
        <w:instrText xml:space="preserve"> REF _Ref184920481 \h </w:instrText>
      </w:r>
      <w:r w:rsidR="004523AB" w:rsidRPr="004523AB">
        <w:rPr>
          <w:highlight w:val="yellow"/>
        </w:rPr>
        <w:instrText xml:space="preserve"> \* MERGEFORMAT </w:instrText>
      </w:r>
      <w:r w:rsidR="00FD5B11" w:rsidRPr="004523AB">
        <w:rPr>
          <w:highlight w:val="yellow"/>
        </w:rPr>
      </w:r>
      <w:r w:rsidR="00FD5B11" w:rsidRPr="004523AB">
        <w:rPr>
          <w:highlight w:val="yellow"/>
        </w:rPr>
        <w:fldChar w:fldCharType="separate"/>
      </w:r>
      <w:r w:rsidR="00B96E50" w:rsidRPr="004523AB">
        <w:t xml:space="preserve">Figure </w:t>
      </w:r>
      <w:r w:rsidR="00B96E50">
        <w:rPr>
          <w:noProof/>
        </w:rPr>
        <w:t>18</w:t>
      </w:r>
      <w:r w:rsidR="00FD5B11" w:rsidRPr="004523AB">
        <w:rPr>
          <w:highlight w:val="yellow"/>
        </w:rPr>
        <w:fldChar w:fldCharType="end"/>
      </w:r>
      <w:r w:rsidR="00FD5B11" w:rsidRPr="004523AB">
        <w:t>)</w:t>
      </w:r>
      <w:r w:rsidR="00A81809" w:rsidRPr="004523AB">
        <w:t>.</w:t>
      </w:r>
      <w:r w:rsidRPr="004523AB">
        <w:t xml:space="preserve"> </w:t>
      </w:r>
    </w:p>
    <w:p w14:paraId="37ABEB82" w14:textId="7884666F" w:rsidR="001C0369" w:rsidRPr="004523AB" w:rsidRDefault="001C0369" w:rsidP="001C0369">
      <w:pPr>
        <w:pStyle w:val="Caption"/>
      </w:pPr>
      <w:bookmarkStart w:id="61" w:name="_Ref184920448"/>
      <w:bookmarkStart w:id="62" w:name="_Ref169163163"/>
      <w:r w:rsidRPr="004523AB">
        <w:t xml:space="preserve">Figure </w:t>
      </w:r>
      <w:r w:rsidRPr="004523AB">
        <w:fldChar w:fldCharType="begin"/>
      </w:r>
      <w:r w:rsidRPr="004523AB">
        <w:instrText xml:space="preserve"> SEQ Figure \* ARABIC </w:instrText>
      </w:r>
      <w:r w:rsidRPr="004523AB">
        <w:fldChar w:fldCharType="separate"/>
      </w:r>
      <w:r w:rsidR="00B96E50">
        <w:rPr>
          <w:noProof/>
        </w:rPr>
        <w:t>16</w:t>
      </w:r>
      <w:r w:rsidRPr="004523AB">
        <w:fldChar w:fldCharType="end"/>
      </w:r>
      <w:bookmarkEnd w:id="61"/>
      <w:r w:rsidRPr="004523AB">
        <w:t xml:space="preserve"> | Case study 4 - Digital capability</w:t>
      </w:r>
    </w:p>
    <w:tbl>
      <w:tblPr>
        <w:tblStyle w:val="AccessibleNousTable"/>
        <w:tblW w:w="0" w:type="auto"/>
        <w:tblLook w:val="04A0" w:firstRow="1" w:lastRow="0" w:firstColumn="1" w:lastColumn="0" w:noHBand="0" w:noVBand="1"/>
      </w:tblPr>
      <w:tblGrid>
        <w:gridCol w:w="8920"/>
      </w:tblGrid>
      <w:tr w:rsidR="001C0369" w:rsidRPr="004523AB" w14:paraId="3FDEF14D" w14:textId="77777777" w:rsidTr="0099313E">
        <w:trPr>
          <w:cnfStyle w:val="100000000000" w:firstRow="1" w:lastRow="0" w:firstColumn="0" w:lastColumn="0" w:oddVBand="0" w:evenVBand="0" w:oddHBand="0" w:evenHBand="0" w:firstRowFirstColumn="0" w:firstRowLastColumn="0" w:lastRowFirstColumn="0" w:lastRowLastColumn="0"/>
          <w:tblHeader/>
        </w:trPr>
        <w:tc>
          <w:tcPr>
            <w:tcW w:w="8920" w:type="dxa"/>
          </w:tcPr>
          <w:p w14:paraId="2E01A24D" w14:textId="367B33D5" w:rsidR="001C0369" w:rsidRPr="004523AB" w:rsidRDefault="001C0369">
            <w:pPr>
              <w:rPr>
                <w:rFonts w:asciiTheme="majorHAnsi" w:hAnsiTheme="majorHAnsi" w:cstheme="majorHAnsi"/>
                <w:sz w:val="23"/>
                <w:szCs w:val="23"/>
                <w:lang w:eastAsia="en-AU"/>
              </w:rPr>
            </w:pPr>
            <w:r w:rsidRPr="004523AB">
              <w:rPr>
                <w:rFonts w:asciiTheme="majorHAnsi" w:hAnsiTheme="majorHAnsi" w:cstheme="majorHAnsi"/>
                <w:sz w:val="23"/>
                <w:szCs w:val="23"/>
                <w:lang w:eastAsia="en-AU"/>
              </w:rPr>
              <w:t xml:space="preserve">Case study 4 – </w:t>
            </w:r>
            <w:r w:rsidR="00393ED0">
              <w:rPr>
                <w:rFonts w:asciiTheme="majorHAnsi" w:hAnsiTheme="majorHAnsi" w:cstheme="majorHAnsi"/>
                <w:sz w:val="23"/>
                <w:szCs w:val="23"/>
                <w:lang w:eastAsia="en-AU"/>
              </w:rPr>
              <w:t>Multiple PHNs</w:t>
            </w:r>
          </w:p>
          <w:p w14:paraId="0FBC24DD" w14:textId="77777777" w:rsidR="001C0369" w:rsidRPr="004523AB" w:rsidRDefault="001C0369">
            <w:pPr>
              <w:rPr>
                <w:rFonts w:asciiTheme="majorHAnsi" w:hAnsiTheme="majorHAnsi" w:cstheme="majorHAnsi"/>
                <w:sz w:val="23"/>
                <w:szCs w:val="23"/>
                <w:lang w:eastAsia="en-AU"/>
              </w:rPr>
            </w:pPr>
            <w:r w:rsidRPr="004523AB">
              <w:rPr>
                <w:rFonts w:asciiTheme="majorHAnsi" w:hAnsiTheme="majorHAnsi" w:cstheme="majorHAnsi"/>
                <w:sz w:val="23"/>
                <w:szCs w:val="23"/>
                <w:lang w:eastAsia="en-AU"/>
              </w:rPr>
              <w:t>Digital capability</w:t>
            </w:r>
          </w:p>
        </w:tc>
      </w:tr>
      <w:tr w:rsidR="001C0369" w:rsidRPr="004523AB" w14:paraId="50108013" w14:textId="77777777">
        <w:tc>
          <w:tcPr>
            <w:tcW w:w="8920" w:type="dxa"/>
          </w:tcPr>
          <w:p w14:paraId="66DBE798" w14:textId="77777777" w:rsidR="001C0369" w:rsidRPr="00DF23EE" w:rsidRDefault="001C0369" w:rsidP="00DF23EE">
            <w:pPr>
              <w:pStyle w:val="TableNTextStrong"/>
            </w:pPr>
            <w:r w:rsidRPr="00DF23EE">
              <w:t>Alignment to Strengthening Medicare:</w:t>
            </w:r>
          </w:p>
          <w:p w14:paraId="1D509D25" w14:textId="77777777" w:rsidR="001C0369" w:rsidRPr="00AD0A2E" w:rsidRDefault="001C0369" w:rsidP="00AD0A2E">
            <w:pPr>
              <w:pStyle w:val="TableNText"/>
            </w:pPr>
            <w:r w:rsidRPr="00AD0A2E">
              <w:t>The digital capability stream was considered by peak bodies, PHNs and practices consulted to be strongly aligned to the Strengthening Medicare agenda because it supported an increase in access through telehealth, and uplifts quality and efficiency through systems and data upgrades.</w:t>
            </w:r>
          </w:p>
          <w:p w14:paraId="38A94FA3" w14:textId="77777777" w:rsidR="001C0369" w:rsidRPr="00AD0A2E" w:rsidRDefault="001C0369" w:rsidP="00AD0A2E">
            <w:pPr>
              <w:pStyle w:val="TableNTextStrong"/>
            </w:pPr>
            <w:r w:rsidRPr="00AD0A2E">
              <w:t>Key insights:</w:t>
            </w:r>
          </w:p>
          <w:p w14:paraId="5260E6B9" w14:textId="77777777" w:rsidR="001C0369" w:rsidRPr="00AD0A2E" w:rsidRDefault="001C0369" w:rsidP="00AD0A2E">
            <w:pPr>
              <w:pStyle w:val="TableNText"/>
            </w:pPr>
            <w:r w:rsidRPr="00AD0A2E">
              <w:t>Digital health is a cornerstone of modern health care delivery and is constantly evolving, requiring ongoing investment</w:t>
            </w:r>
          </w:p>
          <w:p w14:paraId="6A801E1F" w14:textId="77777777" w:rsidR="001C0369" w:rsidRPr="004523AB" w:rsidRDefault="001C0369" w:rsidP="00AD0A2E">
            <w:pPr>
              <w:pStyle w:val="TableNText"/>
            </w:pPr>
            <w:r w:rsidRPr="00AD0A2E">
              <w:t>The Program provided many practices with an important opportunity to invest in technological upgrades enabling them to increase their efficiency, capacity and reach</w:t>
            </w:r>
          </w:p>
        </w:tc>
      </w:tr>
      <w:tr w:rsidR="001C0369" w:rsidRPr="004523AB" w14:paraId="64DCAD84" w14:textId="77777777">
        <w:tc>
          <w:tcPr>
            <w:tcW w:w="8920" w:type="dxa"/>
          </w:tcPr>
          <w:p w14:paraId="0BF1A778" w14:textId="77777777" w:rsidR="00AD0A2E" w:rsidRPr="00AD0A2E" w:rsidRDefault="001C0369" w:rsidP="00AD0A2E">
            <w:pPr>
              <w:pStyle w:val="TableNTextStrong"/>
            </w:pPr>
            <w:r w:rsidRPr="00AD0A2E">
              <w:t>What stakeholders reported:</w:t>
            </w:r>
          </w:p>
          <w:p w14:paraId="240E3990" w14:textId="6EA00521" w:rsidR="001C0369" w:rsidRPr="00AD0A2E" w:rsidRDefault="001C0369" w:rsidP="00AD0A2E">
            <w:pPr>
              <w:pStyle w:val="TableNTextStrong"/>
            </w:pPr>
            <w:r w:rsidRPr="00AD0A2E">
              <w:t>Strengths and opportunities:</w:t>
            </w:r>
          </w:p>
          <w:p w14:paraId="50C308ED" w14:textId="77777777" w:rsidR="00142411" w:rsidRPr="004523AB" w:rsidRDefault="0022723F" w:rsidP="001C0369">
            <w:pPr>
              <w:pStyle w:val="TableNBullet"/>
            </w:pPr>
            <w:r w:rsidRPr="004523AB">
              <w:t>Block sum funding was well suited for digital capability uplift, financing large infrastructure upgrades.</w:t>
            </w:r>
          </w:p>
          <w:p w14:paraId="653A4E1A" w14:textId="77777777" w:rsidR="00142411" w:rsidRPr="004523AB" w:rsidRDefault="0022723F" w:rsidP="001C0369">
            <w:pPr>
              <w:pStyle w:val="TableNBullet"/>
            </w:pPr>
            <w:r w:rsidRPr="004523AB">
              <w:t>Significant efficiency and effectiveness gains came from using this stream well, from computers working faster, to investment in data management systems improving efficiency and quality of care and patient satisfaction.</w:t>
            </w:r>
          </w:p>
          <w:p w14:paraId="08D32BC4" w14:textId="77777777" w:rsidR="00142411" w:rsidRPr="004523AB" w:rsidRDefault="0022723F" w:rsidP="001C0369">
            <w:pPr>
              <w:pStyle w:val="TableNBullet"/>
            </w:pPr>
            <w:r w:rsidRPr="004523AB">
              <w:t>Capacity to include training for using systems was considered a strength of the Program.</w:t>
            </w:r>
          </w:p>
          <w:p w14:paraId="2842BC65" w14:textId="77777777" w:rsidR="001C0369" w:rsidRPr="004523AB" w:rsidRDefault="0022723F" w:rsidP="00DF23EE">
            <w:pPr>
              <w:pStyle w:val="TableNText"/>
            </w:pPr>
            <w:r w:rsidRPr="004523AB">
              <w:t>Increased the reach and access of practices, especially for ACCHOs and regional and remote practices, who can offer more telehealth services and remote access for practices.</w:t>
            </w:r>
          </w:p>
          <w:p w14:paraId="23423F64" w14:textId="77777777" w:rsidR="001C0369" w:rsidRPr="00AD0A2E" w:rsidRDefault="001C0369" w:rsidP="00AD0A2E">
            <w:pPr>
              <w:pStyle w:val="TableNTextStrong"/>
            </w:pPr>
            <w:r w:rsidRPr="00AD0A2E">
              <w:t>Challenges and limitations:</w:t>
            </w:r>
          </w:p>
          <w:p w14:paraId="3F86AADB" w14:textId="77777777" w:rsidR="00142411" w:rsidRPr="004523AB" w:rsidRDefault="0022723F" w:rsidP="001C0369">
            <w:pPr>
              <w:pStyle w:val="TableNBullet"/>
            </w:pPr>
            <w:r w:rsidRPr="004523AB">
              <w:lastRenderedPageBreak/>
              <w:t>One-off funding was less appropriate for ongoing subscriptions to important services - this meant some practices could only do trials or may be unable to continue services when their subscription runs out, so benefits may be temporary.</w:t>
            </w:r>
          </w:p>
          <w:p w14:paraId="2C5570FF" w14:textId="77777777" w:rsidR="001C0369" w:rsidRPr="004523AB" w:rsidRDefault="0022723F" w:rsidP="001C0369">
            <w:pPr>
              <w:pStyle w:val="TableNBullet"/>
            </w:pPr>
            <w:r w:rsidRPr="004523AB">
              <w:t>Digital support is critically important in rural and remote areas but grant funding were not sufficient to overcome the lack of baseline digital infrastructure (i.e. connectivity).</w:t>
            </w:r>
          </w:p>
        </w:tc>
      </w:tr>
      <w:tr w:rsidR="001C0369" w:rsidRPr="004523AB" w14:paraId="02B11854" w14:textId="77777777">
        <w:tc>
          <w:tcPr>
            <w:tcW w:w="8920" w:type="dxa"/>
            <w:shd w:val="clear" w:color="auto" w:fill="00264D" w:themeFill="background2"/>
          </w:tcPr>
          <w:p w14:paraId="00F99AB7" w14:textId="04410105" w:rsidR="001C0369" w:rsidRPr="00AD0A2E" w:rsidRDefault="00393ED0" w:rsidP="00AD0A2E">
            <w:pPr>
              <w:pStyle w:val="TableNheader"/>
            </w:pPr>
            <w:r w:rsidRPr="00AD0A2E">
              <w:lastRenderedPageBreak/>
              <w:t>Examples</w:t>
            </w:r>
            <w:r w:rsidR="001C0369" w:rsidRPr="00AD0A2E">
              <w:t xml:space="preserve"> | Practices used the funding in this investment stream for… </w:t>
            </w:r>
          </w:p>
        </w:tc>
      </w:tr>
      <w:tr w:rsidR="001C0369" w:rsidRPr="004523AB" w14:paraId="5B0D8FEA" w14:textId="77777777">
        <w:tc>
          <w:tcPr>
            <w:tcW w:w="8920" w:type="dxa"/>
            <w:shd w:val="clear" w:color="auto" w:fill="FFFFFF" w:themeFill="background1"/>
          </w:tcPr>
          <w:p w14:paraId="5EFF0AAF" w14:textId="025AB8D8" w:rsidR="001C0369" w:rsidRPr="00D6643E" w:rsidRDefault="00393ED0" w:rsidP="00D6643E">
            <w:pPr>
              <w:pStyle w:val="TableNText"/>
            </w:pPr>
            <w:r w:rsidRPr="00D6643E">
              <w:rPr>
                <w:rStyle w:val="TableNTextStrongChar"/>
              </w:rPr>
              <w:t>Hardware upgrades</w:t>
            </w:r>
            <w:r w:rsidR="001C0369" w:rsidRPr="00D6643E">
              <w:t xml:space="preserve">: </w:t>
            </w:r>
            <w:proofErr w:type="gramStart"/>
            <w:r w:rsidR="001C0369" w:rsidRPr="00D6643E">
              <w:t>New</w:t>
            </w:r>
            <w:proofErr w:type="gramEnd"/>
            <w:r w:rsidR="001C0369" w:rsidRPr="00D6643E">
              <w:t xml:space="preserve"> servers computers, printers and scanners enabled improvements in efficiency from faster working computers and machinery, and an increase in staff morale from less time spent being frustrated with slow equipment computers.</w:t>
            </w:r>
          </w:p>
          <w:p w14:paraId="7949BB71" w14:textId="3FD69F57" w:rsidR="001C0369" w:rsidRPr="00D6643E" w:rsidRDefault="00393ED0" w:rsidP="00D6643E">
            <w:pPr>
              <w:pStyle w:val="TableNText"/>
            </w:pPr>
            <w:r w:rsidRPr="00D6643E">
              <w:rPr>
                <w:rStyle w:val="TableNTextStrongChar"/>
              </w:rPr>
              <w:t>Internet and cloud connectivity</w:t>
            </w:r>
            <w:r w:rsidR="001C0369" w:rsidRPr="00D6643E">
              <w:t>: Significant number of practices (n=2240) and ACCHOs (n=17) used the grant for internet and cloud connectivity, which increased their productivity and capacity to provide high quality and accessible care.</w:t>
            </w:r>
          </w:p>
          <w:p w14:paraId="1CA8C3CE" w14:textId="7C3D5631" w:rsidR="001C0369" w:rsidRPr="00D6643E" w:rsidRDefault="00393ED0" w:rsidP="00D6643E">
            <w:pPr>
              <w:pStyle w:val="TableNText"/>
            </w:pPr>
            <w:r w:rsidRPr="00D6643E">
              <w:rPr>
                <w:rStyle w:val="TableNTextStrongChar"/>
              </w:rPr>
              <w:t>Training</w:t>
            </w:r>
            <w:r w:rsidR="001C0369" w:rsidRPr="00D6643E">
              <w:t>: Practices that used training most effectively in this stream combined it with their new software purchase/upgrade so that staff were able to maximise the benefit they got from the system.</w:t>
            </w:r>
          </w:p>
          <w:p w14:paraId="116C8317" w14:textId="0974991D" w:rsidR="001C0369" w:rsidRPr="00D6643E" w:rsidRDefault="00393ED0" w:rsidP="00D6643E">
            <w:pPr>
              <w:pStyle w:val="TableNText"/>
            </w:pPr>
            <w:r w:rsidRPr="00D6643E">
              <w:rPr>
                <w:rStyle w:val="TableNTextStrongChar"/>
              </w:rPr>
              <w:t>Software investment or upgrades</w:t>
            </w:r>
            <w:r w:rsidR="001C0369" w:rsidRPr="00D6643E">
              <w:t>: System upgrades that improved processes for their staff, helping them to organise and store information reliably and more easily accessed when needed. Some practices and ACCHOs used new software to better capture and analyse data.</w:t>
            </w:r>
          </w:p>
          <w:p w14:paraId="0AEDC740" w14:textId="1EFB139C" w:rsidR="001C0369" w:rsidRPr="00D6643E" w:rsidRDefault="00393ED0" w:rsidP="00D6643E">
            <w:pPr>
              <w:pStyle w:val="TableNText"/>
            </w:pPr>
            <w:r w:rsidRPr="00D6643E">
              <w:rPr>
                <w:rStyle w:val="TableNTextStrongChar"/>
              </w:rPr>
              <w:t>Cyber security</w:t>
            </w:r>
            <w:r w:rsidR="001C0369" w:rsidRPr="00D6643E">
              <w:t xml:space="preserve">: Several practices improved their digital security systems and clinical software to enhance protection of patient information. This included software for practices to securely send patient data to specialists and cyber security training for staff. </w:t>
            </w:r>
          </w:p>
          <w:p w14:paraId="5F019713" w14:textId="33FA7CAE" w:rsidR="001C0369" w:rsidRPr="004523AB" w:rsidRDefault="00393ED0" w:rsidP="00D6643E">
            <w:pPr>
              <w:pStyle w:val="TableNText"/>
              <w:rPr>
                <w:b/>
                <w:bCs/>
              </w:rPr>
            </w:pPr>
            <w:r w:rsidRPr="00D6643E">
              <w:rPr>
                <w:rStyle w:val="TableNTextStrongChar"/>
              </w:rPr>
              <w:t>Telehealth services</w:t>
            </w:r>
            <w:r w:rsidR="001C0369" w:rsidRPr="00D6643E">
              <w:t xml:space="preserve">: Many practices bought equipment such as new monitors, video cameras, phones, headsets and other equipment to support their telehealth services. Others used funding to increase their connectivity through broadband improvements.  </w:t>
            </w:r>
          </w:p>
        </w:tc>
      </w:tr>
    </w:tbl>
    <w:p w14:paraId="2F334B06" w14:textId="18C23097" w:rsidR="001C0369" w:rsidRPr="004523AB" w:rsidRDefault="001C0369" w:rsidP="001C0369">
      <w:pPr>
        <w:pStyle w:val="Caption"/>
      </w:pPr>
      <w:bookmarkStart w:id="63" w:name="_Ref184920471"/>
      <w:r w:rsidRPr="004523AB">
        <w:t xml:space="preserve">Figure </w:t>
      </w:r>
      <w:r w:rsidRPr="004523AB">
        <w:fldChar w:fldCharType="begin"/>
      </w:r>
      <w:r w:rsidRPr="004523AB">
        <w:instrText xml:space="preserve"> SEQ Figure \* ARABIC </w:instrText>
      </w:r>
      <w:r w:rsidRPr="004523AB">
        <w:fldChar w:fldCharType="separate"/>
      </w:r>
      <w:r w:rsidR="00B96E50">
        <w:rPr>
          <w:noProof/>
        </w:rPr>
        <w:t>17</w:t>
      </w:r>
      <w:r w:rsidRPr="004523AB">
        <w:fldChar w:fldCharType="end"/>
      </w:r>
      <w:bookmarkEnd w:id="63"/>
      <w:r w:rsidRPr="004523AB">
        <w:t xml:space="preserve"> | Case study 5 - Infection prevention and control</w:t>
      </w:r>
    </w:p>
    <w:tbl>
      <w:tblPr>
        <w:tblStyle w:val="AccessibleNousTable"/>
        <w:tblW w:w="0" w:type="auto"/>
        <w:tblLook w:val="04A0" w:firstRow="1" w:lastRow="0" w:firstColumn="1" w:lastColumn="0" w:noHBand="0" w:noVBand="1"/>
      </w:tblPr>
      <w:tblGrid>
        <w:gridCol w:w="8920"/>
      </w:tblGrid>
      <w:tr w:rsidR="001C0369" w:rsidRPr="004523AB" w14:paraId="1164DE85" w14:textId="77777777" w:rsidTr="0099313E">
        <w:trPr>
          <w:cnfStyle w:val="100000000000" w:firstRow="1" w:lastRow="0" w:firstColumn="0" w:lastColumn="0" w:oddVBand="0" w:evenVBand="0" w:oddHBand="0" w:evenHBand="0" w:firstRowFirstColumn="0" w:firstRowLastColumn="0" w:lastRowFirstColumn="0" w:lastRowLastColumn="0"/>
          <w:tblHeader/>
        </w:trPr>
        <w:tc>
          <w:tcPr>
            <w:tcW w:w="8920" w:type="dxa"/>
          </w:tcPr>
          <w:p w14:paraId="49DA1BE2" w14:textId="3141E878" w:rsidR="001C0369" w:rsidRPr="004523AB" w:rsidRDefault="001C0369">
            <w:pPr>
              <w:rPr>
                <w:rFonts w:asciiTheme="majorHAnsi" w:hAnsiTheme="majorHAnsi" w:cstheme="majorHAnsi"/>
                <w:sz w:val="23"/>
                <w:szCs w:val="23"/>
                <w:lang w:eastAsia="en-AU"/>
              </w:rPr>
            </w:pPr>
            <w:r w:rsidRPr="004523AB">
              <w:rPr>
                <w:rFonts w:asciiTheme="majorHAnsi" w:hAnsiTheme="majorHAnsi" w:cstheme="majorHAnsi"/>
                <w:sz w:val="23"/>
                <w:szCs w:val="23"/>
                <w:lang w:eastAsia="en-AU"/>
              </w:rPr>
              <w:t xml:space="preserve">Case study 5 – </w:t>
            </w:r>
            <w:r w:rsidR="00393ED0">
              <w:rPr>
                <w:rFonts w:asciiTheme="majorHAnsi" w:hAnsiTheme="majorHAnsi" w:cstheme="majorHAnsi"/>
                <w:sz w:val="23"/>
                <w:szCs w:val="23"/>
                <w:lang w:eastAsia="en-AU"/>
              </w:rPr>
              <w:t>Multiple PHNs</w:t>
            </w:r>
            <w:r w:rsidRPr="004523AB">
              <w:rPr>
                <w:rFonts w:asciiTheme="majorHAnsi" w:hAnsiTheme="majorHAnsi" w:cstheme="majorHAnsi"/>
                <w:sz w:val="23"/>
                <w:szCs w:val="23"/>
                <w:lang w:eastAsia="en-AU"/>
              </w:rPr>
              <w:t xml:space="preserve"> </w:t>
            </w:r>
          </w:p>
          <w:p w14:paraId="4F6C8631" w14:textId="77777777" w:rsidR="001C0369" w:rsidRPr="004523AB" w:rsidRDefault="001C0369">
            <w:pPr>
              <w:rPr>
                <w:rFonts w:asciiTheme="majorHAnsi" w:hAnsiTheme="majorHAnsi" w:cstheme="majorHAnsi"/>
                <w:sz w:val="23"/>
                <w:szCs w:val="23"/>
                <w:lang w:eastAsia="en-AU"/>
              </w:rPr>
            </w:pPr>
            <w:r w:rsidRPr="004523AB">
              <w:rPr>
                <w:rFonts w:asciiTheme="majorHAnsi" w:hAnsiTheme="majorHAnsi" w:cstheme="majorHAnsi"/>
                <w:sz w:val="23"/>
                <w:szCs w:val="23"/>
                <w:lang w:eastAsia="en-AU"/>
              </w:rPr>
              <w:t>Infection prevention and control</w:t>
            </w:r>
          </w:p>
        </w:tc>
      </w:tr>
      <w:tr w:rsidR="001C0369" w:rsidRPr="004523AB" w14:paraId="1BB13435" w14:textId="77777777">
        <w:tc>
          <w:tcPr>
            <w:tcW w:w="8920" w:type="dxa"/>
          </w:tcPr>
          <w:p w14:paraId="65B94A30" w14:textId="77777777" w:rsidR="001C0369" w:rsidRPr="00D6643E" w:rsidRDefault="001C0369" w:rsidP="00D6643E">
            <w:pPr>
              <w:pStyle w:val="TableNTextStrong"/>
            </w:pPr>
            <w:r w:rsidRPr="00D6643E">
              <w:t xml:space="preserve">Key Insights </w:t>
            </w:r>
          </w:p>
          <w:p w14:paraId="10600448" w14:textId="77777777" w:rsidR="001C0369" w:rsidRPr="004523AB" w:rsidRDefault="001C0369" w:rsidP="00D6643E">
            <w:pPr>
              <w:pStyle w:val="TableNText"/>
            </w:pPr>
            <w:r w:rsidRPr="004523AB">
              <w:t xml:space="preserve">There was a broad spectrum of opinions as to whether this stream was appropriate or well targeted to meeting the needs of general practices, and most expenditure items that fell within it could also be categorised under accreditation. Many PHNs, practices and ACCHOs felt that this was an area most practices/ACCHOs had already invested in sufficiently over COVID, however many practices did spend at least some of their funding on this investment </w:t>
            </w:r>
            <w:r w:rsidRPr="004523AB">
              <w:lastRenderedPageBreak/>
              <w:t>stream. While some ACCHOs did spend in this stream it was a much lower proportion, and NACCHO flagged that other funding streams had been available during covid that largely addressed these needs.</w:t>
            </w:r>
          </w:p>
          <w:p w14:paraId="4E9106C3" w14:textId="77777777" w:rsidR="001C0369" w:rsidRPr="00D6643E" w:rsidRDefault="001C0369" w:rsidP="00D6643E">
            <w:pPr>
              <w:pStyle w:val="TableNTextStrong"/>
            </w:pPr>
            <w:r w:rsidRPr="00D6643E">
              <w:t xml:space="preserve">Alignment to Strengthening Medicare </w:t>
            </w:r>
          </w:p>
          <w:p w14:paraId="2CBD410E" w14:textId="77777777" w:rsidR="001C0369" w:rsidRPr="00DF23EE" w:rsidRDefault="001C0369" w:rsidP="00DF23EE">
            <w:r w:rsidRPr="00DF23EE">
              <w:t xml:space="preserve">Consultation with PHNs and peak bodies indicated this stream may have less strategic alignment with the broader aims of Strengthening Medicare. </w:t>
            </w:r>
            <w:proofErr w:type="gramStart"/>
            <w:r w:rsidRPr="00DF23EE">
              <w:t>With the exception of</w:t>
            </w:r>
            <w:proofErr w:type="gramEnd"/>
            <w:r w:rsidRPr="00DF23EE">
              <w:t xml:space="preserve"> practices who set up separate treatment rooms, spending under this stream did not largely contribute to increased access to primary care or large quality improvements which fall outside of usual quality care delivery or business as usual (BAU).</w:t>
            </w:r>
          </w:p>
          <w:p w14:paraId="7375843C" w14:textId="77777777" w:rsidR="001C0369" w:rsidRPr="004523AB" w:rsidRDefault="001C0369" w:rsidP="00D6643E">
            <w:pPr>
              <w:pStyle w:val="TableNTextStrong"/>
            </w:pPr>
            <w:r w:rsidRPr="004523AB">
              <w:t>Stakeholders reported the strengths and opportunities as:</w:t>
            </w:r>
          </w:p>
          <w:p w14:paraId="7E5EDCF1" w14:textId="77777777" w:rsidR="001C0369" w:rsidRPr="004523AB" w:rsidRDefault="001C0369" w:rsidP="001C0369">
            <w:pPr>
              <w:pStyle w:val="TableNBullet"/>
            </w:pPr>
            <w:r w:rsidRPr="004523AB">
              <w:t xml:space="preserve">When used well, spending in this stream greatly increased practices’ capacity to see patients, as often they built or set up separate treatment rooms which enabled them to see more patients at once. </w:t>
            </w:r>
          </w:p>
          <w:p w14:paraId="184F002A" w14:textId="77777777" w:rsidR="001C0369" w:rsidRPr="004523AB" w:rsidRDefault="001C0369" w:rsidP="001C0369">
            <w:pPr>
              <w:pStyle w:val="TableNBullet"/>
            </w:pPr>
            <w:r w:rsidRPr="004523AB">
              <w:t>Some practices/ACCHOs used this stream to fund infection control purchases they required under BAU including personal protective equipment (PPE) and disinfectant.</w:t>
            </w:r>
          </w:p>
          <w:p w14:paraId="29C6136A" w14:textId="77777777" w:rsidR="001C0369" w:rsidRPr="004523AB" w:rsidRDefault="001C0369" w:rsidP="001C0369">
            <w:pPr>
              <w:pStyle w:val="TableNBullet"/>
            </w:pPr>
            <w:r w:rsidRPr="004523AB">
              <w:t xml:space="preserve">Good opportunity to replace critical equipment as required. </w:t>
            </w:r>
          </w:p>
          <w:p w14:paraId="2EE3A047" w14:textId="77777777" w:rsidR="001C0369" w:rsidRPr="004523AB" w:rsidRDefault="001C0369" w:rsidP="00D6643E">
            <w:pPr>
              <w:pStyle w:val="TableNTextStrong"/>
            </w:pPr>
            <w:r w:rsidRPr="004523AB">
              <w:t xml:space="preserve">Stakeholders reported the challenges and limitations as: </w:t>
            </w:r>
          </w:p>
          <w:p w14:paraId="6D88844E" w14:textId="77777777" w:rsidR="001C0369" w:rsidRPr="004523AB" w:rsidRDefault="001C0369" w:rsidP="001C0369">
            <w:pPr>
              <w:pStyle w:val="TableNBullet"/>
            </w:pPr>
            <w:r w:rsidRPr="004523AB">
              <w:t>Many practices, PHN representatives and ACCHOs felt the critical issues in this stream had already been addressed during the COVID-19 pandemic.</w:t>
            </w:r>
          </w:p>
          <w:p w14:paraId="29488D3D" w14:textId="77777777" w:rsidR="001C0369" w:rsidRPr="004523AB" w:rsidRDefault="001C0369" w:rsidP="001C0369">
            <w:pPr>
              <w:pStyle w:val="TableNBullet"/>
            </w:pPr>
            <w:r w:rsidRPr="004523AB">
              <w:t>Most purchases under this stream could also be allocated into the accreditation stream and this caused minor confusion for some practices in how to classify their spending.</w:t>
            </w:r>
          </w:p>
          <w:p w14:paraId="5F5F1C06" w14:textId="77777777" w:rsidR="001C0369" w:rsidRPr="004523AB" w:rsidRDefault="001C0369" w:rsidP="00D6643E">
            <w:pPr>
              <w:pStyle w:val="TableNTextStrong"/>
            </w:pPr>
            <w:r w:rsidRPr="004523AB">
              <w:t xml:space="preserve">Examples of how practices used the funding in this investment stream include: </w:t>
            </w:r>
          </w:p>
          <w:p w14:paraId="5EC2FB3A" w14:textId="77777777" w:rsidR="001C0369" w:rsidRPr="004523AB" w:rsidRDefault="001C0369" w:rsidP="001C0369">
            <w:pPr>
              <w:pStyle w:val="TableNBullet"/>
            </w:pPr>
            <w:r w:rsidRPr="004523AB">
              <w:t>Minor renovations. This includes walls, carpets, chairs, and building new entrances or waiting rooms.</w:t>
            </w:r>
          </w:p>
          <w:p w14:paraId="792CD33B" w14:textId="77777777" w:rsidR="001C0369" w:rsidRPr="004523AB" w:rsidRDefault="001C0369" w:rsidP="001C0369">
            <w:pPr>
              <w:pStyle w:val="TableNBullet"/>
            </w:pPr>
            <w:r w:rsidRPr="004523AB">
              <w:t>Sterilisation equipment. This includes washers/disinfectors, isolation rooms and cleaning products.</w:t>
            </w:r>
          </w:p>
          <w:p w14:paraId="47B0859B" w14:textId="77777777" w:rsidR="001C0369" w:rsidRPr="004523AB" w:rsidRDefault="001C0369" w:rsidP="001C0369">
            <w:pPr>
              <w:pStyle w:val="TableNBullet"/>
            </w:pPr>
            <w:r w:rsidRPr="004523AB">
              <w:t>Separate treatment rooms. Additional treatment rooms isolated from the rest of the practice were a common use of this stream. This included separate entrances and waiting areas to reduce the likelihood of spreading infectious diseases.</w:t>
            </w:r>
          </w:p>
          <w:p w14:paraId="5A0258DC" w14:textId="77777777" w:rsidR="001C0369" w:rsidRPr="004523AB" w:rsidRDefault="001C0369" w:rsidP="001C0369">
            <w:pPr>
              <w:pStyle w:val="TableNBullet"/>
            </w:pPr>
            <w:r w:rsidRPr="004523AB">
              <w:t>Air conditioning and air filtration. Many practices, PHN representatives and ACCHOs felt the critical issues in this stream had already been addressed during the COVID-19 pandemic.</w:t>
            </w:r>
          </w:p>
          <w:p w14:paraId="2717C9B0" w14:textId="77777777" w:rsidR="001C0369" w:rsidRPr="004523AB" w:rsidRDefault="001C0369" w:rsidP="001C0369">
            <w:pPr>
              <w:pStyle w:val="TableNBullet"/>
            </w:pPr>
            <w:r w:rsidRPr="004523AB">
              <w:t>Most purchases under this stream could also be allocated into the accreditation stream and this caused minor confusion for some practices in how to classify their spending.</w:t>
            </w:r>
          </w:p>
          <w:p w14:paraId="56A12FA4" w14:textId="77777777" w:rsidR="001C0369" w:rsidRPr="004523AB" w:rsidRDefault="001C0369" w:rsidP="001C0369">
            <w:pPr>
              <w:pStyle w:val="TableNBullet"/>
            </w:pPr>
            <w:r w:rsidRPr="004523AB">
              <w:t>PPE. Some practices did use this stream to purchase additional PPE for example bulk orders of masks, or cleaning materials and equipment.</w:t>
            </w:r>
          </w:p>
          <w:p w14:paraId="00AD8418" w14:textId="77777777" w:rsidR="001C0369" w:rsidRPr="004523AB" w:rsidRDefault="001C0369" w:rsidP="001C0369">
            <w:pPr>
              <w:pStyle w:val="TableNBullet"/>
            </w:pPr>
            <w:r w:rsidRPr="004523AB">
              <w:t xml:space="preserve">Peak body recommendation: staff training in infection control. Many practices, PHN representatives and ACCHOs felt the critical issues in this stream had already been addressed during the COVID-19 pandemic. Most purchases under this stream could also be </w:t>
            </w:r>
            <w:r w:rsidRPr="004523AB">
              <w:lastRenderedPageBreak/>
              <w:t>allocated into the accreditation stream and this caused minor confusion for some practices in how to classify their spending.</w:t>
            </w:r>
          </w:p>
        </w:tc>
      </w:tr>
    </w:tbl>
    <w:p w14:paraId="6268C903" w14:textId="796928D8" w:rsidR="001C0369" w:rsidRPr="004523AB" w:rsidRDefault="001C0369" w:rsidP="001C0369">
      <w:pPr>
        <w:pStyle w:val="Caption"/>
      </w:pPr>
      <w:bookmarkStart w:id="64" w:name="_Ref184920481"/>
      <w:r w:rsidRPr="004523AB">
        <w:lastRenderedPageBreak/>
        <w:t xml:space="preserve">Figure </w:t>
      </w:r>
      <w:r w:rsidRPr="004523AB">
        <w:fldChar w:fldCharType="begin"/>
      </w:r>
      <w:r w:rsidRPr="004523AB">
        <w:instrText xml:space="preserve"> SEQ Figure \* ARABIC </w:instrText>
      </w:r>
      <w:r w:rsidRPr="004523AB">
        <w:fldChar w:fldCharType="separate"/>
      </w:r>
      <w:r w:rsidR="00B96E50">
        <w:rPr>
          <w:noProof/>
        </w:rPr>
        <w:t>18</w:t>
      </w:r>
      <w:r w:rsidRPr="004523AB">
        <w:fldChar w:fldCharType="end"/>
      </w:r>
      <w:bookmarkEnd w:id="64"/>
      <w:r w:rsidRPr="004523AB">
        <w:t xml:space="preserve"> | Case study 6 - Accreditation</w:t>
      </w:r>
    </w:p>
    <w:tbl>
      <w:tblPr>
        <w:tblStyle w:val="AccessibleNousTable"/>
        <w:tblW w:w="0" w:type="auto"/>
        <w:tblLook w:val="04A0" w:firstRow="1" w:lastRow="0" w:firstColumn="1" w:lastColumn="0" w:noHBand="0" w:noVBand="1"/>
      </w:tblPr>
      <w:tblGrid>
        <w:gridCol w:w="8920"/>
      </w:tblGrid>
      <w:tr w:rsidR="001C0369" w:rsidRPr="004523AB" w14:paraId="56D40880" w14:textId="77777777" w:rsidTr="0099313E">
        <w:trPr>
          <w:cnfStyle w:val="100000000000" w:firstRow="1" w:lastRow="0" w:firstColumn="0" w:lastColumn="0" w:oddVBand="0" w:evenVBand="0" w:oddHBand="0" w:evenHBand="0" w:firstRowFirstColumn="0" w:firstRowLastColumn="0" w:lastRowFirstColumn="0" w:lastRowLastColumn="0"/>
          <w:tblHeader/>
        </w:trPr>
        <w:tc>
          <w:tcPr>
            <w:tcW w:w="8920" w:type="dxa"/>
          </w:tcPr>
          <w:p w14:paraId="63B0BB20" w14:textId="2E428269" w:rsidR="001C0369" w:rsidRPr="004523AB" w:rsidRDefault="001C0369">
            <w:pPr>
              <w:rPr>
                <w:rFonts w:asciiTheme="majorHAnsi" w:hAnsiTheme="majorHAnsi" w:cstheme="majorHAnsi"/>
                <w:sz w:val="23"/>
                <w:szCs w:val="23"/>
                <w:lang w:eastAsia="en-AU"/>
              </w:rPr>
            </w:pPr>
            <w:r w:rsidRPr="004523AB">
              <w:rPr>
                <w:rFonts w:asciiTheme="majorHAnsi" w:hAnsiTheme="majorHAnsi" w:cstheme="majorHAnsi"/>
                <w:sz w:val="23"/>
                <w:szCs w:val="23"/>
                <w:lang w:eastAsia="en-AU"/>
              </w:rPr>
              <w:t xml:space="preserve">Case study 6 – </w:t>
            </w:r>
            <w:r w:rsidR="00393ED0">
              <w:rPr>
                <w:rFonts w:asciiTheme="majorHAnsi" w:hAnsiTheme="majorHAnsi" w:cstheme="majorHAnsi"/>
                <w:sz w:val="23"/>
                <w:szCs w:val="23"/>
                <w:lang w:eastAsia="en-AU"/>
              </w:rPr>
              <w:t>Multiple PHNs</w:t>
            </w:r>
            <w:r w:rsidRPr="004523AB">
              <w:rPr>
                <w:rFonts w:asciiTheme="majorHAnsi" w:hAnsiTheme="majorHAnsi" w:cstheme="majorHAnsi"/>
                <w:sz w:val="23"/>
                <w:szCs w:val="23"/>
                <w:lang w:eastAsia="en-AU"/>
              </w:rPr>
              <w:t xml:space="preserve"> </w:t>
            </w:r>
          </w:p>
          <w:p w14:paraId="0E07A866" w14:textId="77777777" w:rsidR="001C0369" w:rsidRPr="004523AB" w:rsidRDefault="001C0369">
            <w:pPr>
              <w:rPr>
                <w:rFonts w:asciiTheme="majorHAnsi" w:hAnsiTheme="majorHAnsi" w:cstheme="majorHAnsi"/>
                <w:sz w:val="23"/>
                <w:szCs w:val="23"/>
                <w:lang w:eastAsia="en-AU"/>
              </w:rPr>
            </w:pPr>
            <w:r w:rsidRPr="004523AB">
              <w:rPr>
                <w:rFonts w:asciiTheme="majorHAnsi" w:hAnsiTheme="majorHAnsi" w:cstheme="majorHAnsi"/>
                <w:sz w:val="23"/>
                <w:szCs w:val="23"/>
                <w:lang w:eastAsia="en-AU"/>
              </w:rPr>
              <w:t>Accreditation</w:t>
            </w:r>
          </w:p>
        </w:tc>
      </w:tr>
      <w:tr w:rsidR="001C0369" w:rsidRPr="004523AB" w14:paraId="12AC076D" w14:textId="77777777">
        <w:tc>
          <w:tcPr>
            <w:tcW w:w="8920" w:type="dxa"/>
          </w:tcPr>
          <w:p w14:paraId="1F57003A" w14:textId="77777777" w:rsidR="001C0369" w:rsidRPr="004523AB" w:rsidRDefault="001C0369" w:rsidP="00D6643E">
            <w:pPr>
              <w:pStyle w:val="TableNTextStrong"/>
            </w:pPr>
            <w:r w:rsidRPr="004523AB">
              <w:t>Key Insights:</w:t>
            </w:r>
          </w:p>
          <w:p w14:paraId="67B06FDC" w14:textId="77777777" w:rsidR="001C0369" w:rsidRPr="004523AB" w:rsidRDefault="001C0369" w:rsidP="00D6643E">
            <w:pPr>
              <w:pStyle w:val="TableNText"/>
            </w:pPr>
            <w:r w:rsidRPr="004523AB">
              <w:t xml:space="preserve">Views on the usefulness/appropriateness of this stream varied based on where practices were in their accreditation cycle, while accreditation standards should be always adhered to, some practices who were not coming up for reaccreditation had limited use for this investment stream. Most practices (n=3188, 80% of survey </w:t>
            </w:r>
            <w:proofErr w:type="gramStart"/>
            <w:r w:rsidRPr="004523AB">
              <w:t>respondents)  used</w:t>
            </w:r>
            <w:proofErr w:type="gramEnd"/>
            <w:r w:rsidRPr="004523AB">
              <w:t xml:space="preserve"> this stream to support reaccreditation rather than gaining accreditation for the first time, reflecting the fact that the vast majority of practices are already accredited.</w:t>
            </w:r>
          </w:p>
          <w:p w14:paraId="76C02D00" w14:textId="77777777" w:rsidR="001C0369" w:rsidRPr="004523AB" w:rsidRDefault="001C0369" w:rsidP="00D6643E">
            <w:pPr>
              <w:pStyle w:val="TableNTextStrong"/>
            </w:pPr>
            <w:r w:rsidRPr="004523AB">
              <w:t>Alignment to Strengthening Medicare:</w:t>
            </w:r>
          </w:p>
          <w:p w14:paraId="458B5049" w14:textId="77777777" w:rsidR="001C0369" w:rsidRPr="004523AB" w:rsidRDefault="001C0369" w:rsidP="00D6643E">
            <w:pPr>
              <w:pStyle w:val="TableNText"/>
            </w:pPr>
            <w:r w:rsidRPr="004523AB">
              <w:t xml:space="preserve">All stakeholders viewed this stream as very aligned to the broader Strengthening Medicare agenda. Increases in accreditation rates is a primary care priority, and this stream allowed practices to be accredited for the first time or retain their accreditation. Achieving accreditation also enabled access to other funding – i.e. </w:t>
            </w:r>
            <w:proofErr w:type="spellStart"/>
            <w:r w:rsidRPr="004523AB">
              <w:t>PiP</w:t>
            </w:r>
            <w:proofErr w:type="spellEnd"/>
            <w:r w:rsidRPr="004523AB">
              <w:t xml:space="preserve"> QI.</w:t>
            </w:r>
          </w:p>
          <w:p w14:paraId="0C93E0F5" w14:textId="77777777" w:rsidR="001C0369" w:rsidRPr="004523AB" w:rsidRDefault="001C0369" w:rsidP="00D6643E">
            <w:pPr>
              <w:pStyle w:val="TableNTextStrong"/>
            </w:pPr>
            <w:r w:rsidRPr="004523AB">
              <w:t>What stakeholders reported as the strengths and opportunities:</w:t>
            </w:r>
          </w:p>
          <w:p w14:paraId="2029C1B7" w14:textId="77777777" w:rsidR="001C0369" w:rsidRPr="004523AB" w:rsidRDefault="001C0369" w:rsidP="001C0369">
            <w:pPr>
              <w:pStyle w:val="TableNBullet"/>
            </w:pPr>
            <w:r w:rsidRPr="004523AB">
              <w:t xml:space="preserve">Accreditation can be expensive and time consuming; the grant was helpful in minimising this pressure. </w:t>
            </w:r>
          </w:p>
          <w:p w14:paraId="7CF9517C" w14:textId="77777777" w:rsidR="001C0369" w:rsidRPr="004523AB" w:rsidRDefault="001C0369" w:rsidP="001C0369">
            <w:pPr>
              <w:pStyle w:val="TableNBullet"/>
            </w:pPr>
            <w:r w:rsidRPr="004523AB">
              <w:t>Updated RACGP accreditation guidelines require new equipment such as reprocessing sterilisation machines. This is a significant one-off purchase, and the grant was timely to help make the purchase.</w:t>
            </w:r>
          </w:p>
          <w:p w14:paraId="03B7F13F" w14:textId="77777777" w:rsidR="001C0369" w:rsidRPr="004523AB" w:rsidRDefault="001C0369" w:rsidP="001C0369">
            <w:pPr>
              <w:pStyle w:val="TableNBullet"/>
            </w:pPr>
            <w:r w:rsidRPr="004523AB">
              <w:t>The breadth and flexibility of this stream enabled many practices to spend in areas they felt were of highest need.</w:t>
            </w:r>
          </w:p>
          <w:p w14:paraId="42AEA047" w14:textId="77777777" w:rsidR="001C0369" w:rsidRPr="004523AB" w:rsidRDefault="001C0369" w:rsidP="001C0369">
            <w:pPr>
              <w:pStyle w:val="TableNBullet"/>
            </w:pPr>
            <w:r w:rsidRPr="004523AB">
              <w:t>Ability to use the grant to fund temporary additional support or hours took some workload off practices.</w:t>
            </w:r>
          </w:p>
          <w:p w14:paraId="4047ABF2" w14:textId="77777777" w:rsidR="001C0369" w:rsidRPr="004523AB" w:rsidRDefault="001C0369" w:rsidP="00D6643E">
            <w:pPr>
              <w:pStyle w:val="TableNTextStrong"/>
            </w:pPr>
            <w:r w:rsidRPr="004523AB">
              <w:t>What stakeholders reported as the challenges and limitations:</w:t>
            </w:r>
          </w:p>
          <w:p w14:paraId="189C28D3" w14:textId="77777777" w:rsidR="001C0369" w:rsidRPr="004523AB" w:rsidRDefault="001C0369" w:rsidP="001C0369">
            <w:pPr>
              <w:pStyle w:val="TableNBullet"/>
            </w:pPr>
            <w:r w:rsidRPr="004523AB">
              <w:t>Accreditation has a high ongoing cost. If practices do not have the funds to maintain accreditation, there is a much lower ongoing value of this stream for the practice and its patients.</w:t>
            </w:r>
          </w:p>
          <w:p w14:paraId="39D6EC30" w14:textId="77777777" w:rsidR="001C0369" w:rsidRPr="004523AB" w:rsidRDefault="001C0369" w:rsidP="001C0369">
            <w:pPr>
              <w:pStyle w:val="TableNBullet"/>
            </w:pPr>
            <w:r w:rsidRPr="004523AB">
              <w:t xml:space="preserve">The use and value of the stream seemed to be dependent on where a practice was in its accreditation cycle. </w:t>
            </w:r>
          </w:p>
          <w:p w14:paraId="052FB67F" w14:textId="77777777" w:rsidR="001C0369" w:rsidRPr="004523AB" w:rsidRDefault="001C0369" w:rsidP="001C0369">
            <w:pPr>
              <w:pStyle w:val="TableNBullet"/>
            </w:pPr>
            <w:r w:rsidRPr="004523AB">
              <w:lastRenderedPageBreak/>
              <w:t>Practices that used the grant to achieve accreditation for the first time will need to factor ongoing costs.</w:t>
            </w:r>
          </w:p>
          <w:p w14:paraId="1278DD70" w14:textId="77777777" w:rsidR="001C0369" w:rsidRPr="004523AB" w:rsidRDefault="001C0369" w:rsidP="001C0369">
            <w:pPr>
              <w:pStyle w:val="TableNBullet"/>
            </w:pPr>
            <w:r w:rsidRPr="004523AB">
              <w:t xml:space="preserve">ACCHOs need to meet multiple accreditation requirements, and this grant only applied to RACGP accreditation. </w:t>
            </w:r>
          </w:p>
          <w:p w14:paraId="41D3C71D" w14:textId="77777777" w:rsidR="001C0369" w:rsidRPr="00D6643E" w:rsidRDefault="001C0369" w:rsidP="00D6643E">
            <w:pPr>
              <w:pStyle w:val="TableNTextStrong"/>
            </w:pPr>
            <w:r w:rsidRPr="00D6643E">
              <w:t xml:space="preserve">Examples of how practices used the funding in this investment stream: </w:t>
            </w:r>
          </w:p>
          <w:p w14:paraId="748A6A90" w14:textId="77777777" w:rsidR="001C0369" w:rsidRPr="004523AB" w:rsidRDefault="001C0369" w:rsidP="001C0369">
            <w:pPr>
              <w:pStyle w:val="TableNBullet"/>
            </w:pPr>
            <w:r w:rsidRPr="004523AB">
              <w:t xml:space="preserve">Equipment. Equipment purchased to meet accreditation standards included defibrillators, derma scopes, Doppler machines. </w:t>
            </w:r>
          </w:p>
          <w:p w14:paraId="7D271E01" w14:textId="77777777" w:rsidR="001C0369" w:rsidRPr="004523AB" w:rsidRDefault="001C0369" w:rsidP="001C0369">
            <w:pPr>
              <w:pStyle w:val="TableNBullet"/>
            </w:pPr>
            <w:r w:rsidRPr="004523AB">
              <w:t xml:space="preserve">Facility upgrades. Many practices spent some of their grant to keep their facilities fit-for-purpose, clean, safe and comfortable for patients. This includes upgrading waiting room chairs for elderly patient cohorts. </w:t>
            </w:r>
          </w:p>
          <w:p w14:paraId="60B70AC4" w14:textId="77777777" w:rsidR="001C0369" w:rsidRPr="004523AB" w:rsidRDefault="001C0369" w:rsidP="001C0369">
            <w:pPr>
              <w:pStyle w:val="TableNBullet"/>
            </w:pPr>
            <w:r w:rsidRPr="004523AB">
              <w:t xml:space="preserve">Clinical governance. Included development of clinical governance frameworks, policy and procedure templates, a policy development process and document management system. </w:t>
            </w:r>
          </w:p>
          <w:p w14:paraId="6924EB86" w14:textId="77777777" w:rsidR="001C0369" w:rsidRPr="004523AB" w:rsidRDefault="001C0369" w:rsidP="001C0369">
            <w:pPr>
              <w:pStyle w:val="TableNBullet"/>
            </w:pPr>
            <w:r w:rsidRPr="004523AB">
              <w:t xml:space="preserve">Training. Included CPR training for all staff (maintaining accreditation requires staff to complete CPR training at least once every three years), some training for nurses and practice managers, and attendance at conferences and other professional development. </w:t>
            </w:r>
          </w:p>
          <w:p w14:paraId="486C6A37" w14:textId="77777777" w:rsidR="001C0369" w:rsidRPr="004523AB" w:rsidRDefault="001C0369" w:rsidP="001C0369">
            <w:pPr>
              <w:pStyle w:val="TableNBullet"/>
            </w:pPr>
            <w:r w:rsidRPr="004523AB">
              <w:t xml:space="preserve">The accreditation fee and associated administrative costs. The grant was often used to cover the cost of the accreditation fee. Some practices also used it to cover the costs of gap analysis being done to understand what </w:t>
            </w:r>
            <w:proofErr w:type="spellStart"/>
            <w:r w:rsidRPr="004523AB">
              <w:t>clinicial</w:t>
            </w:r>
            <w:proofErr w:type="spellEnd"/>
            <w:r w:rsidRPr="004523AB">
              <w:t xml:space="preserve"> improvements the practice needed to make.  </w:t>
            </w:r>
          </w:p>
          <w:p w14:paraId="0233A776" w14:textId="77777777" w:rsidR="001C0369" w:rsidRPr="004523AB" w:rsidRDefault="001C0369" w:rsidP="001C0369">
            <w:pPr>
              <w:pStyle w:val="TableNBullet"/>
            </w:pPr>
            <w:r w:rsidRPr="004523AB">
              <w:t xml:space="preserve">Time commitment for accreditation requirements. Some practices employed an external consultant to assist with accreditation requirements. Some practices used the grant to cover the overtime wages of existing staff to help complete accreditation requirements. </w:t>
            </w:r>
          </w:p>
        </w:tc>
      </w:tr>
    </w:tbl>
    <w:p w14:paraId="3C45CEC2" w14:textId="2E589170" w:rsidR="001C0369" w:rsidRPr="004523AB" w:rsidRDefault="001C0369" w:rsidP="001C0369">
      <w:pPr>
        <w:pStyle w:val="Caption"/>
      </w:pPr>
      <w:r w:rsidRPr="004523AB">
        <w:lastRenderedPageBreak/>
        <w:t xml:space="preserve">Figure </w:t>
      </w:r>
      <w:r w:rsidRPr="004523AB">
        <w:fldChar w:fldCharType="begin"/>
      </w:r>
      <w:r w:rsidRPr="004523AB">
        <w:instrText xml:space="preserve"> SEQ Figure \* ARABIC </w:instrText>
      </w:r>
      <w:r w:rsidRPr="004523AB">
        <w:fldChar w:fldCharType="separate"/>
      </w:r>
      <w:r w:rsidR="00B96E50">
        <w:rPr>
          <w:noProof/>
        </w:rPr>
        <w:t>19</w:t>
      </w:r>
      <w:r w:rsidRPr="004523AB">
        <w:fldChar w:fldCharType="end"/>
      </w:r>
      <w:r w:rsidRPr="004523AB">
        <w:t xml:space="preserve"> | Case study 7 - Regional and rural practices</w:t>
      </w:r>
    </w:p>
    <w:tbl>
      <w:tblPr>
        <w:tblStyle w:val="AccessibleNousTable"/>
        <w:tblW w:w="0" w:type="auto"/>
        <w:tblLook w:val="04A0" w:firstRow="1" w:lastRow="0" w:firstColumn="1" w:lastColumn="0" w:noHBand="0" w:noVBand="1"/>
      </w:tblPr>
      <w:tblGrid>
        <w:gridCol w:w="8920"/>
      </w:tblGrid>
      <w:tr w:rsidR="001C0369" w:rsidRPr="004523AB" w14:paraId="61FB01B2" w14:textId="77777777" w:rsidTr="0099313E">
        <w:trPr>
          <w:cnfStyle w:val="100000000000" w:firstRow="1" w:lastRow="0" w:firstColumn="0" w:lastColumn="0" w:oddVBand="0" w:evenVBand="0" w:oddHBand="0" w:evenHBand="0" w:firstRowFirstColumn="0" w:firstRowLastColumn="0" w:lastRowFirstColumn="0" w:lastRowLastColumn="0"/>
          <w:tblHeader/>
        </w:trPr>
        <w:tc>
          <w:tcPr>
            <w:tcW w:w="8920" w:type="dxa"/>
          </w:tcPr>
          <w:p w14:paraId="29B2689C" w14:textId="77777777" w:rsidR="001C0369" w:rsidRPr="004523AB" w:rsidRDefault="001C0369">
            <w:pPr>
              <w:rPr>
                <w:rFonts w:asciiTheme="majorHAnsi" w:hAnsiTheme="majorHAnsi" w:cstheme="majorHAnsi"/>
                <w:szCs w:val="21"/>
                <w:lang w:eastAsia="en-AU"/>
              </w:rPr>
            </w:pPr>
            <w:r w:rsidRPr="004523AB">
              <w:rPr>
                <w:rFonts w:asciiTheme="majorHAnsi" w:hAnsiTheme="majorHAnsi" w:cstheme="majorHAnsi"/>
                <w:szCs w:val="21"/>
                <w:lang w:eastAsia="en-AU"/>
              </w:rPr>
              <w:t xml:space="preserve">Case study 7 – National </w:t>
            </w:r>
          </w:p>
          <w:p w14:paraId="3C63F6AC" w14:textId="77777777" w:rsidR="001C0369" w:rsidRPr="004523AB" w:rsidRDefault="001C0369">
            <w:pPr>
              <w:rPr>
                <w:rFonts w:asciiTheme="majorHAnsi" w:hAnsiTheme="majorHAnsi" w:cstheme="majorHAnsi"/>
                <w:szCs w:val="21"/>
                <w:lang w:eastAsia="en-AU"/>
              </w:rPr>
            </w:pPr>
            <w:r w:rsidRPr="004523AB">
              <w:rPr>
                <w:rFonts w:asciiTheme="majorHAnsi" w:hAnsiTheme="majorHAnsi" w:cstheme="majorHAnsi"/>
                <w:szCs w:val="21"/>
                <w:lang w:eastAsia="en-AU"/>
              </w:rPr>
              <w:t xml:space="preserve">Regional and rural practices </w:t>
            </w:r>
          </w:p>
        </w:tc>
      </w:tr>
      <w:tr w:rsidR="001C0369" w:rsidRPr="004523AB" w14:paraId="4740E668" w14:textId="77777777">
        <w:tc>
          <w:tcPr>
            <w:tcW w:w="8920" w:type="dxa"/>
          </w:tcPr>
          <w:p w14:paraId="757CE200" w14:textId="77777777" w:rsidR="001C0369" w:rsidRPr="00B7385B" w:rsidRDefault="001C0369" w:rsidP="00B7385B">
            <w:pPr>
              <w:pStyle w:val="TableNTextStrong"/>
            </w:pPr>
            <w:r w:rsidRPr="00B7385B">
              <w:t xml:space="preserve">Summary: </w:t>
            </w:r>
          </w:p>
          <w:p w14:paraId="52F7201F" w14:textId="77777777" w:rsidR="001C0369" w:rsidRPr="004523AB" w:rsidRDefault="001C0369">
            <w:pPr>
              <w:rPr>
                <w:szCs w:val="21"/>
              </w:rPr>
            </w:pPr>
            <w:r w:rsidRPr="004523AB">
              <w:rPr>
                <w:szCs w:val="21"/>
              </w:rPr>
              <w:t xml:space="preserve">General practices in rural and remote locations are under even greater workforce and financial pressure than many practices in metro areas, and their needs are slightly different. Interviews with general practices in rural and remote locations suggests that the grant was still largely appropriate to their needs, as the flexibility allowed them to spend on the areas of highest need within the investment streams. Some practices interviewed noted that everything is more expensive in regional and remote areas, and that this could have been reflected in the grant allocation formula. </w:t>
            </w:r>
          </w:p>
          <w:p w14:paraId="6D98247E" w14:textId="77777777" w:rsidR="001C0369" w:rsidRPr="004523AB" w:rsidRDefault="001C0369">
            <w:pPr>
              <w:rPr>
                <w:szCs w:val="21"/>
              </w:rPr>
            </w:pPr>
            <w:r w:rsidRPr="004523AB">
              <w:rPr>
                <w:szCs w:val="21"/>
              </w:rPr>
              <w:t xml:space="preserve">Survey data from ACCHOs was not provided at a disaggregated regional/rural level, and so analysis of the ACCHO experience has not been included in this case study. </w:t>
            </w:r>
          </w:p>
          <w:p w14:paraId="00BCF0CF" w14:textId="77777777" w:rsidR="001C0369" w:rsidRPr="00B7385B" w:rsidRDefault="001C0369" w:rsidP="00B7385B">
            <w:pPr>
              <w:pStyle w:val="TableNTextStrong"/>
            </w:pPr>
            <w:r w:rsidRPr="00B7385B">
              <w:lastRenderedPageBreak/>
              <w:t xml:space="preserve">Investment streams: </w:t>
            </w:r>
          </w:p>
          <w:p w14:paraId="6B6EF290" w14:textId="77777777" w:rsidR="001C0369" w:rsidRPr="00B7385B" w:rsidRDefault="001C0369" w:rsidP="00B7385B">
            <w:pPr>
              <w:pStyle w:val="TableNTextStrong"/>
            </w:pPr>
            <w:r w:rsidRPr="00B7385B">
              <w:t xml:space="preserve">Digital capability: </w:t>
            </w:r>
          </w:p>
          <w:p w14:paraId="1A5C7574" w14:textId="77777777" w:rsidR="001C0369" w:rsidRPr="004523AB" w:rsidRDefault="001C0369" w:rsidP="001C0369">
            <w:pPr>
              <w:pStyle w:val="TableNBullet"/>
            </w:pPr>
            <w:r w:rsidRPr="004523AB">
              <w:t>Improving internet and cloud connectivity was flagged as a key benefit of the grant which was highly valued by regional and remote practices serving a large geographic area (and often with satellite clinics). However, because the fundamental infrastructure was sometimes not there (such as proper capacity to connect to the internet) the grant was not able to deliver those benefits for practices in areas with significant underlying connectivity issues.</w:t>
            </w:r>
          </w:p>
          <w:p w14:paraId="68129ACF" w14:textId="77777777" w:rsidR="001C0369" w:rsidRPr="004523AB" w:rsidRDefault="001C0369" w:rsidP="001C0369">
            <w:pPr>
              <w:pStyle w:val="TableNBullet"/>
            </w:pPr>
            <w:r w:rsidRPr="004523AB">
              <w:t xml:space="preserve">Due to publicity about the grant, some rural practices reported receiving cold calls from IT and other providers trying to sell them $25k worth of their service. If practices were unsure how they wanted to spend the funds or did not do enough research, this created a risk of being taken advantage of. While this may have also occurred in metro practices it was only reported in interviews with regional practices. </w:t>
            </w:r>
          </w:p>
          <w:p w14:paraId="2CC9F5D4" w14:textId="77777777" w:rsidR="001C0369" w:rsidRPr="00B7385B" w:rsidRDefault="001C0369" w:rsidP="00B7385B">
            <w:pPr>
              <w:pStyle w:val="TableNTextStrong"/>
            </w:pPr>
            <w:r w:rsidRPr="00B7385B">
              <w:t xml:space="preserve">Infection prevention and control </w:t>
            </w:r>
          </w:p>
          <w:p w14:paraId="5AE89ECE" w14:textId="77777777" w:rsidR="001C0369" w:rsidRPr="004523AB" w:rsidRDefault="001C0369" w:rsidP="001C0369">
            <w:pPr>
              <w:pStyle w:val="TableNBullet"/>
            </w:pPr>
            <w:r w:rsidRPr="004523AB">
              <w:t xml:space="preserve">Regional and remote practices tended to place a greater focus on critical infrastructure and back up capacity when spending within this investment stream. For example, installing back-up generators so that if power failed, vaccines and other medicines remain safe to use. </w:t>
            </w:r>
          </w:p>
          <w:p w14:paraId="2921280B" w14:textId="77777777" w:rsidR="001C0369" w:rsidRPr="00B7385B" w:rsidRDefault="001C0369" w:rsidP="00B7385B">
            <w:pPr>
              <w:pStyle w:val="TableNTextStrong"/>
            </w:pPr>
            <w:r w:rsidRPr="00B7385B">
              <w:t xml:space="preserve">Accreditation: </w:t>
            </w:r>
          </w:p>
          <w:p w14:paraId="7809F45A" w14:textId="77777777" w:rsidR="001C0369" w:rsidRPr="004523AB" w:rsidRDefault="001C0369" w:rsidP="001C0369">
            <w:pPr>
              <w:pStyle w:val="TableNBullet"/>
            </w:pPr>
            <w:r w:rsidRPr="004523AB">
              <w:t>Many practices in rural and remote locations have high levels of staff shortages, and so ability to use the grant to get extra support to complete the accreditation process was highly valued (or used to pay their staff for overtime).</w:t>
            </w:r>
          </w:p>
          <w:p w14:paraId="30F0100A" w14:textId="77777777" w:rsidR="001C0369" w:rsidRPr="004523AB" w:rsidRDefault="001C0369" w:rsidP="001C0369">
            <w:pPr>
              <w:pStyle w:val="TableNBullet"/>
            </w:pPr>
            <w:r w:rsidRPr="004523AB">
              <w:t>Some practices used the grant to get accreditation for small satellite clinics.</w:t>
            </w:r>
          </w:p>
          <w:p w14:paraId="2864DDCE" w14:textId="7866D535" w:rsidR="001C0369" w:rsidRPr="004523AB" w:rsidRDefault="001C0369" w:rsidP="001C0369">
            <w:pPr>
              <w:pStyle w:val="TableNBullet"/>
            </w:pPr>
            <w:r w:rsidRPr="004523AB">
              <w:t xml:space="preserve">When practices are very busy and it is difficult to get additional support due to location, even with the grant support some practices do not have the time or money to proceed with the full accreditation process. </w:t>
            </w:r>
          </w:p>
          <w:p w14:paraId="409DE640" w14:textId="77777777" w:rsidR="001C0369" w:rsidRPr="00B7385B" w:rsidRDefault="001C0369" w:rsidP="00B7385B">
            <w:pPr>
              <w:pStyle w:val="TableNTextStrong"/>
            </w:pPr>
            <w:r w:rsidRPr="00B7385B">
              <w:t xml:space="preserve">Additional areas where support and investment would be valued: </w:t>
            </w:r>
          </w:p>
          <w:p w14:paraId="04970ADB" w14:textId="77777777" w:rsidR="001C0369" w:rsidRPr="004523AB" w:rsidRDefault="001C0369">
            <w:pPr>
              <w:rPr>
                <w:szCs w:val="21"/>
              </w:rPr>
            </w:pPr>
            <w:r w:rsidRPr="004523AB">
              <w:rPr>
                <w:szCs w:val="21"/>
              </w:rPr>
              <w:t xml:space="preserve">Regional and remote practices interviewed reported there were a small number of additional areas where support would have been valuable. These include: </w:t>
            </w:r>
          </w:p>
          <w:p w14:paraId="318832B9" w14:textId="77777777" w:rsidR="001C0369" w:rsidRPr="004523AB" w:rsidRDefault="001C0369" w:rsidP="001C0369">
            <w:pPr>
              <w:pStyle w:val="TableNBullet"/>
            </w:pPr>
            <w:r w:rsidRPr="004523AB">
              <w:t xml:space="preserve">Additional workforce support. Practices interviewed provided the feedback that additional workforce support is critical to practice sustainability. Support is needed at both a practice level to help fund an increase in their workforce, and at a national level to increase the number of general practitioners being trained. </w:t>
            </w:r>
          </w:p>
          <w:p w14:paraId="3E2C5EE2" w14:textId="2143BE3C" w:rsidR="001C0369" w:rsidRPr="004523AB" w:rsidRDefault="001C0369" w:rsidP="001C0369">
            <w:pPr>
              <w:pStyle w:val="TableNBullet"/>
            </w:pPr>
            <w:r w:rsidRPr="004523AB">
              <w:t xml:space="preserve">Broader funding for infrastructure or major capital expenditure to support upgrading out of date facilities. </w:t>
            </w:r>
          </w:p>
        </w:tc>
      </w:tr>
    </w:tbl>
    <w:p w14:paraId="1D367A10" w14:textId="77777777" w:rsidR="000D633A" w:rsidRPr="004523AB" w:rsidRDefault="00A539E5" w:rsidP="000D633A">
      <w:pPr>
        <w:pStyle w:val="Heading3"/>
        <w:ind w:left="851" w:hanging="851"/>
      </w:pPr>
      <w:r w:rsidRPr="004523AB">
        <w:lastRenderedPageBreak/>
        <w:t>The Program has had unintended benefits for PHNs and practices</w:t>
      </w:r>
    </w:p>
    <w:tbl>
      <w:tblPr>
        <w:tblStyle w:val="NousLongformcallout"/>
        <w:tblW w:w="4950" w:type="pct"/>
        <w:tblCellMar>
          <w:top w:w="170" w:type="dxa"/>
          <w:bottom w:w="170" w:type="dxa"/>
        </w:tblCellMar>
        <w:tblLook w:val="04A0" w:firstRow="1" w:lastRow="0" w:firstColumn="1" w:lastColumn="0" w:noHBand="0" w:noVBand="1"/>
      </w:tblPr>
      <w:tblGrid>
        <w:gridCol w:w="9069"/>
      </w:tblGrid>
      <w:tr w:rsidR="002C1F84" w:rsidRPr="004523AB" w14:paraId="65E2610E" w14:textId="77777777" w:rsidTr="002C1F84">
        <w:tc>
          <w:tcPr>
            <w:tcW w:w="9069" w:type="dxa"/>
          </w:tcPr>
          <w:p w14:paraId="146E2866" w14:textId="77777777" w:rsidR="002C1F84" w:rsidRPr="004523AB" w:rsidRDefault="002C1F84" w:rsidP="002C1F84">
            <w:pPr>
              <w:pStyle w:val="Longformcallout"/>
            </w:pPr>
            <w:r w:rsidRPr="004523AB">
              <w:t xml:space="preserve">"The relationships PHNs have with GPs was the reason to go with them for the grants - it was a natural fit." – Department </w:t>
            </w:r>
          </w:p>
          <w:p w14:paraId="71C67779" w14:textId="611086B4" w:rsidR="002C1F84" w:rsidRPr="004523AB" w:rsidRDefault="002C1F84" w:rsidP="002C1F84">
            <w:pPr>
              <w:pStyle w:val="Longformcallout"/>
              <w:rPr>
                <w:b/>
              </w:rPr>
            </w:pPr>
            <w:r w:rsidRPr="004523AB">
              <w:t>"The process of collating the practice list and data for all GPs has enduring value for us." – Department</w:t>
            </w:r>
          </w:p>
        </w:tc>
      </w:tr>
    </w:tbl>
    <w:p w14:paraId="36F5820B" w14:textId="2895AA83" w:rsidR="00A539E5" w:rsidRPr="004523AB" w:rsidRDefault="00A539E5" w:rsidP="00A539E5">
      <w:r w:rsidRPr="004523AB">
        <w:t xml:space="preserve">PHNs were widely agreed as the suitable entities to manage the Program administration given their existing contact and relationships with practices. This Program also helped PHNs to foster better relationships with practices, by creating an opportunity for positive engagement with their practices. </w:t>
      </w:r>
      <w:r w:rsidRPr="004523AB" w:rsidDel="00D63D4E">
        <w:t xml:space="preserve">The </w:t>
      </w:r>
      <w:r w:rsidRPr="004523AB">
        <w:t>Program enabled PHNs to connect with previously unengaged practices, strengthening their network. Post-grant, many PHNs have leveraged these newfound links to involve practices in further programs and activities within the PHN structure. The benefits of PHNs building better relationships with their practices for program delivery and for the future, are set out in more detail in Case Study 6 (</w:t>
      </w:r>
      <w:r w:rsidR="00FD5B11" w:rsidRPr="004523AB">
        <w:fldChar w:fldCharType="begin"/>
      </w:r>
      <w:r w:rsidR="00FD5B11" w:rsidRPr="004523AB">
        <w:instrText xml:space="preserve"> REF _Ref184920481 \h  \* MERGEFORMAT </w:instrText>
      </w:r>
      <w:r w:rsidR="00FD5B11" w:rsidRPr="004523AB">
        <w:fldChar w:fldCharType="separate"/>
      </w:r>
      <w:r w:rsidR="00B96E50" w:rsidRPr="004523AB">
        <w:t xml:space="preserve">Figure </w:t>
      </w:r>
      <w:r w:rsidR="00B96E50">
        <w:rPr>
          <w:noProof/>
        </w:rPr>
        <w:t>18</w:t>
      </w:r>
      <w:r w:rsidR="00FD5B11" w:rsidRPr="004523AB">
        <w:fldChar w:fldCharType="end"/>
      </w:r>
      <w:r w:rsidRPr="004523AB">
        <w:t xml:space="preserve">).  </w:t>
      </w:r>
    </w:p>
    <w:p w14:paraId="038AA77B" w14:textId="1D6AF7BB" w:rsidR="00A539E5" w:rsidRPr="004523AB" w:rsidRDefault="00A539E5" w:rsidP="00A539E5">
      <w:r w:rsidRPr="004523AB">
        <w:t>The other advantage of updated practice lists is that it will make delivery of future programs significantly easier. Many PHNs noted that while there was a significant administrative burden setting up systems and processes to administer the Program, the administration burden for PHNs of running any future similar programs will be much lower now they are in place – with some PHNs experiencing this benefit already.</w:t>
      </w:r>
    </w:p>
    <w:p w14:paraId="7947D818" w14:textId="7B3BE759" w:rsidR="00A539E5" w:rsidRPr="004523AB" w:rsidRDefault="00A539E5" w:rsidP="00A539E5">
      <w:r w:rsidRPr="004523AB">
        <w:t xml:space="preserve">The Department now has a centrally stored practice list, which has been turned into a data asset that can be used across the Department, noting it will require maintenance for currency given the rapid changes in the sector. A centrally managed national list of practices has not previously been available. This data has already been invaluable in delivering other work in the primary care space, as it has helped map the current landscape to understand what is available and where. </w:t>
      </w:r>
    </w:p>
    <w:p w14:paraId="0E524FA1" w14:textId="6D6D698D" w:rsidR="00EA53DF" w:rsidRPr="004523AB" w:rsidRDefault="00A539E5" w:rsidP="004053DC">
      <w:r w:rsidRPr="004523AB">
        <w:t>The benefits of PHN relationships with practices are captured in Case Study 8 (</w:t>
      </w:r>
      <w:bookmarkEnd w:id="62"/>
      <w:r w:rsidR="00FD5B11" w:rsidRPr="004523AB">
        <w:fldChar w:fldCharType="begin"/>
      </w:r>
      <w:r w:rsidR="00FD5B11" w:rsidRPr="004523AB">
        <w:instrText xml:space="preserve"> REF _Ref184920526 \h </w:instrText>
      </w:r>
      <w:r w:rsidR="004523AB" w:rsidRPr="004523AB">
        <w:instrText xml:space="preserve"> \* MERGEFORMAT </w:instrText>
      </w:r>
      <w:r w:rsidR="00FD5B11" w:rsidRPr="004523AB">
        <w:fldChar w:fldCharType="separate"/>
      </w:r>
      <w:r w:rsidR="00B96E50" w:rsidRPr="004523AB">
        <w:t xml:space="preserve">Figure </w:t>
      </w:r>
      <w:r w:rsidR="00B96E50">
        <w:rPr>
          <w:noProof/>
        </w:rPr>
        <w:t>20</w:t>
      </w:r>
      <w:r w:rsidR="00FD5B11" w:rsidRPr="004523AB">
        <w:fldChar w:fldCharType="end"/>
      </w:r>
      <w:r w:rsidRPr="004523AB">
        <w:t>)</w:t>
      </w:r>
      <w:r w:rsidR="00677E0B" w:rsidRPr="004523AB">
        <w:t xml:space="preserve"> overleaf</w:t>
      </w:r>
      <w:r w:rsidRPr="004523AB">
        <w:t xml:space="preserve">. </w:t>
      </w:r>
    </w:p>
    <w:p w14:paraId="6287F69E" w14:textId="3357A113" w:rsidR="00341031" w:rsidRPr="004523AB" w:rsidRDefault="00341031" w:rsidP="00341031">
      <w:pPr>
        <w:pStyle w:val="Caption"/>
      </w:pPr>
      <w:bookmarkStart w:id="65" w:name="_Ref184920526"/>
      <w:r w:rsidRPr="004523AB">
        <w:t xml:space="preserve">Figure </w:t>
      </w:r>
      <w:r w:rsidRPr="004523AB">
        <w:fldChar w:fldCharType="begin"/>
      </w:r>
      <w:r w:rsidRPr="004523AB">
        <w:instrText xml:space="preserve"> SEQ Figure \* ARABIC </w:instrText>
      </w:r>
      <w:r w:rsidRPr="004523AB">
        <w:fldChar w:fldCharType="separate"/>
      </w:r>
      <w:r w:rsidR="00B96E50">
        <w:rPr>
          <w:noProof/>
        </w:rPr>
        <w:t>20</w:t>
      </w:r>
      <w:r w:rsidRPr="004523AB">
        <w:fldChar w:fldCharType="end"/>
      </w:r>
      <w:bookmarkEnd w:id="65"/>
      <w:r w:rsidRPr="004523AB">
        <w:t xml:space="preserve"> | Case study 8 - PHN relationships with practices</w:t>
      </w:r>
    </w:p>
    <w:tbl>
      <w:tblPr>
        <w:tblStyle w:val="AccessibleNousTable"/>
        <w:tblW w:w="0" w:type="auto"/>
        <w:tblLook w:val="04A0" w:firstRow="1" w:lastRow="0" w:firstColumn="1" w:lastColumn="0" w:noHBand="0" w:noVBand="1"/>
      </w:tblPr>
      <w:tblGrid>
        <w:gridCol w:w="8920"/>
      </w:tblGrid>
      <w:tr w:rsidR="00341031" w:rsidRPr="004523AB" w14:paraId="488BD610" w14:textId="77777777" w:rsidTr="0099313E">
        <w:trPr>
          <w:cnfStyle w:val="100000000000" w:firstRow="1" w:lastRow="0" w:firstColumn="0" w:lastColumn="0" w:oddVBand="0" w:evenVBand="0" w:oddHBand="0" w:evenHBand="0" w:firstRowFirstColumn="0" w:firstRowLastColumn="0" w:lastRowFirstColumn="0" w:lastRowLastColumn="0"/>
          <w:tblHeader/>
        </w:trPr>
        <w:tc>
          <w:tcPr>
            <w:tcW w:w="8920" w:type="dxa"/>
          </w:tcPr>
          <w:p w14:paraId="5032D823" w14:textId="7D63AA5A" w:rsidR="00341031" w:rsidRPr="004523AB" w:rsidRDefault="00341031">
            <w:pPr>
              <w:rPr>
                <w:rFonts w:asciiTheme="majorHAnsi" w:hAnsiTheme="majorHAnsi" w:cstheme="majorHAnsi"/>
                <w:sz w:val="23"/>
                <w:szCs w:val="23"/>
                <w:lang w:eastAsia="en-AU"/>
              </w:rPr>
            </w:pPr>
            <w:r w:rsidRPr="004523AB">
              <w:rPr>
                <w:rFonts w:asciiTheme="majorHAnsi" w:hAnsiTheme="majorHAnsi" w:cstheme="majorHAnsi"/>
                <w:sz w:val="23"/>
                <w:szCs w:val="23"/>
                <w:lang w:eastAsia="en-AU"/>
              </w:rPr>
              <w:t xml:space="preserve">Case study 8 – </w:t>
            </w:r>
            <w:r w:rsidR="00393ED0">
              <w:rPr>
                <w:rFonts w:asciiTheme="majorHAnsi" w:hAnsiTheme="majorHAnsi" w:cstheme="majorHAnsi"/>
                <w:sz w:val="23"/>
                <w:szCs w:val="23"/>
                <w:lang w:eastAsia="en-AU"/>
              </w:rPr>
              <w:t>Multiple PHNs</w:t>
            </w:r>
          </w:p>
          <w:p w14:paraId="499A8923" w14:textId="77777777" w:rsidR="00341031" w:rsidRPr="004523AB" w:rsidRDefault="00341031">
            <w:pPr>
              <w:rPr>
                <w:rFonts w:asciiTheme="majorHAnsi" w:hAnsiTheme="majorHAnsi" w:cstheme="majorHAnsi"/>
                <w:sz w:val="23"/>
                <w:szCs w:val="23"/>
                <w:lang w:eastAsia="en-AU"/>
              </w:rPr>
            </w:pPr>
            <w:r w:rsidRPr="004523AB">
              <w:rPr>
                <w:rFonts w:asciiTheme="majorHAnsi" w:hAnsiTheme="majorHAnsi" w:cstheme="majorHAnsi"/>
                <w:sz w:val="23"/>
                <w:szCs w:val="23"/>
                <w:lang w:eastAsia="en-AU"/>
              </w:rPr>
              <w:t>PHN relationships with practices</w:t>
            </w:r>
          </w:p>
        </w:tc>
      </w:tr>
      <w:tr w:rsidR="00341031" w:rsidRPr="004523AB" w14:paraId="1C43BD1A" w14:textId="77777777">
        <w:tc>
          <w:tcPr>
            <w:tcW w:w="8920" w:type="dxa"/>
          </w:tcPr>
          <w:p w14:paraId="379FEF31" w14:textId="77777777" w:rsidR="00341031" w:rsidRPr="004523AB" w:rsidRDefault="00341031">
            <w:r w:rsidRPr="004523AB">
              <w:t xml:space="preserve">Both PHNs and practices emphasised the importance of effective relationships for running the Program effectively. Practices who already had a strong relationship with their PHN benefited from the targeted advice and support they got throughout the application and delivery process. </w:t>
            </w:r>
          </w:p>
          <w:p w14:paraId="0DA7FA4E" w14:textId="77777777" w:rsidR="00341031" w:rsidRPr="004523AB" w:rsidRDefault="00341031">
            <w:r w:rsidRPr="004523AB">
              <w:t xml:space="preserve">An unanticipated benefit for PHNs was that the grant gave them an opportunity to build relationships with practices they had not previously/recently engaged with who were incentivised by the grant opportunity. Many PHNs reported that they have been able to maintain their engagement with these practices and have started engaging them through other programs and areas of the PHN. </w:t>
            </w:r>
          </w:p>
          <w:p w14:paraId="003A2B1A" w14:textId="77777777" w:rsidR="00341031" w:rsidRPr="0099313E" w:rsidRDefault="00341031" w:rsidP="0099313E">
            <w:pPr>
              <w:rPr>
                <w:rStyle w:val="Strong"/>
              </w:rPr>
            </w:pPr>
            <w:r w:rsidRPr="0099313E">
              <w:rPr>
                <w:rStyle w:val="Strong"/>
              </w:rPr>
              <w:t xml:space="preserve">PHNs build strong relationships with their practices through: </w:t>
            </w:r>
          </w:p>
          <w:p w14:paraId="529430BA" w14:textId="77777777" w:rsidR="00341031" w:rsidRPr="004523AB" w:rsidRDefault="00341031" w:rsidP="008A550C">
            <w:pPr>
              <w:pStyle w:val="ListParagraph"/>
              <w:numPr>
                <w:ilvl w:val="0"/>
                <w:numId w:val="23"/>
              </w:numPr>
              <w:spacing w:line="276" w:lineRule="auto"/>
              <w:rPr>
                <w:b/>
              </w:rPr>
            </w:pPr>
            <w:r w:rsidRPr="004523AB">
              <w:rPr>
                <w:bCs/>
              </w:rPr>
              <w:lastRenderedPageBreak/>
              <w:t>Assigning owners for specific relationships.</w:t>
            </w:r>
            <w:r w:rsidRPr="004523AB">
              <w:rPr>
                <w:b/>
              </w:rPr>
              <w:t xml:space="preserve"> </w:t>
            </w:r>
            <w:r w:rsidRPr="004523AB">
              <w:t>An individual in the PHN is responsible for owning the relationship with a practice or area, so they can build knowledge and trust over time.</w:t>
            </w:r>
          </w:p>
          <w:p w14:paraId="1A1E36D3" w14:textId="77777777" w:rsidR="00341031" w:rsidRPr="004523AB" w:rsidRDefault="00341031" w:rsidP="008A550C">
            <w:pPr>
              <w:pStyle w:val="ListParagraph"/>
              <w:numPr>
                <w:ilvl w:val="0"/>
                <w:numId w:val="23"/>
              </w:numPr>
              <w:spacing w:line="276" w:lineRule="auto"/>
            </w:pPr>
            <w:r w:rsidRPr="004523AB">
              <w:t xml:space="preserve">Actively listening to understand the needs of their practices. Invest the time with practices to understand their specific needs and challenges, building a detailed understanding and relationship with the practices over time.  </w:t>
            </w:r>
          </w:p>
          <w:p w14:paraId="142A0A0E" w14:textId="77777777" w:rsidR="00341031" w:rsidRPr="004523AB" w:rsidRDefault="00341031" w:rsidP="008A550C">
            <w:pPr>
              <w:pStyle w:val="ListParagraph"/>
              <w:numPr>
                <w:ilvl w:val="0"/>
                <w:numId w:val="23"/>
              </w:numPr>
              <w:spacing w:line="276" w:lineRule="auto"/>
            </w:pPr>
            <w:r w:rsidRPr="004523AB">
              <w:t>Regularly reach out to practices. Regularly pass on information to practices from the Department and other key sources, drawing on their knowledge of what will be most relevant to the practice.</w:t>
            </w:r>
          </w:p>
          <w:p w14:paraId="2BD086EA" w14:textId="77777777" w:rsidR="00341031" w:rsidRPr="0099313E" w:rsidRDefault="00341031" w:rsidP="0099313E">
            <w:pPr>
              <w:rPr>
                <w:rStyle w:val="Strong"/>
              </w:rPr>
            </w:pPr>
            <w:r w:rsidRPr="0099313E">
              <w:rPr>
                <w:rStyle w:val="Strong"/>
              </w:rPr>
              <w:t xml:space="preserve">The benefits of strong relationships for this Program were: </w:t>
            </w:r>
          </w:p>
          <w:p w14:paraId="79D491F3" w14:textId="77777777" w:rsidR="00341031" w:rsidRPr="004523AB" w:rsidRDefault="00341031">
            <w:r w:rsidRPr="004523AB">
              <w:t xml:space="preserve">QLD: </w:t>
            </w:r>
          </w:p>
          <w:p w14:paraId="6AF01A66" w14:textId="77777777" w:rsidR="00341031" w:rsidRPr="004523AB" w:rsidRDefault="00341031">
            <w:r w:rsidRPr="004523AB">
              <w:t xml:space="preserve">Practices feel comfortable reaching out to PHNs: Practices with a good relationship with their PHN felt much more comfortable reaching out when they had questions or needed support and tended to get quicker and more targeted responses. A very small number of practices who did not have a good relationship with their PHN, noted this continued through this program. </w:t>
            </w:r>
          </w:p>
          <w:p w14:paraId="1831B677" w14:textId="0F74C166" w:rsidR="00341031" w:rsidRPr="004523AB" w:rsidRDefault="00341031">
            <w:r w:rsidRPr="004523AB">
              <w:t>“We called the PHN a couple of times for clarification when needed. We have a good relationship with them and contact them often for other things.”</w:t>
            </w:r>
          </w:p>
          <w:p w14:paraId="4631AD00" w14:textId="77777777" w:rsidR="00341031" w:rsidRPr="004523AB" w:rsidRDefault="00341031">
            <w:r w:rsidRPr="004523AB">
              <w:t xml:space="preserve">NSW / ACT: </w:t>
            </w:r>
          </w:p>
          <w:p w14:paraId="7AC6B48F" w14:textId="77777777" w:rsidR="00341031" w:rsidRPr="004523AB" w:rsidRDefault="00341031">
            <w:r w:rsidRPr="004523AB">
              <w:t xml:space="preserve">PHNs are better placed to give good advice to practices: PHNs already understand what their practices need, and so </w:t>
            </w:r>
            <w:proofErr w:type="gramStart"/>
            <w:r w:rsidRPr="004523AB">
              <w:t>are were</w:t>
            </w:r>
            <w:proofErr w:type="gramEnd"/>
            <w:r w:rsidRPr="004523AB">
              <w:t xml:space="preserve"> well placed to provide advice or suggestions to specific practices about how they could use the funding most effectively.</w:t>
            </w:r>
          </w:p>
          <w:p w14:paraId="3409D0CE" w14:textId="77777777" w:rsidR="00341031" w:rsidRPr="004523AB" w:rsidRDefault="00341031">
            <w:r w:rsidRPr="004523AB">
              <w:t>“I thought the customer service of the PHN was exceptional – and I have very high standards and expectations – there is always someone who will get back to you and help you.”</w:t>
            </w:r>
          </w:p>
          <w:p w14:paraId="779C363D" w14:textId="77777777" w:rsidR="00341031" w:rsidRPr="004523AB" w:rsidRDefault="00341031">
            <w:r w:rsidRPr="004523AB">
              <w:t xml:space="preserve">VIC / TAS: </w:t>
            </w:r>
          </w:p>
          <w:p w14:paraId="3ED9C656" w14:textId="77777777" w:rsidR="00341031" w:rsidRPr="004523AB" w:rsidRDefault="00341031">
            <w:r w:rsidRPr="004523AB">
              <w:t xml:space="preserve">Practices trust the advice that PHNs give them: When the PHN has demonstrated over time they will act in the practice’s best interest, practices are more likely to trust the advice PHNs give them and continue to engage with them in other areas and programs. </w:t>
            </w:r>
          </w:p>
          <w:p w14:paraId="439A949A" w14:textId="77777777" w:rsidR="00341031" w:rsidRPr="004523AB" w:rsidRDefault="00341031">
            <w:r w:rsidRPr="004523AB">
              <w:t xml:space="preserve">“The PHN were fantastic – they always are – they are always really </w:t>
            </w:r>
            <w:proofErr w:type="gramStart"/>
            <w:r w:rsidRPr="004523AB">
              <w:t>personable</w:t>
            </w:r>
            <w:proofErr w:type="gramEnd"/>
            <w:r w:rsidRPr="004523AB">
              <w:t xml:space="preserve"> and you know who you are talking to which makes it a hell of a lot easier.”</w:t>
            </w:r>
          </w:p>
        </w:tc>
      </w:tr>
    </w:tbl>
    <w:p w14:paraId="697533C6" w14:textId="5D650471" w:rsidR="00AB1B44" w:rsidRPr="004523AB" w:rsidRDefault="00AB1B44">
      <w:pPr>
        <w:spacing w:after="165" w:line="259" w:lineRule="auto"/>
        <w:rPr>
          <w:b/>
          <w:bCs/>
          <w:sz w:val="28"/>
          <w:szCs w:val="32"/>
        </w:rPr>
        <w:sectPr w:rsidR="00AB1B44" w:rsidRPr="004523AB" w:rsidSect="00FF5D96">
          <w:headerReference w:type="default" r:id="rId39"/>
          <w:pgSz w:w="11906" w:h="16838" w:code="9"/>
          <w:pgMar w:top="1247" w:right="1304" w:bottom="1559" w:left="1418" w:header="720" w:footer="720" w:gutter="0"/>
          <w:cols w:space="720"/>
          <w:docGrid w:linePitch="360"/>
        </w:sectPr>
      </w:pPr>
    </w:p>
    <w:p w14:paraId="7DFD8404" w14:textId="5A0D7F57" w:rsidR="007F5A49" w:rsidRPr="004523AB" w:rsidRDefault="00953D8B" w:rsidP="00BA1EF2">
      <w:pPr>
        <w:pStyle w:val="Heading1"/>
      </w:pPr>
      <w:bookmarkStart w:id="66" w:name="_Ref184972354"/>
      <w:bookmarkStart w:id="67" w:name="_Toc184982767"/>
      <w:r w:rsidRPr="004523AB">
        <w:lastRenderedPageBreak/>
        <w:t>Lessons Learnt</w:t>
      </w:r>
      <w:bookmarkEnd w:id="66"/>
      <w:bookmarkEnd w:id="67"/>
    </w:p>
    <w:p w14:paraId="6D46788C" w14:textId="77777777" w:rsidR="00BB16B6" w:rsidRPr="004523AB" w:rsidRDefault="00BB16B6" w:rsidP="004F6F70">
      <w:pPr>
        <w:rPr>
          <w:rFonts w:asciiTheme="majorHAnsi" w:hAnsiTheme="majorHAnsi" w:cstheme="majorHAnsi"/>
          <w:color w:val="00264D" w:themeColor="background2"/>
        </w:rPr>
      </w:pPr>
      <w:r w:rsidRPr="004523AB">
        <w:rPr>
          <w:rFonts w:asciiTheme="majorHAnsi" w:hAnsiTheme="majorHAnsi" w:cstheme="majorHAnsi"/>
          <w:color w:val="00264D" w:themeColor="background2"/>
        </w:rPr>
        <w:t>The evaluation found that the Program:</w:t>
      </w:r>
    </w:p>
    <w:p w14:paraId="438B8294" w14:textId="6A7EF78B" w:rsidR="00BB16B6" w:rsidRPr="004523AB" w:rsidRDefault="00BB16B6" w:rsidP="0099313E">
      <w:pPr>
        <w:pStyle w:val="ListBullet"/>
      </w:pPr>
      <w:r w:rsidRPr="004523AB">
        <w:t>was successfully delivered at a national level</w:t>
      </w:r>
    </w:p>
    <w:p w14:paraId="5A1D3B02" w14:textId="1B0684F7" w:rsidR="00BB16B6" w:rsidRPr="004523AB" w:rsidRDefault="00BB16B6" w:rsidP="0099313E">
      <w:pPr>
        <w:pStyle w:val="ListBullet"/>
      </w:pPr>
      <w:r w:rsidRPr="004523AB">
        <w:t>valued by recipients, and</w:t>
      </w:r>
    </w:p>
    <w:p w14:paraId="2E6DB45D" w14:textId="643E3B20" w:rsidR="00BB16B6" w:rsidRPr="004523AB" w:rsidRDefault="00BB16B6" w:rsidP="0099313E">
      <w:pPr>
        <w:pStyle w:val="ListBullet"/>
      </w:pPr>
      <w:r w:rsidRPr="004523AB">
        <w:t>effective in enabling early outcomes – supporting practices and ACCHOs to improve and expand access to high-quality, safe primary care.</w:t>
      </w:r>
    </w:p>
    <w:p w14:paraId="7CE5707E" w14:textId="41AD1832" w:rsidR="00BB16B6" w:rsidRPr="004523AB" w:rsidRDefault="00BB16B6" w:rsidP="004F6F70">
      <w:pPr>
        <w:rPr>
          <w:rFonts w:ascii="Segoe UI Semibold" w:hAnsi="Segoe UI Semibold" w:cs="Segoe UI Semibold"/>
          <w:color w:val="00264D" w:themeColor="background2"/>
        </w:rPr>
      </w:pPr>
      <w:r w:rsidRPr="004523AB">
        <w:rPr>
          <w:rFonts w:ascii="Segoe UI Semibold" w:hAnsi="Segoe UI Semibold" w:cs="Segoe UI Semibold"/>
          <w:color w:val="00264D" w:themeColor="background2"/>
        </w:rPr>
        <w:t>There were several lessons learnt to improve and enhance program design and implementation processes in future.</w:t>
      </w:r>
    </w:p>
    <w:p w14:paraId="2C26ECD4" w14:textId="6C44315F" w:rsidR="00427A87" w:rsidRPr="004523AB" w:rsidRDefault="00FB1B8E" w:rsidP="004F6F70">
      <w:pPr>
        <w:rPr>
          <w:rFonts w:asciiTheme="minorHAnsi" w:hAnsiTheme="minorHAnsi" w:cstheme="minorHAnsi"/>
        </w:rPr>
      </w:pPr>
      <w:r w:rsidRPr="004523AB">
        <w:rPr>
          <w:rFonts w:asciiTheme="minorHAnsi" w:hAnsiTheme="minorHAnsi" w:cstheme="minorHAnsi"/>
        </w:rPr>
        <w:t>To ensure the success of other programs of a similar scale and nature, several lessons learnt that build on the strengths of the Program have been highlighted. While it is understood that this was a one-off program, the lessons learnt can be considered for other comparable programs, whether they be related to non-competitive grant programs in health or primary care, programs involving multiple stakeholders such as PHNs or NACCHO, or programs related to the investment streams.</w:t>
      </w:r>
    </w:p>
    <w:p w14:paraId="65655113" w14:textId="09AC4A25" w:rsidR="00427A87" w:rsidRPr="004523AB" w:rsidRDefault="00427A87" w:rsidP="004F6F70">
      <w:r w:rsidRPr="004523AB">
        <w:t>Eight overarching lessons for future programs are presented below, aligned to the Commonwealth Grants Rules and Principles (CGRP) 2024,</w:t>
      </w:r>
      <w:r w:rsidR="004D3395" w:rsidRPr="004523AB">
        <w:rPr>
          <w:rStyle w:val="FootnoteReference"/>
          <w:lang w:eastAsia="en-AU"/>
        </w:rPr>
        <w:footnoteReference w:id="24"/>
      </w:r>
      <w:r w:rsidRPr="004523AB">
        <w:t xml:space="preserve">  with a focus on the principles of robust planning and design, collaboration and partnership, proportionality, outcomes orientation, consistency with grant guidelines and established processes (including policy), and governance and accountability.  Where relevant, lessons learnt also align to Australian Governments’ commitment to the National Agreement on Closing the Gap</w:t>
      </w:r>
      <w:bookmarkStart w:id="68" w:name="_Ref180150014"/>
      <w:r w:rsidR="009E09DD" w:rsidRPr="004523AB">
        <w:rPr>
          <w:rStyle w:val="FootnoteReference"/>
          <w:lang w:eastAsia="en-AU"/>
        </w:rPr>
        <w:footnoteReference w:id="25"/>
      </w:r>
      <w:bookmarkEnd w:id="68"/>
      <w:r w:rsidR="009F1439">
        <w:rPr>
          <w:lang w:eastAsia="en-AU"/>
        </w:rPr>
        <w:t xml:space="preserve"> </w:t>
      </w:r>
      <w:r w:rsidRPr="004523AB">
        <w:t>and the Quintuple Aim.</w:t>
      </w:r>
      <w:r w:rsidR="00593A26" w:rsidRPr="004523AB">
        <w:rPr>
          <w:rStyle w:val="FootnoteReference"/>
          <w:lang w:eastAsia="en-AU"/>
        </w:rPr>
        <w:footnoteReference w:id="26"/>
      </w:r>
      <w:r w:rsidRPr="004523AB">
        <w:t xml:space="preserve">  The alignment has been mapped in </w:t>
      </w:r>
      <w:r w:rsidR="00C84B98" w:rsidRPr="004523AB">
        <w:fldChar w:fldCharType="begin"/>
      </w:r>
      <w:r w:rsidR="00C84B98" w:rsidRPr="004523AB">
        <w:instrText xml:space="preserve"> REF _Ref184906099 \r \h </w:instrText>
      </w:r>
      <w:r w:rsidR="004523AB" w:rsidRPr="004523AB">
        <w:instrText xml:space="preserve"> \* MERGEFORMAT </w:instrText>
      </w:r>
      <w:r w:rsidR="00C84B98" w:rsidRPr="004523AB">
        <w:fldChar w:fldCharType="separate"/>
      </w:r>
      <w:r w:rsidR="00B96E50">
        <w:t>Appendix F</w:t>
      </w:r>
      <w:r w:rsidR="00C84B98" w:rsidRPr="004523AB">
        <w:fldChar w:fldCharType="end"/>
      </w:r>
      <w:r w:rsidRPr="004523AB">
        <w:t>.</w:t>
      </w:r>
    </w:p>
    <w:p w14:paraId="06D0499F" w14:textId="77777777" w:rsidR="00AD4ABF" w:rsidRPr="004523AB" w:rsidRDefault="003E1D09" w:rsidP="008A550C">
      <w:pPr>
        <w:pStyle w:val="Listnumbered"/>
        <w:numPr>
          <w:ilvl w:val="0"/>
          <w:numId w:val="20"/>
        </w:numPr>
      </w:pPr>
      <w:r w:rsidRPr="004523AB">
        <w:rPr>
          <w:rFonts w:asciiTheme="majorHAnsi" w:hAnsiTheme="majorHAnsi" w:cstheme="majorHAnsi"/>
        </w:rPr>
        <w:t>Comprehensive and inclusive engagement with all stakeholders for large scale, national programs will optimise design and implementation.</w:t>
      </w:r>
      <w:r w:rsidRPr="004523AB">
        <w:t xml:space="preserve"> While investment streams were established as part of an election commitment, the Department facilitated communication with PHN CEOs, a PHN working group and a short round of consultation with selected peak bodies to inform the processes and implementation of the Program. Including all stakeholders in co-design for a program of this scale could further optimise design and delivery.</w:t>
      </w:r>
      <w:r w:rsidR="0050311F" w:rsidRPr="004523AB">
        <w:t xml:space="preserve"> </w:t>
      </w:r>
    </w:p>
    <w:p w14:paraId="59F10144" w14:textId="77777777" w:rsidR="0050311F" w:rsidRPr="004523AB" w:rsidRDefault="0050311F" w:rsidP="0099313E">
      <w:pPr>
        <w:pStyle w:val="ListBullet"/>
      </w:pPr>
      <w:r w:rsidRPr="004523AB">
        <w:t>The PHN working group was valued by those involved, and future engagement with PHNs could encourage involvement from senior and operational representatives, leverage existing infrastructure (for example the PHN Collaborative), or involve an open expression of interest.</w:t>
      </w:r>
    </w:p>
    <w:p w14:paraId="6808271C" w14:textId="214B1F00" w:rsidR="0050311F" w:rsidRPr="004523AB" w:rsidRDefault="0050311F" w:rsidP="0099313E">
      <w:pPr>
        <w:pStyle w:val="ListBullet"/>
      </w:pPr>
      <w:r w:rsidRPr="004523AB">
        <w:t xml:space="preserve">The evaluation found that many stakeholders felt greater co-design could have occurred to ensure the process, eligibility criteria and investment streams were better aligned to the perspectives of practices and ACCHOs. A more robust co-design process to generate ideas and focus areas based in service delivery experience could have addressed many of the challenges that emerged through the Program. Involving all impacted stakeholders would be good practice. For the Program this included sector experts, peak bodies, general practitioners, </w:t>
      </w:r>
      <w:r w:rsidRPr="004523AB">
        <w:lastRenderedPageBreak/>
        <w:t xml:space="preserve">practice managers, PHNs, NACCHO and government agencies as well as a sample of practices or ACCHOs as practical.  </w:t>
      </w:r>
    </w:p>
    <w:p w14:paraId="795083CC" w14:textId="77777777" w:rsidR="00377CF4" w:rsidRPr="004523AB" w:rsidRDefault="0050311F" w:rsidP="008A550C">
      <w:pPr>
        <w:pStyle w:val="Listnumbered"/>
        <w:numPr>
          <w:ilvl w:val="0"/>
          <w:numId w:val="20"/>
        </w:numPr>
      </w:pPr>
      <w:r w:rsidRPr="004523AB">
        <w:rPr>
          <w:rFonts w:asciiTheme="majorHAnsi" w:hAnsiTheme="majorHAnsi" w:cstheme="majorHAnsi"/>
        </w:rPr>
        <w:t>Program design can incentivise behaviours that align to program objectives, including equity and accessibility.</w:t>
      </w:r>
      <w:r w:rsidRPr="004523AB">
        <w:t xml:space="preserve"> In the case of the Program, the three design principles including the non-competitive, streamlined and flexible application process for practices or expression of interest process for</w:t>
      </w:r>
      <w:r w:rsidR="00377CF4" w:rsidRPr="004523AB">
        <w:t xml:space="preserve"> ACCHOs, meant that it was mostly straightforward for all eligible recipients to access funds. The flexibility and choice for eligible spend across investment streams enabled optimal expenditure.</w:t>
      </w:r>
    </w:p>
    <w:p w14:paraId="5393D69C" w14:textId="77777777" w:rsidR="00160A43" w:rsidRPr="004523AB" w:rsidRDefault="00160A43" w:rsidP="0099313E">
      <w:pPr>
        <w:pStyle w:val="ListBullet"/>
      </w:pPr>
      <w:r w:rsidRPr="004523AB">
        <w:t xml:space="preserve">Non-competitive grants are appropriate when the aim of the grant is to create equitable access for practices or ACCHOs and move funding into health services as quickly as possible – a highly appropriate design feature for this Program. </w:t>
      </w:r>
    </w:p>
    <w:p w14:paraId="699D095E" w14:textId="77777777" w:rsidR="00160A43" w:rsidRPr="004523AB" w:rsidRDefault="00160A43" w:rsidP="0099313E">
      <w:pPr>
        <w:pStyle w:val="ListBullet"/>
      </w:pPr>
      <w:r w:rsidRPr="004523AB">
        <w:t>A streamlined and flexible application process, or expression of interest process is appropriate for smaller grant sizes and non-competitive grants as it reduces the burden on recipients to access funding. It can also be appropriate when there is a high volume of grants as it minimises the administrative burden across the delivery process for the administering organisation (in this case PHNs and NACCHO). The expression of interest process was highly effective due to strong relationships between NACCHO and all ACCHOs. This approach was appropriate for the Program given the diversity across practices, ACCHOs and PHNs and the need for regional and local tailoring.</w:t>
      </w:r>
    </w:p>
    <w:p w14:paraId="487D4E2A" w14:textId="77777777" w:rsidR="00160A43" w:rsidRPr="004523AB" w:rsidRDefault="00160A43" w:rsidP="0099313E">
      <w:pPr>
        <w:pStyle w:val="ListBullet"/>
      </w:pPr>
      <w:r w:rsidRPr="004523AB">
        <w:t xml:space="preserve">Flexibility in spending is appropriate when a primary aim of the grant is to support financial sustainability, however the investment streams should be defined in collaboration with practices and ACCHOs to ensure they are focused on the areas of greatest need, as well as policy priorities. </w:t>
      </w:r>
    </w:p>
    <w:p w14:paraId="220E580B" w14:textId="77777777" w:rsidR="00CC04B5" w:rsidRPr="004523AB" w:rsidRDefault="00CC04B5" w:rsidP="00FB1E5C">
      <w:pPr>
        <w:pStyle w:val="Listnumbered"/>
      </w:pPr>
      <w:r w:rsidRPr="004523AB">
        <w:t>Beyond the Program mechanisms, careful design of Program criteria means programs can contribute to shared benefits towards the broader policy objective and promote equity of access.</w:t>
      </w:r>
    </w:p>
    <w:p w14:paraId="1B5455BF" w14:textId="77777777" w:rsidR="00CC04B5" w:rsidRPr="004523AB" w:rsidRDefault="00CC04B5" w:rsidP="00FB1E5C">
      <w:pPr>
        <w:pStyle w:val="Listnumbered"/>
      </w:pPr>
      <w:r w:rsidRPr="004523AB">
        <w:t xml:space="preserve">While the Program aligned well to the broader Strengthening Medicare agenda, the eligibility and criteria for how funds were allocated was noted to have potentially adverse impacts on some practices. Despite most stakeholders feeling that General Practitioner FTE was appropriate to determine grant size, some noted that because funding allocation was based on general practitioner FTE, those clinics adopting models in line with the Strengthening Medicare Agenda, including nurse-led and team-based models, were adversely ineligible for the larger grant amounts. </w:t>
      </w:r>
    </w:p>
    <w:p w14:paraId="049F66D9" w14:textId="2270BFF0" w:rsidR="00F14983" w:rsidRPr="004523AB" w:rsidRDefault="00CC04B5" w:rsidP="00CC04B5">
      <w:pPr>
        <w:pStyle w:val="Listnumbered"/>
      </w:pPr>
      <w:r w:rsidRPr="004523AB">
        <w:t>Equity should be considered in similar, future programs, as it was for the Program. This includes from both a service point of view in that all services, no matter their location, size or operating structure should have equitable access to the non-competitive opportunity. While there is no perfect formula to allocate funds across a diverse primary care service providers, consideration should be given to the demographics of the communities served, such as those services that provide care for communities at greater risk of exclusion or that face additional access barriers.</w:t>
      </w:r>
    </w:p>
    <w:p w14:paraId="73F131DD" w14:textId="77777777" w:rsidR="00F14983" w:rsidRPr="004523AB" w:rsidRDefault="00F14983" w:rsidP="00FC28F1">
      <w:pPr>
        <w:pStyle w:val="Listnumbered"/>
        <w:numPr>
          <w:ilvl w:val="0"/>
          <w:numId w:val="34"/>
        </w:numPr>
      </w:pPr>
      <w:r w:rsidRPr="004523AB">
        <w:rPr>
          <w:rFonts w:asciiTheme="majorHAnsi" w:hAnsiTheme="majorHAnsi" w:cstheme="majorHAnsi"/>
        </w:rPr>
        <w:t>Involving NACCHO early in the design of all programs related to First Nations primary care is critical. There are opportunities to translate good practice within the ACCHO sector to future national program design.</w:t>
      </w:r>
      <w:r w:rsidRPr="004523AB">
        <w:t xml:space="preserve"> Late engagement with NACCHO meant that the design could </w:t>
      </w:r>
      <w:r w:rsidRPr="004523AB">
        <w:lastRenderedPageBreak/>
        <w:t xml:space="preserve">have better reflected the primary care needs of ACCHOs and First Nations communities and avoided rushed and time-pressured program delivery. Doing this well will support the Department’s ongoing and critical relationship with NACCHO. In the case of the Program, there was much that could have been learnt early on from NACCHO about how to best administer the Program to ACCHOs, including streamlined agreements directly with NACCHO, tailored allocation criteria and communications. There may have been lessons or advice for PHNs from early engagement with NACCHO, given that NACCHO is familiar and well-practised in distributing large volumes of grants and the process for administering grant funds to ACCHOs was relatively challenge-free. </w:t>
      </w:r>
    </w:p>
    <w:p w14:paraId="7707ECA9" w14:textId="77777777" w:rsidR="002A0818" w:rsidRPr="004523AB" w:rsidRDefault="002A0818" w:rsidP="00FC28F1">
      <w:pPr>
        <w:pStyle w:val="Listnumbered"/>
        <w:numPr>
          <w:ilvl w:val="0"/>
          <w:numId w:val="34"/>
        </w:numPr>
      </w:pPr>
      <w:r w:rsidRPr="004523AB">
        <w:rPr>
          <w:rFonts w:asciiTheme="majorHAnsi" w:hAnsiTheme="majorHAnsi" w:cstheme="majorHAnsi"/>
        </w:rPr>
        <w:t>Programs that leverage those who have trusted relationships and understanding of the target recipients, such as NACCHO and PHNs, have foundations for success.</w:t>
      </w:r>
      <w:r w:rsidRPr="004523AB">
        <w:t xml:space="preserve"> Utilising PHNs and NACCHO as a delivery partner for the Program was highly appropriate and effective. The grants were distributed quickly and could involve those on the ground with trusted relationships. It also strengthened the relationships PHNs and NACCHO have with practices and ACCHOs respectively. It is essential that partners feel that their involvement and perspectives are valued in the process.  </w:t>
      </w:r>
    </w:p>
    <w:p w14:paraId="0914850D" w14:textId="77777777" w:rsidR="00327F3D" w:rsidRPr="004523AB" w:rsidRDefault="00327F3D" w:rsidP="00FC28F1">
      <w:pPr>
        <w:pStyle w:val="Listnumbered"/>
        <w:numPr>
          <w:ilvl w:val="0"/>
          <w:numId w:val="34"/>
        </w:numPr>
      </w:pPr>
      <w:r w:rsidRPr="004523AB">
        <w:rPr>
          <w:rFonts w:asciiTheme="majorHAnsi" w:hAnsiTheme="majorHAnsi" w:cstheme="majorHAnsi"/>
        </w:rPr>
        <w:t xml:space="preserve">When multiple partners are involved in program delivery, graduated support for varying levels of operational maturity may assist effective implementation. </w:t>
      </w:r>
      <w:r w:rsidRPr="004523AB">
        <w:t xml:space="preserve">PHNs and NACCHO were critical delivery partners to accessing practices and ACCHOs as part of the Program, and some were better equipped than others based on their existing digital, grants or administrative infrastructure. Those that did not have existing grants management software or infrastructure were unsure how to go about delivering a program like this and, in some cases, ended up taking a very manual, time-consuming approach to grant distribution. Understanding the delivery implications for partners may have allowed the Department to provide targeted advice or options to those PHNs without existing infrastructure or approaches to grants distribution. While variability across PHNs was observed, NACCHO were well equipped to administer the Program to ACCHOs given grant funding is a core existing funding stream for ACCHOs and established processes were in place. </w:t>
      </w:r>
    </w:p>
    <w:p w14:paraId="1F1EEE55" w14:textId="77777777" w:rsidR="00F21492" w:rsidRPr="004523AB" w:rsidRDefault="00F21492" w:rsidP="00FC28F1">
      <w:pPr>
        <w:pStyle w:val="Listnumbered"/>
        <w:numPr>
          <w:ilvl w:val="0"/>
          <w:numId w:val="34"/>
        </w:numPr>
      </w:pPr>
      <w:r w:rsidRPr="004523AB">
        <w:rPr>
          <w:rFonts w:asciiTheme="majorHAnsi" w:hAnsiTheme="majorHAnsi" w:cstheme="majorHAnsi"/>
        </w:rPr>
        <w:t>Communications for large programs involving multiple stakeholders need to be timely, tested and well-thought through for end users.</w:t>
      </w:r>
      <w:r w:rsidRPr="004523AB">
        <w:t xml:space="preserve"> Overall, the materials prepared for the Program were valued and effective. The Department was quick to adjust communications approaches both in the type of communications and the materials that were distributed based on feedback from PHNs, NACCHO and eligible practices, which was highly valued by stakeholders. Earlier considerations, testing or involvement of communications experts (within the Department or PHNs and NACCHO) could have meant fewer adjustments and changes during implementation. </w:t>
      </w:r>
    </w:p>
    <w:p w14:paraId="5664DC3E" w14:textId="77777777" w:rsidR="00224C9C" w:rsidRPr="004523AB" w:rsidRDefault="00224C9C" w:rsidP="00FC28F1">
      <w:pPr>
        <w:pStyle w:val="Listnumbered"/>
        <w:numPr>
          <w:ilvl w:val="0"/>
          <w:numId w:val="34"/>
        </w:numPr>
      </w:pPr>
      <w:r w:rsidRPr="004523AB">
        <w:rPr>
          <w:rFonts w:asciiTheme="majorHAnsi" w:hAnsiTheme="majorHAnsi" w:cstheme="majorHAnsi"/>
        </w:rPr>
        <w:t>Additional benefits for broader policy outcomes, beyond the immediate program objectives, can be achieved through program delivery.</w:t>
      </w:r>
      <w:r w:rsidRPr="004523AB">
        <w:t xml:space="preserve"> An unintended benefit of the Program implementation was the strengthening of PHN to practice relationships and the improvement of local contact details and a national, system-level practice database to support future work. Producing a full list of all practices required a significant amount of work from the Department and PHNs. Maintaining this list will reduce the upfront time required for any future programs. </w:t>
      </w:r>
    </w:p>
    <w:p w14:paraId="0C95B442" w14:textId="77777777" w:rsidR="007818AF" w:rsidRPr="004523AB" w:rsidRDefault="007818AF" w:rsidP="00FC28F1">
      <w:pPr>
        <w:pStyle w:val="Listnumbered"/>
        <w:numPr>
          <w:ilvl w:val="0"/>
          <w:numId w:val="34"/>
        </w:numPr>
      </w:pPr>
      <w:r w:rsidRPr="004523AB">
        <w:rPr>
          <w:rFonts w:asciiTheme="majorHAnsi" w:hAnsiTheme="majorHAnsi" w:cstheme="majorHAnsi"/>
        </w:rPr>
        <w:lastRenderedPageBreak/>
        <w:t xml:space="preserve">Reporting and acquittal, ongoing monitoring and evaluation should be part of early design, and be proportional to the level of funding, administrative effort, and long-term impact. </w:t>
      </w:r>
      <w:r w:rsidRPr="004523AB">
        <w:t>The governance arrangements for the Program enabled appropriate transparency and were broadly proportionate for grant recipients. The change to digital financial acquittal reporting impacted a small portion of grant recipients who spend their funds early and were required to duplicate their reporting – in some cases the PHNs took on this repeated activity. The early case studies and compliance/audit process for those practices that were invited or required to participate, in addition to the financial acquittal report and self-evaluation survey, increased burden disproportionately for that small cohort. Efforts to exclude practices who were part of the audit/compliance activity from the interview sampling were appropriate. Incorporation of reporting, acquittal, monitoring and evaluation processes in the design phase to allow early planning and tool development would have prevented duplicative effort and streamlined processes.  Being clear on realistic completion dates for programs will allow time to develop these mechanisms thoughtfully.</w:t>
      </w:r>
    </w:p>
    <w:p w14:paraId="6630EF50" w14:textId="77777777" w:rsidR="007818AF" w:rsidRPr="004523AB" w:rsidRDefault="007818AF" w:rsidP="007818AF">
      <w:pPr>
        <w:pStyle w:val="Listnumbered"/>
      </w:pPr>
      <w:r w:rsidRPr="004523AB">
        <w:t xml:space="preserve">The Department should continue to evaluate and monitor for outcomes on programs where the intended outcomes may eventuate in the medium to long term. The evaluation was able to explore early and anecdotal outcomes of the Program, drawing largely on the perspectives of stakeholders and to reduce quantitative data collection burdens on participating practices. </w:t>
      </w:r>
      <w:proofErr w:type="gramStart"/>
      <w:r w:rsidRPr="004523AB">
        <w:t>In order to</w:t>
      </w:r>
      <w:proofErr w:type="gramEnd"/>
      <w:r w:rsidRPr="004523AB">
        <w:t xml:space="preserve"> continue to capture learnings from a program of such significant government investment, the Department should consider ongoing, proportionate monitoring and evaluation of the Program to continue to understand the sustainability of Program impact for target communities.</w:t>
      </w:r>
    </w:p>
    <w:p w14:paraId="22D6D633" w14:textId="08316498" w:rsidR="00953D8B" w:rsidRPr="004523AB" w:rsidRDefault="00342182" w:rsidP="00F10193">
      <w:pPr>
        <w:pStyle w:val="Listnumbered"/>
      </w:pPr>
      <w:r w:rsidRPr="004523AB">
        <w:t>All lessons learnt should be considered within the context of the data that were collected as part of this evaluation and should be applied, contextually, to future programs only where relevant.</w:t>
      </w:r>
    </w:p>
    <w:p w14:paraId="69ECCDCB" w14:textId="77777777" w:rsidR="007C0A57" w:rsidRPr="004523AB" w:rsidRDefault="007C0A57">
      <w:pPr>
        <w:spacing w:after="165" w:line="259" w:lineRule="auto"/>
      </w:pPr>
      <w:r w:rsidRPr="004523AB">
        <w:br w:type="page"/>
      </w:r>
    </w:p>
    <w:p w14:paraId="0564D44E" w14:textId="68295D8F" w:rsidR="00953D8B" w:rsidRPr="004523AB" w:rsidRDefault="00DD79CC" w:rsidP="00DD79CC">
      <w:pPr>
        <w:pStyle w:val="xAppendixLevel1"/>
      </w:pPr>
      <w:bookmarkStart w:id="69" w:name="_Ref184972581"/>
      <w:bookmarkStart w:id="70" w:name="_Toc184982768"/>
      <w:r w:rsidRPr="004523AB">
        <w:lastRenderedPageBreak/>
        <w:t>Data collection approach and responses</w:t>
      </w:r>
      <w:bookmarkEnd w:id="69"/>
      <w:bookmarkEnd w:id="70"/>
      <w:r w:rsidRPr="004523AB">
        <w:t xml:space="preserve"> </w:t>
      </w:r>
    </w:p>
    <w:p w14:paraId="2D2335FC" w14:textId="5A8017ED" w:rsidR="00DD79CC" w:rsidRPr="004523AB" w:rsidRDefault="0089088B" w:rsidP="00DD79CC">
      <w:pPr>
        <w:rPr>
          <w:rFonts w:ascii="Segoe UI Semibold" w:hAnsi="Segoe UI Semibold" w:cs="Segoe UI Semibold"/>
          <w:color w:val="00264D" w:themeColor="background2"/>
        </w:rPr>
      </w:pPr>
      <w:r w:rsidRPr="004523AB">
        <w:rPr>
          <w:rFonts w:ascii="Segoe UI Semibold" w:hAnsi="Segoe UI Semibold" w:cs="Segoe UI Semibold"/>
          <w:color w:val="00264D" w:themeColor="background2"/>
        </w:rPr>
        <w:t>This section details the data collection methods and analysis plans.</w:t>
      </w:r>
    </w:p>
    <w:p w14:paraId="3C3B98EA" w14:textId="2932EB0E" w:rsidR="004A667B" w:rsidRPr="004523AB" w:rsidRDefault="004D412E" w:rsidP="00DD79CC">
      <w:pPr>
        <w:rPr>
          <w:rFonts w:asciiTheme="minorHAnsi" w:hAnsiTheme="minorHAnsi" w:cstheme="minorHAnsi"/>
          <w:lang w:eastAsia="en-AU"/>
        </w:rPr>
      </w:pPr>
      <w:r w:rsidRPr="004523AB">
        <w:rPr>
          <w:rFonts w:asciiTheme="minorHAnsi" w:hAnsiTheme="minorHAnsi" w:cstheme="minorHAnsi"/>
          <w:lang w:eastAsia="en-AU"/>
        </w:rPr>
        <w:t xml:space="preserve">The evaluation used qualitative and quantitative methods, as shown in </w:t>
      </w:r>
      <w:r w:rsidR="00A94044" w:rsidRPr="004523AB">
        <w:rPr>
          <w:rFonts w:asciiTheme="minorHAnsi" w:hAnsiTheme="minorHAnsi" w:cstheme="minorHAnsi"/>
          <w:lang w:eastAsia="en-AU"/>
        </w:rPr>
        <w:fldChar w:fldCharType="begin"/>
      </w:r>
      <w:r w:rsidR="00A94044" w:rsidRPr="004523AB">
        <w:rPr>
          <w:rFonts w:asciiTheme="minorHAnsi" w:hAnsiTheme="minorHAnsi" w:cstheme="minorHAnsi"/>
          <w:lang w:eastAsia="en-AU"/>
        </w:rPr>
        <w:instrText xml:space="preserve"> REF _Ref184920781 \h </w:instrText>
      </w:r>
      <w:r w:rsidR="004523AB" w:rsidRPr="004523AB">
        <w:rPr>
          <w:rFonts w:asciiTheme="minorHAnsi" w:hAnsiTheme="minorHAnsi" w:cstheme="minorHAnsi"/>
          <w:lang w:eastAsia="en-AU"/>
        </w:rPr>
        <w:instrText xml:space="preserve"> \* MERGEFORMAT </w:instrText>
      </w:r>
      <w:r w:rsidR="00A94044" w:rsidRPr="004523AB">
        <w:rPr>
          <w:rFonts w:asciiTheme="minorHAnsi" w:hAnsiTheme="minorHAnsi" w:cstheme="minorHAnsi"/>
          <w:lang w:eastAsia="en-AU"/>
        </w:rPr>
      </w:r>
      <w:r w:rsidR="00A94044" w:rsidRPr="004523AB">
        <w:rPr>
          <w:rFonts w:asciiTheme="minorHAnsi" w:hAnsiTheme="minorHAnsi" w:cstheme="minorHAnsi"/>
          <w:lang w:eastAsia="en-AU"/>
        </w:rPr>
        <w:fldChar w:fldCharType="separate"/>
      </w:r>
      <w:r w:rsidR="00B96E50" w:rsidRPr="004523AB">
        <w:t xml:space="preserve">Table </w:t>
      </w:r>
      <w:r w:rsidR="00B96E50">
        <w:rPr>
          <w:noProof/>
        </w:rPr>
        <w:t>18</w:t>
      </w:r>
      <w:r w:rsidR="00A94044" w:rsidRPr="004523AB">
        <w:rPr>
          <w:rFonts w:asciiTheme="minorHAnsi" w:hAnsiTheme="minorHAnsi" w:cstheme="minorHAnsi"/>
          <w:lang w:eastAsia="en-AU"/>
        </w:rPr>
        <w:fldChar w:fldCharType="end"/>
      </w:r>
      <w:r w:rsidR="00660118" w:rsidRPr="004523AB">
        <w:rPr>
          <w:rFonts w:asciiTheme="minorHAnsi" w:hAnsiTheme="minorHAnsi" w:cstheme="minorHAnsi"/>
          <w:lang w:eastAsia="en-AU"/>
        </w:rPr>
        <w:t xml:space="preserve"> and </w:t>
      </w:r>
      <w:r w:rsidR="00660118" w:rsidRPr="004523AB">
        <w:rPr>
          <w:rFonts w:asciiTheme="minorHAnsi" w:hAnsiTheme="minorHAnsi" w:cstheme="minorHAnsi"/>
          <w:lang w:eastAsia="en-AU"/>
        </w:rPr>
        <w:fldChar w:fldCharType="begin"/>
      </w:r>
      <w:r w:rsidR="00660118" w:rsidRPr="004523AB">
        <w:rPr>
          <w:rFonts w:asciiTheme="minorHAnsi" w:hAnsiTheme="minorHAnsi" w:cstheme="minorHAnsi"/>
          <w:lang w:eastAsia="en-AU"/>
        </w:rPr>
        <w:instrText xml:space="preserve"> REF _Ref184920781 \h </w:instrText>
      </w:r>
      <w:r w:rsidR="004523AB" w:rsidRPr="004523AB">
        <w:rPr>
          <w:rFonts w:asciiTheme="minorHAnsi" w:hAnsiTheme="minorHAnsi" w:cstheme="minorHAnsi"/>
          <w:lang w:eastAsia="en-AU"/>
        </w:rPr>
        <w:instrText xml:space="preserve"> \* MERGEFORMAT </w:instrText>
      </w:r>
      <w:r w:rsidR="00660118" w:rsidRPr="004523AB">
        <w:rPr>
          <w:rFonts w:asciiTheme="minorHAnsi" w:hAnsiTheme="minorHAnsi" w:cstheme="minorHAnsi"/>
          <w:lang w:eastAsia="en-AU"/>
        </w:rPr>
      </w:r>
      <w:r w:rsidR="00660118" w:rsidRPr="004523AB">
        <w:rPr>
          <w:rFonts w:asciiTheme="minorHAnsi" w:hAnsiTheme="minorHAnsi" w:cstheme="minorHAnsi"/>
          <w:lang w:eastAsia="en-AU"/>
        </w:rPr>
        <w:fldChar w:fldCharType="separate"/>
      </w:r>
      <w:r w:rsidR="00B96E50" w:rsidRPr="004523AB">
        <w:t xml:space="preserve">Table </w:t>
      </w:r>
      <w:r w:rsidR="00B96E50">
        <w:rPr>
          <w:noProof/>
        </w:rPr>
        <w:t>18</w:t>
      </w:r>
      <w:r w:rsidR="00660118" w:rsidRPr="004523AB">
        <w:rPr>
          <w:rFonts w:asciiTheme="minorHAnsi" w:hAnsiTheme="minorHAnsi" w:cstheme="minorHAnsi"/>
          <w:lang w:eastAsia="en-AU"/>
        </w:rPr>
        <w:fldChar w:fldCharType="end"/>
      </w:r>
      <w:r w:rsidRPr="004523AB">
        <w:rPr>
          <w:rFonts w:asciiTheme="minorHAnsi" w:hAnsiTheme="minorHAnsi" w:cstheme="minorHAnsi"/>
          <w:lang w:eastAsia="en-AU"/>
        </w:rPr>
        <w:t xml:space="preserve">. This mixed methods approach enabled triangulation of data sources. The below shows the data collection approach aligned to the final program timelines, and response rates by PHN for the practice self-evaluation survey is shown in </w:t>
      </w:r>
      <w:r w:rsidR="00702B2F" w:rsidRPr="004523AB">
        <w:rPr>
          <w:rFonts w:asciiTheme="minorHAnsi" w:hAnsiTheme="minorHAnsi" w:cstheme="minorHAnsi"/>
          <w:lang w:eastAsia="en-AU"/>
        </w:rPr>
        <w:fldChar w:fldCharType="begin"/>
      </w:r>
      <w:r w:rsidR="00702B2F" w:rsidRPr="004523AB">
        <w:rPr>
          <w:rFonts w:asciiTheme="minorHAnsi" w:hAnsiTheme="minorHAnsi" w:cstheme="minorHAnsi"/>
          <w:lang w:eastAsia="en-AU"/>
        </w:rPr>
        <w:instrText xml:space="preserve"> REF _Ref184889810 \h </w:instrText>
      </w:r>
      <w:r w:rsidR="004523AB" w:rsidRPr="004523AB">
        <w:rPr>
          <w:rFonts w:asciiTheme="minorHAnsi" w:hAnsiTheme="minorHAnsi" w:cstheme="minorHAnsi"/>
          <w:lang w:eastAsia="en-AU"/>
        </w:rPr>
        <w:instrText xml:space="preserve"> \* MERGEFORMAT </w:instrText>
      </w:r>
      <w:r w:rsidR="00702B2F" w:rsidRPr="004523AB">
        <w:rPr>
          <w:rFonts w:asciiTheme="minorHAnsi" w:hAnsiTheme="minorHAnsi" w:cstheme="minorHAnsi"/>
          <w:lang w:eastAsia="en-AU"/>
        </w:rPr>
      </w:r>
      <w:r w:rsidR="00702B2F" w:rsidRPr="004523AB">
        <w:rPr>
          <w:rFonts w:asciiTheme="minorHAnsi" w:hAnsiTheme="minorHAnsi" w:cstheme="minorHAnsi"/>
          <w:lang w:eastAsia="en-AU"/>
        </w:rPr>
        <w:fldChar w:fldCharType="separate"/>
      </w:r>
      <w:r w:rsidR="00B96E50" w:rsidRPr="004523AB">
        <w:t xml:space="preserve">Table </w:t>
      </w:r>
      <w:r w:rsidR="00B96E50">
        <w:rPr>
          <w:noProof/>
        </w:rPr>
        <w:t>17</w:t>
      </w:r>
      <w:r w:rsidR="00702B2F" w:rsidRPr="004523AB">
        <w:rPr>
          <w:rFonts w:asciiTheme="minorHAnsi" w:hAnsiTheme="minorHAnsi" w:cstheme="minorHAnsi"/>
          <w:lang w:eastAsia="en-AU"/>
        </w:rPr>
        <w:fldChar w:fldCharType="end"/>
      </w:r>
      <w:r w:rsidRPr="004523AB">
        <w:rPr>
          <w:rFonts w:asciiTheme="minorHAnsi" w:hAnsiTheme="minorHAnsi" w:cstheme="minorHAnsi"/>
          <w:lang w:eastAsia="en-AU"/>
        </w:rPr>
        <w:t>.</w:t>
      </w:r>
    </w:p>
    <w:p w14:paraId="474B88BA" w14:textId="63350F2C" w:rsidR="00660118" w:rsidRPr="004523AB" w:rsidRDefault="00637B60" w:rsidP="00660118">
      <w:pPr>
        <w:pStyle w:val="Caption"/>
      </w:pPr>
      <w:bookmarkStart w:id="71" w:name="_Ref184889810"/>
      <w:r w:rsidRPr="004523AB">
        <w:t xml:space="preserve">Table </w:t>
      </w:r>
      <w:r w:rsidRPr="004523AB">
        <w:fldChar w:fldCharType="begin"/>
      </w:r>
      <w:r w:rsidRPr="004523AB">
        <w:instrText xml:space="preserve"> SEQ Table \* ARABIC </w:instrText>
      </w:r>
      <w:r w:rsidRPr="004523AB">
        <w:fldChar w:fldCharType="separate"/>
      </w:r>
      <w:r w:rsidR="00B96E50">
        <w:rPr>
          <w:noProof/>
        </w:rPr>
        <w:t>17</w:t>
      </w:r>
      <w:r w:rsidRPr="004523AB">
        <w:fldChar w:fldCharType="end"/>
      </w:r>
      <w:bookmarkEnd w:id="71"/>
      <w:r w:rsidRPr="004523AB">
        <w:t xml:space="preserve"> |</w:t>
      </w:r>
      <w:r w:rsidR="00702B2F" w:rsidRPr="004523AB">
        <w:t xml:space="preserve"> </w:t>
      </w:r>
      <w:r w:rsidR="00660118" w:rsidRPr="004523AB">
        <w:t>Stakeholder engagement approach</w:t>
      </w:r>
    </w:p>
    <w:tbl>
      <w:tblPr>
        <w:tblStyle w:val="AccessibleNousTable"/>
        <w:tblW w:w="0" w:type="auto"/>
        <w:tblLook w:val="04A0" w:firstRow="1" w:lastRow="0" w:firstColumn="1" w:lastColumn="0" w:noHBand="0" w:noVBand="1"/>
      </w:tblPr>
      <w:tblGrid>
        <w:gridCol w:w="2436"/>
        <w:gridCol w:w="2409"/>
        <w:gridCol w:w="2329"/>
        <w:gridCol w:w="2000"/>
      </w:tblGrid>
      <w:tr w:rsidR="003B5B68" w:rsidRPr="004523AB" w14:paraId="78DA8D37" w14:textId="77777777" w:rsidTr="0099313E">
        <w:trPr>
          <w:cnfStyle w:val="100000000000" w:firstRow="1" w:lastRow="0" w:firstColumn="0" w:lastColumn="0" w:oddVBand="0" w:evenVBand="0" w:oddHBand="0" w:evenHBand="0" w:firstRowFirstColumn="0" w:firstRowLastColumn="0" w:lastRowFirstColumn="0" w:lastRowLastColumn="0"/>
          <w:tblHeader/>
        </w:trPr>
        <w:tc>
          <w:tcPr>
            <w:tcW w:w="2436" w:type="dxa"/>
          </w:tcPr>
          <w:p w14:paraId="7F466DDE" w14:textId="77777777" w:rsidR="003B5B68" w:rsidRPr="004523AB" w:rsidRDefault="003B5B68">
            <w:pPr>
              <w:rPr>
                <w:rFonts w:asciiTheme="majorHAnsi" w:hAnsiTheme="majorHAnsi" w:cstheme="majorHAnsi"/>
                <w:szCs w:val="21"/>
                <w:lang w:eastAsia="en-AU"/>
              </w:rPr>
            </w:pPr>
            <w:r w:rsidRPr="004523AB">
              <w:rPr>
                <w:rFonts w:asciiTheme="majorHAnsi" w:hAnsiTheme="majorHAnsi" w:cstheme="majorHAnsi"/>
                <w:szCs w:val="21"/>
                <w:lang w:eastAsia="en-AU"/>
              </w:rPr>
              <w:t>Stakeholder engagement type</w:t>
            </w:r>
          </w:p>
        </w:tc>
        <w:tc>
          <w:tcPr>
            <w:tcW w:w="2409" w:type="dxa"/>
          </w:tcPr>
          <w:p w14:paraId="4BF1EA97" w14:textId="77777777" w:rsidR="003B5B68" w:rsidRPr="004523AB" w:rsidRDefault="003B5B68">
            <w:pPr>
              <w:rPr>
                <w:rFonts w:asciiTheme="majorHAnsi" w:hAnsiTheme="majorHAnsi" w:cstheme="majorHAnsi"/>
                <w:szCs w:val="21"/>
                <w:lang w:eastAsia="en-AU"/>
              </w:rPr>
            </w:pPr>
            <w:r w:rsidRPr="004523AB">
              <w:rPr>
                <w:rFonts w:asciiTheme="majorHAnsi" w:hAnsiTheme="majorHAnsi" w:cstheme="majorHAnsi"/>
                <w:szCs w:val="21"/>
                <w:lang w:eastAsia="en-AU"/>
              </w:rPr>
              <w:t>Stakeholder</w:t>
            </w:r>
          </w:p>
        </w:tc>
        <w:tc>
          <w:tcPr>
            <w:tcW w:w="2329" w:type="dxa"/>
          </w:tcPr>
          <w:p w14:paraId="1AC16FF6" w14:textId="77777777" w:rsidR="003B5B68" w:rsidRPr="004523AB" w:rsidRDefault="003B5B68">
            <w:pPr>
              <w:rPr>
                <w:rFonts w:asciiTheme="majorHAnsi" w:hAnsiTheme="majorHAnsi" w:cstheme="majorHAnsi"/>
                <w:szCs w:val="21"/>
                <w:lang w:eastAsia="en-AU"/>
              </w:rPr>
            </w:pPr>
            <w:r w:rsidRPr="004523AB">
              <w:rPr>
                <w:rFonts w:asciiTheme="majorHAnsi" w:hAnsiTheme="majorHAnsi" w:cstheme="majorHAnsi"/>
                <w:szCs w:val="21"/>
                <w:lang w:eastAsia="en-AU"/>
              </w:rPr>
              <w:t>Response rate</w:t>
            </w:r>
          </w:p>
        </w:tc>
        <w:tc>
          <w:tcPr>
            <w:tcW w:w="2000" w:type="dxa"/>
          </w:tcPr>
          <w:p w14:paraId="09F0E053" w14:textId="77777777" w:rsidR="003B5B68" w:rsidRPr="004523AB" w:rsidRDefault="003B5B68">
            <w:pPr>
              <w:rPr>
                <w:rFonts w:asciiTheme="majorHAnsi" w:hAnsiTheme="majorHAnsi" w:cstheme="majorHAnsi"/>
                <w:szCs w:val="21"/>
                <w:lang w:eastAsia="en-AU"/>
              </w:rPr>
            </w:pPr>
            <w:r w:rsidRPr="004523AB">
              <w:rPr>
                <w:rFonts w:asciiTheme="majorHAnsi" w:hAnsiTheme="majorHAnsi" w:cstheme="majorHAnsi"/>
                <w:szCs w:val="21"/>
                <w:lang w:eastAsia="en-AU"/>
              </w:rPr>
              <w:t>Time period engaged</w:t>
            </w:r>
          </w:p>
        </w:tc>
      </w:tr>
      <w:tr w:rsidR="003B5B68" w:rsidRPr="004523AB" w14:paraId="38C08B60" w14:textId="77777777">
        <w:tc>
          <w:tcPr>
            <w:tcW w:w="2436" w:type="dxa"/>
          </w:tcPr>
          <w:p w14:paraId="7368789B" w14:textId="77777777" w:rsidR="003B5B68" w:rsidRPr="004523AB" w:rsidRDefault="003B5B68">
            <w:pPr>
              <w:rPr>
                <w:lang w:eastAsia="en-AU"/>
              </w:rPr>
            </w:pPr>
            <w:r w:rsidRPr="004523AB">
              <w:rPr>
                <w:lang w:eastAsia="en-AU"/>
              </w:rPr>
              <w:t>Surveys</w:t>
            </w:r>
          </w:p>
        </w:tc>
        <w:tc>
          <w:tcPr>
            <w:tcW w:w="2409" w:type="dxa"/>
          </w:tcPr>
          <w:p w14:paraId="09E7B571" w14:textId="77777777" w:rsidR="003B5B68" w:rsidRPr="004523AB" w:rsidRDefault="003B5B68">
            <w:pPr>
              <w:rPr>
                <w:lang w:eastAsia="en-AU"/>
              </w:rPr>
            </w:pPr>
            <w:r w:rsidRPr="004523AB">
              <w:rPr>
                <w:lang w:eastAsia="en-AU"/>
              </w:rPr>
              <w:t>Grant recipient</w:t>
            </w:r>
          </w:p>
        </w:tc>
        <w:tc>
          <w:tcPr>
            <w:tcW w:w="2329" w:type="dxa"/>
          </w:tcPr>
          <w:p w14:paraId="19286F85" w14:textId="77777777" w:rsidR="003B5B68" w:rsidRPr="004523AB" w:rsidRDefault="003B5B68">
            <w:pPr>
              <w:rPr>
                <w:lang w:eastAsia="en-AU"/>
              </w:rPr>
            </w:pPr>
            <w:r w:rsidRPr="004523AB">
              <w:rPr>
                <w:lang w:eastAsia="en-AU"/>
              </w:rPr>
              <w:t xml:space="preserve">5327 out of approximately 8000 </w:t>
            </w:r>
          </w:p>
        </w:tc>
        <w:tc>
          <w:tcPr>
            <w:tcW w:w="2000" w:type="dxa"/>
          </w:tcPr>
          <w:p w14:paraId="3F4AEF06" w14:textId="77777777" w:rsidR="003B5B68" w:rsidRPr="004523AB" w:rsidRDefault="003B5B68">
            <w:pPr>
              <w:rPr>
                <w:lang w:eastAsia="en-AU"/>
              </w:rPr>
            </w:pPr>
            <w:r w:rsidRPr="004523AB">
              <w:rPr>
                <w:lang w:eastAsia="en-AU"/>
              </w:rPr>
              <w:t>February 2024 to September 2024</w:t>
            </w:r>
          </w:p>
        </w:tc>
      </w:tr>
      <w:tr w:rsidR="003B5B68" w:rsidRPr="004523AB" w14:paraId="2D48D3FF" w14:textId="77777777">
        <w:tc>
          <w:tcPr>
            <w:tcW w:w="2436" w:type="dxa"/>
          </w:tcPr>
          <w:p w14:paraId="4DAFC5AE" w14:textId="77777777" w:rsidR="003B5B68" w:rsidRPr="004523AB" w:rsidRDefault="003B5B68">
            <w:pPr>
              <w:rPr>
                <w:lang w:eastAsia="en-AU"/>
              </w:rPr>
            </w:pPr>
            <w:r w:rsidRPr="004523AB">
              <w:rPr>
                <w:lang w:eastAsia="en-AU"/>
              </w:rPr>
              <w:t>Surveys</w:t>
            </w:r>
          </w:p>
        </w:tc>
        <w:tc>
          <w:tcPr>
            <w:tcW w:w="2409" w:type="dxa"/>
          </w:tcPr>
          <w:p w14:paraId="6B3F7BF3" w14:textId="77777777" w:rsidR="003B5B68" w:rsidRPr="004523AB" w:rsidRDefault="003B5B68">
            <w:pPr>
              <w:rPr>
                <w:lang w:eastAsia="en-AU"/>
              </w:rPr>
            </w:pPr>
            <w:r w:rsidRPr="004523AB">
              <w:rPr>
                <w:lang w:eastAsia="en-AU"/>
              </w:rPr>
              <w:t>ACCHOs</w:t>
            </w:r>
          </w:p>
        </w:tc>
        <w:tc>
          <w:tcPr>
            <w:tcW w:w="2329" w:type="dxa"/>
          </w:tcPr>
          <w:p w14:paraId="7D830E03" w14:textId="77777777" w:rsidR="003B5B68" w:rsidRPr="004523AB" w:rsidRDefault="003B5B68">
            <w:pPr>
              <w:rPr>
                <w:lang w:eastAsia="en-AU"/>
              </w:rPr>
            </w:pPr>
            <w:r w:rsidRPr="004523AB">
              <w:rPr>
                <w:lang w:eastAsia="en-AU"/>
              </w:rPr>
              <w:t>126</w:t>
            </w:r>
          </w:p>
        </w:tc>
        <w:tc>
          <w:tcPr>
            <w:tcW w:w="2000" w:type="dxa"/>
          </w:tcPr>
          <w:p w14:paraId="27BD894B" w14:textId="77777777" w:rsidR="003B5B68" w:rsidRPr="004523AB" w:rsidRDefault="003B5B68">
            <w:pPr>
              <w:rPr>
                <w:lang w:eastAsia="en-AU"/>
              </w:rPr>
            </w:pPr>
            <w:r w:rsidRPr="004523AB">
              <w:rPr>
                <w:lang w:eastAsia="en-AU"/>
              </w:rPr>
              <w:t>February 2024 to September 2024</w:t>
            </w:r>
          </w:p>
        </w:tc>
      </w:tr>
      <w:tr w:rsidR="003B5B68" w:rsidRPr="004523AB" w14:paraId="6D3FA379" w14:textId="77777777">
        <w:tc>
          <w:tcPr>
            <w:tcW w:w="2436" w:type="dxa"/>
          </w:tcPr>
          <w:p w14:paraId="5DF997A1" w14:textId="77777777" w:rsidR="003B5B68" w:rsidRPr="004523AB" w:rsidRDefault="003B5B68">
            <w:pPr>
              <w:rPr>
                <w:lang w:eastAsia="en-AU"/>
              </w:rPr>
            </w:pPr>
            <w:r w:rsidRPr="004523AB">
              <w:rPr>
                <w:lang w:eastAsia="en-AU"/>
              </w:rPr>
              <w:t>Surveys</w:t>
            </w:r>
          </w:p>
        </w:tc>
        <w:tc>
          <w:tcPr>
            <w:tcW w:w="2409" w:type="dxa"/>
          </w:tcPr>
          <w:p w14:paraId="4B3AEBF5" w14:textId="77777777" w:rsidR="003B5B68" w:rsidRPr="004523AB" w:rsidRDefault="003B5B68">
            <w:pPr>
              <w:rPr>
                <w:lang w:eastAsia="en-AU"/>
              </w:rPr>
            </w:pPr>
            <w:r w:rsidRPr="004523AB">
              <w:rPr>
                <w:lang w:eastAsia="en-AU"/>
              </w:rPr>
              <w:t>PHNs and NACCHO</w:t>
            </w:r>
          </w:p>
        </w:tc>
        <w:tc>
          <w:tcPr>
            <w:tcW w:w="2329" w:type="dxa"/>
          </w:tcPr>
          <w:p w14:paraId="2E7AE222" w14:textId="77777777" w:rsidR="003B5B68" w:rsidRPr="004523AB" w:rsidRDefault="003B5B68">
            <w:pPr>
              <w:rPr>
                <w:lang w:eastAsia="en-AU"/>
              </w:rPr>
            </w:pPr>
            <w:r w:rsidRPr="004523AB">
              <w:rPr>
                <w:lang w:eastAsia="en-AU"/>
              </w:rPr>
              <w:t>30 out of 31</w:t>
            </w:r>
          </w:p>
        </w:tc>
        <w:tc>
          <w:tcPr>
            <w:tcW w:w="2000" w:type="dxa"/>
          </w:tcPr>
          <w:p w14:paraId="3B41FACF" w14:textId="77777777" w:rsidR="003B5B68" w:rsidRPr="004523AB" w:rsidRDefault="003B5B68">
            <w:pPr>
              <w:rPr>
                <w:lang w:eastAsia="en-AU"/>
              </w:rPr>
            </w:pPr>
            <w:r w:rsidRPr="004523AB">
              <w:rPr>
                <w:lang w:eastAsia="en-AU"/>
              </w:rPr>
              <w:t>March 2024 to July 2024</w:t>
            </w:r>
          </w:p>
        </w:tc>
      </w:tr>
      <w:tr w:rsidR="003B5B68" w:rsidRPr="004523AB" w14:paraId="79213565" w14:textId="77777777">
        <w:tc>
          <w:tcPr>
            <w:tcW w:w="2436" w:type="dxa"/>
          </w:tcPr>
          <w:p w14:paraId="3D6F55B7" w14:textId="77777777" w:rsidR="003B5B68" w:rsidRPr="004523AB" w:rsidRDefault="003B5B68">
            <w:pPr>
              <w:rPr>
                <w:lang w:eastAsia="en-AU"/>
              </w:rPr>
            </w:pPr>
            <w:r w:rsidRPr="004523AB">
              <w:rPr>
                <w:lang w:eastAsia="en-AU"/>
              </w:rPr>
              <w:t>Consultations</w:t>
            </w:r>
          </w:p>
        </w:tc>
        <w:tc>
          <w:tcPr>
            <w:tcW w:w="2409" w:type="dxa"/>
          </w:tcPr>
          <w:p w14:paraId="73381196" w14:textId="77777777" w:rsidR="003B5B68" w:rsidRPr="004523AB" w:rsidRDefault="003B5B68">
            <w:pPr>
              <w:rPr>
                <w:lang w:eastAsia="en-AU"/>
              </w:rPr>
            </w:pPr>
            <w:r w:rsidRPr="004523AB">
              <w:rPr>
                <w:lang w:eastAsia="en-AU"/>
              </w:rPr>
              <w:t>Peak bodies</w:t>
            </w:r>
          </w:p>
        </w:tc>
        <w:tc>
          <w:tcPr>
            <w:tcW w:w="2329" w:type="dxa"/>
          </w:tcPr>
          <w:p w14:paraId="4907ABF7" w14:textId="77777777" w:rsidR="003B5B68" w:rsidRPr="004523AB" w:rsidRDefault="003B5B68">
            <w:pPr>
              <w:rPr>
                <w:lang w:eastAsia="en-AU"/>
              </w:rPr>
            </w:pPr>
            <w:r w:rsidRPr="004523AB">
              <w:rPr>
                <w:lang w:eastAsia="en-AU"/>
              </w:rPr>
              <w:t>6</w:t>
            </w:r>
          </w:p>
        </w:tc>
        <w:tc>
          <w:tcPr>
            <w:tcW w:w="2000" w:type="dxa"/>
          </w:tcPr>
          <w:p w14:paraId="465D01F7" w14:textId="77777777" w:rsidR="003B5B68" w:rsidRPr="004523AB" w:rsidRDefault="003B5B68">
            <w:pPr>
              <w:rPr>
                <w:lang w:eastAsia="en-AU"/>
              </w:rPr>
            </w:pPr>
            <w:r w:rsidRPr="004523AB">
              <w:rPr>
                <w:lang w:eastAsia="en-AU"/>
              </w:rPr>
              <w:t>February 2024 to March 2024</w:t>
            </w:r>
          </w:p>
        </w:tc>
      </w:tr>
      <w:tr w:rsidR="003B5B68" w:rsidRPr="004523AB" w14:paraId="491AADD4" w14:textId="77777777">
        <w:tc>
          <w:tcPr>
            <w:tcW w:w="2436" w:type="dxa"/>
          </w:tcPr>
          <w:p w14:paraId="0A0A6DA3" w14:textId="77777777" w:rsidR="003B5B68" w:rsidRPr="004523AB" w:rsidRDefault="003B5B68">
            <w:pPr>
              <w:rPr>
                <w:lang w:eastAsia="en-AU"/>
              </w:rPr>
            </w:pPr>
            <w:r w:rsidRPr="004523AB">
              <w:rPr>
                <w:lang w:eastAsia="en-AU"/>
              </w:rPr>
              <w:t>Consultations</w:t>
            </w:r>
          </w:p>
        </w:tc>
        <w:tc>
          <w:tcPr>
            <w:tcW w:w="2409" w:type="dxa"/>
          </w:tcPr>
          <w:p w14:paraId="4D1CC920" w14:textId="77777777" w:rsidR="003B5B68" w:rsidRPr="004523AB" w:rsidRDefault="003B5B68">
            <w:pPr>
              <w:rPr>
                <w:lang w:eastAsia="en-AU"/>
              </w:rPr>
            </w:pPr>
            <w:r w:rsidRPr="004523AB">
              <w:rPr>
                <w:lang w:eastAsia="en-AU"/>
              </w:rPr>
              <w:t>PHNs and NACCHO</w:t>
            </w:r>
          </w:p>
        </w:tc>
        <w:tc>
          <w:tcPr>
            <w:tcW w:w="2329" w:type="dxa"/>
          </w:tcPr>
          <w:p w14:paraId="645CB254" w14:textId="77777777" w:rsidR="003B5B68" w:rsidRPr="004523AB" w:rsidRDefault="003B5B68">
            <w:pPr>
              <w:rPr>
                <w:lang w:eastAsia="en-AU"/>
              </w:rPr>
            </w:pPr>
            <w:r w:rsidRPr="004523AB">
              <w:rPr>
                <w:lang w:eastAsia="en-AU"/>
              </w:rPr>
              <w:t>31</w:t>
            </w:r>
          </w:p>
        </w:tc>
        <w:tc>
          <w:tcPr>
            <w:tcW w:w="2000" w:type="dxa"/>
          </w:tcPr>
          <w:p w14:paraId="53323B52" w14:textId="77777777" w:rsidR="003B5B68" w:rsidRPr="004523AB" w:rsidRDefault="003B5B68">
            <w:pPr>
              <w:rPr>
                <w:lang w:eastAsia="en-AU"/>
              </w:rPr>
            </w:pPr>
            <w:r w:rsidRPr="004523AB">
              <w:rPr>
                <w:lang w:eastAsia="en-AU"/>
              </w:rPr>
              <w:t>February 2024 to July 2024</w:t>
            </w:r>
          </w:p>
        </w:tc>
      </w:tr>
      <w:tr w:rsidR="003B5B68" w:rsidRPr="004523AB" w14:paraId="4212CF18" w14:textId="77777777">
        <w:tc>
          <w:tcPr>
            <w:tcW w:w="2436" w:type="dxa"/>
          </w:tcPr>
          <w:p w14:paraId="1F8B6D38" w14:textId="77777777" w:rsidR="003B5B68" w:rsidRPr="004523AB" w:rsidRDefault="003B5B68">
            <w:pPr>
              <w:rPr>
                <w:lang w:eastAsia="en-AU"/>
              </w:rPr>
            </w:pPr>
            <w:r w:rsidRPr="004523AB">
              <w:rPr>
                <w:lang w:eastAsia="en-AU"/>
              </w:rPr>
              <w:t>Consultations</w:t>
            </w:r>
          </w:p>
        </w:tc>
        <w:tc>
          <w:tcPr>
            <w:tcW w:w="2409" w:type="dxa"/>
          </w:tcPr>
          <w:p w14:paraId="42E9B098" w14:textId="77777777" w:rsidR="003B5B68" w:rsidRPr="004523AB" w:rsidRDefault="003B5B68">
            <w:pPr>
              <w:rPr>
                <w:lang w:eastAsia="en-AU"/>
              </w:rPr>
            </w:pPr>
            <w:r w:rsidRPr="004523AB">
              <w:rPr>
                <w:lang w:eastAsia="en-AU"/>
              </w:rPr>
              <w:t>Practices</w:t>
            </w:r>
          </w:p>
        </w:tc>
        <w:tc>
          <w:tcPr>
            <w:tcW w:w="2329" w:type="dxa"/>
          </w:tcPr>
          <w:p w14:paraId="1A289A5A" w14:textId="77777777" w:rsidR="003B5B68" w:rsidRPr="004523AB" w:rsidRDefault="003B5B68">
            <w:pPr>
              <w:rPr>
                <w:lang w:eastAsia="en-AU"/>
              </w:rPr>
            </w:pPr>
            <w:r w:rsidRPr="004523AB">
              <w:rPr>
                <w:lang w:eastAsia="en-AU"/>
              </w:rPr>
              <w:t>32 interviews with coverage of over 100 practices</w:t>
            </w:r>
          </w:p>
        </w:tc>
        <w:tc>
          <w:tcPr>
            <w:tcW w:w="2000" w:type="dxa"/>
          </w:tcPr>
          <w:p w14:paraId="22B62E16" w14:textId="77777777" w:rsidR="003B5B68" w:rsidRPr="004523AB" w:rsidRDefault="003B5B68">
            <w:pPr>
              <w:rPr>
                <w:lang w:eastAsia="en-AU"/>
              </w:rPr>
            </w:pPr>
            <w:r w:rsidRPr="004523AB">
              <w:rPr>
                <w:lang w:eastAsia="en-AU"/>
              </w:rPr>
              <w:t>March 2024 to September 2024</w:t>
            </w:r>
          </w:p>
        </w:tc>
      </w:tr>
    </w:tbl>
    <w:p w14:paraId="2911EC6C" w14:textId="7081873C" w:rsidR="00A94044" w:rsidRPr="004523AB" w:rsidRDefault="00A94044" w:rsidP="00A94044">
      <w:pPr>
        <w:pStyle w:val="Caption"/>
      </w:pPr>
      <w:bookmarkStart w:id="72" w:name="_Ref184920781"/>
      <w:r w:rsidRPr="004523AB">
        <w:t xml:space="preserve">Table </w:t>
      </w:r>
      <w:r w:rsidRPr="004523AB">
        <w:fldChar w:fldCharType="begin"/>
      </w:r>
      <w:r w:rsidRPr="004523AB">
        <w:instrText xml:space="preserve"> SEQ Table \* ARABIC </w:instrText>
      </w:r>
      <w:r w:rsidRPr="004523AB">
        <w:fldChar w:fldCharType="separate"/>
      </w:r>
      <w:r w:rsidR="00B96E50">
        <w:rPr>
          <w:noProof/>
        </w:rPr>
        <w:t>18</w:t>
      </w:r>
      <w:r w:rsidRPr="004523AB">
        <w:fldChar w:fldCharType="end"/>
      </w:r>
      <w:bookmarkEnd w:id="72"/>
      <w:r w:rsidRPr="004523AB">
        <w:t xml:space="preserve"> | Data collection approach</w:t>
      </w:r>
    </w:p>
    <w:tbl>
      <w:tblPr>
        <w:tblStyle w:val="AccessibleNousTable"/>
        <w:tblW w:w="0" w:type="auto"/>
        <w:tblLook w:val="04A0" w:firstRow="1" w:lastRow="0" w:firstColumn="1" w:lastColumn="0" w:noHBand="0" w:noVBand="1"/>
      </w:tblPr>
      <w:tblGrid>
        <w:gridCol w:w="4587"/>
        <w:gridCol w:w="4587"/>
      </w:tblGrid>
      <w:tr w:rsidR="008A2C79" w:rsidRPr="004523AB" w14:paraId="3F7E0FF1" w14:textId="77777777" w:rsidTr="0099313E">
        <w:trPr>
          <w:cnfStyle w:val="100000000000" w:firstRow="1" w:lastRow="0" w:firstColumn="0" w:lastColumn="0" w:oddVBand="0" w:evenVBand="0" w:oddHBand="0" w:evenHBand="0" w:firstRowFirstColumn="0" w:firstRowLastColumn="0" w:lastRowFirstColumn="0" w:lastRowLastColumn="0"/>
          <w:tblHeader/>
        </w:trPr>
        <w:tc>
          <w:tcPr>
            <w:tcW w:w="4587" w:type="dxa"/>
          </w:tcPr>
          <w:p w14:paraId="6CC94F29" w14:textId="77777777" w:rsidR="008A2C79" w:rsidRPr="004523AB" w:rsidRDefault="008A2C79">
            <w:pPr>
              <w:rPr>
                <w:rFonts w:asciiTheme="majorHAnsi" w:hAnsiTheme="majorHAnsi" w:cstheme="majorHAnsi"/>
                <w:szCs w:val="21"/>
                <w:lang w:eastAsia="en-AU"/>
              </w:rPr>
            </w:pPr>
            <w:r w:rsidRPr="004523AB">
              <w:rPr>
                <w:rFonts w:asciiTheme="majorHAnsi" w:hAnsiTheme="majorHAnsi" w:cstheme="majorHAnsi"/>
                <w:szCs w:val="21"/>
                <w:lang w:eastAsia="en-AU"/>
              </w:rPr>
              <w:t>Data type</w:t>
            </w:r>
          </w:p>
        </w:tc>
        <w:tc>
          <w:tcPr>
            <w:tcW w:w="4587" w:type="dxa"/>
          </w:tcPr>
          <w:p w14:paraId="01EEC166" w14:textId="77777777" w:rsidR="008A2C79" w:rsidRPr="004523AB" w:rsidRDefault="008A2C79">
            <w:pPr>
              <w:rPr>
                <w:rFonts w:asciiTheme="majorHAnsi" w:hAnsiTheme="majorHAnsi" w:cstheme="majorHAnsi"/>
                <w:szCs w:val="21"/>
                <w:lang w:eastAsia="en-AU"/>
              </w:rPr>
            </w:pPr>
            <w:r w:rsidRPr="004523AB">
              <w:rPr>
                <w:rFonts w:asciiTheme="majorHAnsi" w:hAnsiTheme="majorHAnsi" w:cstheme="majorHAnsi"/>
                <w:szCs w:val="21"/>
                <w:lang w:eastAsia="en-AU"/>
              </w:rPr>
              <w:t>Collection period</w:t>
            </w:r>
          </w:p>
        </w:tc>
      </w:tr>
      <w:tr w:rsidR="008A2C79" w:rsidRPr="004523AB" w14:paraId="5FF85999" w14:textId="77777777">
        <w:tc>
          <w:tcPr>
            <w:tcW w:w="4587" w:type="dxa"/>
          </w:tcPr>
          <w:p w14:paraId="623658A2" w14:textId="77777777" w:rsidR="008A2C79" w:rsidRPr="004523AB" w:rsidRDefault="008A2C79">
            <w:pPr>
              <w:rPr>
                <w:lang w:eastAsia="en-AU"/>
              </w:rPr>
            </w:pPr>
            <w:r w:rsidRPr="004523AB">
              <w:rPr>
                <w:lang w:eastAsia="en-AU"/>
              </w:rPr>
              <w:t>Funding data</w:t>
            </w:r>
          </w:p>
        </w:tc>
        <w:tc>
          <w:tcPr>
            <w:tcW w:w="4587" w:type="dxa"/>
          </w:tcPr>
          <w:p w14:paraId="59F325A7" w14:textId="77777777" w:rsidR="008A2C79" w:rsidRPr="004523AB" w:rsidRDefault="008A2C79">
            <w:pPr>
              <w:rPr>
                <w:lang w:eastAsia="en-AU"/>
              </w:rPr>
            </w:pPr>
            <w:r w:rsidRPr="004523AB">
              <w:rPr>
                <w:lang w:eastAsia="en-AU"/>
              </w:rPr>
              <w:t>March 2024 to September 2024</w:t>
            </w:r>
          </w:p>
        </w:tc>
      </w:tr>
      <w:tr w:rsidR="008A2C79" w:rsidRPr="004523AB" w14:paraId="600C3909" w14:textId="77777777">
        <w:tc>
          <w:tcPr>
            <w:tcW w:w="4587" w:type="dxa"/>
          </w:tcPr>
          <w:p w14:paraId="55922BEE" w14:textId="77777777" w:rsidR="008A2C79" w:rsidRPr="004523AB" w:rsidRDefault="008A2C79">
            <w:pPr>
              <w:rPr>
                <w:lang w:eastAsia="en-AU"/>
              </w:rPr>
            </w:pPr>
            <w:r w:rsidRPr="004523AB">
              <w:rPr>
                <w:lang w:eastAsia="en-AU"/>
              </w:rPr>
              <w:t>Grant recipient information</w:t>
            </w:r>
          </w:p>
        </w:tc>
        <w:tc>
          <w:tcPr>
            <w:tcW w:w="4587" w:type="dxa"/>
          </w:tcPr>
          <w:p w14:paraId="63AC3222" w14:textId="77777777" w:rsidR="008A2C79" w:rsidRPr="004523AB" w:rsidRDefault="008A2C79">
            <w:pPr>
              <w:rPr>
                <w:lang w:eastAsia="en-AU"/>
              </w:rPr>
            </w:pPr>
            <w:r w:rsidRPr="004523AB">
              <w:rPr>
                <w:lang w:eastAsia="en-AU"/>
              </w:rPr>
              <w:t>March 2024 to September 2024</w:t>
            </w:r>
          </w:p>
        </w:tc>
      </w:tr>
      <w:tr w:rsidR="008A2C79" w:rsidRPr="004523AB" w14:paraId="2A97AEA0" w14:textId="77777777">
        <w:tc>
          <w:tcPr>
            <w:tcW w:w="4587" w:type="dxa"/>
          </w:tcPr>
          <w:p w14:paraId="4FF503AE" w14:textId="77777777" w:rsidR="008A2C79" w:rsidRPr="004523AB" w:rsidRDefault="008A2C79">
            <w:pPr>
              <w:rPr>
                <w:lang w:eastAsia="en-AU"/>
              </w:rPr>
            </w:pPr>
            <w:r w:rsidRPr="004523AB">
              <w:rPr>
                <w:lang w:eastAsia="en-AU"/>
              </w:rPr>
              <w:t>Financial acquittal data</w:t>
            </w:r>
          </w:p>
        </w:tc>
        <w:tc>
          <w:tcPr>
            <w:tcW w:w="4587" w:type="dxa"/>
          </w:tcPr>
          <w:p w14:paraId="059B1C41" w14:textId="77777777" w:rsidR="008A2C79" w:rsidRPr="004523AB" w:rsidRDefault="008A2C79">
            <w:pPr>
              <w:rPr>
                <w:lang w:eastAsia="en-AU"/>
              </w:rPr>
            </w:pPr>
            <w:r w:rsidRPr="004523AB">
              <w:rPr>
                <w:lang w:eastAsia="en-AU"/>
              </w:rPr>
              <w:t>March 2024 to September 2024</w:t>
            </w:r>
          </w:p>
        </w:tc>
      </w:tr>
    </w:tbl>
    <w:p w14:paraId="631EF201" w14:textId="0C8A2F14" w:rsidR="00637B60" w:rsidRPr="004523AB" w:rsidRDefault="00637B60" w:rsidP="00637B60">
      <w:pPr>
        <w:pStyle w:val="Caption"/>
      </w:pPr>
      <w:r w:rsidRPr="004523AB">
        <w:lastRenderedPageBreak/>
        <w:t xml:space="preserve">Table </w:t>
      </w:r>
      <w:r w:rsidRPr="004523AB">
        <w:fldChar w:fldCharType="begin"/>
      </w:r>
      <w:r w:rsidRPr="004523AB">
        <w:instrText xml:space="preserve"> SEQ Table \* ARABIC </w:instrText>
      </w:r>
      <w:r w:rsidRPr="004523AB">
        <w:fldChar w:fldCharType="separate"/>
      </w:r>
      <w:r w:rsidR="00B96E50">
        <w:rPr>
          <w:noProof/>
        </w:rPr>
        <w:t>19</w:t>
      </w:r>
      <w:r w:rsidRPr="004523AB">
        <w:fldChar w:fldCharType="end"/>
      </w:r>
      <w:r w:rsidRPr="004523AB">
        <w:t xml:space="preserve"> |</w:t>
      </w:r>
      <w:r w:rsidR="00702B2F" w:rsidRPr="004523AB">
        <w:t xml:space="preserve"> General practice self-evaluation response rate by PHN</w:t>
      </w:r>
    </w:p>
    <w:tbl>
      <w:tblPr>
        <w:tblStyle w:val="AccessibleNousTable"/>
        <w:tblW w:w="9639" w:type="dxa"/>
        <w:tblLook w:val="04A0" w:firstRow="1" w:lastRow="0" w:firstColumn="1" w:lastColumn="0" w:noHBand="0" w:noVBand="1"/>
      </w:tblPr>
      <w:tblGrid>
        <w:gridCol w:w="3119"/>
        <w:gridCol w:w="3544"/>
        <w:gridCol w:w="2976"/>
      </w:tblGrid>
      <w:tr w:rsidR="00E3179F" w:rsidRPr="004523AB" w14:paraId="7D26F78E" w14:textId="77777777" w:rsidTr="0099313E">
        <w:trPr>
          <w:cnfStyle w:val="100000000000" w:firstRow="1" w:lastRow="0" w:firstColumn="0" w:lastColumn="0" w:oddVBand="0" w:evenVBand="0" w:oddHBand="0" w:evenHBand="0" w:firstRowFirstColumn="0" w:firstRowLastColumn="0" w:lastRowFirstColumn="0" w:lastRowLastColumn="0"/>
          <w:tblHeader/>
        </w:trPr>
        <w:tc>
          <w:tcPr>
            <w:tcW w:w="3119" w:type="dxa"/>
          </w:tcPr>
          <w:p w14:paraId="2B7784EC" w14:textId="44C5FF42" w:rsidR="00E3179F" w:rsidRPr="004523AB" w:rsidRDefault="00E3179F">
            <w:pPr>
              <w:spacing w:after="0" w:line="259" w:lineRule="auto"/>
              <w:rPr>
                <w:rFonts w:asciiTheme="majorHAnsi" w:hAnsiTheme="majorHAnsi" w:cstheme="majorHAnsi"/>
                <w:sz w:val="23"/>
                <w:szCs w:val="23"/>
              </w:rPr>
            </w:pPr>
            <w:r w:rsidRPr="004523AB">
              <w:rPr>
                <w:rFonts w:asciiTheme="majorHAnsi" w:hAnsiTheme="majorHAnsi" w:cstheme="majorHAnsi"/>
                <w:sz w:val="23"/>
                <w:szCs w:val="23"/>
              </w:rPr>
              <w:t>PHN</w:t>
            </w:r>
          </w:p>
        </w:tc>
        <w:tc>
          <w:tcPr>
            <w:tcW w:w="3544" w:type="dxa"/>
          </w:tcPr>
          <w:p w14:paraId="364266E1" w14:textId="5D4B64F4" w:rsidR="00E3179F" w:rsidRPr="004523AB" w:rsidRDefault="00DF44FD">
            <w:pPr>
              <w:spacing w:after="0" w:line="259" w:lineRule="auto"/>
              <w:rPr>
                <w:rFonts w:asciiTheme="majorHAnsi" w:hAnsiTheme="majorHAnsi" w:cstheme="majorHAnsi"/>
                <w:sz w:val="23"/>
                <w:szCs w:val="23"/>
              </w:rPr>
            </w:pPr>
            <w:r w:rsidRPr="004523AB">
              <w:rPr>
                <w:rFonts w:asciiTheme="majorHAnsi" w:hAnsiTheme="majorHAnsi" w:cstheme="majorHAnsi"/>
                <w:sz w:val="23"/>
                <w:szCs w:val="23"/>
              </w:rPr>
              <w:t>Didn’t respond</w:t>
            </w:r>
          </w:p>
        </w:tc>
        <w:tc>
          <w:tcPr>
            <w:tcW w:w="2976" w:type="dxa"/>
          </w:tcPr>
          <w:p w14:paraId="23332BE0" w14:textId="294A1586" w:rsidR="00E3179F" w:rsidRPr="004523AB" w:rsidRDefault="00DF44FD">
            <w:pPr>
              <w:spacing w:after="0" w:line="259" w:lineRule="auto"/>
              <w:rPr>
                <w:rFonts w:asciiTheme="majorHAnsi" w:hAnsiTheme="majorHAnsi" w:cstheme="majorHAnsi"/>
                <w:sz w:val="23"/>
                <w:szCs w:val="23"/>
              </w:rPr>
            </w:pPr>
            <w:r w:rsidRPr="004523AB">
              <w:rPr>
                <w:rFonts w:asciiTheme="majorHAnsi" w:hAnsiTheme="majorHAnsi" w:cstheme="majorHAnsi"/>
                <w:sz w:val="23"/>
                <w:szCs w:val="23"/>
              </w:rPr>
              <w:t>Responded</w:t>
            </w:r>
          </w:p>
        </w:tc>
      </w:tr>
      <w:tr w:rsidR="00E3179F" w:rsidRPr="004523AB" w14:paraId="130ED583" w14:textId="77777777" w:rsidTr="007E2787">
        <w:tc>
          <w:tcPr>
            <w:tcW w:w="3119" w:type="dxa"/>
          </w:tcPr>
          <w:p w14:paraId="5AF3F1DA" w14:textId="717110FA" w:rsidR="00E3179F" w:rsidRPr="004523AB" w:rsidRDefault="00BD1F6D">
            <w:pPr>
              <w:spacing w:after="0" w:line="259" w:lineRule="auto"/>
              <w:rPr>
                <w:rFonts w:asciiTheme="minorHAnsi" w:hAnsiTheme="minorHAnsi" w:cstheme="minorHAnsi"/>
                <w:color w:val="FFFFFF" w:themeColor="background1"/>
                <w:szCs w:val="21"/>
              </w:rPr>
            </w:pPr>
            <w:r w:rsidRPr="004523AB">
              <w:rPr>
                <w:rFonts w:asciiTheme="minorHAnsi" w:eastAsia="Segoe UI" w:hAnsiTheme="minorHAnsi" w:cstheme="minorHAnsi"/>
                <w:color w:val="000000"/>
                <w:szCs w:val="21"/>
              </w:rPr>
              <w:t>Central and Eastern Sydney</w:t>
            </w:r>
          </w:p>
        </w:tc>
        <w:tc>
          <w:tcPr>
            <w:tcW w:w="3544" w:type="dxa"/>
          </w:tcPr>
          <w:p w14:paraId="67D452F4" w14:textId="20356466" w:rsidR="002552A1" w:rsidRPr="004523AB" w:rsidRDefault="00BD1F6D" w:rsidP="002552A1">
            <w:pPr>
              <w:spacing w:after="0" w:line="259" w:lineRule="auto"/>
              <w:rPr>
                <w:rFonts w:asciiTheme="minorHAnsi" w:hAnsiTheme="minorHAnsi" w:cstheme="minorHAnsi"/>
                <w:szCs w:val="21"/>
              </w:rPr>
            </w:pPr>
            <w:r w:rsidRPr="004523AB">
              <w:rPr>
                <w:rFonts w:eastAsia="Segoe UI" w:cs="Segoe UI"/>
                <w:color w:val="000000"/>
                <w:szCs w:val="21"/>
              </w:rPr>
              <w:t>196 (39.9</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c>
          <w:tcPr>
            <w:tcW w:w="2976" w:type="dxa"/>
          </w:tcPr>
          <w:p w14:paraId="5AF20DF8" w14:textId="3B82B3B8" w:rsidR="00E3179F" w:rsidRPr="004523AB" w:rsidRDefault="00BD1F6D" w:rsidP="002552A1">
            <w:pPr>
              <w:spacing w:after="0" w:line="259" w:lineRule="auto"/>
              <w:rPr>
                <w:rFonts w:asciiTheme="minorHAnsi" w:hAnsiTheme="minorHAnsi" w:cstheme="minorHAnsi"/>
                <w:szCs w:val="21"/>
              </w:rPr>
            </w:pPr>
            <w:r w:rsidRPr="004523AB">
              <w:rPr>
                <w:rFonts w:eastAsia="Segoe UI" w:cs="Segoe UI"/>
                <w:color w:val="000000"/>
                <w:szCs w:val="21"/>
              </w:rPr>
              <w:t>295 (60.1</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r>
      <w:tr w:rsidR="00E3179F" w:rsidRPr="004523AB" w14:paraId="6108FCCA" w14:textId="77777777" w:rsidTr="007E2787">
        <w:tc>
          <w:tcPr>
            <w:tcW w:w="3119" w:type="dxa"/>
          </w:tcPr>
          <w:p w14:paraId="3B21C414" w14:textId="02147C4A" w:rsidR="00E3179F" w:rsidRPr="004523AB" w:rsidRDefault="00BD1F6D">
            <w:pPr>
              <w:spacing w:after="0" w:line="259" w:lineRule="auto"/>
              <w:rPr>
                <w:rFonts w:asciiTheme="minorHAnsi" w:hAnsiTheme="minorHAnsi" w:cstheme="minorHAnsi"/>
                <w:color w:val="FFFFFF" w:themeColor="background1"/>
                <w:szCs w:val="21"/>
              </w:rPr>
            </w:pPr>
            <w:r w:rsidRPr="004523AB">
              <w:rPr>
                <w:rFonts w:asciiTheme="minorHAnsi" w:eastAsia="Segoe UI" w:hAnsiTheme="minorHAnsi" w:cstheme="minorHAnsi"/>
                <w:color w:val="000000"/>
                <w:szCs w:val="21"/>
              </w:rPr>
              <w:t>Northern Sydney</w:t>
            </w:r>
          </w:p>
        </w:tc>
        <w:tc>
          <w:tcPr>
            <w:tcW w:w="3544" w:type="dxa"/>
          </w:tcPr>
          <w:p w14:paraId="4A3C17EC" w14:textId="193A4D8A" w:rsidR="002552A1" w:rsidRPr="004523AB" w:rsidRDefault="00BD1F6D" w:rsidP="001A5549">
            <w:pPr>
              <w:pStyle w:val="Listnumbered"/>
              <w:tabs>
                <w:tab w:val="clear" w:pos="360"/>
              </w:tabs>
              <w:ind w:left="340" w:hanging="340"/>
              <w:rPr>
                <w:szCs w:val="21"/>
              </w:rPr>
            </w:pPr>
            <w:r w:rsidRPr="004523AB">
              <w:rPr>
                <w:rFonts w:eastAsia="Segoe UI" w:cs="Segoe UI"/>
                <w:color w:val="000000"/>
                <w:szCs w:val="21"/>
              </w:rPr>
              <w:t>8 (3.3</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c>
          <w:tcPr>
            <w:tcW w:w="2976" w:type="dxa"/>
          </w:tcPr>
          <w:p w14:paraId="5086DE3F" w14:textId="6CBD76C7" w:rsidR="00E3179F" w:rsidRPr="004523AB" w:rsidRDefault="00BD1F6D" w:rsidP="001A5549">
            <w:pPr>
              <w:pStyle w:val="Listnumbered"/>
              <w:tabs>
                <w:tab w:val="clear" w:pos="360"/>
              </w:tabs>
              <w:ind w:left="340" w:hanging="340"/>
              <w:rPr>
                <w:szCs w:val="21"/>
              </w:rPr>
            </w:pPr>
            <w:r w:rsidRPr="004523AB">
              <w:rPr>
                <w:rFonts w:eastAsia="Segoe UI" w:cs="Segoe UI"/>
                <w:color w:val="000000"/>
                <w:szCs w:val="21"/>
              </w:rPr>
              <w:t>231 (96.7</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r>
      <w:tr w:rsidR="00E3179F" w:rsidRPr="004523AB" w14:paraId="24277D24" w14:textId="77777777" w:rsidTr="007E2787">
        <w:tc>
          <w:tcPr>
            <w:tcW w:w="3119" w:type="dxa"/>
          </w:tcPr>
          <w:p w14:paraId="30D6AC6C" w14:textId="616A115A" w:rsidR="00E3179F" w:rsidRPr="004523AB" w:rsidRDefault="00BD1F6D">
            <w:pPr>
              <w:spacing w:after="0" w:line="259" w:lineRule="auto"/>
              <w:rPr>
                <w:rFonts w:asciiTheme="minorHAnsi" w:hAnsiTheme="minorHAnsi" w:cstheme="minorHAnsi"/>
                <w:color w:val="FFFFFF" w:themeColor="background1"/>
                <w:szCs w:val="21"/>
              </w:rPr>
            </w:pPr>
            <w:r w:rsidRPr="004523AB">
              <w:rPr>
                <w:rFonts w:asciiTheme="minorHAnsi" w:eastAsia="Segoe UI" w:hAnsiTheme="minorHAnsi" w:cstheme="minorHAnsi"/>
                <w:color w:val="000000"/>
                <w:szCs w:val="21"/>
              </w:rPr>
              <w:t>Western Sydney</w:t>
            </w:r>
          </w:p>
        </w:tc>
        <w:tc>
          <w:tcPr>
            <w:tcW w:w="3544" w:type="dxa"/>
          </w:tcPr>
          <w:p w14:paraId="6165F939" w14:textId="4B125456" w:rsidR="002552A1" w:rsidRPr="004523AB" w:rsidRDefault="00BD1F6D"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142 (46.7</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c>
          <w:tcPr>
            <w:tcW w:w="2976" w:type="dxa"/>
          </w:tcPr>
          <w:p w14:paraId="00E31EF6" w14:textId="15752B7F" w:rsidR="00E3179F" w:rsidRPr="004523AB" w:rsidRDefault="00BD1F6D"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162 (53.3</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r>
      <w:tr w:rsidR="007A4C39" w:rsidRPr="004523AB" w14:paraId="7D655F7B" w14:textId="77777777" w:rsidTr="007E2787">
        <w:tc>
          <w:tcPr>
            <w:tcW w:w="3119" w:type="dxa"/>
          </w:tcPr>
          <w:p w14:paraId="47B97975" w14:textId="447C26E4" w:rsidR="007A4C39" w:rsidRPr="004523AB" w:rsidRDefault="00BD1F6D" w:rsidP="00B36A91">
            <w:pPr>
              <w:spacing w:after="0" w:line="259" w:lineRule="auto"/>
              <w:rPr>
                <w:rFonts w:asciiTheme="minorHAnsi" w:hAnsiTheme="minorHAnsi" w:cstheme="minorHAnsi"/>
                <w:color w:val="FFFFFF" w:themeColor="background1"/>
                <w:szCs w:val="21"/>
              </w:rPr>
            </w:pPr>
            <w:r w:rsidRPr="004523AB">
              <w:rPr>
                <w:rFonts w:asciiTheme="minorHAnsi" w:eastAsia="Segoe UI" w:hAnsiTheme="minorHAnsi" w:cstheme="minorHAnsi"/>
                <w:color w:val="000000"/>
                <w:szCs w:val="21"/>
              </w:rPr>
              <w:t>Nepean Blue Mountains</w:t>
            </w:r>
          </w:p>
        </w:tc>
        <w:tc>
          <w:tcPr>
            <w:tcW w:w="3544" w:type="dxa"/>
          </w:tcPr>
          <w:p w14:paraId="67E4ACF7" w14:textId="00064A6B" w:rsidR="002552A1" w:rsidRPr="004523AB" w:rsidRDefault="00BD1F6D"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6 (5.1</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c>
          <w:tcPr>
            <w:tcW w:w="2976" w:type="dxa"/>
          </w:tcPr>
          <w:p w14:paraId="317555B2" w14:textId="0C618D44" w:rsidR="007A4C39" w:rsidRPr="004523AB" w:rsidRDefault="00BD1F6D"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112 (94.9</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r>
      <w:tr w:rsidR="002552A1" w:rsidRPr="004523AB" w14:paraId="6B22F119" w14:textId="77777777" w:rsidTr="007E2787">
        <w:tc>
          <w:tcPr>
            <w:tcW w:w="3119" w:type="dxa"/>
          </w:tcPr>
          <w:p w14:paraId="29ABC06F" w14:textId="645FA748" w:rsidR="002552A1" w:rsidRPr="004523AB" w:rsidRDefault="00BD1F6D" w:rsidP="00B36A91">
            <w:pPr>
              <w:spacing w:after="0" w:line="259" w:lineRule="auto"/>
              <w:rPr>
                <w:rFonts w:asciiTheme="minorHAnsi" w:hAnsiTheme="minorHAnsi" w:cstheme="minorHAnsi"/>
                <w:color w:val="FFFFFF" w:themeColor="background1"/>
                <w:szCs w:val="21"/>
              </w:rPr>
            </w:pPr>
            <w:proofErr w:type="gramStart"/>
            <w:r w:rsidRPr="004523AB">
              <w:rPr>
                <w:rFonts w:asciiTheme="minorHAnsi" w:eastAsia="Segoe UI" w:hAnsiTheme="minorHAnsi" w:cstheme="minorHAnsi"/>
                <w:color w:val="000000"/>
                <w:szCs w:val="21"/>
              </w:rPr>
              <w:t>South Western</w:t>
            </w:r>
            <w:proofErr w:type="gramEnd"/>
            <w:r w:rsidRPr="004523AB">
              <w:rPr>
                <w:rFonts w:asciiTheme="minorHAnsi" w:eastAsia="Segoe UI" w:hAnsiTheme="minorHAnsi" w:cstheme="minorHAnsi"/>
                <w:color w:val="000000"/>
                <w:szCs w:val="21"/>
              </w:rPr>
              <w:t xml:space="preserve"> Sydney</w:t>
            </w:r>
          </w:p>
        </w:tc>
        <w:tc>
          <w:tcPr>
            <w:tcW w:w="3544" w:type="dxa"/>
          </w:tcPr>
          <w:p w14:paraId="3D023891" w14:textId="3A9BA499" w:rsidR="002552A1" w:rsidRPr="004523AB" w:rsidRDefault="00BD1F6D"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76 (21.6</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c>
          <w:tcPr>
            <w:tcW w:w="2976" w:type="dxa"/>
          </w:tcPr>
          <w:p w14:paraId="1940EF24" w14:textId="5DDE7782" w:rsidR="002552A1" w:rsidRPr="004523AB" w:rsidRDefault="00BD1F6D"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276 (78.4</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r>
      <w:tr w:rsidR="002552A1" w:rsidRPr="004523AB" w14:paraId="17DB00F0" w14:textId="77777777" w:rsidTr="007E2787">
        <w:tc>
          <w:tcPr>
            <w:tcW w:w="3119" w:type="dxa"/>
          </w:tcPr>
          <w:p w14:paraId="36882EB0" w14:textId="0F0730C3" w:rsidR="002552A1" w:rsidRPr="004523AB" w:rsidRDefault="00BD1F6D" w:rsidP="00B36A91">
            <w:pPr>
              <w:spacing w:after="0" w:line="259" w:lineRule="auto"/>
              <w:rPr>
                <w:rFonts w:asciiTheme="minorHAnsi" w:hAnsiTheme="minorHAnsi" w:cstheme="minorHAnsi"/>
                <w:color w:val="FFFFFF" w:themeColor="background1"/>
                <w:szCs w:val="21"/>
              </w:rPr>
            </w:pPr>
            <w:proofErr w:type="gramStart"/>
            <w:r w:rsidRPr="004523AB">
              <w:rPr>
                <w:rFonts w:asciiTheme="minorHAnsi" w:eastAsia="Segoe UI" w:hAnsiTheme="minorHAnsi" w:cstheme="minorHAnsi"/>
                <w:color w:val="000000"/>
                <w:szCs w:val="21"/>
              </w:rPr>
              <w:t>South Eastern</w:t>
            </w:r>
            <w:proofErr w:type="gramEnd"/>
            <w:r w:rsidRPr="004523AB">
              <w:rPr>
                <w:rFonts w:asciiTheme="minorHAnsi" w:eastAsia="Segoe UI" w:hAnsiTheme="minorHAnsi" w:cstheme="minorHAnsi"/>
                <w:color w:val="000000"/>
                <w:szCs w:val="21"/>
              </w:rPr>
              <w:t xml:space="preserve"> NSW</w:t>
            </w:r>
          </w:p>
        </w:tc>
        <w:tc>
          <w:tcPr>
            <w:tcW w:w="3544" w:type="dxa"/>
          </w:tcPr>
          <w:p w14:paraId="2173F147" w14:textId="12454DB6" w:rsidR="002552A1" w:rsidRPr="004523AB" w:rsidRDefault="00BD1F6D"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44 (23.7</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c>
          <w:tcPr>
            <w:tcW w:w="2976" w:type="dxa"/>
          </w:tcPr>
          <w:p w14:paraId="77FBF460" w14:textId="07C2F931" w:rsidR="002552A1" w:rsidRPr="004523AB" w:rsidRDefault="00BD1F6D"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142 (76.3</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r>
      <w:tr w:rsidR="002552A1" w:rsidRPr="004523AB" w14:paraId="6A4575F8" w14:textId="77777777" w:rsidTr="007E2787">
        <w:tc>
          <w:tcPr>
            <w:tcW w:w="3119" w:type="dxa"/>
          </w:tcPr>
          <w:p w14:paraId="47BFA69E" w14:textId="224C8F9B" w:rsidR="002552A1" w:rsidRPr="004523AB" w:rsidRDefault="00BD1F6D" w:rsidP="00B36A91">
            <w:pPr>
              <w:spacing w:after="0" w:line="259" w:lineRule="auto"/>
              <w:rPr>
                <w:rFonts w:asciiTheme="minorHAnsi" w:hAnsiTheme="minorHAnsi" w:cstheme="minorHAnsi"/>
                <w:color w:val="FFFFFF" w:themeColor="background1"/>
                <w:szCs w:val="21"/>
              </w:rPr>
            </w:pPr>
            <w:r w:rsidRPr="004523AB">
              <w:rPr>
                <w:rFonts w:asciiTheme="minorHAnsi" w:eastAsia="Segoe UI" w:hAnsiTheme="minorHAnsi" w:cstheme="minorHAnsi"/>
                <w:color w:val="000000"/>
                <w:szCs w:val="21"/>
              </w:rPr>
              <w:t>Western NSW</w:t>
            </w:r>
          </w:p>
        </w:tc>
        <w:tc>
          <w:tcPr>
            <w:tcW w:w="3544" w:type="dxa"/>
          </w:tcPr>
          <w:p w14:paraId="1E67D46A" w14:textId="6E1E0F7E" w:rsidR="002552A1" w:rsidRPr="004523AB" w:rsidRDefault="00BD1F6D"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18 (20.0</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c>
          <w:tcPr>
            <w:tcW w:w="2976" w:type="dxa"/>
          </w:tcPr>
          <w:p w14:paraId="104CB842" w14:textId="2169ACFC" w:rsidR="002552A1" w:rsidRPr="004523AB" w:rsidRDefault="00BD1F6D"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72 (80.0</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r>
      <w:tr w:rsidR="002552A1" w:rsidRPr="004523AB" w14:paraId="1C052995" w14:textId="77777777" w:rsidTr="007E2787">
        <w:tc>
          <w:tcPr>
            <w:tcW w:w="3119" w:type="dxa"/>
          </w:tcPr>
          <w:p w14:paraId="05CB9B91" w14:textId="4B5D2D5B" w:rsidR="002552A1" w:rsidRPr="004523AB" w:rsidRDefault="00BD1F6D" w:rsidP="00B36A91">
            <w:pPr>
              <w:spacing w:after="0" w:line="259" w:lineRule="auto"/>
              <w:rPr>
                <w:rFonts w:asciiTheme="minorHAnsi" w:hAnsiTheme="minorHAnsi" w:cstheme="minorHAnsi"/>
                <w:color w:val="FFFFFF" w:themeColor="background1"/>
                <w:szCs w:val="21"/>
              </w:rPr>
            </w:pPr>
            <w:r w:rsidRPr="004523AB">
              <w:rPr>
                <w:rFonts w:asciiTheme="minorHAnsi" w:eastAsia="Segoe UI" w:hAnsiTheme="minorHAnsi" w:cstheme="minorHAnsi"/>
                <w:color w:val="000000"/>
                <w:szCs w:val="21"/>
              </w:rPr>
              <w:t>Hunter New England and Central Coast</w:t>
            </w:r>
          </w:p>
        </w:tc>
        <w:tc>
          <w:tcPr>
            <w:tcW w:w="3544" w:type="dxa"/>
          </w:tcPr>
          <w:p w14:paraId="6F1BAF70" w14:textId="66CEB407" w:rsidR="002552A1" w:rsidRPr="004523AB" w:rsidRDefault="00BD1F6D"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68 (18.6</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c>
          <w:tcPr>
            <w:tcW w:w="2976" w:type="dxa"/>
          </w:tcPr>
          <w:p w14:paraId="14264A82" w14:textId="22DD5DF1" w:rsidR="002552A1" w:rsidRPr="004523AB" w:rsidRDefault="00BD1F6D"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298 (81.4</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r>
      <w:tr w:rsidR="002552A1" w:rsidRPr="004523AB" w14:paraId="03B61156" w14:textId="77777777" w:rsidTr="007E2787">
        <w:tc>
          <w:tcPr>
            <w:tcW w:w="3119" w:type="dxa"/>
          </w:tcPr>
          <w:p w14:paraId="3FDE47E1" w14:textId="7F1E6D05" w:rsidR="002552A1" w:rsidRPr="004523AB" w:rsidRDefault="00BD1F6D" w:rsidP="00B36A91">
            <w:pPr>
              <w:spacing w:after="0" w:line="259" w:lineRule="auto"/>
              <w:rPr>
                <w:rFonts w:asciiTheme="minorHAnsi" w:hAnsiTheme="minorHAnsi" w:cstheme="minorHAnsi"/>
                <w:color w:val="FFFFFF" w:themeColor="background1"/>
                <w:szCs w:val="21"/>
              </w:rPr>
            </w:pPr>
            <w:r w:rsidRPr="004523AB">
              <w:rPr>
                <w:rFonts w:asciiTheme="minorHAnsi" w:eastAsia="Segoe UI" w:hAnsiTheme="minorHAnsi" w:cstheme="minorHAnsi"/>
                <w:color w:val="000000"/>
                <w:szCs w:val="21"/>
              </w:rPr>
              <w:t>North Coast</w:t>
            </w:r>
          </w:p>
        </w:tc>
        <w:tc>
          <w:tcPr>
            <w:tcW w:w="3544" w:type="dxa"/>
          </w:tcPr>
          <w:p w14:paraId="4D78675E" w14:textId="00AF7957" w:rsidR="002552A1" w:rsidRPr="004523AB" w:rsidRDefault="00BD1F6D"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76 (46.9</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c>
          <w:tcPr>
            <w:tcW w:w="2976" w:type="dxa"/>
          </w:tcPr>
          <w:p w14:paraId="1F2258D1" w14:textId="0F105592" w:rsidR="002552A1" w:rsidRPr="004523AB" w:rsidRDefault="00BD1F6D"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86 (53.1</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r>
      <w:tr w:rsidR="002552A1" w:rsidRPr="004523AB" w14:paraId="4C5F48D0" w14:textId="77777777" w:rsidTr="007E2787">
        <w:tc>
          <w:tcPr>
            <w:tcW w:w="3119" w:type="dxa"/>
          </w:tcPr>
          <w:p w14:paraId="7AC3C7B0" w14:textId="4E0AF255" w:rsidR="002552A1" w:rsidRPr="004523AB" w:rsidRDefault="00BD1F6D" w:rsidP="00B36A91">
            <w:pPr>
              <w:spacing w:after="0" w:line="259" w:lineRule="auto"/>
              <w:rPr>
                <w:rFonts w:asciiTheme="minorHAnsi" w:hAnsiTheme="minorHAnsi" w:cstheme="minorHAnsi"/>
                <w:color w:val="FFFFFF" w:themeColor="background1"/>
                <w:szCs w:val="21"/>
              </w:rPr>
            </w:pPr>
            <w:r w:rsidRPr="004523AB">
              <w:rPr>
                <w:rFonts w:asciiTheme="minorHAnsi" w:eastAsia="Segoe UI" w:hAnsiTheme="minorHAnsi" w:cstheme="minorHAnsi"/>
                <w:color w:val="000000"/>
                <w:szCs w:val="21"/>
              </w:rPr>
              <w:t>Murrumbidgee</w:t>
            </w:r>
          </w:p>
        </w:tc>
        <w:tc>
          <w:tcPr>
            <w:tcW w:w="3544" w:type="dxa"/>
          </w:tcPr>
          <w:p w14:paraId="43D094A9" w14:textId="435ADCCE" w:rsidR="002552A1" w:rsidRPr="004523AB" w:rsidRDefault="00BD1F6D"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43 (50.6</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c>
          <w:tcPr>
            <w:tcW w:w="2976" w:type="dxa"/>
          </w:tcPr>
          <w:p w14:paraId="33E3FCA0" w14:textId="0FD5905F" w:rsidR="002552A1" w:rsidRPr="004523AB" w:rsidRDefault="00BD1F6D"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42 (49.4</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r>
      <w:tr w:rsidR="002552A1" w:rsidRPr="004523AB" w14:paraId="7C0A1354" w14:textId="77777777" w:rsidTr="007E2787">
        <w:tc>
          <w:tcPr>
            <w:tcW w:w="3119" w:type="dxa"/>
          </w:tcPr>
          <w:p w14:paraId="7E79205C" w14:textId="2EF67E9A" w:rsidR="002552A1" w:rsidRPr="004523AB" w:rsidRDefault="00BD1F6D" w:rsidP="00B36A91">
            <w:pPr>
              <w:spacing w:after="0" w:line="259" w:lineRule="auto"/>
              <w:rPr>
                <w:rFonts w:asciiTheme="minorHAnsi" w:hAnsiTheme="minorHAnsi" w:cstheme="minorHAnsi"/>
                <w:color w:val="FFFFFF" w:themeColor="background1"/>
                <w:szCs w:val="21"/>
              </w:rPr>
            </w:pPr>
            <w:proofErr w:type="gramStart"/>
            <w:r w:rsidRPr="004523AB">
              <w:rPr>
                <w:rFonts w:asciiTheme="minorHAnsi" w:eastAsia="Segoe UI" w:hAnsiTheme="minorHAnsi" w:cstheme="minorHAnsi"/>
                <w:color w:val="000000"/>
                <w:szCs w:val="21"/>
              </w:rPr>
              <w:t>North Western</w:t>
            </w:r>
            <w:proofErr w:type="gramEnd"/>
            <w:r w:rsidRPr="004523AB">
              <w:rPr>
                <w:rFonts w:asciiTheme="minorHAnsi" w:eastAsia="Segoe UI" w:hAnsiTheme="minorHAnsi" w:cstheme="minorHAnsi"/>
                <w:color w:val="000000"/>
                <w:szCs w:val="21"/>
              </w:rPr>
              <w:t xml:space="preserve"> Melbourne</w:t>
            </w:r>
          </w:p>
        </w:tc>
        <w:tc>
          <w:tcPr>
            <w:tcW w:w="3544" w:type="dxa"/>
          </w:tcPr>
          <w:p w14:paraId="07DB7099" w14:textId="5AC49A28" w:rsidR="002552A1" w:rsidRPr="004523AB" w:rsidRDefault="00BD1F6D"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89 (19.3</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c>
          <w:tcPr>
            <w:tcW w:w="2976" w:type="dxa"/>
          </w:tcPr>
          <w:p w14:paraId="087B44C6" w14:textId="293B15EB" w:rsidR="002552A1" w:rsidRPr="004523AB" w:rsidRDefault="00BD1F6D"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372 (80.7</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r>
      <w:tr w:rsidR="002552A1" w:rsidRPr="004523AB" w14:paraId="3B029120" w14:textId="77777777" w:rsidTr="007E2787">
        <w:tc>
          <w:tcPr>
            <w:tcW w:w="3119" w:type="dxa"/>
          </w:tcPr>
          <w:p w14:paraId="29946E96" w14:textId="78939BE3" w:rsidR="002552A1" w:rsidRPr="004523AB" w:rsidRDefault="00BD1F6D" w:rsidP="00B36A91">
            <w:pPr>
              <w:spacing w:after="0" w:line="259" w:lineRule="auto"/>
              <w:rPr>
                <w:rFonts w:asciiTheme="minorHAnsi" w:hAnsiTheme="minorHAnsi" w:cstheme="minorHAnsi"/>
                <w:color w:val="FFFFFF" w:themeColor="background1"/>
                <w:szCs w:val="21"/>
              </w:rPr>
            </w:pPr>
            <w:r w:rsidRPr="004523AB">
              <w:rPr>
                <w:rFonts w:asciiTheme="minorHAnsi" w:eastAsia="Segoe UI" w:hAnsiTheme="minorHAnsi" w:cstheme="minorHAnsi"/>
                <w:color w:val="000000"/>
                <w:szCs w:val="21"/>
              </w:rPr>
              <w:t>Eastern Melbourne</w:t>
            </w:r>
          </w:p>
        </w:tc>
        <w:tc>
          <w:tcPr>
            <w:tcW w:w="3544" w:type="dxa"/>
          </w:tcPr>
          <w:p w14:paraId="3E6327B7" w14:textId="195D2F88" w:rsidR="002552A1" w:rsidRPr="004523AB" w:rsidRDefault="00BD1F6D"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69 (16.4</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c>
          <w:tcPr>
            <w:tcW w:w="2976" w:type="dxa"/>
          </w:tcPr>
          <w:p w14:paraId="7CF76C4C" w14:textId="26F53D3D" w:rsidR="002552A1" w:rsidRPr="004523AB" w:rsidRDefault="00BD1F6D"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352 (83.6</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r>
      <w:tr w:rsidR="002552A1" w:rsidRPr="004523AB" w14:paraId="2290784B" w14:textId="77777777" w:rsidTr="007E2787">
        <w:tc>
          <w:tcPr>
            <w:tcW w:w="3119" w:type="dxa"/>
          </w:tcPr>
          <w:p w14:paraId="53D7DAC7" w14:textId="0ACB8DF7" w:rsidR="002552A1" w:rsidRPr="004523AB" w:rsidRDefault="00BD1F6D" w:rsidP="00B36A91">
            <w:pPr>
              <w:spacing w:after="0" w:line="259" w:lineRule="auto"/>
              <w:rPr>
                <w:rFonts w:asciiTheme="minorHAnsi" w:hAnsiTheme="minorHAnsi" w:cstheme="minorHAnsi"/>
                <w:color w:val="FFFFFF" w:themeColor="background1"/>
                <w:szCs w:val="21"/>
              </w:rPr>
            </w:pPr>
            <w:proofErr w:type="gramStart"/>
            <w:r w:rsidRPr="004523AB">
              <w:rPr>
                <w:rFonts w:asciiTheme="minorHAnsi" w:eastAsia="Segoe UI" w:hAnsiTheme="minorHAnsi" w:cstheme="minorHAnsi"/>
                <w:color w:val="000000"/>
                <w:szCs w:val="21"/>
              </w:rPr>
              <w:t>South Eastern</w:t>
            </w:r>
            <w:proofErr w:type="gramEnd"/>
            <w:r w:rsidRPr="004523AB">
              <w:rPr>
                <w:rFonts w:asciiTheme="minorHAnsi" w:eastAsia="Segoe UI" w:hAnsiTheme="minorHAnsi" w:cstheme="minorHAnsi"/>
                <w:color w:val="000000"/>
                <w:szCs w:val="21"/>
              </w:rPr>
              <w:t xml:space="preserve"> Melbourne</w:t>
            </w:r>
          </w:p>
        </w:tc>
        <w:tc>
          <w:tcPr>
            <w:tcW w:w="3544" w:type="dxa"/>
          </w:tcPr>
          <w:p w14:paraId="1AF0E062" w14:textId="3B17C13E" w:rsidR="002552A1" w:rsidRPr="004523AB" w:rsidRDefault="00BD1F6D"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33 (7.4</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c>
          <w:tcPr>
            <w:tcW w:w="2976" w:type="dxa"/>
          </w:tcPr>
          <w:p w14:paraId="25DCCC25" w14:textId="2297F827" w:rsidR="002552A1" w:rsidRPr="004523AB" w:rsidRDefault="00BD1F6D"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412 (92.6</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r>
      <w:tr w:rsidR="002552A1" w:rsidRPr="004523AB" w14:paraId="6DECDE32" w14:textId="77777777" w:rsidTr="007E2787">
        <w:tc>
          <w:tcPr>
            <w:tcW w:w="3119" w:type="dxa"/>
          </w:tcPr>
          <w:p w14:paraId="1B63885A" w14:textId="51817F4E" w:rsidR="002552A1" w:rsidRPr="004523AB" w:rsidRDefault="00BD1F6D" w:rsidP="00B36A91">
            <w:pPr>
              <w:spacing w:after="0" w:line="259" w:lineRule="auto"/>
              <w:rPr>
                <w:rFonts w:asciiTheme="minorHAnsi" w:hAnsiTheme="minorHAnsi" w:cstheme="minorHAnsi"/>
                <w:color w:val="FFFFFF" w:themeColor="background1"/>
                <w:szCs w:val="21"/>
              </w:rPr>
            </w:pPr>
            <w:r w:rsidRPr="004523AB">
              <w:rPr>
                <w:rFonts w:asciiTheme="minorHAnsi" w:eastAsia="Segoe UI" w:hAnsiTheme="minorHAnsi" w:cstheme="minorHAnsi"/>
                <w:color w:val="000000"/>
                <w:szCs w:val="21"/>
              </w:rPr>
              <w:t>Gippsland</w:t>
            </w:r>
          </w:p>
        </w:tc>
        <w:tc>
          <w:tcPr>
            <w:tcW w:w="3544" w:type="dxa"/>
          </w:tcPr>
          <w:p w14:paraId="54729386" w14:textId="2440281C" w:rsidR="002552A1" w:rsidRPr="004523AB" w:rsidRDefault="00BD1F6D"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11 (13.4</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c>
          <w:tcPr>
            <w:tcW w:w="2976" w:type="dxa"/>
          </w:tcPr>
          <w:p w14:paraId="4A9269AD" w14:textId="4C4F8B18" w:rsidR="002552A1" w:rsidRPr="004523AB" w:rsidRDefault="00BD1F6D"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71 (86.6</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r>
      <w:tr w:rsidR="002552A1" w:rsidRPr="004523AB" w14:paraId="3309EEC0" w14:textId="77777777" w:rsidTr="007E2787">
        <w:tc>
          <w:tcPr>
            <w:tcW w:w="3119" w:type="dxa"/>
          </w:tcPr>
          <w:p w14:paraId="331527E4" w14:textId="1482F04D" w:rsidR="002552A1" w:rsidRPr="004523AB" w:rsidRDefault="00BD1F6D" w:rsidP="00B36A91">
            <w:pPr>
              <w:spacing w:after="0" w:line="259" w:lineRule="auto"/>
              <w:rPr>
                <w:rFonts w:asciiTheme="minorHAnsi" w:hAnsiTheme="minorHAnsi" w:cstheme="minorHAnsi"/>
                <w:color w:val="FFFFFF" w:themeColor="background1"/>
                <w:szCs w:val="21"/>
              </w:rPr>
            </w:pPr>
            <w:r w:rsidRPr="004523AB">
              <w:rPr>
                <w:rFonts w:asciiTheme="minorHAnsi" w:eastAsia="Segoe UI" w:hAnsiTheme="minorHAnsi" w:cstheme="minorHAnsi"/>
                <w:color w:val="000000"/>
                <w:szCs w:val="21"/>
              </w:rPr>
              <w:t>Murray</w:t>
            </w:r>
          </w:p>
        </w:tc>
        <w:tc>
          <w:tcPr>
            <w:tcW w:w="3544" w:type="dxa"/>
          </w:tcPr>
          <w:p w14:paraId="4DA815E4" w14:textId="62AD0FB3" w:rsidR="002552A1" w:rsidRPr="004523AB" w:rsidRDefault="00BD1F6D"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21 (12.1</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c>
          <w:tcPr>
            <w:tcW w:w="2976" w:type="dxa"/>
          </w:tcPr>
          <w:p w14:paraId="445CB148" w14:textId="1A0F93FD" w:rsidR="002552A1" w:rsidRPr="004523AB" w:rsidRDefault="00BD1F6D"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152 (87.9</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r>
      <w:tr w:rsidR="002552A1" w:rsidRPr="004523AB" w14:paraId="0BEF6AD1" w14:textId="77777777" w:rsidTr="007E2787">
        <w:tc>
          <w:tcPr>
            <w:tcW w:w="3119" w:type="dxa"/>
          </w:tcPr>
          <w:p w14:paraId="1F18FC31" w14:textId="0EB42215" w:rsidR="002552A1" w:rsidRPr="004523AB" w:rsidRDefault="00BD1F6D" w:rsidP="00B36A91">
            <w:pPr>
              <w:spacing w:after="0" w:line="259" w:lineRule="auto"/>
              <w:rPr>
                <w:rFonts w:asciiTheme="minorHAnsi" w:hAnsiTheme="minorHAnsi" w:cstheme="minorHAnsi"/>
                <w:color w:val="FFFFFF" w:themeColor="background1"/>
                <w:szCs w:val="21"/>
              </w:rPr>
            </w:pPr>
            <w:r w:rsidRPr="004523AB">
              <w:rPr>
                <w:rFonts w:asciiTheme="minorHAnsi" w:eastAsia="Segoe UI" w:hAnsiTheme="minorHAnsi" w:cstheme="minorHAnsi"/>
                <w:color w:val="000000"/>
                <w:szCs w:val="21"/>
              </w:rPr>
              <w:t>Western Victoria</w:t>
            </w:r>
          </w:p>
        </w:tc>
        <w:tc>
          <w:tcPr>
            <w:tcW w:w="3544" w:type="dxa"/>
          </w:tcPr>
          <w:p w14:paraId="1C8F9F5F" w14:textId="4E4B4390" w:rsidR="002552A1" w:rsidRPr="004523AB" w:rsidRDefault="00BD1F6D"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97 (50.0</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c>
          <w:tcPr>
            <w:tcW w:w="2976" w:type="dxa"/>
          </w:tcPr>
          <w:p w14:paraId="4CE1C27F" w14:textId="386BC920" w:rsidR="002552A1" w:rsidRPr="004523AB" w:rsidRDefault="00BD1F6D"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97 (50.0</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r>
      <w:tr w:rsidR="002552A1" w:rsidRPr="004523AB" w14:paraId="213411ED" w14:textId="77777777" w:rsidTr="007E2787">
        <w:tc>
          <w:tcPr>
            <w:tcW w:w="3119" w:type="dxa"/>
          </w:tcPr>
          <w:p w14:paraId="28384F6C" w14:textId="4AE8D06F" w:rsidR="002552A1" w:rsidRPr="004523AB" w:rsidRDefault="00BD1F6D" w:rsidP="00B36A91">
            <w:pPr>
              <w:spacing w:after="0" w:line="259" w:lineRule="auto"/>
              <w:rPr>
                <w:rFonts w:asciiTheme="minorHAnsi" w:hAnsiTheme="minorHAnsi" w:cstheme="minorHAnsi"/>
                <w:color w:val="FFFFFF" w:themeColor="background1"/>
                <w:szCs w:val="21"/>
              </w:rPr>
            </w:pPr>
            <w:r w:rsidRPr="004523AB">
              <w:rPr>
                <w:rFonts w:asciiTheme="minorHAnsi" w:eastAsia="Segoe UI" w:hAnsiTheme="minorHAnsi" w:cstheme="minorHAnsi"/>
                <w:color w:val="000000"/>
                <w:szCs w:val="21"/>
              </w:rPr>
              <w:t>Brisbane North</w:t>
            </w:r>
          </w:p>
        </w:tc>
        <w:tc>
          <w:tcPr>
            <w:tcW w:w="3544" w:type="dxa"/>
          </w:tcPr>
          <w:p w14:paraId="134BA6F3" w14:textId="13235A48" w:rsidR="002552A1" w:rsidRPr="004523AB" w:rsidRDefault="00BD1F6D"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105 (35.7</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c>
          <w:tcPr>
            <w:tcW w:w="2976" w:type="dxa"/>
          </w:tcPr>
          <w:p w14:paraId="5850720C" w14:textId="0F498942" w:rsidR="002552A1" w:rsidRPr="004523AB" w:rsidRDefault="00BD1F6D"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189 (64.3</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r>
      <w:tr w:rsidR="002552A1" w:rsidRPr="004523AB" w14:paraId="2EAD66D3" w14:textId="77777777" w:rsidTr="007E2787">
        <w:tc>
          <w:tcPr>
            <w:tcW w:w="3119" w:type="dxa"/>
          </w:tcPr>
          <w:p w14:paraId="65A06339" w14:textId="2D070499" w:rsidR="002552A1" w:rsidRPr="004523AB" w:rsidRDefault="00BD1F6D" w:rsidP="00B36A91">
            <w:pPr>
              <w:spacing w:after="0" w:line="259" w:lineRule="auto"/>
              <w:rPr>
                <w:rFonts w:asciiTheme="minorHAnsi" w:hAnsiTheme="minorHAnsi" w:cstheme="minorHAnsi"/>
                <w:color w:val="FFFFFF" w:themeColor="background1"/>
                <w:szCs w:val="21"/>
              </w:rPr>
            </w:pPr>
            <w:r w:rsidRPr="004523AB">
              <w:rPr>
                <w:rFonts w:asciiTheme="minorHAnsi" w:eastAsia="Segoe UI" w:hAnsiTheme="minorHAnsi" w:cstheme="minorHAnsi"/>
                <w:color w:val="000000"/>
                <w:szCs w:val="21"/>
              </w:rPr>
              <w:t>Brisbane South</w:t>
            </w:r>
          </w:p>
        </w:tc>
        <w:tc>
          <w:tcPr>
            <w:tcW w:w="3544" w:type="dxa"/>
          </w:tcPr>
          <w:p w14:paraId="550B6F67" w14:textId="28C7AD21" w:rsidR="002552A1" w:rsidRPr="004523AB" w:rsidRDefault="00BD1F6D"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88 (27.2</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c>
          <w:tcPr>
            <w:tcW w:w="2976" w:type="dxa"/>
          </w:tcPr>
          <w:p w14:paraId="32BD9943" w14:textId="0ACE560B" w:rsidR="002552A1" w:rsidRPr="004523AB" w:rsidRDefault="00BD1F6D"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236 (72.8</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r>
      <w:tr w:rsidR="002552A1" w:rsidRPr="004523AB" w14:paraId="3C87A1D9" w14:textId="77777777" w:rsidTr="007E2787">
        <w:tc>
          <w:tcPr>
            <w:tcW w:w="3119" w:type="dxa"/>
          </w:tcPr>
          <w:p w14:paraId="4D4E6B11" w14:textId="172A2760" w:rsidR="002552A1" w:rsidRPr="004523AB" w:rsidRDefault="00BD1F6D" w:rsidP="00B36A91">
            <w:pPr>
              <w:spacing w:after="0" w:line="259" w:lineRule="auto"/>
              <w:rPr>
                <w:rFonts w:asciiTheme="minorHAnsi" w:hAnsiTheme="minorHAnsi" w:cstheme="minorHAnsi"/>
                <w:color w:val="FFFFFF" w:themeColor="background1"/>
                <w:szCs w:val="21"/>
              </w:rPr>
            </w:pPr>
            <w:r w:rsidRPr="004523AB">
              <w:rPr>
                <w:rFonts w:asciiTheme="minorHAnsi" w:eastAsia="Segoe UI" w:hAnsiTheme="minorHAnsi" w:cstheme="minorHAnsi"/>
                <w:color w:val="000000"/>
                <w:szCs w:val="21"/>
              </w:rPr>
              <w:t>Gold Coast</w:t>
            </w:r>
          </w:p>
        </w:tc>
        <w:tc>
          <w:tcPr>
            <w:tcW w:w="3544" w:type="dxa"/>
          </w:tcPr>
          <w:p w14:paraId="546E50C7" w14:textId="307025EB" w:rsidR="002552A1" w:rsidRPr="004523AB" w:rsidRDefault="00BD1F6D"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4 (2.2</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c>
          <w:tcPr>
            <w:tcW w:w="2976" w:type="dxa"/>
          </w:tcPr>
          <w:p w14:paraId="271DC7D3" w14:textId="596B7758" w:rsidR="002552A1" w:rsidRPr="004523AB" w:rsidRDefault="00BD1F6D"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182 (97.8</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r>
      <w:tr w:rsidR="002552A1" w:rsidRPr="004523AB" w14:paraId="0978DDF7" w14:textId="77777777" w:rsidTr="007E2787">
        <w:tc>
          <w:tcPr>
            <w:tcW w:w="3119" w:type="dxa"/>
          </w:tcPr>
          <w:p w14:paraId="3A58E483" w14:textId="272E5449" w:rsidR="002552A1" w:rsidRPr="004523AB" w:rsidRDefault="00BD1F6D" w:rsidP="00B36A91">
            <w:pPr>
              <w:spacing w:after="0" w:line="259" w:lineRule="auto"/>
              <w:rPr>
                <w:rFonts w:asciiTheme="minorHAnsi" w:hAnsiTheme="minorHAnsi" w:cstheme="minorHAnsi"/>
                <w:color w:val="FFFFFF" w:themeColor="background1"/>
                <w:szCs w:val="21"/>
              </w:rPr>
            </w:pPr>
            <w:r w:rsidRPr="004523AB">
              <w:rPr>
                <w:rFonts w:asciiTheme="minorHAnsi" w:eastAsia="Segoe UI" w:hAnsiTheme="minorHAnsi" w:cstheme="minorHAnsi"/>
                <w:color w:val="000000"/>
                <w:szCs w:val="21"/>
              </w:rPr>
              <w:t>Darling Downs and West Moreton</w:t>
            </w:r>
          </w:p>
        </w:tc>
        <w:tc>
          <w:tcPr>
            <w:tcW w:w="3544" w:type="dxa"/>
          </w:tcPr>
          <w:p w14:paraId="7F4357E4" w14:textId="18633189" w:rsidR="002552A1" w:rsidRPr="004523AB" w:rsidRDefault="00BD1F6D"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17 (11.6</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c>
          <w:tcPr>
            <w:tcW w:w="2976" w:type="dxa"/>
          </w:tcPr>
          <w:p w14:paraId="558FD205" w14:textId="50A300D1" w:rsidR="002552A1" w:rsidRPr="004523AB" w:rsidRDefault="00BD1F6D"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129 (88.4</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r>
      <w:tr w:rsidR="002552A1" w:rsidRPr="004523AB" w14:paraId="7C25DE82" w14:textId="77777777" w:rsidTr="007E2787">
        <w:tc>
          <w:tcPr>
            <w:tcW w:w="3119" w:type="dxa"/>
          </w:tcPr>
          <w:p w14:paraId="09C92F2E" w14:textId="18AAA6BA" w:rsidR="002552A1" w:rsidRPr="004523AB" w:rsidRDefault="00BD1F6D" w:rsidP="00B36A91">
            <w:pPr>
              <w:spacing w:after="0" w:line="259" w:lineRule="auto"/>
              <w:rPr>
                <w:rFonts w:asciiTheme="minorHAnsi" w:hAnsiTheme="minorHAnsi" w:cstheme="minorHAnsi"/>
                <w:color w:val="FFFFFF" w:themeColor="background1"/>
                <w:szCs w:val="21"/>
              </w:rPr>
            </w:pPr>
            <w:r w:rsidRPr="004523AB">
              <w:rPr>
                <w:rFonts w:asciiTheme="minorHAnsi" w:eastAsia="Segoe UI" w:hAnsiTheme="minorHAnsi" w:cstheme="minorHAnsi"/>
                <w:color w:val="000000"/>
                <w:szCs w:val="21"/>
              </w:rPr>
              <w:t>Western Queensland</w:t>
            </w:r>
          </w:p>
        </w:tc>
        <w:tc>
          <w:tcPr>
            <w:tcW w:w="3544" w:type="dxa"/>
          </w:tcPr>
          <w:p w14:paraId="0623C078" w14:textId="393E1D9B" w:rsidR="002552A1" w:rsidRPr="004523AB" w:rsidRDefault="00062B73" w:rsidP="00BD1F6D">
            <w:pPr>
              <w:pStyle w:val="Listnumbered"/>
              <w:rPr>
                <w:rFonts w:asciiTheme="minorHAnsi" w:hAnsiTheme="minorHAnsi" w:cstheme="minorHAnsi"/>
                <w:szCs w:val="21"/>
              </w:rPr>
            </w:pPr>
            <w:r w:rsidRPr="004523AB">
              <w:rPr>
                <w:rFonts w:asciiTheme="minorHAnsi" w:hAnsiTheme="minorHAnsi" w:cstheme="minorHAnsi"/>
                <w:szCs w:val="21"/>
              </w:rPr>
              <w:t xml:space="preserve">0 (0 per cent) </w:t>
            </w:r>
          </w:p>
        </w:tc>
        <w:tc>
          <w:tcPr>
            <w:tcW w:w="2976" w:type="dxa"/>
          </w:tcPr>
          <w:p w14:paraId="249B7D62" w14:textId="448C2CE4" w:rsidR="002552A1" w:rsidRPr="004523AB" w:rsidRDefault="00BD1F6D"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29 (100.0</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r>
      <w:tr w:rsidR="002552A1" w:rsidRPr="004523AB" w14:paraId="7B5AEBCC" w14:textId="77777777" w:rsidTr="007E2787">
        <w:tc>
          <w:tcPr>
            <w:tcW w:w="3119" w:type="dxa"/>
          </w:tcPr>
          <w:p w14:paraId="53D60D1F" w14:textId="3689941B" w:rsidR="002552A1" w:rsidRPr="004523AB" w:rsidRDefault="00BD1F6D" w:rsidP="00B36A91">
            <w:pPr>
              <w:spacing w:after="0" w:line="259" w:lineRule="auto"/>
              <w:rPr>
                <w:rFonts w:asciiTheme="minorHAnsi" w:hAnsiTheme="minorHAnsi" w:cstheme="minorHAnsi"/>
                <w:color w:val="FFFFFF" w:themeColor="background1"/>
                <w:szCs w:val="21"/>
              </w:rPr>
            </w:pPr>
            <w:r w:rsidRPr="004523AB">
              <w:rPr>
                <w:rFonts w:asciiTheme="minorHAnsi" w:eastAsia="Segoe UI" w:hAnsiTheme="minorHAnsi" w:cstheme="minorHAnsi"/>
                <w:color w:val="000000"/>
                <w:szCs w:val="21"/>
              </w:rPr>
              <w:t>Central Queensland, Wide Bay, Sunshine Coast</w:t>
            </w:r>
          </w:p>
        </w:tc>
        <w:tc>
          <w:tcPr>
            <w:tcW w:w="3544" w:type="dxa"/>
          </w:tcPr>
          <w:p w14:paraId="55C24DAE" w14:textId="3CF03CE0" w:rsidR="002552A1" w:rsidRPr="004523AB" w:rsidRDefault="00BD1F6D"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155 (60.3</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c>
          <w:tcPr>
            <w:tcW w:w="2976" w:type="dxa"/>
          </w:tcPr>
          <w:p w14:paraId="1A2AE9E0" w14:textId="2E4F8D66" w:rsidR="002552A1" w:rsidRPr="004523AB" w:rsidRDefault="00BD1F6D"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102 (39.7</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r>
      <w:tr w:rsidR="002552A1" w:rsidRPr="004523AB" w14:paraId="2E39CF45" w14:textId="77777777" w:rsidTr="007E2787">
        <w:tc>
          <w:tcPr>
            <w:tcW w:w="3119" w:type="dxa"/>
          </w:tcPr>
          <w:p w14:paraId="6A14DE81" w14:textId="6E1F178F" w:rsidR="002552A1" w:rsidRPr="004523AB" w:rsidRDefault="00BD1F6D" w:rsidP="00B36A91">
            <w:pPr>
              <w:spacing w:after="0" w:line="259" w:lineRule="auto"/>
              <w:rPr>
                <w:rFonts w:asciiTheme="minorHAnsi" w:hAnsiTheme="minorHAnsi" w:cstheme="minorHAnsi"/>
                <w:color w:val="FFFFFF" w:themeColor="background1"/>
                <w:szCs w:val="21"/>
              </w:rPr>
            </w:pPr>
            <w:r w:rsidRPr="004523AB">
              <w:rPr>
                <w:rFonts w:asciiTheme="minorHAnsi" w:eastAsia="Segoe UI" w:hAnsiTheme="minorHAnsi" w:cstheme="minorHAnsi"/>
                <w:color w:val="000000"/>
                <w:szCs w:val="21"/>
              </w:rPr>
              <w:lastRenderedPageBreak/>
              <w:t>Northern Queensland</w:t>
            </w:r>
          </w:p>
        </w:tc>
        <w:tc>
          <w:tcPr>
            <w:tcW w:w="3544" w:type="dxa"/>
          </w:tcPr>
          <w:p w14:paraId="3DA8DC32" w14:textId="17287E47" w:rsidR="002552A1" w:rsidRPr="004523AB" w:rsidRDefault="00BD1F6D"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99 (49.5</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c>
          <w:tcPr>
            <w:tcW w:w="2976" w:type="dxa"/>
          </w:tcPr>
          <w:p w14:paraId="12144222" w14:textId="4C8F3E22" w:rsidR="002552A1" w:rsidRPr="004523AB" w:rsidRDefault="00BD1F6D"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101 (50.5</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r>
      <w:tr w:rsidR="002552A1" w:rsidRPr="004523AB" w14:paraId="63C3FD23" w14:textId="77777777" w:rsidTr="007E2787">
        <w:tc>
          <w:tcPr>
            <w:tcW w:w="3119" w:type="dxa"/>
          </w:tcPr>
          <w:p w14:paraId="7AD15764" w14:textId="0278891E" w:rsidR="002552A1" w:rsidRPr="004523AB" w:rsidRDefault="00BD1F6D" w:rsidP="00B36A91">
            <w:pPr>
              <w:spacing w:after="0" w:line="259" w:lineRule="auto"/>
              <w:rPr>
                <w:rFonts w:asciiTheme="minorHAnsi" w:hAnsiTheme="minorHAnsi" w:cstheme="minorHAnsi"/>
                <w:color w:val="FFFFFF" w:themeColor="background1"/>
                <w:szCs w:val="21"/>
              </w:rPr>
            </w:pPr>
            <w:r w:rsidRPr="004523AB">
              <w:rPr>
                <w:rFonts w:asciiTheme="minorHAnsi" w:eastAsia="Segoe UI" w:hAnsiTheme="minorHAnsi" w:cstheme="minorHAnsi"/>
                <w:color w:val="000000"/>
                <w:szCs w:val="21"/>
              </w:rPr>
              <w:t>Adelaide</w:t>
            </w:r>
          </w:p>
        </w:tc>
        <w:tc>
          <w:tcPr>
            <w:tcW w:w="3544" w:type="dxa"/>
          </w:tcPr>
          <w:p w14:paraId="4C12828D" w14:textId="4EF59F6D" w:rsidR="002552A1" w:rsidRPr="004523AB" w:rsidRDefault="00BD1F6D"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138 (44.2</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c>
          <w:tcPr>
            <w:tcW w:w="2976" w:type="dxa"/>
          </w:tcPr>
          <w:p w14:paraId="7D27325C" w14:textId="49474A2E" w:rsidR="002552A1" w:rsidRPr="004523AB" w:rsidRDefault="00BD1F6D"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174 (55.8</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r>
      <w:tr w:rsidR="002552A1" w:rsidRPr="004523AB" w14:paraId="728448A8" w14:textId="77777777" w:rsidTr="007E2787">
        <w:tc>
          <w:tcPr>
            <w:tcW w:w="3119" w:type="dxa"/>
          </w:tcPr>
          <w:p w14:paraId="62CA7987" w14:textId="019891FC" w:rsidR="002552A1" w:rsidRPr="004523AB" w:rsidRDefault="00BD1F6D" w:rsidP="00B36A91">
            <w:pPr>
              <w:spacing w:after="0" w:line="259" w:lineRule="auto"/>
              <w:rPr>
                <w:rFonts w:asciiTheme="minorHAnsi" w:hAnsiTheme="minorHAnsi" w:cstheme="minorHAnsi"/>
                <w:color w:val="FFFFFF" w:themeColor="background1"/>
                <w:szCs w:val="21"/>
              </w:rPr>
            </w:pPr>
            <w:r w:rsidRPr="004523AB">
              <w:rPr>
                <w:rFonts w:asciiTheme="minorHAnsi" w:eastAsia="Segoe UI" w:hAnsiTheme="minorHAnsi" w:cstheme="minorHAnsi"/>
                <w:color w:val="000000"/>
                <w:szCs w:val="21"/>
              </w:rPr>
              <w:t>Country SA</w:t>
            </w:r>
          </w:p>
        </w:tc>
        <w:tc>
          <w:tcPr>
            <w:tcW w:w="3544" w:type="dxa"/>
          </w:tcPr>
          <w:p w14:paraId="0CA521A3" w14:textId="428FE9C3" w:rsidR="002552A1" w:rsidRPr="004523AB" w:rsidRDefault="00062B73" w:rsidP="001A5549">
            <w:pPr>
              <w:pStyle w:val="Listnumbered"/>
              <w:tabs>
                <w:tab w:val="clear" w:pos="360"/>
              </w:tabs>
              <w:ind w:left="340" w:hanging="340"/>
              <w:rPr>
                <w:rFonts w:asciiTheme="minorHAnsi" w:hAnsiTheme="minorHAnsi" w:cstheme="minorHAnsi"/>
                <w:szCs w:val="21"/>
              </w:rPr>
            </w:pPr>
            <w:r w:rsidRPr="004523AB">
              <w:rPr>
                <w:rFonts w:asciiTheme="minorHAnsi" w:hAnsiTheme="minorHAnsi" w:cstheme="minorHAnsi"/>
                <w:szCs w:val="21"/>
              </w:rPr>
              <w:t>0 (0 per cent)</w:t>
            </w:r>
          </w:p>
        </w:tc>
        <w:tc>
          <w:tcPr>
            <w:tcW w:w="2976" w:type="dxa"/>
          </w:tcPr>
          <w:p w14:paraId="36082BC7" w14:textId="0BC61604" w:rsidR="002552A1" w:rsidRPr="004523AB" w:rsidRDefault="00BD1F6D"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144 (100.0</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r>
      <w:tr w:rsidR="002552A1" w:rsidRPr="004523AB" w14:paraId="115AFA2C" w14:textId="77777777" w:rsidTr="007E2787">
        <w:tc>
          <w:tcPr>
            <w:tcW w:w="3119" w:type="dxa"/>
          </w:tcPr>
          <w:p w14:paraId="57E44D4A" w14:textId="0AC1A46E" w:rsidR="002552A1" w:rsidRPr="004523AB" w:rsidRDefault="00BD1F6D" w:rsidP="00B36A91">
            <w:pPr>
              <w:spacing w:after="0" w:line="259" w:lineRule="auto"/>
              <w:rPr>
                <w:rFonts w:asciiTheme="minorHAnsi" w:hAnsiTheme="minorHAnsi" w:cstheme="minorHAnsi"/>
                <w:color w:val="FFFFFF" w:themeColor="background1"/>
                <w:szCs w:val="21"/>
              </w:rPr>
            </w:pPr>
            <w:r w:rsidRPr="004523AB">
              <w:rPr>
                <w:rFonts w:asciiTheme="minorHAnsi" w:eastAsia="Segoe UI" w:hAnsiTheme="minorHAnsi" w:cstheme="minorHAnsi"/>
                <w:color w:val="000000"/>
                <w:szCs w:val="21"/>
              </w:rPr>
              <w:t>Perth North</w:t>
            </w:r>
          </w:p>
        </w:tc>
        <w:tc>
          <w:tcPr>
            <w:tcW w:w="3544" w:type="dxa"/>
          </w:tcPr>
          <w:p w14:paraId="6C75FE40" w14:textId="2E9C00D7" w:rsidR="002552A1" w:rsidRPr="004523AB" w:rsidRDefault="00BD1F6D"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41 (16.5</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c>
          <w:tcPr>
            <w:tcW w:w="2976" w:type="dxa"/>
          </w:tcPr>
          <w:p w14:paraId="05A7CC73" w14:textId="31D8FDA4" w:rsidR="002552A1" w:rsidRPr="004523AB" w:rsidRDefault="00BD1F6D"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208 (83.5</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r>
      <w:tr w:rsidR="002552A1" w:rsidRPr="004523AB" w14:paraId="268FD5A3" w14:textId="77777777" w:rsidTr="007E2787">
        <w:tc>
          <w:tcPr>
            <w:tcW w:w="3119" w:type="dxa"/>
          </w:tcPr>
          <w:p w14:paraId="6A3C2BC5" w14:textId="259A92C3" w:rsidR="002552A1" w:rsidRPr="004523AB" w:rsidRDefault="00BD1F6D" w:rsidP="00B36A91">
            <w:pPr>
              <w:spacing w:after="0" w:line="259" w:lineRule="auto"/>
              <w:rPr>
                <w:rFonts w:asciiTheme="minorHAnsi" w:hAnsiTheme="minorHAnsi" w:cstheme="minorHAnsi"/>
                <w:color w:val="FFFFFF" w:themeColor="background1"/>
                <w:szCs w:val="21"/>
              </w:rPr>
            </w:pPr>
            <w:r w:rsidRPr="004523AB">
              <w:rPr>
                <w:rFonts w:asciiTheme="minorHAnsi" w:eastAsia="Segoe UI" w:hAnsiTheme="minorHAnsi" w:cstheme="minorHAnsi"/>
                <w:color w:val="000000"/>
                <w:szCs w:val="21"/>
              </w:rPr>
              <w:t>Perth South</w:t>
            </w:r>
          </w:p>
        </w:tc>
        <w:tc>
          <w:tcPr>
            <w:tcW w:w="3544" w:type="dxa"/>
          </w:tcPr>
          <w:p w14:paraId="216810D7" w14:textId="5320DBC5" w:rsidR="002552A1" w:rsidRPr="004523AB" w:rsidRDefault="00BD1F6D"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24 (9.8</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001A5549" w:rsidRPr="004523AB">
              <w:rPr>
                <w:rFonts w:eastAsia="Segoe UI" w:cs="Segoe UI"/>
                <w:color w:val="000000"/>
                <w:szCs w:val="21"/>
              </w:rPr>
              <w:t>)</w:t>
            </w:r>
          </w:p>
        </w:tc>
        <w:tc>
          <w:tcPr>
            <w:tcW w:w="2976" w:type="dxa"/>
          </w:tcPr>
          <w:p w14:paraId="305ACDA4" w14:textId="6CFD793C" w:rsidR="002552A1" w:rsidRPr="004523AB" w:rsidRDefault="00BD1F6D"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221 (90.2</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r>
      <w:tr w:rsidR="002552A1" w:rsidRPr="004523AB" w14:paraId="3FAAE645" w14:textId="77777777" w:rsidTr="007E2787">
        <w:tc>
          <w:tcPr>
            <w:tcW w:w="3119" w:type="dxa"/>
          </w:tcPr>
          <w:p w14:paraId="77038582" w14:textId="5495A131" w:rsidR="002552A1" w:rsidRPr="004523AB" w:rsidRDefault="00BD1F6D" w:rsidP="00B36A91">
            <w:pPr>
              <w:spacing w:after="0" w:line="259" w:lineRule="auto"/>
              <w:rPr>
                <w:rFonts w:asciiTheme="minorHAnsi" w:hAnsiTheme="minorHAnsi" w:cstheme="minorHAnsi"/>
                <w:color w:val="FFFFFF" w:themeColor="background1"/>
                <w:szCs w:val="21"/>
              </w:rPr>
            </w:pPr>
            <w:r w:rsidRPr="004523AB">
              <w:rPr>
                <w:rFonts w:asciiTheme="minorHAnsi" w:eastAsia="Segoe UI" w:hAnsiTheme="minorHAnsi" w:cstheme="minorHAnsi"/>
                <w:color w:val="000000"/>
                <w:szCs w:val="21"/>
              </w:rPr>
              <w:t>Country WA</w:t>
            </w:r>
          </w:p>
        </w:tc>
        <w:tc>
          <w:tcPr>
            <w:tcW w:w="3544" w:type="dxa"/>
          </w:tcPr>
          <w:p w14:paraId="5D25CE60" w14:textId="41B57F17" w:rsidR="002552A1" w:rsidRPr="004523AB" w:rsidRDefault="00BD1F6D"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21 (12.4</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c>
          <w:tcPr>
            <w:tcW w:w="2976" w:type="dxa"/>
          </w:tcPr>
          <w:p w14:paraId="0E6B2659" w14:textId="339B6EFC" w:rsidR="002552A1" w:rsidRPr="004523AB" w:rsidRDefault="00BD1F6D"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148 (87.6</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r>
      <w:tr w:rsidR="002552A1" w:rsidRPr="004523AB" w14:paraId="12A3715D" w14:textId="77777777" w:rsidTr="007E2787">
        <w:tc>
          <w:tcPr>
            <w:tcW w:w="3119" w:type="dxa"/>
          </w:tcPr>
          <w:p w14:paraId="677B793D" w14:textId="2C3F2719" w:rsidR="002552A1" w:rsidRPr="004523AB" w:rsidRDefault="00B36A91" w:rsidP="00B36A91">
            <w:pPr>
              <w:spacing w:after="0" w:line="259" w:lineRule="auto"/>
              <w:rPr>
                <w:rFonts w:asciiTheme="minorHAnsi" w:hAnsiTheme="minorHAnsi" w:cstheme="minorHAnsi"/>
                <w:color w:val="FFFFFF" w:themeColor="background1"/>
                <w:szCs w:val="21"/>
              </w:rPr>
            </w:pPr>
            <w:r w:rsidRPr="004523AB">
              <w:rPr>
                <w:rFonts w:asciiTheme="minorHAnsi" w:eastAsia="Segoe UI" w:hAnsiTheme="minorHAnsi" w:cstheme="minorHAnsi"/>
                <w:color w:val="000000"/>
                <w:szCs w:val="21"/>
              </w:rPr>
              <w:t>Tasmania</w:t>
            </w:r>
          </w:p>
        </w:tc>
        <w:tc>
          <w:tcPr>
            <w:tcW w:w="3544" w:type="dxa"/>
          </w:tcPr>
          <w:p w14:paraId="06E7159F" w14:textId="3C4279CE" w:rsidR="002552A1" w:rsidRPr="004523AB" w:rsidRDefault="00B36A91"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8 (6.2</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c>
          <w:tcPr>
            <w:tcW w:w="2976" w:type="dxa"/>
          </w:tcPr>
          <w:p w14:paraId="6A351CEC" w14:textId="098B337A" w:rsidR="002552A1" w:rsidRPr="004523AB" w:rsidRDefault="00B36A91"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122 (93.8</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r>
      <w:tr w:rsidR="002552A1" w:rsidRPr="004523AB" w14:paraId="5C438A9A" w14:textId="77777777" w:rsidTr="007E2787">
        <w:tc>
          <w:tcPr>
            <w:tcW w:w="3119" w:type="dxa"/>
          </w:tcPr>
          <w:p w14:paraId="2340B848" w14:textId="449FE7B9" w:rsidR="002552A1" w:rsidRPr="004523AB" w:rsidRDefault="00B36A91" w:rsidP="00B36A91">
            <w:pPr>
              <w:spacing w:after="0" w:line="259" w:lineRule="auto"/>
              <w:rPr>
                <w:rFonts w:asciiTheme="minorHAnsi" w:hAnsiTheme="minorHAnsi" w:cstheme="minorHAnsi"/>
                <w:color w:val="FFFFFF" w:themeColor="background1"/>
                <w:szCs w:val="21"/>
              </w:rPr>
            </w:pPr>
            <w:r w:rsidRPr="004523AB">
              <w:rPr>
                <w:rFonts w:asciiTheme="minorHAnsi" w:eastAsia="Segoe UI" w:hAnsiTheme="minorHAnsi" w:cstheme="minorHAnsi"/>
                <w:color w:val="000000"/>
                <w:szCs w:val="21"/>
              </w:rPr>
              <w:t>Northern Territory</w:t>
            </w:r>
          </w:p>
        </w:tc>
        <w:tc>
          <w:tcPr>
            <w:tcW w:w="3544" w:type="dxa"/>
          </w:tcPr>
          <w:p w14:paraId="04EA5E2E" w14:textId="6AAC9404" w:rsidR="002552A1" w:rsidRPr="004523AB" w:rsidRDefault="00B36A91"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15 (17.9</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c>
          <w:tcPr>
            <w:tcW w:w="2976" w:type="dxa"/>
          </w:tcPr>
          <w:p w14:paraId="2E2BAAC8" w14:textId="79B756D5" w:rsidR="002552A1" w:rsidRPr="004523AB" w:rsidRDefault="00B36A91"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69 (82.1</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r>
      <w:tr w:rsidR="002552A1" w:rsidRPr="004523AB" w14:paraId="70B096AC" w14:textId="77777777" w:rsidTr="007E2787">
        <w:tc>
          <w:tcPr>
            <w:tcW w:w="3119" w:type="dxa"/>
          </w:tcPr>
          <w:p w14:paraId="26292EE2" w14:textId="7F0F100D" w:rsidR="002552A1" w:rsidRPr="004523AB" w:rsidRDefault="00B36A91" w:rsidP="00B36A91">
            <w:pPr>
              <w:spacing w:after="0" w:line="259" w:lineRule="auto"/>
              <w:rPr>
                <w:rFonts w:asciiTheme="minorHAnsi" w:hAnsiTheme="minorHAnsi" w:cstheme="minorHAnsi"/>
                <w:color w:val="FFFFFF" w:themeColor="background1"/>
                <w:szCs w:val="21"/>
              </w:rPr>
            </w:pPr>
            <w:r w:rsidRPr="004523AB">
              <w:rPr>
                <w:rFonts w:asciiTheme="minorHAnsi" w:eastAsia="Segoe UI" w:hAnsiTheme="minorHAnsi" w:cstheme="minorHAnsi"/>
                <w:color w:val="000000"/>
                <w:szCs w:val="21"/>
              </w:rPr>
              <w:t>Australian Capital Territory</w:t>
            </w:r>
          </w:p>
        </w:tc>
        <w:tc>
          <w:tcPr>
            <w:tcW w:w="3544" w:type="dxa"/>
          </w:tcPr>
          <w:p w14:paraId="14F84E06" w14:textId="2607AD6A" w:rsidR="002552A1" w:rsidRPr="004523AB" w:rsidRDefault="00062B73" w:rsidP="001A5549">
            <w:pPr>
              <w:pStyle w:val="Listnumbered"/>
              <w:tabs>
                <w:tab w:val="clear" w:pos="360"/>
              </w:tabs>
              <w:ind w:left="340" w:hanging="340"/>
              <w:rPr>
                <w:rFonts w:asciiTheme="minorHAnsi" w:hAnsiTheme="minorHAnsi" w:cstheme="minorHAnsi"/>
                <w:szCs w:val="21"/>
              </w:rPr>
            </w:pPr>
            <w:r w:rsidRPr="004523AB">
              <w:rPr>
                <w:rFonts w:asciiTheme="minorHAnsi" w:hAnsiTheme="minorHAnsi" w:cstheme="minorHAnsi"/>
                <w:szCs w:val="21"/>
              </w:rPr>
              <w:t>0 (0 per cent)</w:t>
            </w:r>
          </w:p>
        </w:tc>
        <w:tc>
          <w:tcPr>
            <w:tcW w:w="2976" w:type="dxa"/>
          </w:tcPr>
          <w:p w14:paraId="14D5FF52" w14:textId="1CF7D4D4" w:rsidR="002552A1" w:rsidRPr="004523AB" w:rsidRDefault="00B36A91" w:rsidP="001A5549">
            <w:pPr>
              <w:pStyle w:val="Listnumbered"/>
              <w:tabs>
                <w:tab w:val="clear" w:pos="360"/>
              </w:tabs>
              <w:ind w:left="340" w:hanging="340"/>
              <w:rPr>
                <w:rFonts w:asciiTheme="minorHAnsi" w:hAnsiTheme="minorHAnsi" w:cstheme="minorHAnsi"/>
                <w:szCs w:val="21"/>
              </w:rPr>
            </w:pPr>
            <w:r w:rsidRPr="004523AB">
              <w:rPr>
                <w:rFonts w:eastAsia="Segoe UI" w:cs="Segoe UI"/>
                <w:color w:val="000000"/>
                <w:szCs w:val="21"/>
              </w:rPr>
              <w:t>99 (100.0</w:t>
            </w:r>
            <w:r w:rsidR="009977AA" w:rsidRPr="004523AB">
              <w:rPr>
                <w:rFonts w:eastAsia="Segoe UI" w:cs="Segoe UI"/>
                <w:color w:val="000000"/>
                <w:szCs w:val="21"/>
              </w:rPr>
              <w:t xml:space="preserve"> per</w:t>
            </w:r>
            <w:r w:rsidR="00843623" w:rsidRPr="004523AB">
              <w:rPr>
                <w:rFonts w:eastAsia="Segoe UI" w:cs="Segoe UI"/>
                <w:color w:val="000000"/>
                <w:szCs w:val="21"/>
              </w:rPr>
              <w:t xml:space="preserve"> </w:t>
            </w:r>
            <w:r w:rsidR="009977AA" w:rsidRPr="004523AB">
              <w:rPr>
                <w:rFonts w:eastAsia="Segoe UI" w:cs="Segoe UI"/>
                <w:color w:val="000000"/>
                <w:szCs w:val="21"/>
              </w:rPr>
              <w:t>cent</w:t>
            </w:r>
            <w:r w:rsidRPr="004523AB">
              <w:rPr>
                <w:rFonts w:eastAsia="Segoe UI" w:cs="Segoe UI"/>
                <w:color w:val="000000"/>
                <w:szCs w:val="21"/>
              </w:rPr>
              <w:t>)</w:t>
            </w:r>
          </w:p>
        </w:tc>
      </w:tr>
      <w:tr w:rsidR="002552A1" w:rsidRPr="004523AB" w14:paraId="47A3A6EA" w14:textId="77777777" w:rsidTr="007E2787">
        <w:tc>
          <w:tcPr>
            <w:tcW w:w="3119" w:type="dxa"/>
          </w:tcPr>
          <w:p w14:paraId="419132EE" w14:textId="77C3A023" w:rsidR="002552A1" w:rsidRPr="004523AB" w:rsidRDefault="00B36A91" w:rsidP="00B36A91">
            <w:pPr>
              <w:spacing w:after="0" w:line="259" w:lineRule="auto"/>
              <w:rPr>
                <w:rFonts w:asciiTheme="majorHAnsi" w:hAnsiTheme="majorHAnsi" w:cstheme="majorHAnsi"/>
                <w:color w:val="FFFFFF" w:themeColor="background1"/>
                <w:szCs w:val="21"/>
              </w:rPr>
            </w:pPr>
            <w:r w:rsidRPr="004523AB">
              <w:rPr>
                <w:rFonts w:asciiTheme="majorHAnsi" w:eastAsia="Segoe UI" w:hAnsiTheme="majorHAnsi" w:cstheme="majorHAnsi"/>
                <w:color w:val="000000"/>
                <w:szCs w:val="21"/>
              </w:rPr>
              <w:t>Total</w:t>
            </w:r>
          </w:p>
        </w:tc>
        <w:tc>
          <w:tcPr>
            <w:tcW w:w="3544" w:type="dxa"/>
          </w:tcPr>
          <w:p w14:paraId="7A5BA468" w14:textId="08112F79" w:rsidR="002552A1" w:rsidRPr="004523AB" w:rsidRDefault="00B36A91" w:rsidP="001A5549">
            <w:pPr>
              <w:pStyle w:val="Listnumbered"/>
              <w:tabs>
                <w:tab w:val="clear" w:pos="360"/>
              </w:tabs>
              <w:ind w:left="340" w:hanging="340"/>
              <w:rPr>
                <w:rFonts w:asciiTheme="majorHAnsi" w:hAnsiTheme="majorHAnsi" w:cstheme="majorHAnsi"/>
                <w:bCs/>
                <w:szCs w:val="21"/>
              </w:rPr>
            </w:pPr>
            <w:r w:rsidRPr="004523AB">
              <w:rPr>
                <w:rFonts w:asciiTheme="majorHAnsi" w:eastAsia="Segoe UI" w:hAnsiTheme="majorHAnsi" w:cstheme="majorHAnsi"/>
                <w:bCs/>
                <w:color w:val="000000"/>
                <w:szCs w:val="21"/>
              </w:rPr>
              <w:t>1,712 (24.3</w:t>
            </w:r>
            <w:r w:rsidR="009977AA" w:rsidRPr="004523AB">
              <w:rPr>
                <w:szCs w:val="21"/>
              </w:rPr>
              <w:t xml:space="preserve"> </w:t>
            </w:r>
            <w:r w:rsidR="009977AA" w:rsidRPr="004523AB">
              <w:rPr>
                <w:rFonts w:asciiTheme="majorHAnsi" w:eastAsia="Segoe UI" w:hAnsiTheme="majorHAnsi" w:cstheme="majorHAnsi"/>
                <w:bCs/>
                <w:color w:val="000000"/>
                <w:szCs w:val="21"/>
              </w:rPr>
              <w:t>per</w:t>
            </w:r>
            <w:r w:rsidR="00843623" w:rsidRPr="004523AB">
              <w:rPr>
                <w:rFonts w:asciiTheme="majorHAnsi" w:eastAsia="Segoe UI" w:hAnsiTheme="majorHAnsi" w:cstheme="majorHAnsi"/>
                <w:bCs/>
                <w:color w:val="000000"/>
                <w:szCs w:val="21"/>
              </w:rPr>
              <w:t xml:space="preserve"> </w:t>
            </w:r>
            <w:r w:rsidR="009977AA" w:rsidRPr="004523AB">
              <w:rPr>
                <w:rFonts w:asciiTheme="majorHAnsi" w:eastAsia="Segoe UI" w:hAnsiTheme="majorHAnsi" w:cstheme="majorHAnsi"/>
                <w:bCs/>
                <w:color w:val="000000"/>
                <w:szCs w:val="21"/>
              </w:rPr>
              <w:t>cent</w:t>
            </w:r>
            <w:r w:rsidRPr="004523AB">
              <w:rPr>
                <w:rFonts w:asciiTheme="majorHAnsi" w:eastAsia="Segoe UI" w:hAnsiTheme="majorHAnsi" w:cstheme="majorHAnsi"/>
                <w:bCs/>
                <w:color w:val="000000"/>
                <w:szCs w:val="21"/>
              </w:rPr>
              <w:t>)</w:t>
            </w:r>
          </w:p>
        </w:tc>
        <w:tc>
          <w:tcPr>
            <w:tcW w:w="2976" w:type="dxa"/>
          </w:tcPr>
          <w:p w14:paraId="28BF22B8" w14:textId="1656DA0D" w:rsidR="002552A1" w:rsidRPr="004523AB" w:rsidRDefault="00B36A91" w:rsidP="001A5549">
            <w:pPr>
              <w:pStyle w:val="Listnumbered"/>
              <w:tabs>
                <w:tab w:val="clear" w:pos="360"/>
              </w:tabs>
              <w:ind w:left="340" w:hanging="340"/>
              <w:rPr>
                <w:rFonts w:asciiTheme="majorHAnsi" w:hAnsiTheme="majorHAnsi" w:cstheme="majorHAnsi"/>
                <w:bCs/>
                <w:szCs w:val="21"/>
              </w:rPr>
            </w:pPr>
            <w:r w:rsidRPr="004523AB">
              <w:rPr>
                <w:rFonts w:asciiTheme="majorHAnsi" w:eastAsia="Segoe UI" w:hAnsiTheme="majorHAnsi" w:cstheme="majorHAnsi"/>
                <w:bCs/>
                <w:color w:val="000000"/>
                <w:szCs w:val="21"/>
              </w:rPr>
              <w:t>5,325 (75.7</w:t>
            </w:r>
            <w:r w:rsidR="009977AA" w:rsidRPr="004523AB">
              <w:rPr>
                <w:rFonts w:asciiTheme="majorHAnsi" w:eastAsia="Segoe UI" w:hAnsiTheme="majorHAnsi" w:cstheme="majorHAnsi"/>
                <w:bCs/>
                <w:color w:val="000000"/>
                <w:szCs w:val="21"/>
              </w:rPr>
              <w:t xml:space="preserve"> per</w:t>
            </w:r>
            <w:r w:rsidR="00843623" w:rsidRPr="004523AB">
              <w:rPr>
                <w:rFonts w:asciiTheme="majorHAnsi" w:eastAsia="Segoe UI" w:hAnsiTheme="majorHAnsi" w:cstheme="majorHAnsi"/>
                <w:bCs/>
                <w:color w:val="000000"/>
                <w:szCs w:val="21"/>
              </w:rPr>
              <w:t xml:space="preserve"> </w:t>
            </w:r>
            <w:r w:rsidR="009977AA" w:rsidRPr="004523AB">
              <w:rPr>
                <w:rFonts w:asciiTheme="majorHAnsi" w:eastAsia="Segoe UI" w:hAnsiTheme="majorHAnsi" w:cstheme="majorHAnsi"/>
                <w:bCs/>
                <w:color w:val="000000"/>
                <w:szCs w:val="21"/>
              </w:rPr>
              <w:t>cent</w:t>
            </w:r>
            <w:r w:rsidRPr="004523AB">
              <w:rPr>
                <w:rFonts w:asciiTheme="majorHAnsi" w:eastAsia="Segoe UI" w:hAnsiTheme="majorHAnsi" w:cstheme="majorHAnsi"/>
                <w:bCs/>
                <w:color w:val="000000"/>
                <w:szCs w:val="21"/>
              </w:rPr>
              <w:t>)</w:t>
            </w:r>
          </w:p>
        </w:tc>
      </w:tr>
    </w:tbl>
    <w:p w14:paraId="28D8C56B" w14:textId="51B646F5" w:rsidR="00A065C1" w:rsidRPr="004523AB" w:rsidRDefault="00A065C1" w:rsidP="0099313E">
      <w:r w:rsidRPr="004523AB">
        <w:br w:type="page"/>
      </w:r>
    </w:p>
    <w:p w14:paraId="7368E0BC" w14:textId="7AABAB10" w:rsidR="00625E61" w:rsidRPr="004523AB" w:rsidRDefault="00A065C1" w:rsidP="00625E61">
      <w:pPr>
        <w:pStyle w:val="xAppendixLevel1"/>
      </w:pPr>
      <w:bookmarkStart w:id="73" w:name="_Ref184972603"/>
      <w:bookmarkStart w:id="74" w:name="_Toc184982769"/>
      <w:r w:rsidRPr="004523AB">
        <w:lastRenderedPageBreak/>
        <w:t>PHN and practice consultation log</w:t>
      </w:r>
      <w:bookmarkEnd w:id="73"/>
      <w:bookmarkEnd w:id="74"/>
      <w:r w:rsidRPr="004523AB">
        <w:t xml:space="preserve"> </w:t>
      </w:r>
    </w:p>
    <w:p w14:paraId="5C859E71" w14:textId="7D961DC3" w:rsidR="00A065C1" w:rsidRPr="004523AB" w:rsidRDefault="00A85271" w:rsidP="00A065C1">
      <w:r w:rsidRPr="004523AB">
        <w:fldChar w:fldCharType="begin"/>
      </w:r>
      <w:r w:rsidRPr="004523AB">
        <w:instrText xml:space="preserve"> REF _Ref184890398 \h </w:instrText>
      </w:r>
      <w:r w:rsidR="004523AB" w:rsidRPr="004523AB">
        <w:instrText xml:space="preserve"> \* MERGEFORMAT </w:instrText>
      </w:r>
      <w:r w:rsidRPr="004523AB">
        <w:fldChar w:fldCharType="separate"/>
      </w:r>
      <w:r w:rsidR="00B96E50" w:rsidRPr="004523AB">
        <w:t xml:space="preserve">Table </w:t>
      </w:r>
      <w:r w:rsidR="00B96E50">
        <w:rPr>
          <w:noProof/>
        </w:rPr>
        <w:t>20</w:t>
      </w:r>
      <w:r w:rsidRPr="004523AB">
        <w:fldChar w:fldCharType="end"/>
      </w:r>
      <w:r w:rsidR="00B72C91" w:rsidRPr="004523AB">
        <w:t xml:space="preserve"> summarises the consultation undertaken. To maintain the anonymity of practices who have taken part in a consult, practice interviews have been categorised against their PHN. The 32 interviews conducted provided coverage of over 100 practices. No ACCHOs were able to be interviewed for the evaluation. Their insights have been collected directly through the ACCHO self-evaluation survey data and indirectly through an interview with NACCHO.</w:t>
      </w:r>
    </w:p>
    <w:p w14:paraId="21BAA8E0" w14:textId="72590E01" w:rsidR="00954B32" w:rsidRPr="004523AB" w:rsidRDefault="00954B32" w:rsidP="00954B32">
      <w:pPr>
        <w:pStyle w:val="Caption"/>
      </w:pPr>
      <w:bookmarkStart w:id="75" w:name="_Ref184890398"/>
      <w:r w:rsidRPr="004523AB">
        <w:t xml:space="preserve">Table </w:t>
      </w:r>
      <w:r w:rsidRPr="004523AB">
        <w:fldChar w:fldCharType="begin"/>
      </w:r>
      <w:r w:rsidRPr="004523AB">
        <w:instrText xml:space="preserve"> SEQ Table \* ARABIC </w:instrText>
      </w:r>
      <w:r w:rsidRPr="004523AB">
        <w:fldChar w:fldCharType="separate"/>
      </w:r>
      <w:r w:rsidR="00B96E50">
        <w:rPr>
          <w:noProof/>
        </w:rPr>
        <w:t>20</w:t>
      </w:r>
      <w:r w:rsidRPr="004523AB">
        <w:fldChar w:fldCharType="end"/>
      </w:r>
      <w:bookmarkEnd w:id="75"/>
      <w:r w:rsidRPr="004523AB">
        <w:t xml:space="preserve"> | Stakeholder engagement by PNH as on June 14</w:t>
      </w:r>
    </w:p>
    <w:tbl>
      <w:tblPr>
        <w:tblStyle w:val="AccessibleNousTable"/>
        <w:tblpPr w:leftFromText="180" w:rightFromText="180" w:vertAnchor="text" w:tblpY="409"/>
        <w:tblW w:w="9169" w:type="dxa"/>
        <w:tblLook w:val="04A0" w:firstRow="1" w:lastRow="0" w:firstColumn="1" w:lastColumn="0" w:noHBand="0" w:noVBand="1"/>
      </w:tblPr>
      <w:tblGrid>
        <w:gridCol w:w="3686"/>
        <w:gridCol w:w="1533"/>
        <w:gridCol w:w="1975"/>
        <w:gridCol w:w="1975"/>
      </w:tblGrid>
      <w:tr w:rsidR="004223BB" w:rsidRPr="004523AB" w14:paraId="4476CACD" w14:textId="77777777" w:rsidTr="0099313E">
        <w:trPr>
          <w:cnfStyle w:val="100000000000" w:firstRow="1" w:lastRow="0" w:firstColumn="0" w:lastColumn="0" w:oddVBand="0" w:evenVBand="0" w:oddHBand="0" w:evenHBand="0" w:firstRowFirstColumn="0" w:firstRowLastColumn="0" w:lastRowFirstColumn="0" w:lastRowLastColumn="0"/>
          <w:cantSplit/>
          <w:trHeight w:val="513"/>
          <w:tblHeader/>
        </w:trPr>
        <w:tc>
          <w:tcPr>
            <w:tcW w:w="3686" w:type="dxa"/>
            <w:hideMark/>
          </w:tcPr>
          <w:p w14:paraId="5AE65D55" w14:textId="77777777" w:rsidR="009568DA" w:rsidRPr="004523AB" w:rsidRDefault="009568DA">
            <w:pPr>
              <w:rPr>
                <w:rFonts w:asciiTheme="majorHAnsi" w:hAnsiTheme="majorHAnsi" w:cstheme="majorHAnsi"/>
                <w:b/>
                <w:sz w:val="23"/>
                <w:szCs w:val="23"/>
                <w:lang w:eastAsia="en-AU"/>
              </w:rPr>
            </w:pPr>
            <w:r w:rsidRPr="004523AB">
              <w:rPr>
                <w:rFonts w:asciiTheme="majorHAnsi" w:hAnsiTheme="majorHAnsi" w:cstheme="majorHAnsi"/>
                <w:sz w:val="23"/>
                <w:szCs w:val="23"/>
                <w:lang w:eastAsia="en-AU"/>
              </w:rPr>
              <w:t>PHN</w:t>
            </w:r>
          </w:p>
        </w:tc>
        <w:tc>
          <w:tcPr>
            <w:tcW w:w="1533" w:type="dxa"/>
            <w:hideMark/>
          </w:tcPr>
          <w:p w14:paraId="52975FF1" w14:textId="77777777" w:rsidR="009568DA" w:rsidRPr="004523AB" w:rsidRDefault="009568DA">
            <w:pPr>
              <w:rPr>
                <w:rFonts w:asciiTheme="majorHAnsi" w:hAnsiTheme="majorHAnsi" w:cstheme="majorHAnsi"/>
                <w:b/>
                <w:sz w:val="23"/>
                <w:szCs w:val="23"/>
                <w:lang w:eastAsia="en-AU"/>
              </w:rPr>
            </w:pPr>
            <w:r w:rsidRPr="004523AB">
              <w:rPr>
                <w:rFonts w:asciiTheme="majorHAnsi" w:hAnsiTheme="majorHAnsi" w:cstheme="majorHAnsi"/>
                <w:sz w:val="23"/>
                <w:szCs w:val="23"/>
                <w:lang w:eastAsia="en-AU"/>
              </w:rPr>
              <w:t>PHN completed the survey</w:t>
            </w:r>
          </w:p>
        </w:tc>
        <w:tc>
          <w:tcPr>
            <w:tcW w:w="1975" w:type="dxa"/>
            <w:hideMark/>
          </w:tcPr>
          <w:p w14:paraId="14488721" w14:textId="77777777" w:rsidR="009568DA" w:rsidRPr="004523AB" w:rsidRDefault="009568DA">
            <w:pPr>
              <w:rPr>
                <w:rFonts w:asciiTheme="majorHAnsi" w:hAnsiTheme="majorHAnsi" w:cstheme="majorHAnsi"/>
                <w:b/>
                <w:sz w:val="23"/>
                <w:szCs w:val="23"/>
                <w:lang w:eastAsia="en-AU"/>
              </w:rPr>
            </w:pPr>
            <w:r w:rsidRPr="004523AB">
              <w:rPr>
                <w:rFonts w:asciiTheme="majorHAnsi" w:hAnsiTheme="majorHAnsi" w:cstheme="majorHAnsi"/>
                <w:sz w:val="23"/>
                <w:szCs w:val="23"/>
                <w:lang w:eastAsia="en-AU"/>
              </w:rPr>
              <w:t xml:space="preserve">PHN completed an interview </w:t>
            </w:r>
          </w:p>
        </w:tc>
        <w:tc>
          <w:tcPr>
            <w:tcW w:w="1975" w:type="dxa"/>
            <w:hideMark/>
          </w:tcPr>
          <w:p w14:paraId="3D74CA04" w14:textId="77777777" w:rsidR="009568DA" w:rsidRPr="004523AB" w:rsidRDefault="009568DA">
            <w:pPr>
              <w:rPr>
                <w:rFonts w:asciiTheme="majorHAnsi" w:hAnsiTheme="majorHAnsi" w:cstheme="majorHAnsi"/>
                <w:b/>
                <w:sz w:val="23"/>
                <w:szCs w:val="23"/>
                <w:lang w:eastAsia="en-AU"/>
              </w:rPr>
            </w:pPr>
            <w:r w:rsidRPr="004523AB">
              <w:rPr>
                <w:rFonts w:asciiTheme="majorHAnsi" w:hAnsiTheme="majorHAnsi" w:cstheme="majorHAnsi"/>
                <w:sz w:val="23"/>
                <w:szCs w:val="23"/>
                <w:lang w:eastAsia="en-AU"/>
              </w:rPr>
              <w:t>Practices interviewed (coverage of 100 practices)</w:t>
            </w:r>
          </w:p>
        </w:tc>
      </w:tr>
      <w:tr w:rsidR="009568DA" w:rsidRPr="004523AB" w14:paraId="700FE889" w14:textId="77777777" w:rsidTr="0099313E">
        <w:trPr>
          <w:trHeight w:val="292"/>
        </w:trPr>
        <w:tc>
          <w:tcPr>
            <w:tcW w:w="3686" w:type="dxa"/>
            <w:hideMark/>
          </w:tcPr>
          <w:p w14:paraId="1C4F0207" w14:textId="77777777" w:rsidR="009568DA" w:rsidRPr="004523AB" w:rsidRDefault="009568DA" w:rsidP="00A60CA8">
            <w:r w:rsidRPr="004523AB">
              <w:t>Adelaide</w:t>
            </w:r>
          </w:p>
        </w:tc>
        <w:tc>
          <w:tcPr>
            <w:tcW w:w="1533" w:type="dxa"/>
            <w:hideMark/>
          </w:tcPr>
          <w:p w14:paraId="1E0D7B12" w14:textId="77777777" w:rsidR="009568DA" w:rsidRPr="004523AB" w:rsidRDefault="009568DA" w:rsidP="00A60CA8">
            <w:r w:rsidRPr="004523AB">
              <w:t>Yes</w:t>
            </w:r>
          </w:p>
        </w:tc>
        <w:tc>
          <w:tcPr>
            <w:tcW w:w="1975" w:type="dxa"/>
            <w:hideMark/>
          </w:tcPr>
          <w:p w14:paraId="063721AE" w14:textId="77777777" w:rsidR="009568DA" w:rsidRPr="004523AB" w:rsidRDefault="009568DA" w:rsidP="00A60CA8">
            <w:pPr>
              <w:rPr>
                <w:b/>
                <w:bCs/>
              </w:rPr>
            </w:pPr>
            <w:r w:rsidRPr="004523AB">
              <w:t>Yes</w:t>
            </w:r>
          </w:p>
        </w:tc>
        <w:tc>
          <w:tcPr>
            <w:tcW w:w="1975" w:type="dxa"/>
          </w:tcPr>
          <w:p w14:paraId="0C13D646" w14:textId="77777777" w:rsidR="009568DA" w:rsidRPr="004523AB" w:rsidRDefault="009568DA" w:rsidP="00A60CA8">
            <w:pPr>
              <w:rPr>
                <w:rFonts w:asciiTheme="minorHAnsi" w:hAnsiTheme="minorHAnsi" w:cstheme="minorHAnsi"/>
              </w:rPr>
            </w:pPr>
            <w:r w:rsidRPr="004523AB" w:rsidDel="003875D1">
              <w:rPr>
                <w:rFonts w:cs="Segoe UI"/>
                <w:color w:val="000000"/>
              </w:rPr>
              <w:t>1</w:t>
            </w:r>
          </w:p>
        </w:tc>
      </w:tr>
      <w:tr w:rsidR="009568DA" w:rsidRPr="004523AB" w14:paraId="12969AF2" w14:textId="77777777" w:rsidTr="0099313E">
        <w:trPr>
          <w:trHeight w:val="292"/>
        </w:trPr>
        <w:tc>
          <w:tcPr>
            <w:tcW w:w="3686" w:type="dxa"/>
            <w:hideMark/>
          </w:tcPr>
          <w:p w14:paraId="2D58B6F2" w14:textId="77777777" w:rsidR="009568DA" w:rsidRPr="004523AB" w:rsidRDefault="009568DA" w:rsidP="00A60CA8">
            <w:r w:rsidRPr="004523AB">
              <w:t>Australian Capital Territory</w:t>
            </w:r>
          </w:p>
        </w:tc>
        <w:tc>
          <w:tcPr>
            <w:tcW w:w="1533" w:type="dxa"/>
            <w:hideMark/>
          </w:tcPr>
          <w:p w14:paraId="3F6F4066" w14:textId="77777777" w:rsidR="009568DA" w:rsidRPr="004523AB" w:rsidRDefault="009568DA" w:rsidP="00A60CA8">
            <w:r w:rsidRPr="004523AB">
              <w:t>Yes</w:t>
            </w:r>
          </w:p>
        </w:tc>
        <w:tc>
          <w:tcPr>
            <w:tcW w:w="1975" w:type="dxa"/>
            <w:hideMark/>
          </w:tcPr>
          <w:p w14:paraId="2A0664C5" w14:textId="77777777" w:rsidR="009568DA" w:rsidRPr="004523AB" w:rsidRDefault="009568DA" w:rsidP="00A60CA8">
            <w:pPr>
              <w:rPr>
                <w:b/>
                <w:bCs/>
              </w:rPr>
            </w:pPr>
            <w:r w:rsidRPr="004523AB">
              <w:t>Yes</w:t>
            </w:r>
          </w:p>
        </w:tc>
        <w:tc>
          <w:tcPr>
            <w:tcW w:w="1975" w:type="dxa"/>
          </w:tcPr>
          <w:p w14:paraId="525499A1" w14:textId="77777777" w:rsidR="009568DA" w:rsidRPr="004523AB" w:rsidRDefault="009568DA" w:rsidP="00A60CA8">
            <w:pPr>
              <w:rPr>
                <w:rFonts w:asciiTheme="minorHAnsi" w:hAnsiTheme="minorHAnsi" w:cstheme="minorHAnsi"/>
              </w:rPr>
            </w:pPr>
            <w:r w:rsidRPr="004523AB">
              <w:rPr>
                <w:rFonts w:cs="Segoe UI"/>
                <w:color w:val="000000"/>
              </w:rPr>
              <w:t>1</w:t>
            </w:r>
          </w:p>
        </w:tc>
      </w:tr>
      <w:tr w:rsidR="009568DA" w:rsidRPr="004523AB" w14:paraId="3905B824" w14:textId="77777777" w:rsidTr="0099313E">
        <w:trPr>
          <w:trHeight w:val="292"/>
        </w:trPr>
        <w:tc>
          <w:tcPr>
            <w:tcW w:w="3686" w:type="dxa"/>
            <w:hideMark/>
          </w:tcPr>
          <w:p w14:paraId="36C2E725" w14:textId="77777777" w:rsidR="009568DA" w:rsidRPr="004523AB" w:rsidRDefault="009568DA" w:rsidP="00A60CA8">
            <w:r w:rsidRPr="004523AB">
              <w:t xml:space="preserve">Brisbane North </w:t>
            </w:r>
          </w:p>
        </w:tc>
        <w:tc>
          <w:tcPr>
            <w:tcW w:w="1533" w:type="dxa"/>
            <w:hideMark/>
          </w:tcPr>
          <w:p w14:paraId="6E2A36E1" w14:textId="77777777" w:rsidR="009568DA" w:rsidRPr="004523AB" w:rsidRDefault="009568DA" w:rsidP="00A60CA8">
            <w:r w:rsidRPr="004523AB">
              <w:t>Yes</w:t>
            </w:r>
          </w:p>
        </w:tc>
        <w:tc>
          <w:tcPr>
            <w:tcW w:w="1975" w:type="dxa"/>
            <w:hideMark/>
          </w:tcPr>
          <w:p w14:paraId="648837AB" w14:textId="77777777" w:rsidR="009568DA" w:rsidRPr="004523AB" w:rsidRDefault="009568DA" w:rsidP="00A60CA8">
            <w:pPr>
              <w:rPr>
                <w:b/>
                <w:bCs/>
              </w:rPr>
            </w:pPr>
            <w:r w:rsidRPr="004523AB">
              <w:t>Yes</w:t>
            </w:r>
          </w:p>
        </w:tc>
        <w:tc>
          <w:tcPr>
            <w:tcW w:w="1975" w:type="dxa"/>
          </w:tcPr>
          <w:p w14:paraId="58CC848B" w14:textId="77777777" w:rsidR="009568DA" w:rsidRPr="004523AB" w:rsidRDefault="009568DA" w:rsidP="00A60CA8">
            <w:pPr>
              <w:rPr>
                <w:rFonts w:asciiTheme="minorHAnsi" w:hAnsiTheme="minorHAnsi" w:cstheme="minorHAnsi"/>
              </w:rPr>
            </w:pPr>
            <w:r w:rsidRPr="004523AB" w:rsidDel="003875D1">
              <w:rPr>
                <w:rFonts w:cs="Segoe UI"/>
                <w:color w:val="000000"/>
              </w:rPr>
              <w:t>1</w:t>
            </w:r>
          </w:p>
        </w:tc>
      </w:tr>
      <w:tr w:rsidR="009568DA" w:rsidRPr="004523AB" w14:paraId="437C748C" w14:textId="77777777" w:rsidTr="0099313E">
        <w:trPr>
          <w:trHeight w:val="292"/>
        </w:trPr>
        <w:tc>
          <w:tcPr>
            <w:tcW w:w="3686" w:type="dxa"/>
            <w:hideMark/>
          </w:tcPr>
          <w:p w14:paraId="2B760948" w14:textId="77777777" w:rsidR="009568DA" w:rsidRPr="004523AB" w:rsidRDefault="009568DA" w:rsidP="00A60CA8">
            <w:r w:rsidRPr="004523AB">
              <w:t xml:space="preserve">Brisbane South </w:t>
            </w:r>
          </w:p>
        </w:tc>
        <w:tc>
          <w:tcPr>
            <w:tcW w:w="1533" w:type="dxa"/>
            <w:hideMark/>
          </w:tcPr>
          <w:p w14:paraId="6A4EDE94" w14:textId="77777777" w:rsidR="009568DA" w:rsidRPr="004523AB" w:rsidRDefault="009568DA" w:rsidP="00A60CA8">
            <w:r w:rsidRPr="004523AB">
              <w:t>Yes</w:t>
            </w:r>
          </w:p>
        </w:tc>
        <w:tc>
          <w:tcPr>
            <w:tcW w:w="1975" w:type="dxa"/>
            <w:hideMark/>
          </w:tcPr>
          <w:p w14:paraId="6EBDC248" w14:textId="77777777" w:rsidR="009568DA" w:rsidRPr="004523AB" w:rsidRDefault="009568DA" w:rsidP="00A60CA8">
            <w:pPr>
              <w:rPr>
                <w:b/>
                <w:bCs/>
              </w:rPr>
            </w:pPr>
            <w:r w:rsidRPr="004523AB">
              <w:t>Yes</w:t>
            </w:r>
          </w:p>
        </w:tc>
        <w:tc>
          <w:tcPr>
            <w:tcW w:w="1975" w:type="dxa"/>
          </w:tcPr>
          <w:p w14:paraId="00D3414A" w14:textId="77777777" w:rsidR="009568DA" w:rsidRPr="004523AB" w:rsidRDefault="009568DA" w:rsidP="00A60CA8">
            <w:pPr>
              <w:rPr>
                <w:rFonts w:asciiTheme="minorHAnsi" w:hAnsiTheme="minorHAnsi" w:cstheme="minorHAnsi"/>
              </w:rPr>
            </w:pPr>
            <w:r w:rsidRPr="004523AB">
              <w:rPr>
                <w:rFonts w:cs="Segoe UI"/>
                <w:color w:val="000000"/>
              </w:rPr>
              <w:t>1</w:t>
            </w:r>
          </w:p>
        </w:tc>
      </w:tr>
      <w:tr w:rsidR="009568DA" w:rsidRPr="004523AB" w14:paraId="0EE123BD" w14:textId="77777777" w:rsidTr="0099313E">
        <w:trPr>
          <w:trHeight w:val="252"/>
        </w:trPr>
        <w:tc>
          <w:tcPr>
            <w:tcW w:w="3686" w:type="dxa"/>
            <w:hideMark/>
          </w:tcPr>
          <w:p w14:paraId="188FEF56" w14:textId="77777777" w:rsidR="009568DA" w:rsidRPr="004523AB" w:rsidRDefault="009568DA" w:rsidP="00A60CA8">
            <w:r w:rsidRPr="004523AB">
              <w:t>Central and Eastern Sydney</w:t>
            </w:r>
          </w:p>
        </w:tc>
        <w:tc>
          <w:tcPr>
            <w:tcW w:w="1533" w:type="dxa"/>
            <w:hideMark/>
          </w:tcPr>
          <w:p w14:paraId="64DD7854" w14:textId="77777777" w:rsidR="009568DA" w:rsidRPr="004523AB" w:rsidRDefault="009568DA" w:rsidP="00A60CA8">
            <w:r w:rsidRPr="004523AB">
              <w:t>Yes</w:t>
            </w:r>
          </w:p>
        </w:tc>
        <w:tc>
          <w:tcPr>
            <w:tcW w:w="1975" w:type="dxa"/>
            <w:hideMark/>
          </w:tcPr>
          <w:p w14:paraId="1F5E104D" w14:textId="77777777" w:rsidR="009568DA" w:rsidRPr="004523AB" w:rsidRDefault="009568DA" w:rsidP="00A60CA8">
            <w:pPr>
              <w:rPr>
                <w:b/>
                <w:bCs/>
              </w:rPr>
            </w:pPr>
            <w:r w:rsidRPr="004523AB">
              <w:t>Yes</w:t>
            </w:r>
          </w:p>
        </w:tc>
        <w:tc>
          <w:tcPr>
            <w:tcW w:w="1975" w:type="dxa"/>
          </w:tcPr>
          <w:p w14:paraId="76A40F05" w14:textId="77777777" w:rsidR="009568DA" w:rsidRPr="004523AB" w:rsidRDefault="009568DA" w:rsidP="00A60CA8">
            <w:pPr>
              <w:rPr>
                <w:rFonts w:asciiTheme="minorHAnsi" w:hAnsiTheme="minorHAnsi" w:cstheme="minorHAnsi"/>
              </w:rPr>
            </w:pPr>
            <w:r w:rsidRPr="004523AB">
              <w:rPr>
                <w:rFonts w:cs="Segoe UI"/>
                <w:color w:val="000000"/>
              </w:rPr>
              <w:t>1</w:t>
            </w:r>
          </w:p>
        </w:tc>
      </w:tr>
      <w:tr w:rsidR="009568DA" w:rsidRPr="004523AB" w14:paraId="296636DF" w14:textId="77777777" w:rsidTr="0099313E">
        <w:trPr>
          <w:trHeight w:val="211"/>
        </w:trPr>
        <w:tc>
          <w:tcPr>
            <w:tcW w:w="3686" w:type="dxa"/>
            <w:hideMark/>
          </w:tcPr>
          <w:p w14:paraId="6E24B2F1" w14:textId="77777777" w:rsidR="009568DA" w:rsidRPr="004523AB" w:rsidRDefault="009568DA" w:rsidP="00A60CA8">
            <w:r w:rsidRPr="004523AB">
              <w:t>Central Queensland, Wide Bay &amp; Sunshine Coast</w:t>
            </w:r>
          </w:p>
        </w:tc>
        <w:tc>
          <w:tcPr>
            <w:tcW w:w="1533" w:type="dxa"/>
            <w:hideMark/>
          </w:tcPr>
          <w:p w14:paraId="10F1CAFA" w14:textId="77777777" w:rsidR="009568DA" w:rsidRPr="004523AB" w:rsidRDefault="009568DA" w:rsidP="00A60CA8">
            <w:r w:rsidRPr="004523AB">
              <w:t>Yes</w:t>
            </w:r>
          </w:p>
        </w:tc>
        <w:tc>
          <w:tcPr>
            <w:tcW w:w="1975" w:type="dxa"/>
            <w:hideMark/>
          </w:tcPr>
          <w:p w14:paraId="2704A360" w14:textId="77777777" w:rsidR="009568DA" w:rsidRPr="004523AB" w:rsidRDefault="009568DA" w:rsidP="00A60CA8">
            <w:pPr>
              <w:rPr>
                <w:b/>
                <w:bCs/>
              </w:rPr>
            </w:pPr>
            <w:r w:rsidRPr="004523AB">
              <w:t>Yes</w:t>
            </w:r>
          </w:p>
        </w:tc>
        <w:tc>
          <w:tcPr>
            <w:tcW w:w="1975" w:type="dxa"/>
          </w:tcPr>
          <w:p w14:paraId="77FC6972" w14:textId="77777777" w:rsidR="009568DA" w:rsidRPr="004523AB" w:rsidRDefault="009568DA" w:rsidP="00A60CA8">
            <w:pPr>
              <w:rPr>
                <w:rFonts w:asciiTheme="minorHAnsi" w:hAnsiTheme="minorHAnsi" w:cstheme="minorHAnsi"/>
              </w:rPr>
            </w:pPr>
            <w:r w:rsidRPr="004523AB">
              <w:rPr>
                <w:rFonts w:cs="Segoe UI"/>
                <w:color w:val="000000"/>
              </w:rPr>
              <w:t>2</w:t>
            </w:r>
          </w:p>
        </w:tc>
      </w:tr>
      <w:tr w:rsidR="009568DA" w:rsidRPr="004523AB" w14:paraId="1C180754" w14:textId="77777777" w:rsidTr="0099313E">
        <w:trPr>
          <w:trHeight w:val="247"/>
        </w:trPr>
        <w:tc>
          <w:tcPr>
            <w:tcW w:w="3686" w:type="dxa"/>
            <w:hideMark/>
          </w:tcPr>
          <w:p w14:paraId="5153D79C" w14:textId="77777777" w:rsidR="009568DA" w:rsidRPr="004523AB" w:rsidRDefault="009568DA" w:rsidP="00A60CA8">
            <w:r w:rsidRPr="004523AB">
              <w:t>Country SA</w:t>
            </w:r>
          </w:p>
        </w:tc>
        <w:tc>
          <w:tcPr>
            <w:tcW w:w="1533" w:type="dxa"/>
            <w:hideMark/>
          </w:tcPr>
          <w:p w14:paraId="18836A45" w14:textId="77777777" w:rsidR="009568DA" w:rsidRPr="004523AB" w:rsidRDefault="009568DA" w:rsidP="00A60CA8">
            <w:r w:rsidRPr="004523AB">
              <w:t>Yes</w:t>
            </w:r>
          </w:p>
        </w:tc>
        <w:tc>
          <w:tcPr>
            <w:tcW w:w="1975" w:type="dxa"/>
            <w:hideMark/>
          </w:tcPr>
          <w:p w14:paraId="04909071" w14:textId="77777777" w:rsidR="009568DA" w:rsidRPr="004523AB" w:rsidRDefault="009568DA" w:rsidP="00A60CA8">
            <w:pPr>
              <w:rPr>
                <w:b/>
                <w:bCs/>
              </w:rPr>
            </w:pPr>
            <w:r w:rsidRPr="004523AB">
              <w:t>Yes</w:t>
            </w:r>
          </w:p>
        </w:tc>
        <w:tc>
          <w:tcPr>
            <w:tcW w:w="1975" w:type="dxa"/>
          </w:tcPr>
          <w:p w14:paraId="3901FB72" w14:textId="77777777" w:rsidR="009568DA" w:rsidRPr="004523AB" w:rsidRDefault="009568DA" w:rsidP="00A60CA8">
            <w:pPr>
              <w:rPr>
                <w:rFonts w:asciiTheme="minorHAnsi" w:hAnsiTheme="minorHAnsi" w:cstheme="minorHAnsi"/>
              </w:rPr>
            </w:pPr>
            <w:r w:rsidRPr="004523AB" w:rsidDel="003875D1">
              <w:rPr>
                <w:rFonts w:cs="Segoe UI"/>
                <w:color w:val="000000"/>
              </w:rPr>
              <w:t>2</w:t>
            </w:r>
          </w:p>
        </w:tc>
      </w:tr>
      <w:tr w:rsidR="009568DA" w:rsidRPr="004523AB" w14:paraId="1CD9B9D0" w14:textId="77777777" w:rsidTr="0099313E">
        <w:trPr>
          <w:trHeight w:val="309"/>
        </w:trPr>
        <w:tc>
          <w:tcPr>
            <w:tcW w:w="3686" w:type="dxa"/>
            <w:hideMark/>
          </w:tcPr>
          <w:p w14:paraId="60DDDCDB" w14:textId="77777777" w:rsidR="009568DA" w:rsidRPr="004523AB" w:rsidRDefault="009568DA" w:rsidP="00A60CA8">
            <w:r w:rsidRPr="004523AB">
              <w:t>Darling Downs and West Moreton</w:t>
            </w:r>
          </w:p>
        </w:tc>
        <w:tc>
          <w:tcPr>
            <w:tcW w:w="1533" w:type="dxa"/>
            <w:hideMark/>
          </w:tcPr>
          <w:p w14:paraId="3A6EB85E" w14:textId="77777777" w:rsidR="009568DA" w:rsidRPr="004523AB" w:rsidRDefault="009568DA" w:rsidP="00A60CA8">
            <w:r w:rsidRPr="004523AB">
              <w:t>Yes</w:t>
            </w:r>
          </w:p>
        </w:tc>
        <w:tc>
          <w:tcPr>
            <w:tcW w:w="1975" w:type="dxa"/>
            <w:hideMark/>
          </w:tcPr>
          <w:p w14:paraId="44A3BCD3" w14:textId="77777777" w:rsidR="009568DA" w:rsidRPr="004523AB" w:rsidRDefault="009568DA" w:rsidP="00A60CA8">
            <w:pPr>
              <w:rPr>
                <w:b/>
                <w:bCs/>
              </w:rPr>
            </w:pPr>
            <w:r w:rsidRPr="004523AB">
              <w:t>Yes</w:t>
            </w:r>
          </w:p>
        </w:tc>
        <w:tc>
          <w:tcPr>
            <w:tcW w:w="1975" w:type="dxa"/>
          </w:tcPr>
          <w:p w14:paraId="588FB9DA" w14:textId="77777777" w:rsidR="009568DA" w:rsidRPr="004523AB" w:rsidRDefault="009568DA" w:rsidP="00A60CA8">
            <w:pPr>
              <w:rPr>
                <w:rFonts w:asciiTheme="minorHAnsi" w:hAnsiTheme="minorHAnsi" w:cstheme="minorHAnsi"/>
              </w:rPr>
            </w:pPr>
          </w:p>
        </w:tc>
      </w:tr>
      <w:tr w:rsidR="009568DA" w:rsidRPr="004523AB" w14:paraId="5977029E" w14:textId="77777777" w:rsidTr="0099313E">
        <w:trPr>
          <w:trHeight w:val="292"/>
        </w:trPr>
        <w:tc>
          <w:tcPr>
            <w:tcW w:w="3686" w:type="dxa"/>
            <w:hideMark/>
          </w:tcPr>
          <w:p w14:paraId="67BA1D54" w14:textId="77777777" w:rsidR="009568DA" w:rsidRPr="004523AB" w:rsidRDefault="009568DA" w:rsidP="00A60CA8">
            <w:r w:rsidRPr="004523AB">
              <w:t>Eastern Melbourne</w:t>
            </w:r>
          </w:p>
        </w:tc>
        <w:tc>
          <w:tcPr>
            <w:tcW w:w="1533" w:type="dxa"/>
            <w:hideMark/>
          </w:tcPr>
          <w:p w14:paraId="6A040544" w14:textId="77777777" w:rsidR="009568DA" w:rsidRPr="004523AB" w:rsidRDefault="009568DA" w:rsidP="00A60CA8">
            <w:r w:rsidRPr="004523AB">
              <w:t>Yes</w:t>
            </w:r>
          </w:p>
        </w:tc>
        <w:tc>
          <w:tcPr>
            <w:tcW w:w="1975" w:type="dxa"/>
            <w:hideMark/>
          </w:tcPr>
          <w:p w14:paraId="374AF52B" w14:textId="77777777" w:rsidR="009568DA" w:rsidRPr="004523AB" w:rsidRDefault="009568DA" w:rsidP="00A60CA8">
            <w:pPr>
              <w:rPr>
                <w:b/>
                <w:bCs/>
              </w:rPr>
            </w:pPr>
            <w:r w:rsidRPr="004523AB">
              <w:t>Yes</w:t>
            </w:r>
          </w:p>
        </w:tc>
        <w:tc>
          <w:tcPr>
            <w:tcW w:w="1975" w:type="dxa"/>
          </w:tcPr>
          <w:p w14:paraId="51AC48F0" w14:textId="77777777" w:rsidR="009568DA" w:rsidRPr="004523AB" w:rsidRDefault="009568DA" w:rsidP="00A60CA8">
            <w:pPr>
              <w:rPr>
                <w:rFonts w:asciiTheme="minorHAnsi" w:hAnsiTheme="minorHAnsi" w:cstheme="minorHAnsi"/>
              </w:rPr>
            </w:pPr>
            <w:r w:rsidRPr="004523AB">
              <w:rPr>
                <w:rFonts w:cs="Segoe UI"/>
                <w:color w:val="000000"/>
              </w:rPr>
              <w:t>3</w:t>
            </w:r>
          </w:p>
        </w:tc>
      </w:tr>
      <w:tr w:rsidR="009568DA" w:rsidRPr="004523AB" w14:paraId="4C451882" w14:textId="77777777" w:rsidTr="0099313E">
        <w:trPr>
          <w:trHeight w:val="292"/>
        </w:trPr>
        <w:tc>
          <w:tcPr>
            <w:tcW w:w="3686" w:type="dxa"/>
            <w:hideMark/>
          </w:tcPr>
          <w:p w14:paraId="45AC42A9" w14:textId="77777777" w:rsidR="009568DA" w:rsidRPr="004523AB" w:rsidRDefault="009568DA" w:rsidP="00A60CA8">
            <w:r w:rsidRPr="004523AB">
              <w:t>Gippsland</w:t>
            </w:r>
          </w:p>
        </w:tc>
        <w:tc>
          <w:tcPr>
            <w:tcW w:w="1533" w:type="dxa"/>
            <w:hideMark/>
          </w:tcPr>
          <w:p w14:paraId="7C86305F" w14:textId="77777777" w:rsidR="009568DA" w:rsidRPr="004523AB" w:rsidRDefault="009568DA" w:rsidP="00A60CA8">
            <w:r w:rsidRPr="004523AB">
              <w:t>Yes</w:t>
            </w:r>
          </w:p>
        </w:tc>
        <w:tc>
          <w:tcPr>
            <w:tcW w:w="1975" w:type="dxa"/>
            <w:hideMark/>
          </w:tcPr>
          <w:p w14:paraId="42FAAAB1" w14:textId="77777777" w:rsidR="009568DA" w:rsidRPr="004523AB" w:rsidRDefault="009568DA" w:rsidP="00A60CA8">
            <w:pPr>
              <w:rPr>
                <w:b/>
                <w:bCs/>
              </w:rPr>
            </w:pPr>
            <w:r w:rsidRPr="004523AB">
              <w:t>Yes</w:t>
            </w:r>
          </w:p>
        </w:tc>
        <w:tc>
          <w:tcPr>
            <w:tcW w:w="1975" w:type="dxa"/>
          </w:tcPr>
          <w:p w14:paraId="25731DA5" w14:textId="77777777" w:rsidR="009568DA" w:rsidRPr="004523AB" w:rsidRDefault="009568DA" w:rsidP="00A60CA8">
            <w:pPr>
              <w:rPr>
                <w:rFonts w:asciiTheme="minorHAnsi" w:hAnsiTheme="minorHAnsi" w:cstheme="minorHAnsi"/>
              </w:rPr>
            </w:pPr>
            <w:r w:rsidRPr="004523AB" w:rsidDel="003875D1">
              <w:rPr>
                <w:rFonts w:cs="Segoe UI"/>
                <w:color w:val="000000"/>
              </w:rPr>
              <w:t>1</w:t>
            </w:r>
          </w:p>
        </w:tc>
      </w:tr>
      <w:tr w:rsidR="009568DA" w:rsidRPr="004523AB" w14:paraId="73A5947E" w14:textId="77777777" w:rsidTr="0099313E">
        <w:trPr>
          <w:trHeight w:val="292"/>
        </w:trPr>
        <w:tc>
          <w:tcPr>
            <w:tcW w:w="3686" w:type="dxa"/>
            <w:hideMark/>
          </w:tcPr>
          <w:p w14:paraId="11CA1DB4" w14:textId="77777777" w:rsidR="009568DA" w:rsidRPr="004523AB" w:rsidRDefault="009568DA" w:rsidP="00A60CA8">
            <w:r w:rsidRPr="004523AB">
              <w:t>Gold Coast</w:t>
            </w:r>
          </w:p>
        </w:tc>
        <w:tc>
          <w:tcPr>
            <w:tcW w:w="1533" w:type="dxa"/>
            <w:hideMark/>
          </w:tcPr>
          <w:p w14:paraId="11E23A24" w14:textId="77777777" w:rsidR="009568DA" w:rsidRPr="004523AB" w:rsidRDefault="009568DA" w:rsidP="00A60CA8">
            <w:r w:rsidRPr="004523AB">
              <w:t>Yes</w:t>
            </w:r>
          </w:p>
        </w:tc>
        <w:tc>
          <w:tcPr>
            <w:tcW w:w="1975" w:type="dxa"/>
            <w:hideMark/>
          </w:tcPr>
          <w:p w14:paraId="2EDD2FF3" w14:textId="77777777" w:rsidR="009568DA" w:rsidRPr="004523AB" w:rsidRDefault="009568DA" w:rsidP="00A60CA8">
            <w:pPr>
              <w:rPr>
                <w:b/>
                <w:bCs/>
              </w:rPr>
            </w:pPr>
            <w:r w:rsidRPr="004523AB">
              <w:t>Yes</w:t>
            </w:r>
          </w:p>
        </w:tc>
        <w:tc>
          <w:tcPr>
            <w:tcW w:w="1975" w:type="dxa"/>
          </w:tcPr>
          <w:p w14:paraId="768551F1" w14:textId="77777777" w:rsidR="009568DA" w:rsidRPr="004523AB" w:rsidRDefault="009568DA" w:rsidP="00A60CA8">
            <w:pPr>
              <w:rPr>
                <w:rFonts w:asciiTheme="minorHAnsi" w:hAnsiTheme="minorHAnsi" w:cstheme="minorHAnsi"/>
              </w:rPr>
            </w:pPr>
          </w:p>
        </w:tc>
      </w:tr>
      <w:tr w:rsidR="009568DA" w:rsidRPr="004523AB" w14:paraId="1D8C472B" w14:textId="77777777" w:rsidTr="0099313E">
        <w:trPr>
          <w:trHeight w:val="272"/>
        </w:trPr>
        <w:tc>
          <w:tcPr>
            <w:tcW w:w="3686" w:type="dxa"/>
            <w:hideMark/>
          </w:tcPr>
          <w:p w14:paraId="323E8F0D" w14:textId="77777777" w:rsidR="009568DA" w:rsidRPr="004523AB" w:rsidRDefault="009568DA" w:rsidP="00A60CA8">
            <w:r w:rsidRPr="004523AB">
              <w:t>Hunter New England and Central Coast</w:t>
            </w:r>
          </w:p>
        </w:tc>
        <w:tc>
          <w:tcPr>
            <w:tcW w:w="1533" w:type="dxa"/>
            <w:hideMark/>
          </w:tcPr>
          <w:p w14:paraId="2502A125" w14:textId="77777777" w:rsidR="009568DA" w:rsidRPr="004523AB" w:rsidRDefault="009568DA" w:rsidP="00A60CA8">
            <w:r w:rsidRPr="004523AB">
              <w:t>Yes</w:t>
            </w:r>
          </w:p>
        </w:tc>
        <w:tc>
          <w:tcPr>
            <w:tcW w:w="1975" w:type="dxa"/>
            <w:hideMark/>
          </w:tcPr>
          <w:p w14:paraId="70ECBD7D" w14:textId="77777777" w:rsidR="009568DA" w:rsidRPr="004523AB" w:rsidRDefault="009568DA" w:rsidP="00A60CA8">
            <w:pPr>
              <w:rPr>
                <w:b/>
                <w:bCs/>
              </w:rPr>
            </w:pPr>
            <w:r w:rsidRPr="004523AB">
              <w:t>Yes</w:t>
            </w:r>
          </w:p>
        </w:tc>
        <w:tc>
          <w:tcPr>
            <w:tcW w:w="1975" w:type="dxa"/>
          </w:tcPr>
          <w:p w14:paraId="452E5554" w14:textId="77777777" w:rsidR="009568DA" w:rsidRPr="004523AB" w:rsidRDefault="009568DA" w:rsidP="00A60CA8">
            <w:pPr>
              <w:rPr>
                <w:rFonts w:asciiTheme="minorHAnsi" w:hAnsiTheme="minorHAnsi" w:cstheme="minorHAnsi"/>
              </w:rPr>
            </w:pPr>
            <w:r w:rsidRPr="004523AB" w:rsidDel="003875D1">
              <w:rPr>
                <w:rFonts w:cs="Segoe UI"/>
                <w:color w:val="000000"/>
              </w:rPr>
              <w:t>3</w:t>
            </w:r>
          </w:p>
        </w:tc>
      </w:tr>
      <w:tr w:rsidR="009568DA" w:rsidRPr="004523AB" w14:paraId="34888EFA" w14:textId="77777777" w:rsidTr="0099313E">
        <w:trPr>
          <w:trHeight w:val="292"/>
        </w:trPr>
        <w:tc>
          <w:tcPr>
            <w:tcW w:w="3686" w:type="dxa"/>
            <w:hideMark/>
          </w:tcPr>
          <w:p w14:paraId="2992F352" w14:textId="77777777" w:rsidR="009568DA" w:rsidRPr="004523AB" w:rsidRDefault="009568DA" w:rsidP="00A60CA8">
            <w:r w:rsidRPr="004523AB">
              <w:t xml:space="preserve">Murray </w:t>
            </w:r>
          </w:p>
        </w:tc>
        <w:tc>
          <w:tcPr>
            <w:tcW w:w="1533" w:type="dxa"/>
            <w:hideMark/>
          </w:tcPr>
          <w:p w14:paraId="058D5B32" w14:textId="77777777" w:rsidR="009568DA" w:rsidRPr="004523AB" w:rsidRDefault="009568DA" w:rsidP="00A60CA8">
            <w:r w:rsidRPr="004523AB">
              <w:t>Yes</w:t>
            </w:r>
          </w:p>
        </w:tc>
        <w:tc>
          <w:tcPr>
            <w:tcW w:w="1975" w:type="dxa"/>
            <w:hideMark/>
          </w:tcPr>
          <w:p w14:paraId="1AF04ECE" w14:textId="77777777" w:rsidR="009568DA" w:rsidRPr="004523AB" w:rsidRDefault="009568DA" w:rsidP="00A60CA8">
            <w:pPr>
              <w:rPr>
                <w:b/>
                <w:bCs/>
              </w:rPr>
            </w:pPr>
            <w:r w:rsidRPr="004523AB">
              <w:t>Yes</w:t>
            </w:r>
          </w:p>
        </w:tc>
        <w:tc>
          <w:tcPr>
            <w:tcW w:w="1975" w:type="dxa"/>
          </w:tcPr>
          <w:p w14:paraId="100BECD0" w14:textId="77777777" w:rsidR="009568DA" w:rsidRPr="004523AB" w:rsidRDefault="009568DA" w:rsidP="00A60CA8">
            <w:pPr>
              <w:rPr>
                <w:rFonts w:asciiTheme="minorHAnsi" w:hAnsiTheme="minorHAnsi" w:cstheme="minorHAnsi"/>
              </w:rPr>
            </w:pPr>
            <w:r w:rsidRPr="004523AB">
              <w:rPr>
                <w:rFonts w:cs="Segoe UI"/>
                <w:color w:val="000000"/>
              </w:rPr>
              <w:t>1</w:t>
            </w:r>
          </w:p>
        </w:tc>
      </w:tr>
      <w:tr w:rsidR="009568DA" w:rsidRPr="004523AB" w14:paraId="342DA132" w14:textId="77777777" w:rsidTr="0099313E">
        <w:trPr>
          <w:trHeight w:val="292"/>
        </w:trPr>
        <w:tc>
          <w:tcPr>
            <w:tcW w:w="3686" w:type="dxa"/>
            <w:hideMark/>
          </w:tcPr>
          <w:p w14:paraId="75E1D520" w14:textId="77777777" w:rsidR="009568DA" w:rsidRPr="004523AB" w:rsidRDefault="009568DA" w:rsidP="00A60CA8">
            <w:r w:rsidRPr="004523AB">
              <w:t>Murrumbidgee</w:t>
            </w:r>
          </w:p>
        </w:tc>
        <w:tc>
          <w:tcPr>
            <w:tcW w:w="1533" w:type="dxa"/>
            <w:hideMark/>
          </w:tcPr>
          <w:p w14:paraId="73BA1153" w14:textId="77777777" w:rsidR="009568DA" w:rsidRPr="004523AB" w:rsidRDefault="009568DA" w:rsidP="00A60CA8">
            <w:r w:rsidRPr="004523AB">
              <w:t>Yes</w:t>
            </w:r>
          </w:p>
        </w:tc>
        <w:tc>
          <w:tcPr>
            <w:tcW w:w="1975" w:type="dxa"/>
            <w:hideMark/>
          </w:tcPr>
          <w:p w14:paraId="4437A226" w14:textId="77777777" w:rsidR="009568DA" w:rsidRPr="004523AB" w:rsidRDefault="009568DA" w:rsidP="00A60CA8">
            <w:pPr>
              <w:rPr>
                <w:b/>
                <w:bCs/>
              </w:rPr>
            </w:pPr>
            <w:r w:rsidRPr="004523AB">
              <w:t>Yes</w:t>
            </w:r>
          </w:p>
        </w:tc>
        <w:tc>
          <w:tcPr>
            <w:tcW w:w="1975" w:type="dxa"/>
          </w:tcPr>
          <w:p w14:paraId="25547588" w14:textId="77777777" w:rsidR="009568DA" w:rsidRPr="004523AB" w:rsidRDefault="009568DA" w:rsidP="00A60CA8">
            <w:pPr>
              <w:rPr>
                <w:rFonts w:asciiTheme="minorHAnsi" w:hAnsiTheme="minorHAnsi" w:cstheme="minorHAnsi"/>
              </w:rPr>
            </w:pPr>
            <w:r w:rsidRPr="004523AB">
              <w:rPr>
                <w:rFonts w:cs="Segoe UI"/>
                <w:color w:val="000000"/>
              </w:rPr>
              <w:t>3</w:t>
            </w:r>
          </w:p>
        </w:tc>
      </w:tr>
      <w:tr w:rsidR="009568DA" w:rsidRPr="004523AB" w14:paraId="1B8F261B" w14:textId="77777777" w:rsidTr="0099313E">
        <w:trPr>
          <w:trHeight w:val="292"/>
        </w:trPr>
        <w:tc>
          <w:tcPr>
            <w:tcW w:w="3686" w:type="dxa"/>
            <w:hideMark/>
          </w:tcPr>
          <w:p w14:paraId="558DDD3F" w14:textId="77777777" w:rsidR="009568DA" w:rsidRPr="004523AB" w:rsidRDefault="009568DA" w:rsidP="00A60CA8">
            <w:r w:rsidRPr="004523AB">
              <w:lastRenderedPageBreak/>
              <w:t>Nepean Blue Mountains</w:t>
            </w:r>
          </w:p>
        </w:tc>
        <w:tc>
          <w:tcPr>
            <w:tcW w:w="1533" w:type="dxa"/>
            <w:hideMark/>
          </w:tcPr>
          <w:p w14:paraId="3E6D8ACF" w14:textId="77777777" w:rsidR="009568DA" w:rsidRPr="004523AB" w:rsidRDefault="009568DA" w:rsidP="00A60CA8">
            <w:r w:rsidRPr="004523AB">
              <w:t>Yes</w:t>
            </w:r>
          </w:p>
        </w:tc>
        <w:tc>
          <w:tcPr>
            <w:tcW w:w="1975" w:type="dxa"/>
            <w:hideMark/>
          </w:tcPr>
          <w:p w14:paraId="0B7307A3" w14:textId="77777777" w:rsidR="009568DA" w:rsidRPr="004523AB" w:rsidRDefault="009568DA" w:rsidP="00A60CA8">
            <w:pPr>
              <w:rPr>
                <w:b/>
                <w:bCs/>
              </w:rPr>
            </w:pPr>
            <w:r w:rsidRPr="004523AB">
              <w:t>Yes</w:t>
            </w:r>
          </w:p>
        </w:tc>
        <w:tc>
          <w:tcPr>
            <w:tcW w:w="1975" w:type="dxa"/>
          </w:tcPr>
          <w:p w14:paraId="56F8A2EC" w14:textId="77777777" w:rsidR="009568DA" w:rsidRPr="004523AB" w:rsidRDefault="009568DA" w:rsidP="00A60CA8">
            <w:pPr>
              <w:rPr>
                <w:rFonts w:asciiTheme="minorHAnsi" w:hAnsiTheme="minorHAnsi" w:cstheme="minorHAnsi"/>
              </w:rPr>
            </w:pPr>
          </w:p>
        </w:tc>
      </w:tr>
      <w:tr w:rsidR="009568DA" w:rsidRPr="004523AB" w14:paraId="3414CA76" w14:textId="77777777" w:rsidTr="0099313E">
        <w:trPr>
          <w:trHeight w:val="292"/>
        </w:trPr>
        <w:tc>
          <w:tcPr>
            <w:tcW w:w="3686" w:type="dxa"/>
            <w:hideMark/>
          </w:tcPr>
          <w:p w14:paraId="5DB5A2A3" w14:textId="77777777" w:rsidR="009568DA" w:rsidRPr="004523AB" w:rsidRDefault="009568DA" w:rsidP="00A60CA8">
            <w:r w:rsidRPr="004523AB">
              <w:t>North Coast</w:t>
            </w:r>
          </w:p>
        </w:tc>
        <w:tc>
          <w:tcPr>
            <w:tcW w:w="1533" w:type="dxa"/>
            <w:hideMark/>
          </w:tcPr>
          <w:p w14:paraId="1C2D3656" w14:textId="77777777" w:rsidR="009568DA" w:rsidRPr="004523AB" w:rsidRDefault="009568DA" w:rsidP="00A60CA8">
            <w:r w:rsidRPr="004523AB">
              <w:t>Yes</w:t>
            </w:r>
          </w:p>
        </w:tc>
        <w:tc>
          <w:tcPr>
            <w:tcW w:w="1975" w:type="dxa"/>
            <w:hideMark/>
          </w:tcPr>
          <w:p w14:paraId="0D8A4308" w14:textId="77777777" w:rsidR="009568DA" w:rsidRPr="004523AB" w:rsidRDefault="009568DA" w:rsidP="00A60CA8">
            <w:pPr>
              <w:rPr>
                <w:b/>
                <w:bCs/>
              </w:rPr>
            </w:pPr>
            <w:r w:rsidRPr="004523AB">
              <w:t>Yes</w:t>
            </w:r>
          </w:p>
        </w:tc>
        <w:tc>
          <w:tcPr>
            <w:tcW w:w="1975" w:type="dxa"/>
          </w:tcPr>
          <w:p w14:paraId="0C3A4FD1" w14:textId="77777777" w:rsidR="009568DA" w:rsidRPr="004523AB" w:rsidRDefault="009568DA" w:rsidP="00A60CA8">
            <w:pPr>
              <w:rPr>
                <w:rFonts w:asciiTheme="minorHAnsi" w:hAnsiTheme="minorHAnsi" w:cstheme="minorHAnsi"/>
              </w:rPr>
            </w:pPr>
            <w:r w:rsidRPr="004523AB" w:rsidDel="003875D1">
              <w:rPr>
                <w:rFonts w:cs="Segoe UI"/>
                <w:color w:val="000000"/>
              </w:rPr>
              <w:t>2</w:t>
            </w:r>
          </w:p>
        </w:tc>
      </w:tr>
      <w:tr w:rsidR="009568DA" w:rsidRPr="004523AB" w14:paraId="71402CC1" w14:textId="77777777" w:rsidTr="0099313E">
        <w:trPr>
          <w:trHeight w:val="284"/>
        </w:trPr>
        <w:tc>
          <w:tcPr>
            <w:tcW w:w="3686" w:type="dxa"/>
            <w:hideMark/>
          </w:tcPr>
          <w:p w14:paraId="1CA7D9ED" w14:textId="77777777" w:rsidR="009568DA" w:rsidRPr="004523AB" w:rsidRDefault="009568DA" w:rsidP="00A60CA8">
            <w:proofErr w:type="gramStart"/>
            <w:r w:rsidRPr="004523AB">
              <w:t>North Western</w:t>
            </w:r>
            <w:proofErr w:type="gramEnd"/>
            <w:r w:rsidRPr="004523AB">
              <w:t xml:space="preserve"> Melbourne</w:t>
            </w:r>
          </w:p>
        </w:tc>
        <w:tc>
          <w:tcPr>
            <w:tcW w:w="1533" w:type="dxa"/>
            <w:hideMark/>
          </w:tcPr>
          <w:p w14:paraId="6E601064" w14:textId="77777777" w:rsidR="009568DA" w:rsidRPr="004523AB" w:rsidRDefault="009568DA" w:rsidP="00A60CA8">
            <w:r w:rsidRPr="004523AB">
              <w:t>Yes</w:t>
            </w:r>
          </w:p>
        </w:tc>
        <w:tc>
          <w:tcPr>
            <w:tcW w:w="1975" w:type="dxa"/>
            <w:hideMark/>
          </w:tcPr>
          <w:p w14:paraId="7661CE7A" w14:textId="77777777" w:rsidR="009568DA" w:rsidRPr="004523AB" w:rsidRDefault="009568DA" w:rsidP="00A60CA8">
            <w:pPr>
              <w:rPr>
                <w:b/>
                <w:bCs/>
              </w:rPr>
            </w:pPr>
            <w:r w:rsidRPr="004523AB">
              <w:t>Yes</w:t>
            </w:r>
          </w:p>
        </w:tc>
        <w:tc>
          <w:tcPr>
            <w:tcW w:w="1975" w:type="dxa"/>
          </w:tcPr>
          <w:p w14:paraId="213B0BCB" w14:textId="77777777" w:rsidR="009568DA" w:rsidRPr="004523AB" w:rsidRDefault="009568DA" w:rsidP="00A60CA8">
            <w:pPr>
              <w:rPr>
                <w:rFonts w:asciiTheme="minorHAnsi" w:hAnsiTheme="minorHAnsi" w:cstheme="minorHAnsi"/>
              </w:rPr>
            </w:pPr>
            <w:r w:rsidRPr="004523AB" w:rsidDel="003875D1">
              <w:rPr>
                <w:rFonts w:cs="Segoe UI"/>
                <w:color w:val="000000"/>
              </w:rPr>
              <w:t>2</w:t>
            </w:r>
          </w:p>
        </w:tc>
      </w:tr>
      <w:tr w:rsidR="009568DA" w:rsidRPr="004523AB" w14:paraId="2D267FA0" w14:textId="77777777" w:rsidTr="0099313E">
        <w:trPr>
          <w:trHeight w:val="292"/>
        </w:trPr>
        <w:tc>
          <w:tcPr>
            <w:tcW w:w="3686" w:type="dxa"/>
            <w:hideMark/>
          </w:tcPr>
          <w:p w14:paraId="4601E94A" w14:textId="77777777" w:rsidR="009568DA" w:rsidRPr="004523AB" w:rsidRDefault="009568DA" w:rsidP="00A60CA8">
            <w:r w:rsidRPr="004523AB">
              <w:t>Northern Sydney</w:t>
            </w:r>
          </w:p>
        </w:tc>
        <w:tc>
          <w:tcPr>
            <w:tcW w:w="1533" w:type="dxa"/>
            <w:hideMark/>
          </w:tcPr>
          <w:p w14:paraId="525F9B6A" w14:textId="77777777" w:rsidR="009568DA" w:rsidRPr="004523AB" w:rsidRDefault="009568DA" w:rsidP="00A60CA8">
            <w:r w:rsidRPr="004523AB">
              <w:t>Yes</w:t>
            </w:r>
          </w:p>
        </w:tc>
        <w:tc>
          <w:tcPr>
            <w:tcW w:w="1975" w:type="dxa"/>
            <w:hideMark/>
          </w:tcPr>
          <w:p w14:paraId="38DA220D" w14:textId="77777777" w:rsidR="009568DA" w:rsidRPr="004523AB" w:rsidRDefault="009568DA" w:rsidP="00A60CA8">
            <w:pPr>
              <w:rPr>
                <w:b/>
                <w:bCs/>
              </w:rPr>
            </w:pPr>
            <w:r w:rsidRPr="004523AB">
              <w:t>Yes</w:t>
            </w:r>
          </w:p>
        </w:tc>
        <w:tc>
          <w:tcPr>
            <w:tcW w:w="1975" w:type="dxa"/>
          </w:tcPr>
          <w:p w14:paraId="23591FD2" w14:textId="77777777" w:rsidR="009568DA" w:rsidRPr="004523AB" w:rsidRDefault="009568DA" w:rsidP="00A60CA8">
            <w:pPr>
              <w:rPr>
                <w:rFonts w:asciiTheme="minorHAnsi" w:hAnsiTheme="minorHAnsi" w:cstheme="minorHAnsi"/>
              </w:rPr>
            </w:pPr>
            <w:r w:rsidRPr="004523AB" w:rsidDel="003875D1">
              <w:rPr>
                <w:rFonts w:cs="Segoe UI"/>
                <w:color w:val="000000"/>
              </w:rPr>
              <w:t>1</w:t>
            </w:r>
          </w:p>
        </w:tc>
      </w:tr>
      <w:tr w:rsidR="009568DA" w:rsidRPr="004523AB" w14:paraId="12613E69" w14:textId="77777777" w:rsidTr="0099313E">
        <w:trPr>
          <w:trHeight w:val="292"/>
        </w:trPr>
        <w:tc>
          <w:tcPr>
            <w:tcW w:w="3686" w:type="dxa"/>
            <w:hideMark/>
          </w:tcPr>
          <w:p w14:paraId="38FAE9C7" w14:textId="77777777" w:rsidR="009568DA" w:rsidRPr="004523AB" w:rsidRDefault="009568DA" w:rsidP="00A60CA8">
            <w:r w:rsidRPr="004523AB">
              <w:t>Northern Territory</w:t>
            </w:r>
          </w:p>
        </w:tc>
        <w:tc>
          <w:tcPr>
            <w:tcW w:w="1533" w:type="dxa"/>
            <w:hideMark/>
          </w:tcPr>
          <w:p w14:paraId="0CE74A2B" w14:textId="77777777" w:rsidR="009568DA" w:rsidRPr="004523AB" w:rsidRDefault="009568DA" w:rsidP="00A60CA8">
            <w:r w:rsidRPr="004523AB">
              <w:t>Yes</w:t>
            </w:r>
          </w:p>
        </w:tc>
        <w:tc>
          <w:tcPr>
            <w:tcW w:w="1975" w:type="dxa"/>
            <w:hideMark/>
          </w:tcPr>
          <w:p w14:paraId="2015030E" w14:textId="77777777" w:rsidR="009568DA" w:rsidRPr="004523AB" w:rsidRDefault="009568DA" w:rsidP="00A60CA8">
            <w:pPr>
              <w:rPr>
                <w:b/>
                <w:bCs/>
              </w:rPr>
            </w:pPr>
            <w:r w:rsidRPr="004523AB">
              <w:t>Yes</w:t>
            </w:r>
          </w:p>
        </w:tc>
        <w:tc>
          <w:tcPr>
            <w:tcW w:w="1975" w:type="dxa"/>
          </w:tcPr>
          <w:p w14:paraId="6122E2BC" w14:textId="77777777" w:rsidR="009568DA" w:rsidRPr="004523AB" w:rsidRDefault="009568DA" w:rsidP="00A60CA8">
            <w:pPr>
              <w:rPr>
                <w:rFonts w:asciiTheme="minorHAnsi" w:hAnsiTheme="minorHAnsi" w:cstheme="minorHAnsi"/>
              </w:rPr>
            </w:pPr>
            <w:r w:rsidRPr="004523AB" w:rsidDel="003875D1">
              <w:rPr>
                <w:rFonts w:cs="Segoe UI"/>
                <w:color w:val="000000"/>
              </w:rPr>
              <w:t>1</w:t>
            </w:r>
          </w:p>
        </w:tc>
      </w:tr>
      <w:tr w:rsidR="009568DA" w:rsidRPr="004523AB" w14:paraId="310BFF9C" w14:textId="77777777" w:rsidTr="0099313E">
        <w:trPr>
          <w:trHeight w:val="292"/>
        </w:trPr>
        <w:tc>
          <w:tcPr>
            <w:tcW w:w="3686" w:type="dxa"/>
            <w:hideMark/>
          </w:tcPr>
          <w:p w14:paraId="37A3FC24" w14:textId="77777777" w:rsidR="009568DA" w:rsidRPr="004523AB" w:rsidRDefault="009568DA" w:rsidP="00A60CA8">
            <w:proofErr w:type="gramStart"/>
            <w:r w:rsidRPr="004523AB">
              <w:t>South Eastern</w:t>
            </w:r>
            <w:proofErr w:type="gramEnd"/>
            <w:r w:rsidRPr="004523AB">
              <w:t xml:space="preserve"> Melbourne</w:t>
            </w:r>
          </w:p>
        </w:tc>
        <w:tc>
          <w:tcPr>
            <w:tcW w:w="1533" w:type="dxa"/>
            <w:hideMark/>
          </w:tcPr>
          <w:p w14:paraId="290CBB2F" w14:textId="77777777" w:rsidR="009568DA" w:rsidRPr="004523AB" w:rsidRDefault="009568DA" w:rsidP="00A60CA8">
            <w:r w:rsidRPr="004523AB">
              <w:t>Yes</w:t>
            </w:r>
          </w:p>
        </w:tc>
        <w:tc>
          <w:tcPr>
            <w:tcW w:w="1975" w:type="dxa"/>
            <w:hideMark/>
          </w:tcPr>
          <w:p w14:paraId="6875C633" w14:textId="77777777" w:rsidR="009568DA" w:rsidRPr="004523AB" w:rsidRDefault="009568DA" w:rsidP="00A60CA8">
            <w:pPr>
              <w:rPr>
                <w:b/>
                <w:bCs/>
              </w:rPr>
            </w:pPr>
            <w:r w:rsidRPr="004523AB">
              <w:t>Yes</w:t>
            </w:r>
          </w:p>
        </w:tc>
        <w:tc>
          <w:tcPr>
            <w:tcW w:w="1975" w:type="dxa"/>
          </w:tcPr>
          <w:p w14:paraId="0941815A" w14:textId="77777777" w:rsidR="009568DA" w:rsidRPr="004523AB" w:rsidRDefault="009568DA" w:rsidP="00A60CA8">
            <w:pPr>
              <w:rPr>
                <w:rFonts w:asciiTheme="minorHAnsi" w:hAnsiTheme="minorHAnsi" w:cstheme="minorHAnsi"/>
              </w:rPr>
            </w:pPr>
            <w:r w:rsidRPr="004523AB">
              <w:rPr>
                <w:rFonts w:cs="Segoe UI"/>
                <w:color w:val="000000"/>
              </w:rPr>
              <w:t>1</w:t>
            </w:r>
          </w:p>
        </w:tc>
      </w:tr>
      <w:tr w:rsidR="009568DA" w:rsidRPr="004523AB" w14:paraId="0ECE088C" w14:textId="77777777" w:rsidTr="0099313E">
        <w:trPr>
          <w:trHeight w:val="292"/>
        </w:trPr>
        <w:tc>
          <w:tcPr>
            <w:tcW w:w="3686" w:type="dxa"/>
            <w:hideMark/>
          </w:tcPr>
          <w:p w14:paraId="3459DA11" w14:textId="77777777" w:rsidR="009568DA" w:rsidRPr="004523AB" w:rsidRDefault="009568DA" w:rsidP="00A60CA8">
            <w:proofErr w:type="gramStart"/>
            <w:r w:rsidRPr="004523AB">
              <w:t>South Eastern</w:t>
            </w:r>
            <w:proofErr w:type="gramEnd"/>
            <w:r w:rsidRPr="004523AB">
              <w:t xml:space="preserve"> NSW</w:t>
            </w:r>
          </w:p>
        </w:tc>
        <w:tc>
          <w:tcPr>
            <w:tcW w:w="1533" w:type="dxa"/>
            <w:hideMark/>
          </w:tcPr>
          <w:p w14:paraId="760F8235" w14:textId="77777777" w:rsidR="009568DA" w:rsidRPr="004523AB" w:rsidRDefault="009568DA" w:rsidP="00A60CA8">
            <w:r w:rsidRPr="004523AB">
              <w:t>Yes</w:t>
            </w:r>
          </w:p>
        </w:tc>
        <w:tc>
          <w:tcPr>
            <w:tcW w:w="1975" w:type="dxa"/>
            <w:hideMark/>
          </w:tcPr>
          <w:p w14:paraId="4C0328C2" w14:textId="77777777" w:rsidR="009568DA" w:rsidRPr="004523AB" w:rsidRDefault="009568DA" w:rsidP="00A60CA8">
            <w:pPr>
              <w:rPr>
                <w:b/>
                <w:bCs/>
              </w:rPr>
            </w:pPr>
            <w:r w:rsidRPr="004523AB">
              <w:t>Yes</w:t>
            </w:r>
          </w:p>
        </w:tc>
        <w:tc>
          <w:tcPr>
            <w:tcW w:w="1975" w:type="dxa"/>
          </w:tcPr>
          <w:p w14:paraId="303F7DE8" w14:textId="77777777" w:rsidR="009568DA" w:rsidRPr="004523AB" w:rsidRDefault="009568DA" w:rsidP="00A60CA8">
            <w:pPr>
              <w:rPr>
                <w:rFonts w:asciiTheme="minorHAnsi" w:hAnsiTheme="minorHAnsi" w:cstheme="minorHAnsi"/>
              </w:rPr>
            </w:pPr>
            <w:r w:rsidRPr="004523AB" w:rsidDel="003875D1">
              <w:rPr>
                <w:rFonts w:cs="Segoe UI"/>
                <w:color w:val="000000"/>
              </w:rPr>
              <w:t>2</w:t>
            </w:r>
          </w:p>
        </w:tc>
      </w:tr>
      <w:tr w:rsidR="009568DA" w:rsidRPr="004523AB" w14:paraId="74FC47EC" w14:textId="77777777" w:rsidTr="0099313E">
        <w:trPr>
          <w:trHeight w:val="292"/>
        </w:trPr>
        <w:tc>
          <w:tcPr>
            <w:tcW w:w="3686" w:type="dxa"/>
            <w:hideMark/>
          </w:tcPr>
          <w:p w14:paraId="112A9F7B" w14:textId="77777777" w:rsidR="009568DA" w:rsidRPr="004523AB" w:rsidRDefault="009568DA" w:rsidP="00A60CA8">
            <w:proofErr w:type="gramStart"/>
            <w:r w:rsidRPr="004523AB">
              <w:t>South Western</w:t>
            </w:r>
            <w:proofErr w:type="gramEnd"/>
            <w:r w:rsidRPr="004523AB">
              <w:t xml:space="preserve"> Sydney</w:t>
            </w:r>
          </w:p>
        </w:tc>
        <w:tc>
          <w:tcPr>
            <w:tcW w:w="1533" w:type="dxa"/>
            <w:hideMark/>
          </w:tcPr>
          <w:p w14:paraId="2B34E323" w14:textId="77777777" w:rsidR="009568DA" w:rsidRPr="004523AB" w:rsidRDefault="009568DA" w:rsidP="00A60CA8">
            <w:r w:rsidRPr="004523AB">
              <w:t>Yes</w:t>
            </w:r>
          </w:p>
        </w:tc>
        <w:tc>
          <w:tcPr>
            <w:tcW w:w="1975" w:type="dxa"/>
            <w:hideMark/>
          </w:tcPr>
          <w:p w14:paraId="26FA8B0F" w14:textId="77777777" w:rsidR="009568DA" w:rsidRPr="004523AB" w:rsidRDefault="009568DA" w:rsidP="00A60CA8">
            <w:pPr>
              <w:rPr>
                <w:b/>
                <w:bCs/>
              </w:rPr>
            </w:pPr>
            <w:r w:rsidRPr="004523AB">
              <w:t>Yes</w:t>
            </w:r>
          </w:p>
        </w:tc>
        <w:tc>
          <w:tcPr>
            <w:tcW w:w="1975" w:type="dxa"/>
          </w:tcPr>
          <w:p w14:paraId="74B59404" w14:textId="77777777" w:rsidR="009568DA" w:rsidRPr="004523AB" w:rsidRDefault="009568DA" w:rsidP="00A60CA8">
            <w:pPr>
              <w:rPr>
                <w:rFonts w:asciiTheme="minorHAnsi" w:hAnsiTheme="minorHAnsi" w:cstheme="minorHAnsi"/>
              </w:rPr>
            </w:pPr>
          </w:p>
        </w:tc>
      </w:tr>
      <w:tr w:rsidR="009568DA" w:rsidRPr="004523AB" w14:paraId="560B663D" w14:textId="77777777" w:rsidTr="0099313E">
        <w:trPr>
          <w:trHeight w:val="91"/>
        </w:trPr>
        <w:tc>
          <w:tcPr>
            <w:tcW w:w="3686" w:type="dxa"/>
            <w:hideMark/>
          </w:tcPr>
          <w:p w14:paraId="0D602D49" w14:textId="77777777" w:rsidR="009568DA" w:rsidRPr="004523AB" w:rsidRDefault="009568DA" w:rsidP="00A60CA8">
            <w:r w:rsidRPr="004523AB">
              <w:t>Tasmania</w:t>
            </w:r>
          </w:p>
        </w:tc>
        <w:tc>
          <w:tcPr>
            <w:tcW w:w="1533" w:type="dxa"/>
            <w:hideMark/>
          </w:tcPr>
          <w:p w14:paraId="3DB6096F" w14:textId="77777777" w:rsidR="009568DA" w:rsidRPr="004523AB" w:rsidRDefault="009568DA" w:rsidP="00A60CA8">
            <w:r w:rsidRPr="004523AB">
              <w:t>Yes</w:t>
            </w:r>
          </w:p>
        </w:tc>
        <w:tc>
          <w:tcPr>
            <w:tcW w:w="1975" w:type="dxa"/>
            <w:hideMark/>
          </w:tcPr>
          <w:p w14:paraId="0B94BED8" w14:textId="77777777" w:rsidR="009568DA" w:rsidRPr="004523AB" w:rsidRDefault="009568DA" w:rsidP="00A60CA8">
            <w:pPr>
              <w:rPr>
                <w:b/>
                <w:bCs/>
              </w:rPr>
            </w:pPr>
            <w:r w:rsidRPr="004523AB">
              <w:t>Yes</w:t>
            </w:r>
          </w:p>
        </w:tc>
        <w:tc>
          <w:tcPr>
            <w:tcW w:w="1975" w:type="dxa"/>
          </w:tcPr>
          <w:p w14:paraId="646A1DF0" w14:textId="77777777" w:rsidR="009568DA" w:rsidRPr="004523AB" w:rsidRDefault="009568DA" w:rsidP="00A60CA8">
            <w:pPr>
              <w:rPr>
                <w:b/>
                <w:bCs/>
              </w:rPr>
            </w:pPr>
          </w:p>
        </w:tc>
      </w:tr>
      <w:tr w:rsidR="009568DA" w:rsidRPr="004523AB" w14:paraId="6CDA0B3C" w14:textId="77777777" w:rsidTr="0099313E">
        <w:trPr>
          <w:trHeight w:val="292"/>
        </w:trPr>
        <w:tc>
          <w:tcPr>
            <w:tcW w:w="3686" w:type="dxa"/>
            <w:hideMark/>
          </w:tcPr>
          <w:p w14:paraId="0E5E1B23" w14:textId="77777777" w:rsidR="009568DA" w:rsidRPr="004523AB" w:rsidRDefault="009568DA" w:rsidP="00A60CA8">
            <w:r w:rsidRPr="004523AB">
              <w:t>Western NSW</w:t>
            </w:r>
          </w:p>
        </w:tc>
        <w:tc>
          <w:tcPr>
            <w:tcW w:w="1533" w:type="dxa"/>
            <w:hideMark/>
          </w:tcPr>
          <w:p w14:paraId="4B43D38C" w14:textId="77777777" w:rsidR="009568DA" w:rsidRPr="004523AB" w:rsidRDefault="009568DA" w:rsidP="00A60CA8">
            <w:r w:rsidRPr="004523AB">
              <w:t>Yes</w:t>
            </w:r>
          </w:p>
        </w:tc>
        <w:tc>
          <w:tcPr>
            <w:tcW w:w="1975" w:type="dxa"/>
            <w:hideMark/>
          </w:tcPr>
          <w:p w14:paraId="041786CB" w14:textId="77777777" w:rsidR="009568DA" w:rsidRPr="004523AB" w:rsidRDefault="009568DA" w:rsidP="00A60CA8">
            <w:pPr>
              <w:rPr>
                <w:b/>
                <w:bCs/>
              </w:rPr>
            </w:pPr>
            <w:r w:rsidRPr="004523AB">
              <w:t>Yes</w:t>
            </w:r>
          </w:p>
        </w:tc>
        <w:tc>
          <w:tcPr>
            <w:tcW w:w="1975" w:type="dxa"/>
          </w:tcPr>
          <w:p w14:paraId="159AC090" w14:textId="77777777" w:rsidR="009568DA" w:rsidRPr="004523AB" w:rsidRDefault="009568DA" w:rsidP="00A60CA8">
            <w:pPr>
              <w:rPr>
                <w:b/>
                <w:bCs/>
              </w:rPr>
            </w:pPr>
            <w:r w:rsidRPr="004523AB" w:rsidDel="003875D1">
              <w:rPr>
                <w:rFonts w:cs="Segoe UI"/>
                <w:color w:val="000000"/>
              </w:rPr>
              <w:t>1</w:t>
            </w:r>
          </w:p>
        </w:tc>
      </w:tr>
      <w:tr w:rsidR="009568DA" w:rsidRPr="004523AB" w14:paraId="589988B5" w14:textId="77777777" w:rsidTr="0099313E">
        <w:trPr>
          <w:trHeight w:val="292"/>
        </w:trPr>
        <w:tc>
          <w:tcPr>
            <w:tcW w:w="3686" w:type="dxa"/>
            <w:hideMark/>
          </w:tcPr>
          <w:p w14:paraId="03EDDC1C" w14:textId="77777777" w:rsidR="009568DA" w:rsidRPr="004523AB" w:rsidRDefault="009568DA" w:rsidP="00A60CA8">
            <w:r w:rsidRPr="004523AB">
              <w:t>Western Queensland</w:t>
            </w:r>
          </w:p>
        </w:tc>
        <w:tc>
          <w:tcPr>
            <w:tcW w:w="1533" w:type="dxa"/>
            <w:hideMark/>
          </w:tcPr>
          <w:p w14:paraId="5721D372" w14:textId="77777777" w:rsidR="009568DA" w:rsidRPr="004523AB" w:rsidRDefault="009568DA" w:rsidP="00A60CA8">
            <w:r w:rsidRPr="004523AB">
              <w:t>Yes</w:t>
            </w:r>
          </w:p>
        </w:tc>
        <w:tc>
          <w:tcPr>
            <w:tcW w:w="1975" w:type="dxa"/>
            <w:hideMark/>
          </w:tcPr>
          <w:p w14:paraId="47B99BDF" w14:textId="77777777" w:rsidR="009568DA" w:rsidRPr="004523AB" w:rsidRDefault="009568DA" w:rsidP="00A60CA8">
            <w:pPr>
              <w:rPr>
                <w:b/>
                <w:bCs/>
              </w:rPr>
            </w:pPr>
            <w:r w:rsidRPr="004523AB">
              <w:t>Yes</w:t>
            </w:r>
          </w:p>
        </w:tc>
        <w:tc>
          <w:tcPr>
            <w:tcW w:w="1975" w:type="dxa"/>
          </w:tcPr>
          <w:p w14:paraId="369DA396" w14:textId="77777777" w:rsidR="009568DA" w:rsidRPr="004523AB" w:rsidRDefault="009568DA" w:rsidP="00A60CA8">
            <w:pPr>
              <w:rPr>
                <w:b/>
                <w:bCs/>
              </w:rPr>
            </w:pPr>
          </w:p>
        </w:tc>
      </w:tr>
      <w:tr w:rsidR="009568DA" w:rsidRPr="004523AB" w14:paraId="089F38F9" w14:textId="77777777" w:rsidTr="0099313E">
        <w:trPr>
          <w:trHeight w:val="292"/>
        </w:trPr>
        <w:tc>
          <w:tcPr>
            <w:tcW w:w="3686" w:type="dxa"/>
            <w:hideMark/>
          </w:tcPr>
          <w:p w14:paraId="151E7215" w14:textId="77777777" w:rsidR="009568DA" w:rsidRPr="004523AB" w:rsidRDefault="009568DA" w:rsidP="00A60CA8">
            <w:r w:rsidRPr="004523AB">
              <w:t>Western Sydney</w:t>
            </w:r>
          </w:p>
        </w:tc>
        <w:tc>
          <w:tcPr>
            <w:tcW w:w="1533" w:type="dxa"/>
            <w:hideMark/>
          </w:tcPr>
          <w:p w14:paraId="4C0B3970" w14:textId="77777777" w:rsidR="009568DA" w:rsidRPr="004523AB" w:rsidRDefault="009568DA" w:rsidP="00A60CA8">
            <w:r w:rsidRPr="004523AB">
              <w:t>Yes</w:t>
            </w:r>
          </w:p>
        </w:tc>
        <w:tc>
          <w:tcPr>
            <w:tcW w:w="1975" w:type="dxa"/>
            <w:hideMark/>
          </w:tcPr>
          <w:p w14:paraId="65A76529" w14:textId="77777777" w:rsidR="009568DA" w:rsidRPr="004523AB" w:rsidRDefault="009568DA" w:rsidP="00A60CA8">
            <w:pPr>
              <w:rPr>
                <w:b/>
                <w:bCs/>
              </w:rPr>
            </w:pPr>
            <w:r w:rsidRPr="004523AB">
              <w:t>Yes</w:t>
            </w:r>
          </w:p>
        </w:tc>
        <w:tc>
          <w:tcPr>
            <w:tcW w:w="1975" w:type="dxa"/>
          </w:tcPr>
          <w:p w14:paraId="61E0D02D" w14:textId="77777777" w:rsidR="009568DA" w:rsidRPr="004523AB" w:rsidRDefault="009568DA" w:rsidP="00A60CA8">
            <w:pPr>
              <w:rPr>
                <w:b/>
                <w:bCs/>
              </w:rPr>
            </w:pPr>
            <w:r w:rsidRPr="004523AB">
              <w:rPr>
                <w:rFonts w:cs="Segoe UI"/>
                <w:color w:val="000000"/>
              </w:rPr>
              <w:t>1</w:t>
            </w:r>
          </w:p>
        </w:tc>
      </w:tr>
      <w:tr w:rsidR="009568DA" w:rsidRPr="004523AB" w14:paraId="1451F47D" w14:textId="77777777" w:rsidTr="0099313E">
        <w:trPr>
          <w:trHeight w:val="292"/>
        </w:trPr>
        <w:tc>
          <w:tcPr>
            <w:tcW w:w="3686" w:type="dxa"/>
            <w:hideMark/>
          </w:tcPr>
          <w:p w14:paraId="5F596E24" w14:textId="77777777" w:rsidR="009568DA" w:rsidRPr="004523AB" w:rsidRDefault="009568DA" w:rsidP="00A60CA8">
            <w:r w:rsidRPr="004523AB">
              <w:t xml:space="preserve">Western Victoria </w:t>
            </w:r>
          </w:p>
        </w:tc>
        <w:tc>
          <w:tcPr>
            <w:tcW w:w="1533" w:type="dxa"/>
            <w:hideMark/>
          </w:tcPr>
          <w:p w14:paraId="04E33213" w14:textId="77777777" w:rsidR="009568DA" w:rsidRPr="004523AB" w:rsidRDefault="009568DA" w:rsidP="00A60CA8">
            <w:r w:rsidRPr="004523AB">
              <w:t>Yes</w:t>
            </w:r>
          </w:p>
        </w:tc>
        <w:tc>
          <w:tcPr>
            <w:tcW w:w="1975" w:type="dxa"/>
            <w:hideMark/>
          </w:tcPr>
          <w:p w14:paraId="1B04B1F6" w14:textId="77777777" w:rsidR="009568DA" w:rsidRPr="004523AB" w:rsidRDefault="009568DA" w:rsidP="00A60CA8">
            <w:pPr>
              <w:rPr>
                <w:b/>
                <w:bCs/>
              </w:rPr>
            </w:pPr>
            <w:r w:rsidRPr="004523AB">
              <w:t>Yes</w:t>
            </w:r>
          </w:p>
        </w:tc>
        <w:tc>
          <w:tcPr>
            <w:tcW w:w="1975" w:type="dxa"/>
          </w:tcPr>
          <w:p w14:paraId="1E2BE08B" w14:textId="77777777" w:rsidR="009568DA" w:rsidRPr="004523AB" w:rsidRDefault="009568DA" w:rsidP="00A60CA8">
            <w:pPr>
              <w:rPr>
                <w:b/>
                <w:bCs/>
              </w:rPr>
            </w:pPr>
          </w:p>
        </w:tc>
      </w:tr>
      <w:tr w:rsidR="009568DA" w:rsidRPr="004523AB" w14:paraId="727E37E6" w14:textId="77777777" w:rsidTr="0099313E">
        <w:trPr>
          <w:trHeight w:val="292"/>
        </w:trPr>
        <w:tc>
          <w:tcPr>
            <w:tcW w:w="3686" w:type="dxa"/>
            <w:hideMark/>
          </w:tcPr>
          <w:p w14:paraId="271D1789" w14:textId="77777777" w:rsidR="009568DA" w:rsidRPr="004523AB" w:rsidRDefault="009568DA" w:rsidP="00A60CA8">
            <w:r w:rsidRPr="004523AB">
              <w:t xml:space="preserve">Northern Queensland </w:t>
            </w:r>
          </w:p>
        </w:tc>
        <w:tc>
          <w:tcPr>
            <w:tcW w:w="1533" w:type="dxa"/>
            <w:hideMark/>
          </w:tcPr>
          <w:p w14:paraId="221C981F" w14:textId="77777777" w:rsidR="009568DA" w:rsidRPr="004523AB" w:rsidRDefault="009568DA" w:rsidP="00A60CA8">
            <w:r w:rsidRPr="004523AB">
              <w:t>No</w:t>
            </w:r>
          </w:p>
        </w:tc>
        <w:tc>
          <w:tcPr>
            <w:tcW w:w="1975" w:type="dxa"/>
            <w:hideMark/>
          </w:tcPr>
          <w:p w14:paraId="3E049D53" w14:textId="77777777" w:rsidR="009568DA" w:rsidRPr="004523AB" w:rsidRDefault="009568DA" w:rsidP="00A60CA8">
            <w:r w:rsidRPr="004523AB">
              <w:t>Yes</w:t>
            </w:r>
          </w:p>
        </w:tc>
        <w:tc>
          <w:tcPr>
            <w:tcW w:w="1975" w:type="dxa"/>
          </w:tcPr>
          <w:p w14:paraId="52145E9B" w14:textId="77777777" w:rsidR="009568DA" w:rsidRPr="004523AB" w:rsidRDefault="009568DA" w:rsidP="00A60CA8">
            <w:pPr>
              <w:rPr>
                <w:b/>
                <w:bCs/>
              </w:rPr>
            </w:pPr>
          </w:p>
        </w:tc>
      </w:tr>
      <w:tr w:rsidR="009568DA" w:rsidRPr="004523AB" w14:paraId="2D0A44E3" w14:textId="77777777" w:rsidTr="0099313E">
        <w:trPr>
          <w:trHeight w:val="292"/>
        </w:trPr>
        <w:tc>
          <w:tcPr>
            <w:tcW w:w="3686" w:type="dxa"/>
            <w:hideMark/>
          </w:tcPr>
          <w:p w14:paraId="6F33595B" w14:textId="77777777" w:rsidR="009568DA" w:rsidRPr="004523AB" w:rsidRDefault="009568DA" w:rsidP="00A60CA8">
            <w:r w:rsidRPr="004523AB">
              <w:t>Perth North PHN</w:t>
            </w:r>
          </w:p>
        </w:tc>
        <w:tc>
          <w:tcPr>
            <w:tcW w:w="1533" w:type="dxa"/>
            <w:hideMark/>
          </w:tcPr>
          <w:p w14:paraId="1FF7D9FE" w14:textId="77777777" w:rsidR="009568DA" w:rsidRPr="004523AB" w:rsidRDefault="009568DA" w:rsidP="00A60CA8">
            <w:r w:rsidRPr="004523AB">
              <w:t>Yes</w:t>
            </w:r>
          </w:p>
        </w:tc>
        <w:tc>
          <w:tcPr>
            <w:tcW w:w="1975" w:type="dxa"/>
            <w:hideMark/>
          </w:tcPr>
          <w:p w14:paraId="0272A857" w14:textId="77777777" w:rsidR="009568DA" w:rsidRPr="004523AB" w:rsidRDefault="009568DA" w:rsidP="00A60CA8">
            <w:pPr>
              <w:rPr>
                <w:b/>
                <w:bCs/>
              </w:rPr>
            </w:pPr>
            <w:r w:rsidRPr="004523AB">
              <w:t>Yes</w:t>
            </w:r>
          </w:p>
        </w:tc>
        <w:tc>
          <w:tcPr>
            <w:tcW w:w="1975" w:type="dxa"/>
          </w:tcPr>
          <w:p w14:paraId="03B0B487" w14:textId="77777777" w:rsidR="009568DA" w:rsidRPr="004523AB" w:rsidRDefault="009568DA" w:rsidP="00A60CA8">
            <w:pPr>
              <w:rPr>
                <w:b/>
                <w:bCs/>
              </w:rPr>
            </w:pPr>
          </w:p>
        </w:tc>
      </w:tr>
      <w:tr w:rsidR="009568DA" w:rsidRPr="004523AB" w14:paraId="0F17C963" w14:textId="77777777" w:rsidTr="0099313E">
        <w:trPr>
          <w:trHeight w:val="292"/>
        </w:trPr>
        <w:tc>
          <w:tcPr>
            <w:tcW w:w="3686" w:type="dxa"/>
            <w:hideMark/>
          </w:tcPr>
          <w:p w14:paraId="7E017884" w14:textId="77777777" w:rsidR="009568DA" w:rsidRPr="004523AB" w:rsidRDefault="009568DA" w:rsidP="00A60CA8">
            <w:r w:rsidRPr="004523AB">
              <w:t xml:space="preserve">Perth South </w:t>
            </w:r>
          </w:p>
        </w:tc>
        <w:tc>
          <w:tcPr>
            <w:tcW w:w="1533" w:type="dxa"/>
            <w:hideMark/>
          </w:tcPr>
          <w:p w14:paraId="19795C86" w14:textId="77777777" w:rsidR="009568DA" w:rsidRPr="004523AB" w:rsidRDefault="009568DA" w:rsidP="00A60CA8">
            <w:r w:rsidRPr="004523AB">
              <w:t>Yes</w:t>
            </w:r>
          </w:p>
        </w:tc>
        <w:tc>
          <w:tcPr>
            <w:tcW w:w="1975" w:type="dxa"/>
            <w:hideMark/>
          </w:tcPr>
          <w:p w14:paraId="5FDF4696" w14:textId="77777777" w:rsidR="009568DA" w:rsidRPr="004523AB" w:rsidRDefault="009568DA" w:rsidP="00A60CA8">
            <w:pPr>
              <w:rPr>
                <w:b/>
                <w:bCs/>
              </w:rPr>
            </w:pPr>
            <w:r w:rsidRPr="004523AB">
              <w:t>Yes</w:t>
            </w:r>
          </w:p>
        </w:tc>
        <w:tc>
          <w:tcPr>
            <w:tcW w:w="1975" w:type="dxa"/>
          </w:tcPr>
          <w:p w14:paraId="13A3D464" w14:textId="77777777" w:rsidR="009568DA" w:rsidRPr="004523AB" w:rsidRDefault="009568DA" w:rsidP="00A60CA8">
            <w:pPr>
              <w:rPr>
                <w:b/>
                <w:bCs/>
              </w:rPr>
            </w:pPr>
          </w:p>
        </w:tc>
      </w:tr>
      <w:tr w:rsidR="009568DA" w:rsidRPr="004523AB" w14:paraId="3567F7C5" w14:textId="77777777" w:rsidTr="0099313E">
        <w:trPr>
          <w:trHeight w:val="292"/>
        </w:trPr>
        <w:tc>
          <w:tcPr>
            <w:tcW w:w="3686" w:type="dxa"/>
            <w:hideMark/>
          </w:tcPr>
          <w:p w14:paraId="1E959244" w14:textId="77777777" w:rsidR="009568DA" w:rsidRPr="004523AB" w:rsidRDefault="009568DA" w:rsidP="00A60CA8">
            <w:r w:rsidRPr="004523AB">
              <w:t xml:space="preserve">Country WA </w:t>
            </w:r>
          </w:p>
        </w:tc>
        <w:tc>
          <w:tcPr>
            <w:tcW w:w="1533" w:type="dxa"/>
            <w:hideMark/>
          </w:tcPr>
          <w:p w14:paraId="6B18F020" w14:textId="77777777" w:rsidR="009568DA" w:rsidRPr="004523AB" w:rsidRDefault="009568DA" w:rsidP="00A60CA8">
            <w:r w:rsidRPr="004523AB">
              <w:t>Yes</w:t>
            </w:r>
          </w:p>
        </w:tc>
        <w:tc>
          <w:tcPr>
            <w:tcW w:w="1975" w:type="dxa"/>
            <w:hideMark/>
          </w:tcPr>
          <w:p w14:paraId="36C0E905" w14:textId="77777777" w:rsidR="009568DA" w:rsidRPr="004523AB" w:rsidRDefault="009568DA" w:rsidP="00A60CA8">
            <w:pPr>
              <w:rPr>
                <w:b/>
                <w:bCs/>
              </w:rPr>
            </w:pPr>
            <w:r w:rsidRPr="004523AB">
              <w:t>Yes</w:t>
            </w:r>
          </w:p>
        </w:tc>
        <w:tc>
          <w:tcPr>
            <w:tcW w:w="1975" w:type="dxa"/>
          </w:tcPr>
          <w:p w14:paraId="21B84627" w14:textId="77777777" w:rsidR="009568DA" w:rsidRPr="004523AB" w:rsidRDefault="009568DA" w:rsidP="00A60CA8">
            <w:pPr>
              <w:rPr>
                <w:b/>
                <w:bCs/>
              </w:rPr>
            </w:pPr>
            <w:r w:rsidRPr="004523AB">
              <w:rPr>
                <w:rFonts w:cs="Segoe UI"/>
                <w:color w:val="000000"/>
              </w:rPr>
              <w:t>1</w:t>
            </w:r>
          </w:p>
        </w:tc>
      </w:tr>
      <w:tr w:rsidR="009568DA" w:rsidRPr="004523AB" w14:paraId="2B1CB619" w14:textId="77777777" w:rsidTr="0099313E">
        <w:trPr>
          <w:trHeight w:val="292"/>
        </w:trPr>
        <w:tc>
          <w:tcPr>
            <w:tcW w:w="3686" w:type="dxa"/>
            <w:hideMark/>
          </w:tcPr>
          <w:p w14:paraId="709923D8" w14:textId="77777777" w:rsidR="009568DA" w:rsidRPr="004523AB" w:rsidRDefault="009568DA" w:rsidP="00A60CA8">
            <w:pPr>
              <w:rPr>
                <w:rFonts w:asciiTheme="majorHAnsi" w:hAnsiTheme="majorHAnsi" w:cstheme="majorHAnsi"/>
              </w:rPr>
            </w:pPr>
            <w:r w:rsidRPr="004523AB">
              <w:rPr>
                <w:rFonts w:asciiTheme="majorHAnsi" w:hAnsiTheme="majorHAnsi" w:cstheme="majorHAnsi"/>
              </w:rPr>
              <w:t xml:space="preserve"> Total </w:t>
            </w:r>
          </w:p>
        </w:tc>
        <w:tc>
          <w:tcPr>
            <w:tcW w:w="1533" w:type="dxa"/>
            <w:hideMark/>
          </w:tcPr>
          <w:p w14:paraId="3E010929" w14:textId="77777777" w:rsidR="009568DA" w:rsidRPr="004523AB" w:rsidRDefault="009568DA" w:rsidP="00A60CA8">
            <w:pPr>
              <w:rPr>
                <w:rFonts w:asciiTheme="majorHAnsi" w:hAnsiTheme="majorHAnsi" w:cstheme="majorHAnsi"/>
              </w:rPr>
            </w:pPr>
            <w:r w:rsidRPr="004523AB">
              <w:rPr>
                <w:rFonts w:asciiTheme="majorHAnsi" w:hAnsiTheme="majorHAnsi" w:cstheme="majorHAnsi"/>
              </w:rPr>
              <w:t>30</w:t>
            </w:r>
          </w:p>
        </w:tc>
        <w:tc>
          <w:tcPr>
            <w:tcW w:w="1975" w:type="dxa"/>
            <w:hideMark/>
          </w:tcPr>
          <w:p w14:paraId="48C92EC1" w14:textId="77777777" w:rsidR="009568DA" w:rsidRPr="004523AB" w:rsidRDefault="009568DA" w:rsidP="00A60CA8">
            <w:pPr>
              <w:rPr>
                <w:rFonts w:asciiTheme="majorHAnsi" w:hAnsiTheme="majorHAnsi" w:cstheme="majorHAnsi"/>
              </w:rPr>
            </w:pPr>
            <w:r w:rsidRPr="004523AB">
              <w:rPr>
                <w:rFonts w:asciiTheme="majorHAnsi" w:hAnsiTheme="majorHAnsi" w:cstheme="majorHAnsi"/>
              </w:rPr>
              <w:t>31</w:t>
            </w:r>
          </w:p>
        </w:tc>
        <w:tc>
          <w:tcPr>
            <w:tcW w:w="1975" w:type="dxa"/>
            <w:hideMark/>
          </w:tcPr>
          <w:p w14:paraId="6913792E" w14:textId="77777777" w:rsidR="009568DA" w:rsidRPr="004523AB" w:rsidRDefault="009568DA" w:rsidP="00A60CA8">
            <w:pPr>
              <w:rPr>
                <w:rFonts w:asciiTheme="majorHAnsi" w:hAnsiTheme="majorHAnsi" w:cstheme="majorHAnsi"/>
              </w:rPr>
            </w:pPr>
            <w:r w:rsidRPr="004523AB">
              <w:rPr>
                <w:rFonts w:asciiTheme="majorHAnsi" w:hAnsiTheme="majorHAnsi" w:cstheme="majorHAnsi"/>
              </w:rPr>
              <w:t>32</w:t>
            </w:r>
          </w:p>
        </w:tc>
      </w:tr>
    </w:tbl>
    <w:p w14:paraId="5B169D02" w14:textId="77777777" w:rsidR="00A52D36" w:rsidRPr="004523AB" w:rsidRDefault="00A52D36">
      <w:pPr>
        <w:spacing w:after="165" w:line="259" w:lineRule="auto"/>
        <w:rPr>
          <w:rFonts w:ascii="Segoe UI Semibold" w:hAnsi="Segoe UI Semibold"/>
          <w:bCs/>
          <w:color w:val="00264D" w:themeColor="background2"/>
          <w:szCs w:val="18"/>
        </w:rPr>
      </w:pPr>
      <w:r w:rsidRPr="004523AB">
        <w:br w:type="page"/>
      </w:r>
    </w:p>
    <w:p w14:paraId="2BB95C90" w14:textId="5A8A5C8E" w:rsidR="00A60CA8" w:rsidRPr="004523AB" w:rsidRDefault="00A60CA8" w:rsidP="00A60CA8">
      <w:pPr>
        <w:pStyle w:val="Caption"/>
      </w:pPr>
      <w:r w:rsidRPr="004523AB">
        <w:lastRenderedPageBreak/>
        <w:t xml:space="preserve">Table </w:t>
      </w:r>
      <w:r w:rsidRPr="004523AB">
        <w:fldChar w:fldCharType="begin"/>
      </w:r>
      <w:r w:rsidRPr="004523AB">
        <w:instrText xml:space="preserve"> SEQ Table \* ARABIC </w:instrText>
      </w:r>
      <w:r w:rsidRPr="004523AB">
        <w:fldChar w:fldCharType="separate"/>
      </w:r>
      <w:r w:rsidR="00B96E50">
        <w:rPr>
          <w:noProof/>
        </w:rPr>
        <w:t>21</w:t>
      </w:r>
      <w:r w:rsidRPr="004523AB">
        <w:fldChar w:fldCharType="end"/>
      </w:r>
      <w:r w:rsidRPr="004523AB">
        <w:t xml:space="preserve"> | Stakeholder engagement by PHN as on June 14</w:t>
      </w:r>
    </w:p>
    <w:tbl>
      <w:tblPr>
        <w:tblStyle w:val="AccessibleNousTable"/>
        <w:tblW w:w="0" w:type="auto"/>
        <w:tblLook w:val="04A0" w:firstRow="1" w:lastRow="0" w:firstColumn="1" w:lastColumn="0" w:noHBand="0" w:noVBand="1"/>
      </w:tblPr>
      <w:tblGrid>
        <w:gridCol w:w="8920"/>
      </w:tblGrid>
      <w:tr w:rsidR="005A0A61" w:rsidRPr="004523AB" w14:paraId="51B72355" w14:textId="77777777" w:rsidTr="0099313E">
        <w:trPr>
          <w:cnfStyle w:val="100000000000" w:firstRow="1" w:lastRow="0" w:firstColumn="0" w:lastColumn="0" w:oddVBand="0" w:evenVBand="0" w:oddHBand="0" w:evenHBand="0" w:firstRowFirstColumn="0" w:firstRowLastColumn="0" w:lastRowFirstColumn="0" w:lastRowLastColumn="0"/>
          <w:tblHeader/>
        </w:trPr>
        <w:tc>
          <w:tcPr>
            <w:tcW w:w="8920" w:type="dxa"/>
          </w:tcPr>
          <w:p w14:paraId="753D74CF" w14:textId="77777777" w:rsidR="00A60CA8" w:rsidRPr="004523AB" w:rsidRDefault="00A60CA8">
            <w:pPr>
              <w:rPr>
                <w:rFonts w:asciiTheme="majorHAnsi" w:hAnsiTheme="majorHAnsi" w:cstheme="majorHAnsi"/>
                <w:sz w:val="23"/>
                <w:szCs w:val="23"/>
                <w:lang w:eastAsia="en-AU"/>
              </w:rPr>
            </w:pPr>
            <w:r w:rsidRPr="004523AB">
              <w:rPr>
                <w:rFonts w:asciiTheme="majorHAnsi" w:hAnsiTheme="majorHAnsi" w:cstheme="majorHAnsi"/>
                <w:sz w:val="23"/>
                <w:szCs w:val="23"/>
                <w:lang w:eastAsia="en-AU"/>
              </w:rPr>
              <w:t>Peak bodies interviewed:</w:t>
            </w:r>
          </w:p>
        </w:tc>
      </w:tr>
      <w:tr w:rsidR="00A60CA8" w:rsidRPr="004523AB" w14:paraId="3ACC5858" w14:textId="77777777" w:rsidTr="00EA6821">
        <w:tc>
          <w:tcPr>
            <w:tcW w:w="8920" w:type="dxa"/>
          </w:tcPr>
          <w:p w14:paraId="79D350B6" w14:textId="77777777" w:rsidR="00A60CA8" w:rsidRPr="004523AB" w:rsidRDefault="00A60CA8" w:rsidP="00B7385B">
            <w:pPr>
              <w:pStyle w:val="TableNText"/>
            </w:pPr>
            <w:r w:rsidRPr="004523AB">
              <w:t>Royal Australian College of General Practitioners (RACGP)</w:t>
            </w:r>
          </w:p>
        </w:tc>
      </w:tr>
      <w:tr w:rsidR="00A60CA8" w:rsidRPr="004523AB" w14:paraId="52CA4475" w14:textId="77777777" w:rsidTr="00EA6821">
        <w:tc>
          <w:tcPr>
            <w:tcW w:w="8920" w:type="dxa"/>
          </w:tcPr>
          <w:p w14:paraId="7E9FC80B" w14:textId="58CD0FDA" w:rsidR="00A60CA8" w:rsidRPr="004523AB" w:rsidRDefault="00A60CA8" w:rsidP="00B7385B">
            <w:pPr>
              <w:pStyle w:val="TableNText"/>
              <w:rPr>
                <w:lang w:eastAsia="en-AU"/>
              </w:rPr>
            </w:pPr>
            <w:r w:rsidRPr="004523AB">
              <w:t>Australian Medical Association (AMA)</w:t>
            </w:r>
          </w:p>
        </w:tc>
      </w:tr>
      <w:tr w:rsidR="00A60CA8" w:rsidRPr="004523AB" w14:paraId="1AC74A21" w14:textId="77777777" w:rsidTr="00EA6821">
        <w:tc>
          <w:tcPr>
            <w:tcW w:w="8920" w:type="dxa"/>
          </w:tcPr>
          <w:p w14:paraId="09B5B401" w14:textId="4DE5F8C8" w:rsidR="00A60CA8" w:rsidRPr="004523AB" w:rsidRDefault="00A60CA8" w:rsidP="00B7385B">
            <w:pPr>
              <w:pStyle w:val="TableNText"/>
              <w:rPr>
                <w:lang w:eastAsia="en-AU"/>
              </w:rPr>
            </w:pPr>
            <w:r w:rsidRPr="004523AB">
              <w:t>Consumer’s Health Forum of Australia (CHF)</w:t>
            </w:r>
          </w:p>
        </w:tc>
      </w:tr>
      <w:tr w:rsidR="00A60CA8" w:rsidRPr="004523AB" w14:paraId="2D79CA0E" w14:textId="77777777" w:rsidTr="00EA6821">
        <w:tc>
          <w:tcPr>
            <w:tcW w:w="8920" w:type="dxa"/>
          </w:tcPr>
          <w:p w14:paraId="7070ABC0" w14:textId="0A8601A7" w:rsidR="00A60CA8" w:rsidRPr="004523AB" w:rsidRDefault="00A60CA8" w:rsidP="00B7385B">
            <w:pPr>
              <w:pStyle w:val="TableNText"/>
              <w:rPr>
                <w:lang w:eastAsia="en-AU"/>
              </w:rPr>
            </w:pPr>
            <w:r w:rsidRPr="004523AB">
              <w:t>Australian Primary Health Care Nurses Association (APNA)</w:t>
            </w:r>
          </w:p>
        </w:tc>
      </w:tr>
      <w:tr w:rsidR="00A60CA8" w:rsidRPr="004523AB" w14:paraId="7984DB92" w14:textId="77777777" w:rsidTr="00EA6821">
        <w:tc>
          <w:tcPr>
            <w:tcW w:w="8920" w:type="dxa"/>
          </w:tcPr>
          <w:p w14:paraId="79DEF5B3" w14:textId="51FA13D9" w:rsidR="00A60CA8" w:rsidRPr="004523AB" w:rsidRDefault="00A60CA8" w:rsidP="00B7385B">
            <w:pPr>
              <w:pStyle w:val="TableNText"/>
            </w:pPr>
            <w:r w:rsidRPr="004523AB">
              <w:t>Australian Association of Practice Management (AAPM)</w:t>
            </w:r>
          </w:p>
        </w:tc>
      </w:tr>
    </w:tbl>
    <w:p w14:paraId="01D83DCF" w14:textId="77777777" w:rsidR="0099313E" w:rsidRDefault="0099313E"/>
    <w:tbl>
      <w:tblPr>
        <w:tblStyle w:val="AccessibleNousTable"/>
        <w:tblW w:w="0" w:type="auto"/>
        <w:tblLook w:val="04A0" w:firstRow="1" w:lastRow="0" w:firstColumn="1" w:lastColumn="0" w:noHBand="0" w:noVBand="1"/>
      </w:tblPr>
      <w:tblGrid>
        <w:gridCol w:w="8920"/>
      </w:tblGrid>
      <w:tr w:rsidR="001B1EEE" w:rsidRPr="004523AB" w14:paraId="69DF2B81" w14:textId="77777777" w:rsidTr="0099313E">
        <w:trPr>
          <w:cnfStyle w:val="100000000000" w:firstRow="1" w:lastRow="0" w:firstColumn="0" w:lastColumn="0" w:oddVBand="0" w:evenVBand="0" w:oddHBand="0" w:evenHBand="0" w:firstRowFirstColumn="0" w:firstRowLastColumn="0" w:lastRowFirstColumn="0" w:lastRowLastColumn="0"/>
          <w:tblHeader/>
        </w:trPr>
        <w:tc>
          <w:tcPr>
            <w:tcW w:w="8920" w:type="dxa"/>
          </w:tcPr>
          <w:p w14:paraId="3C3C2188" w14:textId="367E8853" w:rsidR="001A6623" w:rsidRPr="00B7385B" w:rsidRDefault="001A6623" w:rsidP="00B7385B">
            <w:r w:rsidRPr="00B7385B">
              <w:t xml:space="preserve">Department of Health and Aged Care Stakeholders interviewed: </w:t>
            </w:r>
          </w:p>
        </w:tc>
      </w:tr>
      <w:tr w:rsidR="001A6623" w:rsidRPr="004523AB" w14:paraId="39DCE7ED" w14:textId="77777777" w:rsidTr="00280C0D">
        <w:tc>
          <w:tcPr>
            <w:tcW w:w="8920" w:type="dxa"/>
          </w:tcPr>
          <w:p w14:paraId="3194F08C" w14:textId="77777777" w:rsidR="001A6623" w:rsidRPr="004523AB" w:rsidRDefault="001A6623">
            <w:pPr>
              <w:rPr>
                <w:lang w:eastAsia="en-AU"/>
              </w:rPr>
            </w:pPr>
            <w:r w:rsidRPr="004523AB">
              <w:t>9 x Department representatives across the Primary Care Access Branch and the PHN Operations Branch</w:t>
            </w:r>
          </w:p>
        </w:tc>
      </w:tr>
    </w:tbl>
    <w:p w14:paraId="169257F6" w14:textId="77777777" w:rsidR="0054397F" w:rsidRPr="004523AB" w:rsidRDefault="0054397F">
      <w:pPr>
        <w:spacing w:after="165" w:line="259" w:lineRule="auto"/>
      </w:pPr>
      <w:r w:rsidRPr="004523AB">
        <w:br w:type="page"/>
      </w:r>
    </w:p>
    <w:p w14:paraId="4FEAED80" w14:textId="7D1389A4" w:rsidR="00532739" w:rsidRPr="004523AB" w:rsidRDefault="00532739">
      <w:pPr>
        <w:pStyle w:val="xAppendixLevel1"/>
      </w:pPr>
      <w:bookmarkStart w:id="76" w:name="_Ref184972620"/>
      <w:bookmarkStart w:id="77" w:name="_Toc184982770"/>
      <w:r w:rsidRPr="004523AB">
        <w:lastRenderedPageBreak/>
        <w:t>Data collection tools</w:t>
      </w:r>
      <w:bookmarkEnd w:id="76"/>
      <w:bookmarkEnd w:id="77"/>
      <w:r w:rsidRPr="004523AB">
        <w:t xml:space="preserve"> </w:t>
      </w:r>
      <w:r w:rsidR="004A7161" w:rsidRPr="004523AB">
        <w:t xml:space="preserve"> </w:t>
      </w:r>
    </w:p>
    <w:p w14:paraId="4D8E36B5" w14:textId="5ACEF070" w:rsidR="001A6623" w:rsidRPr="004523AB" w:rsidRDefault="00532739" w:rsidP="00A065C1">
      <w:r w:rsidRPr="004523AB">
        <w:t xml:space="preserve">The below includes the survey and interview instruments used with stakeholders.  </w:t>
      </w:r>
    </w:p>
    <w:p w14:paraId="257CC33E" w14:textId="60FBD63F" w:rsidR="00120DBC" w:rsidRPr="004523AB" w:rsidRDefault="00EA1E82" w:rsidP="00023419">
      <w:pPr>
        <w:pStyle w:val="xAppendixLevel2"/>
      </w:pPr>
      <w:bookmarkStart w:id="78" w:name="_Ref184920304"/>
      <w:r w:rsidRPr="004523AB">
        <w:t>PHN Survey</w:t>
      </w:r>
      <w:bookmarkEnd w:id="78"/>
    </w:p>
    <w:p w14:paraId="5396EA8B" w14:textId="6335E41B" w:rsidR="008C0708" w:rsidRPr="004523AB" w:rsidRDefault="008C0708" w:rsidP="008A550C">
      <w:pPr>
        <w:pStyle w:val="Listnumbered"/>
        <w:numPr>
          <w:ilvl w:val="0"/>
          <w:numId w:val="10"/>
        </w:numPr>
      </w:pPr>
      <w:r w:rsidRPr="004523AB">
        <w:t>Please select your PHN.</w:t>
      </w:r>
    </w:p>
    <w:p w14:paraId="5FB0C8FC" w14:textId="5336D696" w:rsidR="008C0708" w:rsidRPr="004523AB" w:rsidRDefault="008C0708" w:rsidP="008A550C">
      <w:pPr>
        <w:pStyle w:val="Listnumbered"/>
        <w:numPr>
          <w:ilvl w:val="0"/>
          <w:numId w:val="10"/>
        </w:numPr>
      </w:pPr>
      <w:r w:rsidRPr="004523AB">
        <w:t>Please provide details of a person to contact within the PHN for any follow-up questions arising from this survey.</w:t>
      </w:r>
    </w:p>
    <w:p w14:paraId="1C1B65D5" w14:textId="77777777" w:rsidR="008C0708" w:rsidRPr="0099313E" w:rsidRDefault="008C0708" w:rsidP="0099313E">
      <w:pPr>
        <w:rPr>
          <w:rStyle w:val="Strong"/>
        </w:rPr>
      </w:pPr>
      <w:r w:rsidRPr="0099313E">
        <w:rPr>
          <w:rStyle w:val="Strong"/>
        </w:rPr>
        <w:t xml:space="preserve">Program application </w:t>
      </w:r>
    </w:p>
    <w:p w14:paraId="621E60A3" w14:textId="473023F4" w:rsidR="008C0708" w:rsidRPr="004523AB" w:rsidRDefault="008C0708" w:rsidP="008A550C">
      <w:pPr>
        <w:pStyle w:val="TableNListnumbered"/>
        <w:numPr>
          <w:ilvl w:val="0"/>
          <w:numId w:val="10"/>
        </w:numPr>
      </w:pPr>
      <w:r w:rsidRPr="004523AB">
        <w:t xml:space="preserve">To what extend do you agree with the following statements about the grant’s application process: </w:t>
      </w:r>
    </w:p>
    <w:p w14:paraId="426E3943" w14:textId="40F07DEA" w:rsidR="008C0708" w:rsidRPr="004523AB" w:rsidRDefault="008C0708" w:rsidP="008A550C">
      <w:pPr>
        <w:pStyle w:val="Listnumbered"/>
        <w:numPr>
          <w:ilvl w:val="1"/>
          <w:numId w:val="8"/>
        </w:numPr>
      </w:pPr>
      <w:r w:rsidRPr="004523AB">
        <w:t>The national program guidance documentation clearly outlined the eligibility criteria and application requirements for practices.</w:t>
      </w:r>
    </w:p>
    <w:p w14:paraId="19979656" w14:textId="70817C8A" w:rsidR="008C0708" w:rsidRPr="004523AB" w:rsidRDefault="008C0708" w:rsidP="008A550C">
      <w:pPr>
        <w:pStyle w:val="Listnumbered"/>
        <w:numPr>
          <w:ilvl w:val="1"/>
          <w:numId w:val="8"/>
        </w:numPr>
      </w:pPr>
      <w:r w:rsidRPr="004523AB">
        <w:t>It was easy for practices to complete the Application and Grant Agreement Form.</w:t>
      </w:r>
    </w:p>
    <w:p w14:paraId="676F104C" w14:textId="62A725B2" w:rsidR="008C0708" w:rsidRPr="004523AB" w:rsidRDefault="008C0708" w:rsidP="008A550C">
      <w:pPr>
        <w:pStyle w:val="Listnumbered"/>
        <w:numPr>
          <w:ilvl w:val="1"/>
          <w:numId w:val="8"/>
        </w:numPr>
      </w:pPr>
      <w:r w:rsidRPr="004523AB">
        <w:t>The level of assistance required from our PHN during the application process was appropriate for a program of this nature.</w:t>
      </w:r>
    </w:p>
    <w:p w14:paraId="2AD11026" w14:textId="41C03C54" w:rsidR="008C0708" w:rsidRPr="004523AB" w:rsidRDefault="008C0708" w:rsidP="008A550C">
      <w:pPr>
        <w:pStyle w:val="TableNListnumbered"/>
        <w:numPr>
          <w:ilvl w:val="0"/>
          <w:numId w:val="8"/>
        </w:numPr>
      </w:pPr>
      <w:r w:rsidRPr="004523AB">
        <w:t>From your perspective, how could the Program's application processes be enhanced for similar programs in the future?</w:t>
      </w:r>
    </w:p>
    <w:p w14:paraId="316541CB" w14:textId="3801410F" w:rsidR="008C0708" w:rsidRPr="004523AB" w:rsidRDefault="008C0708" w:rsidP="008A550C">
      <w:pPr>
        <w:pStyle w:val="TableNListnumbered"/>
        <w:numPr>
          <w:ilvl w:val="0"/>
          <w:numId w:val="8"/>
        </w:numPr>
      </w:pPr>
      <w:r w:rsidRPr="004523AB">
        <w:t>How can PHN support to practices be improved for future programs of a similar nature?</w:t>
      </w:r>
    </w:p>
    <w:p w14:paraId="1499E73C" w14:textId="77777777" w:rsidR="008C0708" w:rsidRPr="0099313E" w:rsidRDefault="008C0708" w:rsidP="0099313E">
      <w:pPr>
        <w:rPr>
          <w:rStyle w:val="Strong"/>
        </w:rPr>
      </w:pPr>
      <w:r w:rsidRPr="0099313E">
        <w:rPr>
          <w:rStyle w:val="Strong"/>
        </w:rPr>
        <w:t xml:space="preserve">Program implementation </w:t>
      </w:r>
    </w:p>
    <w:p w14:paraId="6F489E25" w14:textId="4A5D97CD" w:rsidR="008C0708" w:rsidRPr="004523AB" w:rsidRDefault="008C0708" w:rsidP="008A550C">
      <w:pPr>
        <w:pStyle w:val="TableNListnumbered"/>
        <w:numPr>
          <w:ilvl w:val="0"/>
          <w:numId w:val="8"/>
        </w:numPr>
      </w:pPr>
      <w:r w:rsidRPr="004523AB">
        <w:t>In your understanding, to what extent did practices within your PHN face challenges in effectively using the grant funding? Note: Acknowledging that practices’ experiences may vary, please select the option that most accurately represents the most common experience amongst practices within your PHN.</w:t>
      </w:r>
    </w:p>
    <w:p w14:paraId="4FE7D7DE" w14:textId="42122E22" w:rsidR="008C0708" w:rsidRPr="004523AB" w:rsidRDefault="008C0708" w:rsidP="008A550C">
      <w:pPr>
        <w:pStyle w:val="Listnumbered"/>
        <w:numPr>
          <w:ilvl w:val="1"/>
          <w:numId w:val="8"/>
        </w:numPr>
      </w:pPr>
      <w:r w:rsidRPr="004523AB">
        <w:t>[If answer to PI.1 = Moderate challenges or Significant challenges] What do you believe were the main challenges (up to 3) practices faced in effectively using the grant funding?</w:t>
      </w:r>
    </w:p>
    <w:p w14:paraId="0C51452E" w14:textId="25E60C7F" w:rsidR="008C0708" w:rsidRPr="004523AB" w:rsidRDefault="008C0708" w:rsidP="008A550C">
      <w:pPr>
        <w:pStyle w:val="TableNListnumbered"/>
        <w:numPr>
          <w:ilvl w:val="0"/>
          <w:numId w:val="8"/>
        </w:numPr>
      </w:pPr>
      <w:r w:rsidRPr="004523AB">
        <w:t>What solutions or enhanced support mechanisms do you understand could address these challenges for similar programs in the future?</w:t>
      </w:r>
    </w:p>
    <w:p w14:paraId="24D7ADE9" w14:textId="6CF7AD5D" w:rsidR="008C0708" w:rsidRPr="004523AB" w:rsidRDefault="008C0708" w:rsidP="008A550C">
      <w:pPr>
        <w:pStyle w:val="TableNListnumbered"/>
        <w:numPr>
          <w:ilvl w:val="0"/>
          <w:numId w:val="8"/>
        </w:numPr>
      </w:pPr>
      <w:r w:rsidRPr="004523AB">
        <w:t>For those practices that effectively used the grant funding, what do you believe were the main factors or enablers (up to 3) that contributed to this?</w:t>
      </w:r>
    </w:p>
    <w:p w14:paraId="01377FF7" w14:textId="77777777" w:rsidR="008C0708" w:rsidRPr="0099313E" w:rsidRDefault="008C0708" w:rsidP="0099313E">
      <w:pPr>
        <w:rPr>
          <w:rStyle w:val="Strong"/>
        </w:rPr>
      </w:pPr>
      <w:r w:rsidRPr="0099313E">
        <w:rPr>
          <w:rStyle w:val="Strong"/>
        </w:rPr>
        <w:t>Achievement of program objectives</w:t>
      </w:r>
    </w:p>
    <w:p w14:paraId="4934E2AC" w14:textId="77777777" w:rsidR="008C0708" w:rsidRPr="004523AB" w:rsidRDefault="008C0708" w:rsidP="0026689E">
      <w:r w:rsidRPr="004523AB">
        <w:t>Digital health capabilities</w:t>
      </w:r>
    </w:p>
    <w:p w14:paraId="0CE8C651" w14:textId="7A57C757" w:rsidR="008C0708" w:rsidRPr="004523AB" w:rsidRDefault="008C0708" w:rsidP="008A550C">
      <w:pPr>
        <w:pStyle w:val="TableNListnumbered"/>
        <w:numPr>
          <w:ilvl w:val="0"/>
          <w:numId w:val="8"/>
        </w:numPr>
      </w:pPr>
      <w:r w:rsidRPr="004523AB">
        <w:t>To what extent do you believe the Program contributes to enhancing digital health capabilities amongst practices that invested in this stream?</w:t>
      </w:r>
    </w:p>
    <w:p w14:paraId="590CCA98" w14:textId="0227FCA1" w:rsidR="008C0708" w:rsidRPr="004523AB" w:rsidRDefault="008C0708" w:rsidP="008A550C">
      <w:pPr>
        <w:pStyle w:val="TableNListnumbered"/>
        <w:numPr>
          <w:ilvl w:val="0"/>
          <w:numId w:val="8"/>
        </w:numPr>
      </w:pPr>
      <w:r w:rsidRPr="004523AB">
        <w:t>Please provide any supporting comments here:</w:t>
      </w:r>
    </w:p>
    <w:p w14:paraId="5AC519C2" w14:textId="77777777" w:rsidR="008C0708" w:rsidRPr="0099313E" w:rsidRDefault="008C0708" w:rsidP="0099313E">
      <w:pPr>
        <w:rPr>
          <w:rStyle w:val="Strong"/>
        </w:rPr>
      </w:pPr>
      <w:r w:rsidRPr="0099313E">
        <w:rPr>
          <w:rStyle w:val="Strong"/>
        </w:rPr>
        <w:t xml:space="preserve">Upgrading infection prevention and control arrangements </w:t>
      </w:r>
    </w:p>
    <w:p w14:paraId="567A20EF" w14:textId="16967FB7" w:rsidR="008C0708" w:rsidRPr="004523AB" w:rsidRDefault="008C0708" w:rsidP="008A550C">
      <w:pPr>
        <w:pStyle w:val="TableNListnumbered"/>
        <w:numPr>
          <w:ilvl w:val="0"/>
          <w:numId w:val="8"/>
        </w:numPr>
      </w:pPr>
      <w:r w:rsidRPr="004523AB">
        <w:lastRenderedPageBreak/>
        <w:t>To what extent do you believe the Program contributes to improving infection prevention and control arrangements amongst practices that invested in this stream?</w:t>
      </w:r>
    </w:p>
    <w:p w14:paraId="264E5B86" w14:textId="708F7B79" w:rsidR="008C0708" w:rsidRPr="004523AB" w:rsidRDefault="008C0708" w:rsidP="008A550C">
      <w:pPr>
        <w:pStyle w:val="TableNListnumbered"/>
        <w:numPr>
          <w:ilvl w:val="0"/>
          <w:numId w:val="8"/>
        </w:numPr>
      </w:pPr>
      <w:r w:rsidRPr="004523AB">
        <w:t>Please provide any supporting comments here:</w:t>
      </w:r>
    </w:p>
    <w:p w14:paraId="2719F055" w14:textId="77777777" w:rsidR="008C0708" w:rsidRPr="004523AB" w:rsidRDefault="008C0708" w:rsidP="0026689E">
      <w:pPr>
        <w:rPr>
          <w:rFonts w:asciiTheme="minorHAnsi" w:hAnsiTheme="minorHAnsi" w:cstheme="minorHAnsi"/>
        </w:rPr>
      </w:pPr>
      <w:r w:rsidRPr="004523AB">
        <w:rPr>
          <w:rFonts w:asciiTheme="minorHAnsi" w:hAnsiTheme="minorHAnsi" w:cstheme="minorHAnsi"/>
        </w:rPr>
        <w:t xml:space="preserve">Maintaining or achieving accreditation </w:t>
      </w:r>
    </w:p>
    <w:p w14:paraId="2925BFC0" w14:textId="26F4895E" w:rsidR="008C0708" w:rsidRPr="004523AB" w:rsidRDefault="008C0708" w:rsidP="008A550C">
      <w:pPr>
        <w:pStyle w:val="TableNListnumbered"/>
        <w:numPr>
          <w:ilvl w:val="0"/>
          <w:numId w:val="8"/>
        </w:numPr>
      </w:pPr>
      <w:r w:rsidRPr="004523AB">
        <w:t>To what extent do you believe the Program contributed to practices that invested in this stream prepare for accreditation and/or become accredited?</w:t>
      </w:r>
    </w:p>
    <w:p w14:paraId="2839FE8B" w14:textId="54BC16A3" w:rsidR="008C0708" w:rsidRPr="004523AB" w:rsidRDefault="008C0708" w:rsidP="008A550C">
      <w:pPr>
        <w:pStyle w:val="TableNListnumbered"/>
        <w:numPr>
          <w:ilvl w:val="0"/>
          <w:numId w:val="8"/>
        </w:numPr>
      </w:pPr>
      <w:r w:rsidRPr="004523AB">
        <w:t>Please provide any supporting comments here:</w:t>
      </w:r>
    </w:p>
    <w:p w14:paraId="5E18BA56" w14:textId="77777777" w:rsidR="008C0708" w:rsidRPr="0099313E" w:rsidRDefault="008C0708" w:rsidP="0099313E">
      <w:pPr>
        <w:rPr>
          <w:rStyle w:val="Strong"/>
        </w:rPr>
      </w:pPr>
      <w:r w:rsidRPr="0099313E">
        <w:rPr>
          <w:rStyle w:val="Strong"/>
        </w:rPr>
        <w:t>Overall</w:t>
      </w:r>
    </w:p>
    <w:p w14:paraId="75B15599" w14:textId="11077619" w:rsidR="008C0708" w:rsidRPr="004523AB" w:rsidRDefault="008C0708" w:rsidP="008A550C">
      <w:pPr>
        <w:pStyle w:val="TableNListnumbered"/>
        <w:numPr>
          <w:ilvl w:val="0"/>
          <w:numId w:val="8"/>
        </w:numPr>
      </w:pPr>
      <w:r w:rsidRPr="004523AB">
        <w:t>Overall, how effective were the grants in achieving the Program objectives? Note: The Program aimed to increase patient access and ensure the delivery of safe, accessible, and high-quality primary care. It targeted three key areas: digital health improvements, infection prevention and control measures, and support for maintaining or achieving accreditation.</w:t>
      </w:r>
    </w:p>
    <w:p w14:paraId="2F2DBF0D" w14:textId="49AA4C27" w:rsidR="008C0708" w:rsidRPr="004523AB" w:rsidRDefault="008C0708" w:rsidP="008A550C">
      <w:pPr>
        <w:pStyle w:val="TableNListnumbered"/>
        <w:numPr>
          <w:ilvl w:val="0"/>
          <w:numId w:val="8"/>
        </w:numPr>
      </w:pPr>
      <w:r w:rsidRPr="004523AB">
        <w:t>Please provide any supporting comments here:</w:t>
      </w:r>
    </w:p>
    <w:p w14:paraId="090721EE" w14:textId="5EE669E9" w:rsidR="008C0708" w:rsidRPr="004523AB" w:rsidRDefault="008C0708" w:rsidP="008A550C">
      <w:pPr>
        <w:pStyle w:val="TableNListnumbered"/>
        <w:numPr>
          <w:ilvl w:val="0"/>
          <w:numId w:val="8"/>
        </w:numPr>
      </w:pPr>
      <w:r w:rsidRPr="004523AB">
        <w:t xml:space="preserve">From your understanding, what were the main reasons that practices either did not apply for grant funding or returned it unused? Select the top 3 that apply. (administrative challenges, mismatch with organisational needs, resource constraints, financial sustainability concerns, additional cost impost, lack of suitable projects, technical or capacity limitations, competing priorities/programs, practice business factors, external factors, other). </w:t>
      </w:r>
    </w:p>
    <w:p w14:paraId="71AD5085" w14:textId="77777777" w:rsidR="008C0708" w:rsidRPr="0099313E" w:rsidRDefault="008C0708" w:rsidP="0099313E">
      <w:pPr>
        <w:rPr>
          <w:rStyle w:val="Strong"/>
        </w:rPr>
      </w:pPr>
      <w:r w:rsidRPr="0099313E">
        <w:rPr>
          <w:rStyle w:val="Strong"/>
        </w:rPr>
        <w:t xml:space="preserve">Unintended outcomes and impacts </w:t>
      </w:r>
    </w:p>
    <w:p w14:paraId="20F6ECD6" w14:textId="535E9B81" w:rsidR="008C0708" w:rsidRPr="004523AB" w:rsidRDefault="008C0708" w:rsidP="008A550C">
      <w:pPr>
        <w:pStyle w:val="TableNListnumbered"/>
        <w:numPr>
          <w:ilvl w:val="0"/>
          <w:numId w:val="8"/>
        </w:numPr>
      </w:pPr>
      <w:r w:rsidRPr="004523AB">
        <w:t>Were there any unintended outcomes or impacts from the Program? Note: Unintended outcomes can be positive, such as unexpected benefits or efficiencies gained, or negative, such as challenges or obstacles not initially anticipated.</w:t>
      </w:r>
    </w:p>
    <w:p w14:paraId="3BE8A496" w14:textId="3BEB594B" w:rsidR="008C0708" w:rsidRPr="004523AB" w:rsidRDefault="008C0708" w:rsidP="008A550C">
      <w:pPr>
        <w:pStyle w:val="Listnumbered"/>
        <w:numPr>
          <w:ilvl w:val="1"/>
          <w:numId w:val="8"/>
        </w:numPr>
      </w:pPr>
      <w:r w:rsidRPr="004523AB">
        <w:t>[If Yes to UO.1] List the top (up to 3) main unintended outcomes or impacts:</w:t>
      </w:r>
    </w:p>
    <w:p w14:paraId="66FED5F9" w14:textId="77777777" w:rsidR="008C0708" w:rsidRPr="0099313E" w:rsidRDefault="008C0708" w:rsidP="0099313E">
      <w:pPr>
        <w:rPr>
          <w:rStyle w:val="Strong"/>
        </w:rPr>
      </w:pPr>
      <w:r w:rsidRPr="0099313E">
        <w:rPr>
          <w:rStyle w:val="Strong"/>
        </w:rPr>
        <w:t>Future focus areas</w:t>
      </w:r>
    </w:p>
    <w:p w14:paraId="5963963C" w14:textId="09C89C32" w:rsidR="008C0708" w:rsidRPr="004523AB" w:rsidRDefault="008C0708" w:rsidP="008A550C">
      <w:pPr>
        <w:pStyle w:val="TableNListnumbered"/>
        <w:numPr>
          <w:ilvl w:val="0"/>
          <w:numId w:val="8"/>
        </w:numPr>
      </w:pPr>
      <w:r w:rsidRPr="004523AB">
        <w:t>What alternative strategies or approaches, if any, would you recommend that could more effectively fulfill the stated objectives of the GP Program? That is, to increase patient access and ensure the delivery of safe, accessible, and high-quality primary care.</w:t>
      </w:r>
    </w:p>
    <w:p w14:paraId="5C876166" w14:textId="5C5D77C9" w:rsidR="008C0708" w:rsidRPr="004523AB" w:rsidRDefault="008C0708" w:rsidP="008A550C">
      <w:pPr>
        <w:pStyle w:val="TableNListnumbered"/>
        <w:numPr>
          <w:ilvl w:val="0"/>
          <w:numId w:val="8"/>
        </w:numPr>
      </w:pPr>
      <w:r w:rsidRPr="004523AB">
        <w:t>For future GP grant programs, what specific areas should be targeted to improve the capability or capacity of practices?</w:t>
      </w:r>
    </w:p>
    <w:p w14:paraId="50B06B95" w14:textId="77777777" w:rsidR="008C0708" w:rsidRPr="0099313E" w:rsidRDefault="008C0708" w:rsidP="0099313E">
      <w:pPr>
        <w:rPr>
          <w:rStyle w:val="Strong"/>
        </w:rPr>
      </w:pPr>
      <w:r w:rsidRPr="0099313E">
        <w:rPr>
          <w:rStyle w:val="Strong"/>
        </w:rPr>
        <w:t xml:space="preserve">General feedback </w:t>
      </w:r>
    </w:p>
    <w:p w14:paraId="47CDA25D" w14:textId="74CADB2E" w:rsidR="00EA1E82" w:rsidRPr="004523AB" w:rsidRDefault="008C0708" w:rsidP="008A550C">
      <w:pPr>
        <w:pStyle w:val="TableNListnumbered"/>
        <w:numPr>
          <w:ilvl w:val="0"/>
          <w:numId w:val="8"/>
        </w:numPr>
      </w:pPr>
      <w:r w:rsidRPr="004523AB">
        <w:t>Please provide any additional comments about the current GP Program or suggestions for future programs.</w:t>
      </w:r>
    </w:p>
    <w:p w14:paraId="65D9CD69" w14:textId="3ADC94BC" w:rsidR="00346A7C" w:rsidRPr="004523AB" w:rsidRDefault="00346A7C" w:rsidP="00023419">
      <w:pPr>
        <w:pStyle w:val="xAppendixLevel2"/>
      </w:pPr>
      <w:bookmarkStart w:id="79" w:name="_Ref184920174"/>
      <w:r w:rsidRPr="004523AB">
        <w:t>PHN Interview Guide</w:t>
      </w:r>
      <w:bookmarkEnd w:id="79"/>
    </w:p>
    <w:p w14:paraId="29E99D71" w14:textId="77777777" w:rsidR="00170692" w:rsidRPr="0099313E" w:rsidRDefault="00170692" w:rsidP="0099313E">
      <w:pPr>
        <w:rPr>
          <w:rStyle w:val="Strong"/>
        </w:rPr>
      </w:pPr>
      <w:r w:rsidRPr="0099313E">
        <w:rPr>
          <w:rStyle w:val="Strong"/>
        </w:rPr>
        <w:t xml:space="preserve">Grant program delivery: </w:t>
      </w:r>
    </w:p>
    <w:p w14:paraId="0249BF9D" w14:textId="77777777" w:rsidR="00170692" w:rsidRPr="004523AB" w:rsidRDefault="00170692" w:rsidP="00170692">
      <w:r w:rsidRPr="004523AB">
        <w:t xml:space="preserve">Does your experience of delivering the Program align with the process map of the grants process? If not, where does it differ? </w:t>
      </w:r>
    </w:p>
    <w:p w14:paraId="6248890E" w14:textId="5C27DBC2" w:rsidR="00170692" w:rsidRPr="004523AB" w:rsidRDefault="00170692" w:rsidP="008A550C">
      <w:pPr>
        <w:pStyle w:val="Listnumbered"/>
        <w:numPr>
          <w:ilvl w:val="0"/>
          <w:numId w:val="11"/>
        </w:numPr>
      </w:pPr>
      <w:r w:rsidRPr="004523AB">
        <w:lastRenderedPageBreak/>
        <w:t xml:space="preserve">How did you go about administering the Program? Do you have any lessons learnt from that approach, what advice would you give to other PHNs administering this program or similar future programs? </w:t>
      </w:r>
    </w:p>
    <w:p w14:paraId="13BEBF93" w14:textId="77777777" w:rsidR="00170692" w:rsidRPr="0099313E" w:rsidRDefault="00170692" w:rsidP="0099313E">
      <w:pPr>
        <w:rPr>
          <w:rStyle w:val="Strong"/>
        </w:rPr>
      </w:pPr>
      <w:r w:rsidRPr="0099313E">
        <w:rPr>
          <w:rStyle w:val="Strong"/>
        </w:rPr>
        <w:t xml:space="preserve">Grant program design: </w:t>
      </w:r>
    </w:p>
    <w:p w14:paraId="17C81A96" w14:textId="10E139F3" w:rsidR="00170692" w:rsidRPr="004523AB" w:rsidRDefault="00170692" w:rsidP="008A550C">
      <w:pPr>
        <w:pStyle w:val="TableNListnumbered"/>
        <w:numPr>
          <w:ilvl w:val="0"/>
          <w:numId w:val="11"/>
        </w:numPr>
      </w:pPr>
      <w:r w:rsidRPr="004523AB">
        <w:t xml:space="preserve">From your perspective, were the Program investment streams the right focus for practices areas given the amount of money available? </w:t>
      </w:r>
    </w:p>
    <w:p w14:paraId="72B09819" w14:textId="12B4FE4B" w:rsidR="00170692" w:rsidRPr="004523AB" w:rsidRDefault="00170692" w:rsidP="008A550C">
      <w:pPr>
        <w:pStyle w:val="TableNListnumbered"/>
        <w:numPr>
          <w:ilvl w:val="0"/>
          <w:numId w:val="11"/>
        </w:numPr>
      </w:pPr>
      <w:r w:rsidRPr="004523AB">
        <w:t>Was providing one-off grants, administered by PHNs the most appropriate way to achieve the Program objectives?</w:t>
      </w:r>
    </w:p>
    <w:p w14:paraId="7BC7EC57" w14:textId="77777777" w:rsidR="00170692" w:rsidRPr="0099313E" w:rsidRDefault="00170692" w:rsidP="0099313E">
      <w:pPr>
        <w:rPr>
          <w:rStyle w:val="Strong"/>
        </w:rPr>
      </w:pPr>
      <w:r w:rsidRPr="0099313E">
        <w:rPr>
          <w:rStyle w:val="Strong"/>
        </w:rPr>
        <w:t>Lessons learnt for future delivery:</w:t>
      </w:r>
    </w:p>
    <w:p w14:paraId="3FC2D026" w14:textId="0C5454FB" w:rsidR="00170692" w:rsidRPr="004523AB" w:rsidRDefault="00170692" w:rsidP="008A550C">
      <w:pPr>
        <w:pStyle w:val="TableNListnumbered"/>
        <w:numPr>
          <w:ilvl w:val="0"/>
          <w:numId w:val="11"/>
        </w:numPr>
      </w:pPr>
      <w:r w:rsidRPr="004523AB">
        <w:t xml:space="preserve">What has been your experience liaising with the Department to coordinate the delivery of the Program? What worked well, what could be done differently? </w:t>
      </w:r>
    </w:p>
    <w:p w14:paraId="00335610" w14:textId="3FCCEF87" w:rsidR="00346A7C" w:rsidRPr="004523AB" w:rsidRDefault="00170692" w:rsidP="008A550C">
      <w:pPr>
        <w:pStyle w:val="TableNListnumbered"/>
        <w:numPr>
          <w:ilvl w:val="0"/>
          <w:numId w:val="11"/>
        </w:numPr>
      </w:pPr>
      <w:r w:rsidRPr="004523AB">
        <w:t>Do you have any other comments?</w:t>
      </w:r>
    </w:p>
    <w:p w14:paraId="26E57B37" w14:textId="2F721103" w:rsidR="005263BF" w:rsidRPr="004523AB" w:rsidRDefault="005263BF" w:rsidP="00023419">
      <w:pPr>
        <w:pStyle w:val="xAppendixLevel2"/>
      </w:pPr>
      <w:r w:rsidRPr="004523AB">
        <w:t xml:space="preserve">General Practice Survey </w:t>
      </w:r>
    </w:p>
    <w:p w14:paraId="3FBE70D0" w14:textId="77777777" w:rsidR="002E7890" w:rsidRPr="004523AB" w:rsidRDefault="002E7890" w:rsidP="008A550C">
      <w:pPr>
        <w:pStyle w:val="Listnumbered"/>
        <w:numPr>
          <w:ilvl w:val="0"/>
          <w:numId w:val="12"/>
        </w:numPr>
      </w:pPr>
      <w:r w:rsidRPr="004523AB">
        <w:t>Name, agreement ID, postcode of practice location.</w:t>
      </w:r>
    </w:p>
    <w:p w14:paraId="07FABED9" w14:textId="77777777" w:rsidR="002E7890" w:rsidRPr="004523AB" w:rsidRDefault="002E7890" w:rsidP="008A550C">
      <w:pPr>
        <w:pStyle w:val="TableNListnumbered"/>
        <w:numPr>
          <w:ilvl w:val="0"/>
          <w:numId w:val="12"/>
        </w:numPr>
      </w:pPr>
      <w:r w:rsidRPr="004523AB">
        <w:t>Please select when investment stream(s) your practice spent funding on.</w:t>
      </w:r>
    </w:p>
    <w:p w14:paraId="397831CC" w14:textId="77777777" w:rsidR="002E7890" w:rsidRPr="004523AB" w:rsidRDefault="002E7890" w:rsidP="008A550C">
      <w:pPr>
        <w:pStyle w:val="TableNListnumbered"/>
        <w:numPr>
          <w:ilvl w:val="0"/>
          <w:numId w:val="12"/>
        </w:numPr>
      </w:pPr>
      <w:r w:rsidRPr="004523AB">
        <w:t xml:space="preserve">Has your practice spent all grant funding? </w:t>
      </w:r>
    </w:p>
    <w:p w14:paraId="531B23F8" w14:textId="77777777" w:rsidR="002E7890" w:rsidRPr="0099313E" w:rsidRDefault="002E7890" w:rsidP="0099313E">
      <w:pPr>
        <w:rPr>
          <w:rStyle w:val="Strong"/>
        </w:rPr>
      </w:pPr>
      <w:r w:rsidRPr="0099313E">
        <w:rPr>
          <w:rStyle w:val="Strong"/>
        </w:rPr>
        <w:t xml:space="preserve">Stream 1 – Enhance digital health and </w:t>
      </w:r>
    </w:p>
    <w:p w14:paraId="533FB829" w14:textId="77777777" w:rsidR="002E7890" w:rsidRPr="004523AB" w:rsidRDefault="002E7890" w:rsidP="008A550C">
      <w:pPr>
        <w:pStyle w:val="TableNListnumbered"/>
        <w:numPr>
          <w:ilvl w:val="0"/>
          <w:numId w:val="12"/>
        </w:numPr>
      </w:pPr>
      <w:r w:rsidRPr="004523AB">
        <w:t xml:space="preserve">What did you spent grant funds on (select all that apply)? </w:t>
      </w:r>
    </w:p>
    <w:p w14:paraId="4E88D948" w14:textId="77777777" w:rsidR="002E7890" w:rsidRPr="004523AB" w:rsidRDefault="002E7890" w:rsidP="008A550C">
      <w:pPr>
        <w:pStyle w:val="TableNListnumbered"/>
        <w:numPr>
          <w:ilvl w:val="0"/>
          <w:numId w:val="12"/>
        </w:numPr>
      </w:pPr>
      <w:r w:rsidRPr="004523AB">
        <w:t>To what extent has the grant assisted improvements in digital health capabilities for your practice?</w:t>
      </w:r>
    </w:p>
    <w:p w14:paraId="73047792" w14:textId="77777777" w:rsidR="002E7890" w:rsidRPr="004523AB" w:rsidRDefault="002E7890" w:rsidP="008A550C">
      <w:pPr>
        <w:pStyle w:val="TableNListnumbered"/>
        <w:numPr>
          <w:ilvl w:val="0"/>
          <w:numId w:val="12"/>
        </w:numPr>
      </w:pPr>
      <w:r w:rsidRPr="004523AB">
        <w:t>What is the main benefit your practice gained from funded activities to improve its digital health capabilities? Please share your thoughts in a brief response.</w:t>
      </w:r>
    </w:p>
    <w:p w14:paraId="0D6C02C5" w14:textId="77777777" w:rsidR="002E7890" w:rsidRPr="0099313E" w:rsidRDefault="002E7890" w:rsidP="0099313E">
      <w:pPr>
        <w:rPr>
          <w:rStyle w:val="Strong"/>
        </w:rPr>
      </w:pPr>
      <w:r w:rsidRPr="0099313E">
        <w:rPr>
          <w:rStyle w:val="Strong"/>
        </w:rPr>
        <w:t xml:space="preserve">Stream 2 – Infection prevention and control </w:t>
      </w:r>
    </w:p>
    <w:p w14:paraId="03B2F43F" w14:textId="77777777" w:rsidR="002E7890" w:rsidRPr="004523AB" w:rsidRDefault="002E7890" w:rsidP="008A550C">
      <w:pPr>
        <w:pStyle w:val="TableNListnumbered"/>
        <w:numPr>
          <w:ilvl w:val="0"/>
          <w:numId w:val="12"/>
        </w:numPr>
      </w:pPr>
      <w:r w:rsidRPr="004523AB">
        <w:t>What did you spend grant funds on relating to infection prevention and control (select all that apply)?</w:t>
      </w:r>
    </w:p>
    <w:p w14:paraId="0350BC9A" w14:textId="77777777" w:rsidR="002E7890" w:rsidRPr="004523AB" w:rsidRDefault="002E7890" w:rsidP="008A550C">
      <w:pPr>
        <w:pStyle w:val="TableNListnumbered"/>
        <w:numPr>
          <w:ilvl w:val="0"/>
          <w:numId w:val="12"/>
        </w:numPr>
      </w:pPr>
      <w:r w:rsidRPr="004523AB">
        <w:t>Has the grant enhanced your practice’s capacity to handle face-to-face appointments for patients with respiratory infection symptoms?</w:t>
      </w:r>
    </w:p>
    <w:p w14:paraId="4B601DC3" w14:textId="77777777" w:rsidR="002E7890" w:rsidRPr="004523AB" w:rsidRDefault="002E7890" w:rsidP="008A550C">
      <w:pPr>
        <w:pStyle w:val="TableNListnumbered"/>
        <w:numPr>
          <w:ilvl w:val="0"/>
          <w:numId w:val="12"/>
        </w:numPr>
      </w:pPr>
      <w:r w:rsidRPr="004523AB">
        <w:t>What prevented your practice from increasing its capacity to handle face-to-face appointments for patients with respiratory infection symptoms?</w:t>
      </w:r>
    </w:p>
    <w:p w14:paraId="41629610" w14:textId="77777777" w:rsidR="002E7890" w:rsidRPr="004523AB" w:rsidRDefault="002E7890" w:rsidP="008A550C">
      <w:pPr>
        <w:pStyle w:val="TableNListnumbered"/>
        <w:numPr>
          <w:ilvl w:val="0"/>
          <w:numId w:val="12"/>
        </w:numPr>
      </w:pPr>
      <w:r w:rsidRPr="004523AB">
        <w:t xml:space="preserve">What is the main benefit your practice gained from the funded initiatives for upgrading infection prevention and control? Please share your thoughts in a brief response. </w:t>
      </w:r>
    </w:p>
    <w:p w14:paraId="7E23B495" w14:textId="77777777" w:rsidR="002E7890" w:rsidRPr="0099313E" w:rsidRDefault="002E7890" w:rsidP="0099313E">
      <w:pPr>
        <w:rPr>
          <w:rStyle w:val="Strong"/>
        </w:rPr>
      </w:pPr>
      <w:r w:rsidRPr="0099313E">
        <w:rPr>
          <w:rStyle w:val="Strong"/>
        </w:rPr>
        <w:t xml:space="preserve">Stream 3 – Maintain or achieve accreditation against RACGP Standards for General Practices </w:t>
      </w:r>
    </w:p>
    <w:p w14:paraId="3AD3B0FD" w14:textId="77777777" w:rsidR="002E7890" w:rsidRPr="004523AB" w:rsidRDefault="002E7890" w:rsidP="008A550C">
      <w:pPr>
        <w:pStyle w:val="TableNListnumbered"/>
        <w:numPr>
          <w:ilvl w:val="0"/>
          <w:numId w:val="12"/>
        </w:numPr>
      </w:pPr>
      <w:r w:rsidRPr="004523AB">
        <w:t xml:space="preserve">What was your aim in using this grant? </w:t>
      </w:r>
    </w:p>
    <w:p w14:paraId="6639B34C" w14:textId="77777777" w:rsidR="002E7890" w:rsidRPr="004523AB" w:rsidRDefault="002E7890" w:rsidP="008A550C">
      <w:pPr>
        <w:pStyle w:val="TableNListnumbered"/>
        <w:numPr>
          <w:ilvl w:val="0"/>
          <w:numId w:val="12"/>
        </w:numPr>
      </w:pPr>
      <w:r w:rsidRPr="004523AB">
        <w:t>What did you spend grant funds on to maintain or achieve accreditation (select all that apply)?</w:t>
      </w:r>
    </w:p>
    <w:p w14:paraId="4EA05F32" w14:textId="77777777" w:rsidR="002E7890" w:rsidRPr="004523AB" w:rsidRDefault="002E7890" w:rsidP="008A550C">
      <w:pPr>
        <w:pStyle w:val="TableNListnumbered"/>
        <w:numPr>
          <w:ilvl w:val="0"/>
          <w:numId w:val="12"/>
        </w:numPr>
      </w:pPr>
      <w:r w:rsidRPr="004523AB">
        <w:t>What is the current accreditation status of your practice (after completing grant funding)?</w:t>
      </w:r>
    </w:p>
    <w:p w14:paraId="7970F347" w14:textId="77777777" w:rsidR="002E7890" w:rsidRPr="004523AB" w:rsidRDefault="002E7890" w:rsidP="008A550C">
      <w:pPr>
        <w:pStyle w:val="TableNListnumbered"/>
        <w:numPr>
          <w:ilvl w:val="0"/>
          <w:numId w:val="12"/>
        </w:numPr>
      </w:pPr>
      <w:r w:rsidRPr="004523AB">
        <w:t xml:space="preserve">What has prevented your practice from achieving accreditation? </w:t>
      </w:r>
    </w:p>
    <w:p w14:paraId="7D31DD21" w14:textId="77777777" w:rsidR="002E7890" w:rsidRPr="004523AB" w:rsidRDefault="002E7890" w:rsidP="008A550C">
      <w:pPr>
        <w:pStyle w:val="TableNListnumbered"/>
        <w:numPr>
          <w:ilvl w:val="0"/>
          <w:numId w:val="12"/>
        </w:numPr>
      </w:pPr>
      <w:r w:rsidRPr="004523AB">
        <w:t>What is the main benefit your practice gained from the grant-supported activities for accreditation? Please share your thoughts in a brief response.</w:t>
      </w:r>
    </w:p>
    <w:p w14:paraId="7CFD4261" w14:textId="77777777" w:rsidR="002E7890" w:rsidRPr="0099313E" w:rsidRDefault="002E7890" w:rsidP="0099313E">
      <w:pPr>
        <w:rPr>
          <w:rStyle w:val="Strong"/>
        </w:rPr>
      </w:pPr>
      <w:r w:rsidRPr="0099313E">
        <w:rPr>
          <w:rStyle w:val="Strong"/>
        </w:rPr>
        <w:t xml:space="preserve">About the process. </w:t>
      </w:r>
    </w:p>
    <w:p w14:paraId="1AE88C23" w14:textId="77777777" w:rsidR="002E7890" w:rsidRPr="004523AB" w:rsidRDefault="002E7890" w:rsidP="00D35141">
      <w:pPr>
        <w:pStyle w:val="Listnumbered"/>
        <w:tabs>
          <w:tab w:val="clear" w:pos="360"/>
        </w:tabs>
        <w:ind w:left="340" w:hanging="340"/>
      </w:pPr>
      <w:r w:rsidRPr="004523AB">
        <w:lastRenderedPageBreak/>
        <w:t xml:space="preserve">To what extent do you agree with the following statements? </w:t>
      </w:r>
    </w:p>
    <w:p w14:paraId="6654C8CB" w14:textId="77777777" w:rsidR="002E7890" w:rsidRPr="004523AB" w:rsidRDefault="002E7890" w:rsidP="008A550C">
      <w:pPr>
        <w:pStyle w:val="TableNListnumbered"/>
        <w:numPr>
          <w:ilvl w:val="0"/>
          <w:numId w:val="12"/>
        </w:numPr>
      </w:pPr>
      <w:r w:rsidRPr="004523AB">
        <w:t>The Program guidance documentation clearly outlined the eligibility criteria and application requirements.</w:t>
      </w:r>
    </w:p>
    <w:p w14:paraId="5DA808C8" w14:textId="77777777" w:rsidR="002E7890" w:rsidRPr="004523AB" w:rsidRDefault="002E7890" w:rsidP="008A550C">
      <w:pPr>
        <w:pStyle w:val="TableNListnumbered"/>
        <w:numPr>
          <w:ilvl w:val="0"/>
          <w:numId w:val="12"/>
        </w:numPr>
      </w:pPr>
      <w:r w:rsidRPr="004523AB">
        <w:t xml:space="preserve">It was easy to complete the Application and Grant Agreement Form. </w:t>
      </w:r>
    </w:p>
    <w:p w14:paraId="1265D639" w14:textId="77777777" w:rsidR="002E7890" w:rsidRPr="004523AB" w:rsidRDefault="002E7890" w:rsidP="008A550C">
      <w:pPr>
        <w:pStyle w:val="TableNListnumbered"/>
        <w:numPr>
          <w:ilvl w:val="0"/>
          <w:numId w:val="12"/>
        </w:numPr>
      </w:pPr>
      <w:r w:rsidRPr="004523AB">
        <w:t>Our practice did not need assistance from our Primary Health Network (PHN) to complete the grant application.</w:t>
      </w:r>
    </w:p>
    <w:p w14:paraId="67D7FBF5" w14:textId="77777777" w:rsidR="002E7890" w:rsidRPr="004523AB" w:rsidRDefault="002E7890" w:rsidP="008A550C">
      <w:pPr>
        <w:pStyle w:val="TableNListnumbered"/>
        <w:numPr>
          <w:ilvl w:val="0"/>
          <w:numId w:val="12"/>
        </w:numPr>
      </w:pPr>
      <w:r w:rsidRPr="004523AB">
        <w:t>It was easy for our practice to receive the grant funds.</w:t>
      </w:r>
    </w:p>
    <w:p w14:paraId="63E9C922" w14:textId="77777777" w:rsidR="002E7890" w:rsidRPr="004523AB" w:rsidRDefault="002E7890" w:rsidP="008A550C">
      <w:pPr>
        <w:pStyle w:val="TableNListnumbered"/>
        <w:numPr>
          <w:ilvl w:val="0"/>
          <w:numId w:val="12"/>
        </w:numPr>
      </w:pPr>
      <w:r w:rsidRPr="004523AB">
        <w:t xml:space="preserve">If you have any other comments about the grant funding and the Program, please provide them here. </w:t>
      </w:r>
    </w:p>
    <w:p w14:paraId="44F70359" w14:textId="6A50BEDB" w:rsidR="00D35141" w:rsidRPr="004523AB" w:rsidRDefault="00D35141" w:rsidP="00023419">
      <w:pPr>
        <w:pStyle w:val="xAppendixLevel2"/>
      </w:pPr>
      <w:r w:rsidRPr="004523AB">
        <w:t>ACCHO survey</w:t>
      </w:r>
    </w:p>
    <w:p w14:paraId="63AD1864" w14:textId="38B41DB6" w:rsidR="00F10705" w:rsidRPr="004523AB" w:rsidRDefault="00F10705" w:rsidP="008A550C">
      <w:pPr>
        <w:pStyle w:val="Listnumbered"/>
        <w:numPr>
          <w:ilvl w:val="0"/>
          <w:numId w:val="13"/>
        </w:numPr>
      </w:pPr>
      <w:r w:rsidRPr="004523AB">
        <w:t xml:space="preserve">Name, jurisdiction, funding amount, number of clinics receiving the funds. </w:t>
      </w:r>
    </w:p>
    <w:p w14:paraId="028D91FF" w14:textId="4F380E2C" w:rsidR="00F10705" w:rsidRPr="004523AB" w:rsidRDefault="00F10705" w:rsidP="008A550C">
      <w:pPr>
        <w:pStyle w:val="TableNListnumbered"/>
        <w:numPr>
          <w:ilvl w:val="0"/>
          <w:numId w:val="13"/>
        </w:numPr>
      </w:pPr>
      <w:r w:rsidRPr="004523AB">
        <w:t xml:space="preserve">Which investment stream did your ACCHO spend grant funding on? (select all options which apply). </w:t>
      </w:r>
    </w:p>
    <w:p w14:paraId="0C2689B4" w14:textId="77777777" w:rsidR="00F10705" w:rsidRPr="0099313E" w:rsidRDefault="00F10705" w:rsidP="0099313E">
      <w:pPr>
        <w:rPr>
          <w:rStyle w:val="Strong"/>
        </w:rPr>
      </w:pPr>
      <w:r w:rsidRPr="0099313E">
        <w:rPr>
          <w:rStyle w:val="Strong"/>
        </w:rPr>
        <w:t xml:space="preserve">Stream 1 – Enhance digital health and </w:t>
      </w:r>
    </w:p>
    <w:p w14:paraId="3D7D7C5C" w14:textId="67B73544" w:rsidR="00F10705" w:rsidRPr="004523AB" w:rsidRDefault="00F10705" w:rsidP="008A550C">
      <w:pPr>
        <w:pStyle w:val="TableNListnumbered"/>
        <w:numPr>
          <w:ilvl w:val="0"/>
          <w:numId w:val="13"/>
        </w:numPr>
      </w:pPr>
      <w:r w:rsidRPr="004523AB">
        <w:t xml:space="preserve">What did your ACCHO spent all grant funding? </w:t>
      </w:r>
    </w:p>
    <w:p w14:paraId="1218A836" w14:textId="63AE147B" w:rsidR="00F10705" w:rsidRPr="004523AB" w:rsidRDefault="00F10705" w:rsidP="008A550C">
      <w:pPr>
        <w:pStyle w:val="TableNListnumbered"/>
        <w:numPr>
          <w:ilvl w:val="0"/>
          <w:numId w:val="13"/>
        </w:numPr>
      </w:pPr>
      <w:r w:rsidRPr="004523AB">
        <w:t>If other was selected, please describe here.</w:t>
      </w:r>
    </w:p>
    <w:p w14:paraId="56F9DF28" w14:textId="63795CD3" w:rsidR="00F10705" w:rsidRPr="004523AB" w:rsidRDefault="00F10705" w:rsidP="008A550C">
      <w:pPr>
        <w:pStyle w:val="TableNListnumbered"/>
        <w:numPr>
          <w:ilvl w:val="0"/>
          <w:numId w:val="13"/>
        </w:numPr>
      </w:pPr>
      <w:r w:rsidRPr="004523AB">
        <w:t xml:space="preserve">How has the grant improved digital health capability for your ACCHO? </w:t>
      </w:r>
    </w:p>
    <w:p w14:paraId="4AF2DC92" w14:textId="77777777" w:rsidR="00F10705" w:rsidRPr="0099313E" w:rsidRDefault="00F10705" w:rsidP="0099313E">
      <w:pPr>
        <w:rPr>
          <w:rStyle w:val="Strong"/>
        </w:rPr>
      </w:pPr>
      <w:r w:rsidRPr="0099313E">
        <w:rPr>
          <w:rStyle w:val="Strong"/>
        </w:rPr>
        <w:t xml:space="preserve">Stream 2 – Infection prevention and control </w:t>
      </w:r>
    </w:p>
    <w:p w14:paraId="62049B1D" w14:textId="7DDBFDFB" w:rsidR="00F10705" w:rsidRPr="004523AB" w:rsidRDefault="00F10705" w:rsidP="008A550C">
      <w:pPr>
        <w:pStyle w:val="TableNListnumbered"/>
        <w:numPr>
          <w:ilvl w:val="0"/>
          <w:numId w:val="13"/>
        </w:numPr>
      </w:pPr>
      <w:r w:rsidRPr="004523AB">
        <w:t>What did you spend grant funds on (select all that apply)?</w:t>
      </w:r>
    </w:p>
    <w:p w14:paraId="65BF8BB6" w14:textId="647BA5DA" w:rsidR="00F10705" w:rsidRPr="004523AB" w:rsidRDefault="00F10705" w:rsidP="008A550C">
      <w:pPr>
        <w:pStyle w:val="TableNListnumbered"/>
        <w:numPr>
          <w:ilvl w:val="0"/>
          <w:numId w:val="13"/>
        </w:numPr>
      </w:pPr>
      <w:r w:rsidRPr="004523AB">
        <w:t>If other was selected, please describe here.</w:t>
      </w:r>
    </w:p>
    <w:p w14:paraId="005FBFB4" w14:textId="12D8535C" w:rsidR="00F10705" w:rsidRPr="004523AB" w:rsidRDefault="00F10705" w:rsidP="008A550C">
      <w:pPr>
        <w:pStyle w:val="TableNListnumbered"/>
        <w:numPr>
          <w:ilvl w:val="0"/>
          <w:numId w:val="13"/>
        </w:numPr>
      </w:pPr>
      <w:r w:rsidRPr="004523AB">
        <w:t xml:space="preserve">How has the grant improved infection prevention and control for your ACCHO? </w:t>
      </w:r>
    </w:p>
    <w:p w14:paraId="744A1628" w14:textId="77777777" w:rsidR="00F10705" w:rsidRPr="0099313E" w:rsidRDefault="00F10705" w:rsidP="0099313E">
      <w:pPr>
        <w:rPr>
          <w:rStyle w:val="Strong"/>
        </w:rPr>
      </w:pPr>
      <w:r w:rsidRPr="0099313E">
        <w:rPr>
          <w:rStyle w:val="Strong"/>
        </w:rPr>
        <w:t xml:space="preserve">Stream 3 – Maintain or achieve accreditation against RACGP Standards for General Practices  </w:t>
      </w:r>
    </w:p>
    <w:p w14:paraId="5940FE75" w14:textId="238EE5B6" w:rsidR="00F10705" w:rsidRPr="004523AB" w:rsidRDefault="00F10705" w:rsidP="008A550C">
      <w:pPr>
        <w:pStyle w:val="TableNListnumbered"/>
        <w:numPr>
          <w:ilvl w:val="0"/>
          <w:numId w:val="13"/>
        </w:numPr>
      </w:pPr>
      <w:r w:rsidRPr="004523AB">
        <w:t xml:space="preserve">What did you spend grant funds on to maintain or achieve accreditation? </w:t>
      </w:r>
    </w:p>
    <w:p w14:paraId="2D6EB562" w14:textId="47B5130A" w:rsidR="00F10705" w:rsidRPr="004523AB" w:rsidRDefault="00F10705" w:rsidP="008A550C">
      <w:pPr>
        <w:pStyle w:val="TableNListnumbered"/>
        <w:numPr>
          <w:ilvl w:val="0"/>
          <w:numId w:val="13"/>
        </w:numPr>
      </w:pPr>
      <w:r w:rsidRPr="004523AB">
        <w:t>If other was selected, please describe here.</w:t>
      </w:r>
    </w:p>
    <w:p w14:paraId="0B313324" w14:textId="71BC68CD" w:rsidR="00F10705" w:rsidRPr="004523AB" w:rsidRDefault="00F10705" w:rsidP="008A550C">
      <w:pPr>
        <w:pStyle w:val="TableNListnumbered"/>
        <w:numPr>
          <w:ilvl w:val="0"/>
          <w:numId w:val="13"/>
        </w:numPr>
      </w:pPr>
      <w:r w:rsidRPr="004523AB">
        <w:t xml:space="preserve">How has the grant improved the accreditation status of your ACCHO? </w:t>
      </w:r>
    </w:p>
    <w:p w14:paraId="7983AAF1" w14:textId="77777777" w:rsidR="00F10705" w:rsidRPr="0099313E" w:rsidRDefault="00F10705" w:rsidP="0099313E">
      <w:pPr>
        <w:rPr>
          <w:rStyle w:val="Strong"/>
        </w:rPr>
      </w:pPr>
      <w:r w:rsidRPr="0099313E">
        <w:rPr>
          <w:rStyle w:val="Strong"/>
        </w:rPr>
        <w:t>Other comments</w:t>
      </w:r>
    </w:p>
    <w:p w14:paraId="1BEAE6B8" w14:textId="4C026AD9" w:rsidR="006E25AA" w:rsidRDefault="00F10705" w:rsidP="008A550C">
      <w:pPr>
        <w:pStyle w:val="TableNListnumbered"/>
        <w:numPr>
          <w:ilvl w:val="0"/>
          <w:numId w:val="13"/>
        </w:numPr>
      </w:pPr>
      <w:r w:rsidRPr="004523AB">
        <w:t>Any other comments you would like to provide in relation to the grant and/or activities undertaken, including success stories or challenges.</w:t>
      </w:r>
    </w:p>
    <w:p w14:paraId="13C9DC7A" w14:textId="77777777" w:rsidR="006E25AA" w:rsidRDefault="006E25AA">
      <w:pPr>
        <w:spacing w:after="165" w:line="259" w:lineRule="auto"/>
        <w:rPr>
          <w:rFonts w:eastAsia="Times New Roman" w:cs="Times New Roman"/>
          <w:szCs w:val="19"/>
          <w:lang w:eastAsia="en-AU"/>
        </w:rPr>
      </w:pPr>
      <w:r>
        <w:br w:type="page"/>
      </w:r>
    </w:p>
    <w:p w14:paraId="3CAF5E03" w14:textId="37C29CA6" w:rsidR="008821F4" w:rsidRPr="004523AB" w:rsidRDefault="00D3136C" w:rsidP="00023419">
      <w:pPr>
        <w:pStyle w:val="xAppendixLevel2"/>
      </w:pPr>
      <w:r w:rsidRPr="004523AB">
        <w:lastRenderedPageBreak/>
        <w:t>Practice Interview Guides</w:t>
      </w:r>
    </w:p>
    <w:p w14:paraId="3504E17F" w14:textId="77777777" w:rsidR="003C2B7B" w:rsidRPr="006E25AA" w:rsidRDefault="003C2B7B" w:rsidP="006E25AA">
      <w:pPr>
        <w:rPr>
          <w:rStyle w:val="Strong"/>
        </w:rPr>
      </w:pPr>
      <w:r w:rsidRPr="006E25AA">
        <w:rPr>
          <w:rStyle w:val="Strong"/>
        </w:rPr>
        <w:t xml:space="preserve">Your involvement </w:t>
      </w:r>
    </w:p>
    <w:p w14:paraId="2227ACE1" w14:textId="77777777" w:rsidR="003C2B7B" w:rsidRPr="004523AB" w:rsidRDefault="003C2B7B" w:rsidP="008A550C">
      <w:pPr>
        <w:pStyle w:val="Listnumbered"/>
        <w:numPr>
          <w:ilvl w:val="0"/>
          <w:numId w:val="14"/>
        </w:numPr>
      </w:pPr>
      <w:r w:rsidRPr="004523AB">
        <w:t xml:space="preserve">What motivated you to apply for the Program and how have you used the grant funding in your practice? </w:t>
      </w:r>
    </w:p>
    <w:p w14:paraId="46C92069" w14:textId="4D5BCECD" w:rsidR="003C2B7B" w:rsidRPr="004523AB" w:rsidRDefault="003C2B7B" w:rsidP="008A550C">
      <w:pPr>
        <w:pStyle w:val="Listnumbered"/>
        <w:numPr>
          <w:ilvl w:val="0"/>
          <w:numId w:val="14"/>
        </w:numPr>
      </w:pPr>
      <w:r w:rsidRPr="004523AB">
        <w:t xml:space="preserve">What have you spent grant funds on and across which of the three investment streams? </w:t>
      </w:r>
    </w:p>
    <w:p w14:paraId="2CED475E" w14:textId="77777777" w:rsidR="003C2B7B" w:rsidRPr="006E25AA" w:rsidRDefault="003C2B7B" w:rsidP="006E25AA">
      <w:pPr>
        <w:rPr>
          <w:rStyle w:val="Strong"/>
        </w:rPr>
      </w:pPr>
      <w:r w:rsidRPr="006E25AA">
        <w:rPr>
          <w:rStyle w:val="Strong"/>
        </w:rPr>
        <w:t xml:space="preserve">Program experience </w:t>
      </w:r>
    </w:p>
    <w:p w14:paraId="25D7B838" w14:textId="58141A07" w:rsidR="003C2B7B" w:rsidRPr="004523AB" w:rsidRDefault="003C2B7B" w:rsidP="008A550C">
      <w:pPr>
        <w:pStyle w:val="TableNListnumbered"/>
        <w:numPr>
          <w:ilvl w:val="0"/>
          <w:numId w:val="14"/>
        </w:numPr>
      </w:pPr>
      <w:r w:rsidRPr="004523AB">
        <w:t>What was your experience in applying for the grant? i.e. was the process easy to follow, accessible and timely? What worked well and what could have been improved?</w:t>
      </w:r>
    </w:p>
    <w:p w14:paraId="5FC2F25E" w14:textId="3782B92B" w:rsidR="003C2B7B" w:rsidRPr="004523AB" w:rsidRDefault="003C2B7B" w:rsidP="008A550C">
      <w:pPr>
        <w:pStyle w:val="TableNListnumbered"/>
        <w:numPr>
          <w:ilvl w:val="0"/>
          <w:numId w:val="14"/>
        </w:numPr>
      </w:pPr>
      <w:r w:rsidRPr="004523AB">
        <w:t xml:space="preserve">What has been your experience (so far) in spending and reporting on the grant funds? i.e. was it clear how and where you can spend funds? Have the reporting activities been easy to complete? What could have been improved? </w:t>
      </w:r>
    </w:p>
    <w:p w14:paraId="54D8D890" w14:textId="6DA3C531" w:rsidR="003C2B7B" w:rsidRPr="004523AB" w:rsidRDefault="003C2B7B" w:rsidP="008A550C">
      <w:pPr>
        <w:pStyle w:val="TableNListnumbered"/>
        <w:numPr>
          <w:ilvl w:val="0"/>
          <w:numId w:val="14"/>
        </w:numPr>
      </w:pPr>
      <w:r w:rsidRPr="004523AB">
        <w:t xml:space="preserve">What has been your experience working with your PHN to participate in the Program? What worked well and what could have been improved? </w:t>
      </w:r>
    </w:p>
    <w:p w14:paraId="1DF8F30B" w14:textId="77777777" w:rsidR="003C2B7B" w:rsidRPr="004523AB" w:rsidRDefault="003C2B7B" w:rsidP="003C2B7B">
      <w:pPr>
        <w:rPr>
          <w:rFonts w:asciiTheme="majorHAnsi" w:hAnsiTheme="majorHAnsi" w:cstheme="majorHAnsi"/>
        </w:rPr>
      </w:pPr>
      <w:r w:rsidRPr="004523AB">
        <w:rPr>
          <w:rFonts w:asciiTheme="majorHAnsi" w:hAnsiTheme="majorHAnsi" w:cstheme="majorHAnsi"/>
        </w:rPr>
        <w:t xml:space="preserve">Early outcomes </w:t>
      </w:r>
    </w:p>
    <w:p w14:paraId="7290A198" w14:textId="2AD5A393" w:rsidR="003C2B7B" w:rsidRPr="004523AB" w:rsidRDefault="003C2B7B" w:rsidP="008A550C">
      <w:pPr>
        <w:pStyle w:val="TableNListnumbered"/>
        <w:numPr>
          <w:ilvl w:val="0"/>
          <w:numId w:val="14"/>
        </w:numPr>
      </w:pPr>
      <w:r w:rsidRPr="004523AB">
        <w:t xml:space="preserve">Have you observed any early outcomes </w:t>
      </w:r>
      <w:proofErr w:type="gramStart"/>
      <w:r w:rsidRPr="004523AB">
        <w:t>as a result of</w:t>
      </w:r>
      <w:proofErr w:type="gramEnd"/>
      <w:r w:rsidRPr="004523AB">
        <w:t xml:space="preserve"> the use of the grant funding? To what extent does this align with your original aims for the funding?  </w:t>
      </w:r>
    </w:p>
    <w:p w14:paraId="319431B1" w14:textId="6150F410" w:rsidR="003C2B7B" w:rsidRPr="004523AB" w:rsidRDefault="003C2B7B" w:rsidP="008A550C">
      <w:pPr>
        <w:pStyle w:val="TableNListnumbered"/>
        <w:numPr>
          <w:ilvl w:val="0"/>
          <w:numId w:val="14"/>
        </w:numPr>
      </w:pPr>
      <w:r w:rsidRPr="004523AB">
        <w:t xml:space="preserve">Has the use of the grant funding led to any changes to your processes or the way your practice operates? </w:t>
      </w:r>
    </w:p>
    <w:p w14:paraId="1D431551" w14:textId="5955987D" w:rsidR="003C2B7B" w:rsidRPr="004523AB" w:rsidRDefault="003C2B7B" w:rsidP="008A550C">
      <w:pPr>
        <w:pStyle w:val="TableNListnumbered"/>
        <w:numPr>
          <w:ilvl w:val="0"/>
          <w:numId w:val="14"/>
        </w:numPr>
      </w:pPr>
      <w:r w:rsidRPr="004523AB">
        <w:t>Do you think that any alternative mechanisms could have delivered the same (or better) outcomes?</w:t>
      </w:r>
    </w:p>
    <w:p w14:paraId="4DDC5F2D" w14:textId="13AFB630" w:rsidR="00D3136C" w:rsidRPr="004523AB" w:rsidRDefault="003C2B7B" w:rsidP="008A550C">
      <w:pPr>
        <w:pStyle w:val="TableNListnumbered"/>
        <w:numPr>
          <w:ilvl w:val="0"/>
          <w:numId w:val="14"/>
        </w:numPr>
      </w:pPr>
      <w:r w:rsidRPr="004523AB">
        <w:t xml:space="preserve">What is your perspective on the chosen three investment streams? And how could these have been better aligned to your needs?  </w:t>
      </w:r>
    </w:p>
    <w:p w14:paraId="740CDC69" w14:textId="3BF20CCC" w:rsidR="00D347D7" w:rsidRPr="004523AB" w:rsidRDefault="00D347D7" w:rsidP="00023419">
      <w:pPr>
        <w:pStyle w:val="xAppendixLevel2"/>
      </w:pPr>
      <w:r w:rsidRPr="004523AB">
        <w:t>Peak Body Interview Guide</w:t>
      </w:r>
    </w:p>
    <w:p w14:paraId="2687A570" w14:textId="1A747496" w:rsidR="00E93398" w:rsidRPr="004523AB" w:rsidRDefault="00E93398" w:rsidP="008A550C">
      <w:pPr>
        <w:pStyle w:val="Listnumbered"/>
        <w:numPr>
          <w:ilvl w:val="0"/>
          <w:numId w:val="19"/>
        </w:numPr>
      </w:pPr>
      <w:r w:rsidRPr="004523AB">
        <w:t xml:space="preserve">What is your involvement or familiarity with the Program? </w:t>
      </w:r>
    </w:p>
    <w:p w14:paraId="3CE274CE" w14:textId="7F7990E1" w:rsidR="00E93398" w:rsidRPr="004523AB" w:rsidRDefault="00E93398" w:rsidP="008A550C">
      <w:pPr>
        <w:pStyle w:val="TableNListnumbered"/>
        <w:numPr>
          <w:ilvl w:val="0"/>
          <w:numId w:val="19"/>
        </w:numPr>
      </w:pPr>
      <w:r w:rsidRPr="004523AB">
        <w:t xml:space="preserve">To what extent do you believe the three investment streams of the Program were appropriate in contributing to the broader strengthening Medicare/ primary care reform agenda? </w:t>
      </w:r>
    </w:p>
    <w:p w14:paraId="56A7E8BD" w14:textId="6E1CA217" w:rsidR="00E93398" w:rsidRPr="004523AB" w:rsidRDefault="00E93398" w:rsidP="008A550C">
      <w:pPr>
        <w:pStyle w:val="TableNListnumbered"/>
        <w:numPr>
          <w:ilvl w:val="0"/>
          <w:numId w:val="19"/>
        </w:numPr>
      </w:pPr>
      <w:r w:rsidRPr="004523AB">
        <w:t xml:space="preserve">In your view, was the Program design and delivery appropriate for meeting the needs of the primary care ecosystem given the level of funding available? E.g. small, once-off, non-competitive grants. </w:t>
      </w:r>
    </w:p>
    <w:p w14:paraId="029875B4" w14:textId="769A10FD" w:rsidR="00E93398" w:rsidRPr="004523AB" w:rsidRDefault="00E93398" w:rsidP="008A550C">
      <w:pPr>
        <w:pStyle w:val="TableNListnumbered"/>
        <w:numPr>
          <w:ilvl w:val="0"/>
          <w:numId w:val="19"/>
        </w:numPr>
      </w:pPr>
      <w:r w:rsidRPr="004523AB">
        <w:t>How have the investment streams of the Program leveraged or interacted with other programs?</w:t>
      </w:r>
    </w:p>
    <w:p w14:paraId="2DE8221B" w14:textId="3B081DA9" w:rsidR="00E93398" w:rsidRPr="004523AB" w:rsidRDefault="00E93398" w:rsidP="008A550C">
      <w:pPr>
        <w:pStyle w:val="TableNListnumbered"/>
        <w:numPr>
          <w:ilvl w:val="0"/>
          <w:numId w:val="19"/>
        </w:numPr>
      </w:pPr>
      <w:r w:rsidRPr="004523AB">
        <w:t xml:space="preserve">What worked well in the design and delivery of this program? What could be improved in the future? </w:t>
      </w:r>
    </w:p>
    <w:p w14:paraId="3D7123A1" w14:textId="73EE46B6" w:rsidR="00E93398" w:rsidRPr="004523AB" w:rsidRDefault="00E93398" w:rsidP="008A550C">
      <w:pPr>
        <w:pStyle w:val="TableNListnumbered"/>
        <w:numPr>
          <w:ilvl w:val="0"/>
          <w:numId w:val="19"/>
        </w:numPr>
      </w:pPr>
      <w:r w:rsidRPr="004523AB">
        <w:t>Are there insights or other unintended benefits or challenges from the Program implementation that could be applied to other broader health policy program reforms in the future?</w:t>
      </w:r>
    </w:p>
    <w:p w14:paraId="69DD7FAE" w14:textId="5E75857C" w:rsidR="00E93398" w:rsidRPr="004523AB" w:rsidRDefault="00E93398" w:rsidP="00FC28F1">
      <w:pPr>
        <w:pStyle w:val="TableNListnumbered"/>
        <w:numPr>
          <w:ilvl w:val="0"/>
          <w:numId w:val="19"/>
        </w:numPr>
        <w:spacing w:after="165" w:line="259" w:lineRule="auto"/>
      </w:pPr>
      <w:r w:rsidRPr="004523AB">
        <w:t>Any other comments?</w:t>
      </w:r>
      <w:r w:rsidRPr="004523AB">
        <w:br w:type="page"/>
      </w:r>
    </w:p>
    <w:p w14:paraId="6BCF9B5D" w14:textId="61CEC3E1" w:rsidR="0013447D" w:rsidRPr="004523AB" w:rsidRDefault="0013447D" w:rsidP="0013447D">
      <w:pPr>
        <w:pStyle w:val="xAppendixLevel1"/>
      </w:pPr>
      <w:bookmarkStart w:id="80" w:name="_Ref184917735"/>
      <w:bookmarkStart w:id="81" w:name="_Ref184917778"/>
      <w:bookmarkStart w:id="82" w:name="_Toc184982771"/>
      <w:r w:rsidRPr="004523AB">
        <w:lastRenderedPageBreak/>
        <w:t>NACCHO summary report</w:t>
      </w:r>
      <w:bookmarkEnd w:id="80"/>
      <w:bookmarkEnd w:id="81"/>
      <w:bookmarkEnd w:id="82"/>
    </w:p>
    <w:p w14:paraId="56DE7C04" w14:textId="0C1C2FE0" w:rsidR="00D347D7" w:rsidRPr="004523AB" w:rsidRDefault="0013447D" w:rsidP="00E93398">
      <w:pPr>
        <w:pStyle w:val="Listnumbered"/>
        <w:tabs>
          <w:tab w:val="clear" w:pos="360"/>
        </w:tabs>
        <w:ind w:left="340" w:hanging="340"/>
      </w:pPr>
      <w:r w:rsidRPr="004523AB">
        <w:t>Provided as an attachment.</w:t>
      </w:r>
    </w:p>
    <w:p w14:paraId="306559CD" w14:textId="77777777" w:rsidR="0013447D" w:rsidRPr="004523AB" w:rsidRDefault="0013447D">
      <w:pPr>
        <w:spacing w:after="165" w:line="259" w:lineRule="auto"/>
      </w:pPr>
      <w:bookmarkStart w:id="83" w:name="_Ref184917567"/>
      <w:r w:rsidRPr="004523AB">
        <w:br w:type="page"/>
      </w:r>
      <w:bookmarkEnd w:id="83"/>
    </w:p>
    <w:p w14:paraId="4BAD20AF" w14:textId="77777777" w:rsidR="002D400C" w:rsidRPr="004523AB" w:rsidRDefault="002D400C" w:rsidP="0004510D">
      <w:pPr>
        <w:pStyle w:val="xAppendixLevel1"/>
        <w:sectPr w:rsidR="002D400C" w:rsidRPr="004523AB" w:rsidSect="00FF5D96">
          <w:pgSz w:w="11906" w:h="16838" w:code="9"/>
          <w:pgMar w:top="1247" w:right="1304" w:bottom="1559" w:left="1418" w:header="720" w:footer="720" w:gutter="0"/>
          <w:cols w:space="720"/>
          <w:docGrid w:linePitch="360"/>
        </w:sectPr>
      </w:pPr>
      <w:bookmarkStart w:id="84" w:name="_Ref184973079"/>
    </w:p>
    <w:p w14:paraId="6692DA4A" w14:textId="567179C9" w:rsidR="0004510D" w:rsidRPr="004523AB" w:rsidRDefault="0004510D" w:rsidP="0004510D">
      <w:pPr>
        <w:pStyle w:val="xAppendixLevel1"/>
      </w:pPr>
      <w:bookmarkStart w:id="85" w:name="_Ref184919494"/>
      <w:bookmarkStart w:id="86" w:name="_Ref184919531"/>
      <w:bookmarkStart w:id="87" w:name="_Ref184919533"/>
      <w:bookmarkStart w:id="88" w:name="_Ref184919536"/>
      <w:bookmarkStart w:id="89" w:name="_Toc184982772"/>
      <w:bookmarkEnd w:id="84"/>
      <w:r w:rsidRPr="004523AB">
        <w:lastRenderedPageBreak/>
        <w:t>Practice survey results by jurisdiction and remoteness</w:t>
      </w:r>
      <w:bookmarkEnd w:id="85"/>
      <w:bookmarkEnd w:id="86"/>
      <w:bookmarkEnd w:id="87"/>
      <w:bookmarkEnd w:id="88"/>
      <w:bookmarkEnd w:id="89"/>
    </w:p>
    <w:p w14:paraId="2ACD408B" w14:textId="0AC980DF" w:rsidR="0004510D" w:rsidRPr="004523AB" w:rsidRDefault="0004510D" w:rsidP="00023419">
      <w:pPr>
        <w:pStyle w:val="xAppendixLevel2"/>
      </w:pPr>
      <w:r w:rsidRPr="004523AB">
        <w:t>Survey results by jurisdiction</w:t>
      </w:r>
    </w:p>
    <w:p w14:paraId="31184BAE" w14:textId="1F31F169" w:rsidR="00D347D7" w:rsidRPr="004523AB" w:rsidRDefault="0004510D" w:rsidP="0004510D">
      <w:pPr>
        <w:pStyle w:val="Listnumbered"/>
      </w:pPr>
      <w:r w:rsidRPr="004523AB">
        <w:t>The evaluation agreed to maintain anonymity across PHNs. To maintain this, survey results are presented by state or territory below.</w:t>
      </w:r>
    </w:p>
    <w:p w14:paraId="3EE317F4" w14:textId="0222CA62" w:rsidR="00843763" w:rsidRPr="004523AB" w:rsidRDefault="00843763" w:rsidP="00843763">
      <w:pPr>
        <w:pStyle w:val="Caption"/>
      </w:pPr>
      <w:r w:rsidRPr="004523AB">
        <w:t xml:space="preserve">Table </w:t>
      </w:r>
      <w:r w:rsidRPr="004523AB">
        <w:fldChar w:fldCharType="begin"/>
      </w:r>
      <w:r w:rsidRPr="004523AB">
        <w:instrText xml:space="preserve"> SEQ Table \* ARABIC </w:instrText>
      </w:r>
      <w:r w:rsidRPr="004523AB">
        <w:fldChar w:fldCharType="separate"/>
      </w:r>
      <w:r w:rsidR="00B96E50">
        <w:rPr>
          <w:noProof/>
        </w:rPr>
        <w:t>22</w:t>
      </w:r>
      <w:r w:rsidRPr="004523AB">
        <w:fldChar w:fldCharType="end"/>
      </w:r>
      <w:r w:rsidRPr="004523AB">
        <w:t xml:space="preserve"> | General practice grant uptake (self-evaluation survey response)</w:t>
      </w:r>
    </w:p>
    <w:tbl>
      <w:tblPr>
        <w:tblStyle w:val="AccessibleNousTable"/>
        <w:tblW w:w="0" w:type="auto"/>
        <w:tblLayout w:type="fixed"/>
        <w:tblLook w:val="0420" w:firstRow="1" w:lastRow="0" w:firstColumn="0" w:lastColumn="0" w:noHBand="0" w:noVBand="1"/>
      </w:tblPr>
      <w:tblGrid>
        <w:gridCol w:w="3783"/>
        <w:gridCol w:w="4918"/>
        <w:gridCol w:w="4919"/>
      </w:tblGrid>
      <w:tr w:rsidR="00B102DE" w:rsidRPr="004523AB" w14:paraId="3AF711BE" w14:textId="77777777" w:rsidTr="006E25AA">
        <w:trPr>
          <w:cnfStyle w:val="100000000000" w:firstRow="1" w:lastRow="0" w:firstColumn="0" w:lastColumn="0" w:oddVBand="0" w:evenVBand="0" w:oddHBand="0" w:evenHBand="0" w:firstRowFirstColumn="0" w:firstRowLastColumn="0" w:lastRowFirstColumn="0" w:lastRowLastColumn="0"/>
          <w:trHeight w:val="791"/>
          <w:tblHeader/>
        </w:trPr>
        <w:tc>
          <w:tcPr>
            <w:tcW w:w="3783" w:type="dxa"/>
          </w:tcPr>
          <w:p w14:paraId="1A4A5D42" w14:textId="77777777" w:rsidR="00B102DE" w:rsidRPr="004523AB" w:rsidRDefault="00B102DE" w:rsidP="00AF4781">
            <w:pPr>
              <w:pBdr>
                <w:top w:val="none" w:sz="0" w:space="0" w:color="000000"/>
                <w:left w:val="none" w:sz="0" w:space="0" w:color="000000"/>
                <w:bottom w:val="none" w:sz="0" w:space="0" w:color="000000"/>
                <w:right w:val="none" w:sz="0" w:space="0" w:color="000000"/>
              </w:pBdr>
              <w:spacing w:after="0"/>
              <w:ind w:left="100" w:right="100"/>
              <w:jc w:val="both"/>
              <w:rPr>
                <w:sz w:val="23"/>
                <w:szCs w:val="23"/>
              </w:rPr>
            </w:pPr>
            <w:r w:rsidRPr="004523AB">
              <w:rPr>
                <w:rFonts w:ascii="Segoe UI Semibold" w:eastAsia="Segoe UI Semibold" w:hAnsi="Segoe UI Semibold" w:cs="Segoe UI Semibold"/>
                <w:sz w:val="23"/>
                <w:szCs w:val="23"/>
              </w:rPr>
              <w:t>State</w:t>
            </w:r>
          </w:p>
        </w:tc>
        <w:tc>
          <w:tcPr>
            <w:tcW w:w="4918" w:type="dxa"/>
          </w:tcPr>
          <w:p w14:paraId="5017658A" w14:textId="77777777" w:rsidR="00DD203A" w:rsidRPr="004523AB" w:rsidRDefault="00DD203A" w:rsidP="00AF4781">
            <w:pPr>
              <w:pBdr>
                <w:top w:val="none" w:sz="0" w:space="0" w:color="000000"/>
                <w:left w:val="none" w:sz="0" w:space="0" w:color="000000"/>
                <w:bottom w:val="none" w:sz="0" w:space="0" w:color="000000"/>
                <w:right w:val="none" w:sz="0" w:space="0" w:color="000000"/>
              </w:pBdr>
              <w:spacing w:after="0"/>
              <w:ind w:left="100" w:right="100"/>
              <w:jc w:val="both"/>
              <w:rPr>
                <w:sz w:val="23"/>
                <w:szCs w:val="23"/>
              </w:rPr>
            </w:pPr>
            <w:r w:rsidRPr="004523AB">
              <w:rPr>
                <w:rFonts w:ascii="Segoe UI Semibold" w:eastAsia="Segoe UI Semibold" w:hAnsi="Segoe UI Semibold" w:cs="Segoe UI Semibold"/>
                <w:sz w:val="23"/>
                <w:szCs w:val="23"/>
              </w:rPr>
              <w:t>Responded</w:t>
            </w:r>
          </w:p>
          <w:p w14:paraId="7BF8EDDB" w14:textId="77777777" w:rsidR="00DD203A" w:rsidRPr="004523AB" w:rsidRDefault="00DD203A" w:rsidP="00AF4781">
            <w:pPr>
              <w:pBdr>
                <w:top w:val="none" w:sz="0" w:space="0" w:color="000000"/>
                <w:left w:val="none" w:sz="0" w:space="0" w:color="000000"/>
                <w:bottom w:val="none" w:sz="0" w:space="0" w:color="000000"/>
                <w:right w:val="none" w:sz="0" w:space="0" w:color="000000"/>
              </w:pBdr>
              <w:spacing w:after="0"/>
              <w:ind w:left="100" w:right="100"/>
              <w:jc w:val="both"/>
              <w:rPr>
                <w:rFonts w:ascii="Segoe UI Semibold" w:eastAsia="Segoe UI Semibold" w:hAnsi="Segoe UI Semibold" w:cs="Segoe UI Semibold"/>
                <w:sz w:val="23"/>
                <w:szCs w:val="23"/>
              </w:rPr>
            </w:pPr>
            <w:r w:rsidRPr="004523AB">
              <w:rPr>
                <w:rFonts w:ascii="Segoe UI Semibold" w:eastAsia="Segoe UI Semibold" w:hAnsi="Segoe UI Semibold" w:cs="Segoe UI Semibold"/>
                <w:sz w:val="23"/>
                <w:szCs w:val="23"/>
              </w:rPr>
              <w:t>No</w:t>
            </w:r>
          </w:p>
        </w:tc>
        <w:tc>
          <w:tcPr>
            <w:tcW w:w="4919" w:type="dxa"/>
          </w:tcPr>
          <w:p w14:paraId="4E867300" w14:textId="77777777" w:rsidR="00582D3A" w:rsidRPr="004523AB" w:rsidRDefault="00B102DE" w:rsidP="00AF4781">
            <w:pPr>
              <w:pBdr>
                <w:top w:val="none" w:sz="0" w:space="0" w:color="000000"/>
                <w:left w:val="none" w:sz="0" w:space="0" w:color="000000"/>
                <w:bottom w:val="none" w:sz="0" w:space="0" w:color="000000"/>
                <w:right w:val="none" w:sz="0" w:space="0" w:color="000000"/>
              </w:pBdr>
              <w:spacing w:after="0"/>
              <w:ind w:left="100" w:right="100"/>
              <w:jc w:val="both"/>
              <w:rPr>
                <w:rFonts w:ascii="Segoe UI Semibold" w:eastAsia="Segoe UI Semibold" w:hAnsi="Segoe UI Semibold" w:cs="Segoe UI Semibold"/>
                <w:sz w:val="23"/>
                <w:szCs w:val="23"/>
              </w:rPr>
            </w:pPr>
            <w:r w:rsidRPr="004523AB">
              <w:rPr>
                <w:rFonts w:ascii="Segoe UI Semibold" w:eastAsia="Segoe UI Semibold" w:hAnsi="Segoe UI Semibold" w:cs="Segoe UI Semibold"/>
                <w:sz w:val="23"/>
                <w:szCs w:val="23"/>
              </w:rPr>
              <w:t>Responded</w:t>
            </w:r>
            <w:r w:rsidR="00717F26" w:rsidRPr="004523AB">
              <w:rPr>
                <w:rFonts w:ascii="Segoe UI Semibold" w:eastAsia="Segoe UI Semibold" w:hAnsi="Segoe UI Semibold" w:cs="Segoe UI Semibold"/>
                <w:sz w:val="23"/>
                <w:szCs w:val="23"/>
              </w:rPr>
              <w:t xml:space="preserve"> </w:t>
            </w:r>
          </w:p>
          <w:p w14:paraId="31E861A7" w14:textId="14E5CA16" w:rsidR="00B102DE" w:rsidRPr="004523AB" w:rsidRDefault="00DD203A" w:rsidP="00AF4781">
            <w:pPr>
              <w:pBdr>
                <w:top w:val="none" w:sz="0" w:space="0" w:color="000000"/>
                <w:left w:val="none" w:sz="0" w:space="0" w:color="000000"/>
                <w:bottom w:val="none" w:sz="0" w:space="0" w:color="000000"/>
                <w:right w:val="none" w:sz="0" w:space="0" w:color="000000"/>
              </w:pBdr>
              <w:spacing w:after="0"/>
              <w:ind w:left="100" w:right="100"/>
              <w:jc w:val="both"/>
              <w:rPr>
                <w:sz w:val="23"/>
                <w:szCs w:val="23"/>
              </w:rPr>
            </w:pPr>
            <w:r w:rsidRPr="004523AB">
              <w:rPr>
                <w:rFonts w:ascii="Segoe UI Semibold" w:eastAsia="Segoe UI Semibold" w:hAnsi="Segoe UI Semibold" w:cs="Segoe UI Semibold"/>
                <w:sz w:val="23"/>
                <w:szCs w:val="23"/>
              </w:rPr>
              <w:t>Yes*</w:t>
            </w:r>
          </w:p>
        </w:tc>
      </w:tr>
      <w:tr w:rsidR="00B102DE" w:rsidRPr="004523AB" w14:paraId="1D803C7F" w14:textId="77777777" w:rsidTr="00DD5E8C">
        <w:trPr>
          <w:trHeight w:val="217"/>
        </w:trPr>
        <w:tc>
          <w:tcPr>
            <w:tcW w:w="3783" w:type="dxa"/>
          </w:tcPr>
          <w:p w14:paraId="177595FE" w14:textId="77777777" w:rsidR="00B102DE" w:rsidRPr="004523AB" w:rsidRDefault="00B102DE" w:rsidP="00AF4781">
            <w:pPr>
              <w:pBdr>
                <w:top w:val="none" w:sz="0" w:space="0" w:color="000000"/>
                <w:left w:val="none" w:sz="0" w:space="0" w:color="000000"/>
                <w:bottom w:val="none" w:sz="0" w:space="0" w:color="000000"/>
                <w:right w:val="none" w:sz="0" w:space="0" w:color="000000"/>
              </w:pBdr>
              <w:spacing w:after="0"/>
              <w:ind w:left="100" w:right="100"/>
              <w:jc w:val="both"/>
              <w:rPr>
                <w:szCs w:val="21"/>
              </w:rPr>
            </w:pPr>
            <w:r w:rsidRPr="004523AB">
              <w:rPr>
                <w:rFonts w:eastAsia="Segoe UI" w:cs="Segoe UI"/>
                <w:color w:val="000000"/>
                <w:szCs w:val="21"/>
              </w:rPr>
              <w:t>NSW</w:t>
            </w:r>
          </w:p>
        </w:tc>
        <w:tc>
          <w:tcPr>
            <w:tcW w:w="4918" w:type="dxa"/>
          </w:tcPr>
          <w:p w14:paraId="1507FB75" w14:textId="787CDE77" w:rsidR="00B102DE" w:rsidRPr="004523AB" w:rsidRDefault="00B102DE" w:rsidP="00AF4781">
            <w:pPr>
              <w:pBdr>
                <w:top w:val="none" w:sz="0" w:space="0" w:color="000000"/>
                <w:left w:val="none" w:sz="0" w:space="0" w:color="000000"/>
                <w:bottom w:val="none" w:sz="0" w:space="0" w:color="000000"/>
                <w:right w:val="none" w:sz="0" w:space="0" w:color="000000"/>
              </w:pBdr>
              <w:spacing w:after="0"/>
              <w:ind w:left="100" w:right="100"/>
              <w:jc w:val="both"/>
              <w:rPr>
                <w:szCs w:val="21"/>
              </w:rPr>
            </w:pPr>
            <w:r w:rsidRPr="004523AB">
              <w:rPr>
                <w:rFonts w:eastAsia="Segoe UI" w:cs="Segoe UI"/>
                <w:color w:val="000000"/>
                <w:szCs w:val="21"/>
              </w:rPr>
              <w:t>679 (28.4</w:t>
            </w:r>
            <w:r w:rsidR="002600B5" w:rsidRPr="004523AB">
              <w:rPr>
                <w:rFonts w:eastAsia="Segoe UI" w:cs="Segoe UI"/>
                <w:color w:val="000000"/>
                <w:szCs w:val="21"/>
              </w:rPr>
              <w:t xml:space="preserve"> per</w:t>
            </w:r>
            <w:r w:rsidR="00843623" w:rsidRPr="004523AB">
              <w:rPr>
                <w:rFonts w:eastAsia="Segoe UI" w:cs="Segoe UI"/>
                <w:color w:val="000000"/>
                <w:szCs w:val="21"/>
              </w:rPr>
              <w:t xml:space="preserve"> </w:t>
            </w:r>
            <w:r w:rsidR="002600B5" w:rsidRPr="004523AB">
              <w:rPr>
                <w:rFonts w:eastAsia="Segoe UI" w:cs="Segoe UI"/>
                <w:color w:val="000000"/>
                <w:szCs w:val="21"/>
              </w:rPr>
              <w:t>cent</w:t>
            </w:r>
            <w:r w:rsidRPr="004523AB">
              <w:rPr>
                <w:rFonts w:eastAsia="Segoe UI" w:cs="Segoe UI"/>
                <w:color w:val="000000"/>
                <w:szCs w:val="21"/>
              </w:rPr>
              <w:t>)</w:t>
            </w:r>
          </w:p>
        </w:tc>
        <w:tc>
          <w:tcPr>
            <w:tcW w:w="4919" w:type="dxa"/>
          </w:tcPr>
          <w:p w14:paraId="6E46643C" w14:textId="21F9D29A" w:rsidR="00B102DE" w:rsidRPr="004523AB" w:rsidRDefault="00B102DE" w:rsidP="00AF4781">
            <w:pPr>
              <w:pBdr>
                <w:top w:val="none" w:sz="0" w:space="0" w:color="000000"/>
                <w:left w:val="none" w:sz="0" w:space="0" w:color="000000"/>
                <w:bottom w:val="none" w:sz="0" w:space="0" w:color="000000"/>
                <w:right w:val="none" w:sz="0" w:space="0" w:color="000000"/>
              </w:pBdr>
              <w:spacing w:after="0"/>
              <w:ind w:left="100" w:right="100"/>
              <w:jc w:val="both"/>
              <w:rPr>
                <w:szCs w:val="21"/>
              </w:rPr>
            </w:pPr>
            <w:r w:rsidRPr="004523AB">
              <w:rPr>
                <w:rFonts w:eastAsia="Segoe UI" w:cs="Segoe UI"/>
                <w:color w:val="000000"/>
                <w:szCs w:val="21"/>
              </w:rPr>
              <w:t>1,716 (71.6</w:t>
            </w:r>
            <w:r w:rsidR="002600B5" w:rsidRPr="004523AB">
              <w:rPr>
                <w:rFonts w:eastAsia="Segoe UI" w:cs="Segoe UI"/>
                <w:color w:val="000000"/>
                <w:szCs w:val="21"/>
              </w:rPr>
              <w:t xml:space="preserve"> per</w:t>
            </w:r>
            <w:r w:rsidR="00843623" w:rsidRPr="004523AB">
              <w:rPr>
                <w:rFonts w:eastAsia="Segoe UI" w:cs="Segoe UI"/>
                <w:color w:val="000000"/>
                <w:szCs w:val="21"/>
              </w:rPr>
              <w:t xml:space="preserve"> </w:t>
            </w:r>
            <w:r w:rsidR="002600B5" w:rsidRPr="004523AB">
              <w:rPr>
                <w:rFonts w:eastAsia="Segoe UI" w:cs="Segoe UI"/>
                <w:color w:val="000000"/>
                <w:szCs w:val="21"/>
              </w:rPr>
              <w:t>cent</w:t>
            </w:r>
            <w:r w:rsidRPr="004523AB">
              <w:rPr>
                <w:rFonts w:eastAsia="Segoe UI" w:cs="Segoe UI"/>
                <w:color w:val="000000"/>
                <w:szCs w:val="21"/>
              </w:rPr>
              <w:t>)</w:t>
            </w:r>
          </w:p>
        </w:tc>
      </w:tr>
      <w:tr w:rsidR="00B102DE" w:rsidRPr="004523AB" w14:paraId="28C3CDCC" w14:textId="77777777" w:rsidTr="00DD5E8C">
        <w:trPr>
          <w:trHeight w:val="217"/>
        </w:trPr>
        <w:tc>
          <w:tcPr>
            <w:tcW w:w="3783" w:type="dxa"/>
          </w:tcPr>
          <w:p w14:paraId="5B9DA0C9" w14:textId="77777777" w:rsidR="00B102DE" w:rsidRPr="004523AB" w:rsidRDefault="00B102DE" w:rsidP="00AF4781">
            <w:pPr>
              <w:pBdr>
                <w:top w:val="none" w:sz="0" w:space="0" w:color="000000"/>
                <w:left w:val="none" w:sz="0" w:space="0" w:color="000000"/>
                <w:bottom w:val="none" w:sz="0" w:space="0" w:color="000000"/>
                <w:right w:val="none" w:sz="0" w:space="0" w:color="000000"/>
              </w:pBdr>
              <w:spacing w:after="0"/>
              <w:ind w:left="100" w:right="100"/>
              <w:jc w:val="both"/>
              <w:rPr>
                <w:szCs w:val="21"/>
              </w:rPr>
            </w:pPr>
            <w:r w:rsidRPr="004523AB">
              <w:rPr>
                <w:rFonts w:eastAsia="Segoe UI" w:cs="Segoe UI"/>
                <w:color w:val="000000"/>
                <w:szCs w:val="21"/>
              </w:rPr>
              <w:t>VIC</w:t>
            </w:r>
          </w:p>
        </w:tc>
        <w:tc>
          <w:tcPr>
            <w:tcW w:w="4918" w:type="dxa"/>
          </w:tcPr>
          <w:p w14:paraId="492E3841" w14:textId="696F67A6" w:rsidR="00B102DE" w:rsidRPr="004523AB" w:rsidRDefault="00B102DE" w:rsidP="00AF4781">
            <w:pPr>
              <w:pBdr>
                <w:top w:val="none" w:sz="0" w:space="0" w:color="000000"/>
                <w:left w:val="none" w:sz="0" w:space="0" w:color="000000"/>
                <w:bottom w:val="none" w:sz="0" w:space="0" w:color="000000"/>
                <w:right w:val="none" w:sz="0" w:space="0" w:color="000000"/>
              </w:pBdr>
              <w:spacing w:after="0"/>
              <w:ind w:left="100" w:right="100"/>
              <w:jc w:val="both"/>
              <w:rPr>
                <w:szCs w:val="21"/>
              </w:rPr>
            </w:pPr>
            <w:r w:rsidRPr="004523AB">
              <w:rPr>
                <w:rFonts w:eastAsia="Segoe UI" w:cs="Segoe UI"/>
                <w:color w:val="000000"/>
                <w:szCs w:val="21"/>
              </w:rPr>
              <w:t>324 (18.2</w:t>
            </w:r>
            <w:r w:rsidR="002600B5" w:rsidRPr="004523AB">
              <w:rPr>
                <w:rFonts w:eastAsia="Segoe UI" w:cs="Segoe UI"/>
                <w:color w:val="000000"/>
                <w:szCs w:val="21"/>
              </w:rPr>
              <w:t xml:space="preserve"> per</w:t>
            </w:r>
            <w:r w:rsidR="00843623" w:rsidRPr="004523AB">
              <w:rPr>
                <w:rFonts w:eastAsia="Segoe UI" w:cs="Segoe UI"/>
                <w:color w:val="000000"/>
                <w:szCs w:val="21"/>
              </w:rPr>
              <w:t xml:space="preserve"> </w:t>
            </w:r>
            <w:r w:rsidR="002600B5" w:rsidRPr="004523AB">
              <w:rPr>
                <w:rFonts w:eastAsia="Segoe UI" w:cs="Segoe UI"/>
                <w:color w:val="000000"/>
                <w:szCs w:val="21"/>
              </w:rPr>
              <w:t>cent</w:t>
            </w:r>
            <w:r w:rsidRPr="004523AB">
              <w:rPr>
                <w:rFonts w:eastAsia="Segoe UI" w:cs="Segoe UI"/>
                <w:color w:val="000000"/>
                <w:szCs w:val="21"/>
              </w:rPr>
              <w:t>)</w:t>
            </w:r>
          </w:p>
        </w:tc>
        <w:tc>
          <w:tcPr>
            <w:tcW w:w="4919" w:type="dxa"/>
          </w:tcPr>
          <w:p w14:paraId="0D30EB69" w14:textId="7F44D0F2" w:rsidR="00B102DE" w:rsidRPr="004523AB" w:rsidRDefault="00B102DE" w:rsidP="00AF4781">
            <w:pPr>
              <w:pBdr>
                <w:top w:val="none" w:sz="0" w:space="0" w:color="000000"/>
                <w:left w:val="none" w:sz="0" w:space="0" w:color="000000"/>
                <w:bottom w:val="none" w:sz="0" w:space="0" w:color="000000"/>
                <w:right w:val="none" w:sz="0" w:space="0" w:color="000000"/>
              </w:pBdr>
              <w:spacing w:after="0"/>
              <w:ind w:left="100" w:right="100"/>
              <w:jc w:val="both"/>
              <w:rPr>
                <w:szCs w:val="21"/>
              </w:rPr>
            </w:pPr>
            <w:r w:rsidRPr="004523AB">
              <w:rPr>
                <w:rFonts w:eastAsia="Segoe UI" w:cs="Segoe UI"/>
                <w:color w:val="000000"/>
                <w:szCs w:val="21"/>
              </w:rPr>
              <w:t>1,456 (81.8</w:t>
            </w:r>
            <w:r w:rsidR="002600B5" w:rsidRPr="004523AB">
              <w:rPr>
                <w:rFonts w:eastAsia="Segoe UI" w:cs="Segoe UI"/>
                <w:color w:val="000000"/>
                <w:szCs w:val="21"/>
              </w:rPr>
              <w:t xml:space="preserve"> per</w:t>
            </w:r>
            <w:r w:rsidR="00843623" w:rsidRPr="004523AB">
              <w:rPr>
                <w:rFonts w:eastAsia="Segoe UI" w:cs="Segoe UI"/>
                <w:color w:val="000000"/>
                <w:szCs w:val="21"/>
              </w:rPr>
              <w:t xml:space="preserve"> </w:t>
            </w:r>
            <w:r w:rsidR="002600B5" w:rsidRPr="004523AB">
              <w:rPr>
                <w:rFonts w:eastAsia="Segoe UI" w:cs="Segoe UI"/>
                <w:color w:val="000000"/>
                <w:szCs w:val="21"/>
              </w:rPr>
              <w:t>cent</w:t>
            </w:r>
            <w:r w:rsidRPr="004523AB">
              <w:rPr>
                <w:rFonts w:eastAsia="Segoe UI" w:cs="Segoe UI"/>
                <w:color w:val="000000"/>
                <w:szCs w:val="21"/>
              </w:rPr>
              <w:t>)</w:t>
            </w:r>
          </w:p>
        </w:tc>
      </w:tr>
      <w:tr w:rsidR="00B102DE" w:rsidRPr="004523AB" w14:paraId="72CE7643" w14:textId="77777777" w:rsidTr="00DD5E8C">
        <w:trPr>
          <w:trHeight w:val="217"/>
        </w:trPr>
        <w:tc>
          <w:tcPr>
            <w:tcW w:w="3783" w:type="dxa"/>
          </w:tcPr>
          <w:p w14:paraId="7ABADCDA" w14:textId="77777777" w:rsidR="00B102DE" w:rsidRPr="004523AB" w:rsidRDefault="00B102DE" w:rsidP="00AF4781">
            <w:pPr>
              <w:pBdr>
                <w:top w:val="none" w:sz="0" w:space="0" w:color="000000"/>
                <w:left w:val="none" w:sz="0" w:space="0" w:color="000000"/>
                <w:bottom w:val="none" w:sz="0" w:space="0" w:color="000000"/>
                <w:right w:val="none" w:sz="0" w:space="0" w:color="000000"/>
              </w:pBdr>
              <w:spacing w:after="0"/>
              <w:ind w:left="100" w:right="100"/>
              <w:jc w:val="both"/>
              <w:rPr>
                <w:szCs w:val="21"/>
              </w:rPr>
            </w:pPr>
            <w:r w:rsidRPr="004523AB">
              <w:rPr>
                <w:rFonts w:eastAsia="Segoe UI" w:cs="Segoe UI"/>
                <w:color w:val="000000"/>
                <w:szCs w:val="21"/>
              </w:rPr>
              <w:t>QLD</w:t>
            </w:r>
          </w:p>
        </w:tc>
        <w:tc>
          <w:tcPr>
            <w:tcW w:w="4918" w:type="dxa"/>
          </w:tcPr>
          <w:p w14:paraId="6DB79DEA" w14:textId="71E84536" w:rsidR="00B102DE" w:rsidRPr="004523AB" w:rsidRDefault="00B102DE" w:rsidP="00AF4781">
            <w:pPr>
              <w:pBdr>
                <w:top w:val="none" w:sz="0" w:space="0" w:color="000000"/>
                <w:left w:val="none" w:sz="0" w:space="0" w:color="000000"/>
                <w:bottom w:val="none" w:sz="0" w:space="0" w:color="000000"/>
                <w:right w:val="none" w:sz="0" w:space="0" w:color="000000"/>
              </w:pBdr>
              <w:spacing w:after="0"/>
              <w:ind w:left="100" w:right="100"/>
              <w:jc w:val="both"/>
              <w:rPr>
                <w:szCs w:val="21"/>
              </w:rPr>
            </w:pPr>
            <w:r w:rsidRPr="004523AB">
              <w:rPr>
                <w:rFonts w:eastAsia="Segoe UI" w:cs="Segoe UI"/>
                <w:color w:val="000000"/>
                <w:szCs w:val="21"/>
              </w:rPr>
              <w:t>468 (32.6</w:t>
            </w:r>
            <w:r w:rsidR="002600B5" w:rsidRPr="004523AB">
              <w:rPr>
                <w:rFonts w:eastAsia="Segoe UI" w:cs="Segoe UI"/>
                <w:color w:val="000000"/>
                <w:szCs w:val="21"/>
              </w:rPr>
              <w:t xml:space="preserve"> per</w:t>
            </w:r>
            <w:r w:rsidR="00843623" w:rsidRPr="004523AB">
              <w:rPr>
                <w:rFonts w:eastAsia="Segoe UI" w:cs="Segoe UI"/>
                <w:color w:val="000000"/>
                <w:szCs w:val="21"/>
              </w:rPr>
              <w:t xml:space="preserve"> </w:t>
            </w:r>
            <w:r w:rsidR="002600B5" w:rsidRPr="004523AB">
              <w:rPr>
                <w:rFonts w:eastAsia="Segoe UI" w:cs="Segoe UI"/>
                <w:color w:val="000000"/>
                <w:szCs w:val="21"/>
              </w:rPr>
              <w:t>cent</w:t>
            </w:r>
            <w:r w:rsidRPr="004523AB">
              <w:rPr>
                <w:rFonts w:eastAsia="Segoe UI" w:cs="Segoe UI"/>
                <w:color w:val="000000"/>
                <w:szCs w:val="21"/>
              </w:rPr>
              <w:t>)</w:t>
            </w:r>
          </w:p>
        </w:tc>
        <w:tc>
          <w:tcPr>
            <w:tcW w:w="4919" w:type="dxa"/>
          </w:tcPr>
          <w:p w14:paraId="38320AA0" w14:textId="42603101" w:rsidR="00B102DE" w:rsidRPr="004523AB" w:rsidRDefault="00B102DE" w:rsidP="00AF4781">
            <w:pPr>
              <w:pBdr>
                <w:top w:val="none" w:sz="0" w:space="0" w:color="000000"/>
                <w:left w:val="none" w:sz="0" w:space="0" w:color="000000"/>
                <w:bottom w:val="none" w:sz="0" w:space="0" w:color="000000"/>
                <w:right w:val="none" w:sz="0" w:space="0" w:color="000000"/>
              </w:pBdr>
              <w:spacing w:after="0"/>
              <w:ind w:left="100" w:right="100"/>
              <w:jc w:val="both"/>
              <w:rPr>
                <w:szCs w:val="21"/>
              </w:rPr>
            </w:pPr>
            <w:r w:rsidRPr="004523AB">
              <w:rPr>
                <w:rFonts w:eastAsia="Segoe UI" w:cs="Segoe UI"/>
                <w:color w:val="000000"/>
                <w:szCs w:val="21"/>
              </w:rPr>
              <w:t>968 (67.4</w:t>
            </w:r>
            <w:r w:rsidR="002600B5" w:rsidRPr="004523AB">
              <w:rPr>
                <w:rFonts w:eastAsia="Segoe UI" w:cs="Segoe UI"/>
                <w:color w:val="000000"/>
                <w:szCs w:val="21"/>
              </w:rPr>
              <w:t xml:space="preserve"> per</w:t>
            </w:r>
            <w:r w:rsidR="00843623" w:rsidRPr="004523AB">
              <w:rPr>
                <w:rFonts w:eastAsia="Segoe UI" w:cs="Segoe UI"/>
                <w:color w:val="000000"/>
                <w:szCs w:val="21"/>
              </w:rPr>
              <w:t xml:space="preserve"> </w:t>
            </w:r>
            <w:r w:rsidR="002600B5" w:rsidRPr="004523AB">
              <w:rPr>
                <w:rFonts w:eastAsia="Segoe UI" w:cs="Segoe UI"/>
                <w:color w:val="000000"/>
                <w:szCs w:val="21"/>
              </w:rPr>
              <w:t>cent</w:t>
            </w:r>
            <w:r w:rsidRPr="004523AB">
              <w:rPr>
                <w:rFonts w:eastAsia="Segoe UI" w:cs="Segoe UI"/>
                <w:color w:val="000000"/>
                <w:szCs w:val="21"/>
              </w:rPr>
              <w:t>)</w:t>
            </w:r>
          </w:p>
        </w:tc>
      </w:tr>
      <w:tr w:rsidR="00B102DE" w:rsidRPr="004523AB" w14:paraId="45CC0F8E" w14:textId="77777777" w:rsidTr="00DD5E8C">
        <w:trPr>
          <w:trHeight w:val="217"/>
        </w:trPr>
        <w:tc>
          <w:tcPr>
            <w:tcW w:w="3783" w:type="dxa"/>
          </w:tcPr>
          <w:p w14:paraId="759BD5E2" w14:textId="77777777" w:rsidR="00B102DE" w:rsidRPr="004523AB" w:rsidRDefault="00B102DE" w:rsidP="00AF4781">
            <w:pPr>
              <w:pBdr>
                <w:top w:val="none" w:sz="0" w:space="0" w:color="000000"/>
                <w:left w:val="none" w:sz="0" w:space="0" w:color="000000"/>
                <w:bottom w:val="none" w:sz="0" w:space="0" w:color="000000"/>
                <w:right w:val="none" w:sz="0" w:space="0" w:color="000000"/>
              </w:pBdr>
              <w:spacing w:after="0"/>
              <w:ind w:left="100" w:right="100"/>
              <w:jc w:val="both"/>
              <w:rPr>
                <w:szCs w:val="21"/>
              </w:rPr>
            </w:pPr>
            <w:r w:rsidRPr="004523AB">
              <w:rPr>
                <w:rFonts w:eastAsia="Segoe UI" w:cs="Segoe UI"/>
                <w:color w:val="000000"/>
                <w:szCs w:val="21"/>
              </w:rPr>
              <w:t>WA</w:t>
            </w:r>
          </w:p>
        </w:tc>
        <w:tc>
          <w:tcPr>
            <w:tcW w:w="4918" w:type="dxa"/>
          </w:tcPr>
          <w:p w14:paraId="76692E84" w14:textId="76B416C2" w:rsidR="00B102DE" w:rsidRPr="004523AB" w:rsidRDefault="00B102DE" w:rsidP="00AF4781">
            <w:pPr>
              <w:pBdr>
                <w:top w:val="none" w:sz="0" w:space="0" w:color="000000"/>
                <w:left w:val="none" w:sz="0" w:space="0" w:color="000000"/>
                <w:bottom w:val="none" w:sz="0" w:space="0" w:color="000000"/>
                <w:right w:val="none" w:sz="0" w:space="0" w:color="000000"/>
              </w:pBdr>
              <w:spacing w:after="0"/>
              <w:ind w:left="100" w:right="100"/>
              <w:jc w:val="both"/>
              <w:rPr>
                <w:szCs w:val="21"/>
              </w:rPr>
            </w:pPr>
            <w:r w:rsidRPr="004523AB">
              <w:rPr>
                <w:rFonts w:eastAsia="Segoe UI" w:cs="Segoe UI"/>
                <w:color w:val="000000"/>
                <w:szCs w:val="21"/>
              </w:rPr>
              <w:t>87 (13.1</w:t>
            </w:r>
            <w:r w:rsidR="002600B5" w:rsidRPr="004523AB">
              <w:rPr>
                <w:rFonts w:eastAsia="Segoe UI" w:cs="Segoe UI"/>
                <w:color w:val="000000"/>
                <w:szCs w:val="21"/>
              </w:rPr>
              <w:t xml:space="preserve"> per</w:t>
            </w:r>
            <w:r w:rsidR="00843623" w:rsidRPr="004523AB">
              <w:rPr>
                <w:rFonts w:eastAsia="Segoe UI" w:cs="Segoe UI"/>
                <w:color w:val="000000"/>
                <w:szCs w:val="21"/>
              </w:rPr>
              <w:t xml:space="preserve"> </w:t>
            </w:r>
            <w:r w:rsidR="002600B5" w:rsidRPr="004523AB">
              <w:rPr>
                <w:rFonts w:eastAsia="Segoe UI" w:cs="Segoe UI"/>
                <w:color w:val="000000"/>
                <w:szCs w:val="21"/>
              </w:rPr>
              <w:t>cent</w:t>
            </w:r>
            <w:r w:rsidRPr="004523AB">
              <w:rPr>
                <w:rFonts w:eastAsia="Segoe UI" w:cs="Segoe UI"/>
                <w:color w:val="000000"/>
                <w:szCs w:val="21"/>
              </w:rPr>
              <w:t>)</w:t>
            </w:r>
          </w:p>
        </w:tc>
        <w:tc>
          <w:tcPr>
            <w:tcW w:w="4919" w:type="dxa"/>
          </w:tcPr>
          <w:p w14:paraId="3C2A820D" w14:textId="25F851A0" w:rsidR="00B102DE" w:rsidRPr="004523AB" w:rsidRDefault="00B102DE" w:rsidP="00AF4781">
            <w:pPr>
              <w:pBdr>
                <w:top w:val="none" w:sz="0" w:space="0" w:color="000000"/>
                <w:left w:val="none" w:sz="0" w:space="0" w:color="000000"/>
                <w:bottom w:val="none" w:sz="0" w:space="0" w:color="000000"/>
                <w:right w:val="none" w:sz="0" w:space="0" w:color="000000"/>
              </w:pBdr>
              <w:spacing w:after="0"/>
              <w:ind w:left="100" w:right="100"/>
              <w:jc w:val="both"/>
              <w:rPr>
                <w:szCs w:val="21"/>
              </w:rPr>
            </w:pPr>
            <w:r w:rsidRPr="004523AB">
              <w:rPr>
                <w:rFonts w:eastAsia="Segoe UI" w:cs="Segoe UI"/>
                <w:color w:val="000000"/>
                <w:szCs w:val="21"/>
              </w:rPr>
              <w:t>577 (86.9</w:t>
            </w:r>
            <w:r w:rsidR="002600B5" w:rsidRPr="004523AB">
              <w:rPr>
                <w:rFonts w:eastAsia="Segoe UI" w:cs="Segoe UI"/>
                <w:color w:val="000000"/>
                <w:szCs w:val="21"/>
              </w:rPr>
              <w:t xml:space="preserve"> per</w:t>
            </w:r>
            <w:r w:rsidR="00843623" w:rsidRPr="004523AB">
              <w:rPr>
                <w:rFonts w:eastAsia="Segoe UI" w:cs="Segoe UI"/>
                <w:color w:val="000000"/>
                <w:szCs w:val="21"/>
              </w:rPr>
              <w:t xml:space="preserve"> </w:t>
            </w:r>
            <w:r w:rsidR="002600B5" w:rsidRPr="004523AB">
              <w:rPr>
                <w:rFonts w:eastAsia="Segoe UI" w:cs="Segoe UI"/>
                <w:color w:val="000000"/>
                <w:szCs w:val="21"/>
              </w:rPr>
              <w:t>cent</w:t>
            </w:r>
            <w:r w:rsidRPr="004523AB">
              <w:rPr>
                <w:rFonts w:eastAsia="Segoe UI" w:cs="Segoe UI"/>
                <w:color w:val="000000"/>
                <w:szCs w:val="21"/>
              </w:rPr>
              <w:t>)</w:t>
            </w:r>
          </w:p>
        </w:tc>
      </w:tr>
      <w:tr w:rsidR="00B102DE" w:rsidRPr="004523AB" w14:paraId="67EE8E8A" w14:textId="77777777" w:rsidTr="00DD5E8C">
        <w:trPr>
          <w:trHeight w:val="217"/>
        </w:trPr>
        <w:tc>
          <w:tcPr>
            <w:tcW w:w="3783" w:type="dxa"/>
          </w:tcPr>
          <w:p w14:paraId="407D8477" w14:textId="77777777" w:rsidR="00B102DE" w:rsidRPr="004523AB" w:rsidRDefault="00B102DE" w:rsidP="00AF4781">
            <w:pPr>
              <w:pBdr>
                <w:top w:val="none" w:sz="0" w:space="0" w:color="000000"/>
                <w:left w:val="none" w:sz="0" w:space="0" w:color="000000"/>
                <w:bottom w:val="none" w:sz="0" w:space="0" w:color="000000"/>
                <w:right w:val="none" w:sz="0" w:space="0" w:color="000000"/>
              </w:pBdr>
              <w:spacing w:after="0"/>
              <w:ind w:left="100" w:right="100"/>
              <w:jc w:val="both"/>
              <w:rPr>
                <w:szCs w:val="21"/>
              </w:rPr>
            </w:pPr>
            <w:r w:rsidRPr="004523AB">
              <w:rPr>
                <w:rFonts w:eastAsia="Segoe UI" w:cs="Segoe UI"/>
                <w:color w:val="000000"/>
                <w:szCs w:val="21"/>
              </w:rPr>
              <w:t>SA</w:t>
            </w:r>
          </w:p>
        </w:tc>
        <w:tc>
          <w:tcPr>
            <w:tcW w:w="4918" w:type="dxa"/>
          </w:tcPr>
          <w:p w14:paraId="2A4FA6D1" w14:textId="75DA1146" w:rsidR="00B102DE" w:rsidRPr="004523AB" w:rsidRDefault="00B102DE" w:rsidP="00AF4781">
            <w:pPr>
              <w:pBdr>
                <w:top w:val="none" w:sz="0" w:space="0" w:color="000000"/>
                <w:left w:val="none" w:sz="0" w:space="0" w:color="000000"/>
                <w:bottom w:val="none" w:sz="0" w:space="0" w:color="000000"/>
                <w:right w:val="none" w:sz="0" w:space="0" w:color="000000"/>
              </w:pBdr>
              <w:spacing w:after="0"/>
              <w:ind w:left="100" w:right="100"/>
              <w:jc w:val="both"/>
              <w:rPr>
                <w:szCs w:val="21"/>
              </w:rPr>
            </w:pPr>
            <w:r w:rsidRPr="004523AB">
              <w:rPr>
                <w:rFonts w:eastAsia="Segoe UI" w:cs="Segoe UI"/>
                <w:color w:val="000000"/>
                <w:szCs w:val="21"/>
              </w:rPr>
              <w:t>140 (30.6</w:t>
            </w:r>
            <w:r w:rsidR="002600B5" w:rsidRPr="004523AB">
              <w:rPr>
                <w:rFonts w:eastAsia="Segoe UI" w:cs="Segoe UI"/>
                <w:color w:val="000000"/>
                <w:szCs w:val="21"/>
              </w:rPr>
              <w:t xml:space="preserve"> per</w:t>
            </w:r>
            <w:r w:rsidR="00843623" w:rsidRPr="004523AB">
              <w:rPr>
                <w:rFonts w:eastAsia="Segoe UI" w:cs="Segoe UI"/>
                <w:color w:val="000000"/>
                <w:szCs w:val="21"/>
              </w:rPr>
              <w:t xml:space="preserve"> </w:t>
            </w:r>
            <w:r w:rsidR="002600B5" w:rsidRPr="004523AB">
              <w:rPr>
                <w:rFonts w:eastAsia="Segoe UI" w:cs="Segoe UI"/>
                <w:color w:val="000000"/>
                <w:szCs w:val="21"/>
              </w:rPr>
              <w:t>cent</w:t>
            </w:r>
            <w:r w:rsidRPr="004523AB">
              <w:rPr>
                <w:rFonts w:eastAsia="Segoe UI" w:cs="Segoe UI"/>
                <w:color w:val="000000"/>
                <w:szCs w:val="21"/>
              </w:rPr>
              <w:t>)</w:t>
            </w:r>
          </w:p>
        </w:tc>
        <w:tc>
          <w:tcPr>
            <w:tcW w:w="4919" w:type="dxa"/>
          </w:tcPr>
          <w:p w14:paraId="4CBF74BF" w14:textId="63614747" w:rsidR="00B102DE" w:rsidRPr="004523AB" w:rsidRDefault="00B102DE" w:rsidP="00AF4781">
            <w:pPr>
              <w:pBdr>
                <w:top w:val="none" w:sz="0" w:space="0" w:color="000000"/>
                <w:left w:val="none" w:sz="0" w:space="0" w:color="000000"/>
                <w:bottom w:val="none" w:sz="0" w:space="0" w:color="000000"/>
                <w:right w:val="none" w:sz="0" w:space="0" w:color="000000"/>
              </w:pBdr>
              <w:spacing w:after="0"/>
              <w:ind w:left="100" w:right="100"/>
              <w:jc w:val="both"/>
              <w:rPr>
                <w:szCs w:val="21"/>
              </w:rPr>
            </w:pPr>
            <w:r w:rsidRPr="004523AB">
              <w:rPr>
                <w:rFonts w:eastAsia="Segoe UI" w:cs="Segoe UI"/>
                <w:color w:val="000000"/>
                <w:szCs w:val="21"/>
              </w:rPr>
              <w:t>318 (69.4</w:t>
            </w:r>
            <w:r w:rsidR="002600B5" w:rsidRPr="004523AB">
              <w:rPr>
                <w:rFonts w:eastAsia="Segoe UI" w:cs="Segoe UI"/>
                <w:color w:val="000000"/>
                <w:szCs w:val="21"/>
              </w:rPr>
              <w:t xml:space="preserve"> per</w:t>
            </w:r>
            <w:r w:rsidR="00843623" w:rsidRPr="004523AB">
              <w:rPr>
                <w:rFonts w:eastAsia="Segoe UI" w:cs="Segoe UI"/>
                <w:color w:val="000000"/>
                <w:szCs w:val="21"/>
              </w:rPr>
              <w:t xml:space="preserve"> </w:t>
            </w:r>
            <w:r w:rsidR="002600B5" w:rsidRPr="004523AB">
              <w:rPr>
                <w:rFonts w:eastAsia="Segoe UI" w:cs="Segoe UI"/>
                <w:color w:val="000000"/>
                <w:szCs w:val="21"/>
              </w:rPr>
              <w:t>cent</w:t>
            </w:r>
            <w:r w:rsidRPr="004523AB">
              <w:rPr>
                <w:rFonts w:eastAsia="Segoe UI" w:cs="Segoe UI"/>
                <w:color w:val="000000"/>
                <w:szCs w:val="21"/>
              </w:rPr>
              <w:t>)</w:t>
            </w:r>
          </w:p>
        </w:tc>
      </w:tr>
      <w:tr w:rsidR="00B102DE" w:rsidRPr="004523AB" w14:paraId="1C801CBB" w14:textId="77777777" w:rsidTr="00DD5E8C">
        <w:trPr>
          <w:trHeight w:val="217"/>
        </w:trPr>
        <w:tc>
          <w:tcPr>
            <w:tcW w:w="3783" w:type="dxa"/>
          </w:tcPr>
          <w:p w14:paraId="45DF2517" w14:textId="77777777" w:rsidR="00B102DE" w:rsidRPr="004523AB" w:rsidRDefault="00B102DE" w:rsidP="00AF4781">
            <w:pPr>
              <w:pBdr>
                <w:top w:val="none" w:sz="0" w:space="0" w:color="000000"/>
                <w:left w:val="none" w:sz="0" w:space="0" w:color="000000"/>
                <w:bottom w:val="none" w:sz="0" w:space="0" w:color="000000"/>
                <w:right w:val="none" w:sz="0" w:space="0" w:color="000000"/>
              </w:pBdr>
              <w:spacing w:after="0"/>
              <w:ind w:left="100" w:right="100"/>
              <w:jc w:val="both"/>
              <w:rPr>
                <w:szCs w:val="21"/>
              </w:rPr>
            </w:pPr>
            <w:r w:rsidRPr="004523AB">
              <w:rPr>
                <w:rFonts w:eastAsia="Segoe UI" w:cs="Segoe UI"/>
                <w:color w:val="000000"/>
                <w:szCs w:val="21"/>
              </w:rPr>
              <w:t>TAS</w:t>
            </w:r>
          </w:p>
        </w:tc>
        <w:tc>
          <w:tcPr>
            <w:tcW w:w="4918" w:type="dxa"/>
          </w:tcPr>
          <w:p w14:paraId="1C9EBED8" w14:textId="49D5B3EC" w:rsidR="00B102DE" w:rsidRPr="004523AB" w:rsidRDefault="00B102DE" w:rsidP="00AF4781">
            <w:pPr>
              <w:pBdr>
                <w:top w:val="none" w:sz="0" w:space="0" w:color="000000"/>
                <w:left w:val="none" w:sz="0" w:space="0" w:color="000000"/>
                <w:bottom w:val="none" w:sz="0" w:space="0" w:color="000000"/>
                <w:right w:val="none" w:sz="0" w:space="0" w:color="000000"/>
              </w:pBdr>
              <w:spacing w:after="0"/>
              <w:ind w:left="100" w:right="100"/>
              <w:jc w:val="both"/>
              <w:rPr>
                <w:szCs w:val="21"/>
              </w:rPr>
            </w:pPr>
            <w:r w:rsidRPr="004523AB">
              <w:rPr>
                <w:rFonts w:eastAsia="Segoe UI" w:cs="Segoe UI"/>
                <w:color w:val="000000"/>
                <w:szCs w:val="21"/>
              </w:rPr>
              <w:t>8 (6.2</w:t>
            </w:r>
            <w:r w:rsidR="002600B5" w:rsidRPr="004523AB">
              <w:rPr>
                <w:rFonts w:eastAsia="Segoe UI" w:cs="Segoe UI"/>
                <w:color w:val="000000"/>
                <w:szCs w:val="21"/>
              </w:rPr>
              <w:t xml:space="preserve"> per</w:t>
            </w:r>
            <w:r w:rsidR="00843623" w:rsidRPr="004523AB">
              <w:rPr>
                <w:rFonts w:eastAsia="Segoe UI" w:cs="Segoe UI"/>
                <w:color w:val="000000"/>
                <w:szCs w:val="21"/>
              </w:rPr>
              <w:t xml:space="preserve"> </w:t>
            </w:r>
            <w:r w:rsidR="002600B5" w:rsidRPr="004523AB">
              <w:rPr>
                <w:rFonts w:eastAsia="Segoe UI" w:cs="Segoe UI"/>
                <w:color w:val="000000"/>
                <w:szCs w:val="21"/>
              </w:rPr>
              <w:t>cent</w:t>
            </w:r>
            <w:r w:rsidRPr="004523AB">
              <w:rPr>
                <w:rFonts w:eastAsia="Segoe UI" w:cs="Segoe UI"/>
                <w:color w:val="000000"/>
                <w:szCs w:val="21"/>
              </w:rPr>
              <w:t>)</w:t>
            </w:r>
          </w:p>
        </w:tc>
        <w:tc>
          <w:tcPr>
            <w:tcW w:w="4919" w:type="dxa"/>
          </w:tcPr>
          <w:p w14:paraId="110C35FE" w14:textId="0F3AF1F7" w:rsidR="00B102DE" w:rsidRPr="004523AB" w:rsidRDefault="00B102DE" w:rsidP="00AF4781">
            <w:pPr>
              <w:pBdr>
                <w:top w:val="none" w:sz="0" w:space="0" w:color="000000"/>
                <w:left w:val="none" w:sz="0" w:space="0" w:color="000000"/>
                <w:bottom w:val="none" w:sz="0" w:space="0" w:color="000000"/>
                <w:right w:val="none" w:sz="0" w:space="0" w:color="000000"/>
              </w:pBdr>
              <w:spacing w:after="0"/>
              <w:ind w:left="100" w:right="100"/>
              <w:jc w:val="both"/>
              <w:rPr>
                <w:szCs w:val="21"/>
              </w:rPr>
            </w:pPr>
            <w:r w:rsidRPr="004523AB">
              <w:rPr>
                <w:rFonts w:eastAsia="Segoe UI" w:cs="Segoe UI"/>
                <w:color w:val="000000"/>
                <w:szCs w:val="21"/>
              </w:rPr>
              <w:t>122 (93.8</w:t>
            </w:r>
            <w:r w:rsidR="002600B5" w:rsidRPr="004523AB">
              <w:rPr>
                <w:rFonts w:eastAsia="Segoe UI" w:cs="Segoe UI"/>
                <w:color w:val="000000"/>
                <w:szCs w:val="21"/>
              </w:rPr>
              <w:t xml:space="preserve"> per</w:t>
            </w:r>
            <w:r w:rsidR="00843623" w:rsidRPr="004523AB">
              <w:rPr>
                <w:rFonts w:eastAsia="Segoe UI" w:cs="Segoe UI"/>
                <w:color w:val="000000"/>
                <w:szCs w:val="21"/>
              </w:rPr>
              <w:t xml:space="preserve"> </w:t>
            </w:r>
            <w:r w:rsidR="002600B5" w:rsidRPr="004523AB">
              <w:rPr>
                <w:rFonts w:eastAsia="Segoe UI" w:cs="Segoe UI"/>
                <w:color w:val="000000"/>
                <w:szCs w:val="21"/>
              </w:rPr>
              <w:t>cent</w:t>
            </w:r>
            <w:r w:rsidRPr="004523AB">
              <w:rPr>
                <w:rFonts w:eastAsia="Segoe UI" w:cs="Segoe UI"/>
                <w:color w:val="000000"/>
                <w:szCs w:val="21"/>
              </w:rPr>
              <w:t>)</w:t>
            </w:r>
          </w:p>
        </w:tc>
      </w:tr>
      <w:tr w:rsidR="00B102DE" w:rsidRPr="004523AB" w14:paraId="27D18566" w14:textId="77777777" w:rsidTr="00DD5E8C">
        <w:trPr>
          <w:trHeight w:val="233"/>
        </w:trPr>
        <w:tc>
          <w:tcPr>
            <w:tcW w:w="3783" w:type="dxa"/>
          </w:tcPr>
          <w:p w14:paraId="79DAE209" w14:textId="77777777" w:rsidR="00B102DE" w:rsidRPr="004523AB" w:rsidRDefault="00B102DE" w:rsidP="00AF4781">
            <w:pPr>
              <w:pBdr>
                <w:top w:val="none" w:sz="0" w:space="0" w:color="000000"/>
                <w:left w:val="none" w:sz="0" w:space="0" w:color="000000"/>
                <w:bottom w:val="none" w:sz="0" w:space="0" w:color="000000"/>
                <w:right w:val="none" w:sz="0" w:space="0" w:color="000000"/>
              </w:pBdr>
              <w:spacing w:after="0"/>
              <w:ind w:left="100" w:right="100"/>
              <w:jc w:val="both"/>
              <w:rPr>
                <w:szCs w:val="21"/>
              </w:rPr>
            </w:pPr>
            <w:r w:rsidRPr="004523AB">
              <w:rPr>
                <w:rFonts w:eastAsia="Segoe UI" w:cs="Segoe UI"/>
                <w:color w:val="000000"/>
                <w:szCs w:val="21"/>
              </w:rPr>
              <w:t>ACT</w:t>
            </w:r>
          </w:p>
        </w:tc>
        <w:tc>
          <w:tcPr>
            <w:tcW w:w="4918" w:type="dxa"/>
          </w:tcPr>
          <w:p w14:paraId="5D1E64A2" w14:textId="67200A81" w:rsidR="00B102DE" w:rsidRPr="004523AB" w:rsidRDefault="00062B73" w:rsidP="00AF4781">
            <w:pPr>
              <w:pBdr>
                <w:top w:val="none" w:sz="0" w:space="0" w:color="000000"/>
                <w:left w:val="none" w:sz="0" w:space="0" w:color="000000"/>
                <w:bottom w:val="none" w:sz="0" w:space="0" w:color="000000"/>
                <w:right w:val="none" w:sz="0" w:space="0" w:color="000000"/>
              </w:pBdr>
              <w:spacing w:after="0"/>
              <w:ind w:left="100" w:right="100"/>
              <w:jc w:val="both"/>
              <w:rPr>
                <w:szCs w:val="21"/>
              </w:rPr>
            </w:pPr>
            <w:r w:rsidRPr="004523AB">
              <w:rPr>
                <w:rFonts w:asciiTheme="minorHAnsi" w:hAnsiTheme="minorHAnsi" w:cstheme="minorHAnsi"/>
                <w:szCs w:val="21"/>
              </w:rPr>
              <w:t>0 (0 per cent)</w:t>
            </w:r>
          </w:p>
        </w:tc>
        <w:tc>
          <w:tcPr>
            <w:tcW w:w="4919" w:type="dxa"/>
          </w:tcPr>
          <w:p w14:paraId="7207944F" w14:textId="55C204B2" w:rsidR="00B102DE" w:rsidRPr="004523AB" w:rsidRDefault="00B102DE" w:rsidP="00AF4781">
            <w:pPr>
              <w:pBdr>
                <w:top w:val="none" w:sz="0" w:space="0" w:color="000000"/>
                <w:left w:val="none" w:sz="0" w:space="0" w:color="000000"/>
                <w:bottom w:val="none" w:sz="0" w:space="0" w:color="000000"/>
                <w:right w:val="none" w:sz="0" w:space="0" w:color="000000"/>
              </w:pBdr>
              <w:spacing w:after="0"/>
              <w:ind w:left="100" w:right="100"/>
              <w:jc w:val="both"/>
              <w:rPr>
                <w:szCs w:val="21"/>
              </w:rPr>
            </w:pPr>
            <w:r w:rsidRPr="004523AB">
              <w:rPr>
                <w:rFonts w:eastAsia="Segoe UI" w:cs="Segoe UI"/>
                <w:color w:val="000000"/>
                <w:szCs w:val="21"/>
              </w:rPr>
              <w:t>99 (100.0</w:t>
            </w:r>
            <w:r w:rsidR="002600B5" w:rsidRPr="004523AB">
              <w:rPr>
                <w:rFonts w:eastAsia="Segoe UI" w:cs="Segoe UI"/>
                <w:color w:val="000000"/>
                <w:szCs w:val="21"/>
              </w:rPr>
              <w:t xml:space="preserve"> per</w:t>
            </w:r>
            <w:r w:rsidR="00843623" w:rsidRPr="004523AB">
              <w:rPr>
                <w:rFonts w:eastAsia="Segoe UI" w:cs="Segoe UI"/>
                <w:color w:val="000000"/>
                <w:szCs w:val="21"/>
              </w:rPr>
              <w:t xml:space="preserve"> </w:t>
            </w:r>
            <w:r w:rsidR="002600B5" w:rsidRPr="004523AB">
              <w:rPr>
                <w:rFonts w:eastAsia="Segoe UI" w:cs="Segoe UI"/>
                <w:color w:val="000000"/>
                <w:szCs w:val="21"/>
              </w:rPr>
              <w:t>cent</w:t>
            </w:r>
            <w:r w:rsidRPr="004523AB">
              <w:rPr>
                <w:rFonts w:eastAsia="Segoe UI" w:cs="Segoe UI"/>
                <w:color w:val="000000"/>
                <w:szCs w:val="21"/>
              </w:rPr>
              <w:t>)</w:t>
            </w:r>
          </w:p>
        </w:tc>
      </w:tr>
      <w:tr w:rsidR="00B102DE" w:rsidRPr="004523AB" w14:paraId="01D54364" w14:textId="77777777" w:rsidTr="00DD5E8C">
        <w:trPr>
          <w:trHeight w:val="217"/>
        </w:trPr>
        <w:tc>
          <w:tcPr>
            <w:tcW w:w="3783" w:type="dxa"/>
          </w:tcPr>
          <w:p w14:paraId="2BF766B5" w14:textId="77777777" w:rsidR="00B102DE" w:rsidRPr="004523AB" w:rsidRDefault="00B102DE" w:rsidP="00AF4781">
            <w:pPr>
              <w:pBdr>
                <w:top w:val="none" w:sz="0" w:space="0" w:color="000000"/>
                <w:left w:val="none" w:sz="0" w:space="0" w:color="000000"/>
                <w:bottom w:val="none" w:sz="0" w:space="0" w:color="000000"/>
                <w:right w:val="none" w:sz="0" w:space="0" w:color="000000"/>
              </w:pBdr>
              <w:spacing w:after="0"/>
              <w:ind w:left="100" w:right="100"/>
              <w:jc w:val="both"/>
              <w:rPr>
                <w:szCs w:val="21"/>
              </w:rPr>
            </w:pPr>
            <w:r w:rsidRPr="004523AB">
              <w:rPr>
                <w:rFonts w:eastAsia="Segoe UI" w:cs="Segoe UI"/>
                <w:color w:val="000000"/>
                <w:szCs w:val="21"/>
              </w:rPr>
              <w:t>NT</w:t>
            </w:r>
          </w:p>
        </w:tc>
        <w:tc>
          <w:tcPr>
            <w:tcW w:w="4918" w:type="dxa"/>
          </w:tcPr>
          <w:p w14:paraId="4D2C00A0" w14:textId="26644A90" w:rsidR="00B102DE" w:rsidRPr="004523AB" w:rsidRDefault="00B102DE" w:rsidP="00AF4781">
            <w:pPr>
              <w:pBdr>
                <w:top w:val="none" w:sz="0" w:space="0" w:color="000000"/>
                <w:left w:val="none" w:sz="0" w:space="0" w:color="000000"/>
                <w:bottom w:val="none" w:sz="0" w:space="0" w:color="000000"/>
                <w:right w:val="none" w:sz="0" w:space="0" w:color="000000"/>
              </w:pBdr>
              <w:spacing w:after="0"/>
              <w:ind w:left="100" w:right="100"/>
              <w:jc w:val="both"/>
              <w:rPr>
                <w:szCs w:val="21"/>
              </w:rPr>
            </w:pPr>
            <w:r w:rsidRPr="004523AB">
              <w:rPr>
                <w:rFonts w:eastAsia="Segoe UI" w:cs="Segoe UI"/>
                <w:color w:val="000000"/>
                <w:szCs w:val="21"/>
              </w:rPr>
              <w:t>15 (17.9</w:t>
            </w:r>
            <w:r w:rsidR="002600B5" w:rsidRPr="004523AB">
              <w:rPr>
                <w:rFonts w:eastAsia="Segoe UI" w:cs="Segoe UI"/>
                <w:color w:val="000000"/>
                <w:szCs w:val="21"/>
              </w:rPr>
              <w:t xml:space="preserve"> per</w:t>
            </w:r>
            <w:r w:rsidR="00843623" w:rsidRPr="004523AB">
              <w:rPr>
                <w:rFonts w:eastAsia="Segoe UI" w:cs="Segoe UI"/>
                <w:color w:val="000000"/>
                <w:szCs w:val="21"/>
              </w:rPr>
              <w:t xml:space="preserve"> </w:t>
            </w:r>
            <w:r w:rsidR="002600B5" w:rsidRPr="004523AB">
              <w:rPr>
                <w:rFonts w:eastAsia="Segoe UI" w:cs="Segoe UI"/>
                <w:color w:val="000000"/>
                <w:szCs w:val="21"/>
              </w:rPr>
              <w:t>cent</w:t>
            </w:r>
            <w:r w:rsidRPr="004523AB">
              <w:rPr>
                <w:rFonts w:eastAsia="Segoe UI" w:cs="Segoe UI"/>
                <w:color w:val="000000"/>
                <w:szCs w:val="21"/>
              </w:rPr>
              <w:t>)</w:t>
            </w:r>
          </w:p>
        </w:tc>
        <w:tc>
          <w:tcPr>
            <w:tcW w:w="4919" w:type="dxa"/>
          </w:tcPr>
          <w:p w14:paraId="2C20CFEB" w14:textId="6DE06CFC" w:rsidR="00B102DE" w:rsidRPr="004523AB" w:rsidRDefault="00B102DE" w:rsidP="00AF4781">
            <w:pPr>
              <w:pBdr>
                <w:top w:val="none" w:sz="0" w:space="0" w:color="000000"/>
                <w:left w:val="none" w:sz="0" w:space="0" w:color="000000"/>
                <w:bottom w:val="none" w:sz="0" w:space="0" w:color="000000"/>
                <w:right w:val="none" w:sz="0" w:space="0" w:color="000000"/>
              </w:pBdr>
              <w:spacing w:after="0"/>
              <w:ind w:left="100" w:right="100"/>
              <w:jc w:val="both"/>
              <w:rPr>
                <w:szCs w:val="21"/>
              </w:rPr>
            </w:pPr>
            <w:r w:rsidRPr="004523AB">
              <w:rPr>
                <w:rFonts w:eastAsia="Segoe UI" w:cs="Segoe UI"/>
                <w:color w:val="000000"/>
                <w:szCs w:val="21"/>
              </w:rPr>
              <w:t>69 (82.1</w:t>
            </w:r>
            <w:r w:rsidR="002600B5" w:rsidRPr="004523AB">
              <w:rPr>
                <w:rFonts w:eastAsia="Segoe UI" w:cs="Segoe UI"/>
                <w:color w:val="000000"/>
                <w:szCs w:val="21"/>
              </w:rPr>
              <w:t xml:space="preserve"> per</w:t>
            </w:r>
            <w:r w:rsidR="00843623" w:rsidRPr="004523AB">
              <w:rPr>
                <w:rFonts w:eastAsia="Segoe UI" w:cs="Segoe UI"/>
                <w:color w:val="000000"/>
                <w:szCs w:val="21"/>
              </w:rPr>
              <w:t xml:space="preserve"> </w:t>
            </w:r>
            <w:r w:rsidR="002600B5" w:rsidRPr="004523AB">
              <w:rPr>
                <w:rFonts w:eastAsia="Segoe UI" w:cs="Segoe UI"/>
                <w:color w:val="000000"/>
                <w:szCs w:val="21"/>
              </w:rPr>
              <w:t>cent</w:t>
            </w:r>
            <w:r w:rsidRPr="004523AB">
              <w:rPr>
                <w:rFonts w:eastAsia="Segoe UI" w:cs="Segoe UI"/>
                <w:color w:val="000000"/>
                <w:szCs w:val="21"/>
              </w:rPr>
              <w:t>)</w:t>
            </w:r>
          </w:p>
        </w:tc>
      </w:tr>
      <w:tr w:rsidR="00B102DE" w:rsidRPr="004523AB" w14:paraId="5A2ECFF7" w14:textId="77777777" w:rsidTr="00DD5E8C">
        <w:trPr>
          <w:trHeight w:val="233"/>
        </w:trPr>
        <w:tc>
          <w:tcPr>
            <w:tcW w:w="3783" w:type="dxa"/>
          </w:tcPr>
          <w:p w14:paraId="6D86FEB6" w14:textId="77777777" w:rsidR="00B102DE" w:rsidRPr="004523AB" w:rsidRDefault="00B102DE" w:rsidP="00AF4781">
            <w:pPr>
              <w:pBdr>
                <w:top w:val="none" w:sz="0" w:space="0" w:color="000000"/>
                <w:left w:val="none" w:sz="0" w:space="0" w:color="000000"/>
                <w:bottom w:val="none" w:sz="0" w:space="0" w:color="000000"/>
                <w:right w:val="none" w:sz="0" w:space="0" w:color="000000"/>
              </w:pBdr>
              <w:spacing w:after="0"/>
              <w:ind w:left="100" w:right="100"/>
              <w:jc w:val="both"/>
              <w:rPr>
                <w:rFonts w:asciiTheme="majorHAnsi" w:hAnsiTheme="majorHAnsi" w:cstheme="majorHAnsi"/>
                <w:bCs/>
                <w:szCs w:val="21"/>
              </w:rPr>
            </w:pPr>
            <w:r w:rsidRPr="004523AB">
              <w:rPr>
                <w:rFonts w:asciiTheme="majorHAnsi" w:eastAsia="Segoe UI" w:hAnsiTheme="majorHAnsi" w:cstheme="majorHAnsi"/>
                <w:bCs/>
                <w:color w:val="000000"/>
                <w:szCs w:val="21"/>
              </w:rPr>
              <w:t>Total</w:t>
            </w:r>
          </w:p>
        </w:tc>
        <w:tc>
          <w:tcPr>
            <w:tcW w:w="4918" w:type="dxa"/>
          </w:tcPr>
          <w:p w14:paraId="6EE66C7A" w14:textId="708D4A61" w:rsidR="00B102DE" w:rsidRPr="004523AB" w:rsidRDefault="00B102DE" w:rsidP="00AF4781">
            <w:pPr>
              <w:pBdr>
                <w:top w:val="none" w:sz="0" w:space="0" w:color="000000"/>
                <w:left w:val="none" w:sz="0" w:space="0" w:color="000000"/>
                <w:bottom w:val="none" w:sz="0" w:space="0" w:color="000000"/>
                <w:right w:val="none" w:sz="0" w:space="0" w:color="000000"/>
              </w:pBdr>
              <w:spacing w:after="0"/>
              <w:ind w:left="100" w:right="100"/>
              <w:jc w:val="both"/>
              <w:rPr>
                <w:rFonts w:asciiTheme="majorHAnsi" w:hAnsiTheme="majorHAnsi" w:cstheme="majorHAnsi"/>
                <w:bCs/>
                <w:szCs w:val="21"/>
              </w:rPr>
            </w:pPr>
            <w:r w:rsidRPr="004523AB">
              <w:rPr>
                <w:rFonts w:asciiTheme="majorHAnsi" w:eastAsia="Segoe UI" w:hAnsiTheme="majorHAnsi" w:cstheme="majorHAnsi"/>
                <w:bCs/>
                <w:color w:val="000000"/>
                <w:szCs w:val="21"/>
              </w:rPr>
              <w:t>1,721 (24.4</w:t>
            </w:r>
            <w:r w:rsidR="002600B5" w:rsidRPr="004523AB">
              <w:rPr>
                <w:rFonts w:asciiTheme="majorHAnsi" w:eastAsia="Segoe UI" w:hAnsiTheme="majorHAnsi" w:cstheme="majorHAnsi"/>
                <w:bCs/>
                <w:color w:val="000000"/>
                <w:szCs w:val="21"/>
              </w:rPr>
              <w:t xml:space="preserve"> per</w:t>
            </w:r>
            <w:r w:rsidR="00843623" w:rsidRPr="004523AB">
              <w:rPr>
                <w:rFonts w:asciiTheme="majorHAnsi" w:eastAsia="Segoe UI" w:hAnsiTheme="majorHAnsi" w:cstheme="majorHAnsi"/>
                <w:bCs/>
                <w:color w:val="000000"/>
                <w:szCs w:val="21"/>
              </w:rPr>
              <w:t xml:space="preserve"> </w:t>
            </w:r>
            <w:r w:rsidR="002600B5" w:rsidRPr="004523AB">
              <w:rPr>
                <w:rFonts w:asciiTheme="majorHAnsi" w:eastAsia="Segoe UI" w:hAnsiTheme="majorHAnsi" w:cstheme="majorHAnsi"/>
                <w:bCs/>
                <w:color w:val="000000"/>
                <w:szCs w:val="21"/>
              </w:rPr>
              <w:t>cent</w:t>
            </w:r>
            <w:r w:rsidRPr="004523AB">
              <w:rPr>
                <w:rFonts w:asciiTheme="majorHAnsi" w:eastAsia="Segoe UI" w:hAnsiTheme="majorHAnsi" w:cstheme="majorHAnsi"/>
                <w:bCs/>
                <w:color w:val="000000"/>
                <w:szCs w:val="21"/>
              </w:rPr>
              <w:t>)</w:t>
            </w:r>
          </w:p>
        </w:tc>
        <w:tc>
          <w:tcPr>
            <w:tcW w:w="4919" w:type="dxa"/>
          </w:tcPr>
          <w:p w14:paraId="18DC6581" w14:textId="776B63CB" w:rsidR="00B102DE" w:rsidRPr="004523AB" w:rsidRDefault="00B102DE" w:rsidP="00AF4781">
            <w:pPr>
              <w:pBdr>
                <w:top w:val="none" w:sz="0" w:space="0" w:color="000000"/>
                <w:left w:val="none" w:sz="0" w:space="0" w:color="000000"/>
                <w:bottom w:val="none" w:sz="0" w:space="0" w:color="000000"/>
                <w:right w:val="none" w:sz="0" w:space="0" w:color="000000"/>
              </w:pBdr>
              <w:spacing w:after="0"/>
              <w:ind w:left="100" w:right="100"/>
              <w:jc w:val="both"/>
              <w:rPr>
                <w:rFonts w:asciiTheme="majorHAnsi" w:hAnsiTheme="majorHAnsi" w:cstheme="majorHAnsi"/>
                <w:bCs/>
                <w:szCs w:val="21"/>
              </w:rPr>
            </w:pPr>
            <w:r w:rsidRPr="004523AB">
              <w:rPr>
                <w:rFonts w:asciiTheme="majorHAnsi" w:eastAsia="Segoe UI" w:hAnsiTheme="majorHAnsi" w:cstheme="majorHAnsi"/>
                <w:bCs/>
                <w:color w:val="000000"/>
                <w:szCs w:val="21"/>
              </w:rPr>
              <w:t>5,325 (75.6</w:t>
            </w:r>
            <w:r w:rsidR="002600B5" w:rsidRPr="004523AB">
              <w:rPr>
                <w:rFonts w:asciiTheme="majorHAnsi" w:eastAsia="Segoe UI" w:hAnsiTheme="majorHAnsi" w:cstheme="majorHAnsi"/>
                <w:bCs/>
                <w:color w:val="000000"/>
                <w:szCs w:val="21"/>
              </w:rPr>
              <w:t xml:space="preserve"> per</w:t>
            </w:r>
            <w:r w:rsidR="00843623" w:rsidRPr="004523AB">
              <w:rPr>
                <w:rFonts w:asciiTheme="majorHAnsi" w:eastAsia="Segoe UI" w:hAnsiTheme="majorHAnsi" w:cstheme="majorHAnsi"/>
                <w:bCs/>
                <w:color w:val="000000"/>
                <w:szCs w:val="21"/>
              </w:rPr>
              <w:t xml:space="preserve"> </w:t>
            </w:r>
            <w:r w:rsidR="002600B5" w:rsidRPr="004523AB">
              <w:rPr>
                <w:rFonts w:asciiTheme="majorHAnsi" w:eastAsia="Segoe UI" w:hAnsiTheme="majorHAnsi" w:cstheme="majorHAnsi"/>
                <w:bCs/>
                <w:color w:val="000000"/>
                <w:szCs w:val="21"/>
              </w:rPr>
              <w:t>cent</w:t>
            </w:r>
            <w:r w:rsidRPr="004523AB">
              <w:rPr>
                <w:rFonts w:asciiTheme="majorHAnsi" w:eastAsia="Segoe UI" w:hAnsiTheme="majorHAnsi" w:cstheme="majorHAnsi"/>
                <w:bCs/>
                <w:color w:val="000000"/>
                <w:szCs w:val="21"/>
              </w:rPr>
              <w:t>)</w:t>
            </w:r>
          </w:p>
        </w:tc>
      </w:tr>
    </w:tbl>
    <w:p w14:paraId="2D565891" w14:textId="60BBB87F" w:rsidR="00FC241B" w:rsidRPr="004523AB" w:rsidRDefault="00434AD2" w:rsidP="006E25AA">
      <w:pPr>
        <w:pStyle w:val="Listnumbered"/>
      </w:pPr>
      <w:r w:rsidRPr="004523AB">
        <w:t>*</w:t>
      </w:r>
      <w:proofErr w:type="gramStart"/>
      <w:r w:rsidRPr="004523AB">
        <w:t>Yes</w:t>
      </w:r>
      <w:proofErr w:type="gramEnd"/>
      <w:r w:rsidRPr="004523AB">
        <w:t xml:space="preserve"> responses include those who had unspent funds (n = 49) and those who did not complete the survey (n = 108)</w:t>
      </w:r>
    </w:p>
    <w:p w14:paraId="7DCD1528" w14:textId="3CBDAF49" w:rsidR="009D236B" w:rsidRPr="004523AB" w:rsidRDefault="007F651B" w:rsidP="009D236B">
      <w:pPr>
        <w:pStyle w:val="Caption"/>
      </w:pPr>
      <w:r w:rsidRPr="004523AB">
        <w:lastRenderedPageBreak/>
        <w:t xml:space="preserve"> </w:t>
      </w:r>
      <w:r w:rsidR="009D236B" w:rsidRPr="004523AB">
        <w:t xml:space="preserve">Table </w:t>
      </w:r>
      <w:r w:rsidR="009D236B" w:rsidRPr="004523AB">
        <w:fldChar w:fldCharType="begin"/>
      </w:r>
      <w:r w:rsidR="009D236B" w:rsidRPr="004523AB">
        <w:instrText xml:space="preserve"> SEQ Table \* ARABIC </w:instrText>
      </w:r>
      <w:r w:rsidR="009D236B" w:rsidRPr="004523AB">
        <w:fldChar w:fldCharType="separate"/>
      </w:r>
      <w:r w:rsidR="00B96E50">
        <w:rPr>
          <w:noProof/>
        </w:rPr>
        <w:t>23</w:t>
      </w:r>
      <w:r w:rsidR="009D236B" w:rsidRPr="004523AB">
        <w:fldChar w:fldCharType="end"/>
      </w:r>
      <w:r w:rsidR="009D236B" w:rsidRPr="004523AB">
        <w:t xml:space="preserve"> | Percentage of practices who indicated they had spent part of their funding on an investment stream</w:t>
      </w:r>
    </w:p>
    <w:tbl>
      <w:tblPr>
        <w:tblStyle w:val="AccessibleNousTable"/>
        <w:tblW w:w="0" w:type="auto"/>
        <w:tblLayout w:type="fixed"/>
        <w:tblLook w:val="0420" w:firstRow="1" w:lastRow="0" w:firstColumn="0" w:lastColumn="0" w:noHBand="0" w:noVBand="1"/>
      </w:tblPr>
      <w:tblGrid>
        <w:gridCol w:w="1930"/>
        <w:gridCol w:w="3861"/>
        <w:gridCol w:w="3861"/>
        <w:gridCol w:w="3864"/>
      </w:tblGrid>
      <w:tr w:rsidR="000B2390" w:rsidRPr="004523AB" w14:paraId="637C1097" w14:textId="77777777" w:rsidTr="00DD5E8C">
        <w:trPr>
          <w:cnfStyle w:val="100000000000" w:firstRow="1" w:lastRow="0" w:firstColumn="0" w:lastColumn="0" w:oddVBand="0" w:evenVBand="0" w:oddHBand="0" w:evenHBand="0" w:firstRowFirstColumn="0" w:firstRowLastColumn="0" w:lastRowFirstColumn="0" w:lastRowLastColumn="0"/>
          <w:trHeight w:val="143"/>
        </w:trPr>
        <w:tc>
          <w:tcPr>
            <w:tcW w:w="1930" w:type="dxa"/>
          </w:tcPr>
          <w:p w14:paraId="0F56B609" w14:textId="75DA26FB" w:rsidR="000B2390" w:rsidRPr="004523AB" w:rsidRDefault="000B2390">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State</w:t>
            </w:r>
          </w:p>
        </w:tc>
        <w:tc>
          <w:tcPr>
            <w:tcW w:w="3861" w:type="dxa"/>
          </w:tcPr>
          <w:p w14:paraId="0C92219C" w14:textId="18345B26" w:rsidR="000B2390" w:rsidRPr="004523AB" w:rsidRDefault="000B2390" w:rsidP="00AF4781">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Stream 1 – Enhancing digital health capability</w:t>
            </w:r>
          </w:p>
        </w:tc>
        <w:tc>
          <w:tcPr>
            <w:tcW w:w="3861" w:type="dxa"/>
          </w:tcPr>
          <w:p w14:paraId="5D2002D6" w14:textId="252A0E2D" w:rsidR="000B2390" w:rsidRPr="004523AB" w:rsidRDefault="000B2390" w:rsidP="00AF4781">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Stream 2 – Upgrading infection prevention and control arrangements</w:t>
            </w:r>
          </w:p>
        </w:tc>
        <w:tc>
          <w:tcPr>
            <w:tcW w:w="3864" w:type="dxa"/>
          </w:tcPr>
          <w:p w14:paraId="3019A92E" w14:textId="056B0122" w:rsidR="000B2390" w:rsidRPr="004523AB" w:rsidRDefault="000B2390" w:rsidP="00AF4781">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Stream 3 – Maintaining or achieving accreditation</w:t>
            </w:r>
          </w:p>
        </w:tc>
      </w:tr>
      <w:tr w:rsidR="000B2390" w:rsidRPr="004523AB" w14:paraId="0B2A4B37" w14:textId="77777777" w:rsidTr="00DD5E8C">
        <w:trPr>
          <w:trHeight w:val="234"/>
        </w:trPr>
        <w:tc>
          <w:tcPr>
            <w:tcW w:w="1930" w:type="dxa"/>
          </w:tcPr>
          <w:p w14:paraId="29956A9E" w14:textId="77777777" w:rsidR="000B2390" w:rsidRPr="004523AB" w:rsidRDefault="000B2390">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ACT</w:t>
            </w:r>
          </w:p>
        </w:tc>
        <w:tc>
          <w:tcPr>
            <w:tcW w:w="3861" w:type="dxa"/>
          </w:tcPr>
          <w:p w14:paraId="6427E93E" w14:textId="593E9B09" w:rsidR="000B2390" w:rsidRPr="004523AB" w:rsidRDefault="000B2390"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88 (88.9</w:t>
            </w:r>
            <w:r w:rsidR="002600B5" w:rsidRPr="004523AB">
              <w:rPr>
                <w:rFonts w:eastAsia="Segoe UI" w:cs="Segoe UI"/>
                <w:color w:val="000000"/>
                <w:szCs w:val="21"/>
              </w:rPr>
              <w:t xml:space="preserve"> per</w:t>
            </w:r>
            <w:r w:rsidR="00843623" w:rsidRPr="004523AB">
              <w:rPr>
                <w:rFonts w:eastAsia="Segoe UI" w:cs="Segoe UI"/>
                <w:color w:val="000000"/>
                <w:szCs w:val="21"/>
              </w:rPr>
              <w:t xml:space="preserve"> </w:t>
            </w:r>
            <w:r w:rsidR="002600B5" w:rsidRPr="004523AB">
              <w:rPr>
                <w:rFonts w:eastAsia="Segoe UI" w:cs="Segoe UI"/>
                <w:color w:val="000000"/>
                <w:szCs w:val="21"/>
              </w:rPr>
              <w:t>cent</w:t>
            </w:r>
            <w:r w:rsidRPr="004523AB">
              <w:rPr>
                <w:rFonts w:eastAsia="Segoe UI" w:cs="Segoe UI"/>
                <w:color w:val="000000"/>
                <w:szCs w:val="21"/>
              </w:rPr>
              <w:t>)</w:t>
            </w:r>
          </w:p>
        </w:tc>
        <w:tc>
          <w:tcPr>
            <w:tcW w:w="3861" w:type="dxa"/>
          </w:tcPr>
          <w:p w14:paraId="6A2BD20D" w14:textId="00517A91" w:rsidR="000B2390" w:rsidRPr="004523AB" w:rsidRDefault="000B2390"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57 (57.6</w:t>
            </w:r>
            <w:r w:rsidR="002600B5" w:rsidRPr="004523AB">
              <w:rPr>
                <w:rFonts w:eastAsia="Segoe UI" w:cs="Segoe UI"/>
                <w:color w:val="000000"/>
                <w:szCs w:val="21"/>
              </w:rPr>
              <w:t xml:space="preserve"> </w:t>
            </w:r>
            <w:r w:rsidR="00843623" w:rsidRPr="004523AB">
              <w:rPr>
                <w:rFonts w:eastAsia="Segoe UI" w:cs="Segoe UI"/>
                <w:color w:val="000000"/>
                <w:szCs w:val="21"/>
              </w:rPr>
              <w:t>per cent</w:t>
            </w:r>
            <w:r w:rsidRPr="004523AB">
              <w:rPr>
                <w:rFonts w:eastAsia="Segoe UI" w:cs="Segoe UI"/>
                <w:color w:val="000000"/>
                <w:szCs w:val="21"/>
              </w:rPr>
              <w:t>)</w:t>
            </w:r>
          </w:p>
        </w:tc>
        <w:tc>
          <w:tcPr>
            <w:tcW w:w="3864" w:type="dxa"/>
          </w:tcPr>
          <w:p w14:paraId="2E263775" w14:textId="00D67FA1" w:rsidR="000B2390" w:rsidRPr="004523AB" w:rsidRDefault="000B2390"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68 (68.7</w:t>
            </w:r>
            <w:r w:rsidR="002600B5" w:rsidRPr="004523AB">
              <w:rPr>
                <w:rFonts w:eastAsia="Segoe UI" w:cs="Segoe UI"/>
                <w:color w:val="000000"/>
                <w:szCs w:val="21"/>
              </w:rPr>
              <w:t xml:space="preserve"> </w:t>
            </w:r>
            <w:r w:rsidR="00843623" w:rsidRPr="004523AB">
              <w:rPr>
                <w:rFonts w:eastAsia="Segoe UI" w:cs="Segoe UI"/>
                <w:color w:val="000000"/>
                <w:szCs w:val="21"/>
              </w:rPr>
              <w:t>per cent</w:t>
            </w:r>
            <w:r w:rsidRPr="004523AB">
              <w:rPr>
                <w:rFonts w:eastAsia="Segoe UI" w:cs="Segoe UI"/>
                <w:color w:val="000000"/>
                <w:szCs w:val="21"/>
              </w:rPr>
              <w:t>)</w:t>
            </w:r>
          </w:p>
        </w:tc>
      </w:tr>
      <w:tr w:rsidR="000B2390" w:rsidRPr="004523AB" w14:paraId="178F09E1" w14:textId="77777777" w:rsidTr="00DD5E8C">
        <w:trPr>
          <w:trHeight w:val="234"/>
        </w:trPr>
        <w:tc>
          <w:tcPr>
            <w:tcW w:w="1930" w:type="dxa"/>
          </w:tcPr>
          <w:p w14:paraId="709429EF" w14:textId="77777777" w:rsidR="000B2390" w:rsidRPr="004523AB" w:rsidRDefault="000B2390">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NSW</w:t>
            </w:r>
          </w:p>
        </w:tc>
        <w:tc>
          <w:tcPr>
            <w:tcW w:w="3861" w:type="dxa"/>
          </w:tcPr>
          <w:p w14:paraId="7F19B56C" w14:textId="335C1B8D" w:rsidR="000B2390" w:rsidRPr="004523AB" w:rsidRDefault="000B2390"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1,555 (90.6</w:t>
            </w:r>
            <w:r w:rsidR="002600B5" w:rsidRPr="004523AB">
              <w:rPr>
                <w:rFonts w:eastAsia="Segoe UI" w:cs="Segoe UI"/>
                <w:color w:val="000000"/>
                <w:szCs w:val="21"/>
              </w:rPr>
              <w:t xml:space="preserve"> </w:t>
            </w:r>
            <w:r w:rsidR="00843623" w:rsidRPr="004523AB">
              <w:rPr>
                <w:rFonts w:eastAsia="Segoe UI" w:cs="Segoe UI"/>
                <w:color w:val="000000"/>
                <w:szCs w:val="21"/>
              </w:rPr>
              <w:t>per cent</w:t>
            </w:r>
            <w:r w:rsidRPr="004523AB">
              <w:rPr>
                <w:rFonts w:eastAsia="Segoe UI" w:cs="Segoe UI"/>
                <w:color w:val="000000"/>
                <w:szCs w:val="21"/>
              </w:rPr>
              <w:t>)</w:t>
            </w:r>
          </w:p>
        </w:tc>
        <w:tc>
          <w:tcPr>
            <w:tcW w:w="3861" w:type="dxa"/>
          </w:tcPr>
          <w:p w14:paraId="1851FD54" w14:textId="660E217E" w:rsidR="000B2390" w:rsidRPr="004523AB" w:rsidRDefault="000B2390"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1,116 (65.0</w:t>
            </w:r>
            <w:r w:rsidR="002600B5" w:rsidRPr="004523AB">
              <w:rPr>
                <w:rFonts w:eastAsia="Segoe UI" w:cs="Segoe UI"/>
                <w:color w:val="000000"/>
                <w:szCs w:val="21"/>
              </w:rPr>
              <w:t xml:space="preserve"> </w:t>
            </w:r>
            <w:r w:rsidR="00843623" w:rsidRPr="004523AB">
              <w:rPr>
                <w:rFonts w:eastAsia="Segoe UI" w:cs="Segoe UI"/>
                <w:color w:val="000000"/>
                <w:szCs w:val="21"/>
              </w:rPr>
              <w:t>per cent</w:t>
            </w:r>
            <w:r w:rsidRPr="004523AB">
              <w:rPr>
                <w:rFonts w:eastAsia="Segoe UI" w:cs="Segoe UI"/>
                <w:color w:val="000000"/>
                <w:szCs w:val="21"/>
              </w:rPr>
              <w:t>)</w:t>
            </w:r>
          </w:p>
        </w:tc>
        <w:tc>
          <w:tcPr>
            <w:tcW w:w="3864" w:type="dxa"/>
          </w:tcPr>
          <w:p w14:paraId="1C703431" w14:textId="31432953" w:rsidR="000B2390" w:rsidRPr="004523AB" w:rsidRDefault="000B2390"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1,252 (73.0</w:t>
            </w:r>
            <w:r w:rsidR="002600B5" w:rsidRPr="004523AB">
              <w:rPr>
                <w:rFonts w:eastAsia="Segoe UI" w:cs="Segoe UI"/>
                <w:color w:val="000000"/>
                <w:szCs w:val="21"/>
              </w:rPr>
              <w:t xml:space="preserve"> </w:t>
            </w:r>
            <w:r w:rsidR="00843623" w:rsidRPr="004523AB">
              <w:rPr>
                <w:rFonts w:eastAsia="Segoe UI" w:cs="Segoe UI"/>
                <w:color w:val="000000"/>
                <w:szCs w:val="21"/>
              </w:rPr>
              <w:t>per cent</w:t>
            </w:r>
            <w:r w:rsidRPr="004523AB">
              <w:rPr>
                <w:rFonts w:eastAsia="Segoe UI" w:cs="Segoe UI"/>
                <w:color w:val="000000"/>
                <w:szCs w:val="21"/>
              </w:rPr>
              <w:t>)</w:t>
            </w:r>
          </w:p>
        </w:tc>
      </w:tr>
      <w:tr w:rsidR="000B2390" w:rsidRPr="004523AB" w14:paraId="33786586" w14:textId="77777777" w:rsidTr="00DD5E8C">
        <w:trPr>
          <w:trHeight w:val="234"/>
        </w:trPr>
        <w:tc>
          <w:tcPr>
            <w:tcW w:w="1930" w:type="dxa"/>
          </w:tcPr>
          <w:p w14:paraId="657ABA8D" w14:textId="77777777" w:rsidR="000B2390" w:rsidRPr="004523AB" w:rsidRDefault="000B2390">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NT</w:t>
            </w:r>
          </w:p>
        </w:tc>
        <w:tc>
          <w:tcPr>
            <w:tcW w:w="3861" w:type="dxa"/>
          </w:tcPr>
          <w:p w14:paraId="3053ADCE" w14:textId="4B3239C1" w:rsidR="000B2390" w:rsidRPr="004523AB" w:rsidRDefault="000B2390"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69 (100.0</w:t>
            </w:r>
            <w:r w:rsidR="002600B5" w:rsidRPr="004523AB">
              <w:rPr>
                <w:rFonts w:eastAsia="Segoe UI" w:cs="Segoe UI"/>
                <w:color w:val="000000"/>
                <w:szCs w:val="21"/>
              </w:rPr>
              <w:t xml:space="preserve"> </w:t>
            </w:r>
            <w:r w:rsidR="00843623" w:rsidRPr="004523AB">
              <w:rPr>
                <w:rFonts w:eastAsia="Segoe UI" w:cs="Segoe UI"/>
                <w:color w:val="000000"/>
                <w:szCs w:val="21"/>
              </w:rPr>
              <w:t>per cent</w:t>
            </w:r>
            <w:r w:rsidRPr="004523AB">
              <w:rPr>
                <w:rFonts w:eastAsia="Segoe UI" w:cs="Segoe UI"/>
                <w:color w:val="000000"/>
                <w:szCs w:val="21"/>
              </w:rPr>
              <w:t>)</w:t>
            </w:r>
          </w:p>
        </w:tc>
        <w:tc>
          <w:tcPr>
            <w:tcW w:w="3861" w:type="dxa"/>
          </w:tcPr>
          <w:p w14:paraId="153F97F9" w14:textId="6C6F1067" w:rsidR="000B2390" w:rsidRPr="004523AB" w:rsidRDefault="000B2390"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16 (23.2</w:t>
            </w:r>
            <w:r w:rsidR="002600B5" w:rsidRPr="004523AB">
              <w:rPr>
                <w:rFonts w:eastAsia="Segoe UI" w:cs="Segoe UI"/>
                <w:color w:val="000000"/>
                <w:szCs w:val="21"/>
              </w:rPr>
              <w:t xml:space="preserve"> </w:t>
            </w:r>
            <w:r w:rsidR="00843623" w:rsidRPr="004523AB">
              <w:rPr>
                <w:rFonts w:eastAsia="Segoe UI" w:cs="Segoe UI"/>
                <w:color w:val="000000"/>
                <w:szCs w:val="21"/>
              </w:rPr>
              <w:t>per cent</w:t>
            </w:r>
            <w:r w:rsidRPr="004523AB">
              <w:rPr>
                <w:rFonts w:eastAsia="Segoe UI" w:cs="Segoe UI"/>
                <w:color w:val="000000"/>
                <w:szCs w:val="21"/>
              </w:rPr>
              <w:t>)</w:t>
            </w:r>
          </w:p>
        </w:tc>
        <w:tc>
          <w:tcPr>
            <w:tcW w:w="3864" w:type="dxa"/>
          </w:tcPr>
          <w:p w14:paraId="43B5E0A8" w14:textId="59F5258F" w:rsidR="000B2390" w:rsidRPr="004523AB" w:rsidRDefault="000B2390"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22 (31.9</w:t>
            </w:r>
            <w:r w:rsidR="002600B5" w:rsidRPr="004523AB">
              <w:rPr>
                <w:rFonts w:eastAsia="Segoe UI" w:cs="Segoe UI"/>
                <w:color w:val="000000"/>
                <w:szCs w:val="21"/>
              </w:rPr>
              <w:t xml:space="preserve"> </w:t>
            </w:r>
            <w:r w:rsidR="00843623" w:rsidRPr="004523AB">
              <w:rPr>
                <w:rFonts w:eastAsia="Segoe UI" w:cs="Segoe UI"/>
                <w:color w:val="000000"/>
                <w:szCs w:val="21"/>
              </w:rPr>
              <w:t>per cent</w:t>
            </w:r>
            <w:r w:rsidRPr="004523AB">
              <w:rPr>
                <w:rFonts w:eastAsia="Segoe UI" w:cs="Segoe UI"/>
                <w:color w:val="000000"/>
                <w:szCs w:val="21"/>
              </w:rPr>
              <w:t>)</w:t>
            </w:r>
          </w:p>
        </w:tc>
      </w:tr>
      <w:tr w:rsidR="000B2390" w:rsidRPr="004523AB" w14:paraId="62C600E1" w14:textId="77777777" w:rsidTr="00DD5E8C">
        <w:trPr>
          <w:trHeight w:val="234"/>
        </w:trPr>
        <w:tc>
          <w:tcPr>
            <w:tcW w:w="1930" w:type="dxa"/>
          </w:tcPr>
          <w:p w14:paraId="2CDB8D03" w14:textId="77777777" w:rsidR="000B2390" w:rsidRPr="004523AB" w:rsidRDefault="000B2390">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QLD</w:t>
            </w:r>
          </w:p>
        </w:tc>
        <w:tc>
          <w:tcPr>
            <w:tcW w:w="3861" w:type="dxa"/>
          </w:tcPr>
          <w:p w14:paraId="7DBD82EE" w14:textId="2CAECF6B" w:rsidR="000B2390" w:rsidRPr="004523AB" w:rsidRDefault="000B2390"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876 (90.5</w:t>
            </w:r>
            <w:r w:rsidR="002600B5" w:rsidRPr="004523AB">
              <w:rPr>
                <w:rFonts w:eastAsia="Segoe UI" w:cs="Segoe UI"/>
                <w:color w:val="000000"/>
                <w:szCs w:val="21"/>
              </w:rPr>
              <w:t xml:space="preserve"> per</w:t>
            </w:r>
            <w:r w:rsidR="00843623" w:rsidRPr="004523AB">
              <w:rPr>
                <w:rFonts w:eastAsia="Segoe UI" w:cs="Segoe UI"/>
                <w:color w:val="000000"/>
                <w:szCs w:val="21"/>
              </w:rPr>
              <w:t xml:space="preserve"> </w:t>
            </w:r>
            <w:r w:rsidR="002600B5" w:rsidRPr="004523AB">
              <w:rPr>
                <w:rFonts w:eastAsia="Segoe UI" w:cs="Segoe UI"/>
                <w:color w:val="000000"/>
                <w:szCs w:val="21"/>
              </w:rPr>
              <w:t>cent</w:t>
            </w:r>
            <w:r w:rsidRPr="004523AB">
              <w:rPr>
                <w:rFonts w:eastAsia="Segoe UI" w:cs="Segoe UI"/>
                <w:color w:val="000000"/>
                <w:szCs w:val="21"/>
              </w:rPr>
              <w:t>)</w:t>
            </w:r>
          </w:p>
        </w:tc>
        <w:tc>
          <w:tcPr>
            <w:tcW w:w="3861" w:type="dxa"/>
          </w:tcPr>
          <w:p w14:paraId="6A54D24E" w14:textId="5137B074" w:rsidR="000B2390" w:rsidRPr="004523AB" w:rsidRDefault="000B2390"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599 (61.9</w:t>
            </w:r>
            <w:r w:rsidR="002600B5" w:rsidRPr="004523AB">
              <w:rPr>
                <w:rFonts w:eastAsia="Segoe UI" w:cs="Segoe UI"/>
                <w:color w:val="000000"/>
                <w:szCs w:val="21"/>
              </w:rPr>
              <w:t xml:space="preserve"> per</w:t>
            </w:r>
            <w:r w:rsidR="00843623" w:rsidRPr="004523AB">
              <w:rPr>
                <w:rFonts w:eastAsia="Segoe UI" w:cs="Segoe UI"/>
                <w:color w:val="000000"/>
                <w:szCs w:val="21"/>
              </w:rPr>
              <w:t xml:space="preserve"> </w:t>
            </w:r>
            <w:r w:rsidR="002600B5" w:rsidRPr="004523AB">
              <w:rPr>
                <w:rFonts w:eastAsia="Segoe UI" w:cs="Segoe UI"/>
                <w:color w:val="000000"/>
                <w:szCs w:val="21"/>
              </w:rPr>
              <w:t>cent</w:t>
            </w:r>
            <w:r w:rsidRPr="004523AB">
              <w:rPr>
                <w:rFonts w:eastAsia="Segoe UI" w:cs="Segoe UI"/>
                <w:color w:val="000000"/>
                <w:szCs w:val="21"/>
              </w:rPr>
              <w:t>)</w:t>
            </w:r>
          </w:p>
        </w:tc>
        <w:tc>
          <w:tcPr>
            <w:tcW w:w="3864" w:type="dxa"/>
          </w:tcPr>
          <w:p w14:paraId="5314DF43" w14:textId="65A88268" w:rsidR="000B2390" w:rsidRPr="004523AB" w:rsidRDefault="000B2390"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745 (77.0</w:t>
            </w:r>
            <w:r w:rsidR="002600B5" w:rsidRPr="004523AB">
              <w:rPr>
                <w:rFonts w:eastAsia="Segoe UI" w:cs="Segoe UI"/>
                <w:color w:val="000000"/>
                <w:szCs w:val="21"/>
              </w:rPr>
              <w:t xml:space="preserve"> per</w:t>
            </w:r>
            <w:r w:rsidR="00843623" w:rsidRPr="004523AB">
              <w:rPr>
                <w:rFonts w:eastAsia="Segoe UI" w:cs="Segoe UI"/>
                <w:color w:val="000000"/>
                <w:szCs w:val="21"/>
              </w:rPr>
              <w:t xml:space="preserve"> </w:t>
            </w:r>
            <w:r w:rsidR="002600B5" w:rsidRPr="004523AB">
              <w:rPr>
                <w:rFonts w:eastAsia="Segoe UI" w:cs="Segoe UI"/>
                <w:color w:val="000000"/>
                <w:szCs w:val="21"/>
              </w:rPr>
              <w:t>cent</w:t>
            </w:r>
            <w:r w:rsidRPr="004523AB">
              <w:rPr>
                <w:rFonts w:eastAsia="Segoe UI" w:cs="Segoe UI"/>
                <w:color w:val="000000"/>
                <w:szCs w:val="21"/>
              </w:rPr>
              <w:t>)</w:t>
            </w:r>
          </w:p>
        </w:tc>
      </w:tr>
      <w:tr w:rsidR="000B2390" w:rsidRPr="004523AB" w14:paraId="74A067A6" w14:textId="77777777" w:rsidTr="00DD5E8C">
        <w:trPr>
          <w:trHeight w:val="234"/>
        </w:trPr>
        <w:tc>
          <w:tcPr>
            <w:tcW w:w="1930" w:type="dxa"/>
          </w:tcPr>
          <w:p w14:paraId="611C9506" w14:textId="77777777" w:rsidR="000B2390" w:rsidRPr="004523AB" w:rsidRDefault="000B2390">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SA</w:t>
            </w:r>
          </w:p>
        </w:tc>
        <w:tc>
          <w:tcPr>
            <w:tcW w:w="3861" w:type="dxa"/>
          </w:tcPr>
          <w:p w14:paraId="208DE67E" w14:textId="54B7B7D6" w:rsidR="000B2390" w:rsidRPr="004523AB" w:rsidRDefault="000B2390"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286 (89.9</w:t>
            </w:r>
            <w:r w:rsidR="002600B5" w:rsidRPr="004523AB">
              <w:rPr>
                <w:rFonts w:eastAsia="Segoe UI" w:cs="Segoe UI"/>
                <w:color w:val="000000"/>
                <w:szCs w:val="21"/>
              </w:rPr>
              <w:t xml:space="preserve"> per</w:t>
            </w:r>
            <w:r w:rsidR="00843623" w:rsidRPr="004523AB">
              <w:rPr>
                <w:rFonts w:eastAsia="Segoe UI" w:cs="Segoe UI"/>
                <w:color w:val="000000"/>
                <w:szCs w:val="21"/>
              </w:rPr>
              <w:t xml:space="preserve"> </w:t>
            </w:r>
            <w:r w:rsidR="002600B5" w:rsidRPr="004523AB">
              <w:rPr>
                <w:rFonts w:eastAsia="Segoe UI" w:cs="Segoe UI"/>
                <w:color w:val="000000"/>
                <w:szCs w:val="21"/>
              </w:rPr>
              <w:t>cent</w:t>
            </w:r>
            <w:r w:rsidRPr="004523AB">
              <w:rPr>
                <w:rFonts w:eastAsia="Segoe UI" w:cs="Segoe UI"/>
                <w:color w:val="000000"/>
                <w:szCs w:val="21"/>
              </w:rPr>
              <w:t>)</w:t>
            </w:r>
          </w:p>
        </w:tc>
        <w:tc>
          <w:tcPr>
            <w:tcW w:w="3861" w:type="dxa"/>
          </w:tcPr>
          <w:p w14:paraId="7ED0250B" w14:textId="120A5424" w:rsidR="000B2390" w:rsidRPr="004523AB" w:rsidRDefault="000B2390"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153 (48.1</w:t>
            </w:r>
            <w:r w:rsidR="002600B5" w:rsidRPr="004523AB">
              <w:rPr>
                <w:rFonts w:eastAsia="Segoe UI" w:cs="Segoe UI"/>
                <w:color w:val="000000"/>
                <w:szCs w:val="21"/>
              </w:rPr>
              <w:t xml:space="preserve"> per</w:t>
            </w:r>
            <w:r w:rsidR="00843623" w:rsidRPr="004523AB">
              <w:rPr>
                <w:rFonts w:eastAsia="Segoe UI" w:cs="Segoe UI"/>
                <w:color w:val="000000"/>
                <w:szCs w:val="21"/>
              </w:rPr>
              <w:t xml:space="preserve"> </w:t>
            </w:r>
            <w:r w:rsidR="002600B5" w:rsidRPr="004523AB">
              <w:rPr>
                <w:rFonts w:eastAsia="Segoe UI" w:cs="Segoe UI"/>
                <w:color w:val="000000"/>
                <w:szCs w:val="21"/>
              </w:rPr>
              <w:t>cent</w:t>
            </w:r>
            <w:r w:rsidRPr="004523AB">
              <w:rPr>
                <w:rFonts w:eastAsia="Segoe UI" w:cs="Segoe UI"/>
                <w:color w:val="000000"/>
                <w:szCs w:val="21"/>
              </w:rPr>
              <w:t>)</w:t>
            </w:r>
          </w:p>
        </w:tc>
        <w:tc>
          <w:tcPr>
            <w:tcW w:w="3864" w:type="dxa"/>
          </w:tcPr>
          <w:p w14:paraId="122A1CD2" w14:textId="314AAD7D" w:rsidR="000B2390" w:rsidRPr="004523AB" w:rsidRDefault="000B2390"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208 (65.4</w:t>
            </w:r>
            <w:r w:rsidR="002600B5" w:rsidRPr="004523AB">
              <w:rPr>
                <w:rFonts w:eastAsia="Segoe UI" w:cs="Segoe UI"/>
                <w:color w:val="000000"/>
                <w:szCs w:val="21"/>
              </w:rPr>
              <w:t xml:space="preserve"> per</w:t>
            </w:r>
            <w:r w:rsidR="00843623" w:rsidRPr="004523AB">
              <w:rPr>
                <w:rFonts w:eastAsia="Segoe UI" w:cs="Segoe UI"/>
                <w:color w:val="000000"/>
                <w:szCs w:val="21"/>
              </w:rPr>
              <w:t xml:space="preserve"> </w:t>
            </w:r>
            <w:r w:rsidR="002600B5" w:rsidRPr="004523AB">
              <w:rPr>
                <w:rFonts w:eastAsia="Segoe UI" w:cs="Segoe UI"/>
                <w:color w:val="000000"/>
                <w:szCs w:val="21"/>
              </w:rPr>
              <w:t>cent</w:t>
            </w:r>
            <w:r w:rsidRPr="004523AB">
              <w:rPr>
                <w:rFonts w:eastAsia="Segoe UI" w:cs="Segoe UI"/>
                <w:color w:val="000000"/>
                <w:szCs w:val="21"/>
              </w:rPr>
              <w:t>)</w:t>
            </w:r>
          </w:p>
        </w:tc>
      </w:tr>
      <w:tr w:rsidR="000B2390" w:rsidRPr="004523AB" w14:paraId="7CC12E06" w14:textId="77777777" w:rsidTr="00DD5E8C">
        <w:trPr>
          <w:trHeight w:val="234"/>
        </w:trPr>
        <w:tc>
          <w:tcPr>
            <w:tcW w:w="1930" w:type="dxa"/>
          </w:tcPr>
          <w:p w14:paraId="48B53075" w14:textId="77777777" w:rsidR="000B2390" w:rsidRPr="004523AB" w:rsidRDefault="000B2390">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TAS</w:t>
            </w:r>
          </w:p>
        </w:tc>
        <w:tc>
          <w:tcPr>
            <w:tcW w:w="3861" w:type="dxa"/>
          </w:tcPr>
          <w:p w14:paraId="6A10DABC" w14:textId="315A0833" w:rsidR="000B2390" w:rsidRPr="004523AB" w:rsidRDefault="000B2390"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111 (91.0</w:t>
            </w:r>
            <w:r w:rsidR="002600B5" w:rsidRPr="004523AB">
              <w:rPr>
                <w:rFonts w:eastAsia="Segoe UI" w:cs="Segoe UI"/>
                <w:color w:val="000000"/>
                <w:szCs w:val="21"/>
              </w:rPr>
              <w:t xml:space="preserve"> per</w:t>
            </w:r>
            <w:r w:rsidR="00843623" w:rsidRPr="004523AB">
              <w:rPr>
                <w:rFonts w:eastAsia="Segoe UI" w:cs="Segoe UI"/>
                <w:color w:val="000000"/>
                <w:szCs w:val="21"/>
              </w:rPr>
              <w:t xml:space="preserve"> </w:t>
            </w:r>
            <w:r w:rsidR="002600B5" w:rsidRPr="004523AB">
              <w:rPr>
                <w:rFonts w:eastAsia="Segoe UI" w:cs="Segoe UI"/>
                <w:color w:val="000000"/>
                <w:szCs w:val="21"/>
              </w:rPr>
              <w:t>cent</w:t>
            </w:r>
            <w:r w:rsidRPr="004523AB">
              <w:rPr>
                <w:rFonts w:eastAsia="Segoe UI" w:cs="Segoe UI"/>
                <w:color w:val="000000"/>
                <w:szCs w:val="21"/>
              </w:rPr>
              <w:t>)</w:t>
            </w:r>
          </w:p>
        </w:tc>
        <w:tc>
          <w:tcPr>
            <w:tcW w:w="3861" w:type="dxa"/>
          </w:tcPr>
          <w:p w14:paraId="23A43D28" w14:textId="0D19C9A9" w:rsidR="000B2390" w:rsidRPr="004523AB" w:rsidRDefault="000B2390"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66 (54.1</w:t>
            </w:r>
            <w:r w:rsidR="002600B5" w:rsidRPr="004523AB">
              <w:rPr>
                <w:rFonts w:eastAsia="Segoe UI" w:cs="Segoe UI"/>
                <w:color w:val="000000"/>
                <w:szCs w:val="21"/>
              </w:rPr>
              <w:t xml:space="preserve"> per</w:t>
            </w:r>
            <w:r w:rsidR="00843623" w:rsidRPr="004523AB">
              <w:rPr>
                <w:rFonts w:eastAsia="Segoe UI" w:cs="Segoe UI"/>
                <w:color w:val="000000"/>
                <w:szCs w:val="21"/>
              </w:rPr>
              <w:t xml:space="preserve"> </w:t>
            </w:r>
            <w:r w:rsidR="002600B5" w:rsidRPr="004523AB">
              <w:rPr>
                <w:rFonts w:eastAsia="Segoe UI" w:cs="Segoe UI"/>
                <w:color w:val="000000"/>
                <w:szCs w:val="21"/>
              </w:rPr>
              <w:t>cent</w:t>
            </w:r>
            <w:r w:rsidRPr="004523AB">
              <w:rPr>
                <w:rFonts w:eastAsia="Segoe UI" w:cs="Segoe UI"/>
                <w:color w:val="000000"/>
                <w:szCs w:val="21"/>
              </w:rPr>
              <w:t>)</w:t>
            </w:r>
          </w:p>
        </w:tc>
        <w:tc>
          <w:tcPr>
            <w:tcW w:w="3864" w:type="dxa"/>
          </w:tcPr>
          <w:p w14:paraId="6ECAFFB8" w14:textId="18EE6808" w:rsidR="000B2390" w:rsidRPr="004523AB" w:rsidRDefault="000B2390"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96 (78.7</w:t>
            </w:r>
            <w:r w:rsidR="002600B5" w:rsidRPr="004523AB">
              <w:rPr>
                <w:rFonts w:eastAsia="Segoe UI" w:cs="Segoe UI"/>
                <w:color w:val="000000"/>
                <w:szCs w:val="21"/>
              </w:rPr>
              <w:t xml:space="preserve"> per</w:t>
            </w:r>
            <w:r w:rsidR="00843623" w:rsidRPr="004523AB">
              <w:rPr>
                <w:rFonts w:eastAsia="Segoe UI" w:cs="Segoe UI"/>
                <w:color w:val="000000"/>
                <w:szCs w:val="21"/>
              </w:rPr>
              <w:t xml:space="preserve"> </w:t>
            </w:r>
            <w:r w:rsidR="002600B5" w:rsidRPr="004523AB">
              <w:rPr>
                <w:rFonts w:eastAsia="Segoe UI" w:cs="Segoe UI"/>
                <w:color w:val="000000"/>
                <w:szCs w:val="21"/>
              </w:rPr>
              <w:t>cent</w:t>
            </w:r>
            <w:r w:rsidRPr="004523AB">
              <w:rPr>
                <w:rFonts w:eastAsia="Segoe UI" w:cs="Segoe UI"/>
                <w:color w:val="000000"/>
                <w:szCs w:val="21"/>
              </w:rPr>
              <w:t>)</w:t>
            </w:r>
          </w:p>
        </w:tc>
      </w:tr>
      <w:tr w:rsidR="000B2390" w:rsidRPr="004523AB" w14:paraId="48A22767" w14:textId="77777777" w:rsidTr="00DD5E8C">
        <w:trPr>
          <w:trHeight w:val="234"/>
        </w:trPr>
        <w:tc>
          <w:tcPr>
            <w:tcW w:w="1930" w:type="dxa"/>
          </w:tcPr>
          <w:p w14:paraId="1A0FA9DF" w14:textId="77777777" w:rsidR="000B2390" w:rsidRPr="004523AB" w:rsidRDefault="000B2390">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VIC</w:t>
            </w:r>
          </w:p>
        </w:tc>
        <w:tc>
          <w:tcPr>
            <w:tcW w:w="3861" w:type="dxa"/>
          </w:tcPr>
          <w:p w14:paraId="65F49611" w14:textId="65F96205" w:rsidR="000B2390" w:rsidRPr="004523AB" w:rsidRDefault="000B2390"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1,309 (89.9</w:t>
            </w:r>
            <w:r w:rsidR="002600B5" w:rsidRPr="004523AB">
              <w:rPr>
                <w:rFonts w:eastAsia="Segoe UI" w:cs="Segoe UI"/>
                <w:color w:val="000000"/>
                <w:szCs w:val="21"/>
              </w:rPr>
              <w:t xml:space="preserve"> per</w:t>
            </w:r>
            <w:r w:rsidR="00843623" w:rsidRPr="004523AB">
              <w:rPr>
                <w:rFonts w:eastAsia="Segoe UI" w:cs="Segoe UI"/>
                <w:color w:val="000000"/>
                <w:szCs w:val="21"/>
              </w:rPr>
              <w:t xml:space="preserve"> </w:t>
            </w:r>
            <w:r w:rsidR="002600B5" w:rsidRPr="004523AB">
              <w:rPr>
                <w:rFonts w:eastAsia="Segoe UI" w:cs="Segoe UI"/>
                <w:color w:val="000000"/>
                <w:szCs w:val="21"/>
              </w:rPr>
              <w:t>cent</w:t>
            </w:r>
            <w:r w:rsidRPr="004523AB">
              <w:rPr>
                <w:rFonts w:eastAsia="Segoe UI" w:cs="Segoe UI"/>
                <w:color w:val="000000"/>
                <w:szCs w:val="21"/>
              </w:rPr>
              <w:t>)</w:t>
            </w:r>
          </w:p>
        </w:tc>
        <w:tc>
          <w:tcPr>
            <w:tcW w:w="3861" w:type="dxa"/>
          </w:tcPr>
          <w:p w14:paraId="732E0402" w14:textId="2B323D53" w:rsidR="000B2390" w:rsidRPr="004523AB" w:rsidRDefault="000B2390"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950 (65.2</w:t>
            </w:r>
            <w:r w:rsidR="002600B5" w:rsidRPr="004523AB">
              <w:rPr>
                <w:rFonts w:eastAsia="Segoe UI" w:cs="Segoe UI"/>
                <w:color w:val="000000"/>
                <w:szCs w:val="21"/>
              </w:rPr>
              <w:t xml:space="preserve"> per</w:t>
            </w:r>
            <w:r w:rsidR="00843623" w:rsidRPr="004523AB">
              <w:rPr>
                <w:rFonts w:eastAsia="Segoe UI" w:cs="Segoe UI"/>
                <w:color w:val="000000"/>
                <w:szCs w:val="21"/>
              </w:rPr>
              <w:t xml:space="preserve"> </w:t>
            </w:r>
            <w:r w:rsidR="002600B5" w:rsidRPr="004523AB">
              <w:rPr>
                <w:rFonts w:eastAsia="Segoe UI" w:cs="Segoe UI"/>
                <w:color w:val="000000"/>
                <w:szCs w:val="21"/>
              </w:rPr>
              <w:t>cent</w:t>
            </w:r>
            <w:r w:rsidRPr="004523AB">
              <w:rPr>
                <w:rFonts w:eastAsia="Segoe UI" w:cs="Segoe UI"/>
                <w:color w:val="000000"/>
                <w:szCs w:val="21"/>
              </w:rPr>
              <w:t>)</w:t>
            </w:r>
          </w:p>
        </w:tc>
        <w:tc>
          <w:tcPr>
            <w:tcW w:w="3864" w:type="dxa"/>
          </w:tcPr>
          <w:p w14:paraId="475CA7E7" w14:textId="41675505" w:rsidR="000B2390" w:rsidRPr="004523AB" w:rsidRDefault="000B2390"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1,119 (76.9</w:t>
            </w:r>
            <w:r w:rsidR="002600B5" w:rsidRPr="004523AB">
              <w:rPr>
                <w:rFonts w:eastAsia="Segoe UI" w:cs="Segoe UI"/>
                <w:color w:val="000000"/>
                <w:szCs w:val="21"/>
              </w:rPr>
              <w:t xml:space="preserve"> per</w:t>
            </w:r>
            <w:r w:rsidR="00843623" w:rsidRPr="004523AB">
              <w:rPr>
                <w:rFonts w:eastAsia="Segoe UI" w:cs="Segoe UI"/>
                <w:color w:val="000000"/>
                <w:szCs w:val="21"/>
              </w:rPr>
              <w:t xml:space="preserve"> </w:t>
            </w:r>
            <w:r w:rsidR="002600B5" w:rsidRPr="004523AB">
              <w:rPr>
                <w:rFonts w:eastAsia="Segoe UI" w:cs="Segoe UI"/>
                <w:color w:val="000000"/>
                <w:szCs w:val="21"/>
              </w:rPr>
              <w:t>cent</w:t>
            </w:r>
            <w:r w:rsidRPr="004523AB">
              <w:rPr>
                <w:rFonts w:eastAsia="Segoe UI" w:cs="Segoe UI"/>
                <w:color w:val="000000"/>
                <w:szCs w:val="21"/>
              </w:rPr>
              <w:t>)</w:t>
            </w:r>
          </w:p>
        </w:tc>
      </w:tr>
      <w:tr w:rsidR="000B2390" w:rsidRPr="004523AB" w14:paraId="17A28EA0" w14:textId="77777777" w:rsidTr="00DD5E8C">
        <w:trPr>
          <w:trHeight w:val="234"/>
        </w:trPr>
        <w:tc>
          <w:tcPr>
            <w:tcW w:w="1930" w:type="dxa"/>
          </w:tcPr>
          <w:p w14:paraId="0FCE7622" w14:textId="77777777" w:rsidR="000B2390" w:rsidRPr="004523AB" w:rsidRDefault="000B2390">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WA</w:t>
            </w:r>
          </w:p>
        </w:tc>
        <w:tc>
          <w:tcPr>
            <w:tcW w:w="3861" w:type="dxa"/>
          </w:tcPr>
          <w:p w14:paraId="7E96B669" w14:textId="77259974" w:rsidR="000B2390" w:rsidRPr="004523AB" w:rsidRDefault="000B2390"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548 (95.0</w:t>
            </w:r>
            <w:r w:rsidR="002600B5" w:rsidRPr="004523AB">
              <w:rPr>
                <w:rFonts w:eastAsia="Segoe UI" w:cs="Segoe UI"/>
                <w:color w:val="000000"/>
                <w:szCs w:val="21"/>
              </w:rPr>
              <w:t xml:space="preserve"> per</w:t>
            </w:r>
            <w:r w:rsidR="00843623" w:rsidRPr="004523AB">
              <w:rPr>
                <w:rFonts w:eastAsia="Segoe UI" w:cs="Segoe UI"/>
                <w:color w:val="000000"/>
                <w:szCs w:val="21"/>
              </w:rPr>
              <w:t xml:space="preserve"> </w:t>
            </w:r>
            <w:r w:rsidR="002600B5" w:rsidRPr="004523AB">
              <w:rPr>
                <w:rFonts w:eastAsia="Segoe UI" w:cs="Segoe UI"/>
                <w:color w:val="000000"/>
                <w:szCs w:val="21"/>
              </w:rPr>
              <w:t>cent</w:t>
            </w:r>
            <w:r w:rsidRPr="004523AB">
              <w:rPr>
                <w:rFonts w:eastAsia="Segoe UI" w:cs="Segoe UI"/>
                <w:color w:val="000000"/>
                <w:szCs w:val="21"/>
              </w:rPr>
              <w:t>)</w:t>
            </w:r>
          </w:p>
        </w:tc>
        <w:tc>
          <w:tcPr>
            <w:tcW w:w="3861" w:type="dxa"/>
          </w:tcPr>
          <w:p w14:paraId="76E0E5F5" w14:textId="036FE80B" w:rsidR="000B2390" w:rsidRPr="004523AB" w:rsidRDefault="000B2390"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368 (63.8</w:t>
            </w:r>
            <w:r w:rsidR="002600B5" w:rsidRPr="004523AB">
              <w:rPr>
                <w:rFonts w:eastAsia="Segoe UI" w:cs="Segoe UI"/>
                <w:color w:val="000000"/>
                <w:szCs w:val="21"/>
              </w:rPr>
              <w:t xml:space="preserve"> per</w:t>
            </w:r>
            <w:r w:rsidR="00843623" w:rsidRPr="004523AB">
              <w:rPr>
                <w:rFonts w:eastAsia="Segoe UI" w:cs="Segoe UI"/>
                <w:color w:val="000000"/>
                <w:szCs w:val="21"/>
              </w:rPr>
              <w:t xml:space="preserve"> </w:t>
            </w:r>
            <w:r w:rsidR="002600B5" w:rsidRPr="004523AB">
              <w:rPr>
                <w:rFonts w:eastAsia="Segoe UI" w:cs="Segoe UI"/>
                <w:color w:val="000000"/>
                <w:szCs w:val="21"/>
              </w:rPr>
              <w:t>cent</w:t>
            </w:r>
            <w:r w:rsidRPr="004523AB">
              <w:rPr>
                <w:rFonts w:eastAsia="Segoe UI" w:cs="Segoe UI"/>
                <w:color w:val="000000"/>
                <w:szCs w:val="21"/>
              </w:rPr>
              <w:t>)</w:t>
            </w:r>
          </w:p>
        </w:tc>
        <w:tc>
          <w:tcPr>
            <w:tcW w:w="3864" w:type="dxa"/>
          </w:tcPr>
          <w:p w14:paraId="2CE2E61C" w14:textId="34357FAD" w:rsidR="000B2390" w:rsidRPr="004523AB" w:rsidRDefault="000B2390"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438 (75.9</w:t>
            </w:r>
            <w:r w:rsidR="002600B5" w:rsidRPr="004523AB">
              <w:rPr>
                <w:rFonts w:eastAsia="Segoe UI" w:cs="Segoe UI"/>
                <w:color w:val="000000"/>
                <w:szCs w:val="21"/>
              </w:rPr>
              <w:t xml:space="preserve"> per</w:t>
            </w:r>
            <w:r w:rsidR="00843623" w:rsidRPr="004523AB">
              <w:rPr>
                <w:rFonts w:eastAsia="Segoe UI" w:cs="Segoe UI"/>
                <w:color w:val="000000"/>
                <w:szCs w:val="21"/>
              </w:rPr>
              <w:t xml:space="preserve"> </w:t>
            </w:r>
            <w:r w:rsidR="002600B5" w:rsidRPr="004523AB">
              <w:rPr>
                <w:rFonts w:eastAsia="Segoe UI" w:cs="Segoe UI"/>
                <w:color w:val="000000"/>
                <w:szCs w:val="21"/>
              </w:rPr>
              <w:t>cent</w:t>
            </w:r>
            <w:r w:rsidRPr="004523AB">
              <w:rPr>
                <w:rFonts w:eastAsia="Segoe UI" w:cs="Segoe UI"/>
                <w:color w:val="000000"/>
                <w:szCs w:val="21"/>
              </w:rPr>
              <w:t>)</w:t>
            </w:r>
          </w:p>
        </w:tc>
      </w:tr>
      <w:tr w:rsidR="000B2390" w:rsidRPr="004523AB" w14:paraId="1C510415" w14:textId="77777777" w:rsidTr="00DD5E8C">
        <w:trPr>
          <w:trHeight w:val="234"/>
        </w:trPr>
        <w:tc>
          <w:tcPr>
            <w:tcW w:w="1930" w:type="dxa"/>
          </w:tcPr>
          <w:p w14:paraId="52464A6B" w14:textId="77777777" w:rsidR="000B2390" w:rsidRPr="004523AB" w:rsidRDefault="000B2390">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b/>
                <w:color w:val="000000"/>
                <w:szCs w:val="21"/>
              </w:rPr>
              <w:t>Total</w:t>
            </w:r>
          </w:p>
        </w:tc>
        <w:tc>
          <w:tcPr>
            <w:tcW w:w="3861" w:type="dxa"/>
          </w:tcPr>
          <w:p w14:paraId="6DA1D0D9" w14:textId="6C64A16B" w:rsidR="000B2390" w:rsidRPr="004523AB" w:rsidRDefault="000B2390"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b/>
                <w:color w:val="000000"/>
                <w:szCs w:val="21"/>
              </w:rPr>
              <w:t>4,842 (90.9</w:t>
            </w:r>
            <w:r w:rsidR="002600B5" w:rsidRPr="004523AB">
              <w:rPr>
                <w:rFonts w:eastAsia="Segoe UI" w:cs="Segoe UI"/>
                <w:b/>
                <w:color w:val="000000"/>
                <w:szCs w:val="21"/>
              </w:rPr>
              <w:t xml:space="preserve"> per</w:t>
            </w:r>
            <w:r w:rsidR="00A77272" w:rsidRPr="004523AB">
              <w:rPr>
                <w:rFonts w:eastAsia="Segoe UI" w:cs="Segoe UI"/>
                <w:b/>
                <w:color w:val="000000"/>
                <w:szCs w:val="21"/>
              </w:rPr>
              <w:t xml:space="preserve"> </w:t>
            </w:r>
            <w:r w:rsidR="002600B5" w:rsidRPr="004523AB">
              <w:rPr>
                <w:rFonts w:eastAsia="Segoe UI" w:cs="Segoe UI"/>
                <w:b/>
                <w:color w:val="000000"/>
                <w:szCs w:val="21"/>
              </w:rPr>
              <w:t>cent</w:t>
            </w:r>
            <w:r w:rsidRPr="004523AB">
              <w:rPr>
                <w:rFonts w:eastAsia="Segoe UI" w:cs="Segoe UI"/>
                <w:b/>
                <w:color w:val="000000"/>
                <w:szCs w:val="21"/>
              </w:rPr>
              <w:t>)</w:t>
            </w:r>
          </w:p>
        </w:tc>
        <w:tc>
          <w:tcPr>
            <w:tcW w:w="3861" w:type="dxa"/>
          </w:tcPr>
          <w:p w14:paraId="73D5F6D6" w14:textId="6B916E3E" w:rsidR="000B2390" w:rsidRPr="004523AB" w:rsidRDefault="000B2390"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b/>
                <w:color w:val="000000"/>
                <w:szCs w:val="21"/>
              </w:rPr>
              <w:t>3,325 (62.4</w:t>
            </w:r>
            <w:r w:rsidR="002600B5" w:rsidRPr="004523AB">
              <w:rPr>
                <w:rFonts w:eastAsia="Segoe UI" w:cs="Segoe UI"/>
                <w:b/>
                <w:color w:val="000000"/>
                <w:szCs w:val="21"/>
              </w:rPr>
              <w:t xml:space="preserve"> per</w:t>
            </w:r>
            <w:r w:rsidR="00A77272" w:rsidRPr="004523AB">
              <w:rPr>
                <w:rFonts w:eastAsia="Segoe UI" w:cs="Segoe UI"/>
                <w:b/>
                <w:color w:val="000000"/>
                <w:szCs w:val="21"/>
              </w:rPr>
              <w:t xml:space="preserve"> </w:t>
            </w:r>
            <w:r w:rsidR="002600B5" w:rsidRPr="004523AB">
              <w:rPr>
                <w:rFonts w:eastAsia="Segoe UI" w:cs="Segoe UI"/>
                <w:b/>
                <w:color w:val="000000"/>
                <w:szCs w:val="21"/>
              </w:rPr>
              <w:t>cent</w:t>
            </w:r>
            <w:r w:rsidRPr="004523AB">
              <w:rPr>
                <w:rFonts w:eastAsia="Segoe UI" w:cs="Segoe UI"/>
                <w:b/>
                <w:color w:val="000000"/>
                <w:szCs w:val="21"/>
              </w:rPr>
              <w:t>)</w:t>
            </w:r>
          </w:p>
        </w:tc>
        <w:tc>
          <w:tcPr>
            <w:tcW w:w="3864" w:type="dxa"/>
          </w:tcPr>
          <w:p w14:paraId="726B600F" w14:textId="453F41C6" w:rsidR="000B2390" w:rsidRPr="004523AB" w:rsidRDefault="000B2390"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b/>
                <w:color w:val="000000"/>
                <w:szCs w:val="21"/>
              </w:rPr>
              <w:t>3,948 (74.1</w:t>
            </w:r>
            <w:r w:rsidR="002600B5" w:rsidRPr="004523AB">
              <w:rPr>
                <w:rFonts w:eastAsia="Segoe UI" w:cs="Segoe UI"/>
                <w:b/>
                <w:color w:val="000000"/>
                <w:szCs w:val="21"/>
              </w:rPr>
              <w:t xml:space="preserve"> per</w:t>
            </w:r>
            <w:r w:rsidR="00A77272" w:rsidRPr="004523AB">
              <w:rPr>
                <w:rFonts w:eastAsia="Segoe UI" w:cs="Segoe UI"/>
                <w:b/>
                <w:color w:val="000000"/>
                <w:szCs w:val="21"/>
              </w:rPr>
              <w:t xml:space="preserve"> </w:t>
            </w:r>
            <w:r w:rsidR="002600B5" w:rsidRPr="004523AB">
              <w:rPr>
                <w:rFonts w:eastAsia="Segoe UI" w:cs="Segoe UI"/>
                <w:b/>
                <w:color w:val="000000"/>
                <w:szCs w:val="21"/>
              </w:rPr>
              <w:t>cent</w:t>
            </w:r>
            <w:r w:rsidRPr="004523AB">
              <w:rPr>
                <w:rFonts w:eastAsia="Segoe UI" w:cs="Segoe UI"/>
                <w:b/>
                <w:color w:val="000000"/>
                <w:szCs w:val="21"/>
              </w:rPr>
              <w:t>)</w:t>
            </w:r>
          </w:p>
        </w:tc>
      </w:tr>
    </w:tbl>
    <w:p w14:paraId="5C0FE154" w14:textId="0CA45324" w:rsidR="003F5741" w:rsidRPr="004523AB" w:rsidRDefault="00B95F58">
      <w:pPr>
        <w:spacing w:after="165" w:line="259" w:lineRule="auto"/>
        <w:rPr>
          <w:lang w:eastAsia="en-AU"/>
        </w:rPr>
      </w:pPr>
      <w:r w:rsidRPr="004523AB">
        <w:rPr>
          <w:lang w:eastAsia="en-AU"/>
        </w:rPr>
        <w:br w:type="page"/>
      </w:r>
    </w:p>
    <w:p w14:paraId="6745AFB7" w14:textId="0403869A" w:rsidR="00E918B8" w:rsidRPr="004523AB" w:rsidRDefault="00472A6B" w:rsidP="00E918B8">
      <w:pPr>
        <w:pStyle w:val="Caption"/>
      </w:pPr>
      <w:r w:rsidRPr="004523AB">
        <w:lastRenderedPageBreak/>
        <w:t xml:space="preserve">Table </w:t>
      </w:r>
      <w:r w:rsidRPr="004523AB">
        <w:fldChar w:fldCharType="begin"/>
      </w:r>
      <w:r w:rsidRPr="004523AB">
        <w:instrText xml:space="preserve"> SEQ Table \* ARABIC </w:instrText>
      </w:r>
      <w:r w:rsidRPr="004523AB">
        <w:fldChar w:fldCharType="separate"/>
      </w:r>
      <w:r w:rsidR="00B96E50">
        <w:rPr>
          <w:noProof/>
        </w:rPr>
        <w:t>24</w:t>
      </w:r>
      <w:r w:rsidRPr="004523AB">
        <w:fldChar w:fldCharType="end"/>
      </w:r>
      <w:r w:rsidR="00E918B8" w:rsidRPr="004523AB">
        <w:t xml:space="preserve"> |</w:t>
      </w:r>
      <w:r w:rsidR="007A325D" w:rsidRPr="004523AB">
        <w:t xml:space="preserve"> Stream 1 (Digital): What did you spend grant funds on?</w:t>
      </w:r>
      <w:r w:rsidR="00FA7385" w:rsidRPr="004523AB">
        <w:t xml:space="preserve"> (by State)</w:t>
      </w:r>
    </w:p>
    <w:tbl>
      <w:tblPr>
        <w:tblStyle w:val="AccessibleNousTable"/>
        <w:tblpPr w:leftFromText="181" w:rightFromText="181" w:vertAnchor="text" w:horzAnchor="margin" w:tblpY="1"/>
        <w:tblW w:w="14034" w:type="dxa"/>
        <w:tblLayout w:type="fixed"/>
        <w:tblLook w:val="0420" w:firstRow="1" w:lastRow="0" w:firstColumn="0" w:lastColumn="0" w:noHBand="0" w:noVBand="1"/>
      </w:tblPr>
      <w:tblGrid>
        <w:gridCol w:w="2410"/>
        <w:gridCol w:w="1418"/>
        <w:gridCol w:w="1417"/>
        <w:gridCol w:w="1418"/>
        <w:gridCol w:w="1417"/>
        <w:gridCol w:w="1418"/>
        <w:gridCol w:w="1417"/>
        <w:gridCol w:w="1559"/>
        <w:gridCol w:w="1560"/>
      </w:tblGrid>
      <w:tr w:rsidR="00661922" w:rsidRPr="004523AB" w14:paraId="4359D460" w14:textId="77777777" w:rsidTr="006E25AA">
        <w:trPr>
          <w:cnfStyle w:val="100000000000" w:firstRow="1" w:lastRow="0" w:firstColumn="0" w:lastColumn="0" w:oddVBand="0" w:evenVBand="0" w:oddHBand="0" w:evenHBand="0" w:firstRowFirstColumn="0" w:firstRowLastColumn="0" w:lastRowFirstColumn="0" w:lastRowLastColumn="0"/>
          <w:cantSplit/>
          <w:tblHeader/>
        </w:trPr>
        <w:tc>
          <w:tcPr>
            <w:tcW w:w="2410" w:type="dxa"/>
          </w:tcPr>
          <w:p w14:paraId="42D19CB8" w14:textId="77777777" w:rsidR="00472A6B" w:rsidRPr="004523AB" w:rsidRDefault="00472A6B">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Response</w:t>
            </w:r>
          </w:p>
        </w:tc>
        <w:tc>
          <w:tcPr>
            <w:tcW w:w="1418" w:type="dxa"/>
          </w:tcPr>
          <w:p w14:paraId="7E76056C" w14:textId="77777777"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NSW</w:t>
            </w:r>
          </w:p>
        </w:tc>
        <w:tc>
          <w:tcPr>
            <w:tcW w:w="1417" w:type="dxa"/>
          </w:tcPr>
          <w:p w14:paraId="10BB047C" w14:textId="77777777"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Vic</w:t>
            </w:r>
          </w:p>
        </w:tc>
        <w:tc>
          <w:tcPr>
            <w:tcW w:w="1418" w:type="dxa"/>
          </w:tcPr>
          <w:p w14:paraId="71A7D373" w14:textId="77777777"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Qld</w:t>
            </w:r>
          </w:p>
        </w:tc>
        <w:tc>
          <w:tcPr>
            <w:tcW w:w="1417" w:type="dxa"/>
          </w:tcPr>
          <w:p w14:paraId="4E67CAC7" w14:textId="77777777"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WA</w:t>
            </w:r>
          </w:p>
        </w:tc>
        <w:tc>
          <w:tcPr>
            <w:tcW w:w="1418" w:type="dxa"/>
          </w:tcPr>
          <w:p w14:paraId="7EDB12A0" w14:textId="77777777"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SA</w:t>
            </w:r>
          </w:p>
        </w:tc>
        <w:tc>
          <w:tcPr>
            <w:tcW w:w="1417" w:type="dxa"/>
          </w:tcPr>
          <w:p w14:paraId="35667844" w14:textId="77777777"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Tas</w:t>
            </w:r>
          </w:p>
        </w:tc>
        <w:tc>
          <w:tcPr>
            <w:tcW w:w="1559" w:type="dxa"/>
          </w:tcPr>
          <w:p w14:paraId="37209129" w14:textId="77777777"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ACT</w:t>
            </w:r>
          </w:p>
        </w:tc>
        <w:tc>
          <w:tcPr>
            <w:tcW w:w="1560" w:type="dxa"/>
          </w:tcPr>
          <w:p w14:paraId="776D9E2B" w14:textId="77777777"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NT</w:t>
            </w:r>
          </w:p>
        </w:tc>
      </w:tr>
      <w:tr w:rsidR="000E7E6E" w:rsidRPr="004523AB" w14:paraId="6EA90DCA" w14:textId="77777777" w:rsidTr="006E25AA">
        <w:tc>
          <w:tcPr>
            <w:tcW w:w="2410" w:type="dxa"/>
          </w:tcPr>
          <w:p w14:paraId="68355159" w14:textId="77777777" w:rsidR="00472A6B" w:rsidRPr="004523AB" w:rsidRDefault="00472A6B">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General Practice IT systems</w:t>
            </w:r>
          </w:p>
        </w:tc>
        <w:tc>
          <w:tcPr>
            <w:tcW w:w="1418" w:type="dxa"/>
          </w:tcPr>
          <w:p w14:paraId="607EA171" w14:textId="26CB2F82"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1,376 (88.5 per</w:t>
            </w:r>
            <w:r w:rsidR="00843623" w:rsidRPr="004523AB">
              <w:rPr>
                <w:rFonts w:eastAsia="Segoe UI" w:cs="Segoe UI"/>
                <w:color w:val="000000"/>
                <w:szCs w:val="21"/>
              </w:rPr>
              <w:t xml:space="preserve"> cent</w:t>
            </w:r>
            <w:r w:rsidRPr="004523AB">
              <w:rPr>
                <w:rFonts w:eastAsia="Segoe UI" w:cs="Segoe UI"/>
                <w:color w:val="000000"/>
                <w:szCs w:val="21"/>
              </w:rPr>
              <w:t>)</w:t>
            </w:r>
          </w:p>
        </w:tc>
        <w:tc>
          <w:tcPr>
            <w:tcW w:w="1417" w:type="dxa"/>
          </w:tcPr>
          <w:p w14:paraId="75044B48" w14:textId="5BEA5B40"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1,139 (87.0 per</w:t>
            </w:r>
            <w:r w:rsidR="00843623" w:rsidRPr="004523AB">
              <w:rPr>
                <w:rFonts w:eastAsia="Segoe UI" w:cs="Segoe UI"/>
                <w:color w:val="000000"/>
                <w:szCs w:val="21"/>
              </w:rPr>
              <w:t xml:space="preserve"> cent</w:t>
            </w:r>
            <w:r w:rsidRPr="004523AB">
              <w:rPr>
                <w:rFonts w:eastAsia="Segoe UI" w:cs="Segoe UI"/>
                <w:color w:val="000000"/>
                <w:szCs w:val="21"/>
              </w:rPr>
              <w:t>)</w:t>
            </w:r>
          </w:p>
        </w:tc>
        <w:tc>
          <w:tcPr>
            <w:tcW w:w="1418" w:type="dxa"/>
          </w:tcPr>
          <w:p w14:paraId="40C90430" w14:textId="48BB9BF6"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770 (87.9 per</w:t>
            </w:r>
            <w:r w:rsidR="00843623" w:rsidRPr="004523AB">
              <w:rPr>
                <w:rFonts w:eastAsia="Segoe UI" w:cs="Segoe UI"/>
                <w:color w:val="000000"/>
                <w:szCs w:val="21"/>
              </w:rPr>
              <w:t xml:space="preserve"> cent</w:t>
            </w:r>
            <w:r w:rsidRPr="004523AB">
              <w:rPr>
                <w:rFonts w:eastAsia="Segoe UI" w:cs="Segoe UI"/>
                <w:color w:val="000000"/>
                <w:szCs w:val="21"/>
              </w:rPr>
              <w:t>)</w:t>
            </w:r>
          </w:p>
        </w:tc>
        <w:tc>
          <w:tcPr>
            <w:tcW w:w="1417" w:type="dxa"/>
          </w:tcPr>
          <w:p w14:paraId="7AB2892A" w14:textId="605B13EB"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460 (83.9 per</w:t>
            </w:r>
            <w:r w:rsidR="00843623" w:rsidRPr="004523AB">
              <w:rPr>
                <w:rFonts w:eastAsia="Segoe UI" w:cs="Segoe UI"/>
                <w:color w:val="000000"/>
                <w:szCs w:val="21"/>
              </w:rPr>
              <w:t xml:space="preserve"> cent</w:t>
            </w:r>
            <w:r w:rsidRPr="004523AB">
              <w:rPr>
                <w:rFonts w:eastAsia="Segoe UI" w:cs="Segoe UI"/>
                <w:color w:val="000000"/>
                <w:szCs w:val="21"/>
              </w:rPr>
              <w:t>)</w:t>
            </w:r>
          </w:p>
        </w:tc>
        <w:tc>
          <w:tcPr>
            <w:tcW w:w="1418" w:type="dxa"/>
          </w:tcPr>
          <w:p w14:paraId="2E450765" w14:textId="2117F943"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235 (</w:t>
            </w:r>
            <w:proofErr w:type="gramStart"/>
            <w:r w:rsidRPr="004523AB">
              <w:rPr>
                <w:rFonts w:eastAsia="Segoe UI" w:cs="Segoe UI"/>
                <w:color w:val="000000"/>
                <w:szCs w:val="21"/>
              </w:rPr>
              <w:t xml:space="preserve">82.2 </w:t>
            </w:r>
            <w:r w:rsidR="00843623" w:rsidRPr="004523AB">
              <w:rPr>
                <w:rFonts w:eastAsia="Segoe UI" w:cs="Segoe UI"/>
                <w:color w:val="000000"/>
                <w:szCs w:val="21"/>
              </w:rPr>
              <w:t xml:space="preserve"> </w:t>
            </w:r>
            <w:r w:rsidRPr="004523AB">
              <w:rPr>
                <w:rFonts w:eastAsia="Segoe UI" w:cs="Segoe UI"/>
                <w:color w:val="000000"/>
                <w:szCs w:val="21"/>
              </w:rPr>
              <w:t>per</w:t>
            </w:r>
            <w:proofErr w:type="gramEnd"/>
            <w:r w:rsidR="00843623" w:rsidRPr="004523AB">
              <w:rPr>
                <w:rFonts w:eastAsia="Segoe UI" w:cs="Segoe UI"/>
                <w:color w:val="000000"/>
                <w:szCs w:val="21"/>
              </w:rPr>
              <w:t xml:space="preserve"> cent</w:t>
            </w:r>
            <w:r w:rsidRPr="004523AB">
              <w:rPr>
                <w:rFonts w:eastAsia="Segoe UI" w:cs="Segoe UI"/>
                <w:color w:val="000000"/>
                <w:szCs w:val="21"/>
              </w:rPr>
              <w:t>)</w:t>
            </w:r>
          </w:p>
        </w:tc>
        <w:tc>
          <w:tcPr>
            <w:tcW w:w="1417" w:type="dxa"/>
          </w:tcPr>
          <w:p w14:paraId="29398057" w14:textId="2FC23F7B"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98 (</w:t>
            </w:r>
            <w:proofErr w:type="gramStart"/>
            <w:r w:rsidRPr="004523AB">
              <w:rPr>
                <w:rFonts w:eastAsia="Segoe UI" w:cs="Segoe UI"/>
                <w:color w:val="000000"/>
                <w:szCs w:val="21"/>
              </w:rPr>
              <w:t xml:space="preserve">88.3 </w:t>
            </w:r>
            <w:r w:rsidR="00843623" w:rsidRPr="004523AB">
              <w:rPr>
                <w:rFonts w:eastAsia="Segoe UI" w:cs="Segoe UI"/>
                <w:color w:val="000000"/>
                <w:szCs w:val="21"/>
              </w:rPr>
              <w:t xml:space="preserve"> </w:t>
            </w:r>
            <w:r w:rsidRPr="004523AB">
              <w:rPr>
                <w:rFonts w:eastAsia="Segoe UI" w:cs="Segoe UI"/>
                <w:color w:val="000000"/>
                <w:szCs w:val="21"/>
              </w:rPr>
              <w:t>per</w:t>
            </w:r>
            <w:proofErr w:type="gramEnd"/>
            <w:r w:rsidR="00843623" w:rsidRPr="004523AB">
              <w:rPr>
                <w:rFonts w:eastAsia="Segoe UI" w:cs="Segoe UI"/>
                <w:color w:val="000000"/>
                <w:szCs w:val="21"/>
              </w:rPr>
              <w:t xml:space="preserve"> cent</w:t>
            </w:r>
            <w:r w:rsidRPr="004523AB">
              <w:rPr>
                <w:rFonts w:eastAsia="Segoe UI" w:cs="Segoe UI"/>
                <w:color w:val="000000"/>
                <w:szCs w:val="21"/>
              </w:rPr>
              <w:t>)</w:t>
            </w:r>
          </w:p>
        </w:tc>
        <w:tc>
          <w:tcPr>
            <w:tcW w:w="1559" w:type="dxa"/>
          </w:tcPr>
          <w:p w14:paraId="1DFD4A7F" w14:textId="4A0A17BE"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79 (</w:t>
            </w:r>
            <w:proofErr w:type="gramStart"/>
            <w:r w:rsidRPr="004523AB">
              <w:rPr>
                <w:rFonts w:eastAsia="Segoe UI" w:cs="Segoe UI"/>
                <w:color w:val="000000"/>
                <w:szCs w:val="21"/>
              </w:rPr>
              <w:t xml:space="preserve">89.8 </w:t>
            </w:r>
            <w:r w:rsidR="00843623" w:rsidRPr="004523AB">
              <w:rPr>
                <w:rFonts w:eastAsia="Segoe UI" w:cs="Segoe UI"/>
                <w:color w:val="000000"/>
                <w:szCs w:val="21"/>
              </w:rPr>
              <w:t xml:space="preserve"> </w:t>
            </w:r>
            <w:r w:rsidRPr="004523AB">
              <w:rPr>
                <w:rFonts w:eastAsia="Segoe UI" w:cs="Segoe UI"/>
                <w:color w:val="000000"/>
                <w:szCs w:val="21"/>
              </w:rPr>
              <w:t>per</w:t>
            </w:r>
            <w:proofErr w:type="gramEnd"/>
            <w:r w:rsidR="00843623" w:rsidRPr="004523AB">
              <w:rPr>
                <w:rFonts w:eastAsia="Segoe UI" w:cs="Segoe UI"/>
                <w:color w:val="000000"/>
                <w:szCs w:val="21"/>
              </w:rPr>
              <w:t xml:space="preserve"> cent</w:t>
            </w:r>
            <w:r w:rsidRPr="004523AB">
              <w:rPr>
                <w:rFonts w:eastAsia="Segoe UI" w:cs="Segoe UI"/>
                <w:color w:val="000000"/>
                <w:szCs w:val="21"/>
              </w:rPr>
              <w:t>)</w:t>
            </w:r>
          </w:p>
        </w:tc>
        <w:tc>
          <w:tcPr>
            <w:tcW w:w="1560" w:type="dxa"/>
          </w:tcPr>
          <w:p w14:paraId="191FA927" w14:textId="003DA77F"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19 (</w:t>
            </w:r>
            <w:proofErr w:type="gramStart"/>
            <w:r w:rsidRPr="004523AB">
              <w:rPr>
                <w:rFonts w:eastAsia="Segoe UI" w:cs="Segoe UI"/>
                <w:color w:val="000000"/>
                <w:szCs w:val="21"/>
              </w:rPr>
              <w:t xml:space="preserve">27.5 </w:t>
            </w:r>
            <w:r w:rsidR="00843623" w:rsidRPr="004523AB">
              <w:rPr>
                <w:rFonts w:eastAsia="Segoe UI" w:cs="Segoe UI"/>
                <w:color w:val="000000"/>
                <w:szCs w:val="21"/>
              </w:rPr>
              <w:t xml:space="preserve"> </w:t>
            </w:r>
            <w:r w:rsidRPr="004523AB">
              <w:rPr>
                <w:rFonts w:eastAsia="Segoe UI" w:cs="Segoe UI"/>
                <w:color w:val="000000"/>
                <w:szCs w:val="21"/>
              </w:rPr>
              <w:t>per</w:t>
            </w:r>
            <w:proofErr w:type="gramEnd"/>
            <w:r w:rsidR="00843623" w:rsidRPr="004523AB">
              <w:rPr>
                <w:rFonts w:eastAsia="Segoe UI" w:cs="Segoe UI"/>
                <w:color w:val="000000"/>
                <w:szCs w:val="21"/>
              </w:rPr>
              <w:t xml:space="preserve"> cent</w:t>
            </w:r>
            <w:r w:rsidRPr="004523AB">
              <w:rPr>
                <w:rFonts w:eastAsia="Segoe UI" w:cs="Segoe UI"/>
                <w:color w:val="000000"/>
                <w:szCs w:val="21"/>
              </w:rPr>
              <w:t>)</w:t>
            </w:r>
          </w:p>
        </w:tc>
      </w:tr>
      <w:tr w:rsidR="000E7E6E" w:rsidRPr="004523AB" w14:paraId="1AB5C2B4" w14:textId="77777777" w:rsidTr="006E25AA">
        <w:tc>
          <w:tcPr>
            <w:tcW w:w="2410" w:type="dxa"/>
          </w:tcPr>
          <w:p w14:paraId="6682E94E" w14:textId="77777777" w:rsidR="00472A6B" w:rsidRPr="004523AB" w:rsidRDefault="00472A6B">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Internet connectivity improvements</w:t>
            </w:r>
          </w:p>
        </w:tc>
        <w:tc>
          <w:tcPr>
            <w:tcW w:w="1418" w:type="dxa"/>
          </w:tcPr>
          <w:p w14:paraId="473D36F8" w14:textId="4AE0101F"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 xml:space="preserve">781 (50.2 </w:t>
            </w:r>
            <w:r w:rsidR="00843623" w:rsidRPr="004523AB">
              <w:rPr>
                <w:rFonts w:eastAsia="Segoe UI" w:cs="Segoe UI"/>
                <w:color w:val="000000"/>
                <w:szCs w:val="21"/>
              </w:rPr>
              <w:t xml:space="preserve"> </w:t>
            </w:r>
            <w:r w:rsidR="00A77272" w:rsidRPr="004523AB">
              <w:rPr>
                <w:rFonts w:eastAsia="Segoe UI" w:cs="Segoe UI"/>
                <w:color w:val="000000"/>
                <w:szCs w:val="21"/>
              </w:rPr>
              <w:t xml:space="preserve"> </w:t>
            </w:r>
            <w:r w:rsidRPr="004523AB">
              <w:rPr>
                <w:rFonts w:eastAsia="Segoe UI" w:cs="Segoe UI"/>
                <w:color w:val="000000"/>
                <w:szCs w:val="21"/>
              </w:rPr>
              <w:t>per</w:t>
            </w:r>
            <w:r w:rsidR="00843623" w:rsidRPr="004523AB">
              <w:rPr>
                <w:rFonts w:eastAsia="Segoe UI" w:cs="Segoe UI"/>
                <w:color w:val="000000"/>
                <w:szCs w:val="21"/>
              </w:rPr>
              <w:t xml:space="preserve"> cent</w:t>
            </w:r>
            <w:r w:rsidRPr="004523AB">
              <w:rPr>
                <w:rFonts w:eastAsia="Segoe UI" w:cs="Segoe UI"/>
                <w:color w:val="000000"/>
                <w:szCs w:val="21"/>
              </w:rPr>
              <w:t>)</w:t>
            </w:r>
          </w:p>
        </w:tc>
        <w:tc>
          <w:tcPr>
            <w:tcW w:w="1417" w:type="dxa"/>
          </w:tcPr>
          <w:p w14:paraId="12729593" w14:textId="2797CA98"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 xml:space="preserve">645 (49.3 </w:t>
            </w:r>
            <w:r w:rsidR="00843623" w:rsidRPr="004523AB">
              <w:rPr>
                <w:rFonts w:eastAsia="Segoe UI" w:cs="Segoe UI"/>
                <w:color w:val="000000"/>
                <w:szCs w:val="21"/>
              </w:rPr>
              <w:t xml:space="preserve"> </w:t>
            </w:r>
            <w:r w:rsidR="00A77272" w:rsidRPr="004523AB">
              <w:rPr>
                <w:rFonts w:eastAsia="Segoe UI" w:cs="Segoe UI"/>
                <w:color w:val="000000"/>
                <w:szCs w:val="21"/>
              </w:rPr>
              <w:t xml:space="preserve"> </w:t>
            </w:r>
            <w:r w:rsidRPr="004523AB">
              <w:rPr>
                <w:rFonts w:eastAsia="Segoe UI" w:cs="Segoe UI"/>
                <w:color w:val="000000"/>
                <w:szCs w:val="21"/>
              </w:rPr>
              <w:t>per</w:t>
            </w:r>
            <w:r w:rsidR="00843623" w:rsidRPr="004523AB">
              <w:rPr>
                <w:rFonts w:eastAsia="Segoe UI" w:cs="Segoe UI"/>
                <w:color w:val="000000"/>
                <w:szCs w:val="21"/>
              </w:rPr>
              <w:t xml:space="preserve"> cent</w:t>
            </w:r>
            <w:r w:rsidRPr="004523AB">
              <w:rPr>
                <w:rFonts w:eastAsia="Segoe UI" w:cs="Segoe UI"/>
                <w:color w:val="000000"/>
                <w:szCs w:val="21"/>
              </w:rPr>
              <w:t>)</w:t>
            </w:r>
          </w:p>
        </w:tc>
        <w:tc>
          <w:tcPr>
            <w:tcW w:w="1418" w:type="dxa"/>
          </w:tcPr>
          <w:p w14:paraId="50E0D4D6" w14:textId="0543F6C6"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415 (</w:t>
            </w:r>
            <w:proofErr w:type="gramStart"/>
            <w:r w:rsidRPr="004523AB">
              <w:rPr>
                <w:rFonts w:eastAsia="Segoe UI" w:cs="Segoe UI"/>
                <w:color w:val="000000"/>
                <w:szCs w:val="21"/>
              </w:rPr>
              <w:t xml:space="preserve">47.4 </w:t>
            </w:r>
            <w:r w:rsidR="00843623" w:rsidRPr="004523AB">
              <w:rPr>
                <w:rFonts w:eastAsia="Segoe UI" w:cs="Segoe UI"/>
                <w:color w:val="000000"/>
                <w:szCs w:val="21"/>
              </w:rPr>
              <w:t xml:space="preserve"> </w:t>
            </w:r>
            <w:r w:rsidRPr="004523AB">
              <w:rPr>
                <w:rFonts w:eastAsia="Segoe UI" w:cs="Segoe UI"/>
                <w:color w:val="000000"/>
                <w:szCs w:val="21"/>
              </w:rPr>
              <w:t>per</w:t>
            </w:r>
            <w:proofErr w:type="gramEnd"/>
            <w:r w:rsidR="00843623" w:rsidRPr="004523AB">
              <w:rPr>
                <w:rFonts w:eastAsia="Segoe UI" w:cs="Segoe UI"/>
                <w:color w:val="000000"/>
                <w:szCs w:val="21"/>
              </w:rPr>
              <w:t xml:space="preserve"> cent</w:t>
            </w:r>
            <w:r w:rsidRPr="004523AB">
              <w:rPr>
                <w:rFonts w:eastAsia="Segoe UI" w:cs="Segoe UI"/>
                <w:color w:val="000000"/>
                <w:szCs w:val="21"/>
              </w:rPr>
              <w:t>)</w:t>
            </w:r>
          </w:p>
        </w:tc>
        <w:tc>
          <w:tcPr>
            <w:tcW w:w="1417" w:type="dxa"/>
          </w:tcPr>
          <w:p w14:paraId="5C51E491" w14:textId="1B5EBD55"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246 (</w:t>
            </w:r>
            <w:proofErr w:type="gramStart"/>
            <w:r w:rsidRPr="004523AB">
              <w:rPr>
                <w:rFonts w:eastAsia="Segoe UI" w:cs="Segoe UI"/>
                <w:color w:val="000000"/>
                <w:szCs w:val="21"/>
              </w:rPr>
              <w:t xml:space="preserve">44.9 </w:t>
            </w:r>
            <w:r w:rsidR="00843623" w:rsidRPr="004523AB">
              <w:rPr>
                <w:rFonts w:eastAsia="Segoe UI" w:cs="Segoe UI"/>
                <w:color w:val="000000"/>
                <w:szCs w:val="21"/>
              </w:rPr>
              <w:t xml:space="preserve"> </w:t>
            </w:r>
            <w:r w:rsidRPr="004523AB">
              <w:rPr>
                <w:rFonts w:eastAsia="Segoe UI" w:cs="Segoe UI"/>
                <w:color w:val="000000"/>
                <w:szCs w:val="21"/>
              </w:rPr>
              <w:t>per</w:t>
            </w:r>
            <w:proofErr w:type="gramEnd"/>
            <w:r w:rsidR="00843623" w:rsidRPr="004523AB">
              <w:rPr>
                <w:rFonts w:eastAsia="Segoe UI" w:cs="Segoe UI"/>
                <w:color w:val="000000"/>
                <w:szCs w:val="21"/>
              </w:rPr>
              <w:t xml:space="preserve"> cent</w:t>
            </w:r>
            <w:r w:rsidRPr="004523AB">
              <w:rPr>
                <w:rFonts w:eastAsia="Segoe UI" w:cs="Segoe UI"/>
                <w:color w:val="000000"/>
                <w:szCs w:val="21"/>
              </w:rPr>
              <w:t>)</w:t>
            </w:r>
          </w:p>
        </w:tc>
        <w:tc>
          <w:tcPr>
            <w:tcW w:w="1418" w:type="dxa"/>
          </w:tcPr>
          <w:p w14:paraId="4CBA6BD0" w14:textId="1C923096"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132 (</w:t>
            </w:r>
            <w:proofErr w:type="gramStart"/>
            <w:r w:rsidRPr="004523AB">
              <w:rPr>
                <w:rFonts w:eastAsia="Segoe UI" w:cs="Segoe UI"/>
                <w:color w:val="000000"/>
                <w:szCs w:val="21"/>
              </w:rPr>
              <w:t xml:space="preserve">46.2 </w:t>
            </w:r>
            <w:r w:rsidR="00843623" w:rsidRPr="004523AB">
              <w:rPr>
                <w:rFonts w:eastAsia="Segoe UI" w:cs="Segoe UI"/>
                <w:color w:val="000000"/>
                <w:szCs w:val="21"/>
              </w:rPr>
              <w:t xml:space="preserve"> </w:t>
            </w:r>
            <w:r w:rsidRPr="004523AB">
              <w:rPr>
                <w:rFonts w:eastAsia="Segoe UI" w:cs="Segoe UI"/>
                <w:color w:val="000000"/>
                <w:szCs w:val="21"/>
              </w:rPr>
              <w:t>per</w:t>
            </w:r>
            <w:proofErr w:type="gramEnd"/>
            <w:r w:rsidR="00843623" w:rsidRPr="004523AB">
              <w:rPr>
                <w:rFonts w:eastAsia="Segoe UI" w:cs="Segoe UI"/>
                <w:color w:val="000000"/>
                <w:szCs w:val="21"/>
              </w:rPr>
              <w:t xml:space="preserve"> cent</w:t>
            </w:r>
            <w:r w:rsidRPr="004523AB">
              <w:rPr>
                <w:rFonts w:eastAsia="Segoe UI" w:cs="Segoe UI"/>
                <w:color w:val="000000"/>
                <w:szCs w:val="21"/>
              </w:rPr>
              <w:t>)</w:t>
            </w:r>
          </w:p>
        </w:tc>
        <w:tc>
          <w:tcPr>
            <w:tcW w:w="1417" w:type="dxa"/>
          </w:tcPr>
          <w:p w14:paraId="26C6DBF0" w14:textId="2F5EA1A4"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36 (</w:t>
            </w:r>
            <w:proofErr w:type="gramStart"/>
            <w:r w:rsidRPr="004523AB">
              <w:rPr>
                <w:rFonts w:eastAsia="Segoe UI" w:cs="Segoe UI"/>
                <w:color w:val="000000"/>
                <w:szCs w:val="21"/>
              </w:rPr>
              <w:t xml:space="preserve">32.4 </w:t>
            </w:r>
            <w:r w:rsidR="00843623" w:rsidRPr="004523AB">
              <w:rPr>
                <w:rFonts w:eastAsia="Segoe UI" w:cs="Segoe UI"/>
                <w:color w:val="000000"/>
                <w:szCs w:val="21"/>
              </w:rPr>
              <w:t xml:space="preserve"> </w:t>
            </w:r>
            <w:r w:rsidRPr="004523AB">
              <w:rPr>
                <w:rFonts w:eastAsia="Segoe UI" w:cs="Segoe UI"/>
                <w:color w:val="000000"/>
                <w:szCs w:val="21"/>
              </w:rPr>
              <w:t>per</w:t>
            </w:r>
            <w:proofErr w:type="gramEnd"/>
            <w:r w:rsidR="00843623" w:rsidRPr="004523AB">
              <w:rPr>
                <w:rFonts w:eastAsia="Segoe UI" w:cs="Segoe UI"/>
                <w:color w:val="000000"/>
                <w:szCs w:val="21"/>
              </w:rPr>
              <w:t xml:space="preserve"> cent</w:t>
            </w:r>
            <w:r w:rsidRPr="004523AB">
              <w:rPr>
                <w:rFonts w:eastAsia="Segoe UI" w:cs="Segoe UI"/>
                <w:color w:val="000000"/>
                <w:szCs w:val="21"/>
              </w:rPr>
              <w:t>)</w:t>
            </w:r>
          </w:p>
        </w:tc>
        <w:tc>
          <w:tcPr>
            <w:tcW w:w="1559" w:type="dxa"/>
          </w:tcPr>
          <w:p w14:paraId="35F043B4" w14:textId="5C6BDE6D"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29 (</w:t>
            </w:r>
            <w:proofErr w:type="gramStart"/>
            <w:r w:rsidRPr="004523AB">
              <w:rPr>
                <w:rFonts w:eastAsia="Segoe UI" w:cs="Segoe UI"/>
                <w:color w:val="000000"/>
                <w:szCs w:val="21"/>
              </w:rPr>
              <w:t xml:space="preserve">33.0 </w:t>
            </w:r>
            <w:r w:rsidR="00843623" w:rsidRPr="004523AB">
              <w:rPr>
                <w:rFonts w:eastAsia="Segoe UI" w:cs="Segoe UI"/>
                <w:color w:val="000000"/>
                <w:szCs w:val="21"/>
              </w:rPr>
              <w:t xml:space="preserve"> </w:t>
            </w:r>
            <w:r w:rsidRPr="004523AB">
              <w:rPr>
                <w:rFonts w:eastAsia="Segoe UI" w:cs="Segoe UI"/>
                <w:color w:val="000000"/>
                <w:szCs w:val="21"/>
              </w:rPr>
              <w:t>per</w:t>
            </w:r>
            <w:proofErr w:type="gramEnd"/>
            <w:r w:rsidR="00843623" w:rsidRPr="004523AB">
              <w:rPr>
                <w:rFonts w:eastAsia="Segoe UI" w:cs="Segoe UI"/>
                <w:color w:val="000000"/>
                <w:szCs w:val="21"/>
              </w:rPr>
              <w:t xml:space="preserve"> cent</w:t>
            </w:r>
            <w:r w:rsidRPr="004523AB">
              <w:rPr>
                <w:rFonts w:eastAsia="Segoe UI" w:cs="Segoe UI"/>
                <w:color w:val="000000"/>
                <w:szCs w:val="21"/>
              </w:rPr>
              <w:t>)</w:t>
            </w:r>
          </w:p>
        </w:tc>
        <w:tc>
          <w:tcPr>
            <w:tcW w:w="1560" w:type="dxa"/>
          </w:tcPr>
          <w:p w14:paraId="5D622F19" w14:textId="3140F13C"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8 (</w:t>
            </w:r>
            <w:proofErr w:type="gramStart"/>
            <w:r w:rsidRPr="004523AB">
              <w:rPr>
                <w:rFonts w:eastAsia="Segoe UI" w:cs="Segoe UI"/>
                <w:color w:val="000000"/>
                <w:szCs w:val="21"/>
              </w:rPr>
              <w:t xml:space="preserve">11.6 </w:t>
            </w:r>
            <w:r w:rsidR="00843623" w:rsidRPr="004523AB">
              <w:rPr>
                <w:rFonts w:eastAsia="Segoe UI" w:cs="Segoe UI"/>
                <w:color w:val="000000"/>
                <w:szCs w:val="21"/>
              </w:rPr>
              <w:t xml:space="preserve"> </w:t>
            </w:r>
            <w:r w:rsidRPr="004523AB">
              <w:rPr>
                <w:rFonts w:eastAsia="Segoe UI" w:cs="Segoe UI"/>
                <w:color w:val="000000"/>
                <w:szCs w:val="21"/>
              </w:rPr>
              <w:t>per</w:t>
            </w:r>
            <w:proofErr w:type="gramEnd"/>
            <w:r w:rsidR="00843623" w:rsidRPr="004523AB">
              <w:rPr>
                <w:rFonts w:eastAsia="Segoe UI" w:cs="Segoe UI"/>
                <w:color w:val="000000"/>
                <w:szCs w:val="21"/>
              </w:rPr>
              <w:t xml:space="preserve"> cent</w:t>
            </w:r>
            <w:r w:rsidRPr="004523AB">
              <w:rPr>
                <w:rFonts w:eastAsia="Segoe UI" w:cs="Segoe UI"/>
                <w:color w:val="000000"/>
                <w:szCs w:val="21"/>
              </w:rPr>
              <w:t>)</w:t>
            </w:r>
          </w:p>
        </w:tc>
      </w:tr>
      <w:tr w:rsidR="000E7E6E" w:rsidRPr="004523AB" w14:paraId="4408526E" w14:textId="77777777" w:rsidTr="006E25AA">
        <w:tc>
          <w:tcPr>
            <w:tcW w:w="2410" w:type="dxa"/>
          </w:tcPr>
          <w:p w14:paraId="49FB2717" w14:textId="77777777" w:rsidR="00472A6B" w:rsidRPr="004523AB" w:rsidRDefault="00472A6B">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Upskilling staff in digital capability</w:t>
            </w:r>
          </w:p>
        </w:tc>
        <w:tc>
          <w:tcPr>
            <w:tcW w:w="1418" w:type="dxa"/>
          </w:tcPr>
          <w:p w14:paraId="431783EF" w14:textId="2AD55990"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521 (33.5 per</w:t>
            </w:r>
            <w:r w:rsidR="00A77272" w:rsidRPr="004523AB">
              <w:rPr>
                <w:rFonts w:eastAsia="Segoe UI" w:cs="Segoe UI"/>
                <w:color w:val="000000"/>
                <w:szCs w:val="21"/>
              </w:rPr>
              <w:t xml:space="preserve"> cent</w:t>
            </w:r>
            <w:r w:rsidRPr="004523AB">
              <w:rPr>
                <w:rFonts w:eastAsia="Segoe UI" w:cs="Segoe UI"/>
                <w:color w:val="000000"/>
                <w:szCs w:val="21"/>
              </w:rPr>
              <w:t>)</w:t>
            </w:r>
          </w:p>
        </w:tc>
        <w:tc>
          <w:tcPr>
            <w:tcW w:w="1417" w:type="dxa"/>
          </w:tcPr>
          <w:p w14:paraId="782D34D9" w14:textId="3D92FDE1"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467 (</w:t>
            </w:r>
            <w:proofErr w:type="gramStart"/>
            <w:r w:rsidRPr="004523AB">
              <w:rPr>
                <w:rFonts w:eastAsia="Segoe UI" w:cs="Segoe UI"/>
                <w:color w:val="000000"/>
                <w:szCs w:val="21"/>
              </w:rPr>
              <w:t xml:space="preserve">35.7 </w:t>
            </w:r>
            <w:r w:rsidR="00A77272" w:rsidRPr="004523AB">
              <w:rPr>
                <w:rFonts w:eastAsia="Segoe UI" w:cs="Segoe UI"/>
                <w:color w:val="000000"/>
                <w:szCs w:val="21"/>
              </w:rPr>
              <w:t xml:space="preserve"> </w:t>
            </w:r>
            <w:r w:rsidRPr="004523AB">
              <w:rPr>
                <w:rFonts w:eastAsia="Segoe UI" w:cs="Segoe UI"/>
                <w:color w:val="000000"/>
                <w:szCs w:val="21"/>
              </w:rPr>
              <w:t>per</w:t>
            </w:r>
            <w:proofErr w:type="gramEnd"/>
            <w:r w:rsidR="00A77272" w:rsidRPr="004523AB">
              <w:rPr>
                <w:rFonts w:eastAsia="Segoe UI" w:cs="Segoe UI"/>
                <w:color w:val="000000"/>
                <w:szCs w:val="21"/>
              </w:rPr>
              <w:t xml:space="preserve"> cent</w:t>
            </w:r>
            <w:r w:rsidRPr="004523AB">
              <w:rPr>
                <w:rFonts w:eastAsia="Segoe UI" w:cs="Segoe UI"/>
                <w:color w:val="000000"/>
                <w:szCs w:val="21"/>
              </w:rPr>
              <w:t>)</w:t>
            </w:r>
          </w:p>
        </w:tc>
        <w:tc>
          <w:tcPr>
            <w:tcW w:w="1418" w:type="dxa"/>
          </w:tcPr>
          <w:p w14:paraId="79515E8B" w14:textId="651E6FA4"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278 (</w:t>
            </w:r>
            <w:proofErr w:type="gramStart"/>
            <w:r w:rsidRPr="004523AB">
              <w:rPr>
                <w:rFonts w:eastAsia="Segoe UI" w:cs="Segoe UI"/>
                <w:color w:val="000000"/>
                <w:szCs w:val="21"/>
              </w:rPr>
              <w:t xml:space="preserve">31.7 </w:t>
            </w:r>
            <w:r w:rsidR="00A77272" w:rsidRPr="004523AB">
              <w:rPr>
                <w:rFonts w:eastAsia="Segoe UI" w:cs="Segoe UI"/>
                <w:color w:val="000000"/>
                <w:szCs w:val="21"/>
              </w:rPr>
              <w:t xml:space="preserve"> </w:t>
            </w:r>
            <w:r w:rsidRPr="004523AB">
              <w:rPr>
                <w:rFonts w:eastAsia="Segoe UI" w:cs="Segoe UI"/>
                <w:color w:val="000000"/>
                <w:szCs w:val="21"/>
              </w:rPr>
              <w:t>per</w:t>
            </w:r>
            <w:proofErr w:type="gramEnd"/>
            <w:r w:rsidR="00A77272" w:rsidRPr="004523AB">
              <w:rPr>
                <w:rFonts w:eastAsia="Segoe UI" w:cs="Segoe UI"/>
                <w:color w:val="000000"/>
                <w:szCs w:val="21"/>
              </w:rPr>
              <w:t xml:space="preserve"> cent</w:t>
            </w:r>
            <w:r w:rsidRPr="004523AB">
              <w:rPr>
                <w:rFonts w:eastAsia="Segoe UI" w:cs="Segoe UI"/>
                <w:color w:val="000000"/>
                <w:szCs w:val="21"/>
              </w:rPr>
              <w:t>)</w:t>
            </w:r>
          </w:p>
        </w:tc>
        <w:tc>
          <w:tcPr>
            <w:tcW w:w="1417" w:type="dxa"/>
          </w:tcPr>
          <w:p w14:paraId="41A4E21F" w14:textId="07372DC0"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183 (</w:t>
            </w:r>
            <w:proofErr w:type="gramStart"/>
            <w:r w:rsidRPr="004523AB">
              <w:rPr>
                <w:rFonts w:eastAsia="Segoe UI" w:cs="Segoe UI"/>
                <w:color w:val="000000"/>
                <w:szCs w:val="21"/>
              </w:rPr>
              <w:t xml:space="preserve">33.4 </w:t>
            </w:r>
            <w:r w:rsidR="00A77272" w:rsidRPr="004523AB">
              <w:rPr>
                <w:rFonts w:eastAsia="Segoe UI" w:cs="Segoe UI"/>
                <w:color w:val="000000"/>
                <w:szCs w:val="21"/>
              </w:rPr>
              <w:t xml:space="preserve"> </w:t>
            </w:r>
            <w:r w:rsidRPr="004523AB">
              <w:rPr>
                <w:rFonts w:eastAsia="Segoe UI" w:cs="Segoe UI"/>
                <w:color w:val="000000"/>
                <w:szCs w:val="21"/>
              </w:rPr>
              <w:t>per</w:t>
            </w:r>
            <w:proofErr w:type="gramEnd"/>
            <w:r w:rsidR="00A77272" w:rsidRPr="004523AB">
              <w:rPr>
                <w:rFonts w:eastAsia="Segoe UI" w:cs="Segoe UI"/>
                <w:color w:val="000000"/>
                <w:szCs w:val="21"/>
              </w:rPr>
              <w:t xml:space="preserve"> cent</w:t>
            </w:r>
            <w:r w:rsidRPr="004523AB">
              <w:rPr>
                <w:rFonts w:eastAsia="Segoe UI" w:cs="Segoe UI"/>
                <w:color w:val="000000"/>
                <w:szCs w:val="21"/>
              </w:rPr>
              <w:t>)</w:t>
            </w:r>
          </w:p>
        </w:tc>
        <w:tc>
          <w:tcPr>
            <w:tcW w:w="1418" w:type="dxa"/>
          </w:tcPr>
          <w:p w14:paraId="6D83A131" w14:textId="22D1F6A9"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90 (</w:t>
            </w:r>
            <w:proofErr w:type="gramStart"/>
            <w:r w:rsidRPr="004523AB">
              <w:rPr>
                <w:rFonts w:eastAsia="Segoe UI" w:cs="Segoe UI"/>
                <w:color w:val="000000"/>
                <w:szCs w:val="21"/>
              </w:rPr>
              <w:t xml:space="preserve">31.5 </w:t>
            </w:r>
            <w:r w:rsidR="00A77272" w:rsidRPr="004523AB">
              <w:rPr>
                <w:rFonts w:eastAsia="Segoe UI" w:cs="Segoe UI"/>
                <w:color w:val="000000"/>
                <w:szCs w:val="21"/>
              </w:rPr>
              <w:t xml:space="preserve"> </w:t>
            </w:r>
            <w:r w:rsidRPr="004523AB">
              <w:rPr>
                <w:rFonts w:eastAsia="Segoe UI" w:cs="Segoe UI"/>
                <w:color w:val="000000"/>
                <w:szCs w:val="21"/>
              </w:rPr>
              <w:t>per</w:t>
            </w:r>
            <w:proofErr w:type="gramEnd"/>
            <w:r w:rsidR="00A77272" w:rsidRPr="004523AB">
              <w:rPr>
                <w:rFonts w:eastAsia="Segoe UI" w:cs="Segoe UI"/>
                <w:color w:val="000000"/>
                <w:szCs w:val="21"/>
              </w:rPr>
              <w:t xml:space="preserve"> cent</w:t>
            </w:r>
            <w:r w:rsidRPr="004523AB">
              <w:rPr>
                <w:rFonts w:eastAsia="Segoe UI" w:cs="Segoe UI"/>
                <w:color w:val="000000"/>
                <w:szCs w:val="21"/>
              </w:rPr>
              <w:t>)</w:t>
            </w:r>
          </w:p>
        </w:tc>
        <w:tc>
          <w:tcPr>
            <w:tcW w:w="1417" w:type="dxa"/>
          </w:tcPr>
          <w:p w14:paraId="6DCBBE26" w14:textId="374D2EAE"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49 (</w:t>
            </w:r>
            <w:proofErr w:type="gramStart"/>
            <w:r w:rsidRPr="004523AB">
              <w:rPr>
                <w:rFonts w:eastAsia="Segoe UI" w:cs="Segoe UI"/>
                <w:color w:val="000000"/>
                <w:szCs w:val="21"/>
              </w:rPr>
              <w:t xml:space="preserve">44.1 </w:t>
            </w:r>
            <w:r w:rsidR="00A77272" w:rsidRPr="004523AB">
              <w:rPr>
                <w:rFonts w:eastAsia="Segoe UI" w:cs="Segoe UI"/>
                <w:color w:val="000000"/>
                <w:szCs w:val="21"/>
              </w:rPr>
              <w:t xml:space="preserve"> </w:t>
            </w:r>
            <w:r w:rsidRPr="004523AB">
              <w:rPr>
                <w:rFonts w:eastAsia="Segoe UI" w:cs="Segoe UI"/>
                <w:color w:val="000000"/>
                <w:szCs w:val="21"/>
              </w:rPr>
              <w:t>per</w:t>
            </w:r>
            <w:proofErr w:type="gramEnd"/>
            <w:r w:rsidR="00A77272" w:rsidRPr="004523AB">
              <w:rPr>
                <w:rFonts w:eastAsia="Segoe UI" w:cs="Segoe UI"/>
                <w:color w:val="000000"/>
                <w:szCs w:val="21"/>
              </w:rPr>
              <w:t xml:space="preserve"> cent</w:t>
            </w:r>
            <w:r w:rsidRPr="004523AB">
              <w:rPr>
                <w:rFonts w:eastAsia="Segoe UI" w:cs="Segoe UI"/>
                <w:color w:val="000000"/>
                <w:szCs w:val="21"/>
              </w:rPr>
              <w:t>)</w:t>
            </w:r>
          </w:p>
        </w:tc>
        <w:tc>
          <w:tcPr>
            <w:tcW w:w="1559" w:type="dxa"/>
          </w:tcPr>
          <w:p w14:paraId="3C4AA0A1" w14:textId="4B05673B"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30 (</w:t>
            </w:r>
            <w:proofErr w:type="gramStart"/>
            <w:r w:rsidRPr="004523AB">
              <w:rPr>
                <w:rFonts w:eastAsia="Segoe UI" w:cs="Segoe UI"/>
                <w:color w:val="000000"/>
                <w:szCs w:val="21"/>
              </w:rPr>
              <w:t xml:space="preserve">34.1 </w:t>
            </w:r>
            <w:r w:rsidR="00A77272" w:rsidRPr="004523AB">
              <w:rPr>
                <w:rFonts w:eastAsia="Segoe UI" w:cs="Segoe UI"/>
                <w:color w:val="000000"/>
                <w:szCs w:val="21"/>
              </w:rPr>
              <w:t xml:space="preserve"> </w:t>
            </w:r>
            <w:r w:rsidRPr="004523AB">
              <w:rPr>
                <w:rFonts w:eastAsia="Segoe UI" w:cs="Segoe UI"/>
                <w:color w:val="000000"/>
                <w:szCs w:val="21"/>
              </w:rPr>
              <w:t>per</w:t>
            </w:r>
            <w:proofErr w:type="gramEnd"/>
            <w:r w:rsidR="00A77272" w:rsidRPr="004523AB">
              <w:rPr>
                <w:rFonts w:eastAsia="Segoe UI" w:cs="Segoe UI"/>
                <w:color w:val="000000"/>
                <w:szCs w:val="21"/>
              </w:rPr>
              <w:t xml:space="preserve"> cent</w:t>
            </w:r>
            <w:r w:rsidRPr="004523AB">
              <w:rPr>
                <w:rFonts w:eastAsia="Segoe UI" w:cs="Segoe UI"/>
                <w:color w:val="000000"/>
                <w:szCs w:val="21"/>
              </w:rPr>
              <w:t>)</w:t>
            </w:r>
          </w:p>
        </w:tc>
        <w:tc>
          <w:tcPr>
            <w:tcW w:w="1560" w:type="dxa"/>
          </w:tcPr>
          <w:p w14:paraId="16011ED3" w14:textId="3E222CB4"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47 (</w:t>
            </w:r>
            <w:proofErr w:type="gramStart"/>
            <w:r w:rsidRPr="004523AB">
              <w:rPr>
                <w:rFonts w:eastAsia="Segoe UI" w:cs="Segoe UI"/>
                <w:color w:val="000000"/>
                <w:szCs w:val="21"/>
              </w:rPr>
              <w:t xml:space="preserve">68.1 </w:t>
            </w:r>
            <w:r w:rsidR="00A77272" w:rsidRPr="004523AB">
              <w:rPr>
                <w:rFonts w:eastAsia="Segoe UI" w:cs="Segoe UI"/>
                <w:color w:val="000000"/>
                <w:szCs w:val="21"/>
              </w:rPr>
              <w:t xml:space="preserve"> </w:t>
            </w:r>
            <w:r w:rsidRPr="004523AB">
              <w:rPr>
                <w:rFonts w:eastAsia="Segoe UI" w:cs="Segoe UI"/>
                <w:color w:val="000000"/>
                <w:szCs w:val="21"/>
              </w:rPr>
              <w:t>per</w:t>
            </w:r>
            <w:proofErr w:type="gramEnd"/>
            <w:r w:rsidR="00A77272" w:rsidRPr="004523AB">
              <w:rPr>
                <w:rFonts w:eastAsia="Segoe UI" w:cs="Segoe UI"/>
                <w:color w:val="000000"/>
                <w:szCs w:val="21"/>
              </w:rPr>
              <w:t xml:space="preserve"> cent</w:t>
            </w:r>
            <w:r w:rsidRPr="004523AB">
              <w:rPr>
                <w:rFonts w:eastAsia="Segoe UI" w:cs="Segoe UI"/>
                <w:color w:val="000000"/>
                <w:szCs w:val="21"/>
              </w:rPr>
              <w:t>)</w:t>
            </w:r>
          </w:p>
        </w:tc>
      </w:tr>
      <w:tr w:rsidR="000E7E6E" w:rsidRPr="004523AB" w14:paraId="4C153257" w14:textId="77777777" w:rsidTr="006E25AA">
        <w:tc>
          <w:tcPr>
            <w:tcW w:w="2410" w:type="dxa"/>
          </w:tcPr>
          <w:p w14:paraId="0E4F0E45" w14:textId="77777777" w:rsidR="00472A6B" w:rsidRPr="004523AB" w:rsidRDefault="00472A6B">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Purchase of equipment</w:t>
            </w:r>
          </w:p>
        </w:tc>
        <w:tc>
          <w:tcPr>
            <w:tcW w:w="1418" w:type="dxa"/>
          </w:tcPr>
          <w:p w14:paraId="09E32B69" w14:textId="6617FE88"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1,287 (</w:t>
            </w:r>
            <w:proofErr w:type="gramStart"/>
            <w:r w:rsidRPr="004523AB">
              <w:rPr>
                <w:rFonts w:eastAsia="Segoe UI" w:cs="Segoe UI"/>
                <w:color w:val="000000"/>
                <w:szCs w:val="21"/>
              </w:rPr>
              <w:t xml:space="preserve">82.8 </w:t>
            </w:r>
            <w:r w:rsidR="00A77272" w:rsidRPr="004523AB">
              <w:rPr>
                <w:rFonts w:eastAsia="Segoe UI" w:cs="Segoe UI"/>
                <w:color w:val="000000"/>
                <w:szCs w:val="21"/>
              </w:rPr>
              <w:t xml:space="preserve"> </w:t>
            </w:r>
            <w:r w:rsidRPr="004523AB">
              <w:rPr>
                <w:rFonts w:eastAsia="Segoe UI" w:cs="Segoe UI"/>
                <w:color w:val="000000"/>
                <w:szCs w:val="21"/>
              </w:rPr>
              <w:t>per</w:t>
            </w:r>
            <w:proofErr w:type="gramEnd"/>
            <w:r w:rsidR="00A77272" w:rsidRPr="004523AB">
              <w:rPr>
                <w:rFonts w:eastAsia="Segoe UI" w:cs="Segoe UI"/>
                <w:color w:val="000000"/>
                <w:szCs w:val="21"/>
              </w:rPr>
              <w:t xml:space="preserve"> cent</w:t>
            </w:r>
            <w:r w:rsidRPr="004523AB">
              <w:rPr>
                <w:rFonts w:eastAsia="Segoe UI" w:cs="Segoe UI"/>
                <w:color w:val="000000"/>
                <w:szCs w:val="21"/>
              </w:rPr>
              <w:t>)</w:t>
            </w:r>
          </w:p>
        </w:tc>
        <w:tc>
          <w:tcPr>
            <w:tcW w:w="1417" w:type="dxa"/>
          </w:tcPr>
          <w:p w14:paraId="6B05136A" w14:textId="720987F1"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1,049 (</w:t>
            </w:r>
            <w:proofErr w:type="gramStart"/>
            <w:r w:rsidRPr="004523AB">
              <w:rPr>
                <w:rFonts w:eastAsia="Segoe UI" w:cs="Segoe UI"/>
                <w:color w:val="000000"/>
                <w:szCs w:val="21"/>
              </w:rPr>
              <w:t xml:space="preserve">80.1 </w:t>
            </w:r>
            <w:r w:rsidR="00A77272" w:rsidRPr="004523AB">
              <w:rPr>
                <w:rFonts w:eastAsia="Segoe UI" w:cs="Segoe UI"/>
                <w:color w:val="000000"/>
                <w:szCs w:val="21"/>
              </w:rPr>
              <w:t xml:space="preserve"> </w:t>
            </w:r>
            <w:r w:rsidRPr="004523AB">
              <w:rPr>
                <w:rFonts w:eastAsia="Segoe UI" w:cs="Segoe UI"/>
                <w:color w:val="000000"/>
                <w:szCs w:val="21"/>
              </w:rPr>
              <w:t>per</w:t>
            </w:r>
            <w:proofErr w:type="gramEnd"/>
            <w:r w:rsidR="00A77272" w:rsidRPr="004523AB">
              <w:rPr>
                <w:rFonts w:eastAsia="Segoe UI" w:cs="Segoe UI"/>
                <w:color w:val="000000"/>
                <w:szCs w:val="21"/>
              </w:rPr>
              <w:t xml:space="preserve"> cent</w:t>
            </w:r>
            <w:r w:rsidRPr="004523AB">
              <w:rPr>
                <w:rFonts w:eastAsia="Segoe UI" w:cs="Segoe UI"/>
                <w:color w:val="000000"/>
                <w:szCs w:val="21"/>
              </w:rPr>
              <w:t>)</w:t>
            </w:r>
          </w:p>
        </w:tc>
        <w:tc>
          <w:tcPr>
            <w:tcW w:w="1418" w:type="dxa"/>
          </w:tcPr>
          <w:p w14:paraId="3CC6B328" w14:textId="323E4823"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733 (</w:t>
            </w:r>
            <w:proofErr w:type="gramStart"/>
            <w:r w:rsidRPr="004523AB">
              <w:rPr>
                <w:rFonts w:eastAsia="Segoe UI" w:cs="Segoe UI"/>
                <w:color w:val="000000"/>
                <w:szCs w:val="21"/>
              </w:rPr>
              <w:t xml:space="preserve">83.7 </w:t>
            </w:r>
            <w:r w:rsidR="00A77272" w:rsidRPr="004523AB">
              <w:rPr>
                <w:rFonts w:eastAsia="Segoe UI" w:cs="Segoe UI"/>
                <w:color w:val="000000"/>
                <w:szCs w:val="21"/>
              </w:rPr>
              <w:t xml:space="preserve"> </w:t>
            </w:r>
            <w:r w:rsidRPr="004523AB">
              <w:rPr>
                <w:rFonts w:eastAsia="Segoe UI" w:cs="Segoe UI"/>
                <w:color w:val="000000"/>
                <w:szCs w:val="21"/>
              </w:rPr>
              <w:t>per</w:t>
            </w:r>
            <w:proofErr w:type="gramEnd"/>
            <w:r w:rsidR="00A77272" w:rsidRPr="004523AB">
              <w:rPr>
                <w:rFonts w:eastAsia="Segoe UI" w:cs="Segoe UI"/>
                <w:color w:val="000000"/>
                <w:szCs w:val="21"/>
              </w:rPr>
              <w:t xml:space="preserve"> cent</w:t>
            </w:r>
            <w:r w:rsidRPr="004523AB">
              <w:rPr>
                <w:rFonts w:eastAsia="Segoe UI" w:cs="Segoe UI"/>
                <w:color w:val="000000"/>
                <w:szCs w:val="21"/>
              </w:rPr>
              <w:t>)</w:t>
            </w:r>
          </w:p>
        </w:tc>
        <w:tc>
          <w:tcPr>
            <w:tcW w:w="1417" w:type="dxa"/>
          </w:tcPr>
          <w:p w14:paraId="2DD3E3DE" w14:textId="49CBBFC8"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455 (</w:t>
            </w:r>
            <w:proofErr w:type="gramStart"/>
            <w:r w:rsidRPr="004523AB">
              <w:rPr>
                <w:rFonts w:eastAsia="Segoe UI" w:cs="Segoe UI"/>
                <w:color w:val="000000"/>
                <w:szCs w:val="21"/>
              </w:rPr>
              <w:t xml:space="preserve">83.0 </w:t>
            </w:r>
            <w:r w:rsidR="00A77272" w:rsidRPr="004523AB">
              <w:rPr>
                <w:rFonts w:eastAsia="Segoe UI" w:cs="Segoe UI"/>
                <w:color w:val="000000"/>
                <w:szCs w:val="21"/>
              </w:rPr>
              <w:t xml:space="preserve"> </w:t>
            </w:r>
            <w:r w:rsidRPr="004523AB">
              <w:rPr>
                <w:rFonts w:eastAsia="Segoe UI" w:cs="Segoe UI"/>
                <w:color w:val="000000"/>
                <w:szCs w:val="21"/>
              </w:rPr>
              <w:t>per</w:t>
            </w:r>
            <w:proofErr w:type="gramEnd"/>
            <w:r w:rsidR="00A77272" w:rsidRPr="004523AB">
              <w:rPr>
                <w:rFonts w:eastAsia="Segoe UI" w:cs="Segoe UI"/>
                <w:color w:val="000000"/>
                <w:szCs w:val="21"/>
              </w:rPr>
              <w:t xml:space="preserve"> cent</w:t>
            </w:r>
            <w:r w:rsidRPr="004523AB">
              <w:rPr>
                <w:rFonts w:eastAsia="Segoe UI" w:cs="Segoe UI"/>
                <w:color w:val="000000"/>
                <w:szCs w:val="21"/>
              </w:rPr>
              <w:t>)</w:t>
            </w:r>
          </w:p>
        </w:tc>
        <w:tc>
          <w:tcPr>
            <w:tcW w:w="1418" w:type="dxa"/>
          </w:tcPr>
          <w:p w14:paraId="34D9896D" w14:textId="7FEB26A7"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236 (</w:t>
            </w:r>
            <w:proofErr w:type="gramStart"/>
            <w:r w:rsidRPr="004523AB">
              <w:rPr>
                <w:rFonts w:eastAsia="Segoe UI" w:cs="Segoe UI"/>
                <w:color w:val="000000"/>
                <w:szCs w:val="21"/>
              </w:rPr>
              <w:t xml:space="preserve">82.5 </w:t>
            </w:r>
            <w:r w:rsidR="00A77272" w:rsidRPr="004523AB">
              <w:rPr>
                <w:rFonts w:eastAsia="Segoe UI" w:cs="Segoe UI"/>
                <w:color w:val="000000"/>
                <w:szCs w:val="21"/>
              </w:rPr>
              <w:t xml:space="preserve"> </w:t>
            </w:r>
            <w:r w:rsidRPr="004523AB">
              <w:rPr>
                <w:rFonts w:eastAsia="Segoe UI" w:cs="Segoe UI"/>
                <w:color w:val="000000"/>
                <w:szCs w:val="21"/>
              </w:rPr>
              <w:t>per</w:t>
            </w:r>
            <w:proofErr w:type="gramEnd"/>
            <w:r w:rsidR="00A77272" w:rsidRPr="004523AB">
              <w:rPr>
                <w:rFonts w:eastAsia="Segoe UI" w:cs="Segoe UI"/>
                <w:color w:val="000000"/>
                <w:szCs w:val="21"/>
              </w:rPr>
              <w:t xml:space="preserve"> cent</w:t>
            </w:r>
            <w:r w:rsidRPr="004523AB">
              <w:rPr>
                <w:rFonts w:eastAsia="Segoe UI" w:cs="Segoe UI"/>
                <w:color w:val="000000"/>
                <w:szCs w:val="21"/>
              </w:rPr>
              <w:t>)</w:t>
            </w:r>
          </w:p>
        </w:tc>
        <w:tc>
          <w:tcPr>
            <w:tcW w:w="1417" w:type="dxa"/>
          </w:tcPr>
          <w:p w14:paraId="1879E2E8" w14:textId="24809C50"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93 (</w:t>
            </w:r>
            <w:proofErr w:type="gramStart"/>
            <w:r w:rsidRPr="004523AB">
              <w:rPr>
                <w:rFonts w:eastAsia="Segoe UI" w:cs="Segoe UI"/>
                <w:color w:val="000000"/>
                <w:szCs w:val="21"/>
              </w:rPr>
              <w:t xml:space="preserve">83.8 </w:t>
            </w:r>
            <w:r w:rsidR="00A77272" w:rsidRPr="004523AB">
              <w:rPr>
                <w:rFonts w:eastAsia="Segoe UI" w:cs="Segoe UI"/>
                <w:color w:val="000000"/>
                <w:szCs w:val="21"/>
              </w:rPr>
              <w:t xml:space="preserve"> </w:t>
            </w:r>
            <w:r w:rsidRPr="004523AB">
              <w:rPr>
                <w:rFonts w:eastAsia="Segoe UI" w:cs="Segoe UI"/>
                <w:color w:val="000000"/>
                <w:szCs w:val="21"/>
              </w:rPr>
              <w:t>per</w:t>
            </w:r>
            <w:proofErr w:type="gramEnd"/>
            <w:r w:rsidR="00A77272" w:rsidRPr="004523AB">
              <w:rPr>
                <w:rFonts w:eastAsia="Segoe UI" w:cs="Segoe UI"/>
                <w:color w:val="000000"/>
                <w:szCs w:val="21"/>
              </w:rPr>
              <w:t xml:space="preserve"> cent</w:t>
            </w:r>
            <w:r w:rsidRPr="004523AB">
              <w:rPr>
                <w:rFonts w:eastAsia="Segoe UI" w:cs="Segoe UI"/>
                <w:color w:val="000000"/>
                <w:szCs w:val="21"/>
              </w:rPr>
              <w:t>)</w:t>
            </w:r>
          </w:p>
        </w:tc>
        <w:tc>
          <w:tcPr>
            <w:tcW w:w="1559" w:type="dxa"/>
          </w:tcPr>
          <w:p w14:paraId="17029CA0" w14:textId="4DE190A3"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71 (</w:t>
            </w:r>
            <w:proofErr w:type="gramStart"/>
            <w:r w:rsidRPr="004523AB">
              <w:rPr>
                <w:rFonts w:eastAsia="Segoe UI" w:cs="Segoe UI"/>
                <w:color w:val="000000"/>
                <w:szCs w:val="21"/>
              </w:rPr>
              <w:t xml:space="preserve">80.7 </w:t>
            </w:r>
            <w:r w:rsidR="00A77272" w:rsidRPr="004523AB">
              <w:rPr>
                <w:rFonts w:eastAsia="Segoe UI" w:cs="Segoe UI"/>
                <w:color w:val="000000"/>
                <w:szCs w:val="21"/>
              </w:rPr>
              <w:t xml:space="preserve"> </w:t>
            </w:r>
            <w:r w:rsidRPr="004523AB">
              <w:rPr>
                <w:rFonts w:eastAsia="Segoe UI" w:cs="Segoe UI"/>
                <w:color w:val="000000"/>
                <w:szCs w:val="21"/>
              </w:rPr>
              <w:t>per</w:t>
            </w:r>
            <w:proofErr w:type="gramEnd"/>
            <w:r w:rsidR="00A77272" w:rsidRPr="004523AB">
              <w:rPr>
                <w:rFonts w:eastAsia="Segoe UI" w:cs="Segoe UI"/>
                <w:color w:val="000000"/>
                <w:szCs w:val="21"/>
              </w:rPr>
              <w:t xml:space="preserve"> cent</w:t>
            </w:r>
            <w:r w:rsidRPr="004523AB">
              <w:rPr>
                <w:rFonts w:eastAsia="Segoe UI" w:cs="Segoe UI"/>
                <w:color w:val="000000"/>
                <w:szCs w:val="21"/>
              </w:rPr>
              <w:t>)</w:t>
            </w:r>
          </w:p>
        </w:tc>
        <w:tc>
          <w:tcPr>
            <w:tcW w:w="1560" w:type="dxa"/>
          </w:tcPr>
          <w:p w14:paraId="5A3F5E65" w14:textId="2F262A2D"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66 (</w:t>
            </w:r>
            <w:proofErr w:type="gramStart"/>
            <w:r w:rsidRPr="004523AB">
              <w:rPr>
                <w:rFonts w:eastAsia="Segoe UI" w:cs="Segoe UI"/>
                <w:color w:val="000000"/>
                <w:szCs w:val="21"/>
              </w:rPr>
              <w:t xml:space="preserve">95.7 </w:t>
            </w:r>
            <w:r w:rsidR="00A77272" w:rsidRPr="004523AB">
              <w:rPr>
                <w:rFonts w:eastAsia="Segoe UI" w:cs="Segoe UI"/>
                <w:color w:val="000000"/>
                <w:szCs w:val="21"/>
              </w:rPr>
              <w:t xml:space="preserve"> </w:t>
            </w:r>
            <w:r w:rsidRPr="004523AB">
              <w:rPr>
                <w:rFonts w:eastAsia="Segoe UI" w:cs="Segoe UI"/>
                <w:color w:val="000000"/>
                <w:szCs w:val="21"/>
              </w:rPr>
              <w:t>per</w:t>
            </w:r>
            <w:proofErr w:type="gramEnd"/>
            <w:r w:rsidR="00A77272" w:rsidRPr="004523AB">
              <w:rPr>
                <w:rFonts w:eastAsia="Segoe UI" w:cs="Segoe UI"/>
                <w:color w:val="000000"/>
                <w:szCs w:val="21"/>
              </w:rPr>
              <w:t xml:space="preserve"> cent</w:t>
            </w:r>
            <w:r w:rsidRPr="004523AB">
              <w:rPr>
                <w:rFonts w:eastAsia="Segoe UI" w:cs="Segoe UI"/>
                <w:color w:val="000000"/>
                <w:szCs w:val="21"/>
              </w:rPr>
              <w:t>)</w:t>
            </w:r>
          </w:p>
        </w:tc>
      </w:tr>
      <w:tr w:rsidR="000E7E6E" w:rsidRPr="004523AB" w14:paraId="15CF632A" w14:textId="77777777" w:rsidTr="006E25AA">
        <w:tc>
          <w:tcPr>
            <w:tcW w:w="2410" w:type="dxa"/>
          </w:tcPr>
          <w:p w14:paraId="643911CA" w14:textId="77777777" w:rsidR="00472A6B" w:rsidRPr="004523AB" w:rsidRDefault="00472A6B">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Upgrade of equipment</w:t>
            </w:r>
          </w:p>
        </w:tc>
        <w:tc>
          <w:tcPr>
            <w:tcW w:w="1418" w:type="dxa"/>
          </w:tcPr>
          <w:p w14:paraId="7C6C5895" w14:textId="780839FD"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1,245 (</w:t>
            </w:r>
            <w:proofErr w:type="gramStart"/>
            <w:r w:rsidRPr="004523AB">
              <w:rPr>
                <w:rFonts w:eastAsia="Segoe UI" w:cs="Segoe UI"/>
                <w:color w:val="000000"/>
                <w:szCs w:val="21"/>
              </w:rPr>
              <w:t xml:space="preserve">80.1 </w:t>
            </w:r>
            <w:r w:rsidR="00A77272" w:rsidRPr="004523AB">
              <w:rPr>
                <w:rFonts w:eastAsia="Segoe UI" w:cs="Segoe UI"/>
                <w:color w:val="000000"/>
                <w:szCs w:val="21"/>
              </w:rPr>
              <w:t xml:space="preserve"> </w:t>
            </w:r>
            <w:r w:rsidRPr="004523AB">
              <w:rPr>
                <w:rFonts w:eastAsia="Segoe UI" w:cs="Segoe UI"/>
                <w:color w:val="000000"/>
                <w:szCs w:val="21"/>
              </w:rPr>
              <w:t>per</w:t>
            </w:r>
            <w:proofErr w:type="gramEnd"/>
            <w:r w:rsidR="00A77272" w:rsidRPr="004523AB">
              <w:rPr>
                <w:rFonts w:eastAsia="Segoe UI" w:cs="Segoe UI"/>
                <w:color w:val="000000"/>
                <w:szCs w:val="21"/>
              </w:rPr>
              <w:t xml:space="preserve"> cent</w:t>
            </w:r>
            <w:r w:rsidRPr="004523AB">
              <w:rPr>
                <w:rFonts w:eastAsia="Segoe UI" w:cs="Segoe UI"/>
                <w:color w:val="000000"/>
                <w:szCs w:val="21"/>
              </w:rPr>
              <w:t>)</w:t>
            </w:r>
          </w:p>
        </w:tc>
        <w:tc>
          <w:tcPr>
            <w:tcW w:w="1417" w:type="dxa"/>
          </w:tcPr>
          <w:p w14:paraId="638F430A" w14:textId="7371F9DA"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993 (</w:t>
            </w:r>
            <w:proofErr w:type="gramStart"/>
            <w:r w:rsidRPr="004523AB">
              <w:rPr>
                <w:rFonts w:eastAsia="Segoe UI" w:cs="Segoe UI"/>
                <w:color w:val="000000"/>
                <w:szCs w:val="21"/>
              </w:rPr>
              <w:t xml:space="preserve">75.9 </w:t>
            </w:r>
            <w:r w:rsidR="00A77272" w:rsidRPr="004523AB">
              <w:rPr>
                <w:rFonts w:eastAsia="Segoe UI" w:cs="Segoe UI"/>
                <w:color w:val="000000"/>
                <w:szCs w:val="21"/>
              </w:rPr>
              <w:t xml:space="preserve"> </w:t>
            </w:r>
            <w:r w:rsidRPr="004523AB">
              <w:rPr>
                <w:rFonts w:eastAsia="Segoe UI" w:cs="Segoe UI"/>
                <w:color w:val="000000"/>
                <w:szCs w:val="21"/>
              </w:rPr>
              <w:t>per</w:t>
            </w:r>
            <w:proofErr w:type="gramEnd"/>
            <w:r w:rsidR="00A77272" w:rsidRPr="004523AB">
              <w:rPr>
                <w:rFonts w:eastAsia="Segoe UI" w:cs="Segoe UI"/>
                <w:color w:val="000000"/>
                <w:szCs w:val="21"/>
              </w:rPr>
              <w:t xml:space="preserve"> cent</w:t>
            </w:r>
            <w:r w:rsidRPr="004523AB">
              <w:rPr>
                <w:rFonts w:eastAsia="Segoe UI" w:cs="Segoe UI"/>
                <w:color w:val="000000"/>
                <w:szCs w:val="21"/>
              </w:rPr>
              <w:t>)</w:t>
            </w:r>
          </w:p>
        </w:tc>
        <w:tc>
          <w:tcPr>
            <w:tcW w:w="1418" w:type="dxa"/>
          </w:tcPr>
          <w:p w14:paraId="0A0BBAAA" w14:textId="0F3A9C42"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649 (</w:t>
            </w:r>
            <w:proofErr w:type="gramStart"/>
            <w:r w:rsidRPr="004523AB">
              <w:rPr>
                <w:rFonts w:eastAsia="Segoe UI" w:cs="Segoe UI"/>
                <w:color w:val="000000"/>
                <w:szCs w:val="21"/>
              </w:rPr>
              <w:t xml:space="preserve">74.1 </w:t>
            </w:r>
            <w:r w:rsidR="00A77272" w:rsidRPr="004523AB">
              <w:rPr>
                <w:rFonts w:eastAsia="Segoe UI" w:cs="Segoe UI"/>
                <w:color w:val="000000"/>
                <w:szCs w:val="21"/>
              </w:rPr>
              <w:t xml:space="preserve"> </w:t>
            </w:r>
            <w:r w:rsidRPr="004523AB">
              <w:rPr>
                <w:rFonts w:eastAsia="Segoe UI" w:cs="Segoe UI"/>
                <w:color w:val="000000"/>
                <w:szCs w:val="21"/>
              </w:rPr>
              <w:t>per</w:t>
            </w:r>
            <w:proofErr w:type="gramEnd"/>
            <w:r w:rsidR="00A77272" w:rsidRPr="004523AB">
              <w:rPr>
                <w:rFonts w:eastAsia="Segoe UI" w:cs="Segoe UI"/>
                <w:color w:val="000000"/>
                <w:szCs w:val="21"/>
              </w:rPr>
              <w:t xml:space="preserve"> cent</w:t>
            </w:r>
            <w:r w:rsidRPr="004523AB">
              <w:rPr>
                <w:rFonts w:eastAsia="Segoe UI" w:cs="Segoe UI"/>
                <w:color w:val="000000"/>
                <w:szCs w:val="21"/>
              </w:rPr>
              <w:t>)</w:t>
            </w:r>
          </w:p>
        </w:tc>
        <w:tc>
          <w:tcPr>
            <w:tcW w:w="1417" w:type="dxa"/>
          </w:tcPr>
          <w:p w14:paraId="7F04D209" w14:textId="11E46934"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398 (</w:t>
            </w:r>
            <w:proofErr w:type="gramStart"/>
            <w:r w:rsidRPr="004523AB">
              <w:rPr>
                <w:rFonts w:eastAsia="Segoe UI" w:cs="Segoe UI"/>
                <w:color w:val="000000"/>
                <w:szCs w:val="21"/>
              </w:rPr>
              <w:t xml:space="preserve">72.6 </w:t>
            </w:r>
            <w:r w:rsidR="00A77272" w:rsidRPr="004523AB">
              <w:rPr>
                <w:rFonts w:eastAsia="Segoe UI" w:cs="Segoe UI"/>
                <w:color w:val="000000"/>
                <w:szCs w:val="21"/>
              </w:rPr>
              <w:t xml:space="preserve"> </w:t>
            </w:r>
            <w:r w:rsidRPr="004523AB">
              <w:rPr>
                <w:rFonts w:eastAsia="Segoe UI" w:cs="Segoe UI"/>
                <w:color w:val="000000"/>
                <w:szCs w:val="21"/>
              </w:rPr>
              <w:t>per</w:t>
            </w:r>
            <w:proofErr w:type="gramEnd"/>
            <w:r w:rsidR="00A77272" w:rsidRPr="004523AB">
              <w:rPr>
                <w:rFonts w:eastAsia="Segoe UI" w:cs="Segoe UI"/>
                <w:color w:val="000000"/>
                <w:szCs w:val="21"/>
              </w:rPr>
              <w:t xml:space="preserve"> cent</w:t>
            </w:r>
            <w:r w:rsidRPr="004523AB">
              <w:rPr>
                <w:rFonts w:eastAsia="Segoe UI" w:cs="Segoe UI"/>
                <w:color w:val="000000"/>
                <w:szCs w:val="21"/>
              </w:rPr>
              <w:t>)</w:t>
            </w:r>
          </w:p>
        </w:tc>
        <w:tc>
          <w:tcPr>
            <w:tcW w:w="1418" w:type="dxa"/>
          </w:tcPr>
          <w:p w14:paraId="76FAB201" w14:textId="0F700DCF"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190 (</w:t>
            </w:r>
            <w:proofErr w:type="gramStart"/>
            <w:r w:rsidRPr="004523AB">
              <w:rPr>
                <w:rFonts w:eastAsia="Segoe UI" w:cs="Segoe UI"/>
                <w:color w:val="000000"/>
                <w:szCs w:val="21"/>
              </w:rPr>
              <w:t xml:space="preserve">66.4 </w:t>
            </w:r>
            <w:r w:rsidR="00A77272" w:rsidRPr="004523AB">
              <w:rPr>
                <w:rFonts w:eastAsia="Segoe UI" w:cs="Segoe UI"/>
                <w:color w:val="000000"/>
                <w:szCs w:val="21"/>
              </w:rPr>
              <w:t xml:space="preserve"> </w:t>
            </w:r>
            <w:r w:rsidRPr="004523AB">
              <w:rPr>
                <w:rFonts w:eastAsia="Segoe UI" w:cs="Segoe UI"/>
                <w:color w:val="000000"/>
                <w:szCs w:val="21"/>
              </w:rPr>
              <w:t>per</w:t>
            </w:r>
            <w:proofErr w:type="gramEnd"/>
            <w:r w:rsidR="00A77272" w:rsidRPr="004523AB">
              <w:rPr>
                <w:rFonts w:eastAsia="Segoe UI" w:cs="Segoe UI"/>
                <w:color w:val="000000"/>
                <w:szCs w:val="21"/>
              </w:rPr>
              <w:t xml:space="preserve"> cent</w:t>
            </w:r>
            <w:r w:rsidRPr="004523AB">
              <w:rPr>
                <w:rFonts w:eastAsia="Segoe UI" w:cs="Segoe UI"/>
                <w:color w:val="000000"/>
                <w:szCs w:val="21"/>
              </w:rPr>
              <w:t>)</w:t>
            </w:r>
          </w:p>
        </w:tc>
        <w:tc>
          <w:tcPr>
            <w:tcW w:w="1417" w:type="dxa"/>
          </w:tcPr>
          <w:p w14:paraId="0A8BD19E" w14:textId="7F191FF1"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70 (</w:t>
            </w:r>
            <w:proofErr w:type="gramStart"/>
            <w:r w:rsidRPr="004523AB">
              <w:rPr>
                <w:rFonts w:eastAsia="Segoe UI" w:cs="Segoe UI"/>
                <w:color w:val="000000"/>
                <w:szCs w:val="21"/>
              </w:rPr>
              <w:t xml:space="preserve">63.1 </w:t>
            </w:r>
            <w:r w:rsidR="00A77272" w:rsidRPr="004523AB">
              <w:rPr>
                <w:rFonts w:eastAsia="Segoe UI" w:cs="Segoe UI"/>
                <w:color w:val="000000"/>
                <w:szCs w:val="21"/>
              </w:rPr>
              <w:t xml:space="preserve"> </w:t>
            </w:r>
            <w:r w:rsidRPr="004523AB">
              <w:rPr>
                <w:rFonts w:eastAsia="Segoe UI" w:cs="Segoe UI"/>
                <w:color w:val="000000"/>
                <w:szCs w:val="21"/>
              </w:rPr>
              <w:t>per</w:t>
            </w:r>
            <w:proofErr w:type="gramEnd"/>
            <w:r w:rsidR="00A77272" w:rsidRPr="004523AB">
              <w:rPr>
                <w:rFonts w:eastAsia="Segoe UI" w:cs="Segoe UI"/>
                <w:color w:val="000000"/>
                <w:szCs w:val="21"/>
              </w:rPr>
              <w:t xml:space="preserve"> cent</w:t>
            </w:r>
            <w:r w:rsidRPr="004523AB">
              <w:rPr>
                <w:rFonts w:eastAsia="Segoe UI" w:cs="Segoe UI"/>
                <w:color w:val="000000"/>
                <w:szCs w:val="21"/>
              </w:rPr>
              <w:t>)</w:t>
            </w:r>
          </w:p>
        </w:tc>
        <w:tc>
          <w:tcPr>
            <w:tcW w:w="1559" w:type="dxa"/>
          </w:tcPr>
          <w:p w14:paraId="30F55A9D" w14:textId="326B106B"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54 (</w:t>
            </w:r>
            <w:proofErr w:type="gramStart"/>
            <w:r w:rsidRPr="004523AB">
              <w:rPr>
                <w:rFonts w:eastAsia="Segoe UI" w:cs="Segoe UI"/>
                <w:color w:val="000000"/>
                <w:szCs w:val="21"/>
              </w:rPr>
              <w:t xml:space="preserve">61.4 </w:t>
            </w:r>
            <w:r w:rsidR="00A77272" w:rsidRPr="004523AB">
              <w:rPr>
                <w:rFonts w:eastAsia="Segoe UI" w:cs="Segoe UI"/>
                <w:color w:val="000000"/>
                <w:szCs w:val="21"/>
              </w:rPr>
              <w:t xml:space="preserve"> </w:t>
            </w:r>
            <w:r w:rsidRPr="004523AB">
              <w:rPr>
                <w:rFonts w:eastAsia="Segoe UI" w:cs="Segoe UI"/>
                <w:color w:val="000000"/>
                <w:szCs w:val="21"/>
              </w:rPr>
              <w:t>per</w:t>
            </w:r>
            <w:proofErr w:type="gramEnd"/>
            <w:r w:rsidR="00A77272" w:rsidRPr="004523AB">
              <w:rPr>
                <w:rFonts w:eastAsia="Segoe UI" w:cs="Segoe UI"/>
                <w:color w:val="000000"/>
                <w:szCs w:val="21"/>
              </w:rPr>
              <w:t xml:space="preserve"> cent</w:t>
            </w:r>
            <w:r w:rsidRPr="004523AB">
              <w:rPr>
                <w:rFonts w:eastAsia="Segoe UI" w:cs="Segoe UI"/>
                <w:color w:val="000000"/>
                <w:szCs w:val="21"/>
              </w:rPr>
              <w:t>)</w:t>
            </w:r>
          </w:p>
        </w:tc>
        <w:tc>
          <w:tcPr>
            <w:tcW w:w="1560" w:type="dxa"/>
          </w:tcPr>
          <w:p w14:paraId="4FA20610" w14:textId="44B90C26"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62 (</w:t>
            </w:r>
            <w:proofErr w:type="gramStart"/>
            <w:r w:rsidRPr="004523AB">
              <w:rPr>
                <w:rFonts w:eastAsia="Segoe UI" w:cs="Segoe UI"/>
                <w:color w:val="000000"/>
                <w:szCs w:val="21"/>
              </w:rPr>
              <w:t xml:space="preserve">89.9 </w:t>
            </w:r>
            <w:r w:rsidR="00A77272" w:rsidRPr="004523AB">
              <w:rPr>
                <w:rFonts w:eastAsia="Segoe UI" w:cs="Segoe UI"/>
                <w:color w:val="000000"/>
                <w:szCs w:val="21"/>
              </w:rPr>
              <w:t xml:space="preserve"> </w:t>
            </w:r>
            <w:r w:rsidRPr="004523AB">
              <w:rPr>
                <w:rFonts w:eastAsia="Segoe UI" w:cs="Segoe UI"/>
                <w:color w:val="000000"/>
                <w:szCs w:val="21"/>
              </w:rPr>
              <w:t>per</w:t>
            </w:r>
            <w:proofErr w:type="gramEnd"/>
            <w:r w:rsidR="00A77272" w:rsidRPr="004523AB">
              <w:rPr>
                <w:rFonts w:eastAsia="Segoe UI" w:cs="Segoe UI"/>
                <w:color w:val="000000"/>
                <w:szCs w:val="21"/>
              </w:rPr>
              <w:t xml:space="preserve"> cent</w:t>
            </w:r>
            <w:r w:rsidRPr="004523AB">
              <w:rPr>
                <w:rFonts w:eastAsia="Segoe UI" w:cs="Segoe UI"/>
                <w:color w:val="000000"/>
                <w:szCs w:val="21"/>
              </w:rPr>
              <w:t>)</w:t>
            </w:r>
          </w:p>
        </w:tc>
      </w:tr>
      <w:tr w:rsidR="000E7E6E" w:rsidRPr="004523AB" w14:paraId="4D21CB36" w14:textId="77777777" w:rsidTr="006E25AA">
        <w:tc>
          <w:tcPr>
            <w:tcW w:w="2410" w:type="dxa"/>
          </w:tcPr>
          <w:p w14:paraId="501C0372" w14:textId="77777777" w:rsidR="00472A6B" w:rsidRPr="004523AB" w:rsidRDefault="00472A6B">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Training courses</w:t>
            </w:r>
          </w:p>
        </w:tc>
        <w:tc>
          <w:tcPr>
            <w:tcW w:w="1418" w:type="dxa"/>
          </w:tcPr>
          <w:p w14:paraId="5DBD074D" w14:textId="78EEAB5A"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339 (21.8 per</w:t>
            </w:r>
            <w:r w:rsidR="00A77272" w:rsidRPr="004523AB">
              <w:rPr>
                <w:rFonts w:eastAsia="Segoe UI" w:cs="Segoe UI"/>
                <w:color w:val="000000"/>
                <w:szCs w:val="21"/>
              </w:rPr>
              <w:t xml:space="preserve"> cent</w:t>
            </w:r>
            <w:r w:rsidRPr="004523AB">
              <w:rPr>
                <w:rFonts w:eastAsia="Segoe UI" w:cs="Segoe UI"/>
                <w:color w:val="000000"/>
                <w:szCs w:val="21"/>
              </w:rPr>
              <w:t>)</w:t>
            </w:r>
          </w:p>
        </w:tc>
        <w:tc>
          <w:tcPr>
            <w:tcW w:w="1417" w:type="dxa"/>
          </w:tcPr>
          <w:p w14:paraId="37CDFB7A" w14:textId="67927711"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279 (21.3 per</w:t>
            </w:r>
            <w:r w:rsidR="00A77272" w:rsidRPr="004523AB">
              <w:rPr>
                <w:rFonts w:eastAsia="Segoe UI" w:cs="Segoe UI"/>
                <w:color w:val="000000"/>
                <w:szCs w:val="21"/>
              </w:rPr>
              <w:t xml:space="preserve"> cent</w:t>
            </w:r>
            <w:r w:rsidRPr="004523AB">
              <w:rPr>
                <w:rFonts w:eastAsia="Segoe UI" w:cs="Segoe UI"/>
                <w:color w:val="000000"/>
                <w:szCs w:val="21"/>
              </w:rPr>
              <w:t>)</w:t>
            </w:r>
          </w:p>
        </w:tc>
        <w:tc>
          <w:tcPr>
            <w:tcW w:w="1418" w:type="dxa"/>
          </w:tcPr>
          <w:p w14:paraId="74353D60" w14:textId="000C0117"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147 (16.8 per</w:t>
            </w:r>
            <w:r w:rsidR="00A77272" w:rsidRPr="004523AB">
              <w:rPr>
                <w:rFonts w:eastAsia="Segoe UI" w:cs="Segoe UI"/>
                <w:color w:val="000000"/>
                <w:szCs w:val="21"/>
              </w:rPr>
              <w:t xml:space="preserve"> cent</w:t>
            </w:r>
            <w:r w:rsidRPr="004523AB">
              <w:rPr>
                <w:rFonts w:eastAsia="Segoe UI" w:cs="Segoe UI"/>
                <w:color w:val="000000"/>
                <w:szCs w:val="21"/>
              </w:rPr>
              <w:t>)</w:t>
            </w:r>
          </w:p>
        </w:tc>
        <w:tc>
          <w:tcPr>
            <w:tcW w:w="1417" w:type="dxa"/>
          </w:tcPr>
          <w:p w14:paraId="398085B6" w14:textId="4093C57C"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122 (22.3 per</w:t>
            </w:r>
            <w:r w:rsidR="00A77272" w:rsidRPr="004523AB">
              <w:rPr>
                <w:rFonts w:eastAsia="Segoe UI" w:cs="Segoe UI"/>
                <w:color w:val="000000"/>
                <w:szCs w:val="21"/>
              </w:rPr>
              <w:t xml:space="preserve"> cent</w:t>
            </w:r>
            <w:r w:rsidRPr="004523AB">
              <w:rPr>
                <w:rFonts w:eastAsia="Segoe UI" w:cs="Segoe UI"/>
                <w:color w:val="000000"/>
                <w:szCs w:val="21"/>
              </w:rPr>
              <w:t>)</w:t>
            </w:r>
          </w:p>
        </w:tc>
        <w:tc>
          <w:tcPr>
            <w:tcW w:w="1418" w:type="dxa"/>
          </w:tcPr>
          <w:p w14:paraId="12965815" w14:textId="2A0C9A9A"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55 (19.2 per</w:t>
            </w:r>
            <w:r w:rsidR="00A77272" w:rsidRPr="004523AB">
              <w:rPr>
                <w:rFonts w:eastAsia="Segoe UI" w:cs="Segoe UI"/>
                <w:color w:val="000000"/>
                <w:szCs w:val="21"/>
              </w:rPr>
              <w:t xml:space="preserve"> cent</w:t>
            </w:r>
            <w:r w:rsidRPr="004523AB">
              <w:rPr>
                <w:rFonts w:eastAsia="Segoe UI" w:cs="Segoe UI"/>
                <w:color w:val="000000"/>
                <w:szCs w:val="21"/>
              </w:rPr>
              <w:t>)</w:t>
            </w:r>
          </w:p>
        </w:tc>
        <w:tc>
          <w:tcPr>
            <w:tcW w:w="1417" w:type="dxa"/>
          </w:tcPr>
          <w:p w14:paraId="2CBDE39D" w14:textId="0AE90FB7"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15 (13.5 per</w:t>
            </w:r>
            <w:r w:rsidR="00A77272" w:rsidRPr="004523AB">
              <w:rPr>
                <w:rFonts w:eastAsia="Segoe UI" w:cs="Segoe UI"/>
                <w:color w:val="000000"/>
                <w:szCs w:val="21"/>
              </w:rPr>
              <w:t xml:space="preserve"> cent</w:t>
            </w:r>
            <w:r w:rsidRPr="004523AB">
              <w:rPr>
                <w:rFonts w:eastAsia="Segoe UI" w:cs="Segoe UI"/>
                <w:color w:val="000000"/>
                <w:szCs w:val="21"/>
              </w:rPr>
              <w:t>)</w:t>
            </w:r>
          </w:p>
        </w:tc>
        <w:tc>
          <w:tcPr>
            <w:tcW w:w="1559" w:type="dxa"/>
          </w:tcPr>
          <w:p w14:paraId="0BD1CA8A" w14:textId="49D1A663"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10 (11.4 per</w:t>
            </w:r>
            <w:r w:rsidR="00A77272" w:rsidRPr="004523AB">
              <w:rPr>
                <w:rFonts w:eastAsia="Segoe UI" w:cs="Segoe UI"/>
                <w:color w:val="000000"/>
                <w:szCs w:val="21"/>
              </w:rPr>
              <w:t xml:space="preserve"> cent</w:t>
            </w:r>
            <w:r w:rsidRPr="004523AB">
              <w:rPr>
                <w:rFonts w:eastAsia="Segoe UI" w:cs="Segoe UI"/>
                <w:color w:val="000000"/>
                <w:szCs w:val="21"/>
              </w:rPr>
              <w:t>)</w:t>
            </w:r>
          </w:p>
        </w:tc>
        <w:tc>
          <w:tcPr>
            <w:tcW w:w="1560" w:type="dxa"/>
          </w:tcPr>
          <w:p w14:paraId="0A53D512" w14:textId="1EFC22D9"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 (7.2 per</w:t>
            </w:r>
            <w:r w:rsidR="00A77272" w:rsidRPr="004523AB">
              <w:rPr>
                <w:rFonts w:eastAsia="Segoe UI" w:cs="Segoe UI"/>
                <w:color w:val="000000"/>
                <w:szCs w:val="21"/>
              </w:rPr>
              <w:t xml:space="preserve"> cent</w:t>
            </w:r>
            <w:r w:rsidRPr="004523AB">
              <w:rPr>
                <w:rFonts w:eastAsia="Segoe UI" w:cs="Segoe UI"/>
                <w:color w:val="000000"/>
                <w:szCs w:val="21"/>
              </w:rPr>
              <w:t>)</w:t>
            </w:r>
          </w:p>
        </w:tc>
      </w:tr>
      <w:tr w:rsidR="000E7E6E" w:rsidRPr="004523AB" w14:paraId="29022FF9" w14:textId="77777777" w:rsidTr="006E25AA">
        <w:tc>
          <w:tcPr>
            <w:tcW w:w="2410" w:type="dxa"/>
          </w:tcPr>
          <w:p w14:paraId="247DAEE2" w14:textId="77777777" w:rsidR="00472A6B" w:rsidRPr="004523AB" w:rsidRDefault="00472A6B">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Professional assessment of existing digital / cyber security capability and arrangements</w:t>
            </w:r>
          </w:p>
        </w:tc>
        <w:tc>
          <w:tcPr>
            <w:tcW w:w="1418" w:type="dxa"/>
          </w:tcPr>
          <w:p w14:paraId="04AAECE5" w14:textId="3425C494"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514 (</w:t>
            </w:r>
            <w:proofErr w:type="gramStart"/>
            <w:r w:rsidRPr="004523AB">
              <w:rPr>
                <w:rFonts w:eastAsia="Segoe UI" w:cs="Segoe UI"/>
                <w:color w:val="000000"/>
                <w:szCs w:val="21"/>
              </w:rPr>
              <w:t xml:space="preserve">33.1 </w:t>
            </w:r>
            <w:r w:rsidR="00A77272" w:rsidRPr="004523AB">
              <w:rPr>
                <w:rFonts w:eastAsia="Segoe UI" w:cs="Segoe UI"/>
                <w:color w:val="000000"/>
                <w:szCs w:val="21"/>
              </w:rPr>
              <w:t xml:space="preserve"> </w:t>
            </w:r>
            <w:r w:rsidRPr="004523AB">
              <w:rPr>
                <w:rFonts w:eastAsia="Segoe UI" w:cs="Segoe UI"/>
                <w:color w:val="000000"/>
                <w:szCs w:val="21"/>
              </w:rPr>
              <w:t>per</w:t>
            </w:r>
            <w:proofErr w:type="gramEnd"/>
            <w:r w:rsidR="00A77272" w:rsidRPr="004523AB">
              <w:rPr>
                <w:rFonts w:eastAsia="Segoe UI" w:cs="Segoe UI"/>
                <w:color w:val="000000"/>
                <w:szCs w:val="21"/>
              </w:rPr>
              <w:t xml:space="preserve"> cent</w:t>
            </w:r>
            <w:r w:rsidRPr="004523AB">
              <w:rPr>
                <w:rFonts w:eastAsia="Segoe UI" w:cs="Segoe UI"/>
                <w:color w:val="000000"/>
                <w:szCs w:val="21"/>
              </w:rPr>
              <w:t>)</w:t>
            </w:r>
          </w:p>
        </w:tc>
        <w:tc>
          <w:tcPr>
            <w:tcW w:w="1417" w:type="dxa"/>
          </w:tcPr>
          <w:p w14:paraId="2C4ECA09" w14:textId="20A94095"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382 (</w:t>
            </w:r>
            <w:proofErr w:type="gramStart"/>
            <w:r w:rsidRPr="004523AB">
              <w:rPr>
                <w:rFonts w:eastAsia="Segoe UI" w:cs="Segoe UI"/>
                <w:color w:val="000000"/>
                <w:szCs w:val="21"/>
              </w:rPr>
              <w:t xml:space="preserve">29.2 </w:t>
            </w:r>
            <w:r w:rsidR="00A77272" w:rsidRPr="004523AB">
              <w:rPr>
                <w:rFonts w:eastAsia="Segoe UI" w:cs="Segoe UI"/>
                <w:color w:val="000000"/>
                <w:szCs w:val="21"/>
              </w:rPr>
              <w:t xml:space="preserve"> </w:t>
            </w:r>
            <w:r w:rsidRPr="004523AB">
              <w:rPr>
                <w:rFonts w:eastAsia="Segoe UI" w:cs="Segoe UI"/>
                <w:color w:val="000000"/>
                <w:szCs w:val="21"/>
              </w:rPr>
              <w:t>per</w:t>
            </w:r>
            <w:proofErr w:type="gramEnd"/>
            <w:r w:rsidR="00A77272" w:rsidRPr="004523AB">
              <w:rPr>
                <w:rFonts w:eastAsia="Segoe UI" w:cs="Segoe UI"/>
                <w:color w:val="000000"/>
                <w:szCs w:val="21"/>
              </w:rPr>
              <w:t xml:space="preserve"> cent</w:t>
            </w:r>
            <w:r w:rsidRPr="004523AB">
              <w:rPr>
                <w:rFonts w:eastAsia="Segoe UI" w:cs="Segoe UI"/>
                <w:color w:val="000000"/>
                <w:szCs w:val="21"/>
              </w:rPr>
              <w:t>)</w:t>
            </w:r>
          </w:p>
        </w:tc>
        <w:tc>
          <w:tcPr>
            <w:tcW w:w="1418" w:type="dxa"/>
          </w:tcPr>
          <w:p w14:paraId="65A981A0" w14:textId="01201080"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289 (</w:t>
            </w:r>
            <w:proofErr w:type="gramStart"/>
            <w:r w:rsidRPr="004523AB">
              <w:rPr>
                <w:rFonts w:eastAsia="Segoe UI" w:cs="Segoe UI"/>
                <w:color w:val="000000"/>
                <w:szCs w:val="21"/>
              </w:rPr>
              <w:t xml:space="preserve">33.0 </w:t>
            </w:r>
            <w:r w:rsidR="00A77272" w:rsidRPr="004523AB">
              <w:rPr>
                <w:rFonts w:eastAsia="Segoe UI" w:cs="Segoe UI"/>
                <w:color w:val="000000"/>
                <w:szCs w:val="21"/>
              </w:rPr>
              <w:t xml:space="preserve"> </w:t>
            </w:r>
            <w:r w:rsidRPr="004523AB">
              <w:rPr>
                <w:rFonts w:eastAsia="Segoe UI" w:cs="Segoe UI"/>
                <w:color w:val="000000"/>
                <w:szCs w:val="21"/>
              </w:rPr>
              <w:t>per</w:t>
            </w:r>
            <w:proofErr w:type="gramEnd"/>
            <w:r w:rsidR="00A77272" w:rsidRPr="004523AB">
              <w:rPr>
                <w:rFonts w:eastAsia="Segoe UI" w:cs="Segoe UI"/>
                <w:color w:val="000000"/>
                <w:szCs w:val="21"/>
              </w:rPr>
              <w:t xml:space="preserve"> cent</w:t>
            </w:r>
            <w:r w:rsidRPr="004523AB">
              <w:rPr>
                <w:rFonts w:eastAsia="Segoe UI" w:cs="Segoe UI"/>
                <w:color w:val="000000"/>
                <w:szCs w:val="21"/>
              </w:rPr>
              <w:t>)</w:t>
            </w:r>
          </w:p>
        </w:tc>
        <w:tc>
          <w:tcPr>
            <w:tcW w:w="1417" w:type="dxa"/>
          </w:tcPr>
          <w:p w14:paraId="32DEC678" w14:textId="144A498E"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143 (</w:t>
            </w:r>
            <w:proofErr w:type="gramStart"/>
            <w:r w:rsidRPr="004523AB">
              <w:rPr>
                <w:rFonts w:eastAsia="Segoe UI" w:cs="Segoe UI"/>
                <w:color w:val="000000"/>
                <w:szCs w:val="21"/>
              </w:rPr>
              <w:t xml:space="preserve">26.1 </w:t>
            </w:r>
            <w:r w:rsidR="00A77272" w:rsidRPr="004523AB">
              <w:rPr>
                <w:rFonts w:eastAsia="Segoe UI" w:cs="Segoe UI"/>
                <w:color w:val="000000"/>
                <w:szCs w:val="21"/>
              </w:rPr>
              <w:t xml:space="preserve"> </w:t>
            </w:r>
            <w:r w:rsidRPr="004523AB">
              <w:rPr>
                <w:rFonts w:eastAsia="Segoe UI" w:cs="Segoe UI"/>
                <w:color w:val="000000"/>
                <w:szCs w:val="21"/>
              </w:rPr>
              <w:t>per</w:t>
            </w:r>
            <w:proofErr w:type="gramEnd"/>
            <w:r w:rsidR="00A77272" w:rsidRPr="004523AB">
              <w:rPr>
                <w:rFonts w:eastAsia="Segoe UI" w:cs="Segoe UI"/>
                <w:color w:val="000000"/>
                <w:szCs w:val="21"/>
              </w:rPr>
              <w:t xml:space="preserve"> cent</w:t>
            </w:r>
            <w:r w:rsidRPr="004523AB">
              <w:rPr>
                <w:rFonts w:eastAsia="Segoe UI" w:cs="Segoe UI"/>
                <w:color w:val="000000"/>
                <w:szCs w:val="21"/>
              </w:rPr>
              <w:t>)</w:t>
            </w:r>
          </w:p>
        </w:tc>
        <w:tc>
          <w:tcPr>
            <w:tcW w:w="1418" w:type="dxa"/>
          </w:tcPr>
          <w:p w14:paraId="2770C04A" w14:textId="08279DD4"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77 (</w:t>
            </w:r>
            <w:proofErr w:type="gramStart"/>
            <w:r w:rsidRPr="004523AB">
              <w:rPr>
                <w:rFonts w:eastAsia="Segoe UI" w:cs="Segoe UI"/>
                <w:color w:val="000000"/>
                <w:szCs w:val="21"/>
              </w:rPr>
              <w:t xml:space="preserve">26.9 </w:t>
            </w:r>
            <w:r w:rsidR="00A77272" w:rsidRPr="004523AB">
              <w:rPr>
                <w:rFonts w:eastAsia="Segoe UI" w:cs="Segoe UI"/>
                <w:color w:val="000000"/>
                <w:szCs w:val="21"/>
              </w:rPr>
              <w:t xml:space="preserve"> </w:t>
            </w:r>
            <w:r w:rsidRPr="004523AB">
              <w:rPr>
                <w:rFonts w:eastAsia="Segoe UI" w:cs="Segoe UI"/>
                <w:color w:val="000000"/>
                <w:szCs w:val="21"/>
              </w:rPr>
              <w:t>per</w:t>
            </w:r>
            <w:proofErr w:type="gramEnd"/>
            <w:r w:rsidR="00A77272" w:rsidRPr="004523AB">
              <w:rPr>
                <w:rFonts w:eastAsia="Segoe UI" w:cs="Segoe UI"/>
                <w:color w:val="000000"/>
                <w:szCs w:val="21"/>
              </w:rPr>
              <w:t xml:space="preserve"> cent</w:t>
            </w:r>
            <w:r w:rsidRPr="004523AB">
              <w:rPr>
                <w:rFonts w:eastAsia="Segoe UI" w:cs="Segoe UI"/>
                <w:color w:val="000000"/>
                <w:szCs w:val="21"/>
              </w:rPr>
              <w:t>)</w:t>
            </w:r>
          </w:p>
        </w:tc>
        <w:tc>
          <w:tcPr>
            <w:tcW w:w="1417" w:type="dxa"/>
          </w:tcPr>
          <w:p w14:paraId="2B8D906E" w14:textId="72C4B90D"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34 (</w:t>
            </w:r>
            <w:proofErr w:type="gramStart"/>
            <w:r w:rsidRPr="004523AB">
              <w:rPr>
                <w:rFonts w:eastAsia="Segoe UI" w:cs="Segoe UI"/>
                <w:color w:val="000000"/>
                <w:szCs w:val="21"/>
              </w:rPr>
              <w:t xml:space="preserve">30.6 </w:t>
            </w:r>
            <w:r w:rsidR="00A77272" w:rsidRPr="004523AB">
              <w:rPr>
                <w:rFonts w:eastAsia="Segoe UI" w:cs="Segoe UI"/>
                <w:color w:val="000000"/>
                <w:szCs w:val="21"/>
              </w:rPr>
              <w:t xml:space="preserve"> </w:t>
            </w:r>
            <w:r w:rsidRPr="004523AB">
              <w:rPr>
                <w:rFonts w:eastAsia="Segoe UI" w:cs="Segoe UI"/>
                <w:color w:val="000000"/>
                <w:szCs w:val="21"/>
              </w:rPr>
              <w:t>per</w:t>
            </w:r>
            <w:proofErr w:type="gramEnd"/>
            <w:r w:rsidR="00A77272" w:rsidRPr="004523AB">
              <w:rPr>
                <w:rFonts w:eastAsia="Segoe UI" w:cs="Segoe UI"/>
                <w:color w:val="000000"/>
                <w:szCs w:val="21"/>
              </w:rPr>
              <w:t xml:space="preserve"> cent</w:t>
            </w:r>
            <w:r w:rsidRPr="004523AB">
              <w:rPr>
                <w:rFonts w:eastAsia="Segoe UI" w:cs="Segoe UI"/>
                <w:color w:val="000000"/>
                <w:szCs w:val="21"/>
              </w:rPr>
              <w:t>)</w:t>
            </w:r>
          </w:p>
        </w:tc>
        <w:tc>
          <w:tcPr>
            <w:tcW w:w="1559" w:type="dxa"/>
          </w:tcPr>
          <w:p w14:paraId="70EA929E" w14:textId="075DD4A9"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20 (</w:t>
            </w:r>
            <w:proofErr w:type="gramStart"/>
            <w:r w:rsidRPr="004523AB">
              <w:rPr>
                <w:rFonts w:eastAsia="Segoe UI" w:cs="Segoe UI"/>
                <w:color w:val="000000"/>
                <w:szCs w:val="21"/>
              </w:rPr>
              <w:t xml:space="preserve">22.7 </w:t>
            </w:r>
            <w:r w:rsidR="00A77272" w:rsidRPr="004523AB">
              <w:rPr>
                <w:rFonts w:eastAsia="Segoe UI" w:cs="Segoe UI"/>
                <w:color w:val="000000"/>
                <w:szCs w:val="21"/>
              </w:rPr>
              <w:t xml:space="preserve"> </w:t>
            </w:r>
            <w:r w:rsidRPr="004523AB">
              <w:rPr>
                <w:rFonts w:eastAsia="Segoe UI" w:cs="Segoe UI"/>
                <w:color w:val="000000"/>
                <w:szCs w:val="21"/>
              </w:rPr>
              <w:t>per</w:t>
            </w:r>
            <w:proofErr w:type="gramEnd"/>
            <w:r w:rsidR="00A77272" w:rsidRPr="004523AB">
              <w:rPr>
                <w:rFonts w:eastAsia="Segoe UI" w:cs="Segoe UI"/>
                <w:color w:val="000000"/>
                <w:szCs w:val="21"/>
              </w:rPr>
              <w:t xml:space="preserve"> cent</w:t>
            </w:r>
            <w:r w:rsidRPr="004523AB">
              <w:rPr>
                <w:rFonts w:eastAsia="Segoe UI" w:cs="Segoe UI"/>
                <w:color w:val="000000"/>
                <w:szCs w:val="21"/>
              </w:rPr>
              <w:t>)</w:t>
            </w:r>
          </w:p>
        </w:tc>
        <w:tc>
          <w:tcPr>
            <w:tcW w:w="1560" w:type="dxa"/>
          </w:tcPr>
          <w:p w14:paraId="72079C40" w14:textId="6DF2F106"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 (</w:t>
            </w:r>
            <w:proofErr w:type="gramStart"/>
            <w:r w:rsidRPr="004523AB">
              <w:rPr>
                <w:rFonts w:eastAsia="Segoe UI" w:cs="Segoe UI"/>
                <w:color w:val="000000"/>
                <w:szCs w:val="21"/>
              </w:rPr>
              <w:t xml:space="preserve">5.8 </w:t>
            </w:r>
            <w:r w:rsidR="003C1236" w:rsidRPr="004523AB">
              <w:rPr>
                <w:rFonts w:eastAsia="Segoe UI" w:cs="Segoe UI"/>
                <w:color w:val="000000"/>
                <w:szCs w:val="21"/>
              </w:rPr>
              <w:t xml:space="preserve"> </w:t>
            </w:r>
            <w:r w:rsidRPr="004523AB">
              <w:rPr>
                <w:rFonts w:eastAsia="Segoe UI" w:cs="Segoe UI"/>
                <w:color w:val="000000"/>
                <w:szCs w:val="21"/>
              </w:rPr>
              <w:t>per</w:t>
            </w:r>
            <w:proofErr w:type="gramEnd"/>
            <w:r w:rsidR="003C1236" w:rsidRPr="004523AB">
              <w:rPr>
                <w:rFonts w:eastAsia="Segoe UI" w:cs="Segoe UI"/>
                <w:color w:val="000000"/>
                <w:szCs w:val="21"/>
              </w:rPr>
              <w:t xml:space="preserve"> cent</w:t>
            </w:r>
            <w:r w:rsidRPr="004523AB">
              <w:rPr>
                <w:rFonts w:eastAsia="Segoe UI" w:cs="Segoe UI"/>
                <w:color w:val="000000"/>
                <w:szCs w:val="21"/>
              </w:rPr>
              <w:t>)</w:t>
            </w:r>
          </w:p>
        </w:tc>
      </w:tr>
      <w:tr w:rsidR="000E7E6E" w:rsidRPr="004523AB" w14:paraId="212D784C" w14:textId="77777777" w:rsidTr="006E25AA">
        <w:tc>
          <w:tcPr>
            <w:tcW w:w="2410" w:type="dxa"/>
          </w:tcPr>
          <w:p w14:paraId="53F72C83" w14:textId="77777777" w:rsidR="00472A6B" w:rsidRPr="004523AB" w:rsidRDefault="00472A6B">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lastRenderedPageBreak/>
              <w:t>Other digital health capability enhancement (please provide a brief description)</w:t>
            </w:r>
          </w:p>
        </w:tc>
        <w:tc>
          <w:tcPr>
            <w:tcW w:w="1418" w:type="dxa"/>
          </w:tcPr>
          <w:p w14:paraId="4C737B40" w14:textId="2D54CC18"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305 (</w:t>
            </w:r>
            <w:proofErr w:type="gramStart"/>
            <w:r w:rsidRPr="004523AB">
              <w:rPr>
                <w:rFonts w:eastAsia="Segoe UI" w:cs="Segoe UI"/>
                <w:color w:val="000000"/>
                <w:szCs w:val="21"/>
              </w:rPr>
              <w:t xml:space="preserve">19.6 </w:t>
            </w:r>
            <w:r w:rsidR="003C1236" w:rsidRPr="004523AB">
              <w:rPr>
                <w:rFonts w:eastAsia="Segoe UI" w:cs="Segoe UI"/>
                <w:color w:val="000000"/>
                <w:szCs w:val="21"/>
              </w:rPr>
              <w:t xml:space="preserve"> </w:t>
            </w:r>
            <w:r w:rsidRPr="004523AB">
              <w:rPr>
                <w:rFonts w:eastAsia="Segoe UI" w:cs="Segoe UI"/>
                <w:color w:val="000000"/>
                <w:szCs w:val="21"/>
              </w:rPr>
              <w:t>per</w:t>
            </w:r>
            <w:proofErr w:type="gramEnd"/>
            <w:r w:rsidR="003C1236" w:rsidRPr="004523AB">
              <w:rPr>
                <w:rFonts w:eastAsia="Segoe UI" w:cs="Segoe UI"/>
                <w:color w:val="000000"/>
                <w:szCs w:val="21"/>
              </w:rPr>
              <w:t xml:space="preserve"> cent</w:t>
            </w:r>
            <w:r w:rsidRPr="004523AB">
              <w:rPr>
                <w:rFonts w:eastAsia="Segoe UI" w:cs="Segoe UI"/>
                <w:color w:val="000000"/>
                <w:szCs w:val="21"/>
              </w:rPr>
              <w:t>)</w:t>
            </w:r>
          </w:p>
        </w:tc>
        <w:tc>
          <w:tcPr>
            <w:tcW w:w="1417" w:type="dxa"/>
          </w:tcPr>
          <w:p w14:paraId="054C220B" w14:textId="20D61C26"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254 (</w:t>
            </w:r>
            <w:proofErr w:type="gramStart"/>
            <w:r w:rsidRPr="004523AB">
              <w:rPr>
                <w:rFonts w:eastAsia="Segoe UI" w:cs="Segoe UI"/>
                <w:color w:val="000000"/>
                <w:szCs w:val="21"/>
              </w:rPr>
              <w:t xml:space="preserve">19.4 </w:t>
            </w:r>
            <w:r w:rsidR="003C1236" w:rsidRPr="004523AB">
              <w:rPr>
                <w:rFonts w:eastAsia="Segoe UI" w:cs="Segoe UI"/>
                <w:color w:val="000000"/>
                <w:szCs w:val="21"/>
              </w:rPr>
              <w:t xml:space="preserve"> </w:t>
            </w:r>
            <w:r w:rsidRPr="004523AB">
              <w:rPr>
                <w:rFonts w:eastAsia="Segoe UI" w:cs="Segoe UI"/>
                <w:color w:val="000000"/>
                <w:szCs w:val="21"/>
              </w:rPr>
              <w:t>per</w:t>
            </w:r>
            <w:proofErr w:type="gramEnd"/>
            <w:r w:rsidR="003C1236" w:rsidRPr="004523AB">
              <w:rPr>
                <w:rFonts w:eastAsia="Segoe UI" w:cs="Segoe UI"/>
                <w:color w:val="000000"/>
                <w:szCs w:val="21"/>
              </w:rPr>
              <w:t xml:space="preserve"> cent</w:t>
            </w:r>
            <w:r w:rsidRPr="004523AB">
              <w:rPr>
                <w:rFonts w:eastAsia="Segoe UI" w:cs="Segoe UI"/>
                <w:color w:val="000000"/>
                <w:szCs w:val="21"/>
              </w:rPr>
              <w:t>)</w:t>
            </w:r>
          </w:p>
        </w:tc>
        <w:tc>
          <w:tcPr>
            <w:tcW w:w="1418" w:type="dxa"/>
          </w:tcPr>
          <w:p w14:paraId="54C2A0AA" w14:textId="47CF7F5E"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185 (</w:t>
            </w:r>
            <w:proofErr w:type="gramStart"/>
            <w:r w:rsidRPr="004523AB">
              <w:rPr>
                <w:rFonts w:eastAsia="Segoe UI" w:cs="Segoe UI"/>
                <w:color w:val="000000"/>
                <w:szCs w:val="21"/>
              </w:rPr>
              <w:t xml:space="preserve">21.1 </w:t>
            </w:r>
            <w:r w:rsidR="003C1236" w:rsidRPr="004523AB">
              <w:rPr>
                <w:rFonts w:eastAsia="Segoe UI" w:cs="Segoe UI"/>
                <w:color w:val="000000"/>
                <w:szCs w:val="21"/>
              </w:rPr>
              <w:t xml:space="preserve"> </w:t>
            </w:r>
            <w:r w:rsidRPr="004523AB">
              <w:rPr>
                <w:rFonts w:eastAsia="Segoe UI" w:cs="Segoe UI"/>
                <w:color w:val="000000"/>
                <w:szCs w:val="21"/>
              </w:rPr>
              <w:t>per</w:t>
            </w:r>
            <w:proofErr w:type="gramEnd"/>
            <w:r w:rsidR="003C1236" w:rsidRPr="004523AB">
              <w:rPr>
                <w:rFonts w:eastAsia="Segoe UI" w:cs="Segoe UI"/>
                <w:color w:val="000000"/>
                <w:szCs w:val="21"/>
              </w:rPr>
              <w:t xml:space="preserve"> cent</w:t>
            </w:r>
            <w:r w:rsidRPr="004523AB">
              <w:rPr>
                <w:rFonts w:eastAsia="Segoe UI" w:cs="Segoe UI"/>
                <w:color w:val="000000"/>
                <w:szCs w:val="21"/>
              </w:rPr>
              <w:t>)</w:t>
            </w:r>
          </w:p>
        </w:tc>
        <w:tc>
          <w:tcPr>
            <w:tcW w:w="1417" w:type="dxa"/>
          </w:tcPr>
          <w:p w14:paraId="499A7B17" w14:textId="6664022A"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123 (</w:t>
            </w:r>
            <w:proofErr w:type="gramStart"/>
            <w:r w:rsidRPr="004523AB">
              <w:rPr>
                <w:rFonts w:eastAsia="Segoe UI" w:cs="Segoe UI"/>
                <w:color w:val="000000"/>
                <w:szCs w:val="21"/>
              </w:rPr>
              <w:t xml:space="preserve">22.4 </w:t>
            </w:r>
            <w:r w:rsidR="003C1236" w:rsidRPr="004523AB">
              <w:rPr>
                <w:rFonts w:eastAsia="Segoe UI" w:cs="Segoe UI"/>
                <w:color w:val="000000"/>
                <w:szCs w:val="21"/>
              </w:rPr>
              <w:t xml:space="preserve"> </w:t>
            </w:r>
            <w:r w:rsidRPr="004523AB">
              <w:rPr>
                <w:rFonts w:eastAsia="Segoe UI" w:cs="Segoe UI"/>
                <w:color w:val="000000"/>
                <w:szCs w:val="21"/>
              </w:rPr>
              <w:t>per</w:t>
            </w:r>
            <w:proofErr w:type="gramEnd"/>
            <w:r w:rsidR="003C1236" w:rsidRPr="004523AB">
              <w:rPr>
                <w:rFonts w:eastAsia="Segoe UI" w:cs="Segoe UI"/>
                <w:color w:val="000000"/>
                <w:szCs w:val="21"/>
              </w:rPr>
              <w:t xml:space="preserve"> cent</w:t>
            </w:r>
            <w:r w:rsidRPr="004523AB">
              <w:rPr>
                <w:rFonts w:eastAsia="Segoe UI" w:cs="Segoe UI"/>
                <w:color w:val="000000"/>
                <w:szCs w:val="21"/>
              </w:rPr>
              <w:t>)</w:t>
            </w:r>
          </w:p>
        </w:tc>
        <w:tc>
          <w:tcPr>
            <w:tcW w:w="1418" w:type="dxa"/>
          </w:tcPr>
          <w:p w14:paraId="4670F952" w14:textId="27C398A1"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62 (</w:t>
            </w:r>
            <w:proofErr w:type="gramStart"/>
            <w:r w:rsidRPr="004523AB">
              <w:rPr>
                <w:rFonts w:eastAsia="Segoe UI" w:cs="Segoe UI"/>
                <w:color w:val="000000"/>
                <w:szCs w:val="21"/>
              </w:rPr>
              <w:t xml:space="preserve">21.7 </w:t>
            </w:r>
            <w:r w:rsidR="003C1236" w:rsidRPr="004523AB">
              <w:rPr>
                <w:rFonts w:eastAsia="Segoe UI" w:cs="Segoe UI"/>
                <w:color w:val="000000"/>
                <w:szCs w:val="21"/>
              </w:rPr>
              <w:t xml:space="preserve"> </w:t>
            </w:r>
            <w:r w:rsidRPr="004523AB">
              <w:rPr>
                <w:rFonts w:eastAsia="Segoe UI" w:cs="Segoe UI"/>
                <w:color w:val="000000"/>
                <w:szCs w:val="21"/>
              </w:rPr>
              <w:t>per</w:t>
            </w:r>
            <w:proofErr w:type="gramEnd"/>
            <w:r w:rsidR="003C1236" w:rsidRPr="004523AB">
              <w:rPr>
                <w:rFonts w:eastAsia="Segoe UI" w:cs="Segoe UI"/>
                <w:color w:val="000000"/>
                <w:szCs w:val="21"/>
              </w:rPr>
              <w:t xml:space="preserve"> cent</w:t>
            </w:r>
            <w:r w:rsidRPr="004523AB">
              <w:rPr>
                <w:rFonts w:eastAsia="Segoe UI" w:cs="Segoe UI"/>
                <w:color w:val="000000"/>
                <w:szCs w:val="21"/>
              </w:rPr>
              <w:t>)</w:t>
            </w:r>
          </w:p>
        </w:tc>
        <w:tc>
          <w:tcPr>
            <w:tcW w:w="1417" w:type="dxa"/>
          </w:tcPr>
          <w:p w14:paraId="7719A211" w14:textId="29B3F451"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22 (</w:t>
            </w:r>
            <w:proofErr w:type="gramStart"/>
            <w:r w:rsidRPr="004523AB">
              <w:rPr>
                <w:rFonts w:eastAsia="Segoe UI" w:cs="Segoe UI"/>
                <w:color w:val="000000"/>
                <w:szCs w:val="21"/>
              </w:rPr>
              <w:t xml:space="preserve">19.8 </w:t>
            </w:r>
            <w:r w:rsidR="003C1236" w:rsidRPr="004523AB">
              <w:rPr>
                <w:rFonts w:eastAsia="Segoe UI" w:cs="Segoe UI"/>
                <w:color w:val="000000"/>
                <w:szCs w:val="21"/>
              </w:rPr>
              <w:t xml:space="preserve"> </w:t>
            </w:r>
            <w:r w:rsidRPr="004523AB">
              <w:rPr>
                <w:rFonts w:eastAsia="Segoe UI" w:cs="Segoe UI"/>
                <w:color w:val="000000"/>
                <w:szCs w:val="21"/>
              </w:rPr>
              <w:t>per</w:t>
            </w:r>
            <w:proofErr w:type="gramEnd"/>
            <w:r w:rsidR="003C1236" w:rsidRPr="004523AB">
              <w:rPr>
                <w:rFonts w:eastAsia="Segoe UI" w:cs="Segoe UI"/>
                <w:color w:val="000000"/>
                <w:szCs w:val="21"/>
              </w:rPr>
              <w:t xml:space="preserve"> cent</w:t>
            </w:r>
            <w:r w:rsidRPr="004523AB">
              <w:rPr>
                <w:rFonts w:eastAsia="Segoe UI" w:cs="Segoe UI"/>
                <w:color w:val="000000"/>
                <w:szCs w:val="21"/>
              </w:rPr>
              <w:t>)</w:t>
            </w:r>
          </w:p>
        </w:tc>
        <w:tc>
          <w:tcPr>
            <w:tcW w:w="1559" w:type="dxa"/>
          </w:tcPr>
          <w:p w14:paraId="2D6B59DE" w14:textId="605A619B"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16 (</w:t>
            </w:r>
            <w:proofErr w:type="gramStart"/>
            <w:r w:rsidRPr="004523AB">
              <w:rPr>
                <w:rFonts w:eastAsia="Segoe UI" w:cs="Segoe UI"/>
                <w:color w:val="000000"/>
                <w:szCs w:val="21"/>
              </w:rPr>
              <w:t xml:space="preserve">18.2 </w:t>
            </w:r>
            <w:r w:rsidR="003C1236" w:rsidRPr="004523AB">
              <w:rPr>
                <w:rFonts w:eastAsia="Segoe UI" w:cs="Segoe UI"/>
                <w:color w:val="000000"/>
                <w:szCs w:val="21"/>
              </w:rPr>
              <w:t xml:space="preserve"> </w:t>
            </w:r>
            <w:r w:rsidRPr="004523AB">
              <w:rPr>
                <w:rFonts w:eastAsia="Segoe UI" w:cs="Segoe UI"/>
                <w:color w:val="000000"/>
                <w:szCs w:val="21"/>
              </w:rPr>
              <w:t>per</w:t>
            </w:r>
            <w:proofErr w:type="gramEnd"/>
            <w:r w:rsidR="003C1236" w:rsidRPr="004523AB">
              <w:rPr>
                <w:rFonts w:eastAsia="Segoe UI" w:cs="Segoe UI"/>
                <w:color w:val="000000"/>
                <w:szCs w:val="21"/>
              </w:rPr>
              <w:t xml:space="preserve"> cent</w:t>
            </w:r>
            <w:r w:rsidRPr="004523AB">
              <w:rPr>
                <w:rFonts w:eastAsia="Segoe UI" w:cs="Segoe UI"/>
                <w:color w:val="000000"/>
                <w:szCs w:val="21"/>
              </w:rPr>
              <w:t>)</w:t>
            </w:r>
          </w:p>
        </w:tc>
        <w:tc>
          <w:tcPr>
            <w:tcW w:w="1560" w:type="dxa"/>
          </w:tcPr>
          <w:p w14:paraId="0A635E83" w14:textId="5B5C0862" w:rsidR="00472A6B" w:rsidRPr="004523AB" w:rsidRDefault="00472A6B"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 (</w:t>
            </w:r>
            <w:proofErr w:type="gramStart"/>
            <w:r w:rsidRPr="004523AB">
              <w:rPr>
                <w:rFonts w:eastAsia="Segoe UI" w:cs="Segoe UI"/>
                <w:color w:val="000000"/>
                <w:szCs w:val="21"/>
              </w:rPr>
              <w:t xml:space="preserve">7.2 </w:t>
            </w:r>
            <w:r w:rsidR="003C1236" w:rsidRPr="004523AB">
              <w:rPr>
                <w:rFonts w:eastAsia="Segoe UI" w:cs="Segoe UI"/>
                <w:color w:val="000000"/>
                <w:szCs w:val="21"/>
              </w:rPr>
              <w:t xml:space="preserve"> </w:t>
            </w:r>
            <w:r w:rsidRPr="004523AB">
              <w:rPr>
                <w:rFonts w:eastAsia="Segoe UI" w:cs="Segoe UI"/>
                <w:color w:val="000000"/>
                <w:szCs w:val="21"/>
              </w:rPr>
              <w:t>per</w:t>
            </w:r>
            <w:proofErr w:type="gramEnd"/>
            <w:r w:rsidR="003C1236" w:rsidRPr="004523AB">
              <w:rPr>
                <w:rFonts w:eastAsia="Segoe UI" w:cs="Segoe UI"/>
                <w:color w:val="000000"/>
                <w:szCs w:val="21"/>
              </w:rPr>
              <w:t xml:space="preserve"> cent</w:t>
            </w:r>
            <w:r w:rsidRPr="004523AB">
              <w:rPr>
                <w:rFonts w:eastAsia="Segoe UI" w:cs="Segoe UI"/>
                <w:color w:val="000000"/>
                <w:szCs w:val="21"/>
              </w:rPr>
              <w:t>)</w:t>
            </w:r>
          </w:p>
        </w:tc>
      </w:tr>
    </w:tbl>
    <w:p w14:paraId="30A0A8B8" w14:textId="653B37F7" w:rsidR="00B413BC" w:rsidRPr="004523AB" w:rsidRDefault="0057693B" w:rsidP="0057693B">
      <w:pPr>
        <w:spacing w:after="165" w:line="259" w:lineRule="auto"/>
        <w:rPr>
          <w:lang w:eastAsia="en-AU"/>
        </w:rPr>
      </w:pPr>
      <w:r w:rsidRPr="004523AB">
        <w:rPr>
          <w:lang w:eastAsia="en-AU"/>
        </w:rPr>
        <w:br w:type="page"/>
      </w:r>
    </w:p>
    <w:p w14:paraId="3EBF7122" w14:textId="345237BE" w:rsidR="004D1109" w:rsidRPr="004523AB" w:rsidRDefault="004D1109" w:rsidP="004D1109">
      <w:pPr>
        <w:pStyle w:val="Caption"/>
      </w:pPr>
      <w:r w:rsidRPr="004523AB">
        <w:lastRenderedPageBreak/>
        <w:t xml:space="preserve">Table </w:t>
      </w:r>
      <w:r w:rsidRPr="004523AB">
        <w:fldChar w:fldCharType="begin"/>
      </w:r>
      <w:r w:rsidRPr="004523AB">
        <w:instrText xml:space="preserve"> SEQ Table \* ARABIC </w:instrText>
      </w:r>
      <w:r w:rsidRPr="004523AB">
        <w:fldChar w:fldCharType="separate"/>
      </w:r>
      <w:r w:rsidR="00B96E50">
        <w:rPr>
          <w:noProof/>
        </w:rPr>
        <w:t>25</w:t>
      </w:r>
      <w:r w:rsidRPr="004523AB">
        <w:fldChar w:fldCharType="end"/>
      </w:r>
      <w:r w:rsidRPr="004523AB">
        <w:t xml:space="preserve"> | Stream 1: To what extent has the grant assisted improvements in digital health capabilities for your practice</w:t>
      </w:r>
      <w:r w:rsidR="00200CB1" w:rsidRPr="004523AB">
        <w:t>?</w:t>
      </w:r>
      <w:r w:rsidR="00FA7385" w:rsidRPr="004523AB">
        <w:t xml:space="preserve"> (by State)</w:t>
      </w:r>
    </w:p>
    <w:tbl>
      <w:tblPr>
        <w:tblStyle w:val="AccessibleNousTable"/>
        <w:tblW w:w="4996" w:type="pct"/>
        <w:tblLayout w:type="fixed"/>
        <w:tblLook w:val="0420" w:firstRow="1" w:lastRow="0" w:firstColumn="0" w:lastColumn="0" w:noHBand="0" w:noVBand="1"/>
      </w:tblPr>
      <w:tblGrid>
        <w:gridCol w:w="1843"/>
        <w:gridCol w:w="2996"/>
        <w:gridCol w:w="1145"/>
        <w:gridCol w:w="1145"/>
        <w:gridCol w:w="1147"/>
        <w:gridCol w:w="1147"/>
        <w:gridCol w:w="1147"/>
        <w:gridCol w:w="1147"/>
        <w:gridCol w:w="1147"/>
        <w:gridCol w:w="1147"/>
      </w:tblGrid>
      <w:tr w:rsidR="00DA3717" w:rsidRPr="004523AB" w14:paraId="49DA42C7" w14:textId="77777777" w:rsidTr="00200CB1">
        <w:trPr>
          <w:cnfStyle w:val="100000000000" w:firstRow="1" w:lastRow="0" w:firstColumn="0" w:lastColumn="0" w:oddVBand="0" w:evenVBand="0" w:oddHBand="0" w:evenHBand="0" w:firstRowFirstColumn="0" w:firstRowLastColumn="0" w:lastRowFirstColumn="0" w:lastRowLastColumn="0"/>
          <w:cantSplit/>
          <w:tblHeader/>
        </w:trPr>
        <w:tc>
          <w:tcPr>
            <w:tcW w:w="1843" w:type="dxa"/>
          </w:tcPr>
          <w:p w14:paraId="269CC8BF" w14:textId="2F2FEA56" w:rsidR="00B413BC" w:rsidRPr="004523AB" w:rsidRDefault="007C415C">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Question</w:t>
            </w:r>
          </w:p>
        </w:tc>
        <w:tc>
          <w:tcPr>
            <w:tcW w:w="2996" w:type="dxa"/>
          </w:tcPr>
          <w:p w14:paraId="67CE1217" w14:textId="5C3DA36F" w:rsidR="00B413BC" w:rsidRPr="004523AB" w:rsidRDefault="007C415C">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Response</w:t>
            </w:r>
          </w:p>
        </w:tc>
        <w:tc>
          <w:tcPr>
            <w:tcW w:w="1145" w:type="dxa"/>
          </w:tcPr>
          <w:p w14:paraId="6798D9DD" w14:textId="77777777"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NSW</w:t>
            </w:r>
          </w:p>
        </w:tc>
        <w:tc>
          <w:tcPr>
            <w:tcW w:w="1145" w:type="dxa"/>
          </w:tcPr>
          <w:p w14:paraId="6DEAE77F" w14:textId="77777777"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Vic</w:t>
            </w:r>
          </w:p>
        </w:tc>
        <w:tc>
          <w:tcPr>
            <w:tcW w:w="1147" w:type="dxa"/>
          </w:tcPr>
          <w:p w14:paraId="67BFE8C6" w14:textId="77777777"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Qld</w:t>
            </w:r>
          </w:p>
        </w:tc>
        <w:tc>
          <w:tcPr>
            <w:tcW w:w="1147" w:type="dxa"/>
          </w:tcPr>
          <w:p w14:paraId="4851D4A9" w14:textId="77777777"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WA</w:t>
            </w:r>
          </w:p>
        </w:tc>
        <w:tc>
          <w:tcPr>
            <w:tcW w:w="1147" w:type="dxa"/>
          </w:tcPr>
          <w:p w14:paraId="06584458" w14:textId="77777777"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SA</w:t>
            </w:r>
          </w:p>
        </w:tc>
        <w:tc>
          <w:tcPr>
            <w:tcW w:w="1147" w:type="dxa"/>
          </w:tcPr>
          <w:p w14:paraId="03429B7F" w14:textId="77777777"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Tas</w:t>
            </w:r>
          </w:p>
        </w:tc>
        <w:tc>
          <w:tcPr>
            <w:tcW w:w="1147" w:type="dxa"/>
          </w:tcPr>
          <w:p w14:paraId="2D53FB1B" w14:textId="77777777"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ACT</w:t>
            </w:r>
          </w:p>
        </w:tc>
        <w:tc>
          <w:tcPr>
            <w:tcW w:w="1147" w:type="dxa"/>
          </w:tcPr>
          <w:p w14:paraId="09D4F57C" w14:textId="77777777"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NT</w:t>
            </w:r>
          </w:p>
        </w:tc>
      </w:tr>
      <w:tr w:rsidR="00DA3717" w:rsidRPr="004523AB" w14:paraId="1EC38F92" w14:textId="77777777" w:rsidTr="00200CB1">
        <w:tc>
          <w:tcPr>
            <w:tcW w:w="1843" w:type="dxa"/>
          </w:tcPr>
          <w:p w14:paraId="5540B6FD" w14:textId="77777777" w:rsidR="00B413BC" w:rsidRPr="004523AB" w:rsidRDefault="00B413BC">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Video telehealth</w:t>
            </w:r>
          </w:p>
        </w:tc>
        <w:tc>
          <w:tcPr>
            <w:tcW w:w="2996" w:type="dxa"/>
          </w:tcPr>
          <w:p w14:paraId="2EB8FAED" w14:textId="77777777" w:rsidR="00B413BC" w:rsidRPr="004523AB" w:rsidRDefault="00B413BC">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Did not use grant for this purpose</w:t>
            </w:r>
          </w:p>
        </w:tc>
        <w:tc>
          <w:tcPr>
            <w:tcW w:w="1145" w:type="dxa"/>
          </w:tcPr>
          <w:p w14:paraId="097F28F9" w14:textId="31A43672"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458 (29.5</w:t>
            </w:r>
            <w:r w:rsidR="00302A25"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5" w:type="dxa"/>
          </w:tcPr>
          <w:p w14:paraId="6E5387E2" w14:textId="6442DF0B"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328 (25.1</w:t>
            </w:r>
            <w:r w:rsidR="000C719A"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1590E87C" w14:textId="1393A230"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291 (33.2</w:t>
            </w:r>
            <w:r w:rsidR="000C719A"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7333886D" w14:textId="2BE6E79C"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238 (43.4</w:t>
            </w:r>
            <w:r w:rsidR="000C719A"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1B05C452" w14:textId="230DC93D"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96 (33.6</w:t>
            </w:r>
            <w:r w:rsidR="000C719A"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4749480B" w14:textId="5DA5C350"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38 (34.2</w:t>
            </w:r>
            <w:r w:rsidR="000C719A"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615DA80F" w14:textId="08C2C0D5"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27 (30.7</w:t>
            </w:r>
            <w:r w:rsidR="000C719A"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61052E06" w14:textId="059EE548"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12 (17.4</w:t>
            </w:r>
            <w:r w:rsidR="000C719A"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r>
      <w:tr w:rsidR="00DA3717" w:rsidRPr="004523AB" w14:paraId="33662F0F" w14:textId="77777777" w:rsidTr="00200CB1">
        <w:tc>
          <w:tcPr>
            <w:tcW w:w="1843" w:type="dxa"/>
          </w:tcPr>
          <w:p w14:paraId="4F67A363" w14:textId="34110175" w:rsidR="00B413BC" w:rsidRPr="004523AB" w:rsidRDefault="007C415C">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Video telehealth</w:t>
            </w:r>
          </w:p>
        </w:tc>
        <w:tc>
          <w:tcPr>
            <w:tcW w:w="2996" w:type="dxa"/>
          </w:tcPr>
          <w:p w14:paraId="55F3F484" w14:textId="77777777" w:rsidR="00B413BC" w:rsidRPr="004523AB" w:rsidRDefault="00B413BC">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No change</w:t>
            </w:r>
          </w:p>
        </w:tc>
        <w:tc>
          <w:tcPr>
            <w:tcW w:w="1145" w:type="dxa"/>
          </w:tcPr>
          <w:p w14:paraId="0AF846D8" w14:textId="03C64640"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175 (11.3</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5" w:type="dxa"/>
          </w:tcPr>
          <w:p w14:paraId="71C28C9B" w14:textId="543F41BE"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195 (14.9</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4F9902BB" w14:textId="719F52FE"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96 (11.0</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3C0A937B" w14:textId="10B3B9DA"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58 (10.6</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7CC89D76" w14:textId="0B695219"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40 (14.0</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374DB885" w14:textId="470F2270"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12 (10.8</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3BAC9B83" w14:textId="320060CA"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6 (6.8</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67D6B838" w14:textId="0A2E97C1"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 (1.4</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r>
      <w:tr w:rsidR="00DA3717" w:rsidRPr="004523AB" w14:paraId="4DE1F06D" w14:textId="77777777" w:rsidTr="00200CB1">
        <w:tc>
          <w:tcPr>
            <w:tcW w:w="1843" w:type="dxa"/>
          </w:tcPr>
          <w:p w14:paraId="72282FCF" w14:textId="0B71A1C0" w:rsidR="00B413BC" w:rsidRPr="004523AB" w:rsidRDefault="007C415C" w:rsidP="007C415C">
            <w:pPr>
              <w:spacing w:after="0"/>
              <w:ind w:left="100" w:right="100"/>
              <w:rPr>
                <w:szCs w:val="21"/>
              </w:rPr>
            </w:pPr>
            <w:r w:rsidRPr="004523AB">
              <w:rPr>
                <w:rFonts w:eastAsia="Segoe UI" w:cs="Segoe UI"/>
                <w:color w:val="000000"/>
                <w:szCs w:val="21"/>
              </w:rPr>
              <w:t>Video telehealth</w:t>
            </w:r>
          </w:p>
        </w:tc>
        <w:tc>
          <w:tcPr>
            <w:tcW w:w="2996" w:type="dxa"/>
          </w:tcPr>
          <w:p w14:paraId="0ABEFE7B" w14:textId="77777777" w:rsidR="00B413BC" w:rsidRPr="004523AB" w:rsidRDefault="00B413BC">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Minor improvement</w:t>
            </w:r>
          </w:p>
        </w:tc>
        <w:tc>
          <w:tcPr>
            <w:tcW w:w="1145" w:type="dxa"/>
          </w:tcPr>
          <w:p w14:paraId="5C3565E9" w14:textId="31E93BAE"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177 (11.4</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5" w:type="dxa"/>
          </w:tcPr>
          <w:p w14:paraId="07938273" w14:textId="208E8442"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158 (12.1</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41003158" w14:textId="10758E8C"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126 (14.4</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3F71E651" w14:textId="20D8EB8F"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61 (11.1</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0F9D9A1B" w14:textId="4FB0DF4F"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23 (8.0</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2C2DA7C5" w14:textId="238DB463"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19 (17.1</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6E89FF9D" w14:textId="6024A801"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11 (12.5</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3F201C14" w14:textId="432D1296"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 (4.3</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r>
      <w:tr w:rsidR="00DA3717" w:rsidRPr="004523AB" w14:paraId="2F771B7C" w14:textId="77777777" w:rsidTr="00200CB1">
        <w:tc>
          <w:tcPr>
            <w:tcW w:w="1843" w:type="dxa"/>
          </w:tcPr>
          <w:p w14:paraId="6FD1522C" w14:textId="2156F7BA" w:rsidR="00B413BC" w:rsidRPr="004523AB" w:rsidRDefault="007C415C" w:rsidP="007C415C">
            <w:pPr>
              <w:spacing w:after="0"/>
              <w:ind w:left="100" w:right="100"/>
              <w:rPr>
                <w:szCs w:val="21"/>
              </w:rPr>
            </w:pPr>
            <w:r w:rsidRPr="004523AB">
              <w:rPr>
                <w:rFonts w:eastAsia="Segoe UI" w:cs="Segoe UI"/>
                <w:color w:val="000000"/>
                <w:szCs w:val="21"/>
              </w:rPr>
              <w:t>Video telehealth</w:t>
            </w:r>
          </w:p>
        </w:tc>
        <w:tc>
          <w:tcPr>
            <w:tcW w:w="2996" w:type="dxa"/>
          </w:tcPr>
          <w:p w14:paraId="4C4A5440" w14:textId="77777777" w:rsidR="00B413BC" w:rsidRPr="004523AB" w:rsidRDefault="00B413BC">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Moderate improvement</w:t>
            </w:r>
          </w:p>
        </w:tc>
        <w:tc>
          <w:tcPr>
            <w:tcW w:w="1145" w:type="dxa"/>
          </w:tcPr>
          <w:p w14:paraId="5A8EF53D" w14:textId="286A70AC"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287 (18.5</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5" w:type="dxa"/>
          </w:tcPr>
          <w:p w14:paraId="396304C5" w14:textId="12CA6159"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231 (17.6</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26BACAB7" w14:textId="0E2B5B34"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146 (16.7</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66FF9D74" w14:textId="7D188371"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68 (12.4</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77485636" w14:textId="7F57E253"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42 (14.7</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2D20451D" w14:textId="3479A653"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27 (24.3</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4A0827CD" w14:textId="11A2D8F0"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11 (12.5</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35EBBB24" w14:textId="732C59D8"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 (2.9</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r>
      <w:tr w:rsidR="00DA3717" w:rsidRPr="004523AB" w14:paraId="29D9ED31" w14:textId="77777777" w:rsidTr="00200CB1">
        <w:tc>
          <w:tcPr>
            <w:tcW w:w="1843" w:type="dxa"/>
          </w:tcPr>
          <w:p w14:paraId="076641DC" w14:textId="206A5E28" w:rsidR="00B413BC" w:rsidRPr="004523AB" w:rsidRDefault="007C415C" w:rsidP="007C415C">
            <w:pPr>
              <w:spacing w:after="0"/>
              <w:ind w:left="100" w:right="100"/>
              <w:rPr>
                <w:szCs w:val="21"/>
              </w:rPr>
            </w:pPr>
            <w:r w:rsidRPr="004523AB">
              <w:rPr>
                <w:rFonts w:eastAsia="Segoe UI" w:cs="Segoe UI"/>
                <w:color w:val="000000"/>
                <w:szCs w:val="21"/>
              </w:rPr>
              <w:t>Video telehealth</w:t>
            </w:r>
          </w:p>
        </w:tc>
        <w:tc>
          <w:tcPr>
            <w:tcW w:w="2996" w:type="dxa"/>
          </w:tcPr>
          <w:p w14:paraId="78F95847" w14:textId="77777777" w:rsidR="00B413BC" w:rsidRPr="004523AB" w:rsidRDefault="00B413BC">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Significant improvement</w:t>
            </w:r>
          </w:p>
        </w:tc>
        <w:tc>
          <w:tcPr>
            <w:tcW w:w="1145" w:type="dxa"/>
          </w:tcPr>
          <w:p w14:paraId="10BCA750" w14:textId="6A442681"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414 (26.6</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5" w:type="dxa"/>
          </w:tcPr>
          <w:p w14:paraId="306B63EE" w14:textId="0CCE7867"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375 (28.6</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22E58052" w14:textId="262A94BC"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204 (23.3</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5978A1FA" w14:textId="61E01A46"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111 (20.3</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03EAEC02" w14:textId="1EBE69EB"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77 (26.9</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666CC9B0" w14:textId="27AFB9FD"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13 (11.7</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76825148" w14:textId="6BE9AB2B"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33 (37.5</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00752A07" w14:textId="248559C0"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50 (72.5</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r>
      <w:tr w:rsidR="00DA3717" w:rsidRPr="004523AB" w14:paraId="56A177E1" w14:textId="77777777" w:rsidTr="00200CB1">
        <w:tc>
          <w:tcPr>
            <w:tcW w:w="1843" w:type="dxa"/>
          </w:tcPr>
          <w:p w14:paraId="286D2F72" w14:textId="2BAAF83A" w:rsidR="00B413BC" w:rsidRPr="004523AB" w:rsidRDefault="007C415C">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Video telehealth</w:t>
            </w:r>
          </w:p>
        </w:tc>
        <w:tc>
          <w:tcPr>
            <w:tcW w:w="2996" w:type="dxa"/>
          </w:tcPr>
          <w:p w14:paraId="7FC1E1B1" w14:textId="77777777" w:rsidR="00B413BC" w:rsidRPr="004523AB" w:rsidRDefault="00B413BC">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No response</w:t>
            </w:r>
          </w:p>
        </w:tc>
        <w:tc>
          <w:tcPr>
            <w:tcW w:w="1145" w:type="dxa"/>
          </w:tcPr>
          <w:p w14:paraId="4BFC517A" w14:textId="0BDFC9ED"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44 (2.8</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5" w:type="dxa"/>
          </w:tcPr>
          <w:p w14:paraId="29CE9574" w14:textId="2518A302"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22 (1.7</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75485EB3" w14:textId="4C0945B7"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13 (1.5</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7465F7E1" w14:textId="7A482B98"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12 (2.2</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06E36083" w14:textId="22424CDB"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8 (2.8</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5BFA391C" w14:textId="367417F2"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 (1.8</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296DD7DE" w14:textId="77777777"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p>
        </w:tc>
        <w:tc>
          <w:tcPr>
            <w:tcW w:w="1147" w:type="dxa"/>
          </w:tcPr>
          <w:p w14:paraId="75FF1A50" w14:textId="72DA71E9"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 (1.4</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r>
      <w:tr w:rsidR="00DA3717" w:rsidRPr="004523AB" w14:paraId="1DAAC47E" w14:textId="77777777" w:rsidTr="00200CB1">
        <w:tc>
          <w:tcPr>
            <w:tcW w:w="1843" w:type="dxa"/>
          </w:tcPr>
          <w:p w14:paraId="0B80E6A8" w14:textId="77777777" w:rsidR="00B413BC" w:rsidRPr="004523AB" w:rsidRDefault="00B413BC">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lastRenderedPageBreak/>
              <w:t>Secure data storage</w:t>
            </w:r>
          </w:p>
        </w:tc>
        <w:tc>
          <w:tcPr>
            <w:tcW w:w="2996" w:type="dxa"/>
          </w:tcPr>
          <w:p w14:paraId="6B1D6E6E" w14:textId="77777777" w:rsidR="00B413BC" w:rsidRPr="004523AB" w:rsidRDefault="00B413BC">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Did not use grant for this purpose</w:t>
            </w:r>
          </w:p>
        </w:tc>
        <w:tc>
          <w:tcPr>
            <w:tcW w:w="1145" w:type="dxa"/>
          </w:tcPr>
          <w:p w14:paraId="63226307" w14:textId="6D477EE4"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180 (11.6</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5" w:type="dxa"/>
          </w:tcPr>
          <w:p w14:paraId="393DE121" w14:textId="56FA95BB"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155 (11.8</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15F283CF" w14:textId="67357AF3"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88 (10.0</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13B7675B" w14:textId="59486A19"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101 (18.4</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7E04C8A6" w14:textId="4C60AA65"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43 (15.0</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18928A28" w14:textId="46D63C2F"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15 (13.5</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48CAF221" w14:textId="6F44AF63"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13 (14.8</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2CB7AE69" w14:textId="3822F33B"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50 (72.5</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r>
      <w:tr w:rsidR="00DA3717" w:rsidRPr="004523AB" w14:paraId="29892D40" w14:textId="77777777" w:rsidTr="00200CB1">
        <w:tc>
          <w:tcPr>
            <w:tcW w:w="1843" w:type="dxa"/>
          </w:tcPr>
          <w:p w14:paraId="3B40E127" w14:textId="3F5A045D" w:rsidR="00B413BC" w:rsidRPr="004523AB" w:rsidRDefault="007C415C">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Secure data storage</w:t>
            </w:r>
          </w:p>
        </w:tc>
        <w:tc>
          <w:tcPr>
            <w:tcW w:w="2996" w:type="dxa"/>
          </w:tcPr>
          <w:p w14:paraId="430A64AB" w14:textId="77777777" w:rsidR="00B413BC" w:rsidRPr="004523AB" w:rsidRDefault="00B413BC">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No change</w:t>
            </w:r>
          </w:p>
        </w:tc>
        <w:tc>
          <w:tcPr>
            <w:tcW w:w="1145" w:type="dxa"/>
          </w:tcPr>
          <w:p w14:paraId="00C4C340" w14:textId="5932FA4C"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76 (4.9</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5" w:type="dxa"/>
          </w:tcPr>
          <w:p w14:paraId="17831A89" w14:textId="3F9AC90B"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79 (6.0</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1B9DBAA9" w14:textId="419A158C"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51 (5.8</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0D0EAFEA" w14:textId="6A7F0488"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34 (6.2</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077F5CEB" w14:textId="4A7831EC"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11 (3.8</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3C1C6858" w14:textId="663FB9E0"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9 (8.1</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28DBC64F" w14:textId="3D0634C9"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9 (10.2</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125387B0" w14:textId="77777777"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p>
        </w:tc>
      </w:tr>
      <w:tr w:rsidR="00DA3717" w:rsidRPr="004523AB" w14:paraId="50B9DB7D" w14:textId="77777777" w:rsidTr="00200CB1">
        <w:tc>
          <w:tcPr>
            <w:tcW w:w="1843" w:type="dxa"/>
          </w:tcPr>
          <w:p w14:paraId="0E99C094" w14:textId="7B664ABC" w:rsidR="00B413BC" w:rsidRPr="004523AB" w:rsidRDefault="007C415C">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Secure data storage</w:t>
            </w:r>
          </w:p>
        </w:tc>
        <w:tc>
          <w:tcPr>
            <w:tcW w:w="2996" w:type="dxa"/>
          </w:tcPr>
          <w:p w14:paraId="3B7D9674" w14:textId="77777777" w:rsidR="00B413BC" w:rsidRPr="004523AB" w:rsidRDefault="00B413BC">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Minor improvement</w:t>
            </w:r>
          </w:p>
        </w:tc>
        <w:tc>
          <w:tcPr>
            <w:tcW w:w="1145" w:type="dxa"/>
          </w:tcPr>
          <w:p w14:paraId="5C01ABD1" w14:textId="2289B05E"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117 (7.5</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5" w:type="dxa"/>
          </w:tcPr>
          <w:p w14:paraId="47295C4C" w14:textId="040B91EE"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74 (5.7</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18C6B49E" w14:textId="0D98E30C"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86 (9.8</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1A0BBF2F" w14:textId="005C5C60"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32 (5.8</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4FB220E0" w14:textId="147D75B1"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17 (5.9</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7FA4110E" w14:textId="4E3A9983"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8 (7.2</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542F4490" w14:textId="202E4619"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18 (20.5</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34663988" w14:textId="0B8E82A8"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 (5.8</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r>
      <w:tr w:rsidR="00D33ACB" w:rsidRPr="004523AB" w14:paraId="05875CC8" w14:textId="77777777" w:rsidTr="00200CB1">
        <w:tc>
          <w:tcPr>
            <w:tcW w:w="1843" w:type="dxa"/>
          </w:tcPr>
          <w:p w14:paraId="05263663" w14:textId="1E4DFE2B" w:rsidR="00B413BC" w:rsidRPr="004523AB" w:rsidRDefault="007C415C">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Secure data storage</w:t>
            </w:r>
          </w:p>
        </w:tc>
        <w:tc>
          <w:tcPr>
            <w:tcW w:w="2996" w:type="dxa"/>
          </w:tcPr>
          <w:p w14:paraId="26011DA0" w14:textId="77777777" w:rsidR="00B413BC" w:rsidRPr="004523AB" w:rsidRDefault="00B413BC">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Moderate improvement</w:t>
            </w:r>
          </w:p>
        </w:tc>
        <w:tc>
          <w:tcPr>
            <w:tcW w:w="1145" w:type="dxa"/>
          </w:tcPr>
          <w:p w14:paraId="13DA5CAB" w14:textId="5D9383D0"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330 (21.2</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5" w:type="dxa"/>
          </w:tcPr>
          <w:p w14:paraId="3B21C1EC" w14:textId="20C86870"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281 (21.5</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19193E3F" w14:textId="200AC8A8"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182 (20.8</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7875C39C" w14:textId="6DE86D65"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99 (18.1</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58DE37DF" w14:textId="5705A1F9"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45 (15.7</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60125E1F" w14:textId="0BA75FD3"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23 (20.7</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3BB1AB9F" w14:textId="00D8E7EB"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13 (14.8</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2A11BCDE" w14:textId="3DE1DABD"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 (7.2</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r>
      <w:tr w:rsidR="00D33ACB" w:rsidRPr="004523AB" w14:paraId="2B7609A3" w14:textId="77777777" w:rsidTr="00200CB1">
        <w:tc>
          <w:tcPr>
            <w:tcW w:w="1843" w:type="dxa"/>
          </w:tcPr>
          <w:p w14:paraId="34FF06C0" w14:textId="311C7271" w:rsidR="00B413BC" w:rsidRPr="004523AB" w:rsidRDefault="007C415C">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Secure data storage</w:t>
            </w:r>
          </w:p>
        </w:tc>
        <w:tc>
          <w:tcPr>
            <w:tcW w:w="2996" w:type="dxa"/>
          </w:tcPr>
          <w:p w14:paraId="36B2C007" w14:textId="77777777" w:rsidR="00B413BC" w:rsidRPr="004523AB" w:rsidRDefault="00B413BC">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Significant improvement</w:t>
            </w:r>
          </w:p>
        </w:tc>
        <w:tc>
          <w:tcPr>
            <w:tcW w:w="1145" w:type="dxa"/>
          </w:tcPr>
          <w:p w14:paraId="027DA2F0" w14:textId="0FBC57E2"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808 (52.0</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5" w:type="dxa"/>
          </w:tcPr>
          <w:p w14:paraId="28E09539" w14:textId="36AEA46B"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698 (53.3</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4AC982DA" w14:textId="77A17E95"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456 (52.1</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2FADB931" w14:textId="4AFD20FE"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270 (49.3</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36A65808" w14:textId="2D0EE7AF"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162 (56.6</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268BEC78" w14:textId="7AF26D21"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54 (48.6</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60FB8EF5" w14:textId="722193DA"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35 (39.8</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2DA84544" w14:textId="664D6C0E"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9 (13.0</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r>
      <w:tr w:rsidR="00DA3717" w:rsidRPr="004523AB" w14:paraId="515311F1" w14:textId="77777777" w:rsidTr="00200CB1">
        <w:tc>
          <w:tcPr>
            <w:tcW w:w="1843" w:type="dxa"/>
          </w:tcPr>
          <w:p w14:paraId="6A5C7413" w14:textId="2B5F2315" w:rsidR="00B413BC" w:rsidRPr="004523AB" w:rsidRDefault="007C415C">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Secure data storage</w:t>
            </w:r>
          </w:p>
        </w:tc>
        <w:tc>
          <w:tcPr>
            <w:tcW w:w="2996" w:type="dxa"/>
          </w:tcPr>
          <w:p w14:paraId="77DDF024" w14:textId="77777777" w:rsidR="00B413BC" w:rsidRPr="004523AB" w:rsidRDefault="00B413BC">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No response</w:t>
            </w:r>
          </w:p>
        </w:tc>
        <w:tc>
          <w:tcPr>
            <w:tcW w:w="1145" w:type="dxa"/>
          </w:tcPr>
          <w:p w14:paraId="18527CDB" w14:textId="11E07BB4"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44 (2.8</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5" w:type="dxa"/>
          </w:tcPr>
          <w:p w14:paraId="2F8CA711" w14:textId="1B521EFA"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22 (1.7</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41F1F1EB" w14:textId="0AE2ECB1"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13 (1.5</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79DAADCB" w14:textId="00BF6031"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12 (2.2</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554A3463" w14:textId="6929EB3A"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8 (2.8</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1AC8ACAF" w14:textId="7F03F482"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 (1.8</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1F956C93" w14:textId="77777777"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p>
        </w:tc>
        <w:tc>
          <w:tcPr>
            <w:tcW w:w="1147" w:type="dxa"/>
          </w:tcPr>
          <w:p w14:paraId="42730351" w14:textId="7B72D939"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 (1.4</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r>
      <w:tr w:rsidR="00D33ACB" w:rsidRPr="004523AB" w14:paraId="5E331024" w14:textId="77777777" w:rsidTr="00200CB1">
        <w:tc>
          <w:tcPr>
            <w:tcW w:w="1843" w:type="dxa"/>
          </w:tcPr>
          <w:p w14:paraId="7AE42A61" w14:textId="77777777" w:rsidR="00B413BC" w:rsidRPr="004523AB" w:rsidRDefault="00B413BC">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Interoperable software</w:t>
            </w:r>
          </w:p>
        </w:tc>
        <w:tc>
          <w:tcPr>
            <w:tcW w:w="2996" w:type="dxa"/>
          </w:tcPr>
          <w:p w14:paraId="1E3AD7A8" w14:textId="77777777" w:rsidR="00B413BC" w:rsidRPr="004523AB" w:rsidRDefault="00B413BC">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Did not use grant for this purpose</w:t>
            </w:r>
          </w:p>
        </w:tc>
        <w:tc>
          <w:tcPr>
            <w:tcW w:w="1145" w:type="dxa"/>
          </w:tcPr>
          <w:p w14:paraId="52700ACB" w14:textId="40427D99"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202 (13.0</w:t>
            </w:r>
            <w:r w:rsidR="0075198F" w:rsidRPr="004523AB">
              <w:rPr>
                <w:rFonts w:eastAsia="Segoe UI" w:cs="Segoe UI"/>
                <w:color w:val="000000"/>
                <w:szCs w:val="21"/>
              </w:rPr>
              <w:t xml:space="preserve"> </w:t>
            </w:r>
            <w:r w:rsidR="003C1236" w:rsidRPr="004523AB">
              <w:rPr>
                <w:rFonts w:eastAsia="Segoe UI" w:cs="Segoe UI"/>
                <w:color w:val="000000"/>
                <w:szCs w:val="21"/>
              </w:rPr>
              <w:lastRenderedPageBreak/>
              <w:t>per cent</w:t>
            </w:r>
            <w:r w:rsidRPr="004523AB">
              <w:rPr>
                <w:rFonts w:eastAsia="Segoe UI" w:cs="Segoe UI"/>
                <w:color w:val="000000"/>
                <w:szCs w:val="21"/>
              </w:rPr>
              <w:t>)</w:t>
            </w:r>
          </w:p>
        </w:tc>
        <w:tc>
          <w:tcPr>
            <w:tcW w:w="1145" w:type="dxa"/>
          </w:tcPr>
          <w:p w14:paraId="2F5AE184" w14:textId="1654058D"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lastRenderedPageBreak/>
              <w:t>179 (13.7</w:t>
            </w:r>
            <w:r w:rsidR="0075198F" w:rsidRPr="004523AB">
              <w:rPr>
                <w:rFonts w:eastAsia="Segoe UI" w:cs="Segoe UI"/>
                <w:color w:val="000000"/>
                <w:szCs w:val="21"/>
              </w:rPr>
              <w:t xml:space="preserve"> </w:t>
            </w:r>
            <w:r w:rsidR="003C1236" w:rsidRPr="004523AB">
              <w:rPr>
                <w:rFonts w:eastAsia="Segoe UI" w:cs="Segoe UI"/>
                <w:color w:val="000000"/>
                <w:szCs w:val="21"/>
              </w:rPr>
              <w:lastRenderedPageBreak/>
              <w:t>per cent</w:t>
            </w:r>
            <w:r w:rsidRPr="004523AB">
              <w:rPr>
                <w:rFonts w:eastAsia="Segoe UI" w:cs="Segoe UI"/>
                <w:color w:val="000000"/>
                <w:szCs w:val="21"/>
              </w:rPr>
              <w:t>)</w:t>
            </w:r>
          </w:p>
        </w:tc>
        <w:tc>
          <w:tcPr>
            <w:tcW w:w="1147" w:type="dxa"/>
          </w:tcPr>
          <w:p w14:paraId="4C8A61A4" w14:textId="4A472B05"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lastRenderedPageBreak/>
              <w:t>118 (13.5</w:t>
            </w:r>
            <w:r w:rsidR="0075198F" w:rsidRPr="004523AB">
              <w:rPr>
                <w:rFonts w:eastAsia="Segoe UI" w:cs="Segoe UI"/>
                <w:color w:val="000000"/>
                <w:szCs w:val="21"/>
              </w:rPr>
              <w:t xml:space="preserve"> </w:t>
            </w:r>
            <w:r w:rsidR="003C1236" w:rsidRPr="004523AB">
              <w:rPr>
                <w:rFonts w:eastAsia="Segoe UI" w:cs="Segoe UI"/>
                <w:color w:val="000000"/>
                <w:szCs w:val="21"/>
              </w:rPr>
              <w:lastRenderedPageBreak/>
              <w:t>per cent</w:t>
            </w:r>
            <w:r w:rsidRPr="004523AB">
              <w:rPr>
                <w:rFonts w:eastAsia="Segoe UI" w:cs="Segoe UI"/>
                <w:color w:val="000000"/>
                <w:szCs w:val="21"/>
              </w:rPr>
              <w:t>)</w:t>
            </w:r>
          </w:p>
        </w:tc>
        <w:tc>
          <w:tcPr>
            <w:tcW w:w="1147" w:type="dxa"/>
          </w:tcPr>
          <w:p w14:paraId="73D09E80" w14:textId="6885B302"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lastRenderedPageBreak/>
              <w:t>104 (19.0</w:t>
            </w:r>
            <w:r w:rsidR="0075198F" w:rsidRPr="004523AB">
              <w:rPr>
                <w:rFonts w:eastAsia="Segoe UI" w:cs="Segoe UI"/>
                <w:color w:val="000000"/>
                <w:szCs w:val="21"/>
              </w:rPr>
              <w:t xml:space="preserve"> </w:t>
            </w:r>
            <w:r w:rsidR="003C1236" w:rsidRPr="004523AB">
              <w:rPr>
                <w:rFonts w:eastAsia="Segoe UI" w:cs="Segoe UI"/>
                <w:color w:val="000000"/>
                <w:szCs w:val="21"/>
              </w:rPr>
              <w:lastRenderedPageBreak/>
              <w:t>per cent</w:t>
            </w:r>
            <w:r w:rsidRPr="004523AB">
              <w:rPr>
                <w:rFonts w:eastAsia="Segoe UI" w:cs="Segoe UI"/>
                <w:color w:val="000000"/>
                <w:szCs w:val="21"/>
              </w:rPr>
              <w:t>)</w:t>
            </w:r>
          </w:p>
        </w:tc>
        <w:tc>
          <w:tcPr>
            <w:tcW w:w="1147" w:type="dxa"/>
          </w:tcPr>
          <w:p w14:paraId="255D911C" w14:textId="37A20ED9"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lastRenderedPageBreak/>
              <w:t>51 (17.8</w:t>
            </w:r>
            <w:r w:rsidR="0075198F" w:rsidRPr="004523AB">
              <w:rPr>
                <w:rFonts w:eastAsia="Segoe UI" w:cs="Segoe UI"/>
                <w:color w:val="000000"/>
                <w:szCs w:val="21"/>
              </w:rPr>
              <w:t xml:space="preserve"> </w:t>
            </w:r>
            <w:r w:rsidR="003C1236" w:rsidRPr="004523AB">
              <w:rPr>
                <w:rFonts w:eastAsia="Segoe UI" w:cs="Segoe UI"/>
                <w:color w:val="000000"/>
                <w:szCs w:val="21"/>
              </w:rPr>
              <w:lastRenderedPageBreak/>
              <w:t>per cent</w:t>
            </w:r>
            <w:r w:rsidRPr="004523AB">
              <w:rPr>
                <w:rFonts w:eastAsia="Segoe UI" w:cs="Segoe UI"/>
                <w:color w:val="000000"/>
                <w:szCs w:val="21"/>
              </w:rPr>
              <w:t>)</w:t>
            </w:r>
          </w:p>
        </w:tc>
        <w:tc>
          <w:tcPr>
            <w:tcW w:w="1147" w:type="dxa"/>
          </w:tcPr>
          <w:p w14:paraId="11949559" w14:textId="771DEAB6"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lastRenderedPageBreak/>
              <w:t>15 (13.5</w:t>
            </w:r>
            <w:r w:rsidR="0075198F" w:rsidRPr="004523AB">
              <w:rPr>
                <w:rFonts w:eastAsia="Segoe UI" w:cs="Segoe UI"/>
                <w:color w:val="000000"/>
                <w:szCs w:val="21"/>
              </w:rPr>
              <w:t xml:space="preserve"> </w:t>
            </w:r>
            <w:r w:rsidR="003C1236" w:rsidRPr="004523AB">
              <w:rPr>
                <w:rFonts w:eastAsia="Segoe UI" w:cs="Segoe UI"/>
                <w:color w:val="000000"/>
                <w:szCs w:val="21"/>
              </w:rPr>
              <w:lastRenderedPageBreak/>
              <w:t>per cent</w:t>
            </w:r>
            <w:r w:rsidRPr="004523AB">
              <w:rPr>
                <w:rFonts w:eastAsia="Segoe UI" w:cs="Segoe UI"/>
                <w:color w:val="000000"/>
                <w:szCs w:val="21"/>
              </w:rPr>
              <w:t>)</w:t>
            </w:r>
          </w:p>
        </w:tc>
        <w:tc>
          <w:tcPr>
            <w:tcW w:w="1147" w:type="dxa"/>
          </w:tcPr>
          <w:p w14:paraId="0C323753" w14:textId="23691A0A"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lastRenderedPageBreak/>
              <w:t>18 (20.5</w:t>
            </w:r>
            <w:r w:rsidR="0075198F" w:rsidRPr="004523AB">
              <w:rPr>
                <w:rFonts w:eastAsia="Segoe UI" w:cs="Segoe UI"/>
                <w:color w:val="000000"/>
                <w:szCs w:val="21"/>
              </w:rPr>
              <w:t xml:space="preserve"> </w:t>
            </w:r>
            <w:r w:rsidR="003C1236" w:rsidRPr="004523AB">
              <w:rPr>
                <w:rFonts w:eastAsia="Segoe UI" w:cs="Segoe UI"/>
                <w:color w:val="000000"/>
                <w:szCs w:val="21"/>
              </w:rPr>
              <w:lastRenderedPageBreak/>
              <w:t>per cent</w:t>
            </w:r>
            <w:r w:rsidRPr="004523AB">
              <w:rPr>
                <w:rFonts w:eastAsia="Segoe UI" w:cs="Segoe UI"/>
                <w:color w:val="000000"/>
                <w:szCs w:val="21"/>
              </w:rPr>
              <w:t>)</w:t>
            </w:r>
          </w:p>
        </w:tc>
        <w:tc>
          <w:tcPr>
            <w:tcW w:w="1147" w:type="dxa"/>
          </w:tcPr>
          <w:p w14:paraId="7D812345" w14:textId="5B769BCF"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lastRenderedPageBreak/>
              <w:t>10 (14.5</w:t>
            </w:r>
            <w:r w:rsidR="0075198F" w:rsidRPr="004523AB">
              <w:rPr>
                <w:rFonts w:eastAsia="Segoe UI" w:cs="Segoe UI"/>
                <w:color w:val="000000"/>
                <w:szCs w:val="21"/>
              </w:rPr>
              <w:t xml:space="preserve"> </w:t>
            </w:r>
            <w:r w:rsidR="003C1236" w:rsidRPr="004523AB">
              <w:rPr>
                <w:rFonts w:eastAsia="Segoe UI" w:cs="Segoe UI"/>
                <w:color w:val="000000"/>
                <w:szCs w:val="21"/>
              </w:rPr>
              <w:lastRenderedPageBreak/>
              <w:t>per cent</w:t>
            </w:r>
            <w:r w:rsidRPr="004523AB">
              <w:rPr>
                <w:rFonts w:eastAsia="Segoe UI" w:cs="Segoe UI"/>
                <w:color w:val="000000"/>
                <w:szCs w:val="21"/>
              </w:rPr>
              <w:t>)</w:t>
            </w:r>
          </w:p>
        </w:tc>
      </w:tr>
      <w:tr w:rsidR="00DA3717" w:rsidRPr="004523AB" w14:paraId="31A6C320" w14:textId="77777777" w:rsidTr="00200CB1">
        <w:tc>
          <w:tcPr>
            <w:tcW w:w="1843" w:type="dxa"/>
          </w:tcPr>
          <w:p w14:paraId="67FF1B81" w14:textId="5F6F424E" w:rsidR="00B413BC" w:rsidRPr="004523AB" w:rsidRDefault="00CE7C1F">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lastRenderedPageBreak/>
              <w:t>Interoperable software</w:t>
            </w:r>
          </w:p>
        </w:tc>
        <w:tc>
          <w:tcPr>
            <w:tcW w:w="2996" w:type="dxa"/>
          </w:tcPr>
          <w:p w14:paraId="40CF0951" w14:textId="77777777" w:rsidR="00B413BC" w:rsidRPr="004523AB" w:rsidRDefault="00B413BC">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No change</w:t>
            </w:r>
          </w:p>
        </w:tc>
        <w:tc>
          <w:tcPr>
            <w:tcW w:w="1145" w:type="dxa"/>
          </w:tcPr>
          <w:p w14:paraId="61A54004" w14:textId="06307E92"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104 (6.7</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5" w:type="dxa"/>
          </w:tcPr>
          <w:p w14:paraId="1B95C042" w14:textId="44A1818A"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94 (7.2</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5AFD5F8B" w14:textId="4C368FFE"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79 (9.0</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454740D8" w14:textId="5D6D2AE9"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31 (5.7</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598F8724" w14:textId="5FA202AB"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19 (6.6</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724066C3" w14:textId="60337A7E"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10 (9.0</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2BB33C41" w14:textId="3B882A98"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11 (12.5</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161B555E" w14:textId="5C4762D1"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 (1.4</w:t>
            </w:r>
            <w:r w:rsidR="0075198F"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r>
      <w:tr w:rsidR="00DA3717" w:rsidRPr="004523AB" w14:paraId="22D5FB39" w14:textId="77777777" w:rsidTr="00200CB1">
        <w:tc>
          <w:tcPr>
            <w:tcW w:w="1843" w:type="dxa"/>
          </w:tcPr>
          <w:p w14:paraId="65988381" w14:textId="4A4F8466" w:rsidR="00B413BC" w:rsidRPr="004523AB" w:rsidRDefault="00CE7C1F">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Interoperable software</w:t>
            </w:r>
          </w:p>
        </w:tc>
        <w:tc>
          <w:tcPr>
            <w:tcW w:w="2996" w:type="dxa"/>
          </w:tcPr>
          <w:p w14:paraId="26F9E6BF" w14:textId="77777777" w:rsidR="00B413BC" w:rsidRPr="004523AB" w:rsidRDefault="00B413BC">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Minor improvement</w:t>
            </w:r>
          </w:p>
        </w:tc>
        <w:tc>
          <w:tcPr>
            <w:tcW w:w="1145" w:type="dxa"/>
          </w:tcPr>
          <w:p w14:paraId="5C160307" w14:textId="73A50884"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148 (9.5</w:t>
            </w:r>
            <w:r w:rsidR="0075198F" w:rsidRPr="004523AB">
              <w:rPr>
                <w:rFonts w:eastAsia="Segoe UI" w:cs="Segoe UI"/>
                <w:color w:val="000000"/>
                <w:szCs w:val="21"/>
              </w:rPr>
              <w:t xml:space="preserve"> per</w:t>
            </w:r>
            <w:r w:rsidR="009F3013" w:rsidRPr="004523AB">
              <w:rPr>
                <w:rFonts w:eastAsia="Segoe UI" w:cs="Segoe UI"/>
                <w:color w:val="000000"/>
                <w:szCs w:val="21"/>
              </w:rPr>
              <w:t xml:space="preserve"> </w:t>
            </w:r>
            <w:r w:rsidR="0075198F" w:rsidRPr="004523AB">
              <w:rPr>
                <w:rFonts w:eastAsia="Segoe UI" w:cs="Segoe UI"/>
                <w:color w:val="000000"/>
                <w:szCs w:val="21"/>
              </w:rPr>
              <w:t>cent</w:t>
            </w:r>
            <w:r w:rsidRPr="004523AB">
              <w:rPr>
                <w:rFonts w:eastAsia="Segoe UI" w:cs="Segoe UI"/>
                <w:color w:val="000000"/>
                <w:szCs w:val="21"/>
              </w:rPr>
              <w:t>)</w:t>
            </w:r>
          </w:p>
        </w:tc>
        <w:tc>
          <w:tcPr>
            <w:tcW w:w="1145" w:type="dxa"/>
          </w:tcPr>
          <w:p w14:paraId="537F14FC" w14:textId="4EEA3542"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139 (10.6</w:t>
            </w:r>
            <w:r w:rsidR="001F7F4E"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4D54E189" w14:textId="3D0B6364"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129 (14.7</w:t>
            </w:r>
            <w:r w:rsidR="001F7F4E"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4C5D2461" w14:textId="4804876A"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26 (4.7</w:t>
            </w:r>
            <w:r w:rsidR="001F7F4E"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2C496E63" w14:textId="55F8E400"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34 (11.9</w:t>
            </w:r>
            <w:r w:rsidR="001F7F4E"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181C9AF1" w14:textId="36DABF9A"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17 (15.3</w:t>
            </w:r>
            <w:r w:rsidR="001F7F4E"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1C70D443" w14:textId="5CD5CFF3"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6 (6.8</w:t>
            </w:r>
            <w:r w:rsidR="00D138EE"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2F8BD779" w14:textId="7E92EB0F"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 (4.3</w:t>
            </w:r>
            <w:r w:rsidR="00D138EE"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r>
      <w:tr w:rsidR="00DA3717" w:rsidRPr="004523AB" w14:paraId="1C4E07F9" w14:textId="77777777" w:rsidTr="00200CB1">
        <w:tc>
          <w:tcPr>
            <w:tcW w:w="1843" w:type="dxa"/>
          </w:tcPr>
          <w:p w14:paraId="06139161" w14:textId="316FD88B" w:rsidR="00B413BC" w:rsidRPr="004523AB" w:rsidRDefault="00CE7C1F">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Interoperable software</w:t>
            </w:r>
          </w:p>
        </w:tc>
        <w:tc>
          <w:tcPr>
            <w:tcW w:w="2996" w:type="dxa"/>
          </w:tcPr>
          <w:p w14:paraId="37BCD748" w14:textId="77777777" w:rsidR="00B413BC" w:rsidRPr="004523AB" w:rsidRDefault="00B413BC">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Moderate improvement</w:t>
            </w:r>
          </w:p>
        </w:tc>
        <w:tc>
          <w:tcPr>
            <w:tcW w:w="1145" w:type="dxa"/>
          </w:tcPr>
          <w:p w14:paraId="629BC2F7" w14:textId="625BCD8C"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436 (28.0</w:t>
            </w:r>
            <w:r w:rsidR="00D138EE"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5" w:type="dxa"/>
          </w:tcPr>
          <w:p w14:paraId="0C936775" w14:textId="70F1AB34"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326 (24.9</w:t>
            </w:r>
            <w:r w:rsidR="00D138EE"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0DF4B24C" w14:textId="339C450A"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219 (25.0</w:t>
            </w:r>
            <w:r w:rsidR="00D138EE"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7F68C953" w14:textId="6DC4886F"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126 (23.0</w:t>
            </w:r>
            <w:r w:rsidR="00D138EE"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72006C6F" w14:textId="19C778E1"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55 (19.2</w:t>
            </w:r>
            <w:r w:rsidR="00D138EE"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154CE520" w14:textId="6B30E24F"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29 (26.1</w:t>
            </w:r>
            <w:r w:rsidR="00D138EE" w:rsidRPr="004523AB">
              <w:rPr>
                <w:rFonts w:eastAsia="Segoe UI" w:cs="Segoe UI"/>
                <w:color w:val="000000"/>
                <w:szCs w:val="21"/>
              </w:rPr>
              <w:t xml:space="preserve"> </w:t>
            </w:r>
            <w:r w:rsidR="003C1236" w:rsidRPr="004523AB">
              <w:rPr>
                <w:rFonts w:eastAsia="Segoe UI" w:cs="Segoe UI"/>
                <w:color w:val="000000"/>
                <w:szCs w:val="21"/>
              </w:rPr>
              <w:t>per cent</w:t>
            </w:r>
            <w:r w:rsidRPr="004523AB">
              <w:rPr>
                <w:rFonts w:eastAsia="Segoe UI" w:cs="Segoe UI"/>
                <w:color w:val="000000"/>
                <w:szCs w:val="21"/>
              </w:rPr>
              <w:t>)</w:t>
            </w:r>
          </w:p>
        </w:tc>
        <w:tc>
          <w:tcPr>
            <w:tcW w:w="1147" w:type="dxa"/>
          </w:tcPr>
          <w:p w14:paraId="41FEA769" w14:textId="59193607"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26 (29.5</w:t>
            </w:r>
            <w:r w:rsidR="003C1236" w:rsidRPr="004523AB">
              <w:rPr>
                <w:rFonts w:eastAsia="Segoe UI" w:cs="Segoe UI"/>
                <w:color w:val="000000"/>
                <w:szCs w:val="21"/>
              </w:rPr>
              <w:t xml:space="preserve"> per cent)</w:t>
            </w:r>
          </w:p>
        </w:tc>
        <w:tc>
          <w:tcPr>
            <w:tcW w:w="1147" w:type="dxa"/>
          </w:tcPr>
          <w:p w14:paraId="6169361E" w14:textId="01891084"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7 (10.1</w:t>
            </w:r>
            <w:r w:rsidR="003C1236" w:rsidRPr="004523AB">
              <w:rPr>
                <w:rFonts w:eastAsia="Segoe UI" w:cs="Segoe UI"/>
                <w:color w:val="000000"/>
                <w:szCs w:val="21"/>
              </w:rPr>
              <w:t xml:space="preserve"> per cent)</w:t>
            </w:r>
          </w:p>
        </w:tc>
      </w:tr>
      <w:tr w:rsidR="00DA3717" w:rsidRPr="004523AB" w14:paraId="7AA6AFC9" w14:textId="77777777" w:rsidTr="00200CB1">
        <w:tc>
          <w:tcPr>
            <w:tcW w:w="1843" w:type="dxa"/>
          </w:tcPr>
          <w:p w14:paraId="7894A495" w14:textId="2AD32789" w:rsidR="00B413BC" w:rsidRPr="004523AB" w:rsidRDefault="00CE7C1F">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Interoperable software</w:t>
            </w:r>
          </w:p>
        </w:tc>
        <w:tc>
          <w:tcPr>
            <w:tcW w:w="2996" w:type="dxa"/>
          </w:tcPr>
          <w:p w14:paraId="797AF31E" w14:textId="77777777" w:rsidR="00B413BC" w:rsidRPr="004523AB" w:rsidRDefault="00B413BC">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Significant improvement</w:t>
            </w:r>
          </w:p>
        </w:tc>
        <w:tc>
          <w:tcPr>
            <w:tcW w:w="1145" w:type="dxa"/>
          </w:tcPr>
          <w:p w14:paraId="7CCDC400" w14:textId="602C069F"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621 (39.9</w:t>
            </w:r>
            <w:r w:rsidR="003C1236" w:rsidRPr="004523AB">
              <w:rPr>
                <w:rFonts w:eastAsia="Segoe UI" w:cs="Segoe UI"/>
                <w:color w:val="000000"/>
                <w:szCs w:val="21"/>
              </w:rPr>
              <w:t xml:space="preserve"> per cent)</w:t>
            </w:r>
          </w:p>
        </w:tc>
        <w:tc>
          <w:tcPr>
            <w:tcW w:w="1145" w:type="dxa"/>
          </w:tcPr>
          <w:p w14:paraId="7CE528CF" w14:textId="36513F7D"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549 (41.9</w:t>
            </w:r>
            <w:r w:rsidR="003C1236" w:rsidRPr="004523AB">
              <w:rPr>
                <w:rFonts w:eastAsia="Segoe UI" w:cs="Segoe UI"/>
                <w:color w:val="000000"/>
                <w:szCs w:val="21"/>
              </w:rPr>
              <w:t xml:space="preserve"> per cent)</w:t>
            </w:r>
          </w:p>
        </w:tc>
        <w:tc>
          <w:tcPr>
            <w:tcW w:w="1147" w:type="dxa"/>
          </w:tcPr>
          <w:p w14:paraId="7E5B944B" w14:textId="507F423B"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318 (36.3</w:t>
            </w:r>
            <w:r w:rsidR="003C1236" w:rsidRPr="004523AB">
              <w:rPr>
                <w:rFonts w:eastAsia="Segoe UI" w:cs="Segoe UI"/>
                <w:color w:val="000000"/>
                <w:szCs w:val="21"/>
              </w:rPr>
              <w:t xml:space="preserve"> per cent)</w:t>
            </w:r>
          </w:p>
        </w:tc>
        <w:tc>
          <w:tcPr>
            <w:tcW w:w="1147" w:type="dxa"/>
          </w:tcPr>
          <w:p w14:paraId="1A54EE45" w14:textId="246E2479"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249 (45.4</w:t>
            </w:r>
            <w:r w:rsidR="003C1236" w:rsidRPr="004523AB">
              <w:rPr>
                <w:rFonts w:eastAsia="Segoe UI" w:cs="Segoe UI"/>
                <w:color w:val="000000"/>
                <w:szCs w:val="21"/>
              </w:rPr>
              <w:t xml:space="preserve"> per cent)</w:t>
            </w:r>
          </w:p>
        </w:tc>
        <w:tc>
          <w:tcPr>
            <w:tcW w:w="1147" w:type="dxa"/>
          </w:tcPr>
          <w:p w14:paraId="47458BA2" w14:textId="647F491D"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119 (41.6</w:t>
            </w:r>
            <w:r w:rsidR="003C1236" w:rsidRPr="004523AB">
              <w:rPr>
                <w:rFonts w:eastAsia="Segoe UI" w:cs="Segoe UI"/>
                <w:color w:val="000000"/>
                <w:szCs w:val="21"/>
              </w:rPr>
              <w:t xml:space="preserve"> per cent)</w:t>
            </w:r>
          </w:p>
        </w:tc>
        <w:tc>
          <w:tcPr>
            <w:tcW w:w="1147" w:type="dxa"/>
          </w:tcPr>
          <w:p w14:paraId="520A9307" w14:textId="3E553F9C"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38 (34.2</w:t>
            </w:r>
            <w:r w:rsidR="003C1236" w:rsidRPr="004523AB">
              <w:rPr>
                <w:rFonts w:eastAsia="Segoe UI" w:cs="Segoe UI"/>
                <w:color w:val="000000"/>
                <w:szCs w:val="21"/>
              </w:rPr>
              <w:t xml:space="preserve"> per cent)</w:t>
            </w:r>
          </w:p>
        </w:tc>
        <w:tc>
          <w:tcPr>
            <w:tcW w:w="1147" w:type="dxa"/>
          </w:tcPr>
          <w:p w14:paraId="7AB750D3" w14:textId="43EE68D0"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27 (30.7</w:t>
            </w:r>
            <w:r w:rsidR="003C1236" w:rsidRPr="004523AB">
              <w:rPr>
                <w:rFonts w:eastAsia="Segoe UI" w:cs="Segoe UI"/>
                <w:color w:val="000000"/>
                <w:szCs w:val="21"/>
              </w:rPr>
              <w:t xml:space="preserve"> per cent)</w:t>
            </w:r>
          </w:p>
        </w:tc>
        <w:tc>
          <w:tcPr>
            <w:tcW w:w="1147" w:type="dxa"/>
          </w:tcPr>
          <w:p w14:paraId="65A4B453" w14:textId="7B29F62A"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47 (68.1</w:t>
            </w:r>
            <w:r w:rsidR="003C1236" w:rsidRPr="004523AB">
              <w:rPr>
                <w:rFonts w:eastAsia="Segoe UI" w:cs="Segoe UI"/>
                <w:color w:val="000000"/>
                <w:szCs w:val="21"/>
              </w:rPr>
              <w:t xml:space="preserve"> per cent)</w:t>
            </w:r>
          </w:p>
        </w:tc>
      </w:tr>
      <w:tr w:rsidR="00DA3717" w:rsidRPr="004523AB" w14:paraId="5F4DCC08" w14:textId="77777777" w:rsidTr="00200CB1">
        <w:tc>
          <w:tcPr>
            <w:tcW w:w="1843" w:type="dxa"/>
          </w:tcPr>
          <w:p w14:paraId="67B2B7D7" w14:textId="01A080D9" w:rsidR="00B413BC" w:rsidRPr="004523AB" w:rsidRDefault="00CE7C1F">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Interoperable software</w:t>
            </w:r>
          </w:p>
        </w:tc>
        <w:tc>
          <w:tcPr>
            <w:tcW w:w="2996" w:type="dxa"/>
          </w:tcPr>
          <w:p w14:paraId="4E439CD4" w14:textId="77777777" w:rsidR="00B413BC" w:rsidRPr="004523AB" w:rsidRDefault="00B413BC">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No response</w:t>
            </w:r>
          </w:p>
        </w:tc>
        <w:tc>
          <w:tcPr>
            <w:tcW w:w="1145" w:type="dxa"/>
          </w:tcPr>
          <w:p w14:paraId="12E4562C" w14:textId="7740F575"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44 (2.8</w:t>
            </w:r>
            <w:r w:rsidR="003C1236" w:rsidRPr="004523AB">
              <w:rPr>
                <w:rFonts w:eastAsia="Segoe UI" w:cs="Segoe UI"/>
                <w:color w:val="000000"/>
                <w:szCs w:val="21"/>
              </w:rPr>
              <w:t xml:space="preserve"> per cent)</w:t>
            </w:r>
          </w:p>
        </w:tc>
        <w:tc>
          <w:tcPr>
            <w:tcW w:w="1145" w:type="dxa"/>
          </w:tcPr>
          <w:p w14:paraId="5CCA91B3" w14:textId="15665922"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22 (1.7</w:t>
            </w:r>
            <w:r w:rsidR="003C1236" w:rsidRPr="004523AB">
              <w:rPr>
                <w:rFonts w:eastAsia="Segoe UI" w:cs="Segoe UI"/>
                <w:color w:val="000000"/>
                <w:szCs w:val="21"/>
              </w:rPr>
              <w:t xml:space="preserve"> per cent)</w:t>
            </w:r>
          </w:p>
        </w:tc>
        <w:tc>
          <w:tcPr>
            <w:tcW w:w="1147" w:type="dxa"/>
          </w:tcPr>
          <w:p w14:paraId="62447750" w14:textId="38662FB6"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13 (1.5</w:t>
            </w:r>
            <w:r w:rsidR="003C1236" w:rsidRPr="004523AB">
              <w:rPr>
                <w:rFonts w:eastAsia="Segoe UI" w:cs="Segoe UI"/>
                <w:color w:val="000000"/>
                <w:szCs w:val="21"/>
              </w:rPr>
              <w:t xml:space="preserve"> per cent)</w:t>
            </w:r>
          </w:p>
        </w:tc>
        <w:tc>
          <w:tcPr>
            <w:tcW w:w="1147" w:type="dxa"/>
          </w:tcPr>
          <w:p w14:paraId="77A2187E" w14:textId="6F347D0F"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12 (2.2</w:t>
            </w:r>
            <w:r w:rsidR="003C1236" w:rsidRPr="004523AB">
              <w:rPr>
                <w:rFonts w:eastAsia="Segoe UI" w:cs="Segoe UI"/>
                <w:color w:val="000000"/>
                <w:szCs w:val="21"/>
              </w:rPr>
              <w:t xml:space="preserve"> per cent)</w:t>
            </w:r>
          </w:p>
        </w:tc>
        <w:tc>
          <w:tcPr>
            <w:tcW w:w="1147" w:type="dxa"/>
          </w:tcPr>
          <w:p w14:paraId="20929136" w14:textId="5A210DF4"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8 (2.8</w:t>
            </w:r>
            <w:r w:rsidR="003C1236" w:rsidRPr="004523AB">
              <w:rPr>
                <w:rFonts w:eastAsia="Segoe UI" w:cs="Segoe UI"/>
                <w:color w:val="000000"/>
                <w:szCs w:val="21"/>
              </w:rPr>
              <w:t xml:space="preserve"> per cent)</w:t>
            </w:r>
          </w:p>
        </w:tc>
        <w:tc>
          <w:tcPr>
            <w:tcW w:w="1147" w:type="dxa"/>
          </w:tcPr>
          <w:p w14:paraId="31D98CC6" w14:textId="39EB81E4"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 (1.8</w:t>
            </w:r>
            <w:r w:rsidR="003C1236" w:rsidRPr="004523AB">
              <w:rPr>
                <w:rFonts w:eastAsia="Segoe UI" w:cs="Segoe UI"/>
                <w:color w:val="000000"/>
                <w:szCs w:val="21"/>
              </w:rPr>
              <w:t xml:space="preserve"> per cent)</w:t>
            </w:r>
          </w:p>
        </w:tc>
        <w:tc>
          <w:tcPr>
            <w:tcW w:w="1147" w:type="dxa"/>
          </w:tcPr>
          <w:p w14:paraId="01FA5EB3" w14:textId="77777777"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p>
        </w:tc>
        <w:tc>
          <w:tcPr>
            <w:tcW w:w="1147" w:type="dxa"/>
          </w:tcPr>
          <w:p w14:paraId="7D0FB98A" w14:textId="693A8A46"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 (1.4</w:t>
            </w:r>
            <w:r w:rsidR="003C1236" w:rsidRPr="004523AB">
              <w:rPr>
                <w:rFonts w:eastAsia="Segoe UI" w:cs="Segoe UI"/>
                <w:color w:val="000000"/>
                <w:szCs w:val="21"/>
              </w:rPr>
              <w:t xml:space="preserve"> per cent)</w:t>
            </w:r>
          </w:p>
        </w:tc>
      </w:tr>
      <w:tr w:rsidR="00DA3717" w:rsidRPr="004523AB" w14:paraId="77B0AC6B" w14:textId="77777777" w:rsidTr="00200CB1">
        <w:tc>
          <w:tcPr>
            <w:tcW w:w="1843" w:type="dxa"/>
          </w:tcPr>
          <w:p w14:paraId="46994B36" w14:textId="77777777" w:rsidR="00B413BC" w:rsidRPr="004523AB" w:rsidRDefault="00B413BC">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Other</w:t>
            </w:r>
          </w:p>
        </w:tc>
        <w:tc>
          <w:tcPr>
            <w:tcW w:w="2996" w:type="dxa"/>
          </w:tcPr>
          <w:p w14:paraId="01E73D93" w14:textId="77777777" w:rsidR="00B413BC" w:rsidRPr="004523AB" w:rsidRDefault="00B413BC">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Did not use grant for this purpose</w:t>
            </w:r>
          </w:p>
        </w:tc>
        <w:tc>
          <w:tcPr>
            <w:tcW w:w="1145" w:type="dxa"/>
          </w:tcPr>
          <w:p w14:paraId="1F31D38C" w14:textId="61942BB5"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392 (25.2</w:t>
            </w:r>
            <w:r w:rsidR="003C1236" w:rsidRPr="004523AB">
              <w:rPr>
                <w:rFonts w:eastAsia="Segoe UI" w:cs="Segoe UI"/>
                <w:color w:val="000000"/>
                <w:szCs w:val="21"/>
              </w:rPr>
              <w:t xml:space="preserve"> </w:t>
            </w:r>
            <w:r w:rsidR="003C1236" w:rsidRPr="004523AB">
              <w:rPr>
                <w:rFonts w:eastAsia="Segoe UI" w:cs="Segoe UI"/>
                <w:color w:val="000000"/>
                <w:szCs w:val="21"/>
              </w:rPr>
              <w:lastRenderedPageBreak/>
              <w:t>per cent)</w:t>
            </w:r>
          </w:p>
        </w:tc>
        <w:tc>
          <w:tcPr>
            <w:tcW w:w="1145" w:type="dxa"/>
          </w:tcPr>
          <w:p w14:paraId="558D5C9B" w14:textId="7587C877"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lastRenderedPageBreak/>
              <w:t>313 (23.9</w:t>
            </w:r>
            <w:r w:rsidR="003C1236" w:rsidRPr="004523AB">
              <w:rPr>
                <w:rFonts w:eastAsia="Segoe UI" w:cs="Segoe UI"/>
                <w:color w:val="000000"/>
                <w:szCs w:val="21"/>
              </w:rPr>
              <w:t xml:space="preserve"> </w:t>
            </w:r>
            <w:r w:rsidR="003C1236" w:rsidRPr="004523AB">
              <w:rPr>
                <w:rFonts w:eastAsia="Segoe UI" w:cs="Segoe UI"/>
                <w:color w:val="000000"/>
                <w:szCs w:val="21"/>
              </w:rPr>
              <w:lastRenderedPageBreak/>
              <w:t>per cent)</w:t>
            </w:r>
          </w:p>
        </w:tc>
        <w:tc>
          <w:tcPr>
            <w:tcW w:w="1147" w:type="dxa"/>
          </w:tcPr>
          <w:p w14:paraId="2B268060" w14:textId="65CB0083"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lastRenderedPageBreak/>
              <w:t>234 (26.7</w:t>
            </w:r>
            <w:r w:rsidR="003C1236" w:rsidRPr="004523AB">
              <w:rPr>
                <w:rFonts w:eastAsia="Segoe UI" w:cs="Segoe UI"/>
                <w:color w:val="000000"/>
                <w:szCs w:val="21"/>
              </w:rPr>
              <w:t xml:space="preserve"> </w:t>
            </w:r>
            <w:r w:rsidR="003C1236" w:rsidRPr="004523AB">
              <w:rPr>
                <w:rFonts w:eastAsia="Segoe UI" w:cs="Segoe UI"/>
                <w:color w:val="000000"/>
                <w:szCs w:val="21"/>
              </w:rPr>
              <w:lastRenderedPageBreak/>
              <w:t>per cent)</w:t>
            </w:r>
          </w:p>
        </w:tc>
        <w:tc>
          <w:tcPr>
            <w:tcW w:w="1147" w:type="dxa"/>
          </w:tcPr>
          <w:p w14:paraId="7F17A316" w14:textId="182A103A"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lastRenderedPageBreak/>
              <w:t>130 (23.7</w:t>
            </w:r>
            <w:r w:rsidR="003C1236" w:rsidRPr="004523AB">
              <w:rPr>
                <w:rFonts w:eastAsia="Segoe UI" w:cs="Segoe UI"/>
                <w:color w:val="000000"/>
                <w:szCs w:val="21"/>
              </w:rPr>
              <w:t xml:space="preserve"> </w:t>
            </w:r>
            <w:r w:rsidR="003C1236" w:rsidRPr="004523AB">
              <w:rPr>
                <w:rFonts w:eastAsia="Segoe UI" w:cs="Segoe UI"/>
                <w:color w:val="000000"/>
                <w:szCs w:val="21"/>
              </w:rPr>
              <w:lastRenderedPageBreak/>
              <w:t>per cent)</w:t>
            </w:r>
          </w:p>
        </w:tc>
        <w:tc>
          <w:tcPr>
            <w:tcW w:w="1147" w:type="dxa"/>
          </w:tcPr>
          <w:p w14:paraId="48D87662" w14:textId="0ADDA99A"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lastRenderedPageBreak/>
              <w:t>58 (20.3</w:t>
            </w:r>
            <w:r w:rsidR="003C1236" w:rsidRPr="004523AB">
              <w:rPr>
                <w:rFonts w:eastAsia="Segoe UI" w:cs="Segoe UI"/>
                <w:color w:val="000000"/>
                <w:szCs w:val="21"/>
              </w:rPr>
              <w:t xml:space="preserve"> </w:t>
            </w:r>
            <w:r w:rsidR="003C1236" w:rsidRPr="004523AB">
              <w:rPr>
                <w:rFonts w:eastAsia="Segoe UI" w:cs="Segoe UI"/>
                <w:color w:val="000000"/>
                <w:szCs w:val="21"/>
              </w:rPr>
              <w:lastRenderedPageBreak/>
              <w:t>per cent)</w:t>
            </w:r>
          </w:p>
        </w:tc>
        <w:tc>
          <w:tcPr>
            <w:tcW w:w="1147" w:type="dxa"/>
          </w:tcPr>
          <w:p w14:paraId="33425CF4" w14:textId="31CABEC3"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lastRenderedPageBreak/>
              <w:t>51 (45.9</w:t>
            </w:r>
            <w:r w:rsidR="003C1236" w:rsidRPr="004523AB">
              <w:rPr>
                <w:rFonts w:eastAsia="Segoe UI" w:cs="Segoe UI"/>
                <w:color w:val="000000"/>
                <w:szCs w:val="21"/>
              </w:rPr>
              <w:t xml:space="preserve"> </w:t>
            </w:r>
            <w:r w:rsidR="003C1236" w:rsidRPr="004523AB">
              <w:rPr>
                <w:rFonts w:eastAsia="Segoe UI" w:cs="Segoe UI"/>
                <w:color w:val="000000"/>
                <w:szCs w:val="21"/>
              </w:rPr>
              <w:lastRenderedPageBreak/>
              <w:t>per cent)</w:t>
            </w:r>
          </w:p>
        </w:tc>
        <w:tc>
          <w:tcPr>
            <w:tcW w:w="1147" w:type="dxa"/>
          </w:tcPr>
          <w:p w14:paraId="13F4BDD5" w14:textId="231456C7"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lastRenderedPageBreak/>
              <w:t>28 (31.8</w:t>
            </w:r>
            <w:r w:rsidR="003C1236" w:rsidRPr="004523AB">
              <w:rPr>
                <w:rFonts w:eastAsia="Segoe UI" w:cs="Segoe UI"/>
                <w:color w:val="000000"/>
                <w:szCs w:val="21"/>
              </w:rPr>
              <w:t xml:space="preserve"> </w:t>
            </w:r>
            <w:r w:rsidR="003C1236" w:rsidRPr="004523AB">
              <w:rPr>
                <w:rFonts w:eastAsia="Segoe UI" w:cs="Segoe UI"/>
                <w:color w:val="000000"/>
                <w:szCs w:val="21"/>
              </w:rPr>
              <w:lastRenderedPageBreak/>
              <w:t>per cent)</w:t>
            </w:r>
          </w:p>
        </w:tc>
        <w:tc>
          <w:tcPr>
            <w:tcW w:w="1147" w:type="dxa"/>
          </w:tcPr>
          <w:p w14:paraId="2F2348E8" w14:textId="264076FF"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lastRenderedPageBreak/>
              <w:t>6 (8.7</w:t>
            </w:r>
            <w:r w:rsidR="003C1236" w:rsidRPr="004523AB">
              <w:rPr>
                <w:rFonts w:eastAsia="Segoe UI" w:cs="Segoe UI"/>
                <w:color w:val="000000"/>
                <w:szCs w:val="21"/>
              </w:rPr>
              <w:t xml:space="preserve"> per cent)</w:t>
            </w:r>
          </w:p>
        </w:tc>
      </w:tr>
      <w:tr w:rsidR="00DA3717" w:rsidRPr="004523AB" w14:paraId="354BAF39" w14:textId="77777777" w:rsidTr="00200CB1">
        <w:tc>
          <w:tcPr>
            <w:tcW w:w="1843" w:type="dxa"/>
          </w:tcPr>
          <w:p w14:paraId="4FD3714B" w14:textId="6D5CC0FE" w:rsidR="00B413BC" w:rsidRPr="004523AB" w:rsidRDefault="00B824F8">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Other</w:t>
            </w:r>
          </w:p>
        </w:tc>
        <w:tc>
          <w:tcPr>
            <w:tcW w:w="2996" w:type="dxa"/>
          </w:tcPr>
          <w:p w14:paraId="7DAE1DCA" w14:textId="77777777" w:rsidR="00B413BC" w:rsidRPr="004523AB" w:rsidRDefault="00B413BC">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No change</w:t>
            </w:r>
          </w:p>
        </w:tc>
        <w:tc>
          <w:tcPr>
            <w:tcW w:w="1145" w:type="dxa"/>
          </w:tcPr>
          <w:p w14:paraId="1BB9BC88" w14:textId="7AD200CB"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82 (5.3</w:t>
            </w:r>
            <w:r w:rsidR="003C1236" w:rsidRPr="004523AB">
              <w:rPr>
                <w:rFonts w:eastAsia="Segoe UI" w:cs="Segoe UI"/>
                <w:color w:val="000000"/>
                <w:szCs w:val="21"/>
              </w:rPr>
              <w:t xml:space="preserve"> per cent)</w:t>
            </w:r>
          </w:p>
        </w:tc>
        <w:tc>
          <w:tcPr>
            <w:tcW w:w="1145" w:type="dxa"/>
          </w:tcPr>
          <w:p w14:paraId="3F82617B" w14:textId="0B5DBD2F"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64 (4.9</w:t>
            </w:r>
            <w:r w:rsidR="003C1236" w:rsidRPr="004523AB">
              <w:rPr>
                <w:rFonts w:eastAsia="Segoe UI" w:cs="Segoe UI"/>
                <w:color w:val="000000"/>
                <w:szCs w:val="21"/>
              </w:rPr>
              <w:t xml:space="preserve"> per cent)</w:t>
            </w:r>
          </w:p>
        </w:tc>
        <w:tc>
          <w:tcPr>
            <w:tcW w:w="1147" w:type="dxa"/>
          </w:tcPr>
          <w:p w14:paraId="07E28EBE" w14:textId="6CE8FCD6"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38 (4.3</w:t>
            </w:r>
            <w:r w:rsidR="003C1236" w:rsidRPr="004523AB">
              <w:rPr>
                <w:rFonts w:eastAsia="Segoe UI" w:cs="Segoe UI"/>
                <w:color w:val="000000"/>
                <w:szCs w:val="21"/>
              </w:rPr>
              <w:t xml:space="preserve"> per cent)</w:t>
            </w:r>
          </w:p>
        </w:tc>
        <w:tc>
          <w:tcPr>
            <w:tcW w:w="1147" w:type="dxa"/>
          </w:tcPr>
          <w:p w14:paraId="198AC772" w14:textId="0936BB15"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25 (4.6</w:t>
            </w:r>
            <w:r w:rsidR="003C1236" w:rsidRPr="004523AB">
              <w:rPr>
                <w:rFonts w:eastAsia="Segoe UI" w:cs="Segoe UI"/>
                <w:color w:val="000000"/>
                <w:szCs w:val="21"/>
              </w:rPr>
              <w:t xml:space="preserve"> per cent)</w:t>
            </w:r>
          </w:p>
        </w:tc>
        <w:tc>
          <w:tcPr>
            <w:tcW w:w="1147" w:type="dxa"/>
          </w:tcPr>
          <w:p w14:paraId="7C1231A2" w14:textId="4FB9920C"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20 (7.0</w:t>
            </w:r>
            <w:r w:rsidR="003C1236" w:rsidRPr="004523AB">
              <w:rPr>
                <w:rFonts w:eastAsia="Segoe UI" w:cs="Segoe UI"/>
                <w:color w:val="000000"/>
                <w:szCs w:val="21"/>
              </w:rPr>
              <w:t xml:space="preserve"> per cent)</w:t>
            </w:r>
          </w:p>
        </w:tc>
        <w:tc>
          <w:tcPr>
            <w:tcW w:w="1147" w:type="dxa"/>
          </w:tcPr>
          <w:p w14:paraId="61071028" w14:textId="22E1ED9D"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 (3.6</w:t>
            </w:r>
            <w:r w:rsidR="003C1236" w:rsidRPr="004523AB">
              <w:rPr>
                <w:rFonts w:eastAsia="Segoe UI" w:cs="Segoe UI"/>
                <w:color w:val="000000"/>
                <w:szCs w:val="21"/>
              </w:rPr>
              <w:t xml:space="preserve"> per cent)</w:t>
            </w:r>
          </w:p>
        </w:tc>
        <w:tc>
          <w:tcPr>
            <w:tcW w:w="1147" w:type="dxa"/>
          </w:tcPr>
          <w:p w14:paraId="6703B58E" w14:textId="583E9690"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 (5.7</w:t>
            </w:r>
            <w:r w:rsidR="003C1236" w:rsidRPr="004523AB">
              <w:rPr>
                <w:rFonts w:eastAsia="Segoe UI" w:cs="Segoe UI"/>
                <w:color w:val="000000"/>
                <w:szCs w:val="21"/>
              </w:rPr>
              <w:t xml:space="preserve"> per cent)</w:t>
            </w:r>
          </w:p>
        </w:tc>
        <w:tc>
          <w:tcPr>
            <w:tcW w:w="1147" w:type="dxa"/>
          </w:tcPr>
          <w:p w14:paraId="1458FF6D" w14:textId="1EB8AF3A"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 (2.9</w:t>
            </w:r>
            <w:r w:rsidR="003C1236" w:rsidRPr="004523AB">
              <w:rPr>
                <w:rFonts w:eastAsia="Segoe UI" w:cs="Segoe UI"/>
                <w:color w:val="000000"/>
                <w:szCs w:val="21"/>
              </w:rPr>
              <w:t xml:space="preserve"> per cent)</w:t>
            </w:r>
          </w:p>
        </w:tc>
      </w:tr>
      <w:tr w:rsidR="00DA3717" w:rsidRPr="004523AB" w14:paraId="6D2C6D92" w14:textId="77777777" w:rsidTr="00200CB1">
        <w:tc>
          <w:tcPr>
            <w:tcW w:w="1843" w:type="dxa"/>
          </w:tcPr>
          <w:p w14:paraId="338DE125" w14:textId="1A64C1F1" w:rsidR="00B413BC" w:rsidRPr="004523AB" w:rsidRDefault="00B824F8">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Other</w:t>
            </w:r>
          </w:p>
        </w:tc>
        <w:tc>
          <w:tcPr>
            <w:tcW w:w="2996" w:type="dxa"/>
          </w:tcPr>
          <w:p w14:paraId="65030E33" w14:textId="77777777" w:rsidR="00B413BC" w:rsidRPr="004523AB" w:rsidRDefault="00B413BC">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Minor improvement</w:t>
            </w:r>
          </w:p>
        </w:tc>
        <w:tc>
          <w:tcPr>
            <w:tcW w:w="1145" w:type="dxa"/>
          </w:tcPr>
          <w:p w14:paraId="4144987D" w14:textId="3E172848"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41 (2.6</w:t>
            </w:r>
            <w:r w:rsidR="003C1236" w:rsidRPr="004523AB">
              <w:rPr>
                <w:rFonts w:eastAsia="Segoe UI" w:cs="Segoe UI"/>
                <w:color w:val="000000"/>
                <w:szCs w:val="21"/>
              </w:rPr>
              <w:t xml:space="preserve"> per cent)</w:t>
            </w:r>
          </w:p>
        </w:tc>
        <w:tc>
          <w:tcPr>
            <w:tcW w:w="1145" w:type="dxa"/>
          </w:tcPr>
          <w:p w14:paraId="7F9AC4B4" w14:textId="16B9477C"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37 (2.8</w:t>
            </w:r>
            <w:r w:rsidR="003C1236" w:rsidRPr="004523AB">
              <w:rPr>
                <w:rFonts w:eastAsia="Segoe UI" w:cs="Segoe UI"/>
                <w:color w:val="000000"/>
                <w:szCs w:val="21"/>
              </w:rPr>
              <w:t xml:space="preserve"> per cent)</w:t>
            </w:r>
          </w:p>
        </w:tc>
        <w:tc>
          <w:tcPr>
            <w:tcW w:w="1147" w:type="dxa"/>
          </w:tcPr>
          <w:p w14:paraId="6F7930AA" w14:textId="1EF65E4D"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24 (2.7</w:t>
            </w:r>
            <w:r w:rsidR="003C1236" w:rsidRPr="004523AB">
              <w:rPr>
                <w:rFonts w:eastAsia="Segoe UI" w:cs="Segoe UI"/>
                <w:color w:val="000000"/>
                <w:szCs w:val="21"/>
              </w:rPr>
              <w:t xml:space="preserve"> per cent)</w:t>
            </w:r>
          </w:p>
        </w:tc>
        <w:tc>
          <w:tcPr>
            <w:tcW w:w="1147" w:type="dxa"/>
          </w:tcPr>
          <w:p w14:paraId="174CCC97" w14:textId="2989D2FC"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30 (5.5</w:t>
            </w:r>
            <w:r w:rsidR="003C1236" w:rsidRPr="004523AB">
              <w:rPr>
                <w:rFonts w:eastAsia="Segoe UI" w:cs="Segoe UI"/>
                <w:color w:val="000000"/>
                <w:szCs w:val="21"/>
              </w:rPr>
              <w:t xml:space="preserve"> per cent)</w:t>
            </w:r>
          </w:p>
        </w:tc>
        <w:tc>
          <w:tcPr>
            <w:tcW w:w="1147" w:type="dxa"/>
          </w:tcPr>
          <w:p w14:paraId="785186CE" w14:textId="1247062A"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9 (3.1</w:t>
            </w:r>
            <w:r w:rsidR="003C1236" w:rsidRPr="004523AB">
              <w:rPr>
                <w:rFonts w:eastAsia="Segoe UI" w:cs="Segoe UI"/>
                <w:color w:val="000000"/>
                <w:szCs w:val="21"/>
              </w:rPr>
              <w:t xml:space="preserve"> per cent)</w:t>
            </w:r>
          </w:p>
        </w:tc>
        <w:tc>
          <w:tcPr>
            <w:tcW w:w="1147" w:type="dxa"/>
          </w:tcPr>
          <w:p w14:paraId="6AAD97C0" w14:textId="64A37742"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 (3.6</w:t>
            </w:r>
            <w:r w:rsidR="003C1236" w:rsidRPr="004523AB">
              <w:rPr>
                <w:rFonts w:eastAsia="Segoe UI" w:cs="Segoe UI"/>
                <w:color w:val="000000"/>
                <w:szCs w:val="21"/>
              </w:rPr>
              <w:t xml:space="preserve"> per cent)</w:t>
            </w:r>
          </w:p>
        </w:tc>
        <w:tc>
          <w:tcPr>
            <w:tcW w:w="1147" w:type="dxa"/>
          </w:tcPr>
          <w:p w14:paraId="20A397F7" w14:textId="481282C1"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 (1.1</w:t>
            </w:r>
            <w:r w:rsidR="003C1236" w:rsidRPr="004523AB">
              <w:rPr>
                <w:rFonts w:eastAsia="Segoe UI" w:cs="Segoe UI"/>
                <w:color w:val="000000"/>
                <w:szCs w:val="21"/>
              </w:rPr>
              <w:t xml:space="preserve"> per cent)</w:t>
            </w:r>
          </w:p>
        </w:tc>
        <w:tc>
          <w:tcPr>
            <w:tcW w:w="1147" w:type="dxa"/>
          </w:tcPr>
          <w:p w14:paraId="3F0991D5" w14:textId="5BE10A51"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 (1.4</w:t>
            </w:r>
            <w:r w:rsidR="003C1236" w:rsidRPr="004523AB">
              <w:rPr>
                <w:rFonts w:eastAsia="Segoe UI" w:cs="Segoe UI"/>
                <w:color w:val="000000"/>
                <w:szCs w:val="21"/>
              </w:rPr>
              <w:t xml:space="preserve"> per cent)</w:t>
            </w:r>
          </w:p>
        </w:tc>
      </w:tr>
      <w:tr w:rsidR="00DA3717" w:rsidRPr="004523AB" w14:paraId="0DEA8F84" w14:textId="77777777" w:rsidTr="00200CB1">
        <w:tc>
          <w:tcPr>
            <w:tcW w:w="1843" w:type="dxa"/>
          </w:tcPr>
          <w:p w14:paraId="5C746808" w14:textId="26710328" w:rsidR="00B413BC" w:rsidRPr="004523AB" w:rsidRDefault="00B824F8">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Other</w:t>
            </w:r>
          </w:p>
        </w:tc>
        <w:tc>
          <w:tcPr>
            <w:tcW w:w="2996" w:type="dxa"/>
          </w:tcPr>
          <w:p w14:paraId="78C7ED9E" w14:textId="77777777" w:rsidR="00B413BC" w:rsidRPr="004523AB" w:rsidRDefault="00B413BC">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Moderate improvement</w:t>
            </w:r>
          </w:p>
        </w:tc>
        <w:tc>
          <w:tcPr>
            <w:tcW w:w="1145" w:type="dxa"/>
          </w:tcPr>
          <w:p w14:paraId="28F3CA20" w14:textId="06FD5420"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218 (14.0</w:t>
            </w:r>
            <w:r w:rsidR="003C1236" w:rsidRPr="004523AB">
              <w:rPr>
                <w:rFonts w:eastAsia="Segoe UI" w:cs="Segoe UI"/>
                <w:color w:val="000000"/>
                <w:szCs w:val="21"/>
              </w:rPr>
              <w:t xml:space="preserve"> per cent)</w:t>
            </w:r>
          </w:p>
        </w:tc>
        <w:tc>
          <w:tcPr>
            <w:tcW w:w="1145" w:type="dxa"/>
          </w:tcPr>
          <w:p w14:paraId="2B9DEDB1" w14:textId="0A2118B9"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194 (14.8</w:t>
            </w:r>
            <w:r w:rsidR="003C1236" w:rsidRPr="004523AB">
              <w:rPr>
                <w:rFonts w:eastAsia="Segoe UI" w:cs="Segoe UI"/>
                <w:color w:val="000000"/>
                <w:szCs w:val="21"/>
              </w:rPr>
              <w:t xml:space="preserve"> per cent)</w:t>
            </w:r>
          </w:p>
        </w:tc>
        <w:tc>
          <w:tcPr>
            <w:tcW w:w="1147" w:type="dxa"/>
          </w:tcPr>
          <w:p w14:paraId="64B45E63" w14:textId="5B935567"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120 (13.7</w:t>
            </w:r>
            <w:r w:rsidR="003C1236" w:rsidRPr="004523AB">
              <w:rPr>
                <w:rFonts w:eastAsia="Segoe UI" w:cs="Segoe UI"/>
                <w:color w:val="000000"/>
                <w:szCs w:val="21"/>
              </w:rPr>
              <w:t xml:space="preserve"> per cent)</w:t>
            </w:r>
          </w:p>
        </w:tc>
        <w:tc>
          <w:tcPr>
            <w:tcW w:w="1147" w:type="dxa"/>
          </w:tcPr>
          <w:p w14:paraId="7695F9EB" w14:textId="35094048"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63 (11.5</w:t>
            </w:r>
            <w:r w:rsidR="003C1236" w:rsidRPr="004523AB">
              <w:rPr>
                <w:rFonts w:eastAsia="Segoe UI" w:cs="Segoe UI"/>
                <w:color w:val="000000"/>
                <w:szCs w:val="21"/>
              </w:rPr>
              <w:t xml:space="preserve"> per cent)</w:t>
            </w:r>
          </w:p>
        </w:tc>
        <w:tc>
          <w:tcPr>
            <w:tcW w:w="1147" w:type="dxa"/>
          </w:tcPr>
          <w:p w14:paraId="72A1932C" w14:textId="128B1FEE"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28 (9.8</w:t>
            </w:r>
            <w:r w:rsidR="003C1236" w:rsidRPr="004523AB">
              <w:rPr>
                <w:rFonts w:eastAsia="Segoe UI" w:cs="Segoe UI"/>
                <w:color w:val="000000"/>
                <w:szCs w:val="21"/>
              </w:rPr>
              <w:t xml:space="preserve"> per cent)</w:t>
            </w:r>
          </w:p>
        </w:tc>
        <w:tc>
          <w:tcPr>
            <w:tcW w:w="1147" w:type="dxa"/>
          </w:tcPr>
          <w:p w14:paraId="3B97E0EB" w14:textId="69630C8F"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7 (6.3</w:t>
            </w:r>
            <w:r w:rsidR="003C1236" w:rsidRPr="004523AB">
              <w:rPr>
                <w:rFonts w:eastAsia="Segoe UI" w:cs="Segoe UI"/>
                <w:color w:val="000000"/>
                <w:szCs w:val="21"/>
              </w:rPr>
              <w:t xml:space="preserve"> per cent)</w:t>
            </w:r>
          </w:p>
        </w:tc>
        <w:tc>
          <w:tcPr>
            <w:tcW w:w="1147" w:type="dxa"/>
          </w:tcPr>
          <w:p w14:paraId="4C9C5A6E" w14:textId="0C019364"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15 (17.0</w:t>
            </w:r>
            <w:r w:rsidR="003C1236" w:rsidRPr="004523AB">
              <w:rPr>
                <w:rFonts w:eastAsia="Segoe UI" w:cs="Segoe UI"/>
                <w:color w:val="000000"/>
                <w:szCs w:val="21"/>
              </w:rPr>
              <w:t xml:space="preserve"> per cent)</w:t>
            </w:r>
          </w:p>
        </w:tc>
        <w:tc>
          <w:tcPr>
            <w:tcW w:w="1147" w:type="dxa"/>
          </w:tcPr>
          <w:p w14:paraId="25461D9B" w14:textId="61D56EAE"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 (7.2</w:t>
            </w:r>
            <w:r w:rsidR="003C1236" w:rsidRPr="004523AB">
              <w:rPr>
                <w:rFonts w:eastAsia="Segoe UI" w:cs="Segoe UI"/>
                <w:color w:val="000000"/>
                <w:szCs w:val="21"/>
              </w:rPr>
              <w:t xml:space="preserve"> per cent)</w:t>
            </w:r>
          </w:p>
        </w:tc>
      </w:tr>
      <w:tr w:rsidR="00DA3717" w:rsidRPr="004523AB" w14:paraId="0C85AC2D" w14:textId="77777777" w:rsidTr="00200CB1">
        <w:tc>
          <w:tcPr>
            <w:tcW w:w="1843" w:type="dxa"/>
          </w:tcPr>
          <w:p w14:paraId="7A906403" w14:textId="5892EFBE" w:rsidR="00B413BC" w:rsidRPr="004523AB" w:rsidRDefault="00B824F8">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Other</w:t>
            </w:r>
          </w:p>
        </w:tc>
        <w:tc>
          <w:tcPr>
            <w:tcW w:w="2996" w:type="dxa"/>
          </w:tcPr>
          <w:p w14:paraId="1059B59D" w14:textId="77777777" w:rsidR="00B413BC" w:rsidRPr="004523AB" w:rsidRDefault="00B413BC">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Significant improvement</w:t>
            </w:r>
          </w:p>
        </w:tc>
        <w:tc>
          <w:tcPr>
            <w:tcW w:w="1145" w:type="dxa"/>
          </w:tcPr>
          <w:p w14:paraId="5C98F883" w14:textId="1815C25A"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778 (50.0</w:t>
            </w:r>
            <w:r w:rsidR="003C1236" w:rsidRPr="004523AB">
              <w:rPr>
                <w:rFonts w:eastAsia="Segoe UI" w:cs="Segoe UI"/>
                <w:color w:val="000000"/>
                <w:szCs w:val="21"/>
              </w:rPr>
              <w:t xml:space="preserve"> per cent)</w:t>
            </w:r>
          </w:p>
        </w:tc>
        <w:tc>
          <w:tcPr>
            <w:tcW w:w="1145" w:type="dxa"/>
          </w:tcPr>
          <w:p w14:paraId="7382A76F" w14:textId="31853CB4"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679 (51.9</w:t>
            </w:r>
            <w:r w:rsidR="003C1236" w:rsidRPr="004523AB">
              <w:rPr>
                <w:rFonts w:eastAsia="Segoe UI" w:cs="Segoe UI"/>
                <w:color w:val="000000"/>
                <w:szCs w:val="21"/>
              </w:rPr>
              <w:t xml:space="preserve"> per cent)</w:t>
            </w:r>
          </w:p>
        </w:tc>
        <w:tc>
          <w:tcPr>
            <w:tcW w:w="1147" w:type="dxa"/>
          </w:tcPr>
          <w:p w14:paraId="765E321A" w14:textId="6FA6F88B"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447 (51.0</w:t>
            </w:r>
            <w:r w:rsidR="003C1236" w:rsidRPr="004523AB">
              <w:rPr>
                <w:rFonts w:eastAsia="Segoe UI" w:cs="Segoe UI"/>
                <w:color w:val="000000"/>
                <w:szCs w:val="21"/>
              </w:rPr>
              <w:t xml:space="preserve"> per cent)</w:t>
            </w:r>
          </w:p>
        </w:tc>
        <w:tc>
          <w:tcPr>
            <w:tcW w:w="1147" w:type="dxa"/>
          </w:tcPr>
          <w:p w14:paraId="16B4F520" w14:textId="4E63DC1B"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288 (52.6</w:t>
            </w:r>
            <w:r w:rsidR="003C1236" w:rsidRPr="004523AB">
              <w:rPr>
                <w:rFonts w:eastAsia="Segoe UI" w:cs="Segoe UI"/>
                <w:color w:val="000000"/>
                <w:szCs w:val="21"/>
              </w:rPr>
              <w:t xml:space="preserve"> per cent)</w:t>
            </w:r>
          </w:p>
        </w:tc>
        <w:tc>
          <w:tcPr>
            <w:tcW w:w="1147" w:type="dxa"/>
          </w:tcPr>
          <w:p w14:paraId="372C92D5" w14:textId="000779A9"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163 (57.0</w:t>
            </w:r>
            <w:r w:rsidR="003C1236" w:rsidRPr="004523AB">
              <w:rPr>
                <w:rFonts w:eastAsia="Segoe UI" w:cs="Segoe UI"/>
                <w:color w:val="000000"/>
                <w:szCs w:val="21"/>
              </w:rPr>
              <w:t xml:space="preserve"> per cent)</w:t>
            </w:r>
          </w:p>
        </w:tc>
        <w:tc>
          <w:tcPr>
            <w:tcW w:w="1147" w:type="dxa"/>
          </w:tcPr>
          <w:p w14:paraId="4409D6C9" w14:textId="531423BB"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43 (38.7</w:t>
            </w:r>
            <w:r w:rsidR="003C1236" w:rsidRPr="004523AB">
              <w:rPr>
                <w:rFonts w:eastAsia="Segoe UI" w:cs="Segoe UI"/>
                <w:color w:val="000000"/>
                <w:szCs w:val="21"/>
              </w:rPr>
              <w:t xml:space="preserve"> per cent)</w:t>
            </w:r>
          </w:p>
        </w:tc>
        <w:tc>
          <w:tcPr>
            <w:tcW w:w="1147" w:type="dxa"/>
          </w:tcPr>
          <w:p w14:paraId="4881BBF4" w14:textId="680174B7"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39 (44.3</w:t>
            </w:r>
            <w:r w:rsidR="003C1236" w:rsidRPr="004523AB">
              <w:rPr>
                <w:rFonts w:eastAsia="Segoe UI" w:cs="Segoe UI"/>
                <w:color w:val="000000"/>
                <w:szCs w:val="21"/>
              </w:rPr>
              <w:t xml:space="preserve"> per cent)</w:t>
            </w:r>
          </w:p>
        </w:tc>
        <w:tc>
          <w:tcPr>
            <w:tcW w:w="1147" w:type="dxa"/>
          </w:tcPr>
          <w:p w14:paraId="34145ECD" w14:textId="23CC661A"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54 (78.3</w:t>
            </w:r>
            <w:r w:rsidR="003C1236" w:rsidRPr="004523AB">
              <w:rPr>
                <w:rFonts w:eastAsia="Segoe UI" w:cs="Segoe UI"/>
                <w:color w:val="000000"/>
                <w:szCs w:val="21"/>
              </w:rPr>
              <w:t xml:space="preserve"> per cent)</w:t>
            </w:r>
          </w:p>
        </w:tc>
      </w:tr>
      <w:tr w:rsidR="00DA3717" w:rsidRPr="004523AB" w14:paraId="3BBE5750" w14:textId="77777777" w:rsidTr="00200CB1">
        <w:tc>
          <w:tcPr>
            <w:tcW w:w="1843" w:type="dxa"/>
          </w:tcPr>
          <w:p w14:paraId="7F2AFBAE" w14:textId="1804408A" w:rsidR="00B413BC" w:rsidRPr="004523AB" w:rsidRDefault="00B824F8">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Other</w:t>
            </w:r>
          </w:p>
        </w:tc>
        <w:tc>
          <w:tcPr>
            <w:tcW w:w="2996" w:type="dxa"/>
          </w:tcPr>
          <w:p w14:paraId="2F065166" w14:textId="77777777" w:rsidR="00B413BC" w:rsidRPr="004523AB" w:rsidRDefault="00B413BC">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No response</w:t>
            </w:r>
          </w:p>
        </w:tc>
        <w:tc>
          <w:tcPr>
            <w:tcW w:w="1145" w:type="dxa"/>
          </w:tcPr>
          <w:p w14:paraId="206D9464" w14:textId="1A638B48"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44 (2.8</w:t>
            </w:r>
            <w:r w:rsidR="003C1236" w:rsidRPr="004523AB">
              <w:rPr>
                <w:rFonts w:eastAsia="Segoe UI" w:cs="Segoe UI"/>
                <w:color w:val="000000"/>
                <w:szCs w:val="21"/>
              </w:rPr>
              <w:t xml:space="preserve"> per cent)</w:t>
            </w:r>
          </w:p>
        </w:tc>
        <w:tc>
          <w:tcPr>
            <w:tcW w:w="1145" w:type="dxa"/>
          </w:tcPr>
          <w:p w14:paraId="26E28E1B" w14:textId="4DAA8C92"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22 (1.7</w:t>
            </w:r>
            <w:r w:rsidR="003C1236" w:rsidRPr="004523AB">
              <w:rPr>
                <w:rFonts w:eastAsia="Segoe UI" w:cs="Segoe UI"/>
                <w:color w:val="000000"/>
                <w:szCs w:val="21"/>
              </w:rPr>
              <w:t xml:space="preserve"> per cent)</w:t>
            </w:r>
          </w:p>
        </w:tc>
        <w:tc>
          <w:tcPr>
            <w:tcW w:w="1147" w:type="dxa"/>
          </w:tcPr>
          <w:p w14:paraId="5C726A1D" w14:textId="06EFE771"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13 (1.5</w:t>
            </w:r>
            <w:r w:rsidR="003C1236" w:rsidRPr="004523AB">
              <w:rPr>
                <w:rFonts w:eastAsia="Segoe UI" w:cs="Segoe UI"/>
                <w:color w:val="000000"/>
                <w:szCs w:val="21"/>
              </w:rPr>
              <w:t xml:space="preserve"> per cent)</w:t>
            </w:r>
          </w:p>
        </w:tc>
        <w:tc>
          <w:tcPr>
            <w:tcW w:w="1147" w:type="dxa"/>
          </w:tcPr>
          <w:p w14:paraId="2C5DBF3E" w14:textId="2BDC980E"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12 (2.2</w:t>
            </w:r>
            <w:r w:rsidR="003C1236" w:rsidRPr="004523AB">
              <w:rPr>
                <w:rFonts w:eastAsia="Segoe UI" w:cs="Segoe UI"/>
                <w:color w:val="000000"/>
                <w:szCs w:val="21"/>
              </w:rPr>
              <w:t xml:space="preserve"> per cent)</w:t>
            </w:r>
          </w:p>
        </w:tc>
        <w:tc>
          <w:tcPr>
            <w:tcW w:w="1147" w:type="dxa"/>
          </w:tcPr>
          <w:p w14:paraId="237E65CC" w14:textId="54782AD8"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8 (2.8</w:t>
            </w:r>
            <w:r w:rsidR="003C1236" w:rsidRPr="004523AB">
              <w:rPr>
                <w:rFonts w:eastAsia="Segoe UI" w:cs="Segoe UI"/>
                <w:color w:val="000000"/>
                <w:szCs w:val="21"/>
              </w:rPr>
              <w:t xml:space="preserve"> per cent)</w:t>
            </w:r>
          </w:p>
        </w:tc>
        <w:tc>
          <w:tcPr>
            <w:tcW w:w="1147" w:type="dxa"/>
          </w:tcPr>
          <w:p w14:paraId="43140665" w14:textId="598F474F"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 (1.8</w:t>
            </w:r>
            <w:r w:rsidR="003C1236" w:rsidRPr="004523AB">
              <w:rPr>
                <w:rFonts w:eastAsia="Segoe UI" w:cs="Segoe UI"/>
                <w:color w:val="000000"/>
                <w:szCs w:val="21"/>
              </w:rPr>
              <w:t xml:space="preserve"> per cent)</w:t>
            </w:r>
          </w:p>
        </w:tc>
        <w:tc>
          <w:tcPr>
            <w:tcW w:w="1147" w:type="dxa"/>
          </w:tcPr>
          <w:p w14:paraId="72462EE0" w14:textId="77777777"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p>
        </w:tc>
        <w:tc>
          <w:tcPr>
            <w:tcW w:w="1147" w:type="dxa"/>
          </w:tcPr>
          <w:p w14:paraId="09812D95" w14:textId="24E82E37" w:rsidR="00B413BC" w:rsidRPr="004523AB" w:rsidRDefault="00B413BC"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 (1.4</w:t>
            </w:r>
            <w:r w:rsidR="003C1236" w:rsidRPr="004523AB">
              <w:rPr>
                <w:rFonts w:eastAsia="Segoe UI" w:cs="Segoe UI"/>
                <w:color w:val="000000"/>
                <w:szCs w:val="21"/>
              </w:rPr>
              <w:t xml:space="preserve"> per cent)</w:t>
            </w:r>
          </w:p>
        </w:tc>
      </w:tr>
    </w:tbl>
    <w:p w14:paraId="6F4288E5" w14:textId="17D29809" w:rsidR="00603B59" w:rsidRPr="004523AB" w:rsidRDefault="00603B59" w:rsidP="003F5741">
      <w:pPr>
        <w:rPr>
          <w:lang w:eastAsia="en-AU"/>
        </w:rPr>
      </w:pPr>
    </w:p>
    <w:p w14:paraId="051F408E" w14:textId="77777777" w:rsidR="00603B59" w:rsidRPr="004523AB" w:rsidRDefault="00603B59">
      <w:pPr>
        <w:spacing w:after="165" w:line="259" w:lineRule="auto"/>
        <w:rPr>
          <w:lang w:eastAsia="en-AU"/>
        </w:rPr>
      </w:pPr>
      <w:r w:rsidRPr="004523AB">
        <w:rPr>
          <w:lang w:eastAsia="en-AU"/>
        </w:rPr>
        <w:br w:type="page"/>
      </w:r>
    </w:p>
    <w:p w14:paraId="50A6E837" w14:textId="361D44A0" w:rsidR="00603B59" w:rsidRPr="004523AB" w:rsidRDefault="00603B59" w:rsidP="00603B59">
      <w:pPr>
        <w:pStyle w:val="Caption"/>
      </w:pPr>
      <w:r w:rsidRPr="004523AB">
        <w:lastRenderedPageBreak/>
        <w:t xml:space="preserve">Table </w:t>
      </w:r>
      <w:r w:rsidRPr="004523AB">
        <w:fldChar w:fldCharType="begin"/>
      </w:r>
      <w:r w:rsidRPr="004523AB">
        <w:instrText xml:space="preserve"> SEQ Table \* ARABIC </w:instrText>
      </w:r>
      <w:r w:rsidRPr="004523AB">
        <w:fldChar w:fldCharType="separate"/>
      </w:r>
      <w:r w:rsidR="00B96E50">
        <w:rPr>
          <w:noProof/>
        </w:rPr>
        <w:t>26</w:t>
      </w:r>
      <w:r w:rsidRPr="004523AB">
        <w:fldChar w:fldCharType="end"/>
      </w:r>
      <w:r w:rsidRPr="004523AB">
        <w:t xml:space="preserve"> |</w:t>
      </w:r>
      <w:r w:rsidR="00E748A4" w:rsidRPr="004523AB">
        <w:t xml:space="preserve"> Stream 2: What did you spend grant funds on relating to infection prevention and control?</w:t>
      </w:r>
      <w:r w:rsidR="00FA7385" w:rsidRPr="004523AB">
        <w:t xml:space="preserve"> (by State)</w:t>
      </w:r>
    </w:p>
    <w:tbl>
      <w:tblPr>
        <w:tblStyle w:val="AccessibleNousTable"/>
        <w:tblW w:w="14033" w:type="dxa"/>
        <w:tblLayout w:type="fixed"/>
        <w:tblLook w:val="0420" w:firstRow="1" w:lastRow="0" w:firstColumn="0" w:lastColumn="0" w:noHBand="0" w:noVBand="1"/>
      </w:tblPr>
      <w:tblGrid>
        <w:gridCol w:w="3894"/>
        <w:gridCol w:w="1296"/>
        <w:gridCol w:w="1296"/>
        <w:gridCol w:w="1296"/>
        <w:gridCol w:w="1296"/>
        <w:gridCol w:w="1296"/>
        <w:gridCol w:w="1296"/>
        <w:gridCol w:w="1296"/>
        <w:gridCol w:w="1067"/>
      </w:tblGrid>
      <w:tr w:rsidR="001A7CB0" w:rsidRPr="004523AB" w14:paraId="1FEFD175" w14:textId="77777777" w:rsidTr="005A26FB">
        <w:trPr>
          <w:cnfStyle w:val="100000000000" w:firstRow="1" w:lastRow="0" w:firstColumn="0" w:lastColumn="0" w:oddVBand="0" w:evenVBand="0" w:oddHBand="0" w:evenHBand="0" w:firstRowFirstColumn="0" w:firstRowLastColumn="0" w:lastRowFirstColumn="0" w:lastRowLastColumn="0"/>
          <w:cantSplit/>
          <w:tblHeader/>
        </w:trPr>
        <w:tc>
          <w:tcPr>
            <w:tcW w:w="3894" w:type="dxa"/>
          </w:tcPr>
          <w:p w14:paraId="70756F46" w14:textId="7B9B6466" w:rsidR="00F5128E" w:rsidRPr="004523AB" w:rsidRDefault="00603B59" w:rsidP="00603B59">
            <w:pPr>
              <w:pBdr>
                <w:top w:val="none" w:sz="0" w:space="0" w:color="000000"/>
                <w:left w:val="none" w:sz="0" w:space="0" w:color="000000"/>
                <w:bottom w:val="none" w:sz="0" w:space="0" w:color="000000"/>
                <w:right w:val="none" w:sz="0" w:space="0" w:color="000000"/>
              </w:pBdr>
              <w:spacing w:after="0"/>
              <w:ind w:right="100"/>
              <w:rPr>
                <w:rFonts w:asciiTheme="majorHAnsi" w:hAnsiTheme="majorHAnsi" w:cstheme="majorHAnsi"/>
                <w:sz w:val="23"/>
                <w:szCs w:val="23"/>
              </w:rPr>
            </w:pPr>
            <w:proofErr w:type="spellStart"/>
            <w:r w:rsidRPr="004523AB">
              <w:rPr>
                <w:rFonts w:asciiTheme="majorHAnsi" w:hAnsiTheme="majorHAnsi" w:cstheme="majorHAnsi"/>
                <w:sz w:val="23"/>
                <w:szCs w:val="23"/>
              </w:rPr>
              <w:t>Reponse</w:t>
            </w:r>
            <w:proofErr w:type="spellEnd"/>
          </w:p>
        </w:tc>
        <w:tc>
          <w:tcPr>
            <w:tcW w:w="1296" w:type="dxa"/>
          </w:tcPr>
          <w:p w14:paraId="643ABB0D" w14:textId="77777777"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 w:val="23"/>
                <w:szCs w:val="23"/>
              </w:rPr>
            </w:pPr>
            <w:r w:rsidRPr="004523AB">
              <w:rPr>
                <w:rFonts w:asciiTheme="majorHAnsi" w:eastAsia="Segoe UI Semibold" w:hAnsiTheme="majorHAnsi" w:cstheme="majorHAnsi"/>
                <w:sz w:val="23"/>
                <w:szCs w:val="23"/>
              </w:rPr>
              <w:t>NSW</w:t>
            </w:r>
          </w:p>
        </w:tc>
        <w:tc>
          <w:tcPr>
            <w:tcW w:w="1296" w:type="dxa"/>
          </w:tcPr>
          <w:p w14:paraId="3C26CDD8" w14:textId="77777777"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 w:val="23"/>
                <w:szCs w:val="23"/>
              </w:rPr>
            </w:pPr>
            <w:r w:rsidRPr="004523AB">
              <w:rPr>
                <w:rFonts w:asciiTheme="majorHAnsi" w:eastAsia="Segoe UI Semibold" w:hAnsiTheme="majorHAnsi" w:cstheme="majorHAnsi"/>
                <w:sz w:val="23"/>
                <w:szCs w:val="23"/>
              </w:rPr>
              <w:t>Vic</w:t>
            </w:r>
          </w:p>
        </w:tc>
        <w:tc>
          <w:tcPr>
            <w:tcW w:w="1296" w:type="dxa"/>
          </w:tcPr>
          <w:p w14:paraId="37B3B56E" w14:textId="77777777"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 w:val="23"/>
                <w:szCs w:val="23"/>
              </w:rPr>
            </w:pPr>
            <w:r w:rsidRPr="004523AB">
              <w:rPr>
                <w:rFonts w:asciiTheme="majorHAnsi" w:eastAsia="Segoe UI Semibold" w:hAnsiTheme="majorHAnsi" w:cstheme="majorHAnsi"/>
                <w:sz w:val="23"/>
                <w:szCs w:val="23"/>
              </w:rPr>
              <w:t>Qld</w:t>
            </w:r>
          </w:p>
        </w:tc>
        <w:tc>
          <w:tcPr>
            <w:tcW w:w="1296" w:type="dxa"/>
          </w:tcPr>
          <w:p w14:paraId="04440E43" w14:textId="77777777"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 w:val="23"/>
                <w:szCs w:val="23"/>
              </w:rPr>
            </w:pPr>
            <w:r w:rsidRPr="004523AB">
              <w:rPr>
                <w:rFonts w:asciiTheme="majorHAnsi" w:eastAsia="Segoe UI Semibold" w:hAnsiTheme="majorHAnsi" w:cstheme="majorHAnsi"/>
                <w:sz w:val="23"/>
                <w:szCs w:val="23"/>
              </w:rPr>
              <w:t>WA</w:t>
            </w:r>
          </w:p>
        </w:tc>
        <w:tc>
          <w:tcPr>
            <w:tcW w:w="1296" w:type="dxa"/>
          </w:tcPr>
          <w:p w14:paraId="41E3D6E3" w14:textId="77777777"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 w:val="23"/>
                <w:szCs w:val="23"/>
              </w:rPr>
            </w:pPr>
            <w:r w:rsidRPr="004523AB">
              <w:rPr>
                <w:rFonts w:asciiTheme="majorHAnsi" w:eastAsia="Segoe UI Semibold" w:hAnsiTheme="majorHAnsi" w:cstheme="majorHAnsi"/>
                <w:sz w:val="23"/>
                <w:szCs w:val="23"/>
              </w:rPr>
              <w:t>SA</w:t>
            </w:r>
          </w:p>
        </w:tc>
        <w:tc>
          <w:tcPr>
            <w:tcW w:w="1296" w:type="dxa"/>
          </w:tcPr>
          <w:p w14:paraId="5CB7A54B" w14:textId="77777777"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 w:val="23"/>
                <w:szCs w:val="23"/>
              </w:rPr>
            </w:pPr>
            <w:r w:rsidRPr="004523AB">
              <w:rPr>
                <w:rFonts w:asciiTheme="majorHAnsi" w:eastAsia="Segoe UI Semibold" w:hAnsiTheme="majorHAnsi" w:cstheme="majorHAnsi"/>
                <w:sz w:val="23"/>
                <w:szCs w:val="23"/>
              </w:rPr>
              <w:t>Tas</w:t>
            </w:r>
          </w:p>
        </w:tc>
        <w:tc>
          <w:tcPr>
            <w:tcW w:w="1296" w:type="dxa"/>
          </w:tcPr>
          <w:p w14:paraId="0C4D1E7E" w14:textId="77777777"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 w:val="23"/>
                <w:szCs w:val="23"/>
              </w:rPr>
            </w:pPr>
            <w:r w:rsidRPr="004523AB">
              <w:rPr>
                <w:rFonts w:asciiTheme="majorHAnsi" w:eastAsia="Segoe UI Semibold" w:hAnsiTheme="majorHAnsi" w:cstheme="majorHAnsi"/>
                <w:sz w:val="23"/>
                <w:szCs w:val="23"/>
              </w:rPr>
              <w:t>ACT</w:t>
            </w:r>
          </w:p>
        </w:tc>
        <w:tc>
          <w:tcPr>
            <w:tcW w:w="1067" w:type="dxa"/>
          </w:tcPr>
          <w:p w14:paraId="05977F00" w14:textId="77777777"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 w:val="23"/>
                <w:szCs w:val="23"/>
              </w:rPr>
            </w:pPr>
            <w:r w:rsidRPr="004523AB">
              <w:rPr>
                <w:rFonts w:asciiTheme="majorHAnsi" w:eastAsia="Segoe UI Semibold" w:hAnsiTheme="majorHAnsi" w:cstheme="majorHAnsi"/>
                <w:sz w:val="23"/>
                <w:szCs w:val="23"/>
              </w:rPr>
              <w:t>NT</w:t>
            </w:r>
          </w:p>
        </w:tc>
      </w:tr>
      <w:tr w:rsidR="00F5128E" w:rsidRPr="004523AB" w14:paraId="71389CD5" w14:textId="77777777" w:rsidTr="00DD5E8C">
        <w:tc>
          <w:tcPr>
            <w:tcW w:w="3894" w:type="dxa"/>
          </w:tcPr>
          <w:p w14:paraId="4E4340A8" w14:textId="77777777" w:rsidR="00F5128E" w:rsidRPr="004523AB" w:rsidRDefault="00F5128E">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Professional assessment of existing infection prevention and control arrangements</w:t>
            </w:r>
          </w:p>
        </w:tc>
        <w:tc>
          <w:tcPr>
            <w:tcW w:w="1296" w:type="dxa"/>
          </w:tcPr>
          <w:p w14:paraId="05144DFE" w14:textId="7896B045"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354 (31.7</w:t>
            </w:r>
            <w:r w:rsidR="008752C6" w:rsidRPr="004523AB">
              <w:rPr>
                <w:rFonts w:eastAsia="Segoe UI" w:cs="Segoe UI"/>
                <w:color w:val="000000"/>
                <w:szCs w:val="21"/>
              </w:rPr>
              <w:t xml:space="preserve"> per cent)</w:t>
            </w:r>
          </w:p>
        </w:tc>
        <w:tc>
          <w:tcPr>
            <w:tcW w:w="1296" w:type="dxa"/>
          </w:tcPr>
          <w:p w14:paraId="7700BE65" w14:textId="3FC1EA41"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268 (28.2</w:t>
            </w:r>
            <w:r w:rsidR="008752C6" w:rsidRPr="004523AB">
              <w:rPr>
                <w:rFonts w:eastAsia="Segoe UI" w:cs="Segoe UI"/>
                <w:color w:val="000000"/>
                <w:szCs w:val="21"/>
              </w:rPr>
              <w:t xml:space="preserve"> per cent)</w:t>
            </w:r>
          </w:p>
        </w:tc>
        <w:tc>
          <w:tcPr>
            <w:tcW w:w="1296" w:type="dxa"/>
          </w:tcPr>
          <w:p w14:paraId="72952093" w14:textId="646F1CA4"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166 (27.7</w:t>
            </w:r>
            <w:r w:rsidR="008752C6" w:rsidRPr="004523AB">
              <w:rPr>
                <w:rFonts w:eastAsia="Segoe UI" w:cs="Segoe UI"/>
                <w:color w:val="000000"/>
                <w:szCs w:val="21"/>
              </w:rPr>
              <w:t xml:space="preserve"> per cent)</w:t>
            </w:r>
          </w:p>
        </w:tc>
        <w:tc>
          <w:tcPr>
            <w:tcW w:w="1296" w:type="dxa"/>
          </w:tcPr>
          <w:p w14:paraId="5E0F9938" w14:textId="178DC3E2"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101 (27.4</w:t>
            </w:r>
            <w:r w:rsidR="008752C6" w:rsidRPr="004523AB">
              <w:rPr>
                <w:rFonts w:eastAsia="Segoe UI" w:cs="Segoe UI"/>
                <w:color w:val="000000"/>
                <w:szCs w:val="21"/>
              </w:rPr>
              <w:t xml:space="preserve"> per cent)</w:t>
            </w:r>
          </w:p>
        </w:tc>
        <w:tc>
          <w:tcPr>
            <w:tcW w:w="1296" w:type="dxa"/>
          </w:tcPr>
          <w:p w14:paraId="1775CFE4" w14:textId="16AD723E"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48 (31.4</w:t>
            </w:r>
            <w:r w:rsidR="008752C6" w:rsidRPr="004523AB">
              <w:rPr>
                <w:rFonts w:eastAsia="Segoe UI" w:cs="Segoe UI"/>
                <w:color w:val="000000"/>
                <w:szCs w:val="21"/>
              </w:rPr>
              <w:t xml:space="preserve"> per cent)</w:t>
            </w:r>
          </w:p>
        </w:tc>
        <w:tc>
          <w:tcPr>
            <w:tcW w:w="1296" w:type="dxa"/>
          </w:tcPr>
          <w:p w14:paraId="1DB50970" w14:textId="1A0E705E"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7 (10.6</w:t>
            </w:r>
            <w:r w:rsidR="008752C6" w:rsidRPr="004523AB">
              <w:rPr>
                <w:rFonts w:eastAsia="Segoe UI" w:cs="Segoe UI"/>
                <w:color w:val="000000"/>
                <w:szCs w:val="21"/>
              </w:rPr>
              <w:t xml:space="preserve"> per cent)</w:t>
            </w:r>
          </w:p>
        </w:tc>
        <w:tc>
          <w:tcPr>
            <w:tcW w:w="1296" w:type="dxa"/>
          </w:tcPr>
          <w:p w14:paraId="4537DC96" w14:textId="71EABB3A"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9 (15.8</w:t>
            </w:r>
            <w:r w:rsidR="008752C6" w:rsidRPr="004523AB">
              <w:rPr>
                <w:rFonts w:eastAsia="Segoe UI" w:cs="Segoe UI"/>
                <w:color w:val="000000"/>
                <w:szCs w:val="21"/>
              </w:rPr>
              <w:t xml:space="preserve"> per cent)</w:t>
            </w:r>
          </w:p>
        </w:tc>
        <w:tc>
          <w:tcPr>
            <w:tcW w:w="1067" w:type="dxa"/>
          </w:tcPr>
          <w:p w14:paraId="0B164A9A" w14:textId="529D009F"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 (6.2</w:t>
            </w:r>
            <w:r w:rsidR="008752C6" w:rsidRPr="004523AB">
              <w:rPr>
                <w:rFonts w:eastAsia="Segoe UI" w:cs="Segoe UI"/>
                <w:color w:val="000000"/>
                <w:szCs w:val="21"/>
              </w:rPr>
              <w:t xml:space="preserve"> per cent)</w:t>
            </w:r>
          </w:p>
        </w:tc>
      </w:tr>
      <w:tr w:rsidR="00F5128E" w:rsidRPr="004523AB" w14:paraId="58DC8E91" w14:textId="77777777" w:rsidTr="00DD5E8C">
        <w:tc>
          <w:tcPr>
            <w:tcW w:w="3894" w:type="dxa"/>
          </w:tcPr>
          <w:p w14:paraId="23E57BA3" w14:textId="77777777" w:rsidR="00F5128E" w:rsidRPr="004523AB" w:rsidRDefault="00F5128E">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Infrastructure</w:t>
            </w:r>
          </w:p>
        </w:tc>
        <w:tc>
          <w:tcPr>
            <w:tcW w:w="1296" w:type="dxa"/>
          </w:tcPr>
          <w:p w14:paraId="35C4D131" w14:textId="5FDC7DD0"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387 (34.7</w:t>
            </w:r>
            <w:r w:rsidR="008752C6" w:rsidRPr="004523AB">
              <w:rPr>
                <w:rFonts w:eastAsia="Segoe UI" w:cs="Segoe UI"/>
                <w:color w:val="000000"/>
                <w:szCs w:val="21"/>
              </w:rPr>
              <w:t xml:space="preserve"> per cent)</w:t>
            </w:r>
          </w:p>
        </w:tc>
        <w:tc>
          <w:tcPr>
            <w:tcW w:w="1296" w:type="dxa"/>
          </w:tcPr>
          <w:p w14:paraId="5A9A0863" w14:textId="71B2F4CA"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310 (32.6</w:t>
            </w:r>
            <w:r w:rsidR="008752C6" w:rsidRPr="004523AB">
              <w:rPr>
                <w:rFonts w:eastAsia="Segoe UI" w:cs="Segoe UI"/>
                <w:color w:val="000000"/>
                <w:szCs w:val="21"/>
              </w:rPr>
              <w:t xml:space="preserve"> per cent)</w:t>
            </w:r>
          </w:p>
        </w:tc>
        <w:tc>
          <w:tcPr>
            <w:tcW w:w="1296" w:type="dxa"/>
          </w:tcPr>
          <w:p w14:paraId="624091A8" w14:textId="218FD07E"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160 (26.7</w:t>
            </w:r>
            <w:r w:rsidR="008752C6" w:rsidRPr="004523AB">
              <w:rPr>
                <w:rFonts w:eastAsia="Segoe UI" w:cs="Segoe UI"/>
                <w:color w:val="000000"/>
                <w:szCs w:val="21"/>
              </w:rPr>
              <w:t xml:space="preserve"> per cent)</w:t>
            </w:r>
          </w:p>
        </w:tc>
        <w:tc>
          <w:tcPr>
            <w:tcW w:w="1296" w:type="dxa"/>
          </w:tcPr>
          <w:p w14:paraId="6220D61C" w14:textId="003ED693"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101 (27.4</w:t>
            </w:r>
            <w:r w:rsidR="008752C6" w:rsidRPr="004523AB">
              <w:rPr>
                <w:rFonts w:eastAsia="Segoe UI" w:cs="Segoe UI"/>
                <w:color w:val="000000"/>
                <w:szCs w:val="21"/>
              </w:rPr>
              <w:t xml:space="preserve"> per cent)</w:t>
            </w:r>
          </w:p>
        </w:tc>
        <w:tc>
          <w:tcPr>
            <w:tcW w:w="1296" w:type="dxa"/>
          </w:tcPr>
          <w:p w14:paraId="20C2E895" w14:textId="7963E7D5"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50 (32.7</w:t>
            </w:r>
            <w:r w:rsidR="008752C6" w:rsidRPr="004523AB">
              <w:rPr>
                <w:rFonts w:eastAsia="Segoe UI" w:cs="Segoe UI"/>
                <w:color w:val="000000"/>
                <w:szCs w:val="21"/>
              </w:rPr>
              <w:t xml:space="preserve"> per cent)</w:t>
            </w:r>
          </w:p>
        </w:tc>
        <w:tc>
          <w:tcPr>
            <w:tcW w:w="1296" w:type="dxa"/>
          </w:tcPr>
          <w:p w14:paraId="706171FE" w14:textId="515314FC"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13 (19.7</w:t>
            </w:r>
            <w:r w:rsidR="008752C6" w:rsidRPr="004523AB">
              <w:rPr>
                <w:rFonts w:eastAsia="Segoe UI" w:cs="Segoe UI"/>
                <w:color w:val="000000"/>
                <w:szCs w:val="21"/>
              </w:rPr>
              <w:t xml:space="preserve"> per cent)</w:t>
            </w:r>
          </w:p>
        </w:tc>
        <w:tc>
          <w:tcPr>
            <w:tcW w:w="1296" w:type="dxa"/>
          </w:tcPr>
          <w:p w14:paraId="655F239E" w14:textId="5307E763"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23 (40.4</w:t>
            </w:r>
            <w:r w:rsidR="008752C6" w:rsidRPr="004523AB">
              <w:rPr>
                <w:rFonts w:eastAsia="Segoe UI" w:cs="Segoe UI"/>
                <w:color w:val="000000"/>
                <w:szCs w:val="21"/>
              </w:rPr>
              <w:t xml:space="preserve"> per cent)</w:t>
            </w:r>
          </w:p>
        </w:tc>
        <w:tc>
          <w:tcPr>
            <w:tcW w:w="1067" w:type="dxa"/>
          </w:tcPr>
          <w:p w14:paraId="0DE65877" w14:textId="52D0918E"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 (25.0</w:t>
            </w:r>
            <w:r w:rsidR="008752C6" w:rsidRPr="004523AB">
              <w:rPr>
                <w:rFonts w:eastAsia="Segoe UI" w:cs="Segoe UI"/>
                <w:color w:val="000000"/>
                <w:szCs w:val="21"/>
              </w:rPr>
              <w:t xml:space="preserve"> per cent)</w:t>
            </w:r>
          </w:p>
        </w:tc>
      </w:tr>
      <w:tr w:rsidR="00F5128E" w:rsidRPr="004523AB" w14:paraId="3FD33636" w14:textId="77777777" w:rsidTr="00DD5E8C">
        <w:tc>
          <w:tcPr>
            <w:tcW w:w="3894" w:type="dxa"/>
          </w:tcPr>
          <w:p w14:paraId="20563981" w14:textId="77777777" w:rsidR="00F5128E" w:rsidRPr="004523AB" w:rsidRDefault="00F5128E">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Purchase of equipment</w:t>
            </w:r>
          </w:p>
        </w:tc>
        <w:tc>
          <w:tcPr>
            <w:tcW w:w="1296" w:type="dxa"/>
          </w:tcPr>
          <w:p w14:paraId="26E8C1C3" w14:textId="23B66884"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887 (79.5</w:t>
            </w:r>
            <w:r w:rsidR="008752C6" w:rsidRPr="004523AB">
              <w:rPr>
                <w:rFonts w:eastAsia="Segoe UI" w:cs="Segoe UI"/>
                <w:color w:val="000000"/>
                <w:szCs w:val="21"/>
              </w:rPr>
              <w:t xml:space="preserve"> per cent)</w:t>
            </w:r>
          </w:p>
        </w:tc>
        <w:tc>
          <w:tcPr>
            <w:tcW w:w="1296" w:type="dxa"/>
          </w:tcPr>
          <w:p w14:paraId="4A5E1CA6" w14:textId="47B04774"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712 (74.9</w:t>
            </w:r>
            <w:r w:rsidR="008752C6" w:rsidRPr="004523AB">
              <w:rPr>
                <w:rFonts w:eastAsia="Segoe UI" w:cs="Segoe UI"/>
                <w:color w:val="000000"/>
                <w:szCs w:val="21"/>
              </w:rPr>
              <w:t xml:space="preserve"> per cent)</w:t>
            </w:r>
          </w:p>
        </w:tc>
        <w:tc>
          <w:tcPr>
            <w:tcW w:w="1296" w:type="dxa"/>
          </w:tcPr>
          <w:p w14:paraId="177DD8BC" w14:textId="4C5E9491"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471 (78.6</w:t>
            </w:r>
            <w:r w:rsidR="008752C6" w:rsidRPr="004523AB">
              <w:rPr>
                <w:rFonts w:eastAsia="Segoe UI" w:cs="Segoe UI"/>
                <w:color w:val="000000"/>
                <w:szCs w:val="21"/>
              </w:rPr>
              <w:t xml:space="preserve"> per cent)</w:t>
            </w:r>
          </w:p>
        </w:tc>
        <w:tc>
          <w:tcPr>
            <w:tcW w:w="1296" w:type="dxa"/>
          </w:tcPr>
          <w:p w14:paraId="51F06243" w14:textId="59FB0783"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312 (84.8</w:t>
            </w:r>
            <w:r w:rsidR="008752C6" w:rsidRPr="004523AB">
              <w:rPr>
                <w:rFonts w:eastAsia="Segoe UI" w:cs="Segoe UI"/>
                <w:color w:val="000000"/>
                <w:szCs w:val="21"/>
              </w:rPr>
              <w:t xml:space="preserve"> per cent)</w:t>
            </w:r>
          </w:p>
        </w:tc>
        <w:tc>
          <w:tcPr>
            <w:tcW w:w="1296" w:type="dxa"/>
          </w:tcPr>
          <w:p w14:paraId="0DF68680" w14:textId="6F141D31"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114 (74.5</w:t>
            </w:r>
            <w:r w:rsidR="008752C6" w:rsidRPr="004523AB">
              <w:rPr>
                <w:rFonts w:eastAsia="Segoe UI" w:cs="Segoe UI"/>
                <w:color w:val="000000"/>
                <w:szCs w:val="21"/>
              </w:rPr>
              <w:t xml:space="preserve"> per cent)</w:t>
            </w:r>
          </w:p>
        </w:tc>
        <w:tc>
          <w:tcPr>
            <w:tcW w:w="1296" w:type="dxa"/>
          </w:tcPr>
          <w:p w14:paraId="45928E07" w14:textId="5D62101B"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58 (87.9</w:t>
            </w:r>
            <w:r w:rsidR="008752C6" w:rsidRPr="004523AB">
              <w:rPr>
                <w:rFonts w:eastAsia="Segoe UI" w:cs="Segoe UI"/>
                <w:color w:val="000000"/>
                <w:szCs w:val="21"/>
              </w:rPr>
              <w:t xml:space="preserve"> per cent)</w:t>
            </w:r>
          </w:p>
        </w:tc>
        <w:tc>
          <w:tcPr>
            <w:tcW w:w="1296" w:type="dxa"/>
          </w:tcPr>
          <w:p w14:paraId="225F7EDB" w14:textId="49BC8382"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45 (78.9</w:t>
            </w:r>
            <w:r w:rsidR="008752C6" w:rsidRPr="004523AB">
              <w:rPr>
                <w:rFonts w:eastAsia="Segoe UI" w:cs="Segoe UI"/>
                <w:color w:val="000000"/>
                <w:szCs w:val="21"/>
              </w:rPr>
              <w:t xml:space="preserve"> per cent)</w:t>
            </w:r>
          </w:p>
        </w:tc>
        <w:tc>
          <w:tcPr>
            <w:tcW w:w="1067" w:type="dxa"/>
          </w:tcPr>
          <w:p w14:paraId="44926901" w14:textId="563B44A9"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9 (56.2</w:t>
            </w:r>
            <w:r w:rsidR="008752C6" w:rsidRPr="004523AB">
              <w:rPr>
                <w:rFonts w:eastAsia="Segoe UI" w:cs="Segoe UI"/>
                <w:color w:val="000000"/>
                <w:szCs w:val="21"/>
              </w:rPr>
              <w:t xml:space="preserve"> per cent)</w:t>
            </w:r>
          </w:p>
        </w:tc>
      </w:tr>
      <w:tr w:rsidR="00F5128E" w:rsidRPr="004523AB" w14:paraId="7BF5D58E" w14:textId="77777777" w:rsidTr="00DD5E8C">
        <w:tc>
          <w:tcPr>
            <w:tcW w:w="3894" w:type="dxa"/>
          </w:tcPr>
          <w:p w14:paraId="24D39035" w14:textId="77777777" w:rsidR="00F5128E" w:rsidRPr="004523AB" w:rsidRDefault="00F5128E">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Improving infection prevention and control procedures</w:t>
            </w:r>
          </w:p>
        </w:tc>
        <w:tc>
          <w:tcPr>
            <w:tcW w:w="1296" w:type="dxa"/>
          </w:tcPr>
          <w:p w14:paraId="63500BE1" w14:textId="4021AB21"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725 (65.0</w:t>
            </w:r>
            <w:r w:rsidR="008752C6" w:rsidRPr="004523AB">
              <w:rPr>
                <w:rFonts w:eastAsia="Segoe UI" w:cs="Segoe UI"/>
                <w:color w:val="000000"/>
                <w:szCs w:val="21"/>
              </w:rPr>
              <w:t xml:space="preserve"> per cent)</w:t>
            </w:r>
          </w:p>
        </w:tc>
        <w:tc>
          <w:tcPr>
            <w:tcW w:w="1296" w:type="dxa"/>
          </w:tcPr>
          <w:p w14:paraId="10E4B3A6" w14:textId="6CA96EFC"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582 (61.3</w:t>
            </w:r>
            <w:r w:rsidR="008752C6" w:rsidRPr="004523AB">
              <w:rPr>
                <w:rFonts w:eastAsia="Segoe UI" w:cs="Segoe UI"/>
                <w:color w:val="000000"/>
                <w:szCs w:val="21"/>
              </w:rPr>
              <w:t xml:space="preserve"> per cent)</w:t>
            </w:r>
          </w:p>
        </w:tc>
        <w:tc>
          <w:tcPr>
            <w:tcW w:w="1296" w:type="dxa"/>
          </w:tcPr>
          <w:p w14:paraId="30CC92EA" w14:textId="56BDE68C"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352 (58.8</w:t>
            </w:r>
            <w:r w:rsidR="008752C6" w:rsidRPr="004523AB">
              <w:rPr>
                <w:rFonts w:eastAsia="Segoe UI" w:cs="Segoe UI"/>
                <w:color w:val="000000"/>
                <w:szCs w:val="21"/>
              </w:rPr>
              <w:t xml:space="preserve"> per cent)</w:t>
            </w:r>
          </w:p>
        </w:tc>
        <w:tc>
          <w:tcPr>
            <w:tcW w:w="1296" w:type="dxa"/>
          </w:tcPr>
          <w:p w14:paraId="332CE9E9" w14:textId="73411A55"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241 (65.5</w:t>
            </w:r>
            <w:r w:rsidR="008752C6" w:rsidRPr="004523AB">
              <w:rPr>
                <w:rFonts w:eastAsia="Segoe UI" w:cs="Segoe UI"/>
                <w:color w:val="000000"/>
                <w:szCs w:val="21"/>
              </w:rPr>
              <w:t xml:space="preserve"> per cent)</w:t>
            </w:r>
          </w:p>
        </w:tc>
        <w:tc>
          <w:tcPr>
            <w:tcW w:w="1296" w:type="dxa"/>
          </w:tcPr>
          <w:p w14:paraId="5D164D62" w14:textId="0ED81B8E"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93 (60.8</w:t>
            </w:r>
            <w:r w:rsidR="008752C6" w:rsidRPr="004523AB">
              <w:rPr>
                <w:rFonts w:eastAsia="Segoe UI" w:cs="Segoe UI"/>
                <w:color w:val="000000"/>
                <w:szCs w:val="21"/>
              </w:rPr>
              <w:t xml:space="preserve"> per cent)</w:t>
            </w:r>
          </w:p>
        </w:tc>
        <w:tc>
          <w:tcPr>
            <w:tcW w:w="1296" w:type="dxa"/>
          </w:tcPr>
          <w:p w14:paraId="3BA39C37" w14:textId="4094756A"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31 (47.0</w:t>
            </w:r>
            <w:r w:rsidR="008752C6" w:rsidRPr="004523AB">
              <w:rPr>
                <w:rFonts w:eastAsia="Segoe UI" w:cs="Segoe UI"/>
                <w:color w:val="000000"/>
                <w:szCs w:val="21"/>
              </w:rPr>
              <w:t xml:space="preserve"> per cent)</w:t>
            </w:r>
          </w:p>
        </w:tc>
        <w:tc>
          <w:tcPr>
            <w:tcW w:w="1296" w:type="dxa"/>
          </w:tcPr>
          <w:p w14:paraId="0EACCE3D" w14:textId="042DF98E"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23 (40.4</w:t>
            </w:r>
            <w:r w:rsidR="008752C6" w:rsidRPr="004523AB">
              <w:rPr>
                <w:rFonts w:eastAsia="Segoe UI" w:cs="Segoe UI"/>
                <w:color w:val="000000"/>
                <w:szCs w:val="21"/>
              </w:rPr>
              <w:t xml:space="preserve"> per cent)</w:t>
            </w:r>
          </w:p>
        </w:tc>
        <w:tc>
          <w:tcPr>
            <w:tcW w:w="1067" w:type="dxa"/>
          </w:tcPr>
          <w:p w14:paraId="1670AEFD" w14:textId="053E16C4"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 (31.2</w:t>
            </w:r>
            <w:r w:rsidR="008752C6" w:rsidRPr="004523AB">
              <w:rPr>
                <w:rFonts w:eastAsia="Segoe UI" w:cs="Segoe UI"/>
                <w:color w:val="000000"/>
                <w:szCs w:val="21"/>
              </w:rPr>
              <w:t xml:space="preserve"> per cent)</w:t>
            </w:r>
          </w:p>
        </w:tc>
      </w:tr>
      <w:tr w:rsidR="00F5128E" w:rsidRPr="004523AB" w14:paraId="5D13F26B" w14:textId="77777777" w:rsidTr="00DD5E8C">
        <w:tc>
          <w:tcPr>
            <w:tcW w:w="3894" w:type="dxa"/>
          </w:tcPr>
          <w:p w14:paraId="210EAAE3" w14:textId="77777777" w:rsidR="00F5128E" w:rsidRPr="004523AB" w:rsidRDefault="00F5128E">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Training courses</w:t>
            </w:r>
          </w:p>
        </w:tc>
        <w:tc>
          <w:tcPr>
            <w:tcW w:w="1296" w:type="dxa"/>
          </w:tcPr>
          <w:p w14:paraId="4ABE9B82" w14:textId="4BDCB887"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244 (21.9</w:t>
            </w:r>
            <w:r w:rsidR="008752C6" w:rsidRPr="004523AB">
              <w:rPr>
                <w:rFonts w:eastAsia="Segoe UI" w:cs="Segoe UI"/>
                <w:color w:val="000000"/>
                <w:szCs w:val="21"/>
              </w:rPr>
              <w:t xml:space="preserve"> per cent)</w:t>
            </w:r>
          </w:p>
        </w:tc>
        <w:tc>
          <w:tcPr>
            <w:tcW w:w="1296" w:type="dxa"/>
          </w:tcPr>
          <w:p w14:paraId="0D60AA4A" w14:textId="5FC3DA83"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216 (22.7</w:t>
            </w:r>
            <w:r w:rsidR="008752C6" w:rsidRPr="004523AB">
              <w:rPr>
                <w:rFonts w:eastAsia="Segoe UI" w:cs="Segoe UI"/>
                <w:color w:val="000000"/>
                <w:szCs w:val="21"/>
              </w:rPr>
              <w:t xml:space="preserve"> per cent)</w:t>
            </w:r>
          </w:p>
        </w:tc>
        <w:tc>
          <w:tcPr>
            <w:tcW w:w="1296" w:type="dxa"/>
          </w:tcPr>
          <w:p w14:paraId="5071871D" w14:textId="63D72504"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104 (17.4</w:t>
            </w:r>
            <w:r w:rsidR="008752C6" w:rsidRPr="004523AB">
              <w:rPr>
                <w:rFonts w:eastAsia="Segoe UI" w:cs="Segoe UI"/>
                <w:color w:val="000000"/>
                <w:szCs w:val="21"/>
              </w:rPr>
              <w:t xml:space="preserve"> per cent)</w:t>
            </w:r>
          </w:p>
        </w:tc>
        <w:tc>
          <w:tcPr>
            <w:tcW w:w="1296" w:type="dxa"/>
          </w:tcPr>
          <w:p w14:paraId="2E594026" w14:textId="3F365F11"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118 (32.1</w:t>
            </w:r>
            <w:r w:rsidR="008752C6" w:rsidRPr="004523AB">
              <w:rPr>
                <w:rFonts w:eastAsia="Segoe UI" w:cs="Segoe UI"/>
                <w:color w:val="000000"/>
                <w:szCs w:val="21"/>
              </w:rPr>
              <w:t xml:space="preserve"> per cent)</w:t>
            </w:r>
          </w:p>
        </w:tc>
        <w:tc>
          <w:tcPr>
            <w:tcW w:w="1296" w:type="dxa"/>
          </w:tcPr>
          <w:p w14:paraId="30FEB8C3" w14:textId="63131CCD"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46 (30.1</w:t>
            </w:r>
            <w:r w:rsidR="008752C6" w:rsidRPr="004523AB">
              <w:rPr>
                <w:rFonts w:eastAsia="Segoe UI" w:cs="Segoe UI"/>
                <w:color w:val="000000"/>
                <w:szCs w:val="21"/>
              </w:rPr>
              <w:t xml:space="preserve"> per cent)</w:t>
            </w:r>
          </w:p>
        </w:tc>
        <w:tc>
          <w:tcPr>
            <w:tcW w:w="1296" w:type="dxa"/>
          </w:tcPr>
          <w:p w14:paraId="3702EB34" w14:textId="085C5FBB"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9 (13.6</w:t>
            </w:r>
            <w:r w:rsidR="008752C6" w:rsidRPr="004523AB">
              <w:rPr>
                <w:rFonts w:eastAsia="Segoe UI" w:cs="Segoe UI"/>
                <w:color w:val="000000"/>
                <w:szCs w:val="21"/>
              </w:rPr>
              <w:t xml:space="preserve"> per cent)</w:t>
            </w:r>
          </w:p>
        </w:tc>
        <w:tc>
          <w:tcPr>
            <w:tcW w:w="1296" w:type="dxa"/>
          </w:tcPr>
          <w:p w14:paraId="060605FB" w14:textId="64F09AF8"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6 (10.5</w:t>
            </w:r>
            <w:r w:rsidR="008752C6" w:rsidRPr="004523AB">
              <w:rPr>
                <w:rFonts w:eastAsia="Segoe UI" w:cs="Segoe UI"/>
                <w:color w:val="000000"/>
                <w:szCs w:val="21"/>
              </w:rPr>
              <w:t xml:space="preserve"> per cent)</w:t>
            </w:r>
          </w:p>
        </w:tc>
        <w:tc>
          <w:tcPr>
            <w:tcW w:w="1067" w:type="dxa"/>
          </w:tcPr>
          <w:p w14:paraId="30202ABA" w14:textId="2BFB93DF"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 (25.0</w:t>
            </w:r>
            <w:r w:rsidR="008752C6" w:rsidRPr="004523AB">
              <w:rPr>
                <w:rFonts w:eastAsia="Segoe UI" w:cs="Segoe UI"/>
                <w:color w:val="000000"/>
                <w:szCs w:val="21"/>
              </w:rPr>
              <w:t xml:space="preserve"> per cent)</w:t>
            </w:r>
          </w:p>
        </w:tc>
      </w:tr>
      <w:tr w:rsidR="00F5128E" w:rsidRPr="004523AB" w14:paraId="76C33B09" w14:textId="77777777" w:rsidTr="00DD5E8C">
        <w:tc>
          <w:tcPr>
            <w:tcW w:w="3894" w:type="dxa"/>
          </w:tcPr>
          <w:p w14:paraId="6147CC55" w14:textId="77777777" w:rsidR="00F5128E" w:rsidRPr="004523AB" w:rsidRDefault="00F5128E">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Reimbursement of staff time</w:t>
            </w:r>
          </w:p>
        </w:tc>
        <w:tc>
          <w:tcPr>
            <w:tcW w:w="1296" w:type="dxa"/>
          </w:tcPr>
          <w:p w14:paraId="1A76D470" w14:textId="2E03B8C8"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293 (26.3</w:t>
            </w:r>
            <w:r w:rsidR="008752C6" w:rsidRPr="004523AB">
              <w:rPr>
                <w:rFonts w:eastAsia="Segoe UI" w:cs="Segoe UI"/>
                <w:color w:val="000000"/>
                <w:szCs w:val="21"/>
              </w:rPr>
              <w:t xml:space="preserve"> per cent)</w:t>
            </w:r>
          </w:p>
        </w:tc>
        <w:tc>
          <w:tcPr>
            <w:tcW w:w="1296" w:type="dxa"/>
          </w:tcPr>
          <w:p w14:paraId="5BC09451" w14:textId="634CCAB9"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253 (26.6</w:t>
            </w:r>
            <w:r w:rsidR="008752C6" w:rsidRPr="004523AB">
              <w:rPr>
                <w:rFonts w:eastAsia="Segoe UI" w:cs="Segoe UI"/>
                <w:color w:val="000000"/>
                <w:szCs w:val="21"/>
              </w:rPr>
              <w:t xml:space="preserve"> per cent)</w:t>
            </w:r>
          </w:p>
        </w:tc>
        <w:tc>
          <w:tcPr>
            <w:tcW w:w="1296" w:type="dxa"/>
          </w:tcPr>
          <w:p w14:paraId="0606DA25" w14:textId="426A27BC"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161 (26.9</w:t>
            </w:r>
            <w:r w:rsidR="008752C6" w:rsidRPr="004523AB">
              <w:rPr>
                <w:rFonts w:eastAsia="Segoe UI" w:cs="Segoe UI"/>
                <w:color w:val="000000"/>
                <w:szCs w:val="21"/>
              </w:rPr>
              <w:t xml:space="preserve"> per cent)</w:t>
            </w:r>
          </w:p>
        </w:tc>
        <w:tc>
          <w:tcPr>
            <w:tcW w:w="1296" w:type="dxa"/>
          </w:tcPr>
          <w:p w14:paraId="4FEB7470" w14:textId="33179590"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122 (33.2</w:t>
            </w:r>
            <w:r w:rsidR="008752C6" w:rsidRPr="004523AB">
              <w:rPr>
                <w:rFonts w:eastAsia="Segoe UI" w:cs="Segoe UI"/>
                <w:color w:val="000000"/>
                <w:szCs w:val="21"/>
              </w:rPr>
              <w:t xml:space="preserve"> per cent)</w:t>
            </w:r>
          </w:p>
        </w:tc>
        <w:tc>
          <w:tcPr>
            <w:tcW w:w="1296" w:type="dxa"/>
          </w:tcPr>
          <w:p w14:paraId="16DED2F8" w14:textId="3614B9FC"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52 (34.0</w:t>
            </w:r>
            <w:r w:rsidR="008752C6" w:rsidRPr="004523AB">
              <w:rPr>
                <w:rFonts w:eastAsia="Segoe UI" w:cs="Segoe UI"/>
                <w:color w:val="000000"/>
                <w:szCs w:val="21"/>
              </w:rPr>
              <w:t xml:space="preserve"> per cent)</w:t>
            </w:r>
          </w:p>
        </w:tc>
        <w:tc>
          <w:tcPr>
            <w:tcW w:w="1296" w:type="dxa"/>
          </w:tcPr>
          <w:p w14:paraId="7D50253E" w14:textId="5D21B8EA"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13 (19.7</w:t>
            </w:r>
            <w:r w:rsidR="008752C6" w:rsidRPr="004523AB">
              <w:rPr>
                <w:rFonts w:eastAsia="Segoe UI" w:cs="Segoe UI"/>
                <w:color w:val="000000"/>
                <w:szCs w:val="21"/>
              </w:rPr>
              <w:t xml:space="preserve"> per cent)</w:t>
            </w:r>
          </w:p>
        </w:tc>
        <w:tc>
          <w:tcPr>
            <w:tcW w:w="1296" w:type="dxa"/>
          </w:tcPr>
          <w:p w14:paraId="06B1C1B9" w14:textId="0A144672"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 (7.0</w:t>
            </w:r>
            <w:r w:rsidR="008752C6" w:rsidRPr="004523AB">
              <w:rPr>
                <w:rFonts w:eastAsia="Segoe UI" w:cs="Segoe UI"/>
                <w:color w:val="000000"/>
                <w:szCs w:val="21"/>
              </w:rPr>
              <w:t xml:space="preserve"> per cent)</w:t>
            </w:r>
          </w:p>
        </w:tc>
        <w:tc>
          <w:tcPr>
            <w:tcW w:w="1067" w:type="dxa"/>
          </w:tcPr>
          <w:p w14:paraId="6C6195F8" w14:textId="75803538"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 (12.5</w:t>
            </w:r>
            <w:r w:rsidR="008752C6" w:rsidRPr="004523AB">
              <w:rPr>
                <w:rFonts w:eastAsia="Segoe UI" w:cs="Segoe UI"/>
                <w:color w:val="000000"/>
                <w:szCs w:val="21"/>
              </w:rPr>
              <w:t xml:space="preserve"> per cent)</w:t>
            </w:r>
          </w:p>
        </w:tc>
      </w:tr>
      <w:tr w:rsidR="00F5128E" w:rsidRPr="004523AB" w14:paraId="607420A3" w14:textId="77777777" w:rsidTr="00DD5E8C">
        <w:tc>
          <w:tcPr>
            <w:tcW w:w="3894" w:type="dxa"/>
          </w:tcPr>
          <w:p w14:paraId="3ABCB07F" w14:textId="77777777" w:rsidR="00F5128E" w:rsidRPr="004523AB" w:rsidRDefault="00F5128E">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 xml:space="preserve">Minor capital works </w:t>
            </w:r>
          </w:p>
        </w:tc>
        <w:tc>
          <w:tcPr>
            <w:tcW w:w="1296" w:type="dxa"/>
          </w:tcPr>
          <w:p w14:paraId="73CBC516" w14:textId="3636DB07"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327 (29.3</w:t>
            </w:r>
            <w:r w:rsidR="008752C6" w:rsidRPr="004523AB">
              <w:rPr>
                <w:rFonts w:eastAsia="Segoe UI" w:cs="Segoe UI"/>
                <w:color w:val="000000"/>
                <w:szCs w:val="21"/>
              </w:rPr>
              <w:t xml:space="preserve"> per cent)</w:t>
            </w:r>
          </w:p>
        </w:tc>
        <w:tc>
          <w:tcPr>
            <w:tcW w:w="1296" w:type="dxa"/>
          </w:tcPr>
          <w:p w14:paraId="6B54CBBC" w14:textId="6D90C8A9"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292 (30.7</w:t>
            </w:r>
            <w:r w:rsidR="008752C6" w:rsidRPr="004523AB">
              <w:rPr>
                <w:rFonts w:eastAsia="Segoe UI" w:cs="Segoe UI"/>
                <w:color w:val="000000"/>
                <w:szCs w:val="21"/>
              </w:rPr>
              <w:t xml:space="preserve"> per cent)</w:t>
            </w:r>
          </w:p>
        </w:tc>
        <w:tc>
          <w:tcPr>
            <w:tcW w:w="1296" w:type="dxa"/>
          </w:tcPr>
          <w:p w14:paraId="2F18D71F" w14:textId="68C8D0EF"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117 (19.5</w:t>
            </w:r>
            <w:r w:rsidR="008752C6" w:rsidRPr="004523AB">
              <w:rPr>
                <w:rFonts w:eastAsia="Segoe UI" w:cs="Segoe UI"/>
                <w:color w:val="000000"/>
                <w:szCs w:val="21"/>
              </w:rPr>
              <w:t xml:space="preserve"> per cent)</w:t>
            </w:r>
          </w:p>
        </w:tc>
        <w:tc>
          <w:tcPr>
            <w:tcW w:w="1296" w:type="dxa"/>
          </w:tcPr>
          <w:p w14:paraId="6701826C" w14:textId="42DF7DA6"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78 (21.2</w:t>
            </w:r>
            <w:r w:rsidR="008752C6" w:rsidRPr="004523AB">
              <w:rPr>
                <w:rFonts w:eastAsia="Segoe UI" w:cs="Segoe UI"/>
                <w:color w:val="000000"/>
                <w:szCs w:val="21"/>
              </w:rPr>
              <w:t xml:space="preserve"> per cent)</w:t>
            </w:r>
          </w:p>
        </w:tc>
        <w:tc>
          <w:tcPr>
            <w:tcW w:w="1296" w:type="dxa"/>
          </w:tcPr>
          <w:p w14:paraId="3FF551FC" w14:textId="23B77F2F"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39 (25.5</w:t>
            </w:r>
            <w:r w:rsidR="008752C6" w:rsidRPr="004523AB">
              <w:rPr>
                <w:rFonts w:eastAsia="Segoe UI" w:cs="Segoe UI"/>
                <w:color w:val="000000"/>
                <w:szCs w:val="21"/>
              </w:rPr>
              <w:t xml:space="preserve"> per cent)</w:t>
            </w:r>
          </w:p>
        </w:tc>
        <w:tc>
          <w:tcPr>
            <w:tcW w:w="1296" w:type="dxa"/>
          </w:tcPr>
          <w:p w14:paraId="415707D7" w14:textId="7F9C06CB"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12 (18.2</w:t>
            </w:r>
            <w:r w:rsidR="008752C6" w:rsidRPr="004523AB">
              <w:rPr>
                <w:rFonts w:eastAsia="Segoe UI" w:cs="Segoe UI"/>
                <w:color w:val="000000"/>
                <w:szCs w:val="21"/>
              </w:rPr>
              <w:t xml:space="preserve"> per cent)</w:t>
            </w:r>
          </w:p>
        </w:tc>
        <w:tc>
          <w:tcPr>
            <w:tcW w:w="1296" w:type="dxa"/>
          </w:tcPr>
          <w:p w14:paraId="42D48E09" w14:textId="4B86AC83"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16 (28.1</w:t>
            </w:r>
            <w:r w:rsidR="008752C6" w:rsidRPr="004523AB">
              <w:rPr>
                <w:rFonts w:eastAsia="Segoe UI" w:cs="Segoe UI"/>
                <w:color w:val="000000"/>
                <w:szCs w:val="21"/>
              </w:rPr>
              <w:t xml:space="preserve"> per cent)</w:t>
            </w:r>
          </w:p>
        </w:tc>
        <w:tc>
          <w:tcPr>
            <w:tcW w:w="1067" w:type="dxa"/>
          </w:tcPr>
          <w:p w14:paraId="6F59BB52" w14:textId="0F3E4010"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 (12.5</w:t>
            </w:r>
            <w:r w:rsidR="008752C6" w:rsidRPr="004523AB">
              <w:rPr>
                <w:rFonts w:eastAsia="Segoe UI" w:cs="Segoe UI"/>
                <w:color w:val="000000"/>
                <w:szCs w:val="21"/>
              </w:rPr>
              <w:t xml:space="preserve"> per cent)</w:t>
            </w:r>
          </w:p>
        </w:tc>
      </w:tr>
      <w:tr w:rsidR="00F5128E" w:rsidRPr="004523AB" w14:paraId="2ABF5EF9" w14:textId="77777777" w:rsidTr="00DD5E8C">
        <w:tc>
          <w:tcPr>
            <w:tcW w:w="3894" w:type="dxa"/>
          </w:tcPr>
          <w:p w14:paraId="62150420" w14:textId="77777777" w:rsidR="00F5128E" w:rsidRPr="004523AB" w:rsidRDefault="00F5128E">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lastRenderedPageBreak/>
              <w:t>Professional services</w:t>
            </w:r>
          </w:p>
        </w:tc>
        <w:tc>
          <w:tcPr>
            <w:tcW w:w="1296" w:type="dxa"/>
          </w:tcPr>
          <w:p w14:paraId="5B4C2394" w14:textId="2ADC7BFF"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223 (20.0</w:t>
            </w:r>
            <w:r w:rsidR="008752C6" w:rsidRPr="004523AB">
              <w:rPr>
                <w:rFonts w:eastAsia="Segoe UI" w:cs="Segoe UI"/>
                <w:color w:val="000000"/>
                <w:szCs w:val="21"/>
              </w:rPr>
              <w:t xml:space="preserve"> per cent)</w:t>
            </w:r>
          </w:p>
        </w:tc>
        <w:tc>
          <w:tcPr>
            <w:tcW w:w="1296" w:type="dxa"/>
          </w:tcPr>
          <w:p w14:paraId="12FDCA72" w14:textId="71720AAE"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189 (19.9</w:t>
            </w:r>
            <w:r w:rsidR="008752C6" w:rsidRPr="004523AB">
              <w:rPr>
                <w:rFonts w:eastAsia="Segoe UI" w:cs="Segoe UI"/>
                <w:color w:val="000000"/>
                <w:szCs w:val="21"/>
              </w:rPr>
              <w:t xml:space="preserve"> per cent)</w:t>
            </w:r>
          </w:p>
        </w:tc>
        <w:tc>
          <w:tcPr>
            <w:tcW w:w="1296" w:type="dxa"/>
          </w:tcPr>
          <w:p w14:paraId="2D4C3D8C" w14:textId="0A82A2F3"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118 (19.7</w:t>
            </w:r>
            <w:r w:rsidR="008752C6" w:rsidRPr="004523AB">
              <w:rPr>
                <w:rFonts w:eastAsia="Segoe UI" w:cs="Segoe UI"/>
                <w:color w:val="000000"/>
                <w:szCs w:val="21"/>
              </w:rPr>
              <w:t xml:space="preserve"> per cent)</w:t>
            </w:r>
          </w:p>
        </w:tc>
        <w:tc>
          <w:tcPr>
            <w:tcW w:w="1296" w:type="dxa"/>
          </w:tcPr>
          <w:p w14:paraId="60E1FE4C" w14:textId="2B608BBA"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94 (25.5</w:t>
            </w:r>
            <w:r w:rsidR="008752C6" w:rsidRPr="004523AB">
              <w:rPr>
                <w:rFonts w:eastAsia="Segoe UI" w:cs="Segoe UI"/>
                <w:color w:val="000000"/>
                <w:szCs w:val="21"/>
              </w:rPr>
              <w:t xml:space="preserve"> per cent)</w:t>
            </w:r>
          </w:p>
        </w:tc>
        <w:tc>
          <w:tcPr>
            <w:tcW w:w="1296" w:type="dxa"/>
          </w:tcPr>
          <w:p w14:paraId="58E58CAA" w14:textId="78945FD3"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21 (13.7</w:t>
            </w:r>
            <w:r w:rsidR="008752C6" w:rsidRPr="004523AB">
              <w:rPr>
                <w:rFonts w:eastAsia="Segoe UI" w:cs="Segoe UI"/>
                <w:color w:val="000000"/>
                <w:szCs w:val="21"/>
              </w:rPr>
              <w:t xml:space="preserve"> per cent)</w:t>
            </w:r>
          </w:p>
        </w:tc>
        <w:tc>
          <w:tcPr>
            <w:tcW w:w="1296" w:type="dxa"/>
          </w:tcPr>
          <w:p w14:paraId="7952348A" w14:textId="62366D4C"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7 (10.6</w:t>
            </w:r>
            <w:r w:rsidR="008752C6" w:rsidRPr="004523AB">
              <w:rPr>
                <w:rFonts w:eastAsia="Segoe UI" w:cs="Segoe UI"/>
                <w:color w:val="000000"/>
                <w:szCs w:val="21"/>
              </w:rPr>
              <w:t xml:space="preserve"> per cent)</w:t>
            </w:r>
          </w:p>
        </w:tc>
        <w:tc>
          <w:tcPr>
            <w:tcW w:w="1296" w:type="dxa"/>
          </w:tcPr>
          <w:p w14:paraId="61B689B7" w14:textId="079FE5A0"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8 (14.0</w:t>
            </w:r>
            <w:r w:rsidR="008752C6" w:rsidRPr="004523AB">
              <w:rPr>
                <w:rFonts w:eastAsia="Segoe UI" w:cs="Segoe UI"/>
                <w:color w:val="000000"/>
                <w:szCs w:val="21"/>
              </w:rPr>
              <w:t xml:space="preserve"> per cent)</w:t>
            </w:r>
          </w:p>
        </w:tc>
        <w:tc>
          <w:tcPr>
            <w:tcW w:w="1067" w:type="dxa"/>
          </w:tcPr>
          <w:p w14:paraId="32CE2DCA" w14:textId="11F74001" w:rsidR="00F5128E" w:rsidRPr="004523AB" w:rsidRDefault="00F5128E"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 (6.2</w:t>
            </w:r>
            <w:r w:rsidR="008752C6" w:rsidRPr="004523AB">
              <w:rPr>
                <w:rFonts w:eastAsia="Segoe UI" w:cs="Segoe UI"/>
                <w:color w:val="000000"/>
                <w:szCs w:val="21"/>
              </w:rPr>
              <w:t xml:space="preserve"> per cent)</w:t>
            </w:r>
          </w:p>
        </w:tc>
      </w:tr>
    </w:tbl>
    <w:p w14:paraId="4EB2E94B" w14:textId="129999FB" w:rsidR="00F5128E" w:rsidRPr="004523AB" w:rsidRDefault="000C70AE" w:rsidP="000C70AE">
      <w:pPr>
        <w:spacing w:after="165" w:line="259" w:lineRule="auto"/>
        <w:rPr>
          <w:lang w:eastAsia="en-AU"/>
        </w:rPr>
      </w:pPr>
      <w:r w:rsidRPr="004523AB">
        <w:rPr>
          <w:lang w:eastAsia="en-AU"/>
        </w:rPr>
        <w:br w:type="page"/>
      </w:r>
    </w:p>
    <w:p w14:paraId="73AC4AC8" w14:textId="548E4317" w:rsidR="00000BF3" w:rsidRPr="004523AB" w:rsidRDefault="00000BF3" w:rsidP="00000BF3">
      <w:pPr>
        <w:pStyle w:val="Caption"/>
      </w:pPr>
      <w:r w:rsidRPr="004523AB">
        <w:lastRenderedPageBreak/>
        <w:t xml:space="preserve">Table </w:t>
      </w:r>
      <w:r w:rsidRPr="004523AB">
        <w:fldChar w:fldCharType="begin"/>
      </w:r>
      <w:r w:rsidRPr="004523AB">
        <w:instrText xml:space="preserve"> SEQ Table \* ARABIC </w:instrText>
      </w:r>
      <w:r w:rsidRPr="004523AB">
        <w:fldChar w:fldCharType="separate"/>
      </w:r>
      <w:r w:rsidR="00B96E50">
        <w:rPr>
          <w:noProof/>
        </w:rPr>
        <w:t>27</w:t>
      </w:r>
      <w:r w:rsidRPr="004523AB">
        <w:fldChar w:fldCharType="end"/>
      </w:r>
      <w:r w:rsidRPr="004523AB">
        <w:t xml:space="preserve"> | Stream 2: Has the grant enhanced your practice's capacity to handle face-to-face appointments for patients with respiratory infection symptoms</w:t>
      </w:r>
      <w:r w:rsidR="00B6487A" w:rsidRPr="004523AB">
        <w:t>?</w:t>
      </w:r>
      <w:r w:rsidR="00FA7385" w:rsidRPr="004523AB">
        <w:t xml:space="preserve"> (by State)</w:t>
      </w:r>
    </w:p>
    <w:tbl>
      <w:tblPr>
        <w:tblStyle w:val="AccessibleNousTable"/>
        <w:tblW w:w="0" w:type="auto"/>
        <w:tblLayout w:type="fixed"/>
        <w:tblLook w:val="0420" w:firstRow="1" w:lastRow="0" w:firstColumn="0" w:lastColumn="0" w:noHBand="0" w:noVBand="1"/>
      </w:tblPr>
      <w:tblGrid>
        <w:gridCol w:w="1296"/>
        <w:gridCol w:w="1296"/>
        <w:gridCol w:w="1296"/>
        <w:gridCol w:w="1296"/>
        <w:gridCol w:w="1296"/>
        <w:gridCol w:w="1296"/>
        <w:gridCol w:w="1296"/>
        <w:gridCol w:w="1296"/>
      </w:tblGrid>
      <w:tr w:rsidR="000C70AE" w:rsidRPr="004523AB" w14:paraId="3A04C5B4" w14:textId="77777777" w:rsidTr="006E25AA">
        <w:trPr>
          <w:cnfStyle w:val="100000000000" w:firstRow="1" w:lastRow="0" w:firstColumn="0" w:lastColumn="0" w:oddVBand="0" w:evenVBand="0" w:oddHBand="0" w:evenHBand="0" w:firstRowFirstColumn="0" w:firstRowLastColumn="0" w:lastRowFirstColumn="0" w:lastRowLastColumn="0"/>
          <w:tblHeader/>
        </w:trPr>
        <w:tc>
          <w:tcPr>
            <w:tcW w:w="1296" w:type="dxa"/>
          </w:tcPr>
          <w:p w14:paraId="0092D49F" w14:textId="77777777" w:rsidR="000C70AE" w:rsidRPr="004523AB" w:rsidRDefault="000C70AE" w:rsidP="00AF4781">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NSW</w:t>
            </w:r>
          </w:p>
        </w:tc>
        <w:tc>
          <w:tcPr>
            <w:tcW w:w="1296" w:type="dxa"/>
          </w:tcPr>
          <w:p w14:paraId="1BF37FC7" w14:textId="77777777" w:rsidR="000C70AE" w:rsidRPr="004523AB" w:rsidRDefault="000C70AE" w:rsidP="00AF4781">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Vic</w:t>
            </w:r>
          </w:p>
        </w:tc>
        <w:tc>
          <w:tcPr>
            <w:tcW w:w="1296" w:type="dxa"/>
          </w:tcPr>
          <w:p w14:paraId="6779A89E" w14:textId="77777777" w:rsidR="000C70AE" w:rsidRPr="004523AB" w:rsidRDefault="000C70AE" w:rsidP="00AF4781">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Qld</w:t>
            </w:r>
          </w:p>
        </w:tc>
        <w:tc>
          <w:tcPr>
            <w:tcW w:w="1296" w:type="dxa"/>
          </w:tcPr>
          <w:p w14:paraId="4146AB00" w14:textId="77777777" w:rsidR="000C70AE" w:rsidRPr="004523AB" w:rsidRDefault="000C70AE" w:rsidP="00AF4781">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WA</w:t>
            </w:r>
          </w:p>
        </w:tc>
        <w:tc>
          <w:tcPr>
            <w:tcW w:w="1296" w:type="dxa"/>
          </w:tcPr>
          <w:p w14:paraId="4F1AE8E1" w14:textId="77777777" w:rsidR="000C70AE" w:rsidRPr="004523AB" w:rsidRDefault="000C70AE" w:rsidP="00AF4781">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SA</w:t>
            </w:r>
          </w:p>
        </w:tc>
        <w:tc>
          <w:tcPr>
            <w:tcW w:w="1296" w:type="dxa"/>
          </w:tcPr>
          <w:p w14:paraId="5664DD53" w14:textId="77777777" w:rsidR="000C70AE" w:rsidRPr="004523AB" w:rsidRDefault="000C70AE" w:rsidP="00AF4781">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Tas</w:t>
            </w:r>
          </w:p>
        </w:tc>
        <w:tc>
          <w:tcPr>
            <w:tcW w:w="1296" w:type="dxa"/>
          </w:tcPr>
          <w:p w14:paraId="768B8DF8" w14:textId="77777777" w:rsidR="000C70AE" w:rsidRPr="004523AB" w:rsidRDefault="000C70AE" w:rsidP="00AF4781">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ACT</w:t>
            </w:r>
          </w:p>
        </w:tc>
        <w:tc>
          <w:tcPr>
            <w:tcW w:w="1296" w:type="dxa"/>
          </w:tcPr>
          <w:p w14:paraId="62D2549C" w14:textId="77777777" w:rsidR="000C70AE" w:rsidRPr="004523AB" w:rsidRDefault="000C70AE" w:rsidP="00AF4781">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NT</w:t>
            </w:r>
          </w:p>
        </w:tc>
      </w:tr>
      <w:tr w:rsidR="000C70AE" w:rsidRPr="004523AB" w14:paraId="71213A2B" w14:textId="77777777" w:rsidTr="00A22A59">
        <w:tc>
          <w:tcPr>
            <w:tcW w:w="1296" w:type="dxa"/>
          </w:tcPr>
          <w:p w14:paraId="64216CD8" w14:textId="5B01F3F6" w:rsidR="000C70AE" w:rsidRPr="004523AB" w:rsidRDefault="000C70AE" w:rsidP="00AF4781">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982 (88.0</w:t>
            </w:r>
            <w:r w:rsidR="00AD41C5" w:rsidRPr="004523AB">
              <w:rPr>
                <w:rFonts w:eastAsia="Segoe UI" w:cs="Segoe UI"/>
                <w:color w:val="000000"/>
                <w:szCs w:val="21"/>
              </w:rPr>
              <w:t xml:space="preserve"> per cent)</w:t>
            </w:r>
          </w:p>
        </w:tc>
        <w:tc>
          <w:tcPr>
            <w:tcW w:w="1296" w:type="dxa"/>
          </w:tcPr>
          <w:p w14:paraId="71598E3B" w14:textId="179679E1" w:rsidR="000C70AE" w:rsidRPr="004523AB" w:rsidRDefault="000C70AE" w:rsidP="00AF4781">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842 (88.6</w:t>
            </w:r>
            <w:r w:rsidR="00AD41C5" w:rsidRPr="004523AB">
              <w:rPr>
                <w:rFonts w:eastAsia="Segoe UI" w:cs="Segoe UI"/>
                <w:color w:val="000000"/>
                <w:szCs w:val="21"/>
              </w:rPr>
              <w:t xml:space="preserve"> per cent)</w:t>
            </w:r>
          </w:p>
        </w:tc>
        <w:tc>
          <w:tcPr>
            <w:tcW w:w="1296" w:type="dxa"/>
          </w:tcPr>
          <w:p w14:paraId="13B25FA1" w14:textId="6C36A893" w:rsidR="000C70AE" w:rsidRPr="004523AB" w:rsidRDefault="000C70AE" w:rsidP="00AF4781">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518 (86.5</w:t>
            </w:r>
            <w:r w:rsidR="00AD41C5" w:rsidRPr="004523AB">
              <w:rPr>
                <w:rFonts w:eastAsia="Segoe UI" w:cs="Segoe UI"/>
                <w:color w:val="000000"/>
                <w:szCs w:val="21"/>
              </w:rPr>
              <w:t xml:space="preserve"> per cent)</w:t>
            </w:r>
          </w:p>
        </w:tc>
        <w:tc>
          <w:tcPr>
            <w:tcW w:w="1296" w:type="dxa"/>
          </w:tcPr>
          <w:p w14:paraId="3D0B5012" w14:textId="1B911234" w:rsidR="000C70AE" w:rsidRPr="004523AB" w:rsidRDefault="000C70AE" w:rsidP="00AF4781">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330 (89.7</w:t>
            </w:r>
            <w:r w:rsidR="00AD41C5" w:rsidRPr="004523AB">
              <w:rPr>
                <w:rFonts w:eastAsia="Segoe UI" w:cs="Segoe UI"/>
                <w:color w:val="000000"/>
                <w:szCs w:val="21"/>
              </w:rPr>
              <w:t xml:space="preserve"> per cent)</w:t>
            </w:r>
          </w:p>
        </w:tc>
        <w:tc>
          <w:tcPr>
            <w:tcW w:w="1296" w:type="dxa"/>
          </w:tcPr>
          <w:p w14:paraId="760B9F4C" w14:textId="13770D8B" w:rsidR="000C70AE" w:rsidRPr="004523AB" w:rsidRDefault="000C70AE" w:rsidP="00AF4781">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121 (79.1</w:t>
            </w:r>
            <w:r w:rsidR="00AD41C5" w:rsidRPr="004523AB">
              <w:rPr>
                <w:rFonts w:eastAsia="Segoe UI" w:cs="Segoe UI"/>
                <w:color w:val="000000"/>
                <w:szCs w:val="21"/>
              </w:rPr>
              <w:t xml:space="preserve"> per cent)</w:t>
            </w:r>
          </w:p>
        </w:tc>
        <w:tc>
          <w:tcPr>
            <w:tcW w:w="1296" w:type="dxa"/>
          </w:tcPr>
          <w:p w14:paraId="36EB21DE" w14:textId="349E7344" w:rsidR="000C70AE" w:rsidRPr="004523AB" w:rsidRDefault="000C70AE" w:rsidP="00AF4781">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49 (74.2</w:t>
            </w:r>
            <w:r w:rsidR="00AD41C5" w:rsidRPr="004523AB">
              <w:rPr>
                <w:rFonts w:eastAsia="Segoe UI" w:cs="Segoe UI"/>
                <w:color w:val="000000"/>
                <w:szCs w:val="21"/>
              </w:rPr>
              <w:t xml:space="preserve"> per cent)</w:t>
            </w:r>
          </w:p>
        </w:tc>
        <w:tc>
          <w:tcPr>
            <w:tcW w:w="1296" w:type="dxa"/>
          </w:tcPr>
          <w:p w14:paraId="757F13D8" w14:textId="5E518255" w:rsidR="000C70AE" w:rsidRPr="004523AB" w:rsidRDefault="000C70AE" w:rsidP="00AF4781">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46 (80.7</w:t>
            </w:r>
            <w:r w:rsidR="00AD41C5" w:rsidRPr="004523AB">
              <w:rPr>
                <w:rFonts w:eastAsia="Segoe UI" w:cs="Segoe UI"/>
                <w:color w:val="000000"/>
                <w:szCs w:val="21"/>
              </w:rPr>
              <w:t xml:space="preserve"> per cent)</w:t>
            </w:r>
          </w:p>
        </w:tc>
        <w:tc>
          <w:tcPr>
            <w:tcW w:w="1296" w:type="dxa"/>
          </w:tcPr>
          <w:p w14:paraId="27292946" w14:textId="430A9DE0" w:rsidR="000C70AE" w:rsidRPr="004523AB" w:rsidRDefault="000C70AE" w:rsidP="00AF4781">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13 (81.2</w:t>
            </w:r>
            <w:r w:rsidR="00AD41C5" w:rsidRPr="004523AB">
              <w:rPr>
                <w:rFonts w:eastAsia="Segoe UI" w:cs="Segoe UI"/>
                <w:color w:val="000000"/>
                <w:szCs w:val="21"/>
              </w:rPr>
              <w:t xml:space="preserve"> per cent)</w:t>
            </w:r>
          </w:p>
        </w:tc>
      </w:tr>
    </w:tbl>
    <w:p w14:paraId="14BA82A6" w14:textId="2A533EA3" w:rsidR="00AD41C5" w:rsidRPr="004523AB" w:rsidRDefault="00AD41C5" w:rsidP="00AD41C5">
      <w:pPr>
        <w:pStyle w:val="Caption"/>
      </w:pPr>
      <w:r w:rsidRPr="004523AB">
        <w:t xml:space="preserve">Table </w:t>
      </w:r>
      <w:r w:rsidRPr="004523AB">
        <w:fldChar w:fldCharType="begin"/>
      </w:r>
      <w:r w:rsidRPr="004523AB">
        <w:instrText xml:space="preserve"> SEQ Table \* ARABIC </w:instrText>
      </w:r>
      <w:r w:rsidRPr="004523AB">
        <w:fldChar w:fldCharType="separate"/>
      </w:r>
      <w:r w:rsidR="00B96E50">
        <w:rPr>
          <w:noProof/>
        </w:rPr>
        <w:t>28</w:t>
      </w:r>
      <w:r w:rsidRPr="004523AB">
        <w:fldChar w:fldCharType="end"/>
      </w:r>
      <w:r w:rsidRPr="004523AB">
        <w:t xml:space="preserve"> | Stream 3: What was your aim in using this grant?</w:t>
      </w:r>
      <w:r w:rsidR="00FA7385" w:rsidRPr="004523AB">
        <w:t xml:space="preserve"> (by State)</w:t>
      </w:r>
    </w:p>
    <w:tbl>
      <w:tblPr>
        <w:tblStyle w:val="AccessibleNousTable"/>
        <w:tblW w:w="14296" w:type="dxa"/>
        <w:tblLayout w:type="fixed"/>
        <w:tblLook w:val="0420" w:firstRow="1" w:lastRow="0" w:firstColumn="0" w:lastColumn="0" w:noHBand="0" w:noVBand="1"/>
      </w:tblPr>
      <w:tblGrid>
        <w:gridCol w:w="3928"/>
        <w:gridCol w:w="1296"/>
        <w:gridCol w:w="1296"/>
        <w:gridCol w:w="1296"/>
        <w:gridCol w:w="1296"/>
        <w:gridCol w:w="1296"/>
        <w:gridCol w:w="1296"/>
        <w:gridCol w:w="1296"/>
        <w:gridCol w:w="1296"/>
      </w:tblGrid>
      <w:tr w:rsidR="00B059E3" w:rsidRPr="004523AB" w14:paraId="4908BBD7" w14:textId="77777777" w:rsidTr="006E25AA">
        <w:trPr>
          <w:cnfStyle w:val="100000000000" w:firstRow="1" w:lastRow="0" w:firstColumn="0" w:lastColumn="0" w:oddVBand="0" w:evenVBand="0" w:oddHBand="0" w:evenHBand="0" w:firstRowFirstColumn="0" w:firstRowLastColumn="0" w:lastRowFirstColumn="0" w:lastRowLastColumn="0"/>
          <w:tblHeader/>
        </w:trPr>
        <w:tc>
          <w:tcPr>
            <w:tcW w:w="3928" w:type="dxa"/>
          </w:tcPr>
          <w:p w14:paraId="3EB9CD5E" w14:textId="19B4002F" w:rsidR="00B059E3" w:rsidRPr="004523AB" w:rsidRDefault="00AD41C5">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 w:val="23"/>
                <w:szCs w:val="23"/>
              </w:rPr>
            </w:pPr>
            <w:r w:rsidRPr="004523AB">
              <w:rPr>
                <w:rFonts w:asciiTheme="majorHAnsi" w:hAnsiTheme="majorHAnsi" w:cstheme="majorHAnsi"/>
                <w:sz w:val="23"/>
                <w:szCs w:val="23"/>
              </w:rPr>
              <w:t xml:space="preserve">Response </w:t>
            </w:r>
          </w:p>
        </w:tc>
        <w:tc>
          <w:tcPr>
            <w:tcW w:w="1296" w:type="dxa"/>
          </w:tcPr>
          <w:p w14:paraId="790861DE" w14:textId="77777777" w:rsidR="00B059E3" w:rsidRPr="004523AB" w:rsidRDefault="00B059E3" w:rsidP="00AF4781">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 w:val="23"/>
                <w:szCs w:val="23"/>
              </w:rPr>
            </w:pPr>
            <w:r w:rsidRPr="004523AB">
              <w:rPr>
                <w:rFonts w:asciiTheme="majorHAnsi" w:eastAsia="Segoe UI Semibold" w:hAnsiTheme="majorHAnsi" w:cstheme="majorHAnsi"/>
                <w:sz w:val="23"/>
                <w:szCs w:val="23"/>
              </w:rPr>
              <w:t>NSW</w:t>
            </w:r>
          </w:p>
        </w:tc>
        <w:tc>
          <w:tcPr>
            <w:tcW w:w="1296" w:type="dxa"/>
          </w:tcPr>
          <w:p w14:paraId="519F6FDE" w14:textId="77777777" w:rsidR="00B059E3" w:rsidRPr="004523AB" w:rsidRDefault="00B059E3" w:rsidP="00AF4781">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 w:val="23"/>
                <w:szCs w:val="23"/>
              </w:rPr>
            </w:pPr>
            <w:r w:rsidRPr="004523AB">
              <w:rPr>
                <w:rFonts w:asciiTheme="majorHAnsi" w:eastAsia="Segoe UI Semibold" w:hAnsiTheme="majorHAnsi" w:cstheme="majorHAnsi"/>
                <w:sz w:val="23"/>
                <w:szCs w:val="23"/>
              </w:rPr>
              <w:t>Vic</w:t>
            </w:r>
          </w:p>
        </w:tc>
        <w:tc>
          <w:tcPr>
            <w:tcW w:w="1296" w:type="dxa"/>
          </w:tcPr>
          <w:p w14:paraId="6C9378FA" w14:textId="77777777" w:rsidR="00B059E3" w:rsidRPr="004523AB" w:rsidRDefault="00B059E3" w:rsidP="00AF4781">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 w:val="23"/>
                <w:szCs w:val="23"/>
              </w:rPr>
            </w:pPr>
            <w:r w:rsidRPr="004523AB">
              <w:rPr>
                <w:rFonts w:asciiTheme="majorHAnsi" w:eastAsia="Segoe UI Semibold" w:hAnsiTheme="majorHAnsi" w:cstheme="majorHAnsi"/>
                <w:sz w:val="23"/>
                <w:szCs w:val="23"/>
              </w:rPr>
              <w:t>Qld</w:t>
            </w:r>
          </w:p>
        </w:tc>
        <w:tc>
          <w:tcPr>
            <w:tcW w:w="1296" w:type="dxa"/>
          </w:tcPr>
          <w:p w14:paraId="70950D26" w14:textId="77777777" w:rsidR="00B059E3" w:rsidRPr="004523AB" w:rsidRDefault="00B059E3" w:rsidP="00AF4781">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 w:val="23"/>
                <w:szCs w:val="23"/>
              </w:rPr>
            </w:pPr>
            <w:r w:rsidRPr="004523AB">
              <w:rPr>
                <w:rFonts w:asciiTheme="majorHAnsi" w:eastAsia="Segoe UI Semibold" w:hAnsiTheme="majorHAnsi" w:cstheme="majorHAnsi"/>
                <w:sz w:val="23"/>
                <w:szCs w:val="23"/>
              </w:rPr>
              <w:t>WA</w:t>
            </w:r>
          </w:p>
        </w:tc>
        <w:tc>
          <w:tcPr>
            <w:tcW w:w="1296" w:type="dxa"/>
          </w:tcPr>
          <w:p w14:paraId="21264E3D" w14:textId="77777777" w:rsidR="00B059E3" w:rsidRPr="004523AB" w:rsidRDefault="00B059E3" w:rsidP="00AF4781">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 w:val="23"/>
                <w:szCs w:val="23"/>
              </w:rPr>
            </w:pPr>
            <w:r w:rsidRPr="004523AB">
              <w:rPr>
                <w:rFonts w:asciiTheme="majorHAnsi" w:eastAsia="Segoe UI Semibold" w:hAnsiTheme="majorHAnsi" w:cstheme="majorHAnsi"/>
                <w:sz w:val="23"/>
                <w:szCs w:val="23"/>
              </w:rPr>
              <w:t>SA</w:t>
            </w:r>
          </w:p>
        </w:tc>
        <w:tc>
          <w:tcPr>
            <w:tcW w:w="1296" w:type="dxa"/>
          </w:tcPr>
          <w:p w14:paraId="55942F22" w14:textId="77777777" w:rsidR="00B059E3" w:rsidRPr="004523AB" w:rsidRDefault="00B059E3" w:rsidP="00AF4781">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 w:val="23"/>
                <w:szCs w:val="23"/>
              </w:rPr>
            </w:pPr>
            <w:r w:rsidRPr="004523AB">
              <w:rPr>
                <w:rFonts w:asciiTheme="majorHAnsi" w:eastAsia="Segoe UI Semibold" w:hAnsiTheme="majorHAnsi" w:cstheme="majorHAnsi"/>
                <w:sz w:val="23"/>
                <w:szCs w:val="23"/>
              </w:rPr>
              <w:t>Tas</w:t>
            </w:r>
          </w:p>
        </w:tc>
        <w:tc>
          <w:tcPr>
            <w:tcW w:w="1296" w:type="dxa"/>
          </w:tcPr>
          <w:p w14:paraId="30E1154D" w14:textId="77777777" w:rsidR="00B059E3" w:rsidRPr="004523AB" w:rsidRDefault="00B059E3" w:rsidP="00AF4781">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 w:val="23"/>
                <w:szCs w:val="23"/>
              </w:rPr>
            </w:pPr>
            <w:r w:rsidRPr="004523AB">
              <w:rPr>
                <w:rFonts w:asciiTheme="majorHAnsi" w:eastAsia="Segoe UI Semibold" w:hAnsiTheme="majorHAnsi" w:cstheme="majorHAnsi"/>
                <w:sz w:val="23"/>
                <w:szCs w:val="23"/>
              </w:rPr>
              <w:t>ACT</w:t>
            </w:r>
          </w:p>
        </w:tc>
        <w:tc>
          <w:tcPr>
            <w:tcW w:w="1296" w:type="dxa"/>
          </w:tcPr>
          <w:p w14:paraId="45FAFEAB" w14:textId="77777777" w:rsidR="00B059E3" w:rsidRPr="004523AB" w:rsidRDefault="00B059E3" w:rsidP="00AF4781">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 w:val="23"/>
                <w:szCs w:val="23"/>
              </w:rPr>
            </w:pPr>
            <w:r w:rsidRPr="004523AB">
              <w:rPr>
                <w:rFonts w:asciiTheme="majorHAnsi" w:eastAsia="Segoe UI Semibold" w:hAnsiTheme="majorHAnsi" w:cstheme="majorHAnsi"/>
                <w:sz w:val="23"/>
                <w:szCs w:val="23"/>
              </w:rPr>
              <w:t>NT</w:t>
            </w:r>
          </w:p>
        </w:tc>
      </w:tr>
      <w:tr w:rsidR="00B059E3" w:rsidRPr="004523AB" w14:paraId="18AC8367" w14:textId="77777777" w:rsidTr="00A22A59">
        <w:tc>
          <w:tcPr>
            <w:tcW w:w="3928" w:type="dxa"/>
          </w:tcPr>
          <w:p w14:paraId="6F1AF926" w14:textId="77777777" w:rsidR="00B059E3" w:rsidRPr="004523AB" w:rsidRDefault="00B059E3">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Maintain accreditation</w:t>
            </w:r>
          </w:p>
        </w:tc>
        <w:tc>
          <w:tcPr>
            <w:tcW w:w="1296" w:type="dxa"/>
          </w:tcPr>
          <w:p w14:paraId="78D52308" w14:textId="33CA315A" w:rsidR="00B059E3" w:rsidRPr="004523AB" w:rsidRDefault="00B059E3" w:rsidP="00AF4781">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972 (77.6</w:t>
            </w:r>
            <w:r w:rsidR="00AD41C5" w:rsidRPr="004523AB">
              <w:rPr>
                <w:rFonts w:eastAsia="Segoe UI" w:cs="Segoe UI"/>
                <w:color w:val="000000"/>
                <w:szCs w:val="21"/>
              </w:rPr>
              <w:t xml:space="preserve"> per cent)</w:t>
            </w:r>
          </w:p>
        </w:tc>
        <w:tc>
          <w:tcPr>
            <w:tcW w:w="1296" w:type="dxa"/>
          </w:tcPr>
          <w:p w14:paraId="23ADF068" w14:textId="4386646B" w:rsidR="00B059E3" w:rsidRPr="004523AB" w:rsidRDefault="00B059E3" w:rsidP="00AF4781">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892 (79.7</w:t>
            </w:r>
            <w:r w:rsidR="00AD41C5" w:rsidRPr="004523AB">
              <w:rPr>
                <w:rFonts w:eastAsia="Segoe UI" w:cs="Segoe UI"/>
                <w:color w:val="000000"/>
                <w:szCs w:val="21"/>
              </w:rPr>
              <w:t xml:space="preserve"> per cent)</w:t>
            </w:r>
          </w:p>
        </w:tc>
        <w:tc>
          <w:tcPr>
            <w:tcW w:w="1296" w:type="dxa"/>
          </w:tcPr>
          <w:p w14:paraId="62EC7B0E" w14:textId="3435DA4D" w:rsidR="00B059E3" w:rsidRPr="004523AB" w:rsidRDefault="00B059E3" w:rsidP="00AF4781">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631 (84.7</w:t>
            </w:r>
            <w:r w:rsidR="00AD41C5" w:rsidRPr="004523AB">
              <w:rPr>
                <w:rFonts w:eastAsia="Segoe UI" w:cs="Segoe UI"/>
                <w:color w:val="000000"/>
                <w:szCs w:val="21"/>
              </w:rPr>
              <w:t xml:space="preserve"> per cent)</w:t>
            </w:r>
          </w:p>
        </w:tc>
        <w:tc>
          <w:tcPr>
            <w:tcW w:w="1296" w:type="dxa"/>
          </w:tcPr>
          <w:p w14:paraId="2539A78C" w14:textId="7F03F093" w:rsidR="00B059E3" w:rsidRPr="004523AB" w:rsidRDefault="00B059E3" w:rsidP="00AF4781">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367 (83.8</w:t>
            </w:r>
            <w:r w:rsidR="00AD41C5" w:rsidRPr="004523AB">
              <w:rPr>
                <w:rFonts w:eastAsia="Segoe UI" w:cs="Segoe UI"/>
                <w:color w:val="000000"/>
                <w:szCs w:val="21"/>
              </w:rPr>
              <w:t xml:space="preserve"> per cent)</w:t>
            </w:r>
          </w:p>
        </w:tc>
        <w:tc>
          <w:tcPr>
            <w:tcW w:w="1296" w:type="dxa"/>
          </w:tcPr>
          <w:p w14:paraId="2FDD6912" w14:textId="5494C43E" w:rsidR="00B059E3" w:rsidRPr="004523AB" w:rsidRDefault="00B059E3" w:rsidP="00AF4781">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169 (81.2</w:t>
            </w:r>
            <w:r w:rsidR="00AD41C5" w:rsidRPr="004523AB">
              <w:rPr>
                <w:rFonts w:eastAsia="Segoe UI" w:cs="Segoe UI"/>
                <w:color w:val="000000"/>
                <w:szCs w:val="21"/>
              </w:rPr>
              <w:t xml:space="preserve"> per cent)</w:t>
            </w:r>
          </w:p>
        </w:tc>
        <w:tc>
          <w:tcPr>
            <w:tcW w:w="1296" w:type="dxa"/>
          </w:tcPr>
          <w:p w14:paraId="5C14AEC1" w14:textId="057DEA30" w:rsidR="00B059E3" w:rsidRPr="004523AB" w:rsidRDefault="00B059E3" w:rsidP="00AF4781">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83 (86.5</w:t>
            </w:r>
            <w:r w:rsidR="00AD41C5" w:rsidRPr="004523AB">
              <w:rPr>
                <w:rFonts w:eastAsia="Segoe UI" w:cs="Segoe UI"/>
                <w:color w:val="000000"/>
                <w:szCs w:val="21"/>
              </w:rPr>
              <w:t xml:space="preserve"> per cent)</w:t>
            </w:r>
          </w:p>
        </w:tc>
        <w:tc>
          <w:tcPr>
            <w:tcW w:w="1296" w:type="dxa"/>
          </w:tcPr>
          <w:p w14:paraId="20810C70" w14:textId="1D333AE8" w:rsidR="00B059E3" w:rsidRPr="004523AB" w:rsidRDefault="00B059E3" w:rsidP="00AF4781">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56 (82.4</w:t>
            </w:r>
            <w:r w:rsidR="00AD41C5" w:rsidRPr="004523AB">
              <w:rPr>
                <w:rFonts w:eastAsia="Segoe UI" w:cs="Segoe UI"/>
                <w:color w:val="000000"/>
                <w:szCs w:val="21"/>
              </w:rPr>
              <w:t xml:space="preserve"> per cent)</w:t>
            </w:r>
          </w:p>
        </w:tc>
        <w:tc>
          <w:tcPr>
            <w:tcW w:w="1296" w:type="dxa"/>
          </w:tcPr>
          <w:p w14:paraId="11C6F4DD" w14:textId="7E96D068" w:rsidR="00B059E3" w:rsidRPr="004523AB" w:rsidRDefault="00B059E3" w:rsidP="00AF4781">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17 (77.3</w:t>
            </w:r>
            <w:r w:rsidR="00AD41C5" w:rsidRPr="004523AB">
              <w:rPr>
                <w:rFonts w:eastAsia="Segoe UI" w:cs="Segoe UI"/>
                <w:color w:val="000000"/>
                <w:szCs w:val="21"/>
              </w:rPr>
              <w:t xml:space="preserve"> per cent)</w:t>
            </w:r>
          </w:p>
        </w:tc>
      </w:tr>
      <w:tr w:rsidR="00B059E3" w:rsidRPr="004523AB" w14:paraId="5E70F7EF" w14:textId="77777777" w:rsidTr="00A22A59">
        <w:tc>
          <w:tcPr>
            <w:tcW w:w="3928" w:type="dxa"/>
          </w:tcPr>
          <w:p w14:paraId="2D39B3FA" w14:textId="77777777" w:rsidR="00B059E3" w:rsidRPr="004523AB" w:rsidRDefault="00B059E3">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Achieve accreditation</w:t>
            </w:r>
          </w:p>
        </w:tc>
        <w:tc>
          <w:tcPr>
            <w:tcW w:w="1296" w:type="dxa"/>
          </w:tcPr>
          <w:p w14:paraId="19BA4215" w14:textId="5FA1BC89" w:rsidR="00B059E3" w:rsidRPr="004523AB" w:rsidRDefault="00B059E3" w:rsidP="00AF4781">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188 (15.0</w:t>
            </w:r>
            <w:r w:rsidR="00AD41C5" w:rsidRPr="004523AB">
              <w:rPr>
                <w:rFonts w:eastAsia="Segoe UI" w:cs="Segoe UI"/>
                <w:color w:val="000000"/>
                <w:szCs w:val="21"/>
              </w:rPr>
              <w:t xml:space="preserve"> per cent)</w:t>
            </w:r>
          </w:p>
        </w:tc>
        <w:tc>
          <w:tcPr>
            <w:tcW w:w="1296" w:type="dxa"/>
          </w:tcPr>
          <w:p w14:paraId="1985E551" w14:textId="09E4027D" w:rsidR="00B059E3" w:rsidRPr="004523AB" w:rsidRDefault="00B059E3" w:rsidP="00AF4781">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158 (14.1</w:t>
            </w:r>
            <w:r w:rsidR="00AD41C5" w:rsidRPr="004523AB">
              <w:rPr>
                <w:rFonts w:eastAsia="Segoe UI" w:cs="Segoe UI"/>
                <w:color w:val="000000"/>
                <w:szCs w:val="21"/>
              </w:rPr>
              <w:t xml:space="preserve"> per cent)</w:t>
            </w:r>
          </w:p>
        </w:tc>
        <w:tc>
          <w:tcPr>
            <w:tcW w:w="1296" w:type="dxa"/>
          </w:tcPr>
          <w:p w14:paraId="40BB050E" w14:textId="1334602D" w:rsidR="00B059E3" w:rsidRPr="004523AB" w:rsidRDefault="00B059E3" w:rsidP="00AF4781">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76 (10.2</w:t>
            </w:r>
            <w:r w:rsidR="00AD41C5" w:rsidRPr="004523AB">
              <w:rPr>
                <w:rFonts w:eastAsia="Segoe UI" w:cs="Segoe UI"/>
                <w:color w:val="000000"/>
                <w:szCs w:val="21"/>
              </w:rPr>
              <w:t xml:space="preserve"> per cent)</w:t>
            </w:r>
          </w:p>
        </w:tc>
        <w:tc>
          <w:tcPr>
            <w:tcW w:w="1296" w:type="dxa"/>
          </w:tcPr>
          <w:p w14:paraId="61BDBF81" w14:textId="552E800D" w:rsidR="00B059E3" w:rsidRPr="004523AB" w:rsidRDefault="00B059E3" w:rsidP="00AF4781">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42 (9.6</w:t>
            </w:r>
            <w:r w:rsidR="00AD41C5" w:rsidRPr="004523AB">
              <w:rPr>
                <w:rFonts w:eastAsia="Segoe UI" w:cs="Segoe UI"/>
                <w:color w:val="000000"/>
                <w:szCs w:val="21"/>
              </w:rPr>
              <w:t xml:space="preserve"> per cent)</w:t>
            </w:r>
          </w:p>
        </w:tc>
        <w:tc>
          <w:tcPr>
            <w:tcW w:w="1296" w:type="dxa"/>
          </w:tcPr>
          <w:p w14:paraId="47689466" w14:textId="1E05357F" w:rsidR="00B059E3" w:rsidRPr="004523AB" w:rsidRDefault="00B059E3" w:rsidP="00AF4781">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24 (11.5</w:t>
            </w:r>
            <w:r w:rsidR="00AD41C5" w:rsidRPr="004523AB">
              <w:rPr>
                <w:rFonts w:eastAsia="Segoe UI" w:cs="Segoe UI"/>
                <w:color w:val="000000"/>
                <w:szCs w:val="21"/>
              </w:rPr>
              <w:t xml:space="preserve"> per cent)</w:t>
            </w:r>
          </w:p>
        </w:tc>
        <w:tc>
          <w:tcPr>
            <w:tcW w:w="1296" w:type="dxa"/>
          </w:tcPr>
          <w:p w14:paraId="1211F369" w14:textId="2A38D32B" w:rsidR="00B059E3" w:rsidRPr="004523AB" w:rsidRDefault="00B059E3" w:rsidP="00AF4781">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11 (11.5</w:t>
            </w:r>
            <w:r w:rsidR="00AD41C5" w:rsidRPr="004523AB">
              <w:rPr>
                <w:rFonts w:eastAsia="Segoe UI" w:cs="Segoe UI"/>
                <w:color w:val="000000"/>
                <w:szCs w:val="21"/>
              </w:rPr>
              <w:t xml:space="preserve"> per cent)</w:t>
            </w:r>
          </w:p>
        </w:tc>
        <w:tc>
          <w:tcPr>
            <w:tcW w:w="1296" w:type="dxa"/>
          </w:tcPr>
          <w:p w14:paraId="55B3BB44" w14:textId="43DD42B9" w:rsidR="00B059E3" w:rsidRPr="004523AB" w:rsidRDefault="00B059E3" w:rsidP="00AF4781">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9 (13.2</w:t>
            </w:r>
            <w:r w:rsidR="00AD41C5" w:rsidRPr="004523AB">
              <w:rPr>
                <w:rFonts w:eastAsia="Segoe UI" w:cs="Segoe UI"/>
                <w:color w:val="000000"/>
                <w:szCs w:val="21"/>
              </w:rPr>
              <w:t xml:space="preserve"> per cent)</w:t>
            </w:r>
          </w:p>
        </w:tc>
        <w:tc>
          <w:tcPr>
            <w:tcW w:w="1296" w:type="dxa"/>
          </w:tcPr>
          <w:p w14:paraId="6B23FB6A" w14:textId="06B13E21" w:rsidR="00B059E3" w:rsidRPr="004523AB" w:rsidRDefault="00B059E3" w:rsidP="00AF4781">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4 (18.2</w:t>
            </w:r>
            <w:r w:rsidR="00AD41C5" w:rsidRPr="004523AB">
              <w:rPr>
                <w:rFonts w:eastAsia="Segoe UI" w:cs="Segoe UI"/>
                <w:color w:val="000000"/>
                <w:szCs w:val="21"/>
              </w:rPr>
              <w:t xml:space="preserve"> per cent)</w:t>
            </w:r>
          </w:p>
        </w:tc>
      </w:tr>
      <w:tr w:rsidR="00B059E3" w:rsidRPr="004523AB" w14:paraId="08605A38" w14:textId="77777777" w:rsidTr="00A22A59">
        <w:tc>
          <w:tcPr>
            <w:tcW w:w="3928" w:type="dxa"/>
          </w:tcPr>
          <w:p w14:paraId="2EE4715A" w14:textId="77777777" w:rsidR="00B059E3" w:rsidRPr="004523AB" w:rsidRDefault="00B059E3">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Register for accreditation</w:t>
            </w:r>
          </w:p>
        </w:tc>
        <w:tc>
          <w:tcPr>
            <w:tcW w:w="1296" w:type="dxa"/>
          </w:tcPr>
          <w:p w14:paraId="0CDD6842" w14:textId="58B09492" w:rsidR="00B059E3" w:rsidRPr="004523AB" w:rsidRDefault="00B059E3" w:rsidP="00AF4781">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54 (4.3</w:t>
            </w:r>
            <w:r w:rsidR="00AD41C5" w:rsidRPr="004523AB">
              <w:rPr>
                <w:rFonts w:eastAsia="Segoe UI" w:cs="Segoe UI"/>
                <w:color w:val="000000"/>
                <w:szCs w:val="21"/>
              </w:rPr>
              <w:t xml:space="preserve"> per cent)</w:t>
            </w:r>
          </w:p>
        </w:tc>
        <w:tc>
          <w:tcPr>
            <w:tcW w:w="1296" w:type="dxa"/>
          </w:tcPr>
          <w:p w14:paraId="24F5684C" w14:textId="464689C0" w:rsidR="00B059E3" w:rsidRPr="004523AB" w:rsidRDefault="00B059E3" w:rsidP="00AF4781">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48 (4.3</w:t>
            </w:r>
            <w:r w:rsidR="00AD41C5" w:rsidRPr="004523AB">
              <w:rPr>
                <w:rFonts w:eastAsia="Segoe UI" w:cs="Segoe UI"/>
                <w:color w:val="000000"/>
                <w:szCs w:val="21"/>
              </w:rPr>
              <w:t xml:space="preserve"> per cent)</w:t>
            </w:r>
          </w:p>
        </w:tc>
        <w:tc>
          <w:tcPr>
            <w:tcW w:w="1296" w:type="dxa"/>
          </w:tcPr>
          <w:p w14:paraId="75AEE78D" w14:textId="19EB7FD7" w:rsidR="00B059E3" w:rsidRPr="004523AB" w:rsidRDefault="00B059E3" w:rsidP="00AF4781">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25 (3.4</w:t>
            </w:r>
            <w:r w:rsidR="00AD41C5" w:rsidRPr="004523AB">
              <w:rPr>
                <w:rFonts w:eastAsia="Segoe UI" w:cs="Segoe UI"/>
                <w:color w:val="000000"/>
                <w:szCs w:val="21"/>
              </w:rPr>
              <w:t xml:space="preserve"> per cent)</w:t>
            </w:r>
          </w:p>
        </w:tc>
        <w:tc>
          <w:tcPr>
            <w:tcW w:w="1296" w:type="dxa"/>
          </w:tcPr>
          <w:p w14:paraId="51F5F20D" w14:textId="4BE038EB" w:rsidR="00B059E3" w:rsidRPr="004523AB" w:rsidRDefault="00B059E3" w:rsidP="00AF4781">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19 (4.3</w:t>
            </w:r>
            <w:r w:rsidR="00AD41C5" w:rsidRPr="004523AB">
              <w:rPr>
                <w:rFonts w:eastAsia="Segoe UI" w:cs="Segoe UI"/>
                <w:color w:val="000000"/>
                <w:szCs w:val="21"/>
              </w:rPr>
              <w:t xml:space="preserve"> per cent)</w:t>
            </w:r>
          </w:p>
        </w:tc>
        <w:tc>
          <w:tcPr>
            <w:tcW w:w="1296" w:type="dxa"/>
          </w:tcPr>
          <w:p w14:paraId="6353B0DE" w14:textId="1E34B8A2" w:rsidR="00B059E3" w:rsidRPr="004523AB" w:rsidRDefault="00B059E3" w:rsidP="00AF4781">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6 (2.9</w:t>
            </w:r>
            <w:r w:rsidR="00AD41C5" w:rsidRPr="004523AB">
              <w:rPr>
                <w:rFonts w:eastAsia="Segoe UI" w:cs="Segoe UI"/>
                <w:color w:val="000000"/>
                <w:szCs w:val="21"/>
              </w:rPr>
              <w:t xml:space="preserve"> per cent)</w:t>
            </w:r>
          </w:p>
        </w:tc>
        <w:tc>
          <w:tcPr>
            <w:tcW w:w="1296" w:type="dxa"/>
          </w:tcPr>
          <w:p w14:paraId="1CB50DD1" w14:textId="77777777" w:rsidR="00B059E3" w:rsidRPr="004523AB" w:rsidRDefault="00B059E3" w:rsidP="00AF4781">
            <w:pPr>
              <w:pBdr>
                <w:top w:val="none" w:sz="0" w:space="0" w:color="000000"/>
                <w:left w:val="none" w:sz="0" w:space="0" w:color="000000"/>
                <w:bottom w:val="none" w:sz="0" w:space="0" w:color="000000"/>
                <w:right w:val="none" w:sz="0" w:space="0" w:color="000000"/>
              </w:pBdr>
              <w:spacing w:after="0"/>
              <w:ind w:left="100" w:right="100"/>
            </w:pPr>
          </w:p>
        </w:tc>
        <w:tc>
          <w:tcPr>
            <w:tcW w:w="1296" w:type="dxa"/>
          </w:tcPr>
          <w:p w14:paraId="68DFC43E" w14:textId="3F714ED5" w:rsidR="00B059E3" w:rsidRPr="004523AB" w:rsidRDefault="00B059E3" w:rsidP="00AF4781">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3 (4.4</w:t>
            </w:r>
            <w:r w:rsidR="00AD41C5" w:rsidRPr="004523AB">
              <w:rPr>
                <w:rFonts w:eastAsia="Segoe UI" w:cs="Segoe UI"/>
                <w:color w:val="000000"/>
                <w:szCs w:val="21"/>
              </w:rPr>
              <w:t xml:space="preserve"> per cent)</w:t>
            </w:r>
          </w:p>
        </w:tc>
        <w:tc>
          <w:tcPr>
            <w:tcW w:w="1296" w:type="dxa"/>
          </w:tcPr>
          <w:p w14:paraId="6B787D00" w14:textId="77777777" w:rsidR="00B059E3" w:rsidRPr="004523AB" w:rsidRDefault="00B059E3" w:rsidP="00AF4781">
            <w:pPr>
              <w:pBdr>
                <w:top w:val="none" w:sz="0" w:space="0" w:color="000000"/>
                <w:left w:val="none" w:sz="0" w:space="0" w:color="000000"/>
                <w:bottom w:val="none" w:sz="0" w:space="0" w:color="000000"/>
                <w:right w:val="none" w:sz="0" w:space="0" w:color="000000"/>
              </w:pBdr>
              <w:spacing w:after="0"/>
              <w:ind w:left="100" w:right="100"/>
            </w:pPr>
          </w:p>
        </w:tc>
      </w:tr>
      <w:tr w:rsidR="00B059E3" w:rsidRPr="004523AB" w14:paraId="796FE481" w14:textId="77777777" w:rsidTr="00A22A59">
        <w:tc>
          <w:tcPr>
            <w:tcW w:w="3928" w:type="dxa"/>
          </w:tcPr>
          <w:p w14:paraId="7371DB80" w14:textId="77777777" w:rsidR="00B059E3" w:rsidRPr="004523AB" w:rsidRDefault="00B059E3">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No response</w:t>
            </w:r>
          </w:p>
        </w:tc>
        <w:tc>
          <w:tcPr>
            <w:tcW w:w="1296" w:type="dxa"/>
          </w:tcPr>
          <w:p w14:paraId="71FEB070" w14:textId="53CFF968" w:rsidR="00B059E3" w:rsidRPr="004523AB" w:rsidRDefault="00B059E3" w:rsidP="00AF4781">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38 (3.0</w:t>
            </w:r>
            <w:r w:rsidR="00AD41C5" w:rsidRPr="004523AB">
              <w:rPr>
                <w:rFonts w:eastAsia="Segoe UI" w:cs="Segoe UI"/>
                <w:color w:val="000000"/>
                <w:szCs w:val="21"/>
              </w:rPr>
              <w:t xml:space="preserve"> per cent)</w:t>
            </w:r>
          </w:p>
        </w:tc>
        <w:tc>
          <w:tcPr>
            <w:tcW w:w="1296" w:type="dxa"/>
          </w:tcPr>
          <w:p w14:paraId="52C3AB1A" w14:textId="65FA9020" w:rsidR="00B059E3" w:rsidRPr="004523AB" w:rsidRDefault="00B059E3" w:rsidP="00AF4781">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21 (1.9</w:t>
            </w:r>
            <w:r w:rsidR="00AD41C5" w:rsidRPr="004523AB">
              <w:rPr>
                <w:rFonts w:eastAsia="Segoe UI" w:cs="Segoe UI"/>
                <w:color w:val="000000"/>
                <w:szCs w:val="21"/>
              </w:rPr>
              <w:t xml:space="preserve"> per cent)</w:t>
            </w:r>
          </w:p>
        </w:tc>
        <w:tc>
          <w:tcPr>
            <w:tcW w:w="1296" w:type="dxa"/>
          </w:tcPr>
          <w:p w14:paraId="3787EC5F" w14:textId="10ED2AD7" w:rsidR="00B059E3" w:rsidRPr="004523AB" w:rsidRDefault="00B059E3" w:rsidP="00AF4781">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13 (1.7</w:t>
            </w:r>
            <w:r w:rsidR="00AD41C5" w:rsidRPr="004523AB">
              <w:rPr>
                <w:rFonts w:eastAsia="Segoe UI" w:cs="Segoe UI"/>
                <w:color w:val="000000"/>
                <w:szCs w:val="21"/>
              </w:rPr>
              <w:t xml:space="preserve"> per cent)</w:t>
            </w:r>
          </w:p>
        </w:tc>
        <w:tc>
          <w:tcPr>
            <w:tcW w:w="1296" w:type="dxa"/>
          </w:tcPr>
          <w:p w14:paraId="7483CFE0" w14:textId="6641A39A" w:rsidR="00B059E3" w:rsidRPr="004523AB" w:rsidRDefault="00B059E3" w:rsidP="00AF4781">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10 (2.3</w:t>
            </w:r>
            <w:r w:rsidR="00AD41C5" w:rsidRPr="004523AB">
              <w:rPr>
                <w:rFonts w:eastAsia="Segoe UI" w:cs="Segoe UI"/>
                <w:color w:val="000000"/>
                <w:szCs w:val="21"/>
              </w:rPr>
              <w:t xml:space="preserve"> per cent)</w:t>
            </w:r>
          </w:p>
        </w:tc>
        <w:tc>
          <w:tcPr>
            <w:tcW w:w="1296" w:type="dxa"/>
          </w:tcPr>
          <w:p w14:paraId="7FCABCA2" w14:textId="05214075" w:rsidR="00B059E3" w:rsidRPr="004523AB" w:rsidRDefault="00B059E3" w:rsidP="00AF4781">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9 (4.3</w:t>
            </w:r>
            <w:r w:rsidR="00AD41C5" w:rsidRPr="004523AB">
              <w:rPr>
                <w:rFonts w:eastAsia="Segoe UI" w:cs="Segoe UI"/>
                <w:color w:val="000000"/>
                <w:szCs w:val="21"/>
              </w:rPr>
              <w:t xml:space="preserve"> per cent)</w:t>
            </w:r>
          </w:p>
        </w:tc>
        <w:tc>
          <w:tcPr>
            <w:tcW w:w="1296" w:type="dxa"/>
          </w:tcPr>
          <w:p w14:paraId="1FB38139" w14:textId="5025D107" w:rsidR="00B059E3" w:rsidRPr="004523AB" w:rsidRDefault="00B059E3" w:rsidP="00AF4781">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2 (2.1</w:t>
            </w:r>
            <w:r w:rsidR="00AD41C5" w:rsidRPr="004523AB">
              <w:rPr>
                <w:rFonts w:eastAsia="Segoe UI" w:cs="Segoe UI"/>
                <w:color w:val="000000"/>
                <w:szCs w:val="21"/>
              </w:rPr>
              <w:t xml:space="preserve"> per cent)</w:t>
            </w:r>
          </w:p>
        </w:tc>
        <w:tc>
          <w:tcPr>
            <w:tcW w:w="1296" w:type="dxa"/>
          </w:tcPr>
          <w:p w14:paraId="4471309D" w14:textId="77777777" w:rsidR="00B059E3" w:rsidRPr="004523AB" w:rsidRDefault="00B059E3" w:rsidP="00AF4781">
            <w:pPr>
              <w:pBdr>
                <w:top w:val="none" w:sz="0" w:space="0" w:color="000000"/>
                <w:left w:val="none" w:sz="0" w:space="0" w:color="000000"/>
                <w:bottom w:val="none" w:sz="0" w:space="0" w:color="000000"/>
                <w:right w:val="none" w:sz="0" w:space="0" w:color="000000"/>
              </w:pBdr>
              <w:spacing w:after="0"/>
              <w:ind w:left="100" w:right="100"/>
            </w:pPr>
          </w:p>
        </w:tc>
        <w:tc>
          <w:tcPr>
            <w:tcW w:w="1296" w:type="dxa"/>
          </w:tcPr>
          <w:p w14:paraId="4562C6C2" w14:textId="39D62486" w:rsidR="00B059E3" w:rsidRPr="004523AB" w:rsidRDefault="00B059E3" w:rsidP="00AF4781">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1 (4.5</w:t>
            </w:r>
            <w:r w:rsidR="00AD41C5" w:rsidRPr="004523AB">
              <w:rPr>
                <w:rFonts w:eastAsia="Segoe UI" w:cs="Segoe UI"/>
                <w:color w:val="000000"/>
                <w:szCs w:val="21"/>
              </w:rPr>
              <w:t xml:space="preserve"> per cent)</w:t>
            </w:r>
          </w:p>
        </w:tc>
      </w:tr>
    </w:tbl>
    <w:p w14:paraId="226BCDA4" w14:textId="61FD43F9" w:rsidR="00B90B3F" w:rsidRPr="004523AB" w:rsidRDefault="00B90B3F">
      <w:pPr>
        <w:spacing w:after="165" w:line="259" w:lineRule="auto"/>
      </w:pPr>
      <w:r w:rsidRPr="004523AB">
        <w:br w:type="page"/>
      </w:r>
    </w:p>
    <w:p w14:paraId="2BEE91B9" w14:textId="25836746" w:rsidR="00FF66C8" w:rsidRPr="004523AB" w:rsidRDefault="005F31C5" w:rsidP="00FF66C8">
      <w:pPr>
        <w:pStyle w:val="Caption"/>
      </w:pPr>
      <w:r w:rsidRPr="004523AB">
        <w:lastRenderedPageBreak/>
        <w:t xml:space="preserve">Table </w:t>
      </w:r>
      <w:r w:rsidRPr="004523AB">
        <w:fldChar w:fldCharType="begin"/>
      </w:r>
      <w:r w:rsidRPr="004523AB">
        <w:instrText xml:space="preserve"> SEQ Table \* ARABIC </w:instrText>
      </w:r>
      <w:r w:rsidRPr="004523AB">
        <w:fldChar w:fldCharType="separate"/>
      </w:r>
      <w:r w:rsidR="00B96E50">
        <w:rPr>
          <w:noProof/>
        </w:rPr>
        <w:t>29</w:t>
      </w:r>
      <w:r w:rsidRPr="004523AB">
        <w:fldChar w:fldCharType="end"/>
      </w:r>
      <w:r w:rsidR="00F6100B" w:rsidRPr="004523AB">
        <w:t xml:space="preserve"> | Stream 3: What </w:t>
      </w:r>
      <w:r w:rsidR="00FF66C8" w:rsidRPr="004523AB">
        <w:t>did you spend grant funds on to maintain or achieve accreditation?</w:t>
      </w:r>
      <w:r w:rsidR="00FA7385" w:rsidRPr="004523AB">
        <w:t xml:space="preserve"> (by State)</w:t>
      </w:r>
    </w:p>
    <w:tbl>
      <w:tblPr>
        <w:tblStyle w:val="AccessibleNousTable"/>
        <w:tblW w:w="14688" w:type="dxa"/>
        <w:tblLayout w:type="fixed"/>
        <w:tblLook w:val="0420" w:firstRow="1" w:lastRow="0" w:firstColumn="0" w:lastColumn="0" w:noHBand="0" w:noVBand="1"/>
      </w:tblPr>
      <w:tblGrid>
        <w:gridCol w:w="4320"/>
        <w:gridCol w:w="1296"/>
        <w:gridCol w:w="1296"/>
        <w:gridCol w:w="1296"/>
        <w:gridCol w:w="1296"/>
        <w:gridCol w:w="1296"/>
        <w:gridCol w:w="1296"/>
        <w:gridCol w:w="1296"/>
        <w:gridCol w:w="1296"/>
      </w:tblGrid>
      <w:tr w:rsidR="00B90B3F" w:rsidRPr="004523AB" w14:paraId="5BF1D0AF" w14:textId="77777777" w:rsidTr="006E25AA">
        <w:trPr>
          <w:cnfStyle w:val="100000000000" w:firstRow="1" w:lastRow="0" w:firstColumn="0" w:lastColumn="0" w:oddVBand="0" w:evenVBand="0" w:oddHBand="0" w:evenHBand="0" w:firstRowFirstColumn="0" w:firstRowLastColumn="0" w:lastRowFirstColumn="0" w:lastRowLastColumn="0"/>
          <w:tblHeader/>
        </w:trPr>
        <w:tc>
          <w:tcPr>
            <w:tcW w:w="4320" w:type="dxa"/>
          </w:tcPr>
          <w:p w14:paraId="2524A9A5" w14:textId="77777777" w:rsidR="00B90B3F" w:rsidRPr="004523AB" w:rsidRDefault="00B90B3F" w:rsidP="00B90B3F">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Response</w:t>
            </w:r>
          </w:p>
        </w:tc>
        <w:tc>
          <w:tcPr>
            <w:tcW w:w="1296" w:type="dxa"/>
          </w:tcPr>
          <w:p w14:paraId="53BA6FCF" w14:textId="0899388D"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NSW</w:t>
            </w:r>
          </w:p>
        </w:tc>
        <w:tc>
          <w:tcPr>
            <w:tcW w:w="1296" w:type="dxa"/>
          </w:tcPr>
          <w:p w14:paraId="32604D03" w14:textId="791B407A"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Vic</w:t>
            </w:r>
          </w:p>
        </w:tc>
        <w:tc>
          <w:tcPr>
            <w:tcW w:w="1296" w:type="dxa"/>
          </w:tcPr>
          <w:p w14:paraId="33774CC0" w14:textId="25857E8F"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Qld</w:t>
            </w:r>
          </w:p>
        </w:tc>
        <w:tc>
          <w:tcPr>
            <w:tcW w:w="1296" w:type="dxa"/>
          </w:tcPr>
          <w:p w14:paraId="02C8215E" w14:textId="0D54FFB5"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WA</w:t>
            </w:r>
          </w:p>
        </w:tc>
        <w:tc>
          <w:tcPr>
            <w:tcW w:w="1296" w:type="dxa"/>
          </w:tcPr>
          <w:p w14:paraId="52B4CECA" w14:textId="10E2685F"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SA</w:t>
            </w:r>
          </w:p>
        </w:tc>
        <w:tc>
          <w:tcPr>
            <w:tcW w:w="1296" w:type="dxa"/>
          </w:tcPr>
          <w:p w14:paraId="7D6E0BB3" w14:textId="58CABF08"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Tas</w:t>
            </w:r>
          </w:p>
        </w:tc>
        <w:tc>
          <w:tcPr>
            <w:tcW w:w="1296" w:type="dxa"/>
          </w:tcPr>
          <w:p w14:paraId="01C3CD97" w14:textId="750F6A6C"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ACT</w:t>
            </w:r>
          </w:p>
        </w:tc>
        <w:tc>
          <w:tcPr>
            <w:tcW w:w="1296" w:type="dxa"/>
          </w:tcPr>
          <w:p w14:paraId="0A8CF078" w14:textId="6B72AD3D"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NT</w:t>
            </w:r>
          </w:p>
        </w:tc>
      </w:tr>
      <w:tr w:rsidR="00B90B3F" w:rsidRPr="004523AB" w14:paraId="37A4A859" w14:textId="77777777" w:rsidTr="00B90B3F">
        <w:tc>
          <w:tcPr>
            <w:tcW w:w="4320" w:type="dxa"/>
          </w:tcPr>
          <w:p w14:paraId="46052168" w14:textId="77777777" w:rsidR="00B90B3F" w:rsidRPr="004523AB" w:rsidRDefault="00B90B3F">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Accessibility improvements for patients</w:t>
            </w:r>
          </w:p>
        </w:tc>
        <w:tc>
          <w:tcPr>
            <w:tcW w:w="1296" w:type="dxa"/>
          </w:tcPr>
          <w:p w14:paraId="4DDF674D" w14:textId="120B49B6"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464 (37.1</w:t>
            </w:r>
            <w:r w:rsidR="00700FA3" w:rsidRPr="004523AB">
              <w:rPr>
                <w:rFonts w:eastAsia="Segoe UI" w:cs="Segoe UI"/>
                <w:color w:val="000000"/>
                <w:szCs w:val="21"/>
              </w:rPr>
              <w:t xml:space="preserve"> per cent)</w:t>
            </w:r>
          </w:p>
        </w:tc>
        <w:tc>
          <w:tcPr>
            <w:tcW w:w="1296" w:type="dxa"/>
          </w:tcPr>
          <w:p w14:paraId="0E8ACA9E" w14:textId="4B5B337A"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393 (35.1</w:t>
            </w:r>
            <w:r w:rsidR="00700FA3" w:rsidRPr="004523AB">
              <w:rPr>
                <w:rFonts w:eastAsia="Segoe UI" w:cs="Segoe UI"/>
                <w:color w:val="000000"/>
                <w:szCs w:val="21"/>
              </w:rPr>
              <w:t xml:space="preserve"> per cent)</w:t>
            </w:r>
          </w:p>
        </w:tc>
        <w:tc>
          <w:tcPr>
            <w:tcW w:w="1296" w:type="dxa"/>
          </w:tcPr>
          <w:p w14:paraId="7D8BDA79" w14:textId="487A2443"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252 (33.8</w:t>
            </w:r>
            <w:r w:rsidR="00700FA3" w:rsidRPr="004523AB">
              <w:rPr>
                <w:rFonts w:eastAsia="Segoe UI" w:cs="Segoe UI"/>
                <w:color w:val="000000"/>
                <w:szCs w:val="21"/>
              </w:rPr>
              <w:t xml:space="preserve"> per cent)</w:t>
            </w:r>
          </w:p>
        </w:tc>
        <w:tc>
          <w:tcPr>
            <w:tcW w:w="1296" w:type="dxa"/>
          </w:tcPr>
          <w:p w14:paraId="7949544E" w14:textId="1BF457F8"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175 (40.0</w:t>
            </w:r>
            <w:r w:rsidR="00700FA3" w:rsidRPr="004523AB">
              <w:rPr>
                <w:rFonts w:eastAsia="Segoe UI" w:cs="Segoe UI"/>
                <w:color w:val="000000"/>
                <w:szCs w:val="21"/>
              </w:rPr>
              <w:t xml:space="preserve"> per cent)</w:t>
            </w:r>
          </w:p>
        </w:tc>
        <w:tc>
          <w:tcPr>
            <w:tcW w:w="1296" w:type="dxa"/>
          </w:tcPr>
          <w:p w14:paraId="0D343A63" w14:textId="4111F950"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94 (45.2</w:t>
            </w:r>
            <w:r w:rsidR="00700FA3" w:rsidRPr="004523AB">
              <w:rPr>
                <w:rFonts w:eastAsia="Segoe UI" w:cs="Segoe UI"/>
                <w:color w:val="000000"/>
                <w:szCs w:val="21"/>
              </w:rPr>
              <w:t xml:space="preserve"> per cent)</w:t>
            </w:r>
          </w:p>
        </w:tc>
        <w:tc>
          <w:tcPr>
            <w:tcW w:w="1296" w:type="dxa"/>
          </w:tcPr>
          <w:p w14:paraId="27B099CB" w14:textId="321CDA2D"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27 (28.1</w:t>
            </w:r>
            <w:r w:rsidR="00700FA3" w:rsidRPr="004523AB">
              <w:rPr>
                <w:rFonts w:eastAsia="Segoe UI" w:cs="Segoe UI"/>
                <w:color w:val="000000"/>
                <w:szCs w:val="21"/>
              </w:rPr>
              <w:t xml:space="preserve"> per cent)</w:t>
            </w:r>
          </w:p>
        </w:tc>
        <w:tc>
          <w:tcPr>
            <w:tcW w:w="1296" w:type="dxa"/>
          </w:tcPr>
          <w:p w14:paraId="3D08D291" w14:textId="59BD0134"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16 (23.5</w:t>
            </w:r>
            <w:r w:rsidR="00700FA3" w:rsidRPr="004523AB">
              <w:rPr>
                <w:rFonts w:eastAsia="Segoe UI" w:cs="Segoe UI"/>
                <w:color w:val="000000"/>
                <w:szCs w:val="21"/>
              </w:rPr>
              <w:t xml:space="preserve"> per cent)</w:t>
            </w:r>
          </w:p>
        </w:tc>
        <w:tc>
          <w:tcPr>
            <w:tcW w:w="1296" w:type="dxa"/>
          </w:tcPr>
          <w:p w14:paraId="1682EC01" w14:textId="666731DB"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 (22.7</w:t>
            </w:r>
            <w:r w:rsidR="00700FA3" w:rsidRPr="004523AB">
              <w:rPr>
                <w:rFonts w:eastAsia="Segoe UI" w:cs="Segoe UI"/>
                <w:color w:val="000000"/>
                <w:szCs w:val="21"/>
              </w:rPr>
              <w:t xml:space="preserve"> per cent)</w:t>
            </w:r>
          </w:p>
        </w:tc>
      </w:tr>
      <w:tr w:rsidR="00B90B3F" w:rsidRPr="004523AB" w14:paraId="6CEC044C" w14:textId="77777777" w:rsidTr="00B90B3F">
        <w:tc>
          <w:tcPr>
            <w:tcW w:w="4320" w:type="dxa"/>
          </w:tcPr>
          <w:p w14:paraId="42DB2AD5" w14:textId="77777777" w:rsidR="00B90B3F" w:rsidRPr="004523AB" w:rsidRDefault="00B90B3F">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Quality and safety improvements for patients</w:t>
            </w:r>
          </w:p>
        </w:tc>
        <w:tc>
          <w:tcPr>
            <w:tcW w:w="1296" w:type="dxa"/>
          </w:tcPr>
          <w:p w14:paraId="6D0718AC" w14:textId="57C468B4"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833 (66.5</w:t>
            </w:r>
            <w:r w:rsidR="00700FA3" w:rsidRPr="004523AB">
              <w:rPr>
                <w:rFonts w:eastAsia="Segoe UI" w:cs="Segoe UI"/>
                <w:color w:val="000000"/>
                <w:szCs w:val="21"/>
              </w:rPr>
              <w:t xml:space="preserve"> per cent)</w:t>
            </w:r>
          </w:p>
        </w:tc>
        <w:tc>
          <w:tcPr>
            <w:tcW w:w="1296" w:type="dxa"/>
          </w:tcPr>
          <w:p w14:paraId="444A82E2" w14:textId="30916CD6"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726 (64.9</w:t>
            </w:r>
            <w:r w:rsidR="00700FA3" w:rsidRPr="004523AB">
              <w:rPr>
                <w:rFonts w:eastAsia="Segoe UI" w:cs="Segoe UI"/>
                <w:color w:val="000000"/>
                <w:szCs w:val="21"/>
              </w:rPr>
              <w:t xml:space="preserve"> per cent)</w:t>
            </w:r>
          </w:p>
        </w:tc>
        <w:tc>
          <w:tcPr>
            <w:tcW w:w="1296" w:type="dxa"/>
          </w:tcPr>
          <w:p w14:paraId="798BF070" w14:textId="325F5AEF"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472 (63.4</w:t>
            </w:r>
            <w:r w:rsidR="00700FA3" w:rsidRPr="004523AB">
              <w:rPr>
                <w:rFonts w:eastAsia="Segoe UI" w:cs="Segoe UI"/>
                <w:color w:val="000000"/>
                <w:szCs w:val="21"/>
              </w:rPr>
              <w:t xml:space="preserve"> per cent)</w:t>
            </w:r>
          </w:p>
        </w:tc>
        <w:tc>
          <w:tcPr>
            <w:tcW w:w="1296" w:type="dxa"/>
          </w:tcPr>
          <w:p w14:paraId="0893FED0" w14:textId="4CE3E0B0"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296 (67.6</w:t>
            </w:r>
            <w:r w:rsidR="00700FA3" w:rsidRPr="004523AB">
              <w:rPr>
                <w:rFonts w:eastAsia="Segoe UI" w:cs="Segoe UI"/>
                <w:color w:val="000000"/>
                <w:szCs w:val="21"/>
              </w:rPr>
              <w:t xml:space="preserve"> per cent)</w:t>
            </w:r>
          </w:p>
        </w:tc>
        <w:tc>
          <w:tcPr>
            <w:tcW w:w="1296" w:type="dxa"/>
          </w:tcPr>
          <w:p w14:paraId="30A32A6F" w14:textId="7C6DF9C9"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137 (65.9</w:t>
            </w:r>
            <w:r w:rsidR="00700FA3" w:rsidRPr="004523AB">
              <w:rPr>
                <w:rFonts w:eastAsia="Segoe UI" w:cs="Segoe UI"/>
                <w:color w:val="000000"/>
                <w:szCs w:val="21"/>
              </w:rPr>
              <w:t xml:space="preserve"> per cent)</w:t>
            </w:r>
          </w:p>
        </w:tc>
        <w:tc>
          <w:tcPr>
            <w:tcW w:w="1296" w:type="dxa"/>
          </w:tcPr>
          <w:p w14:paraId="7E9FB8FD" w14:textId="71DB3F2C"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70 (72.9</w:t>
            </w:r>
            <w:r w:rsidR="00700FA3" w:rsidRPr="004523AB">
              <w:rPr>
                <w:rFonts w:eastAsia="Segoe UI" w:cs="Segoe UI"/>
                <w:color w:val="000000"/>
                <w:szCs w:val="21"/>
              </w:rPr>
              <w:t xml:space="preserve"> per cent)</w:t>
            </w:r>
          </w:p>
        </w:tc>
        <w:tc>
          <w:tcPr>
            <w:tcW w:w="1296" w:type="dxa"/>
          </w:tcPr>
          <w:p w14:paraId="5088CBDA" w14:textId="1E96FBDF"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45 (66.2</w:t>
            </w:r>
            <w:r w:rsidR="00700FA3" w:rsidRPr="004523AB">
              <w:rPr>
                <w:rFonts w:eastAsia="Segoe UI" w:cs="Segoe UI"/>
                <w:color w:val="000000"/>
                <w:szCs w:val="21"/>
              </w:rPr>
              <w:t xml:space="preserve"> per cent)</w:t>
            </w:r>
          </w:p>
        </w:tc>
        <w:tc>
          <w:tcPr>
            <w:tcW w:w="1296" w:type="dxa"/>
          </w:tcPr>
          <w:p w14:paraId="2B015379" w14:textId="5FD39498"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10 (45.5</w:t>
            </w:r>
            <w:r w:rsidR="00700FA3" w:rsidRPr="004523AB">
              <w:rPr>
                <w:rFonts w:eastAsia="Segoe UI" w:cs="Segoe UI"/>
                <w:color w:val="000000"/>
                <w:szCs w:val="21"/>
              </w:rPr>
              <w:t xml:space="preserve"> per cent)</w:t>
            </w:r>
          </w:p>
        </w:tc>
      </w:tr>
      <w:tr w:rsidR="00B90B3F" w:rsidRPr="004523AB" w14:paraId="39C5DBB7" w14:textId="77777777" w:rsidTr="00B90B3F">
        <w:tc>
          <w:tcPr>
            <w:tcW w:w="4320" w:type="dxa"/>
          </w:tcPr>
          <w:p w14:paraId="356DD26B" w14:textId="77777777" w:rsidR="00B90B3F" w:rsidRPr="004523AB" w:rsidRDefault="00B90B3F">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 xml:space="preserve">Supporting the health, wellbeing and safety of staff </w:t>
            </w:r>
          </w:p>
        </w:tc>
        <w:tc>
          <w:tcPr>
            <w:tcW w:w="1296" w:type="dxa"/>
          </w:tcPr>
          <w:p w14:paraId="512E219F" w14:textId="7EB7297F"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604 (48.2</w:t>
            </w:r>
            <w:r w:rsidR="00700FA3" w:rsidRPr="004523AB">
              <w:rPr>
                <w:rFonts w:eastAsia="Segoe UI" w:cs="Segoe UI"/>
                <w:color w:val="000000"/>
                <w:szCs w:val="21"/>
              </w:rPr>
              <w:t xml:space="preserve"> per cent)</w:t>
            </w:r>
          </w:p>
        </w:tc>
        <w:tc>
          <w:tcPr>
            <w:tcW w:w="1296" w:type="dxa"/>
          </w:tcPr>
          <w:p w14:paraId="71CCA6ED" w14:textId="6F7EF016"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545 (48.7</w:t>
            </w:r>
            <w:r w:rsidR="00700FA3" w:rsidRPr="004523AB">
              <w:rPr>
                <w:rFonts w:eastAsia="Segoe UI" w:cs="Segoe UI"/>
                <w:color w:val="000000"/>
                <w:szCs w:val="21"/>
              </w:rPr>
              <w:t xml:space="preserve"> per cent)</w:t>
            </w:r>
          </w:p>
        </w:tc>
        <w:tc>
          <w:tcPr>
            <w:tcW w:w="1296" w:type="dxa"/>
          </w:tcPr>
          <w:p w14:paraId="532CCDF4" w14:textId="6A75B158"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321 (43.1</w:t>
            </w:r>
            <w:r w:rsidR="00700FA3" w:rsidRPr="004523AB">
              <w:rPr>
                <w:rFonts w:eastAsia="Segoe UI" w:cs="Segoe UI"/>
                <w:color w:val="000000"/>
                <w:szCs w:val="21"/>
              </w:rPr>
              <w:t xml:space="preserve"> per cent)</w:t>
            </w:r>
          </w:p>
        </w:tc>
        <w:tc>
          <w:tcPr>
            <w:tcW w:w="1296" w:type="dxa"/>
          </w:tcPr>
          <w:p w14:paraId="78E5ED38" w14:textId="31947236"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193 (44.1</w:t>
            </w:r>
            <w:r w:rsidR="00700FA3" w:rsidRPr="004523AB">
              <w:rPr>
                <w:rFonts w:eastAsia="Segoe UI" w:cs="Segoe UI"/>
                <w:color w:val="000000"/>
                <w:szCs w:val="21"/>
              </w:rPr>
              <w:t xml:space="preserve"> per cent)</w:t>
            </w:r>
          </w:p>
        </w:tc>
        <w:tc>
          <w:tcPr>
            <w:tcW w:w="1296" w:type="dxa"/>
          </w:tcPr>
          <w:p w14:paraId="27CA668B" w14:textId="63E3D8AC"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100 (48.1</w:t>
            </w:r>
            <w:r w:rsidR="00700FA3" w:rsidRPr="004523AB">
              <w:rPr>
                <w:rFonts w:eastAsia="Segoe UI" w:cs="Segoe UI"/>
                <w:color w:val="000000"/>
                <w:szCs w:val="21"/>
              </w:rPr>
              <w:t xml:space="preserve"> per cent)</w:t>
            </w:r>
          </w:p>
        </w:tc>
        <w:tc>
          <w:tcPr>
            <w:tcW w:w="1296" w:type="dxa"/>
          </w:tcPr>
          <w:p w14:paraId="1ACCBD3D" w14:textId="235523B1"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42 (43.8</w:t>
            </w:r>
            <w:r w:rsidR="00700FA3" w:rsidRPr="004523AB">
              <w:rPr>
                <w:rFonts w:eastAsia="Segoe UI" w:cs="Segoe UI"/>
                <w:color w:val="000000"/>
                <w:szCs w:val="21"/>
              </w:rPr>
              <w:t xml:space="preserve"> per cent)</w:t>
            </w:r>
          </w:p>
        </w:tc>
        <w:tc>
          <w:tcPr>
            <w:tcW w:w="1296" w:type="dxa"/>
          </w:tcPr>
          <w:p w14:paraId="3B847F5D" w14:textId="142C2896"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23 (33.8</w:t>
            </w:r>
            <w:r w:rsidR="00700FA3" w:rsidRPr="004523AB">
              <w:rPr>
                <w:rFonts w:eastAsia="Segoe UI" w:cs="Segoe UI"/>
                <w:color w:val="000000"/>
                <w:szCs w:val="21"/>
              </w:rPr>
              <w:t xml:space="preserve"> per cent)</w:t>
            </w:r>
          </w:p>
        </w:tc>
        <w:tc>
          <w:tcPr>
            <w:tcW w:w="1296" w:type="dxa"/>
          </w:tcPr>
          <w:p w14:paraId="6516E115" w14:textId="0786B97F"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9 (40.9</w:t>
            </w:r>
            <w:r w:rsidR="00700FA3" w:rsidRPr="004523AB">
              <w:rPr>
                <w:rFonts w:eastAsia="Segoe UI" w:cs="Segoe UI"/>
                <w:color w:val="000000"/>
                <w:szCs w:val="21"/>
              </w:rPr>
              <w:t xml:space="preserve"> per cent)</w:t>
            </w:r>
          </w:p>
        </w:tc>
      </w:tr>
      <w:tr w:rsidR="00B90B3F" w:rsidRPr="004523AB" w14:paraId="60A6D576" w14:textId="77777777" w:rsidTr="00B90B3F">
        <w:tc>
          <w:tcPr>
            <w:tcW w:w="4320" w:type="dxa"/>
          </w:tcPr>
          <w:p w14:paraId="768AC355" w14:textId="77777777" w:rsidR="00B90B3F" w:rsidRPr="004523AB" w:rsidRDefault="00B90B3F">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 xml:space="preserve">Purchase of equipment </w:t>
            </w:r>
          </w:p>
        </w:tc>
        <w:tc>
          <w:tcPr>
            <w:tcW w:w="1296" w:type="dxa"/>
          </w:tcPr>
          <w:p w14:paraId="44749B80" w14:textId="7F5C2944"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973 (77.7</w:t>
            </w:r>
            <w:r w:rsidR="00700FA3" w:rsidRPr="004523AB">
              <w:rPr>
                <w:rFonts w:eastAsia="Segoe UI" w:cs="Segoe UI"/>
                <w:color w:val="000000"/>
                <w:szCs w:val="21"/>
              </w:rPr>
              <w:t xml:space="preserve"> per cent)</w:t>
            </w:r>
          </w:p>
        </w:tc>
        <w:tc>
          <w:tcPr>
            <w:tcW w:w="1296" w:type="dxa"/>
          </w:tcPr>
          <w:p w14:paraId="487E4EA6" w14:textId="5574D39D"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846 (75.6</w:t>
            </w:r>
            <w:r w:rsidR="00700FA3" w:rsidRPr="004523AB">
              <w:rPr>
                <w:rFonts w:eastAsia="Segoe UI" w:cs="Segoe UI"/>
                <w:color w:val="000000"/>
                <w:szCs w:val="21"/>
              </w:rPr>
              <w:t xml:space="preserve"> per cent)</w:t>
            </w:r>
          </w:p>
        </w:tc>
        <w:tc>
          <w:tcPr>
            <w:tcW w:w="1296" w:type="dxa"/>
          </w:tcPr>
          <w:p w14:paraId="309C0548" w14:textId="37A2309B"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589 (79.1</w:t>
            </w:r>
            <w:r w:rsidR="00700FA3" w:rsidRPr="004523AB">
              <w:rPr>
                <w:rFonts w:eastAsia="Segoe UI" w:cs="Segoe UI"/>
                <w:color w:val="000000"/>
                <w:szCs w:val="21"/>
              </w:rPr>
              <w:t xml:space="preserve"> per cent)</w:t>
            </w:r>
          </w:p>
        </w:tc>
        <w:tc>
          <w:tcPr>
            <w:tcW w:w="1296" w:type="dxa"/>
          </w:tcPr>
          <w:p w14:paraId="6C835FDD" w14:textId="0F484FE4"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339 (77.4</w:t>
            </w:r>
            <w:r w:rsidR="00700FA3" w:rsidRPr="004523AB">
              <w:rPr>
                <w:rFonts w:eastAsia="Segoe UI" w:cs="Segoe UI"/>
                <w:color w:val="000000"/>
                <w:szCs w:val="21"/>
              </w:rPr>
              <w:t xml:space="preserve"> per cent)</w:t>
            </w:r>
          </w:p>
        </w:tc>
        <w:tc>
          <w:tcPr>
            <w:tcW w:w="1296" w:type="dxa"/>
          </w:tcPr>
          <w:p w14:paraId="070190C8" w14:textId="79C513EB"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143 (68.8</w:t>
            </w:r>
            <w:r w:rsidR="00700FA3" w:rsidRPr="004523AB">
              <w:rPr>
                <w:rFonts w:eastAsia="Segoe UI" w:cs="Segoe UI"/>
                <w:color w:val="000000"/>
                <w:szCs w:val="21"/>
              </w:rPr>
              <w:t xml:space="preserve"> per cent)</w:t>
            </w:r>
          </w:p>
        </w:tc>
        <w:tc>
          <w:tcPr>
            <w:tcW w:w="1296" w:type="dxa"/>
          </w:tcPr>
          <w:p w14:paraId="621C06EB" w14:textId="7E8FCE4E"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80 (83.3</w:t>
            </w:r>
            <w:r w:rsidR="00700FA3" w:rsidRPr="004523AB">
              <w:rPr>
                <w:rFonts w:eastAsia="Segoe UI" w:cs="Segoe UI"/>
                <w:color w:val="000000"/>
                <w:szCs w:val="21"/>
              </w:rPr>
              <w:t xml:space="preserve"> per cent)</w:t>
            </w:r>
          </w:p>
        </w:tc>
        <w:tc>
          <w:tcPr>
            <w:tcW w:w="1296" w:type="dxa"/>
          </w:tcPr>
          <w:p w14:paraId="68426366" w14:textId="559044FA"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55 (80.9</w:t>
            </w:r>
            <w:r w:rsidR="00700FA3" w:rsidRPr="004523AB">
              <w:rPr>
                <w:rFonts w:eastAsia="Segoe UI" w:cs="Segoe UI"/>
                <w:color w:val="000000"/>
                <w:szCs w:val="21"/>
              </w:rPr>
              <w:t xml:space="preserve"> per cent)</w:t>
            </w:r>
          </w:p>
        </w:tc>
        <w:tc>
          <w:tcPr>
            <w:tcW w:w="1296" w:type="dxa"/>
          </w:tcPr>
          <w:p w14:paraId="55EC2DD3" w14:textId="54DCC870"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17 (77.3</w:t>
            </w:r>
            <w:r w:rsidR="00700FA3" w:rsidRPr="004523AB">
              <w:rPr>
                <w:rFonts w:eastAsia="Segoe UI" w:cs="Segoe UI"/>
                <w:color w:val="000000"/>
                <w:szCs w:val="21"/>
              </w:rPr>
              <w:t xml:space="preserve"> per cent)</w:t>
            </w:r>
          </w:p>
        </w:tc>
      </w:tr>
      <w:tr w:rsidR="00B90B3F" w:rsidRPr="004523AB" w14:paraId="7D8F58D7" w14:textId="77777777" w:rsidTr="00B90B3F">
        <w:tc>
          <w:tcPr>
            <w:tcW w:w="4320" w:type="dxa"/>
          </w:tcPr>
          <w:p w14:paraId="7B57F996" w14:textId="77777777" w:rsidR="00B90B3F" w:rsidRPr="004523AB" w:rsidRDefault="00B90B3F">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Reimbursement of staff time</w:t>
            </w:r>
          </w:p>
        </w:tc>
        <w:tc>
          <w:tcPr>
            <w:tcW w:w="1296" w:type="dxa"/>
          </w:tcPr>
          <w:p w14:paraId="790EFB01" w14:textId="6AFB4C20"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442 (35.3</w:t>
            </w:r>
            <w:r w:rsidR="00700FA3" w:rsidRPr="004523AB">
              <w:rPr>
                <w:rFonts w:eastAsia="Segoe UI" w:cs="Segoe UI"/>
                <w:color w:val="000000"/>
                <w:szCs w:val="21"/>
              </w:rPr>
              <w:t xml:space="preserve"> per cent)</w:t>
            </w:r>
          </w:p>
        </w:tc>
        <w:tc>
          <w:tcPr>
            <w:tcW w:w="1296" w:type="dxa"/>
          </w:tcPr>
          <w:p w14:paraId="4EC05DF5" w14:textId="477DBA83"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396 (35.4</w:t>
            </w:r>
            <w:r w:rsidR="00700FA3" w:rsidRPr="004523AB">
              <w:rPr>
                <w:rFonts w:eastAsia="Segoe UI" w:cs="Segoe UI"/>
                <w:color w:val="000000"/>
                <w:szCs w:val="21"/>
              </w:rPr>
              <w:t xml:space="preserve"> per cent)</w:t>
            </w:r>
          </w:p>
        </w:tc>
        <w:tc>
          <w:tcPr>
            <w:tcW w:w="1296" w:type="dxa"/>
          </w:tcPr>
          <w:p w14:paraId="44E15EF0" w14:textId="298DCE37"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267 (35.8</w:t>
            </w:r>
            <w:r w:rsidR="00700FA3" w:rsidRPr="004523AB">
              <w:rPr>
                <w:rFonts w:eastAsia="Segoe UI" w:cs="Segoe UI"/>
                <w:color w:val="000000"/>
                <w:szCs w:val="21"/>
              </w:rPr>
              <w:t xml:space="preserve"> per cent)</w:t>
            </w:r>
          </w:p>
        </w:tc>
        <w:tc>
          <w:tcPr>
            <w:tcW w:w="1296" w:type="dxa"/>
          </w:tcPr>
          <w:p w14:paraId="1503FC59" w14:textId="082EEB8E"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150 (34.2</w:t>
            </w:r>
            <w:r w:rsidR="00700FA3" w:rsidRPr="004523AB">
              <w:rPr>
                <w:rFonts w:eastAsia="Segoe UI" w:cs="Segoe UI"/>
                <w:color w:val="000000"/>
                <w:szCs w:val="21"/>
              </w:rPr>
              <w:t xml:space="preserve"> per cent)</w:t>
            </w:r>
          </w:p>
        </w:tc>
        <w:tc>
          <w:tcPr>
            <w:tcW w:w="1296" w:type="dxa"/>
          </w:tcPr>
          <w:p w14:paraId="54F4B008" w14:textId="2599C45E"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76 (36.5</w:t>
            </w:r>
            <w:r w:rsidR="00700FA3" w:rsidRPr="004523AB">
              <w:rPr>
                <w:rFonts w:eastAsia="Segoe UI" w:cs="Segoe UI"/>
                <w:color w:val="000000"/>
                <w:szCs w:val="21"/>
              </w:rPr>
              <w:t xml:space="preserve"> per cent)</w:t>
            </w:r>
          </w:p>
        </w:tc>
        <w:tc>
          <w:tcPr>
            <w:tcW w:w="1296" w:type="dxa"/>
          </w:tcPr>
          <w:p w14:paraId="4A120A9B" w14:textId="2C827F26"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27 (28.1</w:t>
            </w:r>
            <w:r w:rsidR="00700FA3" w:rsidRPr="004523AB">
              <w:rPr>
                <w:rFonts w:eastAsia="Segoe UI" w:cs="Segoe UI"/>
                <w:color w:val="000000"/>
                <w:szCs w:val="21"/>
              </w:rPr>
              <w:t xml:space="preserve"> per cent)</w:t>
            </w:r>
          </w:p>
        </w:tc>
        <w:tc>
          <w:tcPr>
            <w:tcW w:w="1296" w:type="dxa"/>
          </w:tcPr>
          <w:p w14:paraId="312DC522" w14:textId="63833E94"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15 (22.1</w:t>
            </w:r>
            <w:r w:rsidR="00700FA3" w:rsidRPr="004523AB">
              <w:rPr>
                <w:rFonts w:eastAsia="Segoe UI" w:cs="Segoe UI"/>
                <w:color w:val="000000"/>
                <w:szCs w:val="21"/>
              </w:rPr>
              <w:t xml:space="preserve"> per cent)</w:t>
            </w:r>
          </w:p>
        </w:tc>
        <w:tc>
          <w:tcPr>
            <w:tcW w:w="1296" w:type="dxa"/>
          </w:tcPr>
          <w:p w14:paraId="43F0879D" w14:textId="108B9B54"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 (9.1</w:t>
            </w:r>
            <w:r w:rsidR="00700FA3" w:rsidRPr="004523AB">
              <w:rPr>
                <w:rFonts w:eastAsia="Segoe UI" w:cs="Segoe UI"/>
                <w:color w:val="000000"/>
                <w:szCs w:val="21"/>
              </w:rPr>
              <w:t xml:space="preserve"> per cent)</w:t>
            </w:r>
          </w:p>
        </w:tc>
      </w:tr>
      <w:tr w:rsidR="00B90B3F" w:rsidRPr="004523AB" w14:paraId="23C60CE4" w14:textId="77777777" w:rsidTr="00B90B3F">
        <w:tc>
          <w:tcPr>
            <w:tcW w:w="4320" w:type="dxa"/>
          </w:tcPr>
          <w:p w14:paraId="7F5022E4" w14:textId="77777777" w:rsidR="00B90B3F" w:rsidRPr="004523AB" w:rsidRDefault="00B90B3F">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 xml:space="preserve">Minor capital works </w:t>
            </w:r>
          </w:p>
        </w:tc>
        <w:tc>
          <w:tcPr>
            <w:tcW w:w="1296" w:type="dxa"/>
          </w:tcPr>
          <w:p w14:paraId="40578F85" w14:textId="077428F1"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310 (24.8</w:t>
            </w:r>
            <w:r w:rsidR="00700FA3" w:rsidRPr="004523AB">
              <w:rPr>
                <w:rFonts w:eastAsia="Segoe UI" w:cs="Segoe UI"/>
                <w:color w:val="000000"/>
                <w:szCs w:val="21"/>
              </w:rPr>
              <w:t xml:space="preserve"> per cent)</w:t>
            </w:r>
          </w:p>
        </w:tc>
        <w:tc>
          <w:tcPr>
            <w:tcW w:w="1296" w:type="dxa"/>
          </w:tcPr>
          <w:p w14:paraId="7A29C38B" w14:textId="6C452C56"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292 (26.1</w:t>
            </w:r>
            <w:r w:rsidR="00700FA3" w:rsidRPr="004523AB">
              <w:rPr>
                <w:rFonts w:eastAsia="Segoe UI" w:cs="Segoe UI"/>
                <w:color w:val="000000"/>
                <w:szCs w:val="21"/>
              </w:rPr>
              <w:t xml:space="preserve"> per cent)</w:t>
            </w:r>
          </w:p>
        </w:tc>
        <w:tc>
          <w:tcPr>
            <w:tcW w:w="1296" w:type="dxa"/>
          </w:tcPr>
          <w:p w14:paraId="2F3FB0B8" w14:textId="087D8FEA"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119 (16.0</w:t>
            </w:r>
            <w:r w:rsidR="00700FA3" w:rsidRPr="004523AB">
              <w:rPr>
                <w:rFonts w:eastAsia="Segoe UI" w:cs="Segoe UI"/>
                <w:color w:val="000000"/>
                <w:szCs w:val="21"/>
              </w:rPr>
              <w:t xml:space="preserve"> per cent)</w:t>
            </w:r>
          </w:p>
        </w:tc>
        <w:tc>
          <w:tcPr>
            <w:tcW w:w="1296" w:type="dxa"/>
          </w:tcPr>
          <w:p w14:paraId="396B5B2F" w14:textId="66BC3034"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82 (18.7</w:t>
            </w:r>
            <w:r w:rsidR="00700FA3" w:rsidRPr="004523AB">
              <w:rPr>
                <w:rFonts w:eastAsia="Segoe UI" w:cs="Segoe UI"/>
                <w:color w:val="000000"/>
                <w:szCs w:val="21"/>
              </w:rPr>
              <w:t xml:space="preserve"> per cent)</w:t>
            </w:r>
          </w:p>
        </w:tc>
        <w:tc>
          <w:tcPr>
            <w:tcW w:w="1296" w:type="dxa"/>
          </w:tcPr>
          <w:p w14:paraId="6695F9D5" w14:textId="4AFAE87F"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37 (17.8</w:t>
            </w:r>
            <w:r w:rsidR="00700FA3" w:rsidRPr="004523AB">
              <w:rPr>
                <w:rFonts w:eastAsia="Segoe UI" w:cs="Segoe UI"/>
                <w:color w:val="000000"/>
                <w:szCs w:val="21"/>
              </w:rPr>
              <w:t xml:space="preserve"> per cent)</w:t>
            </w:r>
          </w:p>
        </w:tc>
        <w:tc>
          <w:tcPr>
            <w:tcW w:w="1296" w:type="dxa"/>
          </w:tcPr>
          <w:p w14:paraId="229E3F77" w14:textId="1FE2141C"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9 (9.4</w:t>
            </w:r>
            <w:r w:rsidR="00700FA3" w:rsidRPr="004523AB">
              <w:rPr>
                <w:rFonts w:eastAsia="Segoe UI" w:cs="Segoe UI"/>
                <w:color w:val="000000"/>
                <w:szCs w:val="21"/>
              </w:rPr>
              <w:t xml:space="preserve"> per cent)</w:t>
            </w:r>
          </w:p>
        </w:tc>
        <w:tc>
          <w:tcPr>
            <w:tcW w:w="1296" w:type="dxa"/>
          </w:tcPr>
          <w:p w14:paraId="2BF57EF7" w14:textId="64A1E8DD"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17 (25.0</w:t>
            </w:r>
            <w:r w:rsidR="00700FA3" w:rsidRPr="004523AB">
              <w:rPr>
                <w:rFonts w:eastAsia="Segoe UI" w:cs="Segoe UI"/>
                <w:color w:val="000000"/>
                <w:szCs w:val="21"/>
              </w:rPr>
              <w:t xml:space="preserve"> per cent)</w:t>
            </w:r>
          </w:p>
        </w:tc>
        <w:tc>
          <w:tcPr>
            <w:tcW w:w="1296" w:type="dxa"/>
          </w:tcPr>
          <w:p w14:paraId="04148F31" w14:textId="37C5962D"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 (22.7</w:t>
            </w:r>
            <w:r w:rsidR="00700FA3" w:rsidRPr="004523AB">
              <w:rPr>
                <w:rFonts w:eastAsia="Segoe UI" w:cs="Segoe UI"/>
                <w:color w:val="000000"/>
                <w:szCs w:val="21"/>
              </w:rPr>
              <w:t xml:space="preserve"> per cent)</w:t>
            </w:r>
          </w:p>
        </w:tc>
      </w:tr>
      <w:tr w:rsidR="00B90B3F" w:rsidRPr="004523AB" w14:paraId="7EC1310B" w14:textId="77777777" w:rsidTr="00B90B3F">
        <w:tc>
          <w:tcPr>
            <w:tcW w:w="4320" w:type="dxa"/>
          </w:tcPr>
          <w:p w14:paraId="7FE9423E" w14:textId="77777777" w:rsidR="00B90B3F" w:rsidRPr="004523AB" w:rsidRDefault="00B90B3F">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Upskilling of staff / staff training</w:t>
            </w:r>
          </w:p>
        </w:tc>
        <w:tc>
          <w:tcPr>
            <w:tcW w:w="1296" w:type="dxa"/>
          </w:tcPr>
          <w:p w14:paraId="329F464D" w14:textId="72D01E2C"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602 (48.1</w:t>
            </w:r>
            <w:r w:rsidR="00700FA3" w:rsidRPr="004523AB">
              <w:rPr>
                <w:rFonts w:eastAsia="Segoe UI" w:cs="Segoe UI"/>
                <w:color w:val="000000"/>
                <w:szCs w:val="21"/>
              </w:rPr>
              <w:t xml:space="preserve"> per cent)</w:t>
            </w:r>
          </w:p>
        </w:tc>
        <w:tc>
          <w:tcPr>
            <w:tcW w:w="1296" w:type="dxa"/>
          </w:tcPr>
          <w:p w14:paraId="2358C287" w14:textId="13A4D7A1"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547 (48.9</w:t>
            </w:r>
            <w:r w:rsidR="00700FA3" w:rsidRPr="004523AB">
              <w:rPr>
                <w:rFonts w:eastAsia="Segoe UI" w:cs="Segoe UI"/>
                <w:color w:val="000000"/>
                <w:szCs w:val="21"/>
              </w:rPr>
              <w:t xml:space="preserve"> per cent)</w:t>
            </w:r>
          </w:p>
        </w:tc>
        <w:tc>
          <w:tcPr>
            <w:tcW w:w="1296" w:type="dxa"/>
          </w:tcPr>
          <w:p w14:paraId="1F2B849F" w14:textId="782B6E28"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349 (46.8</w:t>
            </w:r>
            <w:r w:rsidR="00700FA3" w:rsidRPr="004523AB">
              <w:rPr>
                <w:rFonts w:eastAsia="Segoe UI" w:cs="Segoe UI"/>
                <w:color w:val="000000"/>
                <w:szCs w:val="21"/>
              </w:rPr>
              <w:t xml:space="preserve"> per cent)</w:t>
            </w:r>
          </w:p>
        </w:tc>
        <w:tc>
          <w:tcPr>
            <w:tcW w:w="1296" w:type="dxa"/>
          </w:tcPr>
          <w:p w14:paraId="638B777D" w14:textId="4D299CE9"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233 (53.2</w:t>
            </w:r>
            <w:r w:rsidR="00700FA3" w:rsidRPr="004523AB">
              <w:rPr>
                <w:rFonts w:eastAsia="Segoe UI" w:cs="Segoe UI"/>
                <w:color w:val="000000"/>
                <w:szCs w:val="21"/>
              </w:rPr>
              <w:t xml:space="preserve"> per cent)</w:t>
            </w:r>
          </w:p>
        </w:tc>
        <w:tc>
          <w:tcPr>
            <w:tcW w:w="1296" w:type="dxa"/>
          </w:tcPr>
          <w:p w14:paraId="7873EB4C" w14:textId="47F14C02"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102 (49.0</w:t>
            </w:r>
            <w:r w:rsidR="00700FA3" w:rsidRPr="004523AB">
              <w:rPr>
                <w:rFonts w:eastAsia="Segoe UI" w:cs="Segoe UI"/>
                <w:color w:val="000000"/>
                <w:szCs w:val="21"/>
              </w:rPr>
              <w:t xml:space="preserve"> per cent)</w:t>
            </w:r>
          </w:p>
        </w:tc>
        <w:tc>
          <w:tcPr>
            <w:tcW w:w="1296" w:type="dxa"/>
          </w:tcPr>
          <w:p w14:paraId="1216AA3D" w14:textId="66A33997"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37 (38.5</w:t>
            </w:r>
            <w:r w:rsidR="00700FA3" w:rsidRPr="004523AB">
              <w:rPr>
                <w:rFonts w:eastAsia="Segoe UI" w:cs="Segoe UI"/>
                <w:color w:val="000000"/>
                <w:szCs w:val="21"/>
              </w:rPr>
              <w:t xml:space="preserve"> per cent)</w:t>
            </w:r>
          </w:p>
        </w:tc>
        <w:tc>
          <w:tcPr>
            <w:tcW w:w="1296" w:type="dxa"/>
          </w:tcPr>
          <w:p w14:paraId="0A8DA1BB" w14:textId="403207E2"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20 (29.4</w:t>
            </w:r>
            <w:r w:rsidR="00700FA3" w:rsidRPr="004523AB">
              <w:rPr>
                <w:rFonts w:eastAsia="Segoe UI" w:cs="Segoe UI"/>
                <w:color w:val="000000"/>
                <w:szCs w:val="21"/>
              </w:rPr>
              <w:t xml:space="preserve"> per cent)</w:t>
            </w:r>
          </w:p>
        </w:tc>
        <w:tc>
          <w:tcPr>
            <w:tcW w:w="1296" w:type="dxa"/>
          </w:tcPr>
          <w:p w14:paraId="768245EB" w14:textId="69F0034B"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8 (36.4</w:t>
            </w:r>
            <w:r w:rsidR="00700FA3" w:rsidRPr="004523AB">
              <w:rPr>
                <w:rFonts w:eastAsia="Segoe UI" w:cs="Segoe UI"/>
                <w:color w:val="000000"/>
                <w:szCs w:val="21"/>
              </w:rPr>
              <w:t xml:space="preserve"> per cent)</w:t>
            </w:r>
          </w:p>
        </w:tc>
      </w:tr>
      <w:tr w:rsidR="00B90B3F" w:rsidRPr="004523AB" w14:paraId="2555FE59" w14:textId="77777777" w:rsidTr="00B90B3F">
        <w:tc>
          <w:tcPr>
            <w:tcW w:w="4320" w:type="dxa"/>
          </w:tcPr>
          <w:p w14:paraId="548369C2" w14:textId="77777777" w:rsidR="00B90B3F" w:rsidRPr="004523AB" w:rsidRDefault="00B90B3F">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Other investment/s to maintain and/or achieve accreditation (please provide a brief description)</w:t>
            </w:r>
          </w:p>
        </w:tc>
        <w:tc>
          <w:tcPr>
            <w:tcW w:w="1296" w:type="dxa"/>
          </w:tcPr>
          <w:p w14:paraId="507D0D92" w14:textId="41A923EB"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157 (12.5</w:t>
            </w:r>
            <w:r w:rsidR="00700FA3" w:rsidRPr="004523AB">
              <w:rPr>
                <w:rFonts w:eastAsia="Segoe UI" w:cs="Segoe UI"/>
                <w:color w:val="000000"/>
                <w:szCs w:val="21"/>
              </w:rPr>
              <w:t xml:space="preserve"> per cent)</w:t>
            </w:r>
          </w:p>
        </w:tc>
        <w:tc>
          <w:tcPr>
            <w:tcW w:w="1296" w:type="dxa"/>
          </w:tcPr>
          <w:p w14:paraId="687E6890" w14:textId="1A9368F8"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137 (12.2</w:t>
            </w:r>
            <w:r w:rsidR="00700FA3" w:rsidRPr="004523AB">
              <w:rPr>
                <w:rFonts w:eastAsia="Segoe UI" w:cs="Segoe UI"/>
                <w:color w:val="000000"/>
                <w:szCs w:val="21"/>
              </w:rPr>
              <w:t xml:space="preserve"> per cent)</w:t>
            </w:r>
          </w:p>
        </w:tc>
        <w:tc>
          <w:tcPr>
            <w:tcW w:w="1296" w:type="dxa"/>
          </w:tcPr>
          <w:p w14:paraId="547E43F0" w14:textId="4D488BFC"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105 (14.1</w:t>
            </w:r>
            <w:r w:rsidR="00700FA3" w:rsidRPr="004523AB">
              <w:rPr>
                <w:rFonts w:eastAsia="Segoe UI" w:cs="Segoe UI"/>
                <w:color w:val="000000"/>
                <w:szCs w:val="21"/>
              </w:rPr>
              <w:t xml:space="preserve"> per cent)</w:t>
            </w:r>
          </w:p>
        </w:tc>
        <w:tc>
          <w:tcPr>
            <w:tcW w:w="1296" w:type="dxa"/>
          </w:tcPr>
          <w:p w14:paraId="0B01300C" w14:textId="7BA84BF8"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61 (13.9</w:t>
            </w:r>
            <w:r w:rsidR="00700FA3" w:rsidRPr="004523AB">
              <w:rPr>
                <w:rFonts w:eastAsia="Segoe UI" w:cs="Segoe UI"/>
                <w:color w:val="000000"/>
                <w:szCs w:val="21"/>
              </w:rPr>
              <w:t xml:space="preserve"> per cent)</w:t>
            </w:r>
          </w:p>
        </w:tc>
        <w:tc>
          <w:tcPr>
            <w:tcW w:w="1296" w:type="dxa"/>
          </w:tcPr>
          <w:p w14:paraId="479CF860" w14:textId="552C9990"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38 (18.3</w:t>
            </w:r>
            <w:r w:rsidR="00700FA3" w:rsidRPr="004523AB">
              <w:rPr>
                <w:rFonts w:eastAsia="Segoe UI" w:cs="Segoe UI"/>
                <w:color w:val="000000"/>
                <w:szCs w:val="21"/>
              </w:rPr>
              <w:t xml:space="preserve"> per cent)</w:t>
            </w:r>
          </w:p>
        </w:tc>
        <w:tc>
          <w:tcPr>
            <w:tcW w:w="1296" w:type="dxa"/>
          </w:tcPr>
          <w:p w14:paraId="6BF167AB" w14:textId="54853DAC"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11 (11.5</w:t>
            </w:r>
            <w:r w:rsidR="00700FA3" w:rsidRPr="004523AB">
              <w:rPr>
                <w:rFonts w:eastAsia="Segoe UI" w:cs="Segoe UI"/>
                <w:color w:val="000000"/>
                <w:szCs w:val="21"/>
              </w:rPr>
              <w:t xml:space="preserve"> per cent)</w:t>
            </w:r>
          </w:p>
        </w:tc>
        <w:tc>
          <w:tcPr>
            <w:tcW w:w="1296" w:type="dxa"/>
          </w:tcPr>
          <w:p w14:paraId="2723016F" w14:textId="2E6A1DDD"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11 (16.2</w:t>
            </w:r>
            <w:r w:rsidR="00700FA3" w:rsidRPr="004523AB">
              <w:rPr>
                <w:rFonts w:eastAsia="Segoe UI" w:cs="Segoe UI"/>
                <w:color w:val="000000"/>
                <w:szCs w:val="21"/>
              </w:rPr>
              <w:t xml:space="preserve"> per cent)</w:t>
            </w:r>
          </w:p>
        </w:tc>
        <w:tc>
          <w:tcPr>
            <w:tcW w:w="1296" w:type="dxa"/>
          </w:tcPr>
          <w:p w14:paraId="04FAD1F9" w14:textId="663D62E3" w:rsidR="00B90B3F" w:rsidRPr="004523AB" w:rsidRDefault="00B90B3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 (13.6</w:t>
            </w:r>
            <w:r w:rsidR="00700FA3" w:rsidRPr="004523AB">
              <w:rPr>
                <w:rFonts w:eastAsia="Segoe UI" w:cs="Segoe UI"/>
                <w:color w:val="000000"/>
                <w:szCs w:val="21"/>
              </w:rPr>
              <w:t xml:space="preserve"> per cent)</w:t>
            </w:r>
          </w:p>
        </w:tc>
      </w:tr>
    </w:tbl>
    <w:p w14:paraId="15F4A93F" w14:textId="7457947F" w:rsidR="00364E88" w:rsidRPr="004523AB" w:rsidRDefault="00364E88">
      <w:pPr>
        <w:spacing w:after="165" w:line="259" w:lineRule="auto"/>
        <w:rPr>
          <w:rFonts w:ascii="Segoe UI Semibold" w:hAnsi="Segoe UI Semibold"/>
          <w:bCs/>
          <w:color w:val="00264D" w:themeColor="background2"/>
          <w:szCs w:val="18"/>
        </w:rPr>
      </w:pPr>
      <w:r w:rsidRPr="004523AB">
        <w:br w:type="page"/>
      </w:r>
    </w:p>
    <w:p w14:paraId="257CF99E" w14:textId="13803F14" w:rsidR="00F6100B" w:rsidRPr="004523AB" w:rsidRDefault="00F6100B" w:rsidP="00F6100B">
      <w:pPr>
        <w:pStyle w:val="Caption"/>
      </w:pPr>
      <w:r w:rsidRPr="004523AB">
        <w:lastRenderedPageBreak/>
        <w:t xml:space="preserve">Table </w:t>
      </w:r>
      <w:r w:rsidRPr="004523AB">
        <w:fldChar w:fldCharType="begin"/>
      </w:r>
      <w:r w:rsidRPr="004523AB">
        <w:instrText xml:space="preserve"> SEQ Table \* ARABIC </w:instrText>
      </w:r>
      <w:r w:rsidRPr="004523AB">
        <w:fldChar w:fldCharType="separate"/>
      </w:r>
      <w:r w:rsidR="00B96E50">
        <w:rPr>
          <w:noProof/>
        </w:rPr>
        <w:t>30</w:t>
      </w:r>
      <w:r w:rsidRPr="004523AB">
        <w:fldChar w:fldCharType="end"/>
      </w:r>
      <w:r w:rsidRPr="004523AB">
        <w:t xml:space="preserve"> | Stream 3: What is the current accreditation status for your practice?</w:t>
      </w:r>
      <w:r w:rsidR="00FA7385" w:rsidRPr="004523AB">
        <w:t xml:space="preserve"> (by State)</w:t>
      </w:r>
    </w:p>
    <w:tbl>
      <w:tblPr>
        <w:tblStyle w:val="AccessibleNousTable"/>
        <w:tblW w:w="5000" w:type="pct"/>
        <w:tblLayout w:type="fixed"/>
        <w:tblCellMar>
          <w:top w:w="11" w:type="dxa"/>
          <w:left w:w="11" w:type="dxa"/>
          <w:bottom w:w="11" w:type="dxa"/>
          <w:right w:w="11" w:type="dxa"/>
        </w:tblCellMar>
        <w:tblLook w:val="0420" w:firstRow="1" w:lastRow="0" w:firstColumn="0" w:lastColumn="0" w:noHBand="0" w:noVBand="1"/>
      </w:tblPr>
      <w:tblGrid>
        <w:gridCol w:w="6232"/>
        <w:gridCol w:w="973"/>
        <w:gridCol w:w="974"/>
        <w:gridCol w:w="974"/>
        <w:gridCol w:w="974"/>
        <w:gridCol w:w="973"/>
        <w:gridCol w:w="974"/>
        <w:gridCol w:w="974"/>
        <w:gridCol w:w="974"/>
      </w:tblGrid>
      <w:tr w:rsidR="00BD4308" w:rsidRPr="004523AB" w14:paraId="62BA8DA5" w14:textId="77777777" w:rsidTr="006E25AA">
        <w:trPr>
          <w:cnfStyle w:val="100000000000" w:firstRow="1" w:lastRow="0" w:firstColumn="0" w:lastColumn="0" w:oddVBand="0" w:evenVBand="0" w:oddHBand="0" w:evenHBand="0" w:firstRowFirstColumn="0" w:firstRowLastColumn="0" w:lastRowFirstColumn="0" w:lastRowLastColumn="0"/>
          <w:tblHeader/>
        </w:trPr>
        <w:tc>
          <w:tcPr>
            <w:tcW w:w="6232" w:type="dxa"/>
          </w:tcPr>
          <w:p w14:paraId="455F330A" w14:textId="172D0638" w:rsidR="00BD4308" w:rsidRPr="004523AB" w:rsidRDefault="00BD4308" w:rsidP="00BD4308">
            <w:pPr>
              <w:pBdr>
                <w:top w:val="none" w:sz="0" w:space="0" w:color="000000"/>
                <w:left w:val="none" w:sz="0" w:space="0" w:color="000000"/>
                <w:bottom w:val="none" w:sz="0" w:space="0" w:color="000000"/>
                <w:right w:val="none" w:sz="0" w:space="0" w:color="000000"/>
              </w:pBdr>
              <w:spacing w:after="0"/>
              <w:ind w:left="100" w:right="100"/>
              <w:rPr>
                <w:rFonts w:eastAsia="Segoe UI" w:cs="Segoe UI"/>
                <w:color w:val="000000"/>
                <w:szCs w:val="21"/>
              </w:rPr>
            </w:pPr>
            <w:r w:rsidRPr="004523AB">
              <w:rPr>
                <w:rFonts w:ascii="Segoe UI Semibold" w:eastAsia="Segoe UI Semibold" w:hAnsi="Segoe UI Semibold" w:cs="Segoe UI Semibold"/>
                <w:sz w:val="23"/>
                <w:szCs w:val="23"/>
              </w:rPr>
              <w:t>Response</w:t>
            </w:r>
          </w:p>
        </w:tc>
        <w:tc>
          <w:tcPr>
            <w:tcW w:w="973" w:type="dxa"/>
          </w:tcPr>
          <w:p w14:paraId="7035E304" w14:textId="355462E5" w:rsidR="00BD4308" w:rsidRPr="004523AB" w:rsidRDefault="00BD4308" w:rsidP="00BD4308">
            <w:pPr>
              <w:pBdr>
                <w:top w:val="none" w:sz="0" w:space="0" w:color="000000"/>
                <w:left w:val="none" w:sz="0" w:space="0" w:color="000000"/>
                <w:bottom w:val="none" w:sz="0" w:space="0" w:color="000000"/>
                <w:right w:val="none" w:sz="0" w:space="0" w:color="000000"/>
              </w:pBdr>
              <w:spacing w:after="0"/>
              <w:ind w:left="100" w:right="100"/>
              <w:rPr>
                <w:rFonts w:eastAsia="Segoe UI" w:cs="Segoe UI"/>
                <w:color w:val="000000"/>
                <w:szCs w:val="21"/>
              </w:rPr>
            </w:pPr>
            <w:r w:rsidRPr="004523AB">
              <w:rPr>
                <w:rFonts w:ascii="Segoe UI Semibold" w:eastAsia="Segoe UI Semibold" w:hAnsi="Segoe UI Semibold" w:cs="Segoe UI Semibold"/>
                <w:sz w:val="23"/>
                <w:szCs w:val="23"/>
              </w:rPr>
              <w:t>NSW</w:t>
            </w:r>
          </w:p>
        </w:tc>
        <w:tc>
          <w:tcPr>
            <w:tcW w:w="974" w:type="dxa"/>
          </w:tcPr>
          <w:p w14:paraId="5E530F3B" w14:textId="0162A8C9" w:rsidR="00BD4308" w:rsidRPr="004523AB" w:rsidRDefault="00BD4308" w:rsidP="00BD4308">
            <w:pPr>
              <w:pBdr>
                <w:top w:val="none" w:sz="0" w:space="0" w:color="000000"/>
                <w:left w:val="none" w:sz="0" w:space="0" w:color="000000"/>
                <w:bottom w:val="none" w:sz="0" w:space="0" w:color="000000"/>
                <w:right w:val="none" w:sz="0" w:space="0" w:color="000000"/>
              </w:pBdr>
              <w:spacing w:after="0"/>
              <w:ind w:left="100" w:right="100"/>
              <w:rPr>
                <w:rFonts w:eastAsia="Segoe UI" w:cs="Segoe UI"/>
                <w:color w:val="000000"/>
                <w:szCs w:val="21"/>
              </w:rPr>
            </w:pPr>
            <w:r w:rsidRPr="004523AB">
              <w:rPr>
                <w:rFonts w:ascii="Segoe UI Semibold" w:eastAsia="Segoe UI Semibold" w:hAnsi="Segoe UI Semibold" w:cs="Segoe UI Semibold"/>
                <w:sz w:val="23"/>
                <w:szCs w:val="23"/>
              </w:rPr>
              <w:t>Vic</w:t>
            </w:r>
          </w:p>
        </w:tc>
        <w:tc>
          <w:tcPr>
            <w:tcW w:w="974" w:type="dxa"/>
          </w:tcPr>
          <w:p w14:paraId="337C3129" w14:textId="40F1E656" w:rsidR="00BD4308" w:rsidRPr="004523AB" w:rsidRDefault="00BD4308" w:rsidP="00BD4308">
            <w:pPr>
              <w:pBdr>
                <w:top w:val="none" w:sz="0" w:space="0" w:color="000000"/>
                <w:left w:val="none" w:sz="0" w:space="0" w:color="000000"/>
                <w:bottom w:val="none" w:sz="0" w:space="0" w:color="000000"/>
                <w:right w:val="none" w:sz="0" w:space="0" w:color="000000"/>
              </w:pBdr>
              <w:spacing w:after="0"/>
              <w:ind w:left="100" w:right="100"/>
              <w:rPr>
                <w:rFonts w:eastAsia="Segoe UI" w:cs="Segoe UI"/>
                <w:color w:val="000000"/>
                <w:szCs w:val="21"/>
              </w:rPr>
            </w:pPr>
            <w:r w:rsidRPr="004523AB">
              <w:rPr>
                <w:rFonts w:ascii="Segoe UI Semibold" w:eastAsia="Segoe UI Semibold" w:hAnsi="Segoe UI Semibold" w:cs="Segoe UI Semibold"/>
                <w:sz w:val="23"/>
                <w:szCs w:val="23"/>
              </w:rPr>
              <w:t>Qld</w:t>
            </w:r>
          </w:p>
        </w:tc>
        <w:tc>
          <w:tcPr>
            <w:tcW w:w="974" w:type="dxa"/>
          </w:tcPr>
          <w:p w14:paraId="3E76CCDC" w14:textId="1B1E3761" w:rsidR="00BD4308" w:rsidRPr="004523AB" w:rsidRDefault="00BD4308" w:rsidP="00BD4308">
            <w:pPr>
              <w:pBdr>
                <w:top w:val="none" w:sz="0" w:space="0" w:color="000000"/>
                <w:left w:val="none" w:sz="0" w:space="0" w:color="000000"/>
                <w:bottom w:val="none" w:sz="0" w:space="0" w:color="000000"/>
                <w:right w:val="none" w:sz="0" w:space="0" w:color="000000"/>
              </w:pBdr>
              <w:spacing w:after="0"/>
              <w:ind w:left="100" w:right="100"/>
              <w:rPr>
                <w:rFonts w:eastAsia="Segoe UI" w:cs="Segoe UI"/>
                <w:color w:val="000000"/>
                <w:szCs w:val="21"/>
              </w:rPr>
            </w:pPr>
            <w:r w:rsidRPr="004523AB">
              <w:rPr>
                <w:rFonts w:ascii="Segoe UI Semibold" w:eastAsia="Segoe UI Semibold" w:hAnsi="Segoe UI Semibold" w:cs="Segoe UI Semibold"/>
                <w:sz w:val="23"/>
                <w:szCs w:val="23"/>
              </w:rPr>
              <w:t>WA</w:t>
            </w:r>
          </w:p>
        </w:tc>
        <w:tc>
          <w:tcPr>
            <w:tcW w:w="973" w:type="dxa"/>
          </w:tcPr>
          <w:p w14:paraId="6E9DDB07" w14:textId="713F43C6" w:rsidR="00BD4308" w:rsidRPr="004523AB" w:rsidRDefault="00BD4308" w:rsidP="00BD4308">
            <w:pPr>
              <w:pBdr>
                <w:top w:val="none" w:sz="0" w:space="0" w:color="000000"/>
                <w:left w:val="none" w:sz="0" w:space="0" w:color="000000"/>
                <w:bottom w:val="none" w:sz="0" w:space="0" w:color="000000"/>
                <w:right w:val="none" w:sz="0" w:space="0" w:color="000000"/>
              </w:pBdr>
              <w:spacing w:after="0"/>
              <w:ind w:left="100" w:right="100"/>
              <w:rPr>
                <w:rFonts w:eastAsia="Segoe UI" w:cs="Segoe UI"/>
                <w:color w:val="000000"/>
                <w:szCs w:val="21"/>
              </w:rPr>
            </w:pPr>
            <w:r w:rsidRPr="004523AB">
              <w:rPr>
                <w:rFonts w:ascii="Segoe UI Semibold" w:eastAsia="Segoe UI Semibold" w:hAnsi="Segoe UI Semibold" w:cs="Segoe UI Semibold"/>
                <w:sz w:val="23"/>
                <w:szCs w:val="23"/>
              </w:rPr>
              <w:t>SA</w:t>
            </w:r>
          </w:p>
        </w:tc>
        <w:tc>
          <w:tcPr>
            <w:tcW w:w="974" w:type="dxa"/>
          </w:tcPr>
          <w:p w14:paraId="38E883D8" w14:textId="23180455" w:rsidR="00BD4308" w:rsidRPr="004523AB" w:rsidRDefault="00BD4308" w:rsidP="00BD4308">
            <w:pPr>
              <w:pBdr>
                <w:top w:val="none" w:sz="0" w:space="0" w:color="000000"/>
                <w:left w:val="none" w:sz="0" w:space="0" w:color="000000"/>
                <w:bottom w:val="none" w:sz="0" w:space="0" w:color="000000"/>
                <w:right w:val="none" w:sz="0" w:space="0" w:color="000000"/>
              </w:pBdr>
              <w:spacing w:after="0"/>
              <w:ind w:left="100" w:right="100"/>
              <w:rPr>
                <w:rFonts w:eastAsia="Segoe UI" w:cs="Segoe UI"/>
                <w:color w:val="000000"/>
                <w:szCs w:val="21"/>
              </w:rPr>
            </w:pPr>
            <w:r w:rsidRPr="004523AB">
              <w:rPr>
                <w:rFonts w:ascii="Segoe UI Semibold" w:eastAsia="Segoe UI Semibold" w:hAnsi="Segoe UI Semibold" w:cs="Segoe UI Semibold"/>
                <w:sz w:val="23"/>
                <w:szCs w:val="23"/>
              </w:rPr>
              <w:t>Tas</w:t>
            </w:r>
          </w:p>
        </w:tc>
        <w:tc>
          <w:tcPr>
            <w:tcW w:w="974" w:type="dxa"/>
          </w:tcPr>
          <w:p w14:paraId="4B16C950" w14:textId="6B6AFF07" w:rsidR="00BD4308" w:rsidRPr="004523AB" w:rsidRDefault="00BD4308" w:rsidP="00BD4308">
            <w:pPr>
              <w:pBdr>
                <w:top w:val="none" w:sz="0" w:space="0" w:color="000000"/>
                <w:left w:val="none" w:sz="0" w:space="0" w:color="000000"/>
                <w:bottom w:val="none" w:sz="0" w:space="0" w:color="000000"/>
                <w:right w:val="none" w:sz="0" w:space="0" w:color="000000"/>
              </w:pBdr>
              <w:spacing w:after="0"/>
              <w:ind w:left="100" w:right="100"/>
              <w:rPr>
                <w:rFonts w:eastAsia="Segoe UI" w:cs="Segoe UI"/>
                <w:color w:val="000000"/>
                <w:szCs w:val="21"/>
              </w:rPr>
            </w:pPr>
            <w:r w:rsidRPr="004523AB">
              <w:rPr>
                <w:rFonts w:ascii="Segoe UI Semibold" w:eastAsia="Segoe UI Semibold" w:hAnsi="Segoe UI Semibold" w:cs="Segoe UI Semibold"/>
                <w:sz w:val="23"/>
                <w:szCs w:val="23"/>
              </w:rPr>
              <w:t>ACT</w:t>
            </w:r>
          </w:p>
        </w:tc>
        <w:tc>
          <w:tcPr>
            <w:tcW w:w="974" w:type="dxa"/>
          </w:tcPr>
          <w:p w14:paraId="4435E5B8" w14:textId="02C69AB2" w:rsidR="00BD4308" w:rsidRPr="004523AB" w:rsidRDefault="00BD4308" w:rsidP="00BD4308">
            <w:pPr>
              <w:pBdr>
                <w:top w:val="none" w:sz="0" w:space="0" w:color="000000"/>
                <w:left w:val="none" w:sz="0" w:space="0" w:color="000000"/>
                <w:bottom w:val="none" w:sz="0" w:space="0" w:color="000000"/>
                <w:right w:val="none" w:sz="0" w:space="0" w:color="000000"/>
              </w:pBdr>
              <w:spacing w:after="0"/>
              <w:ind w:left="100" w:right="100"/>
              <w:rPr>
                <w:rFonts w:eastAsia="Segoe UI" w:cs="Segoe UI"/>
                <w:color w:val="000000"/>
                <w:szCs w:val="21"/>
              </w:rPr>
            </w:pPr>
            <w:r w:rsidRPr="004523AB">
              <w:rPr>
                <w:rFonts w:ascii="Segoe UI Semibold" w:eastAsia="Segoe UI Semibold" w:hAnsi="Segoe UI Semibold" w:cs="Segoe UI Semibold"/>
                <w:sz w:val="23"/>
                <w:szCs w:val="23"/>
              </w:rPr>
              <w:t>NT</w:t>
            </w:r>
          </w:p>
        </w:tc>
      </w:tr>
      <w:tr w:rsidR="001406DF" w:rsidRPr="004523AB" w14:paraId="6D44D197" w14:textId="77777777" w:rsidTr="00BD4308">
        <w:tc>
          <w:tcPr>
            <w:tcW w:w="6232" w:type="dxa"/>
          </w:tcPr>
          <w:p w14:paraId="3A29D089" w14:textId="77777777" w:rsidR="001406DF" w:rsidRPr="004523AB" w:rsidRDefault="001406DF">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Accredited</w:t>
            </w:r>
          </w:p>
        </w:tc>
        <w:tc>
          <w:tcPr>
            <w:tcW w:w="973" w:type="dxa"/>
          </w:tcPr>
          <w:p w14:paraId="7131E804" w14:textId="76DB9C16" w:rsidR="001406DF" w:rsidRPr="004523AB" w:rsidRDefault="001406D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1,070 (85.5</w:t>
            </w:r>
            <w:r w:rsidR="00A22A59" w:rsidRPr="004523AB">
              <w:rPr>
                <w:rFonts w:eastAsia="Segoe UI" w:cs="Segoe UI"/>
                <w:color w:val="000000"/>
                <w:szCs w:val="21"/>
              </w:rPr>
              <w:t xml:space="preserve"> per cent)</w:t>
            </w:r>
          </w:p>
        </w:tc>
        <w:tc>
          <w:tcPr>
            <w:tcW w:w="974" w:type="dxa"/>
          </w:tcPr>
          <w:p w14:paraId="229ECFE6" w14:textId="6017FBE5" w:rsidR="001406DF" w:rsidRPr="004523AB" w:rsidRDefault="001406D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984 (87.9</w:t>
            </w:r>
            <w:r w:rsidR="00A22A59" w:rsidRPr="004523AB">
              <w:rPr>
                <w:rFonts w:eastAsia="Segoe UI" w:cs="Segoe UI"/>
                <w:color w:val="000000"/>
                <w:szCs w:val="21"/>
              </w:rPr>
              <w:t xml:space="preserve"> per cent)</w:t>
            </w:r>
          </w:p>
        </w:tc>
        <w:tc>
          <w:tcPr>
            <w:tcW w:w="974" w:type="dxa"/>
          </w:tcPr>
          <w:p w14:paraId="419A7A81" w14:textId="506145AA" w:rsidR="001406DF" w:rsidRPr="004523AB" w:rsidRDefault="001406D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683 (91.7</w:t>
            </w:r>
            <w:r w:rsidR="00A22A59" w:rsidRPr="004523AB">
              <w:rPr>
                <w:rFonts w:eastAsia="Segoe UI" w:cs="Segoe UI"/>
                <w:color w:val="000000"/>
                <w:szCs w:val="21"/>
              </w:rPr>
              <w:t xml:space="preserve"> per cent)</w:t>
            </w:r>
          </w:p>
        </w:tc>
        <w:tc>
          <w:tcPr>
            <w:tcW w:w="974" w:type="dxa"/>
          </w:tcPr>
          <w:p w14:paraId="5E5A796F" w14:textId="19A9DD5C" w:rsidR="001406DF" w:rsidRPr="004523AB" w:rsidRDefault="001406D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395 (90.2</w:t>
            </w:r>
            <w:r w:rsidR="00A22A59" w:rsidRPr="004523AB">
              <w:rPr>
                <w:rFonts w:eastAsia="Segoe UI" w:cs="Segoe UI"/>
                <w:color w:val="000000"/>
                <w:szCs w:val="21"/>
              </w:rPr>
              <w:t xml:space="preserve"> per cent)</w:t>
            </w:r>
          </w:p>
        </w:tc>
        <w:tc>
          <w:tcPr>
            <w:tcW w:w="973" w:type="dxa"/>
          </w:tcPr>
          <w:p w14:paraId="4FF1779B" w14:textId="2371EC24" w:rsidR="001406DF" w:rsidRPr="004523AB" w:rsidRDefault="001406D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185 (88.9</w:t>
            </w:r>
            <w:r w:rsidR="00A22A59" w:rsidRPr="004523AB">
              <w:rPr>
                <w:rFonts w:eastAsia="Segoe UI" w:cs="Segoe UI"/>
                <w:color w:val="000000"/>
                <w:szCs w:val="21"/>
              </w:rPr>
              <w:t xml:space="preserve"> per cent)</w:t>
            </w:r>
          </w:p>
        </w:tc>
        <w:tc>
          <w:tcPr>
            <w:tcW w:w="974" w:type="dxa"/>
          </w:tcPr>
          <w:p w14:paraId="7D865ECE" w14:textId="15694FAE" w:rsidR="001406DF" w:rsidRPr="004523AB" w:rsidRDefault="001406D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90 (93.8</w:t>
            </w:r>
            <w:r w:rsidR="00A22A59" w:rsidRPr="004523AB">
              <w:rPr>
                <w:rFonts w:eastAsia="Segoe UI" w:cs="Segoe UI"/>
                <w:color w:val="000000"/>
                <w:szCs w:val="21"/>
              </w:rPr>
              <w:t xml:space="preserve"> per cent)</w:t>
            </w:r>
          </w:p>
        </w:tc>
        <w:tc>
          <w:tcPr>
            <w:tcW w:w="974" w:type="dxa"/>
          </w:tcPr>
          <w:p w14:paraId="26EFFB73" w14:textId="39842843" w:rsidR="001406DF" w:rsidRPr="004523AB" w:rsidRDefault="001406D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66 (97.1</w:t>
            </w:r>
            <w:r w:rsidR="00A22A59" w:rsidRPr="004523AB">
              <w:rPr>
                <w:rFonts w:eastAsia="Segoe UI" w:cs="Segoe UI"/>
                <w:color w:val="000000"/>
                <w:szCs w:val="21"/>
              </w:rPr>
              <w:t xml:space="preserve"> per cent</w:t>
            </w:r>
            <w:r w:rsidRPr="004523AB">
              <w:rPr>
                <w:rFonts w:eastAsia="Segoe UI" w:cs="Segoe UI"/>
                <w:color w:val="000000"/>
                <w:szCs w:val="21"/>
              </w:rPr>
              <w:t>)</w:t>
            </w:r>
          </w:p>
        </w:tc>
        <w:tc>
          <w:tcPr>
            <w:tcW w:w="974" w:type="dxa"/>
          </w:tcPr>
          <w:p w14:paraId="5F8E32EF" w14:textId="5992D84E" w:rsidR="001406DF" w:rsidRPr="004523AB" w:rsidRDefault="001406D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19 (86.4</w:t>
            </w:r>
            <w:r w:rsidR="00A22A59" w:rsidRPr="004523AB">
              <w:rPr>
                <w:rFonts w:eastAsia="Segoe UI" w:cs="Segoe UI"/>
                <w:color w:val="000000"/>
                <w:szCs w:val="21"/>
              </w:rPr>
              <w:t xml:space="preserve"> per cent)</w:t>
            </w:r>
          </w:p>
        </w:tc>
      </w:tr>
      <w:tr w:rsidR="001406DF" w:rsidRPr="004523AB" w14:paraId="6835CA03" w14:textId="77777777" w:rsidTr="00BD4308">
        <w:tc>
          <w:tcPr>
            <w:tcW w:w="6232" w:type="dxa"/>
          </w:tcPr>
          <w:p w14:paraId="042974BC" w14:textId="77777777" w:rsidR="001406DF" w:rsidRPr="004523AB" w:rsidRDefault="001406DF">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Registered, and working towards accreditation</w:t>
            </w:r>
          </w:p>
        </w:tc>
        <w:tc>
          <w:tcPr>
            <w:tcW w:w="973" w:type="dxa"/>
          </w:tcPr>
          <w:p w14:paraId="457012E8" w14:textId="73C478CF" w:rsidR="001406DF" w:rsidRPr="004523AB" w:rsidRDefault="001406D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77 (6.2</w:t>
            </w:r>
            <w:r w:rsidR="00A22A59" w:rsidRPr="004523AB">
              <w:rPr>
                <w:rFonts w:eastAsia="Segoe UI" w:cs="Segoe UI"/>
                <w:color w:val="000000"/>
                <w:szCs w:val="21"/>
              </w:rPr>
              <w:t xml:space="preserve"> per cent)</w:t>
            </w:r>
          </w:p>
        </w:tc>
        <w:tc>
          <w:tcPr>
            <w:tcW w:w="974" w:type="dxa"/>
          </w:tcPr>
          <w:p w14:paraId="77923A7A" w14:textId="382E93D3" w:rsidR="001406DF" w:rsidRPr="004523AB" w:rsidRDefault="001406D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64 (5.7</w:t>
            </w:r>
            <w:r w:rsidR="00A22A59" w:rsidRPr="004523AB">
              <w:rPr>
                <w:rFonts w:eastAsia="Segoe UI" w:cs="Segoe UI"/>
                <w:color w:val="000000"/>
                <w:szCs w:val="21"/>
              </w:rPr>
              <w:t xml:space="preserve"> per cent)</w:t>
            </w:r>
          </w:p>
        </w:tc>
        <w:tc>
          <w:tcPr>
            <w:tcW w:w="974" w:type="dxa"/>
          </w:tcPr>
          <w:p w14:paraId="3FDA3F40" w14:textId="4C2B2D85" w:rsidR="001406DF" w:rsidRPr="004523AB" w:rsidRDefault="001406D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34 (4.6</w:t>
            </w:r>
            <w:r w:rsidR="00A22A59" w:rsidRPr="004523AB">
              <w:rPr>
                <w:rFonts w:eastAsia="Segoe UI" w:cs="Segoe UI"/>
                <w:color w:val="000000"/>
                <w:szCs w:val="21"/>
              </w:rPr>
              <w:t xml:space="preserve"> per cent)</w:t>
            </w:r>
          </w:p>
        </w:tc>
        <w:tc>
          <w:tcPr>
            <w:tcW w:w="974" w:type="dxa"/>
          </w:tcPr>
          <w:p w14:paraId="32B94781" w14:textId="0666CAB3" w:rsidR="001406DF" w:rsidRPr="004523AB" w:rsidRDefault="001406D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23 (5.3</w:t>
            </w:r>
            <w:r w:rsidR="00A22A59" w:rsidRPr="004523AB">
              <w:rPr>
                <w:rFonts w:eastAsia="Segoe UI" w:cs="Segoe UI"/>
                <w:color w:val="000000"/>
                <w:szCs w:val="21"/>
              </w:rPr>
              <w:t xml:space="preserve"> per cent)</w:t>
            </w:r>
          </w:p>
        </w:tc>
        <w:tc>
          <w:tcPr>
            <w:tcW w:w="973" w:type="dxa"/>
          </w:tcPr>
          <w:p w14:paraId="08F8DDC2" w14:textId="46572D3A" w:rsidR="001406DF" w:rsidRPr="004523AB" w:rsidRDefault="001406D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7 (3.4</w:t>
            </w:r>
            <w:r w:rsidR="00A22A59" w:rsidRPr="004523AB">
              <w:rPr>
                <w:rFonts w:eastAsia="Segoe UI" w:cs="Segoe UI"/>
                <w:color w:val="000000"/>
                <w:szCs w:val="21"/>
              </w:rPr>
              <w:t xml:space="preserve"> per cent)</w:t>
            </w:r>
          </w:p>
        </w:tc>
        <w:tc>
          <w:tcPr>
            <w:tcW w:w="974" w:type="dxa"/>
          </w:tcPr>
          <w:p w14:paraId="4E60104D" w14:textId="1A5B36FB" w:rsidR="001406DF" w:rsidRPr="004523AB" w:rsidRDefault="001406D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 (4.2</w:t>
            </w:r>
            <w:r w:rsidR="00A22A59" w:rsidRPr="004523AB">
              <w:rPr>
                <w:rFonts w:eastAsia="Segoe UI" w:cs="Segoe UI"/>
                <w:color w:val="000000"/>
                <w:szCs w:val="21"/>
              </w:rPr>
              <w:t xml:space="preserve"> per cent)</w:t>
            </w:r>
          </w:p>
        </w:tc>
        <w:tc>
          <w:tcPr>
            <w:tcW w:w="974" w:type="dxa"/>
          </w:tcPr>
          <w:p w14:paraId="565E35FC" w14:textId="77777777" w:rsidR="001406DF" w:rsidRPr="004523AB" w:rsidRDefault="001406DF" w:rsidP="00AF4781">
            <w:pPr>
              <w:pBdr>
                <w:top w:val="none" w:sz="0" w:space="0" w:color="000000"/>
                <w:left w:val="none" w:sz="0" w:space="0" w:color="000000"/>
                <w:bottom w:val="none" w:sz="0" w:space="0" w:color="000000"/>
                <w:right w:val="none" w:sz="0" w:space="0" w:color="000000"/>
              </w:pBdr>
              <w:spacing w:after="0"/>
              <w:ind w:left="100" w:right="100"/>
              <w:rPr>
                <w:szCs w:val="21"/>
              </w:rPr>
            </w:pPr>
          </w:p>
        </w:tc>
        <w:tc>
          <w:tcPr>
            <w:tcW w:w="974" w:type="dxa"/>
          </w:tcPr>
          <w:p w14:paraId="7749E07B" w14:textId="77464F4D" w:rsidR="001406DF" w:rsidRPr="004523AB" w:rsidRDefault="001406D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 (4.5</w:t>
            </w:r>
            <w:r w:rsidR="00A22A59" w:rsidRPr="004523AB">
              <w:rPr>
                <w:rFonts w:eastAsia="Segoe UI" w:cs="Segoe UI"/>
                <w:color w:val="000000"/>
                <w:szCs w:val="21"/>
              </w:rPr>
              <w:t xml:space="preserve"> per cent)</w:t>
            </w:r>
          </w:p>
        </w:tc>
      </w:tr>
      <w:tr w:rsidR="001406DF" w:rsidRPr="004523AB" w14:paraId="33ABF857" w14:textId="77777777" w:rsidTr="00BD4308">
        <w:tc>
          <w:tcPr>
            <w:tcW w:w="6232" w:type="dxa"/>
          </w:tcPr>
          <w:p w14:paraId="7293D4B1" w14:textId="77777777" w:rsidR="001406DF" w:rsidRPr="004523AB" w:rsidRDefault="001406DF">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Not registered for accreditation: We ARE planning to register for accreditation in the next 12 months</w:t>
            </w:r>
          </w:p>
        </w:tc>
        <w:tc>
          <w:tcPr>
            <w:tcW w:w="973" w:type="dxa"/>
          </w:tcPr>
          <w:p w14:paraId="2C5370F4" w14:textId="17FACEB3" w:rsidR="001406DF" w:rsidRPr="004523AB" w:rsidRDefault="001406D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44 (3.5</w:t>
            </w:r>
            <w:r w:rsidR="00A22A59" w:rsidRPr="004523AB">
              <w:rPr>
                <w:rFonts w:eastAsia="Segoe UI" w:cs="Segoe UI"/>
                <w:color w:val="000000"/>
                <w:szCs w:val="21"/>
              </w:rPr>
              <w:t xml:space="preserve"> per cent)</w:t>
            </w:r>
          </w:p>
        </w:tc>
        <w:tc>
          <w:tcPr>
            <w:tcW w:w="974" w:type="dxa"/>
          </w:tcPr>
          <w:p w14:paraId="182114CA" w14:textId="2B19C142" w:rsidR="001406DF" w:rsidRPr="004523AB" w:rsidRDefault="001406D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39 (3.5</w:t>
            </w:r>
            <w:r w:rsidR="00A22A59" w:rsidRPr="004523AB">
              <w:rPr>
                <w:rFonts w:eastAsia="Segoe UI" w:cs="Segoe UI"/>
                <w:color w:val="000000"/>
                <w:szCs w:val="21"/>
              </w:rPr>
              <w:t xml:space="preserve"> per cent)</w:t>
            </w:r>
          </w:p>
        </w:tc>
        <w:tc>
          <w:tcPr>
            <w:tcW w:w="974" w:type="dxa"/>
          </w:tcPr>
          <w:p w14:paraId="48273C2F" w14:textId="1ED87161" w:rsidR="001406DF" w:rsidRPr="004523AB" w:rsidRDefault="001406D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11 (1.5</w:t>
            </w:r>
            <w:r w:rsidR="00A22A59" w:rsidRPr="004523AB">
              <w:rPr>
                <w:rFonts w:eastAsia="Segoe UI" w:cs="Segoe UI"/>
                <w:color w:val="000000"/>
                <w:szCs w:val="21"/>
              </w:rPr>
              <w:t xml:space="preserve"> per cent)</w:t>
            </w:r>
          </w:p>
        </w:tc>
        <w:tc>
          <w:tcPr>
            <w:tcW w:w="974" w:type="dxa"/>
          </w:tcPr>
          <w:p w14:paraId="243CB6C2" w14:textId="5A9B42C9" w:rsidR="001406DF" w:rsidRPr="004523AB" w:rsidRDefault="001406D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 (0.9</w:t>
            </w:r>
            <w:r w:rsidR="00A22A59" w:rsidRPr="004523AB">
              <w:rPr>
                <w:rFonts w:eastAsia="Segoe UI" w:cs="Segoe UI"/>
                <w:color w:val="000000"/>
                <w:szCs w:val="21"/>
              </w:rPr>
              <w:t xml:space="preserve"> per cent)</w:t>
            </w:r>
          </w:p>
        </w:tc>
        <w:tc>
          <w:tcPr>
            <w:tcW w:w="973" w:type="dxa"/>
          </w:tcPr>
          <w:p w14:paraId="483C0898" w14:textId="13DCFC89" w:rsidR="001406DF" w:rsidRPr="004523AB" w:rsidRDefault="001406D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 (2.4</w:t>
            </w:r>
            <w:r w:rsidR="00A22A59" w:rsidRPr="004523AB">
              <w:rPr>
                <w:rFonts w:eastAsia="Segoe UI" w:cs="Segoe UI"/>
                <w:color w:val="000000"/>
                <w:szCs w:val="21"/>
              </w:rPr>
              <w:t xml:space="preserve"> per cent)</w:t>
            </w:r>
          </w:p>
        </w:tc>
        <w:tc>
          <w:tcPr>
            <w:tcW w:w="974" w:type="dxa"/>
          </w:tcPr>
          <w:p w14:paraId="42227A13" w14:textId="77777777" w:rsidR="001406DF" w:rsidRPr="004523AB" w:rsidRDefault="001406DF" w:rsidP="00AF4781">
            <w:pPr>
              <w:pBdr>
                <w:top w:val="none" w:sz="0" w:space="0" w:color="000000"/>
                <w:left w:val="none" w:sz="0" w:space="0" w:color="000000"/>
                <w:bottom w:val="none" w:sz="0" w:space="0" w:color="000000"/>
                <w:right w:val="none" w:sz="0" w:space="0" w:color="000000"/>
              </w:pBdr>
              <w:spacing w:after="0"/>
              <w:ind w:left="100" w:right="100"/>
              <w:rPr>
                <w:szCs w:val="21"/>
              </w:rPr>
            </w:pPr>
          </w:p>
        </w:tc>
        <w:tc>
          <w:tcPr>
            <w:tcW w:w="974" w:type="dxa"/>
          </w:tcPr>
          <w:p w14:paraId="3FB1EFFD" w14:textId="565F0BE9" w:rsidR="001406DF" w:rsidRPr="004523AB" w:rsidRDefault="001406D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 (1.5</w:t>
            </w:r>
            <w:r w:rsidR="00A22A59" w:rsidRPr="004523AB">
              <w:rPr>
                <w:rFonts w:eastAsia="Segoe UI" w:cs="Segoe UI"/>
                <w:color w:val="000000"/>
                <w:szCs w:val="21"/>
              </w:rPr>
              <w:t xml:space="preserve"> per cent)</w:t>
            </w:r>
          </w:p>
        </w:tc>
        <w:tc>
          <w:tcPr>
            <w:tcW w:w="974" w:type="dxa"/>
          </w:tcPr>
          <w:p w14:paraId="28508285" w14:textId="17A4A202" w:rsidR="001406DF" w:rsidRPr="004523AB" w:rsidRDefault="001406D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 (4.5</w:t>
            </w:r>
            <w:r w:rsidR="00A22A59" w:rsidRPr="004523AB">
              <w:rPr>
                <w:rFonts w:eastAsia="Segoe UI" w:cs="Segoe UI"/>
                <w:color w:val="000000"/>
                <w:szCs w:val="21"/>
              </w:rPr>
              <w:t xml:space="preserve"> per cent)</w:t>
            </w:r>
          </w:p>
        </w:tc>
      </w:tr>
      <w:tr w:rsidR="001406DF" w:rsidRPr="004523AB" w14:paraId="12FC0355" w14:textId="77777777" w:rsidTr="00BD4308">
        <w:tc>
          <w:tcPr>
            <w:tcW w:w="6232" w:type="dxa"/>
          </w:tcPr>
          <w:p w14:paraId="6762FB25" w14:textId="77777777" w:rsidR="001406DF" w:rsidRPr="004523AB" w:rsidRDefault="001406DF">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Not registered for accreditation: We are NOT planning to register for accreditation in the next 12 months</w:t>
            </w:r>
          </w:p>
        </w:tc>
        <w:tc>
          <w:tcPr>
            <w:tcW w:w="973" w:type="dxa"/>
          </w:tcPr>
          <w:p w14:paraId="5B49969A" w14:textId="3CB59E7B" w:rsidR="001406DF" w:rsidRPr="004523AB" w:rsidRDefault="001406D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23 (1.8</w:t>
            </w:r>
            <w:r w:rsidR="00A22A59" w:rsidRPr="004523AB">
              <w:rPr>
                <w:rFonts w:eastAsia="Segoe UI" w:cs="Segoe UI"/>
                <w:color w:val="000000"/>
                <w:szCs w:val="21"/>
              </w:rPr>
              <w:t xml:space="preserve"> per cent)</w:t>
            </w:r>
          </w:p>
        </w:tc>
        <w:tc>
          <w:tcPr>
            <w:tcW w:w="974" w:type="dxa"/>
          </w:tcPr>
          <w:p w14:paraId="31237BD2" w14:textId="7FD2F2F1" w:rsidR="001406DF" w:rsidRPr="004523AB" w:rsidRDefault="001406D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11 (1.0</w:t>
            </w:r>
            <w:r w:rsidR="00A22A59" w:rsidRPr="004523AB">
              <w:rPr>
                <w:rFonts w:eastAsia="Segoe UI" w:cs="Segoe UI"/>
                <w:color w:val="000000"/>
                <w:szCs w:val="21"/>
              </w:rPr>
              <w:t xml:space="preserve"> per cent)</w:t>
            </w:r>
          </w:p>
        </w:tc>
        <w:tc>
          <w:tcPr>
            <w:tcW w:w="974" w:type="dxa"/>
          </w:tcPr>
          <w:p w14:paraId="3951F404" w14:textId="228E1789" w:rsidR="001406DF" w:rsidRPr="004523AB" w:rsidRDefault="001406D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 (0.5</w:t>
            </w:r>
            <w:r w:rsidR="00A22A59" w:rsidRPr="004523AB">
              <w:rPr>
                <w:rFonts w:eastAsia="Segoe UI" w:cs="Segoe UI"/>
                <w:color w:val="000000"/>
                <w:szCs w:val="21"/>
              </w:rPr>
              <w:t xml:space="preserve"> per cent)</w:t>
            </w:r>
          </w:p>
        </w:tc>
        <w:tc>
          <w:tcPr>
            <w:tcW w:w="974" w:type="dxa"/>
          </w:tcPr>
          <w:p w14:paraId="180B174B" w14:textId="73387258" w:rsidR="001406DF" w:rsidRPr="004523AB" w:rsidRDefault="001406D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6 (1.4</w:t>
            </w:r>
            <w:r w:rsidR="00A22A59" w:rsidRPr="004523AB">
              <w:rPr>
                <w:rFonts w:eastAsia="Segoe UI" w:cs="Segoe UI"/>
                <w:color w:val="000000"/>
                <w:szCs w:val="21"/>
              </w:rPr>
              <w:t xml:space="preserve"> per cent)</w:t>
            </w:r>
          </w:p>
        </w:tc>
        <w:tc>
          <w:tcPr>
            <w:tcW w:w="973" w:type="dxa"/>
          </w:tcPr>
          <w:p w14:paraId="7C8969EA" w14:textId="38B67F5E" w:rsidR="001406DF" w:rsidRPr="004523AB" w:rsidRDefault="001406D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 (1.0</w:t>
            </w:r>
            <w:r w:rsidR="00A22A59" w:rsidRPr="004523AB">
              <w:rPr>
                <w:rFonts w:eastAsia="Segoe UI" w:cs="Segoe UI"/>
                <w:color w:val="000000"/>
                <w:szCs w:val="21"/>
              </w:rPr>
              <w:t xml:space="preserve"> per cent)</w:t>
            </w:r>
          </w:p>
        </w:tc>
        <w:tc>
          <w:tcPr>
            <w:tcW w:w="974" w:type="dxa"/>
          </w:tcPr>
          <w:p w14:paraId="3EB135C3" w14:textId="77777777" w:rsidR="001406DF" w:rsidRPr="004523AB" w:rsidRDefault="001406DF" w:rsidP="00AF4781">
            <w:pPr>
              <w:pBdr>
                <w:top w:val="none" w:sz="0" w:space="0" w:color="000000"/>
                <w:left w:val="none" w:sz="0" w:space="0" w:color="000000"/>
                <w:bottom w:val="none" w:sz="0" w:space="0" w:color="000000"/>
                <w:right w:val="none" w:sz="0" w:space="0" w:color="000000"/>
              </w:pBdr>
              <w:spacing w:after="0"/>
              <w:ind w:left="100" w:right="100"/>
              <w:rPr>
                <w:szCs w:val="21"/>
              </w:rPr>
            </w:pPr>
          </w:p>
        </w:tc>
        <w:tc>
          <w:tcPr>
            <w:tcW w:w="974" w:type="dxa"/>
          </w:tcPr>
          <w:p w14:paraId="2F684824" w14:textId="018AC33C" w:rsidR="001406DF" w:rsidRPr="004523AB" w:rsidRDefault="001406D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 (1.5</w:t>
            </w:r>
            <w:r w:rsidR="00A22A59" w:rsidRPr="004523AB">
              <w:rPr>
                <w:rFonts w:eastAsia="Segoe UI" w:cs="Segoe UI"/>
                <w:color w:val="000000"/>
                <w:szCs w:val="21"/>
              </w:rPr>
              <w:t xml:space="preserve"> per cent)</w:t>
            </w:r>
          </w:p>
        </w:tc>
        <w:tc>
          <w:tcPr>
            <w:tcW w:w="974" w:type="dxa"/>
          </w:tcPr>
          <w:p w14:paraId="4EA45FCC" w14:textId="77777777" w:rsidR="001406DF" w:rsidRPr="004523AB" w:rsidRDefault="001406DF" w:rsidP="00AF4781">
            <w:pPr>
              <w:pBdr>
                <w:top w:val="none" w:sz="0" w:space="0" w:color="000000"/>
                <w:left w:val="none" w:sz="0" w:space="0" w:color="000000"/>
                <w:bottom w:val="none" w:sz="0" w:space="0" w:color="000000"/>
                <w:right w:val="none" w:sz="0" w:space="0" w:color="000000"/>
              </w:pBdr>
              <w:spacing w:after="0"/>
              <w:ind w:left="100" w:right="100"/>
              <w:rPr>
                <w:szCs w:val="21"/>
              </w:rPr>
            </w:pPr>
          </w:p>
        </w:tc>
      </w:tr>
      <w:tr w:rsidR="001406DF" w:rsidRPr="004523AB" w14:paraId="08EBD762" w14:textId="77777777" w:rsidTr="00BD4308">
        <w:tc>
          <w:tcPr>
            <w:tcW w:w="6232" w:type="dxa"/>
          </w:tcPr>
          <w:p w14:paraId="69188EC5" w14:textId="77777777" w:rsidR="001406DF" w:rsidRPr="004523AB" w:rsidRDefault="001406DF">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No response</w:t>
            </w:r>
          </w:p>
        </w:tc>
        <w:tc>
          <w:tcPr>
            <w:tcW w:w="973" w:type="dxa"/>
          </w:tcPr>
          <w:p w14:paraId="6E2A12ED" w14:textId="762EFCA4" w:rsidR="001406DF" w:rsidRPr="004523AB" w:rsidRDefault="001406D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38 (3.0</w:t>
            </w:r>
            <w:r w:rsidR="00A22A59" w:rsidRPr="004523AB">
              <w:rPr>
                <w:rFonts w:eastAsia="Segoe UI" w:cs="Segoe UI"/>
                <w:color w:val="000000"/>
                <w:szCs w:val="21"/>
              </w:rPr>
              <w:t xml:space="preserve"> per cent)</w:t>
            </w:r>
          </w:p>
        </w:tc>
        <w:tc>
          <w:tcPr>
            <w:tcW w:w="974" w:type="dxa"/>
          </w:tcPr>
          <w:p w14:paraId="5F24F57F" w14:textId="525BD596" w:rsidR="001406DF" w:rsidRPr="004523AB" w:rsidRDefault="001406D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21 (1.9</w:t>
            </w:r>
            <w:r w:rsidR="00A22A59" w:rsidRPr="004523AB">
              <w:rPr>
                <w:rFonts w:eastAsia="Segoe UI" w:cs="Segoe UI"/>
                <w:color w:val="000000"/>
                <w:szCs w:val="21"/>
              </w:rPr>
              <w:t xml:space="preserve"> per cent)</w:t>
            </w:r>
          </w:p>
        </w:tc>
        <w:tc>
          <w:tcPr>
            <w:tcW w:w="974" w:type="dxa"/>
          </w:tcPr>
          <w:p w14:paraId="27EAFC74" w14:textId="0A0098A6" w:rsidR="001406DF" w:rsidRPr="004523AB" w:rsidRDefault="001406D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13 (1.7</w:t>
            </w:r>
            <w:r w:rsidR="00A22A59" w:rsidRPr="004523AB">
              <w:rPr>
                <w:rFonts w:eastAsia="Segoe UI" w:cs="Segoe UI"/>
                <w:color w:val="000000"/>
                <w:szCs w:val="21"/>
              </w:rPr>
              <w:t xml:space="preserve"> per cent)</w:t>
            </w:r>
          </w:p>
        </w:tc>
        <w:tc>
          <w:tcPr>
            <w:tcW w:w="974" w:type="dxa"/>
          </w:tcPr>
          <w:p w14:paraId="7CE3B685" w14:textId="578EAF06" w:rsidR="001406DF" w:rsidRPr="004523AB" w:rsidRDefault="001406D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10 (2.3</w:t>
            </w:r>
            <w:r w:rsidR="00A22A59" w:rsidRPr="004523AB">
              <w:rPr>
                <w:rFonts w:eastAsia="Segoe UI" w:cs="Segoe UI"/>
                <w:color w:val="000000"/>
                <w:szCs w:val="21"/>
              </w:rPr>
              <w:t xml:space="preserve"> per cent)</w:t>
            </w:r>
          </w:p>
        </w:tc>
        <w:tc>
          <w:tcPr>
            <w:tcW w:w="973" w:type="dxa"/>
          </w:tcPr>
          <w:p w14:paraId="46DDF7FD" w14:textId="5D08224D" w:rsidR="001406DF" w:rsidRPr="004523AB" w:rsidRDefault="001406D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9 (4.3</w:t>
            </w:r>
            <w:r w:rsidR="00A22A59" w:rsidRPr="004523AB">
              <w:rPr>
                <w:rFonts w:eastAsia="Segoe UI" w:cs="Segoe UI"/>
                <w:color w:val="000000"/>
                <w:szCs w:val="21"/>
              </w:rPr>
              <w:t xml:space="preserve"> per cent)</w:t>
            </w:r>
          </w:p>
        </w:tc>
        <w:tc>
          <w:tcPr>
            <w:tcW w:w="974" w:type="dxa"/>
          </w:tcPr>
          <w:p w14:paraId="4C7F7F7F" w14:textId="56F893A7" w:rsidR="001406DF" w:rsidRPr="004523AB" w:rsidRDefault="001406D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 (2.1</w:t>
            </w:r>
            <w:r w:rsidR="00A22A59" w:rsidRPr="004523AB">
              <w:rPr>
                <w:rFonts w:eastAsia="Segoe UI" w:cs="Segoe UI"/>
                <w:color w:val="000000"/>
                <w:szCs w:val="21"/>
              </w:rPr>
              <w:t xml:space="preserve"> per cent)</w:t>
            </w:r>
          </w:p>
        </w:tc>
        <w:tc>
          <w:tcPr>
            <w:tcW w:w="974" w:type="dxa"/>
          </w:tcPr>
          <w:p w14:paraId="524B1C21" w14:textId="77777777" w:rsidR="001406DF" w:rsidRPr="004523AB" w:rsidRDefault="001406DF" w:rsidP="00AF4781">
            <w:pPr>
              <w:pBdr>
                <w:top w:val="none" w:sz="0" w:space="0" w:color="000000"/>
                <w:left w:val="none" w:sz="0" w:space="0" w:color="000000"/>
                <w:bottom w:val="none" w:sz="0" w:space="0" w:color="000000"/>
                <w:right w:val="none" w:sz="0" w:space="0" w:color="000000"/>
              </w:pBdr>
              <w:spacing w:after="0"/>
              <w:ind w:left="100" w:right="100"/>
              <w:rPr>
                <w:szCs w:val="21"/>
              </w:rPr>
            </w:pPr>
          </w:p>
        </w:tc>
        <w:tc>
          <w:tcPr>
            <w:tcW w:w="974" w:type="dxa"/>
          </w:tcPr>
          <w:p w14:paraId="2682F488" w14:textId="256832F2" w:rsidR="001406DF" w:rsidRPr="004523AB" w:rsidRDefault="001406DF" w:rsidP="00AF4781">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 (4.5</w:t>
            </w:r>
            <w:r w:rsidR="00A22A59" w:rsidRPr="004523AB">
              <w:rPr>
                <w:rFonts w:eastAsia="Segoe UI" w:cs="Segoe UI"/>
                <w:color w:val="000000"/>
                <w:szCs w:val="21"/>
              </w:rPr>
              <w:t xml:space="preserve"> per cent)</w:t>
            </w:r>
          </w:p>
        </w:tc>
      </w:tr>
    </w:tbl>
    <w:p w14:paraId="44B8CD84" w14:textId="5A477B4A" w:rsidR="005F31C5" w:rsidRPr="004523AB" w:rsidRDefault="000121B4" w:rsidP="001F7EEA">
      <w:pPr>
        <w:spacing w:after="165" w:line="259" w:lineRule="auto"/>
        <w:rPr>
          <w:lang w:eastAsia="en-AU"/>
        </w:rPr>
      </w:pPr>
      <w:r w:rsidRPr="004523AB">
        <w:rPr>
          <w:lang w:eastAsia="en-AU"/>
        </w:rPr>
        <w:br w:type="page"/>
      </w:r>
    </w:p>
    <w:p w14:paraId="3968CD3F" w14:textId="5F8AA149" w:rsidR="00626C4A" w:rsidRPr="004523AB" w:rsidRDefault="00626C4A" w:rsidP="00626C4A">
      <w:pPr>
        <w:pStyle w:val="Caption"/>
      </w:pPr>
      <w:r w:rsidRPr="004523AB">
        <w:lastRenderedPageBreak/>
        <w:t xml:space="preserve">Table </w:t>
      </w:r>
      <w:r w:rsidRPr="004523AB">
        <w:fldChar w:fldCharType="begin"/>
      </w:r>
      <w:r w:rsidRPr="004523AB">
        <w:instrText xml:space="preserve"> SEQ Table \* ARABIC </w:instrText>
      </w:r>
      <w:r w:rsidRPr="004523AB">
        <w:fldChar w:fldCharType="separate"/>
      </w:r>
      <w:r w:rsidR="00B96E50">
        <w:rPr>
          <w:noProof/>
        </w:rPr>
        <w:t>31</w:t>
      </w:r>
      <w:r w:rsidRPr="004523AB">
        <w:fldChar w:fldCharType="end"/>
      </w:r>
      <w:r w:rsidRPr="004523AB">
        <w:t xml:space="preserve"> | Responses to questions about the grant process</w:t>
      </w:r>
      <w:r w:rsidR="00FA7385" w:rsidRPr="004523AB">
        <w:t xml:space="preserve"> across States</w:t>
      </w:r>
    </w:p>
    <w:tbl>
      <w:tblPr>
        <w:tblStyle w:val="AccessibleNousTable"/>
        <w:tblW w:w="5000" w:type="pct"/>
        <w:tblLayout w:type="fixed"/>
        <w:tblLook w:val="0420" w:firstRow="1" w:lastRow="0" w:firstColumn="0" w:lastColumn="0" w:noHBand="0" w:noVBand="1"/>
      </w:tblPr>
      <w:tblGrid>
        <w:gridCol w:w="3489"/>
        <w:gridCol w:w="1781"/>
        <w:gridCol w:w="1094"/>
        <w:gridCol w:w="1094"/>
        <w:gridCol w:w="1094"/>
        <w:gridCol w:w="1094"/>
        <w:gridCol w:w="1094"/>
        <w:gridCol w:w="1094"/>
        <w:gridCol w:w="1094"/>
        <w:gridCol w:w="1094"/>
      </w:tblGrid>
      <w:tr w:rsidR="00A62D52" w:rsidRPr="004523AB" w14:paraId="0E674031" w14:textId="77777777" w:rsidTr="005E05A6">
        <w:trPr>
          <w:cnfStyle w:val="100000000000" w:firstRow="1" w:lastRow="0" w:firstColumn="0" w:lastColumn="0" w:oddVBand="0" w:evenVBand="0" w:oddHBand="0" w:evenHBand="0" w:firstRowFirstColumn="0" w:firstRowLastColumn="0" w:lastRowFirstColumn="0" w:lastRowLastColumn="0"/>
          <w:cantSplit/>
          <w:tblHeader/>
        </w:trPr>
        <w:tc>
          <w:tcPr>
            <w:tcW w:w="3489" w:type="dxa"/>
          </w:tcPr>
          <w:p w14:paraId="732B8205" w14:textId="77777777"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Variable</w:t>
            </w:r>
          </w:p>
        </w:tc>
        <w:tc>
          <w:tcPr>
            <w:tcW w:w="1781" w:type="dxa"/>
          </w:tcPr>
          <w:p w14:paraId="6727F2E6" w14:textId="77777777"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Response</w:t>
            </w:r>
          </w:p>
        </w:tc>
        <w:tc>
          <w:tcPr>
            <w:tcW w:w="1094" w:type="dxa"/>
          </w:tcPr>
          <w:p w14:paraId="42F89125" w14:textId="104777A5"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NSW</w:t>
            </w:r>
          </w:p>
        </w:tc>
        <w:tc>
          <w:tcPr>
            <w:tcW w:w="1094" w:type="dxa"/>
          </w:tcPr>
          <w:p w14:paraId="54E4FF06" w14:textId="20C5A44C"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Vic</w:t>
            </w:r>
          </w:p>
        </w:tc>
        <w:tc>
          <w:tcPr>
            <w:tcW w:w="1094" w:type="dxa"/>
          </w:tcPr>
          <w:p w14:paraId="70186710" w14:textId="593CC9A8"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Qld</w:t>
            </w:r>
          </w:p>
        </w:tc>
        <w:tc>
          <w:tcPr>
            <w:tcW w:w="1094" w:type="dxa"/>
          </w:tcPr>
          <w:p w14:paraId="7336C180" w14:textId="0C1107E7"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WA</w:t>
            </w:r>
          </w:p>
        </w:tc>
        <w:tc>
          <w:tcPr>
            <w:tcW w:w="1094" w:type="dxa"/>
          </w:tcPr>
          <w:p w14:paraId="16AA52E6" w14:textId="0468E28B"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SA</w:t>
            </w:r>
          </w:p>
        </w:tc>
        <w:tc>
          <w:tcPr>
            <w:tcW w:w="1094" w:type="dxa"/>
          </w:tcPr>
          <w:p w14:paraId="1F3AFDB9" w14:textId="46C795C2"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Tas</w:t>
            </w:r>
          </w:p>
        </w:tc>
        <w:tc>
          <w:tcPr>
            <w:tcW w:w="1094" w:type="dxa"/>
          </w:tcPr>
          <w:p w14:paraId="35247694" w14:textId="71C91435"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ACT</w:t>
            </w:r>
          </w:p>
        </w:tc>
        <w:tc>
          <w:tcPr>
            <w:tcW w:w="1094" w:type="dxa"/>
          </w:tcPr>
          <w:p w14:paraId="029E4FC7" w14:textId="4A192233"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NT</w:t>
            </w:r>
          </w:p>
        </w:tc>
      </w:tr>
      <w:tr w:rsidR="00A62D52" w:rsidRPr="004523AB" w14:paraId="0EEABCA9" w14:textId="77777777" w:rsidTr="00A62D52">
        <w:tc>
          <w:tcPr>
            <w:tcW w:w="3489" w:type="dxa"/>
          </w:tcPr>
          <w:p w14:paraId="3AA7F9CD" w14:textId="77777777"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The Program guidance documentation clearly outlined the eligibility criteria and application requirements.</w:t>
            </w:r>
          </w:p>
        </w:tc>
        <w:tc>
          <w:tcPr>
            <w:tcW w:w="1781" w:type="dxa"/>
          </w:tcPr>
          <w:p w14:paraId="5926EE0F" w14:textId="77777777"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Strongly agree</w:t>
            </w:r>
          </w:p>
        </w:tc>
        <w:tc>
          <w:tcPr>
            <w:tcW w:w="1094" w:type="dxa"/>
          </w:tcPr>
          <w:p w14:paraId="4587A551" w14:textId="7303A486"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724 (42.2 per cent)</w:t>
            </w:r>
          </w:p>
        </w:tc>
        <w:tc>
          <w:tcPr>
            <w:tcW w:w="1094" w:type="dxa"/>
          </w:tcPr>
          <w:p w14:paraId="7FDDF587" w14:textId="27C7CA9F"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717 (49.2 per cent)</w:t>
            </w:r>
          </w:p>
        </w:tc>
        <w:tc>
          <w:tcPr>
            <w:tcW w:w="1094" w:type="dxa"/>
          </w:tcPr>
          <w:p w14:paraId="01214BD6" w14:textId="36B68E02"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410 (42.4 per cent)</w:t>
            </w:r>
          </w:p>
        </w:tc>
        <w:tc>
          <w:tcPr>
            <w:tcW w:w="1094" w:type="dxa"/>
          </w:tcPr>
          <w:p w14:paraId="7566F3BB" w14:textId="1083F6DA"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225 (39.0 per cent)</w:t>
            </w:r>
          </w:p>
        </w:tc>
        <w:tc>
          <w:tcPr>
            <w:tcW w:w="1094" w:type="dxa"/>
          </w:tcPr>
          <w:p w14:paraId="09A14679" w14:textId="4CCF1A7E"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125 (39.3 per cent)</w:t>
            </w:r>
          </w:p>
        </w:tc>
        <w:tc>
          <w:tcPr>
            <w:tcW w:w="1094" w:type="dxa"/>
          </w:tcPr>
          <w:p w14:paraId="0B194070" w14:textId="1B518DEC"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43 (35.2 per cent)</w:t>
            </w:r>
          </w:p>
        </w:tc>
        <w:tc>
          <w:tcPr>
            <w:tcW w:w="1094" w:type="dxa"/>
          </w:tcPr>
          <w:p w14:paraId="62C9D02B" w14:textId="4022EDD4"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51 (51.5 per cent)</w:t>
            </w:r>
          </w:p>
        </w:tc>
        <w:tc>
          <w:tcPr>
            <w:tcW w:w="1094" w:type="dxa"/>
          </w:tcPr>
          <w:p w14:paraId="7343E666" w14:textId="762A01F0"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13 (18.8 per cent)</w:t>
            </w:r>
          </w:p>
        </w:tc>
      </w:tr>
      <w:tr w:rsidR="00A62D52" w:rsidRPr="004523AB" w14:paraId="18953DC4" w14:textId="77777777" w:rsidTr="00A62D52">
        <w:tc>
          <w:tcPr>
            <w:tcW w:w="3489" w:type="dxa"/>
          </w:tcPr>
          <w:p w14:paraId="5E545E8F" w14:textId="6AFD31B3"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The Program guidance documentation clearly outlined the eligibility criteria and application requirements.</w:t>
            </w:r>
          </w:p>
        </w:tc>
        <w:tc>
          <w:tcPr>
            <w:tcW w:w="1781" w:type="dxa"/>
          </w:tcPr>
          <w:p w14:paraId="65BC7282" w14:textId="77777777"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Agree</w:t>
            </w:r>
          </w:p>
        </w:tc>
        <w:tc>
          <w:tcPr>
            <w:tcW w:w="1094" w:type="dxa"/>
          </w:tcPr>
          <w:p w14:paraId="0981C7E9" w14:textId="00162DF5"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880 (51.3 per cent)</w:t>
            </w:r>
          </w:p>
        </w:tc>
        <w:tc>
          <w:tcPr>
            <w:tcW w:w="1094" w:type="dxa"/>
          </w:tcPr>
          <w:p w14:paraId="52DEF196" w14:textId="4D0D9D14"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675 (46.4 per cent)</w:t>
            </w:r>
          </w:p>
        </w:tc>
        <w:tc>
          <w:tcPr>
            <w:tcW w:w="1094" w:type="dxa"/>
          </w:tcPr>
          <w:p w14:paraId="4DE6ED52" w14:textId="74A9D5A0"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504 (52.1 per cent)</w:t>
            </w:r>
          </w:p>
        </w:tc>
        <w:tc>
          <w:tcPr>
            <w:tcW w:w="1094" w:type="dxa"/>
          </w:tcPr>
          <w:p w14:paraId="2F2B36DC" w14:textId="1CFC9564"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321 (55.6 per cent)</w:t>
            </w:r>
          </w:p>
        </w:tc>
        <w:tc>
          <w:tcPr>
            <w:tcW w:w="1094" w:type="dxa"/>
          </w:tcPr>
          <w:p w14:paraId="27E4681F" w14:textId="2F27E608"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173 (54.4 per cent)</w:t>
            </w:r>
          </w:p>
        </w:tc>
        <w:tc>
          <w:tcPr>
            <w:tcW w:w="1094" w:type="dxa"/>
          </w:tcPr>
          <w:p w14:paraId="007B2AB5" w14:textId="100663B4"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77 (63.1 per cent)</w:t>
            </w:r>
          </w:p>
        </w:tc>
        <w:tc>
          <w:tcPr>
            <w:tcW w:w="1094" w:type="dxa"/>
          </w:tcPr>
          <w:p w14:paraId="10221323" w14:textId="3E0DD0DC"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46 (46.5 per cent)</w:t>
            </w:r>
          </w:p>
        </w:tc>
        <w:tc>
          <w:tcPr>
            <w:tcW w:w="1094" w:type="dxa"/>
          </w:tcPr>
          <w:p w14:paraId="0644CDBB" w14:textId="277BEF6D"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54 (78.3 per cent)</w:t>
            </w:r>
          </w:p>
        </w:tc>
      </w:tr>
      <w:tr w:rsidR="00A62D52" w:rsidRPr="004523AB" w14:paraId="12E4201F" w14:textId="77777777" w:rsidTr="00A62D52">
        <w:tc>
          <w:tcPr>
            <w:tcW w:w="3489" w:type="dxa"/>
          </w:tcPr>
          <w:p w14:paraId="306F343A" w14:textId="0E6896A4"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The Program guidance documentation clearly outlined the eligibility criteria and application requirements.</w:t>
            </w:r>
          </w:p>
        </w:tc>
        <w:tc>
          <w:tcPr>
            <w:tcW w:w="1781" w:type="dxa"/>
          </w:tcPr>
          <w:p w14:paraId="353350C0" w14:textId="77777777"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Disagree</w:t>
            </w:r>
          </w:p>
        </w:tc>
        <w:tc>
          <w:tcPr>
            <w:tcW w:w="1094" w:type="dxa"/>
          </w:tcPr>
          <w:p w14:paraId="0CADB660" w14:textId="7F1C73A5"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23 (1.3 per cent)</w:t>
            </w:r>
          </w:p>
        </w:tc>
        <w:tc>
          <w:tcPr>
            <w:tcW w:w="1094" w:type="dxa"/>
          </w:tcPr>
          <w:p w14:paraId="7F3A29D2" w14:textId="3F22F6D8"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9 (0.6 per cent)</w:t>
            </w:r>
          </w:p>
        </w:tc>
        <w:tc>
          <w:tcPr>
            <w:tcW w:w="1094" w:type="dxa"/>
          </w:tcPr>
          <w:p w14:paraId="75635489" w14:textId="10612CE4"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15 (1.5 per cent)</w:t>
            </w:r>
          </w:p>
        </w:tc>
        <w:tc>
          <w:tcPr>
            <w:tcW w:w="1094" w:type="dxa"/>
          </w:tcPr>
          <w:p w14:paraId="7EAEFBEF" w14:textId="1C8AF66D"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8 (1.4 per cent)</w:t>
            </w:r>
          </w:p>
        </w:tc>
        <w:tc>
          <w:tcPr>
            <w:tcW w:w="1094" w:type="dxa"/>
          </w:tcPr>
          <w:p w14:paraId="1A03FCE2" w14:textId="27C9C1C1"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 (0.9 per cent)</w:t>
            </w:r>
          </w:p>
        </w:tc>
        <w:tc>
          <w:tcPr>
            <w:tcW w:w="1094" w:type="dxa"/>
          </w:tcPr>
          <w:p w14:paraId="260923B9" w14:textId="77777777"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p>
        </w:tc>
        <w:tc>
          <w:tcPr>
            <w:tcW w:w="1094" w:type="dxa"/>
          </w:tcPr>
          <w:p w14:paraId="47AC3DD5" w14:textId="712C7528"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 (1.0 per cent)</w:t>
            </w:r>
          </w:p>
        </w:tc>
        <w:tc>
          <w:tcPr>
            <w:tcW w:w="1094" w:type="dxa"/>
          </w:tcPr>
          <w:p w14:paraId="35CCF51D" w14:textId="65CE9851"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 (1.4 per cent)</w:t>
            </w:r>
          </w:p>
        </w:tc>
      </w:tr>
      <w:tr w:rsidR="00A62D52" w:rsidRPr="004523AB" w14:paraId="25617DB1" w14:textId="77777777" w:rsidTr="00A62D52">
        <w:tc>
          <w:tcPr>
            <w:tcW w:w="3489" w:type="dxa"/>
          </w:tcPr>
          <w:p w14:paraId="54B0FCC8" w14:textId="5D67D9BC"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The Program guidance documentation clearly outlined the eligibility criteria and application requirements.</w:t>
            </w:r>
          </w:p>
        </w:tc>
        <w:tc>
          <w:tcPr>
            <w:tcW w:w="1781" w:type="dxa"/>
          </w:tcPr>
          <w:p w14:paraId="24DE755A" w14:textId="77777777"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Strongly disagree</w:t>
            </w:r>
          </w:p>
        </w:tc>
        <w:tc>
          <w:tcPr>
            <w:tcW w:w="1094" w:type="dxa"/>
          </w:tcPr>
          <w:p w14:paraId="0548B85E" w14:textId="0C12AF19"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21 (1.2 per cent)</w:t>
            </w:r>
          </w:p>
        </w:tc>
        <w:tc>
          <w:tcPr>
            <w:tcW w:w="1094" w:type="dxa"/>
          </w:tcPr>
          <w:p w14:paraId="51D5AA3D" w14:textId="3BC2CB29"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12 (0.8 per cent)</w:t>
            </w:r>
          </w:p>
        </w:tc>
        <w:tc>
          <w:tcPr>
            <w:tcW w:w="1094" w:type="dxa"/>
          </w:tcPr>
          <w:p w14:paraId="0CF0D9EE" w14:textId="31D24A84"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13 (1.3 per cent)</w:t>
            </w:r>
          </w:p>
        </w:tc>
        <w:tc>
          <w:tcPr>
            <w:tcW w:w="1094" w:type="dxa"/>
          </w:tcPr>
          <w:p w14:paraId="0EE524EE" w14:textId="3EA81065"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 (0.5 per cent)</w:t>
            </w:r>
          </w:p>
        </w:tc>
        <w:tc>
          <w:tcPr>
            <w:tcW w:w="1094" w:type="dxa"/>
          </w:tcPr>
          <w:p w14:paraId="07C66B0C" w14:textId="0D3A5046"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 (1.3 per cent)</w:t>
            </w:r>
          </w:p>
        </w:tc>
        <w:tc>
          <w:tcPr>
            <w:tcW w:w="1094" w:type="dxa"/>
          </w:tcPr>
          <w:p w14:paraId="620561C1" w14:textId="77777777"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p>
        </w:tc>
        <w:tc>
          <w:tcPr>
            <w:tcW w:w="1094" w:type="dxa"/>
          </w:tcPr>
          <w:p w14:paraId="03842460" w14:textId="77777777"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p>
        </w:tc>
        <w:tc>
          <w:tcPr>
            <w:tcW w:w="1094" w:type="dxa"/>
          </w:tcPr>
          <w:p w14:paraId="7F7422A1" w14:textId="77777777"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p>
        </w:tc>
      </w:tr>
      <w:tr w:rsidR="00A62D52" w:rsidRPr="004523AB" w14:paraId="09E5AFA2" w14:textId="77777777" w:rsidTr="00A62D52">
        <w:tc>
          <w:tcPr>
            <w:tcW w:w="3489" w:type="dxa"/>
          </w:tcPr>
          <w:p w14:paraId="281FA4E0" w14:textId="053116E9"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The Program guidance documentation clearly outlined the eligibility criteria and application requirements.</w:t>
            </w:r>
          </w:p>
        </w:tc>
        <w:tc>
          <w:tcPr>
            <w:tcW w:w="1781" w:type="dxa"/>
          </w:tcPr>
          <w:p w14:paraId="6104FA58" w14:textId="77777777"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No response</w:t>
            </w:r>
          </w:p>
        </w:tc>
        <w:tc>
          <w:tcPr>
            <w:tcW w:w="1094" w:type="dxa"/>
          </w:tcPr>
          <w:p w14:paraId="1704DB10" w14:textId="2315BD09"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68 (4.0 per cent)</w:t>
            </w:r>
          </w:p>
        </w:tc>
        <w:tc>
          <w:tcPr>
            <w:tcW w:w="1094" w:type="dxa"/>
          </w:tcPr>
          <w:p w14:paraId="3054A72A" w14:textId="0E41DFD0"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43 (3.0 per cent)</w:t>
            </w:r>
          </w:p>
        </w:tc>
        <w:tc>
          <w:tcPr>
            <w:tcW w:w="1094" w:type="dxa"/>
          </w:tcPr>
          <w:p w14:paraId="3A9DD27F" w14:textId="54F83C74"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26 (2.7 per cent)</w:t>
            </w:r>
          </w:p>
        </w:tc>
        <w:tc>
          <w:tcPr>
            <w:tcW w:w="1094" w:type="dxa"/>
          </w:tcPr>
          <w:p w14:paraId="53A11C9D" w14:textId="6CDD957D"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20 (3.5 per cent)</w:t>
            </w:r>
          </w:p>
        </w:tc>
        <w:tc>
          <w:tcPr>
            <w:tcW w:w="1094" w:type="dxa"/>
          </w:tcPr>
          <w:p w14:paraId="66D3A200" w14:textId="517083B4"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13 (4.1 per cent)</w:t>
            </w:r>
          </w:p>
        </w:tc>
        <w:tc>
          <w:tcPr>
            <w:tcW w:w="1094" w:type="dxa"/>
          </w:tcPr>
          <w:p w14:paraId="5FFADA93" w14:textId="2859789A"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 (1.6 per cent)</w:t>
            </w:r>
          </w:p>
        </w:tc>
        <w:tc>
          <w:tcPr>
            <w:tcW w:w="1094" w:type="dxa"/>
          </w:tcPr>
          <w:p w14:paraId="35A02DEB" w14:textId="4EF56DA9"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 (1.0 per cent)</w:t>
            </w:r>
          </w:p>
        </w:tc>
        <w:tc>
          <w:tcPr>
            <w:tcW w:w="1094" w:type="dxa"/>
          </w:tcPr>
          <w:p w14:paraId="5D0E5527" w14:textId="5D1CB5DB"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 (1.4 per cent)</w:t>
            </w:r>
          </w:p>
        </w:tc>
      </w:tr>
      <w:tr w:rsidR="00A62D52" w:rsidRPr="004523AB" w14:paraId="3464EFD6" w14:textId="77777777" w:rsidTr="00A62D52">
        <w:tc>
          <w:tcPr>
            <w:tcW w:w="3489" w:type="dxa"/>
          </w:tcPr>
          <w:p w14:paraId="4B8F93FF" w14:textId="77777777"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It was easy to complete the Application and Grant Agreement Form.</w:t>
            </w:r>
          </w:p>
        </w:tc>
        <w:tc>
          <w:tcPr>
            <w:tcW w:w="1781" w:type="dxa"/>
          </w:tcPr>
          <w:p w14:paraId="5E2D75AD" w14:textId="77777777"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Strongly agree</w:t>
            </w:r>
          </w:p>
        </w:tc>
        <w:tc>
          <w:tcPr>
            <w:tcW w:w="1094" w:type="dxa"/>
          </w:tcPr>
          <w:p w14:paraId="11085819" w14:textId="6678B949"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 xml:space="preserve">798 (46.5 </w:t>
            </w:r>
            <w:r w:rsidRPr="004523AB">
              <w:rPr>
                <w:rFonts w:eastAsia="Segoe UI" w:cs="Segoe UI"/>
                <w:color w:val="000000"/>
                <w:szCs w:val="21"/>
              </w:rPr>
              <w:lastRenderedPageBreak/>
              <w:t>per cent)</w:t>
            </w:r>
          </w:p>
        </w:tc>
        <w:tc>
          <w:tcPr>
            <w:tcW w:w="1094" w:type="dxa"/>
          </w:tcPr>
          <w:p w14:paraId="0828804A" w14:textId="10816EB8"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lastRenderedPageBreak/>
              <w:t xml:space="preserve">765 (52.5 </w:t>
            </w:r>
            <w:r w:rsidRPr="004523AB">
              <w:rPr>
                <w:rFonts w:eastAsia="Segoe UI" w:cs="Segoe UI"/>
                <w:color w:val="000000"/>
                <w:szCs w:val="21"/>
              </w:rPr>
              <w:lastRenderedPageBreak/>
              <w:t>per cent)</w:t>
            </w:r>
          </w:p>
        </w:tc>
        <w:tc>
          <w:tcPr>
            <w:tcW w:w="1094" w:type="dxa"/>
          </w:tcPr>
          <w:p w14:paraId="14CE5C1F" w14:textId="5A7E7885"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lastRenderedPageBreak/>
              <w:t xml:space="preserve">445 (46.0 </w:t>
            </w:r>
            <w:r w:rsidRPr="004523AB">
              <w:rPr>
                <w:rFonts w:eastAsia="Segoe UI" w:cs="Segoe UI"/>
                <w:color w:val="000000"/>
                <w:szCs w:val="21"/>
              </w:rPr>
              <w:lastRenderedPageBreak/>
              <w:t>per cent)</w:t>
            </w:r>
          </w:p>
        </w:tc>
        <w:tc>
          <w:tcPr>
            <w:tcW w:w="1094" w:type="dxa"/>
          </w:tcPr>
          <w:p w14:paraId="4BB0BE71" w14:textId="13A28775"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lastRenderedPageBreak/>
              <w:t xml:space="preserve">173 (30.0 </w:t>
            </w:r>
            <w:r w:rsidRPr="004523AB">
              <w:rPr>
                <w:rFonts w:eastAsia="Segoe UI" w:cs="Segoe UI"/>
                <w:color w:val="000000"/>
                <w:szCs w:val="21"/>
              </w:rPr>
              <w:lastRenderedPageBreak/>
              <w:t>per cent)</w:t>
            </w:r>
          </w:p>
        </w:tc>
        <w:tc>
          <w:tcPr>
            <w:tcW w:w="1094" w:type="dxa"/>
          </w:tcPr>
          <w:p w14:paraId="5686E332" w14:textId="304839C6"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lastRenderedPageBreak/>
              <w:t xml:space="preserve">147 (46.2 </w:t>
            </w:r>
            <w:r w:rsidRPr="004523AB">
              <w:rPr>
                <w:rFonts w:eastAsia="Segoe UI" w:cs="Segoe UI"/>
                <w:color w:val="000000"/>
                <w:szCs w:val="21"/>
              </w:rPr>
              <w:lastRenderedPageBreak/>
              <w:t>per cent)</w:t>
            </w:r>
          </w:p>
        </w:tc>
        <w:tc>
          <w:tcPr>
            <w:tcW w:w="1094" w:type="dxa"/>
          </w:tcPr>
          <w:p w14:paraId="0FC6CF75" w14:textId="6F5FDB90"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lastRenderedPageBreak/>
              <w:t xml:space="preserve">62 (50.8 </w:t>
            </w:r>
            <w:r w:rsidRPr="004523AB">
              <w:rPr>
                <w:rFonts w:eastAsia="Segoe UI" w:cs="Segoe UI"/>
                <w:color w:val="000000"/>
                <w:szCs w:val="21"/>
              </w:rPr>
              <w:lastRenderedPageBreak/>
              <w:t>per cent)</w:t>
            </w:r>
          </w:p>
        </w:tc>
        <w:tc>
          <w:tcPr>
            <w:tcW w:w="1094" w:type="dxa"/>
          </w:tcPr>
          <w:p w14:paraId="59116A42" w14:textId="3CD5436A"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lastRenderedPageBreak/>
              <w:t xml:space="preserve">66 (66.7 </w:t>
            </w:r>
            <w:r w:rsidRPr="004523AB">
              <w:rPr>
                <w:rFonts w:eastAsia="Segoe UI" w:cs="Segoe UI"/>
                <w:color w:val="000000"/>
                <w:szCs w:val="21"/>
              </w:rPr>
              <w:lastRenderedPageBreak/>
              <w:t>per cent)</w:t>
            </w:r>
          </w:p>
        </w:tc>
        <w:tc>
          <w:tcPr>
            <w:tcW w:w="1094" w:type="dxa"/>
          </w:tcPr>
          <w:p w14:paraId="0C264D02" w14:textId="4B24DDDE"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lastRenderedPageBreak/>
              <w:t xml:space="preserve">12 (17.4 </w:t>
            </w:r>
            <w:r w:rsidRPr="004523AB">
              <w:rPr>
                <w:rFonts w:eastAsia="Segoe UI" w:cs="Segoe UI"/>
                <w:color w:val="000000"/>
                <w:szCs w:val="21"/>
              </w:rPr>
              <w:lastRenderedPageBreak/>
              <w:t>per cent)</w:t>
            </w:r>
          </w:p>
        </w:tc>
      </w:tr>
      <w:tr w:rsidR="00A62D52" w:rsidRPr="004523AB" w14:paraId="13CCAC51" w14:textId="77777777" w:rsidTr="00A62D52">
        <w:tc>
          <w:tcPr>
            <w:tcW w:w="3489" w:type="dxa"/>
          </w:tcPr>
          <w:p w14:paraId="1F51C1BB" w14:textId="677F8442"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lastRenderedPageBreak/>
              <w:t>It was easy to complete the Application and Grant Agreement Form.</w:t>
            </w:r>
          </w:p>
        </w:tc>
        <w:tc>
          <w:tcPr>
            <w:tcW w:w="1781" w:type="dxa"/>
          </w:tcPr>
          <w:p w14:paraId="1E81E65F" w14:textId="77777777"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Agree</w:t>
            </w:r>
          </w:p>
        </w:tc>
        <w:tc>
          <w:tcPr>
            <w:tcW w:w="1094" w:type="dxa"/>
          </w:tcPr>
          <w:p w14:paraId="786F9044" w14:textId="11F8699B"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803 (46.8 per cent)</w:t>
            </w:r>
          </w:p>
        </w:tc>
        <w:tc>
          <w:tcPr>
            <w:tcW w:w="1094" w:type="dxa"/>
          </w:tcPr>
          <w:p w14:paraId="6AFE8506" w14:textId="33713D52"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625 (42.9 per cent)</w:t>
            </w:r>
          </w:p>
        </w:tc>
        <w:tc>
          <w:tcPr>
            <w:tcW w:w="1094" w:type="dxa"/>
          </w:tcPr>
          <w:p w14:paraId="41422EFE" w14:textId="39DA65C7"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478 (49.4 per cent)</w:t>
            </w:r>
          </w:p>
        </w:tc>
        <w:tc>
          <w:tcPr>
            <w:tcW w:w="1094" w:type="dxa"/>
          </w:tcPr>
          <w:p w14:paraId="23118AD6" w14:textId="7AEF5106"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348 (60.3 per cent)</w:t>
            </w:r>
          </w:p>
        </w:tc>
        <w:tc>
          <w:tcPr>
            <w:tcW w:w="1094" w:type="dxa"/>
          </w:tcPr>
          <w:p w14:paraId="7307EEEF" w14:textId="4C355DFD"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153 (48.1 per cent)</w:t>
            </w:r>
          </w:p>
        </w:tc>
        <w:tc>
          <w:tcPr>
            <w:tcW w:w="1094" w:type="dxa"/>
          </w:tcPr>
          <w:p w14:paraId="126633B3" w14:textId="33F40868"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56 (45.9 per cent)</w:t>
            </w:r>
          </w:p>
        </w:tc>
        <w:tc>
          <w:tcPr>
            <w:tcW w:w="1094" w:type="dxa"/>
          </w:tcPr>
          <w:p w14:paraId="75DA0AA7" w14:textId="4CB118E3"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31 (31.3 per cent)</w:t>
            </w:r>
          </w:p>
        </w:tc>
        <w:tc>
          <w:tcPr>
            <w:tcW w:w="1094" w:type="dxa"/>
          </w:tcPr>
          <w:p w14:paraId="48D7A473" w14:textId="6F3DFB03"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55 (79.7 per cent)</w:t>
            </w:r>
          </w:p>
        </w:tc>
      </w:tr>
      <w:tr w:rsidR="00A62D52" w:rsidRPr="004523AB" w14:paraId="3510A09C" w14:textId="77777777" w:rsidTr="00A62D52">
        <w:tc>
          <w:tcPr>
            <w:tcW w:w="3489" w:type="dxa"/>
          </w:tcPr>
          <w:p w14:paraId="2DFB5F6A" w14:textId="2201CD17"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It was easy to complete the Application and Grant Agreement Form.</w:t>
            </w:r>
          </w:p>
        </w:tc>
        <w:tc>
          <w:tcPr>
            <w:tcW w:w="1781" w:type="dxa"/>
          </w:tcPr>
          <w:p w14:paraId="1F8843FF" w14:textId="77777777"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Disagree</w:t>
            </w:r>
          </w:p>
        </w:tc>
        <w:tc>
          <w:tcPr>
            <w:tcW w:w="1094" w:type="dxa"/>
          </w:tcPr>
          <w:p w14:paraId="49A542FC" w14:textId="47EBB407"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21 (1.2 per cent)</w:t>
            </w:r>
          </w:p>
        </w:tc>
        <w:tc>
          <w:tcPr>
            <w:tcW w:w="1094" w:type="dxa"/>
          </w:tcPr>
          <w:p w14:paraId="6407A3F9" w14:textId="529731D4"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 (0.2 per cent)</w:t>
            </w:r>
          </w:p>
        </w:tc>
        <w:tc>
          <w:tcPr>
            <w:tcW w:w="1094" w:type="dxa"/>
          </w:tcPr>
          <w:p w14:paraId="142A6CEA" w14:textId="098DB1C9"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 (0.5 per cent)</w:t>
            </w:r>
          </w:p>
        </w:tc>
        <w:tc>
          <w:tcPr>
            <w:tcW w:w="1094" w:type="dxa"/>
          </w:tcPr>
          <w:p w14:paraId="3AA0FE3D" w14:textId="4C1A084D"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27 (4.7 per cent)</w:t>
            </w:r>
          </w:p>
        </w:tc>
        <w:tc>
          <w:tcPr>
            <w:tcW w:w="1094" w:type="dxa"/>
          </w:tcPr>
          <w:p w14:paraId="4D462A99" w14:textId="691E74A0"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 (0.6 per cent)</w:t>
            </w:r>
          </w:p>
        </w:tc>
        <w:tc>
          <w:tcPr>
            <w:tcW w:w="1094" w:type="dxa"/>
          </w:tcPr>
          <w:p w14:paraId="17DD1184" w14:textId="77777777"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p>
        </w:tc>
        <w:tc>
          <w:tcPr>
            <w:tcW w:w="1094" w:type="dxa"/>
          </w:tcPr>
          <w:p w14:paraId="16F5B7F1" w14:textId="3C120B40"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 (1.0 per cent)</w:t>
            </w:r>
          </w:p>
        </w:tc>
        <w:tc>
          <w:tcPr>
            <w:tcW w:w="1094" w:type="dxa"/>
          </w:tcPr>
          <w:p w14:paraId="6B9E5ADC" w14:textId="77777777"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p>
        </w:tc>
      </w:tr>
      <w:tr w:rsidR="00A62D52" w:rsidRPr="004523AB" w14:paraId="5536B2AE" w14:textId="77777777" w:rsidTr="00A62D52">
        <w:tc>
          <w:tcPr>
            <w:tcW w:w="3489" w:type="dxa"/>
          </w:tcPr>
          <w:p w14:paraId="59EE4FB8" w14:textId="3A25C186"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It was easy to complete the Application and Grant Agreement Form.</w:t>
            </w:r>
          </w:p>
        </w:tc>
        <w:tc>
          <w:tcPr>
            <w:tcW w:w="1781" w:type="dxa"/>
          </w:tcPr>
          <w:p w14:paraId="267537E3" w14:textId="77777777"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Strongly disagree</w:t>
            </w:r>
          </w:p>
        </w:tc>
        <w:tc>
          <w:tcPr>
            <w:tcW w:w="1094" w:type="dxa"/>
          </w:tcPr>
          <w:p w14:paraId="79EDC478" w14:textId="0FBEE09B"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20 (1.2 per cent)</w:t>
            </w:r>
          </w:p>
        </w:tc>
        <w:tc>
          <w:tcPr>
            <w:tcW w:w="1094" w:type="dxa"/>
          </w:tcPr>
          <w:p w14:paraId="31973AF6" w14:textId="467BC830"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13 (0.9 per cent)</w:t>
            </w:r>
          </w:p>
        </w:tc>
        <w:tc>
          <w:tcPr>
            <w:tcW w:w="1094" w:type="dxa"/>
          </w:tcPr>
          <w:p w14:paraId="11BDC384" w14:textId="7AB83714"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14 (1.4 per cent)</w:t>
            </w:r>
          </w:p>
        </w:tc>
        <w:tc>
          <w:tcPr>
            <w:tcW w:w="1094" w:type="dxa"/>
          </w:tcPr>
          <w:p w14:paraId="380251C1" w14:textId="6BBF6E2C"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7 (1.2 per cent)</w:t>
            </w:r>
          </w:p>
        </w:tc>
        <w:tc>
          <w:tcPr>
            <w:tcW w:w="1094" w:type="dxa"/>
          </w:tcPr>
          <w:p w14:paraId="4C0738CC" w14:textId="2B29F97D"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 (0.9 per cent)</w:t>
            </w:r>
          </w:p>
        </w:tc>
        <w:tc>
          <w:tcPr>
            <w:tcW w:w="1094" w:type="dxa"/>
          </w:tcPr>
          <w:p w14:paraId="4C1AC23A" w14:textId="77777777"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p>
        </w:tc>
        <w:tc>
          <w:tcPr>
            <w:tcW w:w="1094" w:type="dxa"/>
          </w:tcPr>
          <w:p w14:paraId="3999F5ED" w14:textId="77777777"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p>
        </w:tc>
        <w:tc>
          <w:tcPr>
            <w:tcW w:w="1094" w:type="dxa"/>
          </w:tcPr>
          <w:p w14:paraId="627C4A2E" w14:textId="77777777"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p>
        </w:tc>
      </w:tr>
      <w:tr w:rsidR="00A62D52" w:rsidRPr="004523AB" w14:paraId="0A9E3175" w14:textId="77777777" w:rsidTr="00A62D52">
        <w:tc>
          <w:tcPr>
            <w:tcW w:w="3489" w:type="dxa"/>
          </w:tcPr>
          <w:p w14:paraId="2E71B399" w14:textId="557E072C"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It was easy to complete the Application and Grant Agreement Form.</w:t>
            </w:r>
          </w:p>
        </w:tc>
        <w:tc>
          <w:tcPr>
            <w:tcW w:w="1781" w:type="dxa"/>
          </w:tcPr>
          <w:p w14:paraId="5B03CE1F" w14:textId="77777777"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No response</w:t>
            </w:r>
          </w:p>
        </w:tc>
        <w:tc>
          <w:tcPr>
            <w:tcW w:w="1094" w:type="dxa"/>
          </w:tcPr>
          <w:p w14:paraId="3C07576D" w14:textId="28B25513"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74 (4.3 per cent)</w:t>
            </w:r>
          </w:p>
        </w:tc>
        <w:tc>
          <w:tcPr>
            <w:tcW w:w="1094" w:type="dxa"/>
          </w:tcPr>
          <w:p w14:paraId="00B1B41D" w14:textId="74C2BBCC"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50 (3.4 per cent)</w:t>
            </w:r>
          </w:p>
        </w:tc>
        <w:tc>
          <w:tcPr>
            <w:tcW w:w="1094" w:type="dxa"/>
          </w:tcPr>
          <w:p w14:paraId="3C5762E6" w14:textId="14D15B77"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26 (2.7 per cent)</w:t>
            </w:r>
          </w:p>
        </w:tc>
        <w:tc>
          <w:tcPr>
            <w:tcW w:w="1094" w:type="dxa"/>
          </w:tcPr>
          <w:p w14:paraId="7F79EB64" w14:textId="66987F4A"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22 (3.8 per cent)</w:t>
            </w:r>
          </w:p>
        </w:tc>
        <w:tc>
          <w:tcPr>
            <w:tcW w:w="1094" w:type="dxa"/>
          </w:tcPr>
          <w:p w14:paraId="03485ED5" w14:textId="244CBE96"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13 (4.1 per cent)</w:t>
            </w:r>
          </w:p>
        </w:tc>
        <w:tc>
          <w:tcPr>
            <w:tcW w:w="1094" w:type="dxa"/>
          </w:tcPr>
          <w:p w14:paraId="0A6ABC77" w14:textId="300CD7BF"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 (3.3 per cent)</w:t>
            </w:r>
          </w:p>
        </w:tc>
        <w:tc>
          <w:tcPr>
            <w:tcW w:w="1094" w:type="dxa"/>
          </w:tcPr>
          <w:p w14:paraId="3BCCE5B8" w14:textId="73BC4511"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 (1.0 per cent)</w:t>
            </w:r>
          </w:p>
        </w:tc>
        <w:tc>
          <w:tcPr>
            <w:tcW w:w="1094" w:type="dxa"/>
          </w:tcPr>
          <w:p w14:paraId="3E958F10" w14:textId="37C4F501"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 (2.9 per cent)</w:t>
            </w:r>
          </w:p>
        </w:tc>
      </w:tr>
      <w:tr w:rsidR="00A62D52" w:rsidRPr="004523AB" w14:paraId="307D7140" w14:textId="77777777" w:rsidTr="00A62D52">
        <w:tc>
          <w:tcPr>
            <w:tcW w:w="3489" w:type="dxa"/>
          </w:tcPr>
          <w:p w14:paraId="71DC0468" w14:textId="77777777"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Our practice did not need assistance from our Primary Health Network (PHN) to complete the grant application.</w:t>
            </w:r>
          </w:p>
        </w:tc>
        <w:tc>
          <w:tcPr>
            <w:tcW w:w="1781" w:type="dxa"/>
          </w:tcPr>
          <w:p w14:paraId="20A1FEBF" w14:textId="77777777"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Strongly agree</w:t>
            </w:r>
          </w:p>
        </w:tc>
        <w:tc>
          <w:tcPr>
            <w:tcW w:w="1094" w:type="dxa"/>
          </w:tcPr>
          <w:p w14:paraId="01B6ADB2" w14:textId="3A9438DA"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545 (31.8 per cent)</w:t>
            </w:r>
          </w:p>
        </w:tc>
        <w:tc>
          <w:tcPr>
            <w:tcW w:w="1094" w:type="dxa"/>
          </w:tcPr>
          <w:p w14:paraId="58324401" w14:textId="1BDFDFAE"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524 (36.0 per cent)</w:t>
            </w:r>
          </w:p>
        </w:tc>
        <w:tc>
          <w:tcPr>
            <w:tcW w:w="1094" w:type="dxa"/>
          </w:tcPr>
          <w:p w14:paraId="1B67B901" w14:textId="6EDE63D6"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332 (34.3 per cent)</w:t>
            </w:r>
          </w:p>
        </w:tc>
        <w:tc>
          <w:tcPr>
            <w:tcW w:w="1094" w:type="dxa"/>
          </w:tcPr>
          <w:p w14:paraId="75310F49" w14:textId="0570C15A"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158 (27.4 per cent)</w:t>
            </w:r>
          </w:p>
        </w:tc>
        <w:tc>
          <w:tcPr>
            <w:tcW w:w="1094" w:type="dxa"/>
          </w:tcPr>
          <w:p w14:paraId="76245F00" w14:textId="4BE93312"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114 (35.8 per cent)</w:t>
            </w:r>
          </w:p>
        </w:tc>
        <w:tc>
          <w:tcPr>
            <w:tcW w:w="1094" w:type="dxa"/>
          </w:tcPr>
          <w:p w14:paraId="6C5D6A06" w14:textId="1E2EB147"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50 (41.0 per cent)</w:t>
            </w:r>
          </w:p>
        </w:tc>
        <w:tc>
          <w:tcPr>
            <w:tcW w:w="1094" w:type="dxa"/>
          </w:tcPr>
          <w:p w14:paraId="56B95F17" w14:textId="0A7A2431"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55 (55.6 per cent)</w:t>
            </w:r>
          </w:p>
        </w:tc>
        <w:tc>
          <w:tcPr>
            <w:tcW w:w="1094" w:type="dxa"/>
          </w:tcPr>
          <w:p w14:paraId="2081D963" w14:textId="3B28D934"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6 (8.7 per cent)</w:t>
            </w:r>
          </w:p>
        </w:tc>
      </w:tr>
      <w:tr w:rsidR="00A62D52" w:rsidRPr="004523AB" w14:paraId="14111B1A" w14:textId="77777777" w:rsidTr="00A62D52">
        <w:tc>
          <w:tcPr>
            <w:tcW w:w="3489" w:type="dxa"/>
          </w:tcPr>
          <w:p w14:paraId="576E6643" w14:textId="6F3B55B7"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Our practice did not need assistance from our Primary Health Network (PHN) to complete the grant application.</w:t>
            </w:r>
          </w:p>
        </w:tc>
        <w:tc>
          <w:tcPr>
            <w:tcW w:w="1781" w:type="dxa"/>
          </w:tcPr>
          <w:p w14:paraId="4155F327" w14:textId="77777777"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Agree</w:t>
            </w:r>
          </w:p>
        </w:tc>
        <w:tc>
          <w:tcPr>
            <w:tcW w:w="1094" w:type="dxa"/>
          </w:tcPr>
          <w:p w14:paraId="195DFEB4" w14:textId="2FF4E78B"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711 (41.4 per cent)</w:t>
            </w:r>
          </w:p>
        </w:tc>
        <w:tc>
          <w:tcPr>
            <w:tcW w:w="1094" w:type="dxa"/>
          </w:tcPr>
          <w:p w14:paraId="46010992" w14:textId="7E06E991"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627 (43.1 per cent)</w:t>
            </w:r>
          </w:p>
        </w:tc>
        <w:tc>
          <w:tcPr>
            <w:tcW w:w="1094" w:type="dxa"/>
          </w:tcPr>
          <w:p w14:paraId="30D8F923" w14:textId="1F9E1738"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452 (46.7 per cent)</w:t>
            </w:r>
          </w:p>
        </w:tc>
        <w:tc>
          <w:tcPr>
            <w:tcW w:w="1094" w:type="dxa"/>
          </w:tcPr>
          <w:p w14:paraId="0EDA780E" w14:textId="4EBB7E1A"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273 (47.3 per cent)</w:t>
            </w:r>
          </w:p>
        </w:tc>
        <w:tc>
          <w:tcPr>
            <w:tcW w:w="1094" w:type="dxa"/>
          </w:tcPr>
          <w:p w14:paraId="6E3C575F" w14:textId="0FB4D018"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122 (38.4 per cent)</w:t>
            </w:r>
          </w:p>
        </w:tc>
        <w:tc>
          <w:tcPr>
            <w:tcW w:w="1094" w:type="dxa"/>
          </w:tcPr>
          <w:p w14:paraId="1BF0D0C0" w14:textId="48F0649D"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54 (44.3 per cent)</w:t>
            </w:r>
          </w:p>
        </w:tc>
        <w:tc>
          <w:tcPr>
            <w:tcW w:w="1094" w:type="dxa"/>
          </w:tcPr>
          <w:p w14:paraId="00850555" w14:textId="48AAD021"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38 (38.4 per cent)</w:t>
            </w:r>
          </w:p>
        </w:tc>
        <w:tc>
          <w:tcPr>
            <w:tcW w:w="1094" w:type="dxa"/>
          </w:tcPr>
          <w:p w14:paraId="0A2A4E79" w14:textId="4EDFA228"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54 (78.3 per cent)</w:t>
            </w:r>
          </w:p>
        </w:tc>
      </w:tr>
      <w:tr w:rsidR="00A62D52" w:rsidRPr="004523AB" w14:paraId="5DF24C72" w14:textId="77777777" w:rsidTr="00A62D52">
        <w:tc>
          <w:tcPr>
            <w:tcW w:w="3489" w:type="dxa"/>
          </w:tcPr>
          <w:p w14:paraId="6F497AB0" w14:textId="52542DB0"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lastRenderedPageBreak/>
              <w:t>Our practice did not need assistance from our Primary Health Network (PHN) to complete the grant application.</w:t>
            </w:r>
          </w:p>
        </w:tc>
        <w:tc>
          <w:tcPr>
            <w:tcW w:w="1781" w:type="dxa"/>
          </w:tcPr>
          <w:p w14:paraId="70F4AA02" w14:textId="77777777"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Disagree</w:t>
            </w:r>
          </w:p>
        </w:tc>
        <w:tc>
          <w:tcPr>
            <w:tcW w:w="1094" w:type="dxa"/>
          </w:tcPr>
          <w:p w14:paraId="752AFEE4" w14:textId="77FECA7F"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283 (16.5 per cent)</w:t>
            </w:r>
          </w:p>
        </w:tc>
        <w:tc>
          <w:tcPr>
            <w:tcW w:w="1094" w:type="dxa"/>
          </w:tcPr>
          <w:p w14:paraId="0D816DE3" w14:textId="48FCC5E9"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190 (13.0 per cent)</w:t>
            </w:r>
          </w:p>
        </w:tc>
        <w:tc>
          <w:tcPr>
            <w:tcW w:w="1094" w:type="dxa"/>
          </w:tcPr>
          <w:p w14:paraId="39615716" w14:textId="0B815A25"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104 (10.7 per cent)</w:t>
            </w:r>
          </w:p>
        </w:tc>
        <w:tc>
          <w:tcPr>
            <w:tcW w:w="1094" w:type="dxa"/>
          </w:tcPr>
          <w:p w14:paraId="6656B49E" w14:textId="412C2FE8"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92 (15.9 per cent)</w:t>
            </w:r>
          </w:p>
        </w:tc>
        <w:tc>
          <w:tcPr>
            <w:tcW w:w="1094" w:type="dxa"/>
          </w:tcPr>
          <w:p w14:paraId="275BF222" w14:textId="59FE04B3"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52 (16.4 per cent)</w:t>
            </w:r>
          </w:p>
        </w:tc>
        <w:tc>
          <w:tcPr>
            <w:tcW w:w="1094" w:type="dxa"/>
          </w:tcPr>
          <w:p w14:paraId="0D64C8F0" w14:textId="0852B58F"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10 (8.2 per cent)</w:t>
            </w:r>
          </w:p>
        </w:tc>
        <w:tc>
          <w:tcPr>
            <w:tcW w:w="1094" w:type="dxa"/>
          </w:tcPr>
          <w:p w14:paraId="6E7D56B5" w14:textId="113A7487"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 (3.0 per cent)</w:t>
            </w:r>
          </w:p>
        </w:tc>
        <w:tc>
          <w:tcPr>
            <w:tcW w:w="1094" w:type="dxa"/>
          </w:tcPr>
          <w:p w14:paraId="59744E72" w14:textId="42E31E5E"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 (2.9 per cent)</w:t>
            </w:r>
          </w:p>
        </w:tc>
      </w:tr>
      <w:tr w:rsidR="00A62D52" w:rsidRPr="004523AB" w14:paraId="52F113B7" w14:textId="77777777" w:rsidTr="00A62D52">
        <w:tc>
          <w:tcPr>
            <w:tcW w:w="3489" w:type="dxa"/>
          </w:tcPr>
          <w:p w14:paraId="336B93DF" w14:textId="02699B79"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Our practice did not need assistance from our Primary Health Network (PHN) to complete the grant application.</w:t>
            </w:r>
          </w:p>
        </w:tc>
        <w:tc>
          <w:tcPr>
            <w:tcW w:w="1781" w:type="dxa"/>
          </w:tcPr>
          <w:p w14:paraId="41149F6A" w14:textId="77777777"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Strongly disagree</w:t>
            </w:r>
          </w:p>
        </w:tc>
        <w:tc>
          <w:tcPr>
            <w:tcW w:w="1094" w:type="dxa"/>
          </w:tcPr>
          <w:p w14:paraId="4F347156" w14:textId="5FE0A2CA"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80 (4.7 per cent)</w:t>
            </w:r>
          </w:p>
        </w:tc>
        <w:tc>
          <w:tcPr>
            <w:tcW w:w="1094" w:type="dxa"/>
          </w:tcPr>
          <w:p w14:paraId="29ECC331" w14:textId="042BD8EB"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49 (3.4 per cent)</w:t>
            </w:r>
          </w:p>
        </w:tc>
        <w:tc>
          <w:tcPr>
            <w:tcW w:w="1094" w:type="dxa"/>
          </w:tcPr>
          <w:p w14:paraId="7B08E532" w14:textId="22A9279C"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43 (4.4 per cent)</w:t>
            </w:r>
          </w:p>
        </w:tc>
        <w:tc>
          <w:tcPr>
            <w:tcW w:w="1094" w:type="dxa"/>
          </w:tcPr>
          <w:p w14:paraId="1F4DAA6C" w14:textId="22C19176"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22 (3.8 per cent)</w:t>
            </w:r>
          </w:p>
        </w:tc>
        <w:tc>
          <w:tcPr>
            <w:tcW w:w="1094" w:type="dxa"/>
          </w:tcPr>
          <w:p w14:paraId="018FC36F" w14:textId="633324C1"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12 (3.8 per cent)</w:t>
            </w:r>
          </w:p>
        </w:tc>
        <w:tc>
          <w:tcPr>
            <w:tcW w:w="1094" w:type="dxa"/>
          </w:tcPr>
          <w:p w14:paraId="034936C5" w14:textId="522F7EC2"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 (2.5 per cent)</w:t>
            </w:r>
          </w:p>
        </w:tc>
        <w:tc>
          <w:tcPr>
            <w:tcW w:w="1094" w:type="dxa"/>
          </w:tcPr>
          <w:p w14:paraId="2AC6D4F2" w14:textId="30EE10ED"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 (1.0 per cent)</w:t>
            </w:r>
          </w:p>
        </w:tc>
        <w:tc>
          <w:tcPr>
            <w:tcW w:w="1094" w:type="dxa"/>
          </w:tcPr>
          <w:p w14:paraId="28E421CA" w14:textId="2C7418DD"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 (2.9 per cent)</w:t>
            </w:r>
          </w:p>
        </w:tc>
      </w:tr>
      <w:tr w:rsidR="00A62D52" w:rsidRPr="004523AB" w14:paraId="0AFC8B52" w14:textId="77777777" w:rsidTr="00A62D52">
        <w:tc>
          <w:tcPr>
            <w:tcW w:w="3489" w:type="dxa"/>
          </w:tcPr>
          <w:p w14:paraId="058E4710" w14:textId="287E1EF7"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Our practice did not need assistance from our Primary Health Network (PHN) to complete the grant application.</w:t>
            </w:r>
          </w:p>
        </w:tc>
        <w:tc>
          <w:tcPr>
            <w:tcW w:w="1781" w:type="dxa"/>
          </w:tcPr>
          <w:p w14:paraId="3E48D813" w14:textId="77777777"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No response</w:t>
            </w:r>
          </w:p>
        </w:tc>
        <w:tc>
          <w:tcPr>
            <w:tcW w:w="1094" w:type="dxa"/>
          </w:tcPr>
          <w:p w14:paraId="0B9631A3" w14:textId="7D4425D4"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97 (5.7 per cent)</w:t>
            </w:r>
          </w:p>
        </w:tc>
        <w:tc>
          <w:tcPr>
            <w:tcW w:w="1094" w:type="dxa"/>
          </w:tcPr>
          <w:p w14:paraId="1BFB00CD" w14:textId="6D8C9031"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66 (4.5 per cent)</w:t>
            </w:r>
          </w:p>
        </w:tc>
        <w:tc>
          <w:tcPr>
            <w:tcW w:w="1094" w:type="dxa"/>
          </w:tcPr>
          <w:p w14:paraId="075A7000" w14:textId="3581358C"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37 (3.8 per cent)</w:t>
            </w:r>
          </w:p>
        </w:tc>
        <w:tc>
          <w:tcPr>
            <w:tcW w:w="1094" w:type="dxa"/>
          </w:tcPr>
          <w:p w14:paraId="338753F7" w14:textId="1416AF88"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32 (5.5 per cent)</w:t>
            </w:r>
          </w:p>
        </w:tc>
        <w:tc>
          <w:tcPr>
            <w:tcW w:w="1094" w:type="dxa"/>
          </w:tcPr>
          <w:p w14:paraId="69AD0BC3" w14:textId="5997F4E9"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18 (5.7 per cent)</w:t>
            </w:r>
          </w:p>
        </w:tc>
        <w:tc>
          <w:tcPr>
            <w:tcW w:w="1094" w:type="dxa"/>
          </w:tcPr>
          <w:p w14:paraId="2EA91A4C" w14:textId="32E734DC"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 (4.1 per cent)</w:t>
            </w:r>
          </w:p>
        </w:tc>
        <w:tc>
          <w:tcPr>
            <w:tcW w:w="1094" w:type="dxa"/>
          </w:tcPr>
          <w:p w14:paraId="2862A303" w14:textId="33BC3751"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 (2.0 per cent)</w:t>
            </w:r>
          </w:p>
        </w:tc>
        <w:tc>
          <w:tcPr>
            <w:tcW w:w="1094" w:type="dxa"/>
          </w:tcPr>
          <w:p w14:paraId="6B1475EA" w14:textId="284AC068"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 (7.2 per cent)</w:t>
            </w:r>
          </w:p>
        </w:tc>
      </w:tr>
      <w:tr w:rsidR="00A62D52" w:rsidRPr="004523AB" w14:paraId="40C06E58" w14:textId="77777777" w:rsidTr="00A62D52">
        <w:tc>
          <w:tcPr>
            <w:tcW w:w="3489" w:type="dxa"/>
          </w:tcPr>
          <w:p w14:paraId="15797F44" w14:textId="77777777"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It was easy for our practice to receive the grant funds.</w:t>
            </w:r>
          </w:p>
        </w:tc>
        <w:tc>
          <w:tcPr>
            <w:tcW w:w="1781" w:type="dxa"/>
          </w:tcPr>
          <w:p w14:paraId="71140933" w14:textId="77777777"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Strongly agree</w:t>
            </w:r>
          </w:p>
        </w:tc>
        <w:tc>
          <w:tcPr>
            <w:tcW w:w="1094" w:type="dxa"/>
          </w:tcPr>
          <w:p w14:paraId="28B1DDE5" w14:textId="3AD7E8B5"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758 (44.2 per cent)</w:t>
            </w:r>
          </w:p>
        </w:tc>
        <w:tc>
          <w:tcPr>
            <w:tcW w:w="1094" w:type="dxa"/>
          </w:tcPr>
          <w:p w14:paraId="4A9A511D" w14:textId="3454A12B"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747 (51.3 per cent)</w:t>
            </w:r>
          </w:p>
        </w:tc>
        <w:tc>
          <w:tcPr>
            <w:tcW w:w="1094" w:type="dxa"/>
          </w:tcPr>
          <w:p w14:paraId="1D26A4D9" w14:textId="1135863E"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449 (46.4 per cent)</w:t>
            </w:r>
          </w:p>
        </w:tc>
        <w:tc>
          <w:tcPr>
            <w:tcW w:w="1094" w:type="dxa"/>
          </w:tcPr>
          <w:p w14:paraId="6E8ECE1B" w14:textId="150BFF4F"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217 (37.6 per cent)</w:t>
            </w:r>
          </w:p>
        </w:tc>
        <w:tc>
          <w:tcPr>
            <w:tcW w:w="1094" w:type="dxa"/>
          </w:tcPr>
          <w:p w14:paraId="7785C144" w14:textId="2F9FB15B"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143 (45.0 per cent)</w:t>
            </w:r>
          </w:p>
        </w:tc>
        <w:tc>
          <w:tcPr>
            <w:tcW w:w="1094" w:type="dxa"/>
          </w:tcPr>
          <w:p w14:paraId="6154376D" w14:textId="33FB731D"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60 (49.2 per cent)</w:t>
            </w:r>
          </w:p>
        </w:tc>
        <w:tc>
          <w:tcPr>
            <w:tcW w:w="1094" w:type="dxa"/>
          </w:tcPr>
          <w:p w14:paraId="76DF35D3" w14:textId="28CFC179"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62 (62.6 per cent)</w:t>
            </w:r>
          </w:p>
        </w:tc>
        <w:tc>
          <w:tcPr>
            <w:tcW w:w="1094" w:type="dxa"/>
          </w:tcPr>
          <w:p w14:paraId="6C20C8B3" w14:textId="457C852A"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10 (14.5 per cent)</w:t>
            </w:r>
          </w:p>
        </w:tc>
      </w:tr>
      <w:tr w:rsidR="00A62D52" w:rsidRPr="004523AB" w14:paraId="4E90C690" w14:textId="77777777" w:rsidTr="00A62D52">
        <w:tc>
          <w:tcPr>
            <w:tcW w:w="3489" w:type="dxa"/>
          </w:tcPr>
          <w:p w14:paraId="3155EE6D" w14:textId="4B57C788"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It was easy for our practice to receive the grant funds.</w:t>
            </w:r>
          </w:p>
        </w:tc>
        <w:tc>
          <w:tcPr>
            <w:tcW w:w="1781" w:type="dxa"/>
          </w:tcPr>
          <w:p w14:paraId="48A897E0" w14:textId="77777777"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Agree</w:t>
            </w:r>
          </w:p>
        </w:tc>
        <w:tc>
          <w:tcPr>
            <w:tcW w:w="1094" w:type="dxa"/>
          </w:tcPr>
          <w:p w14:paraId="06D742C5" w14:textId="1D7D0CF9"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847 (49.4 per cent)</w:t>
            </w:r>
          </w:p>
        </w:tc>
        <w:tc>
          <w:tcPr>
            <w:tcW w:w="1094" w:type="dxa"/>
          </w:tcPr>
          <w:p w14:paraId="0B29439B" w14:textId="65D7FEB7"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639 (43.9 per cent)</w:t>
            </w:r>
          </w:p>
        </w:tc>
        <w:tc>
          <w:tcPr>
            <w:tcW w:w="1094" w:type="dxa"/>
          </w:tcPr>
          <w:p w14:paraId="49134216" w14:textId="63198329"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473 (48.9 per cent)</w:t>
            </w:r>
          </w:p>
        </w:tc>
        <w:tc>
          <w:tcPr>
            <w:tcW w:w="1094" w:type="dxa"/>
          </w:tcPr>
          <w:p w14:paraId="02DB295A" w14:textId="7B47B3E5"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320 (55.5 per cent)</w:t>
            </w:r>
          </w:p>
        </w:tc>
        <w:tc>
          <w:tcPr>
            <w:tcW w:w="1094" w:type="dxa"/>
          </w:tcPr>
          <w:p w14:paraId="2CCE0FA1" w14:textId="65388BE6"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158 (49.7 per cent)</w:t>
            </w:r>
          </w:p>
        </w:tc>
        <w:tc>
          <w:tcPr>
            <w:tcW w:w="1094" w:type="dxa"/>
          </w:tcPr>
          <w:p w14:paraId="783A543A" w14:textId="0BB04B18"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59 (48.4 per cent)</w:t>
            </w:r>
          </w:p>
        </w:tc>
        <w:tc>
          <w:tcPr>
            <w:tcW w:w="1094" w:type="dxa"/>
          </w:tcPr>
          <w:p w14:paraId="70BE2383" w14:textId="59034380"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36 (36.4 per cent)</w:t>
            </w:r>
          </w:p>
        </w:tc>
        <w:tc>
          <w:tcPr>
            <w:tcW w:w="1094" w:type="dxa"/>
          </w:tcPr>
          <w:p w14:paraId="49654EE7" w14:textId="346EA216"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54 (78.3 per cent)</w:t>
            </w:r>
          </w:p>
        </w:tc>
      </w:tr>
      <w:tr w:rsidR="00A62D52" w:rsidRPr="004523AB" w14:paraId="11B6F809" w14:textId="77777777" w:rsidTr="00A62D52">
        <w:tc>
          <w:tcPr>
            <w:tcW w:w="3489" w:type="dxa"/>
          </w:tcPr>
          <w:p w14:paraId="231E6991" w14:textId="018E8C8B"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It was easy for our practice to receive the grant funds.</w:t>
            </w:r>
          </w:p>
        </w:tc>
        <w:tc>
          <w:tcPr>
            <w:tcW w:w="1781" w:type="dxa"/>
          </w:tcPr>
          <w:p w14:paraId="60C49EB0" w14:textId="77777777"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Disagree</w:t>
            </w:r>
          </w:p>
        </w:tc>
        <w:tc>
          <w:tcPr>
            <w:tcW w:w="1094" w:type="dxa"/>
          </w:tcPr>
          <w:p w14:paraId="7208BCEC" w14:textId="2210E835"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22 (1.3 per cent)</w:t>
            </w:r>
          </w:p>
        </w:tc>
        <w:tc>
          <w:tcPr>
            <w:tcW w:w="1094" w:type="dxa"/>
          </w:tcPr>
          <w:p w14:paraId="544494A8" w14:textId="3114716E"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9 (0.6 per cent)</w:t>
            </w:r>
          </w:p>
        </w:tc>
        <w:tc>
          <w:tcPr>
            <w:tcW w:w="1094" w:type="dxa"/>
          </w:tcPr>
          <w:p w14:paraId="6607D2A9" w14:textId="7DD93450"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10 (1.0 per cent)</w:t>
            </w:r>
          </w:p>
        </w:tc>
        <w:tc>
          <w:tcPr>
            <w:tcW w:w="1094" w:type="dxa"/>
          </w:tcPr>
          <w:p w14:paraId="5529913C" w14:textId="6C83FB28"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9 (1.6 per cent)</w:t>
            </w:r>
          </w:p>
        </w:tc>
        <w:tc>
          <w:tcPr>
            <w:tcW w:w="1094" w:type="dxa"/>
          </w:tcPr>
          <w:p w14:paraId="36B57D98" w14:textId="79B507C2"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 (0.3 per cent)</w:t>
            </w:r>
          </w:p>
        </w:tc>
        <w:tc>
          <w:tcPr>
            <w:tcW w:w="1094" w:type="dxa"/>
          </w:tcPr>
          <w:p w14:paraId="6B9FFF0A" w14:textId="4A795359"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 (0.8 per cent)</w:t>
            </w:r>
          </w:p>
        </w:tc>
        <w:tc>
          <w:tcPr>
            <w:tcW w:w="1094" w:type="dxa"/>
          </w:tcPr>
          <w:p w14:paraId="74082621" w14:textId="77777777"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p>
        </w:tc>
        <w:tc>
          <w:tcPr>
            <w:tcW w:w="1094" w:type="dxa"/>
          </w:tcPr>
          <w:p w14:paraId="77ABB7CC" w14:textId="77777777"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p>
        </w:tc>
      </w:tr>
      <w:tr w:rsidR="00A62D52" w:rsidRPr="004523AB" w14:paraId="771DD2D0" w14:textId="77777777" w:rsidTr="00A62D52">
        <w:tc>
          <w:tcPr>
            <w:tcW w:w="3489" w:type="dxa"/>
          </w:tcPr>
          <w:p w14:paraId="33562C8A" w14:textId="54B265B2"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lastRenderedPageBreak/>
              <w:t>It was easy for our practice to receive the grant funds.</w:t>
            </w:r>
          </w:p>
        </w:tc>
        <w:tc>
          <w:tcPr>
            <w:tcW w:w="1781" w:type="dxa"/>
          </w:tcPr>
          <w:p w14:paraId="0BF7779D" w14:textId="77777777"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Strongly disagree</w:t>
            </w:r>
          </w:p>
        </w:tc>
        <w:tc>
          <w:tcPr>
            <w:tcW w:w="1094" w:type="dxa"/>
          </w:tcPr>
          <w:p w14:paraId="2FB46E78" w14:textId="6B75EC65"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17 (1.0 per cent)</w:t>
            </w:r>
          </w:p>
        </w:tc>
        <w:tc>
          <w:tcPr>
            <w:tcW w:w="1094" w:type="dxa"/>
          </w:tcPr>
          <w:p w14:paraId="37FEC06B" w14:textId="6143EC36"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10 (0.7 per cent)</w:t>
            </w:r>
          </w:p>
        </w:tc>
        <w:tc>
          <w:tcPr>
            <w:tcW w:w="1094" w:type="dxa"/>
          </w:tcPr>
          <w:p w14:paraId="4328A602" w14:textId="109909B8"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8 (0.8 per cent)</w:t>
            </w:r>
          </w:p>
        </w:tc>
        <w:tc>
          <w:tcPr>
            <w:tcW w:w="1094" w:type="dxa"/>
          </w:tcPr>
          <w:p w14:paraId="09756C1A" w14:textId="579C6411"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 (0.7 per cent)</w:t>
            </w:r>
          </w:p>
        </w:tc>
        <w:tc>
          <w:tcPr>
            <w:tcW w:w="1094" w:type="dxa"/>
          </w:tcPr>
          <w:p w14:paraId="78C0DEF5" w14:textId="727FA9F3"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 (0.6 per cent)</w:t>
            </w:r>
          </w:p>
        </w:tc>
        <w:tc>
          <w:tcPr>
            <w:tcW w:w="1094" w:type="dxa"/>
          </w:tcPr>
          <w:p w14:paraId="1A366214" w14:textId="77777777"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p>
        </w:tc>
        <w:tc>
          <w:tcPr>
            <w:tcW w:w="1094" w:type="dxa"/>
          </w:tcPr>
          <w:p w14:paraId="335D6385" w14:textId="77777777"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p>
        </w:tc>
        <w:tc>
          <w:tcPr>
            <w:tcW w:w="1094" w:type="dxa"/>
          </w:tcPr>
          <w:p w14:paraId="20BFBF62" w14:textId="77777777"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p>
        </w:tc>
      </w:tr>
      <w:tr w:rsidR="00A62D52" w:rsidRPr="004523AB" w14:paraId="6D25302D" w14:textId="77777777" w:rsidTr="00A62D52">
        <w:tc>
          <w:tcPr>
            <w:tcW w:w="3489" w:type="dxa"/>
          </w:tcPr>
          <w:p w14:paraId="4E2D68F4" w14:textId="5AF43627"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It was easy for our practice to receive the grant funds.</w:t>
            </w:r>
          </w:p>
        </w:tc>
        <w:tc>
          <w:tcPr>
            <w:tcW w:w="1781" w:type="dxa"/>
          </w:tcPr>
          <w:p w14:paraId="3F2027FD" w14:textId="77777777"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No response</w:t>
            </w:r>
          </w:p>
        </w:tc>
        <w:tc>
          <w:tcPr>
            <w:tcW w:w="1094" w:type="dxa"/>
          </w:tcPr>
          <w:p w14:paraId="4FAAFC76" w14:textId="7964B213"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72 (4.2 per cent)</w:t>
            </w:r>
          </w:p>
        </w:tc>
        <w:tc>
          <w:tcPr>
            <w:tcW w:w="1094" w:type="dxa"/>
          </w:tcPr>
          <w:p w14:paraId="6DA415C1" w14:textId="65E0B016"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51 (3.5 per cent)</w:t>
            </w:r>
          </w:p>
        </w:tc>
        <w:tc>
          <w:tcPr>
            <w:tcW w:w="1094" w:type="dxa"/>
          </w:tcPr>
          <w:p w14:paraId="4AE3739D" w14:textId="00772A08"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28 (2.9 per cent)</w:t>
            </w:r>
          </w:p>
        </w:tc>
        <w:tc>
          <w:tcPr>
            <w:tcW w:w="1094" w:type="dxa"/>
          </w:tcPr>
          <w:p w14:paraId="12D73A76" w14:textId="1E6770CA"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27 (4.7 per cent)</w:t>
            </w:r>
          </w:p>
        </w:tc>
        <w:tc>
          <w:tcPr>
            <w:tcW w:w="1094" w:type="dxa"/>
          </w:tcPr>
          <w:p w14:paraId="65EA6DF9" w14:textId="37499CB9"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14 (4.4 per cent)</w:t>
            </w:r>
          </w:p>
        </w:tc>
        <w:tc>
          <w:tcPr>
            <w:tcW w:w="1094" w:type="dxa"/>
          </w:tcPr>
          <w:p w14:paraId="6D89D0A1" w14:textId="37EC3DEF"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 (1.6 per cent)</w:t>
            </w:r>
          </w:p>
        </w:tc>
        <w:tc>
          <w:tcPr>
            <w:tcW w:w="1094" w:type="dxa"/>
          </w:tcPr>
          <w:p w14:paraId="5B15B543" w14:textId="6D06ADF1"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 (1.0 per cent)</w:t>
            </w:r>
          </w:p>
        </w:tc>
        <w:tc>
          <w:tcPr>
            <w:tcW w:w="1094" w:type="dxa"/>
          </w:tcPr>
          <w:p w14:paraId="6AD7A015" w14:textId="3E304282" w:rsidR="00A62D52" w:rsidRPr="004523AB" w:rsidRDefault="00A62D52" w:rsidP="007B023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 (7.2 per cent)</w:t>
            </w:r>
          </w:p>
        </w:tc>
      </w:tr>
    </w:tbl>
    <w:p w14:paraId="1D66A543" w14:textId="0D28EACE" w:rsidR="008A4D90" w:rsidRPr="004523AB" w:rsidRDefault="008A4D90">
      <w:pPr>
        <w:spacing w:after="165" w:line="259" w:lineRule="auto"/>
        <w:rPr>
          <w:lang w:eastAsia="en-AU"/>
        </w:rPr>
      </w:pPr>
      <w:r w:rsidRPr="004523AB">
        <w:rPr>
          <w:lang w:eastAsia="en-AU"/>
        </w:rPr>
        <w:br w:type="page"/>
      </w:r>
    </w:p>
    <w:p w14:paraId="1AFAD36F" w14:textId="3918A820" w:rsidR="000121B4" w:rsidRPr="004523AB" w:rsidRDefault="008A4D90" w:rsidP="00023419">
      <w:pPr>
        <w:pStyle w:val="xAppendixLevel2"/>
      </w:pPr>
      <w:r w:rsidRPr="004523AB">
        <w:lastRenderedPageBreak/>
        <w:t>Survey results by remoteness (MMM)</w:t>
      </w:r>
    </w:p>
    <w:p w14:paraId="4BD3C84A" w14:textId="403C3325" w:rsidR="009A13CD" w:rsidRPr="004523AB" w:rsidRDefault="004F2657" w:rsidP="003F5741">
      <w:pPr>
        <w:rPr>
          <w:lang w:eastAsia="en-AU"/>
        </w:rPr>
      </w:pPr>
      <w:r w:rsidRPr="004523AB">
        <w:rPr>
          <w:lang w:eastAsia="en-AU"/>
        </w:rPr>
        <w:t>The evaluation agreed to maintain anonymity across PHNs. To maintain this, survey results are presented by Modified Monash Model (MMM)</w:t>
      </w:r>
      <w:r w:rsidR="00624501" w:rsidRPr="004523AB">
        <w:t xml:space="preserve"> </w:t>
      </w:r>
      <w:r w:rsidR="00624501" w:rsidRPr="004523AB">
        <w:rPr>
          <w:rStyle w:val="FootnoteReference"/>
          <w:bCs/>
        </w:rPr>
        <w:footnoteReference w:id="27"/>
      </w:r>
      <w:r w:rsidRPr="004523AB">
        <w:rPr>
          <w:lang w:eastAsia="en-AU"/>
        </w:rPr>
        <w:t xml:space="preserve">  below.</w:t>
      </w:r>
    </w:p>
    <w:p w14:paraId="62DBA7D7" w14:textId="0CA42DCB" w:rsidR="00F1604C" w:rsidRPr="004523AB" w:rsidRDefault="00F1604C" w:rsidP="00F1604C">
      <w:pPr>
        <w:pStyle w:val="Caption"/>
      </w:pPr>
      <w:r w:rsidRPr="004523AB">
        <w:t xml:space="preserve">Table </w:t>
      </w:r>
      <w:r w:rsidRPr="004523AB">
        <w:fldChar w:fldCharType="begin"/>
      </w:r>
      <w:r w:rsidRPr="004523AB">
        <w:instrText xml:space="preserve"> SEQ Table \* ARABIC </w:instrText>
      </w:r>
      <w:r w:rsidRPr="004523AB">
        <w:fldChar w:fldCharType="separate"/>
      </w:r>
      <w:r w:rsidR="00B96E50">
        <w:rPr>
          <w:noProof/>
        </w:rPr>
        <w:t>32</w:t>
      </w:r>
      <w:r w:rsidRPr="004523AB">
        <w:fldChar w:fldCharType="end"/>
      </w:r>
      <w:r w:rsidRPr="004523AB">
        <w:t xml:space="preserve"> | Positive responses to each of the streams</w:t>
      </w:r>
    </w:p>
    <w:tbl>
      <w:tblPr>
        <w:tblStyle w:val="AccessibleNousTable"/>
        <w:tblW w:w="0" w:type="auto"/>
        <w:tblLayout w:type="fixed"/>
        <w:tblLook w:val="0420" w:firstRow="1" w:lastRow="0" w:firstColumn="0" w:lastColumn="0" w:noHBand="0" w:noVBand="1"/>
      </w:tblPr>
      <w:tblGrid>
        <w:gridCol w:w="2281"/>
        <w:gridCol w:w="3811"/>
        <w:gridCol w:w="3811"/>
        <w:gridCol w:w="3813"/>
      </w:tblGrid>
      <w:tr w:rsidR="00CD40D0" w:rsidRPr="004523AB" w14:paraId="19B3E9FF" w14:textId="77777777" w:rsidTr="006E25AA">
        <w:trPr>
          <w:cnfStyle w:val="100000000000" w:firstRow="1" w:lastRow="0" w:firstColumn="0" w:lastColumn="0" w:oddVBand="0" w:evenVBand="0" w:oddHBand="0" w:evenHBand="0" w:firstRowFirstColumn="0" w:firstRowLastColumn="0" w:lastRowFirstColumn="0" w:lastRowLastColumn="0"/>
          <w:trHeight w:val="141"/>
          <w:tblHeader/>
        </w:trPr>
        <w:tc>
          <w:tcPr>
            <w:tcW w:w="2281" w:type="dxa"/>
          </w:tcPr>
          <w:p w14:paraId="64FEAEE7" w14:textId="6E47CA9C" w:rsidR="00CD40D0" w:rsidRPr="004523AB" w:rsidRDefault="00CD40D0">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 w:val="23"/>
                <w:szCs w:val="23"/>
              </w:rPr>
            </w:pPr>
            <w:r w:rsidRPr="004523AB">
              <w:rPr>
                <w:rFonts w:asciiTheme="majorHAnsi" w:hAnsiTheme="majorHAnsi" w:cstheme="majorHAnsi"/>
                <w:sz w:val="23"/>
                <w:szCs w:val="23"/>
              </w:rPr>
              <w:t>MMM group</w:t>
            </w:r>
          </w:p>
        </w:tc>
        <w:tc>
          <w:tcPr>
            <w:tcW w:w="3811" w:type="dxa"/>
          </w:tcPr>
          <w:p w14:paraId="1988C8F5" w14:textId="255C27C7" w:rsidR="00CD40D0" w:rsidRPr="004523AB" w:rsidRDefault="00CD40D0" w:rsidP="00AF4781">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 w:val="23"/>
                <w:szCs w:val="23"/>
              </w:rPr>
            </w:pPr>
            <w:r w:rsidRPr="004523AB">
              <w:rPr>
                <w:rFonts w:asciiTheme="majorHAnsi" w:eastAsia="Segoe UI Semibold" w:hAnsiTheme="majorHAnsi" w:cstheme="majorHAnsi"/>
                <w:sz w:val="23"/>
                <w:szCs w:val="23"/>
              </w:rPr>
              <w:t>Stream 1 – Enhancing digital health capability</w:t>
            </w:r>
          </w:p>
        </w:tc>
        <w:tc>
          <w:tcPr>
            <w:tcW w:w="3811" w:type="dxa"/>
          </w:tcPr>
          <w:p w14:paraId="2F922E34" w14:textId="459C2C65" w:rsidR="00CD40D0" w:rsidRPr="004523AB" w:rsidRDefault="00CD40D0" w:rsidP="00AF4781">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 w:val="23"/>
                <w:szCs w:val="23"/>
              </w:rPr>
            </w:pPr>
            <w:r w:rsidRPr="004523AB">
              <w:rPr>
                <w:rFonts w:asciiTheme="majorHAnsi" w:eastAsia="Segoe UI Semibold" w:hAnsiTheme="majorHAnsi" w:cstheme="majorHAnsi"/>
                <w:sz w:val="23"/>
                <w:szCs w:val="23"/>
              </w:rPr>
              <w:t>Stream 2 – Upgrading infection prevention and control arrangements</w:t>
            </w:r>
          </w:p>
        </w:tc>
        <w:tc>
          <w:tcPr>
            <w:tcW w:w="3813" w:type="dxa"/>
          </w:tcPr>
          <w:p w14:paraId="16035A82" w14:textId="647223B4" w:rsidR="00CD40D0" w:rsidRPr="004523AB" w:rsidRDefault="00CD40D0" w:rsidP="00AF4781">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 w:val="23"/>
                <w:szCs w:val="23"/>
              </w:rPr>
            </w:pPr>
            <w:r w:rsidRPr="004523AB">
              <w:rPr>
                <w:rFonts w:asciiTheme="majorHAnsi" w:eastAsia="Segoe UI Semibold" w:hAnsiTheme="majorHAnsi" w:cstheme="majorHAnsi"/>
                <w:sz w:val="23"/>
                <w:szCs w:val="23"/>
              </w:rPr>
              <w:t>Stream 3 – Maintaining or achieving accreditation</w:t>
            </w:r>
          </w:p>
        </w:tc>
      </w:tr>
      <w:tr w:rsidR="00CD40D0" w:rsidRPr="004523AB" w14:paraId="41C7940B" w14:textId="77777777" w:rsidTr="00CD40D0">
        <w:trPr>
          <w:trHeight w:val="238"/>
        </w:trPr>
        <w:tc>
          <w:tcPr>
            <w:tcW w:w="2281" w:type="dxa"/>
          </w:tcPr>
          <w:p w14:paraId="26249B07" w14:textId="77777777" w:rsidR="00CD40D0" w:rsidRPr="004523AB" w:rsidRDefault="00CD40D0">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MMM 1 &amp; 2</w:t>
            </w:r>
          </w:p>
        </w:tc>
        <w:tc>
          <w:tcPr>
            <w:tcW w:w="3811" w:type="dxa"/>
          </w:tcPr>
          <w:p w14:paraId="655C28A4" w14:textId="1D5C14A7" w:rsidR="00CD40D0" w:rsidRPr="004523AB" w:rsidRDefault="00CD40D0" w:rsidP="00AF4781">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3,861 (91.7</w:t>
            </w:r>
            <w:r w:rsidR="00AF4DDE" w:rsidRPr="004523AB">
              <w:rPr>
                <w:rFonts w:eastAsia="Segoe UI" w:cs="Segoe UI"/>
                <w:color w:val="000000"/>
                <w:szCs w:val="21"/>
              </w:rPr>
              <w:t xml:space="preserve"> per cent)</w:t>
            </w:r>
          </w:p>
        </w:tc>
        <w:tc>
          <w:tcPr>
            <w:tcW w:w="3811" w:type="dxa"/>
          </w:tcPr>
          <w:p w14:paraId="1B901843" w14:textId="6BE784A6" w:rsidR="00CD40D0" w:rsidRPr="004523AB" w:rsidRDefault="00CD40D0" w:rsidP="00AF4781">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2,763 (65.6</w:t>
            </w:r>
            <w:r w:rsidR="00AF4DDE" w:rsidRPr="004523AB">
              <w:rPr>
                <w:rFonts w:eastAsia="Segoe UI" w:cs="Segoe UI"/>
                <w:color w:val="000000"/>
                <w:szCs w:val="21"/>
              </w:rPr>
              <w:t xml:space="preserve"> per cent)</w:t>
            </w:r>
          </w:p>
        </w:tc>
        <w:tc>
          <w:tcPr>
            <w:tcW w:w="3813" w:type="dxa"/>
          </w:tcPr>
          <w:p w14:paraId="01FF7F69" w14:textId="4EB03241" w:rsidR="00CD40D0" w:rsidRPr="004523AB" w:rsidRDefault="00CD40D0" w:rsidP="00AF4781">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3,204 (76.1</w:t>
            </w:r>
            <w:r w:rsidR="00AF4DDE" w:rsidRPr="004523AB">
              <w:rPr>
                <w:rFonts w:eastAsia="Segoe UI" w:cs="Segoe UI"/>
                <w:color w:val="000000"/>
                <w:szCs w:val="21"/>
              </w:rPr>
              <w:t xml:space="preserve"> per cent)</w:t>
            </w:r>
          </w:p>
        </w:tc>
      </w:tr>
      <w:tr w:rsidR="00CD40D0" w:rsidRPr="004523AB" w14:paraId="2DF8A72E" w14:textId="77777777" w:rsidTr="00CD40D0">
        <w:trPr>
          <w:trHeight w:val="238"/>
        </w:trPr>
        <w:tc>
          <w:tcPr>
            <w:tcW w:w="2281" w:type="dxa"/>
          </w:tcPr>
          <w:p w14:paraId="20874CFB" w14:textId="77777777" w:rsidR="00CD40D0" w:rsidRPr="004523AB" w:rsidRDefault="00CD40D0">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MMM 3,4 &amp; 5</w:t>
            </w:r>
          </w:p>
        </w:tc>
        <w:tc>
          <w:tcPr>
            <w:tcW w:w="3811" w:type="dxa"/>
          </w:tcPr>
          <w:p w14:paraId="01A101A5" w14:textId="2F8EE445" w:rsidR="00CD40D0" w:rsidRPr="004523AB" w:rsidRDefault="00CD40D0" w:rsidP="00AF4781">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836 (87.3</w:t>
            </w:r>
            <w:r w:rsidR="00AF4DDE" w:rsidRPr="004523AB">
              <w:rPr>
                <w:rFonts w:eastAsia="Segoe UI" w:cs="Segoe UI"/>
                <w:color w:val="000000"/>
                <w:szCs w:val="21"/>
              </w:rPr>
              <w:t xml:space="preserve"> per cent)</w:t>
            </w:r>
          </w:p>
        </w:tc>
        <w:tc>
          <w:tcPr>
            <w:tcW w:w="3811" w:type="dxa"/>
          </w:tcPr>
          <w:p w14:paraId="18C8BCDC" w14:textId="12094099" w:rsidR="00CD40D0" w:rsidRPr="004523AB" w:rsidRDefault="00CD40D0" w:rsidP="00AF4781">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490 (51.1</w:t>
            </w:r>
            <w:r w:rsidR="00AF4DDE" w:rsidRPr="004523AB">
              <w:rPr>
                <w:rFonts w:eastAsia="Segoe UI" w:cs="Segoe UI"/>
                <w:color w:val="000000"/>
                <w:szCs w:val="21"/>
              </w:rPr>
              <w:t xml:space="preserve"> per cent)</w:t>
            </w:r>
          </w:p>
        </w:tc>
        <w:tc>
          <w:tcPr>
            <w:tcW w:w="3813" w:type="dxa"/>
          </w:tcPr>
          <w:p w14:paraId="6801F3F3" w14:textId="012ECCF3" w:rsidR="00CD40D0" w:rsidRPr="004523AB" w:rsidRDefault="00CD40D0" w:rsidP="00AF4781">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659 (68.8</w:t>
            </w:r>
            <w:r w:rsidR="00AF4DDE" w:rsidRPr="004523AB">
              <w:rPr>
                <w:rFonts w:eastAsia="Segoe UI" w:cs="Segoe UI"/>
                <w:color w:val="000000"/>
                <w:szCs w:val="21"/>
              </w:rPr>
              <w:t xml:space="preserve"> per cent)</w:t>
            </w:r>
          </w:p>
        </w:tc>
      </w:tr>
      <w:tr w:rsidR="00CD40D0" w:rsidRPr="004523AB" w14:paraId="054B3C8F" w14:textId="77777777" w:rsidTr="00CD40D0">
        <w:trPr>
          <w:trHeight w:val="257"/>
        </w:trPr>
        <w:tc>
          <w:tcPr>
            <w:tcW w:w="2281" w:type="dxa"/>
          </w:tcPr>
          <w:p w14:paraId="37324F1A" w14:textId="77777777" w:rsidR="00CD40D0" w:rsidRPr="004523AB" w:rsidRDefault="00CD40D0">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MMM 6 &amp; 7</w:t>
            </w:r>
          </w:p>
        </w:tc>
        <w:tc>
          <w:tcPr>
            <w:tcW w:w="3811" w:type="dxa"/>
          </w:tcPr>
          <w:p w14:paraId="2011658C" w14:textId="62C5FAB2" w:rsidR="00CD40D0" w:rsidRPr="004523AB" w:rsidRDefault="00CD40D0" w:rsidP="00AF4781">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145 (92.9</w:t>
            </w:r>
            <w:r w:rsidR="00AF4DDE" w:rsidRPr="004523AB">
              <w:rPr>
                <w:rFonts w:eastAsia="Segoe UI" w:cs="Segoe UI"/>
                <w:color w:val="000000"/>
                <w:szCs w:val="21"/>
              </w:rPr>
              <w:t xml:space="preserve"> per cent)</w:t>
            </w:r>
          </w:p>
        </w:tc>
        <w:tc>
          <w:tcPr>
            <w:tcW w:w="3811" w:type="dxa"/>
          </w:tcPr>
          <w:p w14:paraId="5671822D" w14:textId="411EAB5C" w:rsidR="00CD40D0" w:rsidRPr="004523AB" w:rsidRDefault="00CD40D0" w:rsidP="00AF4781">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72 (46.2</w:t>
            </w:r>
            <w:r w:rsidR="00AF4DDE" w:rsidRPr="004523AB">
              <w:rPr>
                <w:rFonts w:eastAsia="Segoe UI" w:cs="Segoe UI"/>
                <w:color w:val="000000"/>
                <w:szCs w:val="21"/>
              </w:rPr>
              <w:t xml:space="preserve"> per cent)</w:t>
            </w:r>
          </w:p>
        </w:tc>
        <w:tc>
          <w:tcPr>
            <w:tcW w:w="3813" w:type="dxa"/>
          </w:tcPr>
          <w:p w14:paraId="5B9BDBC7" w14:textId="1A76DB61" w:rsidR="00CD40D0" w:rsidRPr="004523AB" w:rsidRDefault="00CD40D0" w:rsidP="00AF4781">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85 (54.5</w:t>
            </w:r>
            <w:r w:rsidR="00AF4DDE" w:rsidRPr="004523AB">
              <w:rPr>
                <w:rFonts w:eastAsia="Segoe UI" w:cs="Segoe UI"/>
                <w:color w:val="000000"/>
                <w:szCs w:val="21"/>
              </w:rPr>
              <w:t xml:space="preserve"> per cent)</w:t>
            </w:r>
          </w:p>
        </w:tc>
      </w:tr>
      <w:tr w:rsidR="00CD40D0" w:rsidRPr="004523AB" w14:paraId="3621B117" w14:textId="77777777" w:rsidTr="00CD40D0">
        <w:trPr>
          <w:trHeight w:val="238"/>
        </w:trPr>
        <w:tc>
          <w:tcPr>
            <w:tcW w:w="2281" w:type="dxa"/>
          </w:tcPr>
          <w:p w14:paraId="325EF691" w14:textId="77777777" w:rsidR="00CD40D0" w:rsidRPr="004523AB" w:rsidRDefault="00CD40D0">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b/>
                <w:color w:val="000000"/>
                <w:szCs w:val="21"/>
              </w:rPr>
              <w:t>Total</w:t>
            </w:r>
          </w:p>
        </w:tc>
        <w:tc>
          <w:tcPr>
            <w:tcW w:w="3811" w:type="dxa"/>
          </w:tcPr>
          <w:p w14:paraId="0025F07F" w14:textId="07CFC3C4" w:rsidR="00CD40D0" w:rsidRPr="004523AB" w:rsidRDefault="00CD40D0" w:rsidP="00AF4781">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b/>
                <w:color w:val="000000"/>
                <w:szCs w:val="21"/>
              </w:rPr>
              <w:t>4,842 (90.9</w:t>
            </w:r>
            <w:r w:rsidR="00AF4DDE" w:rsidRPr="004523AB">
              <w:rPr>
                <w:szCs w:val="21"/>
              </w:rPr>
              <w:t xml:space="preserve"> </w:t>
            </w:r>
            <w:r w:rsidR="00AF4DDE" w:rsidRPr="004523AB">
              <w:rPr>
                <w:rFonts w:eastAsia="Segoe UI" w:cs="Segoe UI"/>
                <w:b/>
                <w:color w:val="000000"/>
                <w:szCs w:val="21"/>
              </w:rPr>
              <w:t>per cent)</w:t>
            </w:r>
          </w:p>
        </w:tc>
        <w:tc>
          <w:tcPr>
            <w:tcW w:w="3811" w:type="dxa"/>
          </w:tcPr>
          <w:p w14:paraId="4A87E71E" w14:textId="247111B1" w:rsidR="00CD40D0" w:rsidRPr="004523AB" w:rsidRDefault="00CD40D0" w:rsidP="00AF4781">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b/>
                <w:color w:val="000000"/>
                <w:szCs w:val="21"/>
              </w:rPr>
              <w:t>3,325 (62.4</w:t>
            </w:r>
            <w:r w:rsidR="00AF4DDE" w:rsidRPr="004523AB">
              <w:rPr>
                <w:szCs w:val="21"/>
              </w:rPr>
              <w:t xml:space="preserve"> </w:t>
            </w:r>
            <w:r w:rsidR="00AF4DDE" w:rsidRPr="004523AB">
              <w:rPr>
                <w:rFonts w:eastAsia="Segoe UI" w:cs="Segoe UI"/>
                <w:b/>
                <w:color w:val="000000"/>
                <w:szCs w:val="21"/>
              </w:rPr>
              <w:t>per cent)</w:t>
            </w:r>
          </w:p>
        </w:tc>
        <w:tc>
          <w:tcPr>
            <w:tcW w:w="3813" w:type="dxa"/>
          </w:tcPr>
          <w:p w14:paraId="5ABA3F77" w14:textId="6FE75644" w:rsidR="00CD40D0" w:rsidRPr="004523AB" w:rsidRDefault="00CD40D0" w:rsidP="00AF4781">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b/>
                <w:color w:val="000000"/>
                <w:szCs w:val="21"/>
              </w:rPr>
              <w:t>3,948 (74.1</w:t>
            </w:r>
            <w:r w:rsidR="00AF4DDE" w:rsidRPr="004523AB">
              <w:rPr>
                <w:szCs w:val="21"/>
              </w:rPr>
              <w:t xml:space="preserve"> </w:t>
            </w:r>
            <w:r w:rsidR="00AF4DDE" w:rsidRPr="004523AB">
              <w:rPr>
                <w:rFonts w:eastAsia="Segoe UI" w:cs="Segoe UI"/>
                <w:b/>
                <w:color w:val="000000"/>
                <w:szCs w:val="21"/>
              </w:rPr>
              <w:t>per cent)</w:t>
            </w:r>
          </w:p>
        </w:tc>
      </w:tr>
    </w:tbl>
    <w:p w14:paraId="5D1F3C31" w14:textId="77777777" w:rsidR="00AF4DDE" w:rsidRPr="004523AB" w:rsidRDefault="00AF4DDE">
      <w:pPr>
        <w:spacing w:after="165" w:line="259" w:lineRule="auto"/>
        <w:rPr>
          <w:lang w:eastAsia="en-AU"/>
        </w:rPr>
      </w:pPr>
      <w:r w:rsidRPr="004523AB">
        <w:rPr>
          <w:lang w:eastAsia="en-AU"/>
        </w:rPr>
        <w:br w:type="page"/>
      </w:r>
    </w:p>
    <w:p w14:paraId="1D8A6240" w14:textId="7D95BC5C" w:rsidR="00F76878" w:rsidRPr="004523AB" w:rsidRDefault="00F76878" w:rsidP="00F76878">
      <w:pPr>
        <w:pStyle w:val="Caption"/>
      </w:pPr>
      <w:r w:rsidRPr="004523AB">
        <w:lastRenderedPageBreak/>
        <w:t xml:space="preserve">Table </w:t>
      </w:r>
      <w:r w:rsidRPr="004523AB">
        <w:fldChar w:fldCharType="begin"/>
      </w:r>
      <w:r w:rsidRPr="004523AB">
        <w:instrText xml:space="preserve"> SEQ Table \* ARABIC </w:instrText>
      </w:r>
      <w:r w:rsidRPr="004523AB">
        <w:fldChar w:fldCharType="separate"/>
      </w:r>
      <w:r w:rsidR="00B96E50">
        <w:rPr>
          <w:noProof/>
        </w:rPr>
        <w:t>33</w:t>
      </w:r>
      <w:r w:rsidRPr="004523AB">
        <w:fldChar w:fldCharType="end"/>
      </w:r>
      <w:r w:rsidRPr="004523AB">
        <w:t xml:space="preserve"> | Stream 1: What did you spend grant funds on?</w:t>
      </w:r>
      <w:r w:rsidR="00BF0C47" w:rsidRPr="004523AB">
        <w:t xml:space="preserve"> (by MMM group)</w:t>
      </w:r>
    </w:p>
    <w:tbl>
      <w:tblPr>
        <w:tblStyle w:val="AccessibleNousTable"/>
        <w:tblW w:w="0" w:type="auto"/>
        <w:tblLayout w:type="fixed"/>
        <w:tblLook w:val="0420" w:firstRow="1" w:lastRow="0" w:firstColumn="0" w:lastColumn="0" w:noHBand="0" w:noVBand="1"/>
      </w:tblPr>
      <w:tblGrid>
        <w:gridCol w:w="5443"/>
        <w:gridCol w:w="2721"/>
        <w:gridCol w:w="2721"/>
        <w:gridCol w:w="2723"/>
      </w:tblGrid>
      <w:tr w:rsidR="00853195" w:rsidRPr="004523AB" w14:paraId="5F9CC09A" w14:textId="77777777" w:rsidTr="006E25AA">
        <w:trPr>
          <w:cnfStyle w:val="100000000000" w:firstRow="1" w:lastRow="0" w:firstColumn="0" w:lastColumn="0" w:oddVBand="0" w:evenVBand="0" w:oddHBand="0" w:evenHBand="0" w:firstRowFirstColumn="0" w:firstRowLastColumn="0" w:lastRowFirstColumn="0" w:lastRowLastColumn="0"/>
          <w:trHeight w:val="140"/>
          <w:tblHeader/>
        </w:trPr>
        <w:tc>
          <w:tcPr>
            <w:tcW w:w="5443" w:type="dxa"/>
          </w:tcPr>
          <w:p w14:paraId="3AB477C0" w14:textId="5D1ED5A4" w:rsidR="00853195" w:rsidRPr="004523AB" w:rsidRDefault="00853195" w:rsidP="00853195">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 w:val="23"/>
                <w:szCs w:val="23"/>
              </w:rPr>
            </w:pPr>
            <w:r w:rsidRPr="004523AB">
              <w:rPr>
                <w:rFonts w:asciiTheme="majorHAnsi" w:hAnsiTheme="majorHAnsi" w:cstheme="majorHAnsi"/>
                <w:sz w:val="23"/>
                <w:szCs w:val="23"/>
              </w:rPr>
              <w:t>Response</w:t>
            </w:r>
          </w:p>
        </w:tc>
        <w:tc>
          <w:tcPr>
            <w:tcW w:w="2721" w:type="dxa"/>
          </w:tcPr>
          <w:p w14:paraId="3862CBD4" w14:textId="77777777" w:rsidR="00853195" w:rsidRPr="004523AB" w:rsidRDefault="00853195" w:rsidP="00853195">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 w:val="23"/>
                <w:szCs w:val="23"/>
              </w:rPr>
            </w:pPr>
            <w:r w:rsidRPr="004523AB">
              <w:rPr>
                <w:rFonts w:asciiTheme="majorHAnsi" w:eastAsia="Segoe UI Semibold" w:hAnsiTheme="majorHAnsi" w:cstheme="majorHAnsi"/>
                <w:sz w:val="23"/>
                <w:szCs w:val="23"/>
              </w:rPr>
              <w:t>MMM 1 &amp; 2</w:t>
            </w:r>
          </w:p>
        </w:tc>
        <w:tc>
          <w:tcPr>
            <w:tcW w:w="2721" w:type="dxa"/>
          </w:tcPr>
          <w:p w14:paraId="41325E01" w14:textId="77777777" w:rsidR="00853195" w:rsidRPr="004523AB" w:rsidRDefault="00853195" w:rsidP="00853195">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 w:val="23"/>
                <w:szCs w:val="23"/>
              </w:rPr>
            </w:pPr>
            <w:r w:rsidRPr="004523AB">
              <w:rPr>
                <w:rFonts w:asciiTheme="majorHAnsi" w:eastAsia="Segoe UI Semibold" w:hAnsiTheme="majorHAnsi" w:cstheme="majorHAnsi"/>
                <w:sz w:val="23"/>
                <w:szCs w:val="23"/>
              </w:rPr>
              <w:t>MMM 3,4 &amp; 5</w:t>
            </w:r>
          </w:p>
        </w:tc>
        <w:tc>
          <w:tcPr>
            <w:tcW w:w="2723" w:type="dxa"/>
          </w:tcPr>
          <w:p w14:paraId="444D2BF9" w14:textId="77777777" w:rsidR="00853195" w:rsidRPr="004523AB" w:rsidRDefault="00853195" w:rsidP="00853195">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 w:val="23"/>
                <w:szCs w:val="23"/>
              </w:rPr>
            </w:pPr>
            <w:r w:rsidRPr="004523AB">
              <w:rPr>
                <w:rFonts w:asciiTheme="majorHAnsi" w:eastAsia="Segoe UI Semibold" w:hAnsiTheme="majorHAnsi" w:cstheme="majorHAnsi"/>
                <w:sz w:val="23"/>
                <w:szCs w:val="23"/>
              </w:rPr>
              <w:t>MMM 6 &amp; 7</w:t>
            </w:r>
          </w:p>
        </w:tc>
      </w:tr>
      <w:tr w:rsidR="00853195" w:rsidRPr="004523AB" w14:paraId="54A7CF37" w14:textId="77777777" w:rsidTr="00853195">
        <w:trPr>
          <w:trHeight w:val="237"/>
        </w:trPr>
        <w:tc>
          <w:tcPr>
            <w:tcW w:w="5443" w:type="dxa"/>
          </w:tcPr>
          <w:p w14:paraId="1B95C949" w14:textId="77777777" w:rsidR="00853195" w:rsidRPr="004523AB" w:rsidRDefault="00853195" w:rsidP="0085319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General Practice IT systems</w:t>
            </w:r>
          </w:p>
        </w:tc>
        <w:tc>
          <w:tcPr>
            <w:tcW w:w="2721" w:type="dxa"/>
          </w:tcPr>
          <w:p w14:paraId="5C57BA3A" w14:textId="1034BBCD" w:rsidR="00853195" w:rsidRPr="004523AB" w:rsidRDefault="00853195" w:rsidP="0085319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3,376 (87.4 per cent)</w:t>
            </w:r>
          </w:p>
        </w:tc>
        <w:tc>
          <w:tcPr>
            <w:tcW w:w="2721" w:type="dxa"/>
          </w:tcPr>
          <w:p w14:paraId="2C903291" w14:textId="1D135DD2" w:rsidR="00853195" w:rsidRPr="004523AB" w:rsidRDefault="00853195" w:rsidP="0085319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720 (86.1 per cent)</w:t>
            </w:r>
          </w:p>
        </w:tc>
        <w:tc>
          <w:tcPr>
            <w:tcW w:w="2723" w:type="dxa"/>
          </w:tcPr>
          <w:p w14:paraId="32F0A2F1" w14:textId="48AFB7FB" w:rsidR="00853195" w:rsidRPr="004523AB" w:rsidRDefault="00853195" w:rsidP="0085319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80 (55.2 per cent)</w:t>
            </w:r>
          </w:p>
        </w:tc>
      </w:tr>
      <w:tr w:rsidR="00853195" w:rsidRPr="004523AB" w14:paraId="7CE0AA71" w14:textId="77777777" w:rsidTr="00853195">
        <w:trPr>
          <w:trHeight w:val="255"/>
        </w:trPr>
        <w:tc>
          <w:tcPr>
            <w:tcW w:w="5443" w:type="dxa"/>
          </w:tcPr>
          <w:p w14:paraId="44C55EC0" w14:textId="77777777" w:rsidR="00853195" w:rsidRPr="004523AB" w:rsidRDefault="00853195" w:rsidP="0085319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Internet connectivity improvements</w:t>
            </w:r>
          </w:p>
        </w:tc>
        <w:tc>
          <w:tcPr>
            <w:tcW w:w="2721" w:type="dxa"/>
          </w:tcPr>
          <w:p w14:paraId="62D0C98F" w14:textId="696B45D3" w:rsidR="00853195" w:rsidRPr="004523AB" w:rsidRDefault="00853195" w:rsidP="0085319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1,872 (48.5 per cent)</w:t>
            </w:r>
          </w:p>
        </w:tc>
        <w:tc>
          <w:tcPr>
            <w:tcW w:w="2721" w:type="dxa"/>
          </w:tcPr>
          <w:p w14:paraId="7ED15CAB" w14:textId="003AEC0B" w:rsidR="00853195" w:rsidRPr="004523AB" w:rsidRDefault="00853195" w:rsidP="0085319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368 (44.0 per cent)</w:t>
            </w:r>
          </w:p>
        </w:tc>
        <w:tc>
          <w:tcPr>
            <w:tcW w:w="2723" w:type="dxa"/>
          </w:tcPr>
          <w:p w14:paraId="40DD17A3" w14:textId="590FFA8F" w:rsidR="00853195" w:rsidRPr="004523AB" w:rsidRDefault="00853195" w:rsidP="0085319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52 (35.9 per cent)</w:t>
            </w:r>
          </w:p>
        </w:tc>
      </w:tr>
      <w:tr w:rsidR="00853195" w:rsidRPr="004523AB" w14:paraId="572E29F7" w14:textId="77777777" w:rsidTr="00853195">
        <w:trPr>
          <w:trHeight w:val="237"/>
        </w:trPr>
        <w:tc>
          <w:tcPr>
            <w:tcW w:w="5443" w:type="dxa"/>
          </w:tcPr>
          <w:p w14:paraId="51F7B646" w14:textId="77777777" w:rsidR="00853195" w:rsidRPr="004523AB" w:rsidRDefault="00853195" w:rsidP="0085319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Upskilling staff in digital capability</w:t>
            </w:r>
          </w:p>
        </w:tc>
        <w:tc>
          <w:tcPr>
            <w:tcW w:w="2721" w:type="dxa"/>
          </w:tcPr>
          <w:p w14:paraId="271873C6" w14:textId="4BBE2ADA" w:rsidR="00853195" w:rsidRPr="004523AB" w:rsidRDefault="00853195" w:rsidP="0085319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1,353 (35.0 per cent)</w:t>
            </w:r>
          </w:p>
        </w:tc>
        <w:tc>
          <w:tcPr>
            <w:tcW w:w="2721" w:type="dxa"/>
          </w:tcPr>
          <w:p w14:paraId="701E2C52" w14:textId="08B0B318" w:rsidR="00853195" w:rsidRPr="004523AB" w:rsidRDefault="00853195" w:rsidP="0085319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242 (28.9 per cent)</w:t>
            </w:r>
          </w:p>
        </w:tc>
        <w:tc>
          <w:tcPr>
            <w:tcW w:w="2723" w:type="dxa"/>
          </w:tcPr>
          <w:p w14:paraId="50974B3C" w14:textId="36E33B05" w:rsidR="00853195" w:rsidRPr="004523AB" w:rsidRDefault="00853195" w:rsidP="0085319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70 (48.3 per cent)</w:t>
            </w:r>
          </w:p>
        </w:tc>
      </w:tr>
      <w:tr w:rsidR="00853195" w:rsidRPr="004523AB" w14:paraId="28800BC5" w14:textId="77777777" w:rsidTr="00853195">
        <w:trPr>
          <w:trHeight w:val="255"/>
        </w:trPr>
        <w:tc>
          <w:tcPr>
            <w:tcW w:w="5443" w:type="dxa"/>
          </w:tcPr>
          <w:p w14:paraId="210CDB86" w14:textId="77777777" w:rsidR="00853195" w:rsidRPr="004523AB" w:rsidRDefault="00853195" w:rsidP="0085319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Purchase of equipment</w:t>
            </w:r>
          </w:p>
        </w:tc>
        <w:tc>
          <w:tcPr>
            <w:tcW w:w="2721" w:type="dxa"/>
          </w:tcPr>
          <w:p w14:paraId="054E61A6" w14:textId="1A8B8F24" w:rsidR="00853195" w:rsidRPr="004523AB" w:rsidRDefault="00853195" w:rsidP="0085319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3,202 (82.9 per cent)</w:t>
            </w:r>
          </w:p>
        </w:tc>
        <w:tc>
          <w:tcPr>
            <w:tcW w:w="2721" w:type="dxa"/>
          </w:tcPr>
          <w:p w14:paraId="2B04D919" w14:textId="7D58F055" w:rsidR="00853195" w:rsidRPr="004523AB" w:rsidRDefault="00853195" w:rsidP="0085319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664 (79.4 per cent)</w:t>
            </w:r>
          </w:p>
        </w:tc>
        <w:tc>
          <w:tcPr>
            <w:tcW w:w="2723" w:type="dxa"/>
          </w:tcPr>
          <w:p w14:paraId="74096BF8" w14:textId="5F4DA56C" w:rsidR="00853195" w:rsidRPr="004523AB" w:rsidRDefault="00853195" w:rsidP="0085319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124 (85.5 per cent)</w:t>
            </w:r>
          </w:p>
        </w:tc>
      </w:tr>
      <w:tr w:rsidR="00853195" w:rsidRPr="004523AB" w14:paraId="558F0047" w14:textId="77777777" w:rsidTr="00853195">
        <w:trPr>
          <w:trHeight w:val="237"/>
        </w:trPr>
        <w:tc>
          <w:tcPr>
            <w:tcW w:w="5443" w:type="dxa"/>
          </w:tcPr>
          <w:p w14:paraId="53505603" w14:textId="77777777" w:rsidR="00853195" w:rsidRPr="004523AB" w:rsidRDefault="00853195" w:rsidP="0085319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Upgrade of equipment</w:t>
            </w:r>
          </w:p>
        </w:tc>
        <w:tc>
          <w:tcPr>
            <w:tcW w:w="2721" w:type="dxa"/>
          </w:tcPr>
          <w:p w14:paraId="4C009BF0" w14:textId="291FA629" w:rsidR="00853195" w:rsidRPr="004523AB" w:rsidRDefault="00853195" w:rsidP="0085319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2,987 (77.4 per cent)</w:t>
            </w:r>
          </w:p>
        </w:tc>
        <w:tc>
          <w:tcPr>
            <w:tcW w:w="2721" w:type="dxa"/>
          </w:tcPr>
          <w:p w14:paraId="4E6B20C6" w14:textId="726D721E" w:rsidR="00853195" w:rsidRPr="004523AB" w:rsidRDefault="00853195" w:rsidP="0085319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575 (68.8 per cent)</w:t>
            </w:r>
          </w:p>
        </w:tc>
        <w:tc>
          <w:tcPr>
            <w:tcW w:w="2723" w:type="dxa"/>
          </w:tcPr>
          <w:p w14:paraId="7ED53CEB" w14:textId="7CAE26F3" w:rsidR="00853195" w:rsidRPr="004523AB" w:rsidRDefault="00853195" w:rsidP="0085319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99 (68.3 per cent)</w:t>
            </w:r>
          </w:p>
        </w:tc>
      </w:tr>
      <w:tr w:rsidR="00853195" w:rsidRPr="004523AB" w14:paraId="6F598F94" w14:textId="77777777" w:rsidTr="00853195">
        <w:trPr>
          <w:trHeight w:val="237"/>
        </w:trPr>
        <w:tc>
          <w:tcPr>
            <w:tcW w:w="5443" w:type="dxa"/>
          </w:tcPr>
          <w:p w14:paraId="6A0A75D6" w14:textId="77777777" w:rsidR="00853195" w:rsidRPr="004523AB" w:rsidRDefault="00853195" w:rsidP="0085319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Training courses</w:t>
            </w:r>
          </w:p>
        </w:tc>
        <w:tc>
          <w:tcPr>
            <w:tcW w:w="2721" w:type="dxa"/>
          </w:tcPr>
          <w:p w14:paraId="2E578EFA" w14:textId="5167E3C7" w:rsidR="00853195" w:rsidRPr="004523AB" w:rsidRDefault="00853195" w:rsidP="0085319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790 (20.5 per cent)</w:t>
            </w:r>
          </w:p>
        </w:tc>
        <w:tc>
          <w:tcPr>
            <w:tcW w:w="2721" w:type="dxa"/>
          </w:tcPr>
          <w:p w14:paraId="7014C670" w14:textId="327D61C5" w:rsidR="00853195" w:rsidRPr="004523AB" w:rsidRDefault="00853195" w:rsidP="0085319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162 (19.4 per cent)</w:t>
            </w:r>
          </w:p>
        </w:tc>
        <w:tc>
          <w:tcPr>
            <w:tcW w:w="2723" w:type="dxa"/>
          </w:tcPr>
          <w:p w14:paraId="680DAAAD" w14:textId="596FB1EA" w:rsidR="00853195" w:rsidRPr="004523AB" w:rsidRDefault="00853195" w:rsidP="0085319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20 (13.8 per cent)</w:t>
            </w:r>
          </w:p>
        </w:tc>
      </w:tr>
      <w:tr w:rsidR="00853195" w:rsidRPr="004523AB" w14:paraId="56996BBD" w14:textId="77777777" w:rsidTr="00853195">
        <w:trPr>
          <w:trHeight w:val="492"/>
        </w:trPr>
        <w:tc>
          <w:tcPr>
            <w:tcW w:w="5443" w:type="dxa"/>
          </w:tcPr>
          <w:p w14:paraId="59E60DB6" w14:textId="77777777" w:rsidR="00853195" w:rsidRPr="004523AB" w:rsidRDefault="00853195" w:rsidP="0085319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Professional assessment of existing digital / cyber security capability and arrangements</w:t>
            </w:r>
          </w:p>
        </w:tc>
        <w:tc>
          <w:tcPr>
            <w:tcW w:w="2721" w:type="dxa"/>
          </w:tcPr>
          <w:p w14:paraId="69A8DD26" w14:textId="217F9171" w:rsidR="00853195" w:rsidRPr="004523AB" w:rsidRDefault="00853195" w:rsidP="0085319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1,205 (31.2 per cent)</w:t>
            </w:r>
          </w:p>
        </w:tc>
        <w:tc>
          <w:tcPr>
            <w:tcW w:w="2721" w:type="dxa"/>
          </w:tcPr>
          <w:p w14:paraId="0E38F970" w14:textId="685A9C99" w:rsidR="00853195" w:rsidRPr="004523AB" w:rsidRDefault="00853195" w:rsidP="0085319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218 (26.1 per cent)</w:t>
            </w:r>
          </w:p>
        </w:tc>
        <w:tc>
          <w:tcPr>
            <w:tcW w:w="2723" w:type="dxa"/>
          </w:tcPr>
          <w:p w14:paraId="3AC5F01D" w14:textId="075C8AEB" w:rsidR="00853195" w:rsidRPr="004523AB" w:rsidRDefault="00853195" w:rsidP="0085319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40 (27.6 per cent)</w:t>
            </w:r>
          </w:p>
        </w:tc>
      </w:tr>
      <w:tr w:rsidR="00853195" w:rsidRPr="004523AB" w14:paraId="44C9332F" w14:textId="77777777" w:rsidTr="00853195">
        <w:trPr>
          <w:trHeight w:val="474"/>
        </w:trPr>
        <w:tc>
          <w:tcPr>
            <w:tcW w:w="5443" w:type="dxa"/>
          </w:tcPr>
          <w:p w14:paraId="56C71E61" w14:textId="77777777" w:rsidR="00853195" w:rsidRPr="004523AB" w:rsidRDefault="00853195" w:rsidP="0085319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Other digital health capability enhancement (please provide a brief description)</w:t>
            </w:r>
          </w:p>
        </w:tc>
        <w:tc>
          <w:tcPr>
            <w:tcW w:w="2721" w:type="dxa"/>
          </w:tcPr>
          <w:p w14:paraId="2FE55E95" w14:textId="7700A421" w:rsidR="00853195" w:rsidRPr="004523AB" w:rsidRDefault="00853195" w:rsidP="0085319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812 (21.0 per cent)</w:t>
            </w:r>
          </w:p>
        </w:tc>
        <w:tc>
          <w:tcPr>
            <w:tcW w:w="2721" w:type="dxa"/>
          </w:tcPr>
          <w:p w14:paraId="0D6A50D3" w14:textId="406589A0" w:rsidR="00853195" w:rsidRPr="004523AB" w:rsidRDefault="00853195" w:rsidP="0085319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141 (16.9 per cent)</w:t>
            </w:r>
          </w:p>
        </w:tc>
        <w:tc>
          <w:tcPr>
            <w:tcW w:w="2723" w:type="dxa"/>
          </w:tcPr>
          <w:p w14:paraId="42AB6833" w14:textId="7CB2A17E" w:rsidR="00853195" w:rsidRPr="004523AB" w:rsidRDefault="00853195" w:rsidP="00853195">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19 (13.1 per cent)</w:t>
            </w:r>
          </w:p>
        </w:tc>
      </w:tr>
    </w:tbl>
    <w:p w14:paraId="5976A9A1" w14:textId="77777777" w:rsidR="00F76878" w:rsidRPr="004523AB" w:rsidRDefault="00F76878">
      <w:pPr>
        <w:spacing w:after="165" w:line="259" w:lineRule="auto"/>
        <w:rPr>
          <w:lang w:eastAsia="en-AU"/>
        </w:rPr>
      </w:pPr>
      <w:r w:rsidRPr="004523AB">
        <w:rPr>
          <w:lang w:eastAsia="en-AU"/>
        </w:rPr>
        <w:br w:type="page"/>
      </w:r>
    </w:p>
    <w:p w14:paraId="7D0E218C" w14:textId="02C811AB" w:rsidR="00E74AC4" w:rsidRPr="004523AB" w:rsidRDefault="00E74AC4" w:rsidP="006F6411">
      <w:r w:rsidRPr="004523AB">
        <w:lastRenderedPageBreak/>
        <w:t xml:space="preserve">Table </w:t>
      </w:r>
      <w:r w:rsidRPr="004523AB">
        <w:fldChar w:fldCharType="begin"/>
      </w:r>
      <w:r w:rsidRPr="004523AB">
        <w:instrText xml:space="preserve"> SEQ Table \* ARABIC </w:instrText>
      </w:r>
      <w:r w:rsidRPr="004523AB">
        <w:fldChar w:fldCharType="separate"/>
      </w:r>
      <w:r w:rsidR="00B96E50">
        <w:rPr>
          <w:noProof/>
        </w:rPr>
        <w:t>34</w:t>
      </w:r>
      <w:r w:rsidRPr="004523AB">
        <w:fldChar w:fldCharType="end"/>
      </w:r>
      <w:r w:rsidRPr="004523AB">
        <w:t xml:space="preserve"> | Stream 1</w:t>
      </w:r>
      <w:proofErr w:type="gramStart"/>
      <w:r w:rsidRPr="004523AB">
        <w:t xml:space="preserve">: </w:t>
      </w:r>
      <w:r w:rsidR="00596005" w:rsidRPr="004523AB">
        <w:t>:</w:t>
      </w:r>
      <w:proofErr w:type="gramEnd"/>
      <w:r w:rsidR="00596005" w:rsidRPr="004523AB">
        <w:t xml:space="preserve"> To what extent has the grant assisted improvements in digital health capabilities for your practice</w:t>
      </w:r>
      <w:r w:rsidR="0081234C" w:rsidRPr="004523AB">
        <w:t>?</w:t>
      </w:r>
      <w:r w:rsidR="00BF0C47" w:rsidRPr="004523AB">
        <w:t xml:space="preserve"> (by MMM group)</w:t>
      </w:r>
    </w:p>
    <w:tbl>
      <w:tblPr>
        <w:tblStyle w:val="AccessibleNousTable"/>
        <w:tblW w:w="14064" w:type="dxa"/>
        <w:tblLayout w:type="fixed"/>
        <w:tblLook w:val="0420" w:firstRow="1" w:lastRow="0" w:firstColumn="0" w:lastColumn="0" w:noHBand="0" w:noVBand="1"/>
      </w:tblPr>
      <w:tblGrid>
        <w:gridCol w:w="2344"/>
        <w:gridCol w:w="4688"/>
        <w:gridCol w:w="2344"/>
        <w:gridCol w:w="2344"/>
        <w:gridCol w:w="2344"/>
      </w:tblGrid>
      <w:tr w:rsidR="00E2562C" w:rsidRPr="004523AB" w14:paraId="0B752089" w14:textId="77777777" w:rsidTr="005A26FB">
        <w:trPr>
          <w:cnfStyle w:val="100000000000" w:firstRow="1" w:lastRow="0" w:firstColumn="0" w:lastColumn="0" w:oddVBand="0" w:evenVBand="0" w:oddHBand="0" w:evenHBand="0" w:firstRowFirstColumn="0" w:firstRowLastColumn="0" w:lastRowFirstColumn="0" w:lastRowLastColumn="0"/>
          <w:cantSplit/>
          <w:trHeight w:val="19"/>
          <w:tblHeader/>
        </w:trPr>
        <w:tc>
          <w:tcPr>
            <w:tcW w:w="2344" w:type="dxa"/>
          </w:tcPr>
          <w:p w14:paraId="587E9E82" w14:textId="77777777"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 w:val="23"/>
                <w:szCs w:val="23"/>
              </w:rPr>
            </w:pPr>
            <w:r w:rsidRPr="004523AB">
              <w:rPr>
                <w:rFonts w:asciiTheme="majorHAnsi" w:eastAsia="Segoe UI Semibold" w:hAnsiTheme="majorHAnsi" w:cstheme="majorHAnsi"/>
                <w:sz w:val="23"/>
                <w:szCs w:val="23"/>
              </w:rPr>
              <w:t>Question</w:t>
            </w:r>
          </w:p>
        </w:tc>
        <w:tc>
          <w:tcPr>
            <w:tcW w:w="4688" w:type="dxa"/>
          </w:tcPr>
          <w:p w14:paraId="0C93D645" w14:textId="77777777"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 w:val="23"/>
                <w:szCs w:val="23"/>
              </w:rPr>
            </w:pPr>
            <w:r w:rsidRPr="004523AB">
              <w:rPr>
                <w:rFonts w:asciiTheme="majorHAnsi" w:eastAsia="Segoe UI Semibold" w:hAnsiTheme="majorHAnsi" w:cstheme="majorHAnsi"/>
                <w:sz w:val="23"/>
                <w:szCs w:val="23"/>
              </w:rPr>
              <w:t>Response</w:t>
            </w:r>
          </w:p>
        </w:tc>
        <w:tc>
          <w:tcPr>
            <w:tcW w:w="2344" w:type="dxa"/>
          </w:tcPr>
          <w:p w14:paraId="4E63E830" w14:textId="2916C951"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 w:val="23"/>
                <w:szCs w:val="23"/>
              </w:rPr>
            </w:pPr>
            <w:r w:rsidRPr="004523AB">
              <w:rPr>
                <w:rFonts w:asciiTheme="majorHAnsi" w:hAnsiTheme="majorHAnsi" w:cstheme="majorHAnsi"/>
                <w:sz w:val="23"/>
                <w:szCs w:val="23"/>
              </w:rPr>
              <w:t>MMM 1 &amp; 2</w:t>
            </w:r>
          </w:p>
        </w:tc>
        <w:tc>
          <w:tcPr>
            <w:tcW w:w="2344" w:type="dxa"/>
          </w:tcPr>
          <w:p w14:paraId="69CF5440" w14:textId="6A35E4F7"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 w:val="23"/>
                <w:szCs w:val="23"/>
              </w:rPr>
            </w:pPr>
            <w:r w:rsidRPr="004523AB">
              <w:rPr>
                <w:rFonts w:asciiTheme="majorHAnsi" w:hAnsiTheme="majorHAnsi" w:cstheme="majorHAnsi"/>
                <w:sz w:val="23"/>
                <w:szCs w:val="23"/>
              </w:rPr>
              <w:t>MMM 3,4 &amp; 5</w:t>
            </w:r>
          </w:p>
        </w:tc>
        <w:tc>
          <w:tcPr>
            <w:tcW w:w="2344" w:type="dxa"/>
          </w:tcPr>
          <w:p w14:paraId="1E8FBDE8" w14:textId="309DCEF1"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 w:val="23"/>
                <w:szCs w:val="23"/>
              </w:rPr>
            </w:pPr>
            <w:r w:rsidRPr="004523AB">
              <w:rPr>
                <w:rFonts w:asciiTheme="majorHAnsi" w:hAnsiTheme="majorHAnsi" w:cstheme="majorHAnsi"/>
                <w:sz w:val="23"/>
                <w:szCs w:val="23"/>
              </w:rPr>
              <w:t>MMM 6 &amp; 7</w:t>
            </w:r>
          </w:p>
        </w:tc>
      </w:tr>
      <w:tr w:rsidR="00E2562C" w:rsidRPr="004523AB" w14:paraId="2246220E" w14:textId="77777777" w:rsidTr="00E2562C">
        <w:trPr>
          <w:trHeight w:val="19"/>
        </w:trPr>
        <w:tc>
          <w:tcPr>
            <w:tcW w:w="2344" w:type="dxa"/>
          </w:tcPr>
          <w:p w14:paraId="0178B48E" w14:textId="77777777"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Video telehealth</w:t>
            </w:r>
          </w:p>
        </w:tc>
        <w:tc>
          <w:tcPr>
            <w:tcW w:w="4688" w:type="dxa"/>
          </w:tcPr>
          <w:p w14:paraId="0EB35D0B" w14:textId="77777777"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Did not use grant for this purpose</w:t>
            </w:r>
          </w:p>
        </w:tc>
        <w:tc>
          <w:tcPr>
            <w:tcW w:w="2344" w:type="dxa"/>
          </w:tcPr>
          <w:p w14:paraId="12051DFB" w14:textId="20676577"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1,224 (31.7</w:t>
            </w:r>
            <w:r w:rsidRPr="004523AB">
              <w:rPr>
                <w:rFonts w:eastAsia="Segoe UI" w:cs="Segoe UI"/>
                <w:color w:val="000000"/>
                <w:szCs w:val="21"/>
              </w:rPr>
              <w:t xml:space="preserve"> per cent)</w:t>
            </w:r>
          </w:p>
        </w:tc>
        <w:tc>
          <w:tcPr>
            <w:tcW w:w="2344" w:type="dxa"/>
          </w:tcPr>
          <w:p w14:paraId="695BE0E3" w14:textId="4A3496E4"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246 (29.4</w:t>
            </w:r>
            <w:r w:rsidRPr="004523AB">
              <w:rPr>
                <w:rFonts w:eastAsia="Segoe UI" w:cs="Segoe UI"/>
                <w:color w:val="000000"/>
                <w:szCs w:val="21"/>
              </w:rPr>
              <w:t xml:space="preserve"> per cent)</w:t>
            </w:r>
          </w:p>
        </w:tc>
        <w:tc>
          <w:tcPr>
            <w:tcW w:w="2344" w:type="dxa"/>
          </w:tcPr>
          <w:p w14:paraId="04CF5D97" w14:textId="0083AB20"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18 (12.4</w:t>
            </w:r>
            <w:r w:rsidRPr="004523AB">
              <w:rPr>
                <w:rFonts w:eastAsia="Segoe UI" w:cs="Segoe UI"/>
                <w:color w:val="000000"/>
                <w:szCs w:val="21"/>
              </w:rPr>
              <w:t xml:space="preserve"> per cent)</w:t>
            </w:r>
          </w:p>
        </w:tc>
      </w:tr>
      <w:tr w:rsidR="00E2562C" w:rsidRPr="004523AB" w14:paraId="3FC53F47" w14:textId="77777777" w:rsidTr="00E2562C">
        <w:trPr>
          <w:trHeight w:val="19"/>
        </w:trPr>
        <w:tc>
          <w:tcPr>
            <w:tcW w:w="2344" w:type="dxa"/>
          </w:tcPr>
          <w:p w14:paraId="77952F66" w14:textId="36C9E5EC"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Video telehealth</w:t>
            </w:r>
          </w:p>
        </w:tc>
        <w:tc>
          <w:tcPr>
            <w:tcW w:w="4688" w:type="dxa"/>
          </w:tcPr>
          <w:p w14:paraId="314864BA" w14:textId="77777777"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No change</w:t>
            </w:r>
          </w:p>
        </w:tc>
        <w:tc>
          <w:tcPr>
            <w:tcW w:w="2344" w:type="dxa"/>
          </w:tcPr>
          <w:p w14:paraId="414CF309" w14:textId="58F2CD2C"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480 (12.4</w:t>
            </w:r>
            <w:r w:rsidRPr="004523AB">
              <w:rPr>
                <w:rFonts w:eastAsia="Segoe UI" w:cs="Segoe UI"/>
                <w:color w:val="000000"/>
                <w:szCs w:val="21"/>
              </w:rPr>
              <w:t xml:space="preserve"> per cent)</w:t>
            </w:r>
          </w:p>
        </w:tc>
        <w:tc>
          <w:tcPr>
            <w:tcW w:w="2344" w:type="dxa"/>
          </w:tcPr>
          <w:p w14:paraId="40147457" w14:textId="5F13C08F"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94 (11.2</w:t>
            </w:r>
            <w:r w:rsidRPr="004523AB">
              <w:rPr>
                <w:rFonts w:eastAsia="Segoe UI" w:cs="Segoe UI"/>
                <w:color w:val="000000"/>
                <w:szCs w:val="21"/>
              </w:rPr>
              <w:t xml:space="preserve"> per cent)</w:t>
            </w:r>
          </w:p>
        </w:tc>
        <w:tc>
          <w:tcPr>
            <w:tcW w:w="2344" w:type="dxa"/>
          </w:tcPr>
          <w:p w14:paraId="6BBFFFCD" w14:textId="01F532A0"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9 (6.2</w:t>
            </w:r>
            <w:r w:rsidRPr="004523AB">
              <w:rPr>
                <w:rFonts w:eastAsia="Segoe UI" w:cs="Segoe UI"/>
                <w:color w:val="000000"/>
                <w:szCs w:val="21"/>
              </w:rPr>
              <w:t xml:space="preserve"> per cent)</w:t>
            </w:r>
          </w:p>
        </w:tc>
      </w:tr>
      <w:tr w:rsidR="00E2562C" w:rsidRPr="004523AB" w14:paraId="05BE119B" w14:textId="77777777" w:rsidTr="00E2562C">
        <w:trPr>
          <w:trHeight w:val="19"/>
        </w:trPr>
        <w:tc>
          <w:tcPr>
            <w:tcW w:w="2344" w:type="dxa"/>
          </w:tcPr>
          <w:p w14:paraId="0D195E8A" w14:textId="7A8662E0"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Video telehealth</w:t>
            </w:r>
          </w:p>
        </w:tc>
        <w:tc>
          <w:tcPr>
            <w:tcW w:w="4688" w:type="dxa"/>
          </w:tcPr>
          <w:p w14:paraId="214C7C26" w14:textId="77777777"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Minor improvement</w:t>
            </w:r>
          </w:p>
        </w:tc>
        <w:tc>
          <w:tcPr>
            <w:tcW w:w="2344" w:type="dxa"/>
          </w:tcPr>
          <w:p w14:paraId="0E437122" w14:textId="6993CF84"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444 (11.5</w:t>
            </w:r>
            <w:r w:rsidRPr="004523AB">
              <w:rPr>
                <w:rFonts w:eastAsia="Segoe UI" w:cs="Segoe UI"/>
                <w:color w:val="000000"/>
                <w:szCs w:val="21"/>
              </w:rPr>
              <w:t xml:space="preserve"> per cent)</w:t>
            </w:r>
          </w:p>
        </w:tc>
        <w:tc>
          <w:tcPr>
            <w:tcW w:w="2344" w:type="dxa"/>
          </w:tcPr>
          <w:p w14:paraId="4C57E916" w14:textId="05352084"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110 (13.2</w:t>
            </w:r>
            <w:r w:rsidRPr="004523AB">
              <w:rPr>
                <w:rFonts w:eastAsia="Segoe UI" w:cs="Segoe UI"/>
                <w:color w:val="000000"/>
                <w:szCs w:val="21"/>
              </w:rPr>
              <w:t xml:space="preserve"> per cent)</w:t>
            </w:r>
          </w:p>
        </w:tc>
        <w:tc>
          <w:tcPr>
            <w:tcW w:w="2344" w:type="dxa"/>
          </w:tcPr>
          <w:p w14:paraId="6395D29F" w14:textId="0B152BD1"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24 (16.6</w:t>
            </w:r>
            <w:r w:rsidRPr="004523AB">
              <w:rPr>
                <w:rFonts w:eastAsia="Segoe UI" w:cs="Segoe UI"/>
                <w:color w:val="000000"/>
                <w:szCs w:val="21"/>
              </w:rPr>
              <w:t xml:space="preserve"> per cent)</w:t>
            </w:r>
          </w:p>
        </w:tc>
      </w:tr>
      <w:tr w:rsidR="00E2562C" w:rsidRPr="004523AB" w14:paraId="44AFCBF5" w14:textId="77777777" w:rsidTr="00E2562C">
        <w:trPr>
          <w:trHeight w:val="19"/>
        </w:trPr>
        <w:tc>
          <w:tcPr>
            <w:tcW w:w="2344" w:type="dxa"/>
          </w:tcPr>
          <w:p w14:paraId="67B613BD" w14:textId="108C2AE8"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Video telehealth</w:t>
            </w:r>
          </w:p>
        </w:tc>
        <w:tc>
          <w:tcPr>
            <w:tcW w:w="4688" w:type="dxa"/>
          </w:tcPr>
          <w:p w14:paraId="4F202ED9" w14:textId="77777777"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Moderate improvement</w:t>
            </w:r>
          </w:p>
        </w:tc>
        <w:tc>
          <w:tcPr>
            <w:tcW w:w="2344" w:type="dxa"/>
          </w:tcPr>
          <w:p w14:paraId="20B217F8" w14:textId="659D84F3"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636 (16.5</w:t>
            </w:r>
            <w:r w:rsidRPr="004523AB">
              <w:rPr>
                <w:rFonts w:eastAsia="Segoe UI" w:cs="Segoe UI"/>
                <w:color w:val="000000"/>
                <w:szCs w:val="21"/>
              </w:rPr>
              <w:t xml:space="preserve"> per cent)</w:t>
            </w:r>
          </w:p>
        </w:tc>
        <w:tc>
          <w:tcPr>
            <w:tcW w:w="2344" w:type="dxa"/>
          </w:tcPr>
          <w:p w14:paraId="6B4E5677" w14:textId="160CF809"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156 (18.7</w:t>
            </w:r>
            <w:r w:rsidRPr="004523AB">
              <w:rPr>
                <w:rFonts w:eastAsia="Segoe UI" w:cs="Segoe UI"/>
                <w:color w:val="000000"/>
                <w:szCs w:val="21"/>
              </w:rPr>
              <w:t xml:space="preserve"> per cent)</w:t>
            </w:r>
          </w:p>
        </w:tc>
        <w:tc>
          <w:tcPr>
            <w:tcW w:w="2344" w:type="dxa"/>
          </w:tcPr>
          <w:p w14:paraId="3757F71C" w14:textId="0F7DA118"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22 (15.2</w:t>
            </w:r>
            <w:r w:rsidRPr="004523AB">
              <w:rPr>
                <w:rFonts w:eastAsia="Segoe UI" w:cs="Segoe UI"/>
                <w:color w:val="000000"/>
                <w:szCs w:val="21"/>
              </w:rPr>
              <w:t xml:space="preserve"> per cent)</w:t>
            </w:r>
          </w:p>
        </w:tc>
      </w:tr>
      <w:tr w:rsidR="00E2562C" w:rsidRPr="004523AB" w14:paraId="3A0A8E05" w14:textId="77777777" w:rsidTr="00E2562C">
        <w:trPr>
          <w:trHeight w:val="19"/>
        </w:trPr>
        <w:tc>
          <w:tcPr>
            <w:tcW w:w="2344" w:type="dxa"/>
          </w:tcPr>
          <w:p w14:paraId="2730473A" w14:textId="6C56BFC0"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Video telehealth</w:t>
            </w:r>
          </w:p>
        </w:tc>
        <w:tc>
          <w:tcPr>
            <w:tcW w:w="4688" w:type="dxa"/>
          </w:tcPr>
          <w:p w14:paraId="02295204" w14:textId="77777777"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Significant improvement</w:t>
            </w:r>
          </w:p>
        </w:tc>
        <w:tc>
          <w:tcPr>
            <w:tcW w:w="2344" w:type="dxa"/>
          </w:tcPr>
          <w:p w14:paraId="063C240C" w14:textId="0CB4A1C2"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997 (25.8</w:t>
            </w:r>
            <w:r w:rsidRPr="004523AB">
              <w:rPr>
                <w:rFonts w:eastAsia="Segoe UI" w:cs="Segoe UI"/>
                <w:color w:val="000000"/>
                <w:szCs w:val="21"/>
              </w:rPr>
              <w:t xml:space="preserve"> per cent)</w:t>
            </w:r>
          </w:p>
        </w:tc>
        <w:tc>
          <w:tcPr>
            <w:tcW w:w="2344" w:type="dxa"/>
          </w:tcPr>
          <w:p w14:paraId="4C3F8381" w14:textId="428EDD9A"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210 (25.1</w:t>
            </w:r>
            <w:r w:rsidRPr="004523AB">
              <w:rPr>
                <w:rFonts w:eastAsia="Segoe UI" w:cs="Segoe UI"/>
                <w:color w:val="000000"/>
                <w:szCs w:val="21"/>
              </w:rPr>
              <w:t xml:space="preserve"> per cent)</w:t>
            </w:r>
          </w:p>
        </w:tc>
        <w:tc>
          <w:tcPr>
            <w:tcW w:w="2344" w:type="dxa"/>
          </w:tcPr>
          <w:p w14:paraId="3BA4BD9A" w14:textId="055481B5"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70 (48.3</w:t>
            </w:r>
            <w:r w:rsidRPr="004523AB">
              <w:rPr>
                <w:rFonts w:eastAsia="Segoe UI" w:cs="Segoe UI"/>
                <w:color w:val="000000"/>
                <w:szCs w:val="21"/>
              </w:rPr>
              <w:t xml:space="preserve"> per cent)</w:t>
            </w:r>
          </w:p>
        </w:tc>
      </w:tr>
      <w:tr w:rsidR="00E2562C" w:rsidRPr="004523AB" w14:paraId="3355FF8C" w14:textId="77777777" w:rsidTr="00E2562C">
        <w:trPr>
          <w:trHeight w:val="19"/>
        </w:trPr>
        <w:tc>
          <w:tcPr>
            <w:tcW w:w="2344" w:type="dxa"/>
          </w:tcPr>
          <w:p w14:paraId="41F71DD3" w14:textId="57070ECD"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Video telehealth</w:t>
            </w:r>
          </w:p>
        </w:tc>
        <w:tc>
          <w:tcPr>
            <w:tcW w:w="4688" w:type="dxa"/>
          </w:tcPr>
          <w:p w14:paraId="403FF07C" w14:textId="77777777"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No response</w:t>
            </w:r>
          </w:p>
        </w:tc>
        <w:tc>
          <w:tcPr>
            <w:tcW w:w="2344" w:type="dxa"/>
          </w:tcPr>
          <w:p w14:paraId="6FF98DCD" w14:textId="529D29F9"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80 (2.1</w:t>
            </w:r>
            <w:r w:rsidRPr="004523AB">
              <w:rPr>
                <w:rFonts w:eastAsia="Segoe UI" w:cs="Segoe UI"/>
                <w:color w:val="000000"/>
                <w:szCs w:val="21"/>
              </w:rPr>
              <w:t xml:space="preserve"> per cent)</w:t>
            </w:r>
          </w:p>
        </w:tc>
        <w:tc>
          <w:tcPr>
            <w:tcW w:w="2344" w:type="dxa"/>
          </w:tcPr>
          <w:p w14:paraId="53C1D99F" w14:textId="21354C16"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20 (2.4</w:t>
            </w:r>
            <w:r w:rsidRPr="004523AB">
              <w:rPr>
                <w:rFonts w:eastAsia="Segoe UI" w:cs="Segoe UI"/>
                <w:color w:val="000000"/>
                <w:szCs w:val="21"/>
              </w:rPr>
              <w:t xml:space="preserve"> per cent)</w:t>
            </w:r>
          </w:p>
        </w:tc>
        <w:tc>
          <w:tcPr>
            <w:tcW w:w="2344" w:type="dxa"/>
          </w:tcPr>
          <w:p w14:paraId="4EC6952F" w14:textId="08C329F6"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2 (1.4</w:t>
            </w:r>
            <w:r w:rsidRPr="004523AB">
              <w:rPr>
                <w:rFonts w:eastAsia="Segoe UI" w:cs="Segoe UI"/>
                <w:color w:val="000000"/>
                <w:szCs w:val="21"/>
              </w:rPr>
              <w:t xml:space="preserve"> per cent)</w:t>
            </w:r>
          </w:p>
        </w:tc>
      </w:tr>
      <w:tr w:rsidR="00E2562C" w:rsidRPr="004523AB" w14:paraId="40B5EEF8" w14:textId="77777777" w:rsidTr="00E2562C">
        <w:trPr>
          <w:trHeight w:val="19"/>
        </w:trPr>
        <w:tc>
          <w:tcPr>
            <w:tcW w:w="2344" w:type="dxa"/>
          </w:tcPr>
          <w:p w14:paraId="05395EAD" w14:textId="77777777"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Secure data storage</w:t>
            </w:r>
          </w:p>
        </w:tc>
        <w:tc>
          <w:tcPr>
            <w:tcW w:w="4688" w:type="dxa"/>
          </w:tcPr>
          <w:p w14:paraId="04F1CAE6" w14:textId="77777777"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Did not use grant for this purpose</w:t>
            </w:r>
          </w:p>
        </w:tc>
        <w:tc>
          <w:tcPr>
            <w:tcW w:w="2344" w:type="dxa"/>
          </w:tcPr>
          <w:p w14:paraId="4B0187EF" w14:textId="39066D3F"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449 (11.6</w:t>
            </w:r>
            <w:r w:rsidRPr="004523AB">
              <w:rPr>
                <w:rFonts w:eastAsia="Segoe UI" w:cs="Segoe UI"/>
                <w:color w:val="000000"/>
                <w:szCs w:val="21"/>
              </w:rPr>
              <w:t xml:space="preserve"> per cent)</w:t>
            </w:r>
          </w:p>
        </w:tc>
        <w:tc>
          <w:tcPr>
            <w:tcW w:w="2344" w:type="dxa"/>
          </w:tcPr>
          <w:p w14:paraId="14C8C660" w14:textId="5981BFD7"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145 (17.3</w:t>
            </w:r>
            <w:r w:rsidRPr="004523AB">
              <w:rPr>
                <w:rFonts w:eastAsia="Segoe UI" w:cs="Segoe UI"/>
                <w:color w:val="000000"/>
                <w:szCs w:val="21"/>
              </w:rPr>
              <w:t xml:space="preserve"> per cent)</w:t>
            </w:r>
          </w:p>
        </w:tc>
        <w:tc>
          <w:tcPr>
            <w:tcW w:w="2344" w:type="dxa"/>
          </w:tcPr>
          <w:p w14:paraId="756F0F96" w14:textId="32DCF509"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51 (35.2</w:t>
            </w:r>
            <w:r w:rsidRPr="004523AB">
              <w:rPr>
                <w:rFonts w:eastAsia="Segoe UI" w:cs="Segoe UI"/>
                <w:color w:val="000000"/>
                <w:szCs w:val="21"/>
              </w:rPr>
              <w:t xml:space="preserve"> per cent)</w:t>
            </w:r>
          </w:p>
        </w:tc>
      </w:tr>
      <w:tr w:rsidR="00E2562C" w:rsidRPr="004523AB" w14:paraId="5092A141" w14:textId="77777777" w:rsidTr="00E2562C">
        <w:trPr>
          <w:trHeight w:val="19"/>
        </w:trPr>
        <w:tc>
          <w:tcPr>
            <w:tcW w:w="2344" w:type="dxa"/>
          </w:tcPr>
          <w:p w14:paraId="1E9D7524" w14:textId="2FEF2562"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Secure data storage</w:t>
            </w:r>
          </w:p>
        </w:tc>
        <w:tc>
          <w:tcPr>
            <w:tcW w:w="4688" w:type="dxa"/>
          </w:tcPr>
          <w:p w14:paraId="19A39FC7" w14:textId="77777777"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No change</w:t>
            </w:r>
          </w:p>
        </w:tc>
        <w:tc>
          <w:tcPr>
            <w:tcW w:w="2344" w:type="dxa"/>
          </w:tcPr>
          <w:p w14:paraId="35354386" w14:textId="5277BFC3"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192 (5.0</w:t>
            </w:r>
            <w:r w:rsidRPr="004523AB">
              <w:rPr>
                <w:rFonts w:eastAsia="Segoe UI" w:cs="Segoe UI"/>
                <w:color w:val="000000"/>
                <w:szCs w:val="21"/>
              </w:rPr>
              <w:t xml:space="preserve"> per cent)</w:t>
            </w:r>
          </w:p>
        </w:tc>
        <w:tc>
          <w:tcPr>
            <w:tcW w:w="2344" w:type="dxa"/>
          </w:tcPr>
          <w:p w14:paraId="576C484A" w14:textId="253AD08C"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63 (7.5</w:t>
            </w:r>
            <w:r w:rsidRPr="004523AB">
              <w:rPr>
                <w:rFonts w:eastAsia="Segoe UI" w:cs="Segoe UI"/>
                <w:color w:val="000000"/>
                <w:szCs w:val="21"/>
              </w:rPr>
              <w:t xml:space="preserve"> per cent)</w:t>
            </w:r>
          </w:p>
        </w:tc>
        <w:tc>
          <w:tcPr>
            <w:tcW w:w="2344" w:type="dxa"/>
          </w:tcPr>
          <w:p w14:paraId="701E2C33" w14:textId="5CA84A80"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14 (9.7</w:t>
            </w:r>
            <w:r w:rsidRPr="004523AB">
              <w:rPr>
                <w:rFonts w:eastAsia="Segoe UI" w:cs="Segoe UI"/>
                <w:color w:val="000000"/>
                <w:szCs w:val="21"/>
              </w:rPr>
              <w:t xml:space="preserve"> per cent)</w:t>
            </w:r>
          </w:p>
        </w:tc>
      </w:tr>
      <w:tr w:rsidR="00E2562C" w:rsidRPr="004523AB" w14:paraId="0E87DB4C" w14:textId="77777777" w:rsidTr="00E2562C">
        <w:trPr>
          <w:trHeight w:val="19"/>
        </w:trPr>
        <w:tc>
          <w:tcPr>
            <w:tcW w:w="2344" w:type="dxa"/>
          </w:tcPr>
          <w:p w14:paraId="244116DA" w14:textId="0479EE9B"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Secure data storage</w:t>
            </w:r>
          </w:p>
        </w:tc>
        <w:tc>
          <w:tcPr>
            <w:tcW w:w="4688" w:type="dxa"/>
          </w:tcPr>
          <w:p w14:paraId="701673AC" w14:textId="77777777"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Minor improvement</w:t>
            </w:r>
          </w:p>
        </w:tc>
        <w:tc>
          <w:tcPr>
            <w:tcW w:w="2344" w:type="dxa"/>
          </w:tcPr>
          <w:p w14:paraId="28607C74" w14:textId="0A6F06BF"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286 (7.4</w:t>
            </w:r>
            <w:r w:rsidRPr="004523AB">
              <w:rPr>
                <w:rFonts w:eastAsia="Segoe UI" w:cs="Segoe UI"/>
                <w:color w:val="000000"/>
                <w:szCs w:val="21"/>
              </w:rPr>
              <w:t xml:space="preserve"> per cent)</w:t>
            </w:r>
          </w:p>
        </w:tc>
        <w:tc>
          <w:tcPr>
            <w:tcW w:w="2344" w:type="dxa"/>
          </w:tcPr>
          <w:p w14:paraId="1893486F" w14:textId="16DA1584"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58 (6.9</w:t>
            </w:r>
            <w:r w:rsidRPr="004523AB">
              <w:rPr>
                <w:rFonts w:eastAsia="Segoe UI" w:cs="Segoe UI"/>
                <w:color w:val="000000"/>
                <w:szCs w:val="21"/>
              </w:rPr>
              <w:t xml:space="preserve"> per cent)</w:t>
            </w:r>
          </w:p>
        </w:tc>
        <w:tc>
          <w:tcPr>
            <w:tcW w:w="2344" w:type="dxa"/>
          </w:tcPr>
          <w:p w14:paraId="654E7914" w14:textId="457C8F6D"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12 (8.3</w:t>
            </w:r>
            <w:r w:rsidRPr="004523AB">
              <w:rPr>
                <w:rFonts w:eastAsia="Segoe UI" w:cs="Segoe UI"/>
                <w:color w:val="000000"/>
                <w:szCs w:val="21"/>
              </w:rPr>
              <w:t xml:space="preserve"> per cent)</w:t>
            </w:r>
          </w:p>
        </w:tc>
      </w:tr>
      <w:tr w:rsidR="00E2562C" w:rsidRPr="004523AB" w14:paraId="24D73412" w14:textId="77777777" w:rsidTr="00E2562C">
        <w:trPr>
          <w:trHeight w:val="19"/>
        </w:trPr>
        <w:tc>
          <w:tcPr>
            <w:tcW w:w="2344" w:type="dxa"/>
          </w:tcPr>
          <w:p w14:paraId="0CF49CB9" w14:textId="54C36728"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Secure data storage</w:t>
            </w:r>
          </w:p>
        </w:tc>
        <w:tc>
          <w:tcPr>
            <w:tcW w:w="4688" w:type="dxa"/>
          </w:tcPr>
          <w:p w14:paraId="1F2D1BD5" w14:textId="77777777"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Moderate improvement</w:t>
            </w:r>
          </w:p>
        </w:tc>
        <w:tc>
          <w:tcPr>
            <w:tcW w:w="2344" w:type="dxa"/>
          </w:tcPr>
          <w:p w14:paraId="20917DD1" w14:textId="6390DD97"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786 (20.4</w:t>
            </w:r>
            <w:r w:rsidRPr="004523AB">
              <w:rPr>
                <w:rFonts w:eastAsia="Segoe UI" w:cs="Segoe UI"/>
                <w:color w:val="000000"/>
                <w:szCs w:val="21"/>
              </w:rPr>
              <w:t xml:space="preserve"> per cent)</w:t>
            </w:r>
          </w:p>
        </w:tc>
        <w:tc>
          <w:tcPr>
            <w:tcW w:w="2344" w:type="dxa"/>
          </w:tcPr>
          <w:p w14:paraId="089480B0" w14:textId="4A5A0112"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172 (20.6</w:t>
            </w:r>
            <w:r w:rsidRPr="004523AB">
              <w:rPr>
                <w:rFonts w:eastAsia="Segoe UI" w:cs="Segoe UI"/>
                <w:color w:val="000000"/>
                <w:szCs w:val="21"/>
              </w:rPr>
              <w:t xml:space="preserve"> per cent)</w:t>
            </w:r>
          </w:p>
        </w:tc>
        <w:tc>
          <w:tcPr>
            <w:tcW w:w="2344" w:type="dxa"/>
          </w:tcPr>
          <w:p w14:paraId="44199789" w14:textId="5890B8D2"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20 (13.8</w:t>
            </w:r>
            <w:r w:rsidRPr="004523AB">
              <w:rPr>
                <w:rFonts w:eastAsia="Segoe UI" w:cs="Segoe UI"/>
                <w:color w:val="000000"/>
                <w:szCs w:val="21"/>
              </w:rPr>
              <w:t xml:space="preserve"> per cent)</w:t>
            </w:r>
          </w:p>
        </w:tc>
      </w:tr>
      <w:tr w:rsidR="00E2562C" w:rsidRPr="004523AB" w14:paraId="27318914" w14:textId="77777777" w:rsidTr="00E2562C">
        <w:trPr>
          <w:trHeight w:val="19"/>
        </w:trPr>
        <w:tc>
          <w:tcPr>
            <w:tcW w:w="2344" w:type="dxa"/>
          </w:tcPr>
          <w:p w14:paraId="6EF54D16" w14:textId="675941DF"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Secure data storage</w:t>
            </w:r>
          </w:p>
        </w:tc>
        <w:tc>
          <w:tcPr>
            <w:tcW w:w="4688" w:type="dxa"/>
          </w:tcPr>
          <w:p w14:paraId="539B27D2" w14:textId="77777777"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Significant improvement</w:t>
            </w:r>
          </w:p>
        </w:tc>
        <w:tc>
          <w:tcPr>
            <w:tcW w:w="2344" w:type="dxa"/>
          </w:tcPr>
          <w:p w14:paraId="0253939C" w14:textId="6C6FF39E"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2,068 (53.6</w:t>
            </w:r>
            <w:r w:rsidRPr="004523AB">
              <w:rPr>
                <w:rFonts w:eastAsia="Segoe UI" w:cs="Segoe UI"/>
                <w:color w:val="000000"/>
                <w:szCs w:val="21"/>
              </w:rPr>
              <w:t xml:space="preserve"> per cent)</w:t>
            </w:r>
          </w:p>
        </w:tc>
        <w:tc>
          <w:tcPr>
            <w:tcW w:w="2344" w:type="dxa"/>
          </w:tcPr>
          <w:p w14:paraId="5B5285DC" w14:textId="59F766A2"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378 (45.2</w:t>
            </w:r>
            <w:r w:rsidRPr="004523AB">
              <w:rPr>
                <w:rFonts w:eastAsia="Segoe UI" w:cs="Segoe UI"/>
                <w:color w:val="000000"/>
                <w:szCs w:val="21"/>
              </w:rPr>
              <w:t xml:space="preserve"> per cent)</w:t>
            </w:r>
          </w:p>
        </w:tc>
        <w:tc>
          <w:tcPr>
            <w:tcW w:w="2344" w:type="dxa"/>
          </w:tcPr>
          <w:p w14:paraId="07E63FFD" w14:textId="0CADA9ED"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46 (31.7</w:t>
            </w:r>
            <w:r w:rsidRPr="004523AB">
              <w:rPr>
                <w:rFonts w:eastAsia="Segoe UI" w:cs="Segoe UI"/>
                <w:color w:val="000000"/>
                <w:szCs w:val="21"/>
              </w:rPr>
              <w:t xml:space="preserve"> per cent)</w:t>
            </w:r>
          </w:p>
        </w:tc>
      </w:tr>
      <w:tr w:rsidR="00E2562C" w:rsidRPr="004523AB" w14:paraId="14CF13D5" w14:textId="77777777" w:rsidTr="00E2562C">
        <w:trPr>
          <w:trHeight w:val="19"/>
        </w:trPr>
        <w:tc>
          <w:tcPr>
            <w:tcW w:w="2344" w:type="dxa"/>
          </w:tcPr>
          <w:p w14:paraId="326498A3" w14:textId="6640E7C5"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Secure data storage</w:t>
            </w:r>
          </w:p>
        </w:tc>
        <w:tc>
          <w:tcPr>
            <w:tcW w:w="4688" w:type="dxa"/>
          </w:tcPr>
          <w:p w14:paraId="58406CEC" w14:textId="77777777"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No response</w:t>
            </w:r>
          </w:p>
        </w:tc>
        <w:tc>
          <w:tcPr>
            <w:tcW w:w="2344" w:type="dxa"/>
          </w:tcPr>
          <w:p w14:paraId="3A9F6D0E" w14:textId="155BB452"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80 (2.1</w:t>
            </w:r>
            <w:r w:rsidRPr="004523AB">
              <w:rPr>
                <w:rFonts w:eastAsia="Segoe UI" w:cs="Segoe UI"/>
                <w:color w:val="000000"/>
                <w:szCs w:val="21"/>
              </w:rPr>
              <w:t xml:space="preserve"> per cent)</w:t>
            </w:r>
          </w:p>
        </w:tc>
        <w:tc>
          <w:tcPr>
            <w:tcW w:w="2344" w:type="dxa"/>
          </w:tcPr>
          <w:p w14:paraId="11278B54" w14:textId="71C8FA2A"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20 (2.4</w:t>
            </w:r>
            <w:r w:rsidRPr="004523AB">
              <w:rPr>
                <w:rFonts w:eastAsia="Segoe UI" w:cs="Segoe UI"/>
                <w:color w:val="000000"/>
                <w:szCs w:val="21"/>
              </w:rPr>
              <w:t xml:space="preserve"> per cent)</w:t>
            </w:r>
          </w:p>
        </w:tc>
        <w:tc>
          <w:tcPr>
            <w:tcW w:w="2344" w:type="dxa"/>
          </w:tcPr>
          <w:p w14:paraId="3518D5CE" w14:textId="5BC9EAF1"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2 (1.4</w:t>
            </w:r>
            <w:r w:rsidRPr="004523AB">
              <w:rPr>
                <w:rFonts w:eastAsia="Segoe UI" w:cs="Segoe UI"/>
                <w:color w:val="000000"/>
                <w:szCs w:val="21"/>
              </w:rPr>
              <w:t xml:space="preserve"> per cent)</w:t>
            </w:r>
          </w:p>
        </w:tc>
      </w:tr>
      <w:tr w:rsidR="00E2562C" w:rsidRPr="004523AB" w14:paraId="2EEA0664" w14:textId="77777777" w:rsidTr="00E2562C">
        <w:trPr>
          <w:trHeight w:val="19"/>
        </w:trPr>
        <w:tc>
          <w:tcPr>
            <w:tcW w:w="2344" w:type="dxa"/>
          </w:tcPr>
          <w:p w14:paraId="67389D9B" w14:textId="77777777"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Interoperable software</w:t>
            </w:r>
          </w:p>
        </w:tc>
        <w:tc>
          <w:tcPr>
            <w:tcW w:w="4688" w:type="dxa"/>
          </w:tcPr>
          <w:p w14:paraId="02032B3D" w14:textId="77777777"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Did not use grant for this purpose</w:t>
            </w:r>
          </w:p>
        </w:tc>
        <w:tc>
          <w:tcPr>
            <w:tcW w:w="2344" w:type="dxa"/>
          </w:tcPr>
          <w:p w14:paraId="4E9E742A" w14:textId="44EBD925"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520 (13.5</w:t>
            </w:r>
            <w:r w:rsidRPr="004523AB">
              <w:rPr>
                <w:rFonts w:eastAsia="Segoe UI" w:cs="Segoe UI"/>
                <w:color w:val="000000"/>
                <w:szCs w:val="21"/>
              </w:rPr>
              <w:t xml:space="preserve"> per cent)</w:t>
            </w:r>
          </w:p>
        </w:tc>
        <w:tc>
          <w:tcPr>
            <w:tcW w:w="2344" w:type="dxa"/>
          </w:tcPr>
          <w:p w14:paraId="2FDB4128" w14:textId="59C788AA"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163 (19.5</w:t>
            </w:r>
            <w:r w:rsidRPr="004523AB">
              <w:rPr>
                <w:rFonts w:eastAsia="Segoe UI" w:cs="Segoe UI"/>
                <w:color w:val="000000"/>
                <w:szCs w:val="21"/>
              </w:rPr>
              <w:t xml:space="preserve"> per cent)</w:t>
            </w:r>
          </w:p>
        </w:tc>
        <w:tc>
          <w:tcPr>
            <w:tcW w:w="2344" w:type="dxa"/>
          </w:tcPr>
          <w:p w14:paraId="095F7A78" w14:textId="316FFB90"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14 (9.7</w:t>
            </w:r>
            <w:r w:rsidRPr="004523AB">
              <w:rPr>
                <w:rFonts w:eastAsia="Segoe UI" w:cs="Segoe UI"/>
                <w:color w:val="000000"/>
                <w:szCs w:val="21"/>
              </w:rPr>
              <w:t xml:space="preserve"> per cent)</w:t>
            </w:r>
          </w:p>
        </w:tc>
      </w:tr>
      <w:tr w:rsidR="00E2562C" w:rsidRPr="004523AB" w14:paraId="6AA70DF8" w14:textId="77777777" w:rsidTr="00E2562C">
        <w:trPr>
          <w:trHeight w:val="19"/>
        </w:trPr>
        <w:tc>
          <w:tcPr>
            <w:tcW w:w="2344" w:type="dxa"/>
          </w:tcPr>
          <w:p w14:paraId="6303F807" w14:textId="691EB4E0"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Interoperable software</w:t>
            </w:r>
          </w:p>
        </w:tc>
        <w:tc>
          <w:tcPr>
            <w:tcW w:w="4688" w:type="dxa"/>
          </w:tcPr>
          <w:p w14:paraId="2A4F0C3F" w14:textId="77777777"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No change</w:t>
            </w:r>
          </w:p>
        </w:tc>
        <w:tc>
          <w:tcPr>
            <w:tcW w:w="2344" w:type="dxa"/>
          </w:tcPr>
          <w:p w14:paraId="35958F59" w14:textId="37A5F76F"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277 (7.2</w:t>
            </w:r>
            <w:r w:rsidRPr="004523AB">
              <w:rPr>
                <w:rFonts w:eastAsia="Segoe UI" w:cs="Segoe UI"/>
                <w:color w:val="000000"/>
                <w:szCs w:val="21"/>
              </w:rPr>
              <w:t xml:space="preserve"> per cent)</w:t>
            </w:r>
          </w:p>
        </w:tc>
        <w:tc>
          <w:tcPr>
            <w:tcW w:w="2344" w:type="dxa"/>
          </w:tcPr>
          <w:p w14:paraId="45A92798" w14:textId="4DB06703"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59 (7.1</w:t>
            </w:r>
            <w:r w:rsidRPr="004523AB">
              <w:rPr>
                <w:rFonts w:eastAsia="Segoe UI" w:cs="Segoe UI"/>
                <w:color w:val="000000"/>
                <w:szCs w:val="21"/>
              </w:rPr>
              <w:t xml:space="preserve"> per cent)</w:t>
            </w:r>
          </w:p>
        </w:tc>
        <w:tc>
          <w:tcPr>
            <w:tcW w:w="2344" w:type="dxa"/>
          </w:tcPr>
          <w:p w14:paraId="0560B908" w14:textId="5184B927"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13 (9.0</w:t>
            </w:r>
            <w:r w:rsidRPr="004523AB">
              <w:rPr>
                <w:rFonts w:eastAsia="Segoe UI" w:cs="Segoe UI"/>
                <w:color w:val="000000"/>
                <w:szCs w:val="21"/>
              </w:rPr>
              <w:t xml:space="preserve"> per cent)</w:t>
            </w:r>
          </w:p>
        </w:tc>
      </w:tr>
      <w:tr w:rsidR="00E2562C" w:rsidRPr="004523AB" w14:paraId="1ECBF92C" w14:textId="77777777" w:rsidTr="00E2562C">
        <w:trPr>
          <w:trHeight w:val="19"/>
        </w:trPr>
        <w:tc>
          <w:tcPr>
            <w:tcW w:w="2344" w:type="dxa"/>
          </w:tcPr>
          <w:p w14:paraId="25CFC76D" w14:textId="5A0DDDD3"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Interoperable software</w:t>
            </w:r>
          </w:p>
        </w:tc>
        <w:tc>
          <w:tcPr>
            <w:tcW w:w="4688" w:type="dxa"/>
          </w:tcPr>
          <w:p w14:paraId="2F225C64" w14:textId="77777777"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Minor improvement</w:t>
            </w:r>
          </w:p>
        </w:tc>
        <w:tc>
          <w:tcPr>
            <w:tcW w:w="2344" w:type="dxa"/>
          </w:tcPr>
          <w:p w14:paraId="543F4038" w14:textId="0B1C0A08"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399 (10.3</w:t>
            </w:r>
            <w:r w:rsidRPr="004523AB">
              <w:rPr>
                <w:rFonts w:eastAsia="Segoe UI" w:cs="Segoe UI"/>
                <w:color w:val="000000"/>
                <w:szCs w:val="21"/>
              </w:rPr>
              <w:t xml:space="preserve"> per cent)</w:t>
            </w:r>
          </w:p>
        </w:tc>
        <w:tc>
          <w:tcPr>
            <w:tcW w:w="2344" w:type="dxa"/>
          </w:tcPr>
          <w:p w14:paraId="198F80A8" w14:textId="367BBE26"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87 (10.4</w:t>
            </w:r>
            <w:r w:rsidRPr="004523AB">
              <w:rPr>
                <w:rFonts w:eastAsia="Segoe UI" w:cs="Segoe UI"/>
                <w:color w:val="000000"/>
                <w:szCs w:val="21"/>
              </w:rPr>
              <w:t xml:space="preserve"> per cent)</w:t>
            </w:r>
          </w:p>
        </w:tc>
        <w:tc>
          <w:tcPr>
            <w:tcW w:w="2344" w:type="dxa"/>
          </w:tcPr>
          <w:p w14:paraId="31477E7B" w14:textId="28AD3EC3"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16 (11.0</w:t>
            </w:r>
            <w:r w:rsidRPr="004523AB">
              <w:rPr>
                <w:rFonts w:eastAsia="Segoe UI" w:cs="Segoe UI"/>
                <w:color w:val="000000"/>
                <w:szCs w:val="21"/>
              </w:rPr>
              <w:t xml:space="preserve"> per cent)</w:t>
            </w:r>
          </w:p>
        </w:tc>
      </w:tr>
      <w:tr w:rsidR="00E2562C" w:rsidRPr="004523AB" w14:paraId="4717270D" w14:textId="77777777" w:rsidTr="00E2562C">
        <w:trPr>
          <w:trHeight w:val="19"/>
        </w:trPr>
        <w:tc>
          <w:tcPr>
            <w:tcW w:w="2344" w:type="dxa"/>
          </w:tcPr>
          <w:p w14:paraId="1222C136" w14:textId="6103C96F"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lastRenderedPageBreak/>
              <w:t>Interoperable software</w:t>
            </w:r>
          </w:p>
        </w:tc>
        <w:tc>
          <w:tcPr>
            <w:tcW w:w="4688" w:type="dxa"/>
          </w:tcPr>
          <w:p w14:paraId="5A5AFF3F" w14:textId="77777777"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Moderate improvement</w:t>
            </w:r>
          </w:p>
        </w:tc>
        <w:tc>
          <w:tcPr>
            <w:tcW w:w="2344" w:type="dxa"/>
          </w:tcPr>
          <w:p w14:paraId="6FFEEA6D" w14:textId="423FE26E"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995 (25.8</w:t>
            </w:r>
            <w:r w:rsidRPr="004523AB">
              <w:rPr>
                <w:rFonts w:eastAsia="Segoe UI" w:cs="Segoe UI"/>
                <w:color w:val="000000"/>
                <w:szCs w:val="21"/>
              </w:rPr>
              <w:t xml:space="preserve"> per cent)</w:t>
            </w:r>
          </w:p>
        </w:tc>
        <w:tc>
          <w:tcPr>
            <w:tcW w:w="2344" w:type="dxa"/>
          </w:tcPr>
          <w:p w14:paraId="21744FEF" w14:textId="22DB4AA7"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205 (24.5</w:t>
            </w:r>
            <w:r w:rsidRPr="004523AB">
              <w:rPr>
                <w:rFonts w:eastAsia="Segoe UI" w:cs="Segoe UI"/>
                <w:color w:val="000000"/>
                <w:szCs w:val="21"/>
              </w:rPr>
              <w:t xml:space="preserve"> per cent)</w:t>
            </w:r>
          </w:p>
        </w:tc>
        <w:tc>
          <w:tcPr>
            <w:tcW w:w="2344" w:type="dxa"/>
          </w:tcPr>
          <w:p w14:paraId="062B52E1" w14:textId="63AD05F4"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24 (16.6</w:t>
            </w:r>
            <w:r w:rsidRPr="004523AB">
              <w:rPr>
                <w:rFonts w:eastAsia="Segoe UI" w:cs="Segoe UI"/>
                <w:color w:val="000000"/>
                <w:szCs w:val="21"/>
              </w:rPr>
              <w:t xml:space="preserve"> per cent)</w:t>
            </w:r>
          </w:p>
        </w:tc>
      </w:tr>
      <w:tr w:rsidR="00E2562C" w:rsidRPr="004523AB" w14:paraId="13950D6D" w14:textId="77777777" w:rsidTr="00E2562C">
        <w:trPr>
          <w:trHeight w:val="19"/>
        </w:trPr>
        <w:tc>
          <w:tcPr>
            <w:tcW w:w="2344" w:type="dxa"/>
          </w:tcPr>
          <w:p w14:paraId="5E420918" w14:textId="695382BC"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Interoperable software</w:t>
            </w:r>
          </w:p>
        </w:tc>
        <w:tc>
          <w:tcPr>
            <w:tcW w:w="4688" w:type="dxa"/>
          </w:tcPr>
          <w:p w14:paraId="2663C2B9" w14:textId="77777777"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Significant improvement</w:t>
            </w:r>
          </w:p>
        </w:tc>
        <w:tc>
          <w:tcPr>
            <w:tcW w:w="2344" w:type="dxa"/>
          </w:tcPr>
          <w:p w14:paraId="5C32075A" w14:textId="7E68AB8A"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1,590 (41.2</w:t>
            </w:r>
            <w:r w:rsidRPr="004523AB">
              <w:rPr>
                <w:rFonts w:eastAsia="Segoe UI" w:cs="Segoe UI"/>
                <w:color w:val="000000"/>
                <w:szCs w:val="21"/>
              </w:rPr>
              <w:t xml:space="preserve"> per cent)</w:t>
            </w:r>
          </w:p>
        </w:tc>
        <w:tc>
          <w:tcPr>
            <w:tcW w:w="2344" w:type="dxa"/>
          </w:tcPr>
          <w:p w14:paraId="0650E0DD" w14:textId="1A63DE6F"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302 (36.1</w:t>
            </w:r>
            <w:r w:rsidRPr="004523AB">
              <w:rPr>
                <w:rFonts w:eastAsia="Segoe UI" w:cs="Segoe UI"/>
                <w:color w:val="000000"/>
                <w:szCs w:val="21"/>
              </w:rPr>
              <w:t xml:space="preserve"> per cent)</w:t>
            </w:r>
          </w:p>
        </w:tc>
        <w:tc>
          <w:tcPr>
            <w:tcW w:w="2344" w:type="dxa"/>
          </w:tcPr>
          <w:p w14:paraId="67CF379A" w14:textId="0529186E"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76 (52.4</w:t>
            </w:r>
            <w:r w:rsidRPr="004523AB">
              <w:rPr>
                <w:rFonts w:eastAsia="Segoe UI" w:cs="Segoe UI"/>
                <w:color w:val="000000"/>
                <w:szCs w:val="21"/>
              </w:rPr>
              <w:t xml:space="preserve"> per cent)</w:t>
            </w:r>
          </w:p>
        </w:tc>
      </w:tr>
      <w:tr w:rsidR="00E2562C" w:rsidRPr="004523AB" w14:paraId="49911F67" w14:textId="77777777" w:rsidTr="00E2562C">
        <w:trPr>
          <w:trHeight w:val="19"/>
        </w:trPr>
        <w:tc>
          <w:tcPr>
            <w:tcW w:w="2344" w:type="dxa"/>
          </w:tcPr>
          <w:p w14:paraId="5830D973" w14:textId="43CB5737"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Interoperable software</w:t>
            </w:r>
          </w:p>
        </w:tc>
        <w:tc>
          <w:tcPr>
            <w:tcW w:w="4688" w:type="dxa"/>
          </w:tcPr>
          <w:p w14:paraId="6512FC39" w14:textId="77777777"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No response</w:t>
            </w:r>
          </w:p>
        </w:tc>
        <w:tc>
          <w:tcPr>
            <w:tcW w:w="2344" w:type="dxa"/>
          </w:tcPr>
          <w:p w14:paraId="246302AE" w14:textId="5A096AB0"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80 (2.1</w:t>
            </w:r>
            <w:r w:rsidRPr="004523AB">
              <w:rPr>
                <w:rFonts w:eastAsia="Segoe UI" w:cs="Segoe UI"/>
                <w:color w:val="000000"/>
                <w:szCs w:val="21"/>
              </w:rPr>
              <w:t xml:space="preserve"> per cent)</w:t>
            </w:r>
          </w:p>
        </w:tc>
        <w:tc>
          <w:tcPr>
            <w:tcW w:w="2344" w:type="dxa"/>
          </w:tcPr>
          <w:p w14:paraId="056A9D3D" w14:textId="03014FD8"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20 (2.4</w:t>
            </w:r>
            <w:r w:rsidRPr="004523AB">
              <w:rPr>
                <w:rFonts w:eastAsia="Segoe UI" w:cs="Segoe UI"/>
                <w:color w:val="000000"/>
                <w:szCs w:val="21"/>
              </w:rPr>
              <w:t xml:space="preserve"> per cent)</w:t>
            </w:r>
          </w:p>
        </w:tc>
        <w:tc>
          <w:tcPr>
            <w:tcW w:w="2344" w:type="dxa"/>
          </w:tcPr>
          <w:p w14:paraId="661EE056" w14:textId="621B2089"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2 (1.4</w:t>
            </w:r>
            <w:r w:rsidRPr="004523AB">
              <w:rPr>
                <w:rFonts w:eastAsia="Segoe UI" w:cs="Segoe UI"/>
                <w:color w:val="000000"/>
                <w:szCs w:val="21"/>
              </w:rPr>
              <w:t xml:space="preserve"> per cent)</w:t>
            </w:r>
          </w:p>
        </w:tc>
      </w:tr>
      <w:tr w:rsidR="00E2562C" w:rsidRPr="004523AB" w14:paraId="0211F3D4" w14:textId="77777777" w:rsidTr="00E2562C">
        <w:trPr>
          <w:trHeight w:val="19"/>
        </w:trPr>
        <w:tc>
          <w:tcPr>
            <w:tcW w:w="2344" w:type="dxa"/>
          </w:tcPr>
          <w:p w14:paraId="5F6E9C4A" w14:textId="77777777"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Other</w:t>
            </w:r>
          </w:p>
        </w:tc>
        <w:tc>
          <w:tcPr>
            <w:tcW w:w="4688" w:type="dxa"/>
          </w:tcPr>
          <w:p w14:paraId="316EB5F9" w14:textId="77777777"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Did not use grant for this purpose</w:t>
            </w:r>
          </w:p>
        </w:tc>
        <w:tc>
          <w:tcPr>
            <w:tcW w:w="2344" w:type="dxa"/>
          </w:tcPr>
          <w:p w14:paraId="7F47EB4B" w14:textId="1CC7C615"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942 (24.4</w:t>
            </w:r>
            <w:r w:rsidRPr="004523AB">
              <w:rPr>
                <w:rFonts w:eastAsia="Segoe UI" w:cs="Segoe UI"/>
                <w:color w:val="000000"/>
                <w:szCs w:val="21"/>
              </w:rPr>
              <w:t xml:space="preserve"> per cent)</w:t>
            </w:r>
          </w:p>
        </w:tc>
        <w:tc>
          <w:tcPr>
            <w:tcW w:w="2344" w:type="dxa"/>
          </w:tcPr>
          <w:p w14:paraId="051A9449" w14:textId="5F343070"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241 (28.8</w:t>
            </w:r>
            <w:r w:rsidRPr="004523AB">
              <w:rPr>
                <w:rFonts w:eastAsia="Segoe UI" w:cs="Segoe UI"/>
                <w:color w:val="000000"/>
                <w:szCs w:val="21"/>
              </w:rPr>
              <w:t xml:space="preserve"> per cent)</w:t>
            </w:r>
          </w:p>
        </w:tc>
        <w:tc>
          <w:tcPr>
            <w:tcW w:w="2344" w:type="dxa"/>
          </w:tcPr>
          <w:p w14:paraId="67B767B2" w14:textId="5F2A1DD1"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29 (20.0</w:t>
            </w:r>
            <w:r w:rsidRPr="004523AB">
              <w:rPr>
                <w:rFonts w:eastAsia="Segoe UI" w:cs="Segoe UI"/>
                <w:color w:val="000000"/>
                <w:szCs w:val="21"/>
              </w:rPr>
              <w:t xml:space="preserve"> per cent)</w:t>
            </w:r>
          </w:p>
        </w:tc>
      </w:tr>
      <w:tr w:rsidR="00E2562C" w:rsidRPr="004523AB" w14:paraId="1A14EF26" w14:textId="77777777" w:rsidTr="00E2562C">
        <w:trPr>
          <w:trHeight w:val="19"/>
        </w:trPr>
        <w:tc>
          <w:tcPr>
            <w:tcW w:w="2344" w:type="dxa"/>
          </w:tcPr>
          <w:p w14:paraId="05C3CF88" w14:textId="6BEA52CF"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Other</w:t>
            </w:r>
          </w:p>
        </w:tc>
        <w:tc>
          <w:tcPr>
            <w:tcW w:w="4688" w:type="dxa"/>
          </w:tcPr>
          <w:p w14:paraId="43FD3AC6" w14:textId="77777777"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No change</w:t>
            </w:r>
          </w:p>
        </w:tc>
        <w:tc>
          <w:tcPr>
            <w:tcW w:w="2344" w:type="dxa"/>
          </w:tcPr>
          <w:p w14:paraId="64C48866" w14:textId="73BF9F2B"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175 (4.5</w:t>
            </w:r>
            <w:r w:rsidRPr="004523AB">
              <w:rPr>
                <w:rFonts w:eastAsia="Segoe UI" w:cs="Segoe UI"/>
                <w:color w:val="000000"/>
                <w:szCs w:val="21"/>
              </w:rPr>
              <w:t xml:space="preserve"> per cent)</w:t>
            </w:r>
          </w:p>
        </w:tc>
        <w:tc>
          <w:tcPr>
            <w:tcW w:w="2344" w:type="dxa"/>
          </w:tcPr>
          <w:p w14:paraId="62B190BC" w14:textId="1DF5FF16"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50 (6.0</w:t>
            </w:r>
            <w:r w:rsidRPr="004523AB">
              <w:rPr>
                <w:rFonts w:eastAsia="Segoe UI" w:cs="Segoe UI"/>
                <w:color w:val="000000"/>
                <w:szCs w:val="21"/>
              </w:rPr>
              <w:t xml:space="preserve"> per cent)</w:t>
            </w:r>
          </w:p>
        </w:tc>
        <w:tc>
          <w:tcPr>
            <w:tcW w:w="2344" w:type="dxa"/>
          </w:tcPr>
          <w:p w14:paraId="510A7AC6" w14:textId="4B1D75B2"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15 (10.3</w:t>
            </w:r>
            <w:r w:rsidRPr="004523AB">
              <w:rPr>
                <w:rFonts w:eastAsia="Segoe UI" w:cs="Segoe UI"/>
                <w:color w:val="000000"/>
                <w:szCs w:val="21"/>
              </w:rPr>
              <w:t xml:space="preserve"> per cent)</w:t>
            </w:r>
          </w:p>
        </w:tc>
      </w:tr>
      <w:tr w:rsidR="00E2562C" w:rsidRPr="004523AB" w14:paraId="3DCF5AAD" w14:textId="77777777" w:rsidTr="00E2562C">
        <w:trPr>
          <w:trHeight w:val="19"/>
        </w:trPr>
        <w:tc>
          <w:tcPr>
            <w:tcW w:w="2344" w:type="dxa"/>
          </w:tcPr>
          <w:p w14:paraId="302749E4" w14:textId="1777BDCC"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Other</w:t>
            </w:r>
          </w:p>
        </w:tc>
        <w:tc>
          <w:tcPr>
            <w:tcW w:w="4688" w:type="dxa"/>
          </w:tcPr>
          <w:p w14:paraId="6E4A756F" w14:textId="77777777"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Minor improvement</w:t>
            </w:r>
          </w:p>
        </w:tc>
        <w:tc>
          <w:tcPr>
            <w:tcW w:w="2344" w:type="dxa"/>
          </w:tcPr>
          <w:p w14:paraId="398819B6" w14:textId="575CB3B3"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133 (3.4</w:t>
            </w:r>
            <w:r w:rsidRPr="004523AB">
              <w:rPr>
                <w:rFonts w:eastAsia="Segoe UI" w:cs="Segoe UI"/>
                <w:color w:val="000000"/>
                <w:szCs w:val="21"/>
              </w:rPr>
              <w:t xml:space="preserve"> per cent)</w:t>
            </w:r>
          </w:p>
        </w:tc>
        <w:tc>
          <w:tcPr>
            <w:tcW w:w="2344" w:type="dxa"/>
          </w:tcPr>
          <w:p w14:paraId="354F34A8" w14:textId="761EA110"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12 (1.4</w:t>
            </w:r>
            <w:r w:rsidRPr="004523AB">
              <w:rPr>
                <w:rFonts w:eastAsia="Segoe UI" w:cs="Segoe UI"/>
                <w:color w:val="000000"/>
                <w:szCs w:val="21"/>
              </w:rPr>
              <w:t xml:space="preserve"> per cent)</w:t>
            </w:r>
          </w:p>
        </w:tc>
        <w:tc>
          <w:tcPr>
            <w:tcW w:w="2344" w:type="dxa"/>
          </w:tcPr>
          <w:p w14:paraId="3AA3ED32" w14:textId="763530E8"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2 (1.4</w:t>
            </w:r>
            <w:r w:rsidRPr="004523AB">
              <w:rPr>
                <w:rFonts w:eastAsia="Segoe UI" w:cs="Segoe UI"/>
                <w:color w:val="000000"/>
                <w:szCs w:val="21"/>
              </w:rPr>
              <w:t xml:space="preserve"> per cent)</w:t>
            </w:r>
          </w:p>
        </w:tc>
      </w:tr>
      <w:tr w:rsidR="00E2562C" w:rsidRPr="004523AB" w14:paraId="58D2E6F7" w14:textId="77777777" w:rsidTr="00E2562C">
        <w:trPr>
          <w:trHeight w:val="19"/>
        </w:trPr>
        <w:tc>
          <w:tcPr>
            <w:tcW w:w="2344" w:type="dxa"/>
          </w:tcPr>
          <w:p w14:paraId="56D66B93" w14:textId="67B8F27B"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Other</w:t>
            </w:r>
          </w:p>
        </w:tc>
        <w:tc>
          <w:tcPr>
            <w:tcW w:w="4688" w:type="dxa"/>
          </w:tcPr>
          <w:p w14:paraId="7AE9C03D" w14:textId="77777777"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Moderate improvement</w:t>
            </w:r>
          </w:p>
        </w:tc>
        <w:tc>
          <w:tcPr>
            <w:tcW w:w="2344" w:type="dxa"/>
          </w:tcPr>
          <w:p w14:paraId="7480DC31" w14:textId="6265E93A"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534 (13.8</w:t>
            </w:r>
            <w:r w:rsidRPr="004523AB">
              <w:rPr>
                <w:rFonts w:eastAsia="Segoe UI" w:cs="Segoe UI"/>
                <w:color w:val="000000"/>
                <w:szCs w:val="21"/>
              </w:rPr>
              <w:t xml:space="preserve"> per cent)</w:t>
            </w:r>
          </w:p>
        </w:tc>
        <w:tc>
          <w:tcPr>
            <w:tcW w:w="2344" w:type="dxa"/>
          </w:tcPr>
          <w:p w14:paraId="0E8C43B5" w14:textId="21472F5B"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101 (12.1</w:t>
            </w:r>
            <w:r w:rsidRPr="004523AB">
              <w:rPr>
                <w:rFonts w:eastAsia="Segoe UI" w:cs="Segoe UI"/>
                <w:color w:val="000000"/>
                <w:szCs w:val="21"/>
              </w:rPr>
              <w:t xml:space="preserve"> per cent)</w:t>
            </w:r>
          </w:p>
        </w:tc>
        <w:tc>
          <w:tcPr>
            <w:tcW w:w="2344" w:type="dxa"/>
          </w:tcPr>
          <w:p w14:paraId="360E2CA1" w14:textId="34126971"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15 (10.3</w:t>
            </w:r>
            <w:r w:rsidRPr="004523AB">
              <w:rPr>
                <w:rFonts w:eastAsia="Segoe UI" w:cs="Segoe UI"/>
                <w:color w:val="000000"/>
                <w:szCs w:val="21"/>
              </w:rPr>
              <w:t xml:space="preserve"> per cent)</w:t>
            </w:r>
          </w:p>
        </w:tc>
      </w:tr>
      <w:tr w:rsidR="00E2562C" w:rsidRPr="004523AB" w14:paraId="08DDE0AE" w14:textId="77777777" w:rsidTr="00E2562C">
        <w:trPr>
          <w:trHeight w:val="19"/>
        </w:trPr>
        <w:tc>
          <w:tcPr>
            <w:tcW w:w="2344" w:type="dxa"/>
          </w:tcPr>
          <w:p w14:paraId="2DF380B3" w14:textId="3D3B3B71"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Other</w:t>
            </w:r>
          </w:p>
        </w:tc>
        <w:tc>
          <w:tcPr>
            <w:tcW w:w="4688" w:type="dxa"/>
          </w:tcPr>
          <w:p w14:paraId="719D2D3D" w14:textId="77777777"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Significant improvement</w:t>
            </w:r>
          </w:p>
        </w:tc>
        <w:tc>
          <w:tcPr>
            <w:tcW w:w="2344" w:type="dxa"/>
          </w:tcPr>
          <w:p w14:paraId="35DD71AD" w14:textId="3B628030"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1,997 (51.7</w:t>
            </w:r>
            <w:r w:rsidRPr="004523AB">
              <w:rPr>
                <w:rFonts w:eastAsia="Segoe UI" w:cs="Segoe UI"/>
                <w:color w:val="000000"/>
                <w:szCs w:val="21"/>
              </w:rPr>
              <w:t xml:space="preserve"> per cent)</w:t>
            </w:r>
          </w:p>
        </w:tc>
        <w:tc>
          <w:tcPr>
            <w:tcW w:w="2344" w:type="dxa"/>
          </w:tcPr>
          <w:p w14:paraId="0B5EBEB6" w14:textId="12B441CA"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412 (49.3</w:t>
            </w:r>
            <w:r w:rsidRPr="004523AB">
              <w:rPr>
                <w:rFonts w:eastAsia="Segoe UI" w:cs="Segoe UI"/>
                <w:color w:val="000000"/>
                <w:szCs w:val="21"/>
              </w:rPr>
              <w:t xml:space="preserve"> per cent)</w:t>
            </w:r>
          </w:p>
        </w:tc>
        <w:tc>
          <w:tcPr>
            <w:tcW w:w="2344" w:type="dxa"/>
          </w:tcPr>
          <w:p w14:paraId="4CC6FCD2" w14:textId="1EA0928D"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82 (56.6</w:t>
            </w:r>
            <w:r w:rsidRPr="004523AB">
              <w:rPr>
                <w:rFonts w:eastAsia="Segoe UI" w:cs="Segoe UI"/>
                <w:color w:val="000000"/>
                <w:szCs w:val="21"/>
              </w:rPr>
              <w:t xml:space="preserve"> per cent)</w:t>
            </w:r>
          </w:p>
        </w:tc>
      </w:tr>
      <w:tr w:rsidR="00E2562C" w:rsidRPr="004523AB" w14:paraId="59DF0EB8" w14:textId="77777777" w:rsidTr="00E2562C">
        <w:trPr>
          <w:trHeight w:val="19"/>
        </w:trPr>
        <w:tc>
          <w:tcPr>
            <w:tcW w:w="2344" w:type="dxa"/>
          </w:tcPr>
          <w:p w14:paraId="43012543" w14:textId="246420F7"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Other</w:t>
            </w:r>
          </w:p>
        </w:tc>
        <w:tc>
          <w:tcPr>
            <w:tcW w:w="4688" w:type="dxa"/>
          </w:tcPr>
          <w:p w14:paraId="1DFF6212" w14:textId="77777777"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No response</w:t>
            </w:r>
          </w:p>
        </w:tc>
        <w:tc>
          <w:tcPr>
            <w:tcW w:w="2344" w:type="dxa"/>
          </w:tcPr>
          <w:p w14:paraId="69620123" w14:textId="4D21A8C5"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80 (2.1</w:t>
            </w:r>
            <w:r w:rsidRPr="004523AB">
              <w:rPr>
                <w:rFonts w:eastAsia="Segoe UI" w:cs="Segoe UI"/>
                <w:color w:val="000000"/>
                <w:szCs w:val="21"/>
              </w:rPr>
              <w:t xml:space="preserve"> per cent)</w:t>
            </w:r>
          </w:p>
        </w:tc>
        <w:tc>
          <w:tcPr>
            <w:tcW w:w="2344" w:type="dxa"/>
          </w:tcPr>
          <w:p w14:paraId="6FD2892F" w14:textId="3AC3A744"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20 (2.4</w:t>
            </w:r>
            <w:r w:rsidRPr="004523AB">
              <w:rPr>
                <w:rFonts w:eastAsia="Segoe UI" w:cs="Segoe UI"/>
                <w:color w:val="000000"/>
                <w:szCs w:val="21"/>
              </w:rPr>
              <w:t xml:space="preserve"> per cent)</w:t>
            </w:r>
          </w:p>
        </w:tc>
        <w:tc>
          <w:tcPr>
            <w:tcW w:w="2344" w:type="dxa"/>
          </w:tcPr>
          <w:p w14:paraId="7AE5B85F" w14:textId="71C8AA4C" w:rsidR="00E2562C" w:rsidRPr="004523AB" w:rsidRDefault="00E2562C" w:rsidP="00E2562C">
            <w:pPr>
              <w:pBdr>
                <w:top w:val="none" w:sz="0" w:space="0" w:color="000000"/>
                <w:left w:val="none" w:sz="0" w:space="0" w:color="000000"/>
                <w:bottom w:val="none" w:sz="0" w:space="0" w:color="000000"/>
                <w:right w:val="none" w:sz="0" w:space="0" w:color="000000"/>
              </w:pBdr>
              <w:spacing w:after="0"/>
              <w:ind w:left="100" w:right="100"/>
              <w:rPr>
                <w:rFonts w:asciiTheme="minorHAnsi" w:hAnsiTheme="minorHAnsi" w:cstheme="minorHAnsi"/>
                <w:szCs w:val="21"/>
              </w:rPr>
            </w:pPr>
            <w:r w:rsidRPr="004523AB">
              <w:rPr>
                <w:rFonts w:asciiTheme="minorHAnsi" w:eastAsia="Segoe UI" w:hAnsiTheme="minorHAnsi" w:cstheme="minorHAnsi"/>
                <w:color w:val="000000"/>
                <w:szCs w:val="21"/>
              </w:rPr>
              <w:t>2 (1.4</w:t>
            </w:r>
            <w:r w:rsidRPr="004523AB">
              <w:rPr>
                <w:rFonts w:eastAsia="Segoe UI" w:cs="Segoe UI"/>
                <w:color w:val="000000"/>
                <w:szCs w:val="21"/>
              </w:rPr>
              <w:t xml:space="preserve"> per cent)</w:t>
            </w:r>
          </w:p>
        </w:tc>
      </w:tr>
    </w:tbl>
    <w:p w14:paraId="4412FABE" w14:textId="77777777" w:rsidR="00F033A6" w:rsidRPr="004523AB" w:rsidRDefault="00F033A6">
      <w:pPr>
        <w:spacing w:after="165" w:line="259" w:lineRule="auto"/>
        <w:rPr>
          <w:lang w:eastAsia="en-AU"/>
        </w:rPr>
      </w:pPr>
      <w:r w:rsidRPr="004523AB">
        <w:rPr>
          <w:lang w:eastAsia="en-AU"/>
        </w:rPr>
        <w:br w:type="page"/>
      </w:r>
    </w:p>
    <w:p w14:paraId="4E626422" w14:textId="4E0E7FA9" w:rsidR="00A27C97" w:rsidRPr="004523AB" w:rsidRDefault="00A27C97" w:rsidP="00A27C97">
      <w:pPr>
        <w:pStyle w:val="Caption"/>
      </w:pPr>
      <w:r w:rsidRPr="004523AB">
        <w:lastRenderedPageBreak/>
        <w:t xml:space="preserve">Table </w:t>
      </w:r>
      <w:r w:rsidRPr="004523AB">
        <w:fldChar w:fldCharType="begin"/>
      </w:r>
      <w:r w:rsidRPr="004523AB">
        <w:instrText xml:space="preserve"> SEQ Table \* ARABIC </w:instrText>
      </w:r>
      <w:r w:rsidRPr="004523AB">
        <w:fldChar w:fldCharType="separate"/>
      </w:r>
      <w:r w:rsidR="00B96E50">
        <w:rPr>
          <w:noProof/>
        </w:rPr>
        <w:t>35</w:t>
      </w:r>
      <w:r w:rsidRPr="004523AB">
        <w:fldChar w:fldCharType="end"/>
      </w:r>
      <w:r w:rsidRPr="004523AB">
        <w:t xml:space="preserve"> | Stream 2:</w:t>
      </w:r>
      <w:r w:rsidR="00F11293" w:rsidRPr="004523AB">
        <w:t xml:space="preserve"> What did you spend grant funds on relating to infection prevention and control?</w:t>
      </w:r>
      <w:r w:rsidR="00BF0C47" w:rsidRPr="004523AB">
        <w:t xml:space="preserve"> (by MMM group)</w:t>
      </w:r>
    </w:p>
    <w:tbl>
      <w:tblPr>
        <w:tblStyle w:val="AccessibleNousTable"/>
        <w:tblW w:w="5000" w:type="pct"/>
        <w:tblLook w:val="0420" w:firstRow="1" w:lastRow="0" w:firstColumn="0" w:lastColumn="0" w:noHBand="0" w:noVBand="1"/>
      </w:tblPr>
      <w:tblGrid>
        <w:gridCol w:w="8013"/>
        <w:gridCol w:w="2002"/>
        <w:gridCol w:w="2002"/>
        <w:gridCol w:w="2005"/>
      </w:tblGrid>
      <w:tr w:rsidR="00BD4308" w:rsidRPr="004523AB" w14:paraId="5FCA610A" w14:textId="77777777" w:rsidTr="006E25AA">
        <w:trPr>
          <w:cnfStyle w:val="100000000000" w:firstRow="1" w:lastRow="0" w:firstColumn="0" w:lastColumn="0" w:oddVBand="0" w:evenVBand="0" w:oddHBand="0" w:evenHBand="0" w:firstRowFirstColumn="0" w:firstRowLastColumn="0" w:lastRowFirstColumn="0" w:lastRowLastColumn="0"/>
          <w:trHeight w:val="454"/>
          <w:tblHeader/>
        </w:trPr>
        <w:tc>
          <w:tcPr>
            <w:tcW w:w="2857" w:type="pct"/>
          </w:tcPr>
          <w:p w14:paraId="72B9A024" w14:textId="5F787D3C" w:rsidR="00BD4308" w:rsidRPr="004523AB" w:rsidRDefault="00BD4308" w:rsidP="00BD4308">
            <w:pPr>
              <w:pBdr>
                <w:top w:val="none" w:sz="0" w:space="0" w:color="000000"/>
                <w:left w:val="none" w:sz="0" w:space="0" w:color="000000"/>
                <w:bottom w:val="none" w:sz="0" w:space="0" w:color="000000"/>
                <w:right w:val="none" w:sz="0" w:space="0" w:color="000000"/>
              </w:pBdr>
              <w:spacing w:after="0"/>
              <w:ind w:left="100" w:right="100"/>
              <w:rPr>
                <w:rFonts w:eastAsia="Segoe UI" w:cs="Segoe UI"/>
                <w:color w:val="000000"/>
                <w:sz w:val="23"/>
                <w:szCs w:val="23"/>
              </w:rPr>
            </w:pPr>
            <w:r w:rsidRPr="004523AB">
              <w:rPr>
                <w:rFonts w:ascii="Segoe UI Semibold" w:eastAsia="Segoe UI Semibold" w:hAnsi="Segoe UI Semibold" w:cs="Segoe UI Semibold"/>
                <w:sz w:val="23"/>
                <w:szCs w:val="23"/>
              </w:rPr>
              <w:t>Response</w:t>
            </w:r>
          </w:p>
        </w:tc>
        <w:tc>
          <w:tcPr>
            <w:tcW w:w="714" w:type="pct"/>
          </w:tcPr>
          <w:p w14:paraId="56416E0D" w14:textId="2C695491" w:rsidR="00BD4308" w:rsidRPr="004523AB" w:rsidRDefault="00BD4308" w:rsidP="00BD4308">
            <w:pPr>
              <w:pBdr>
                <w:top w:val="none" w:sz="0" w:space="0" w:color="000000"/>
                <w:left w:val="none" w:sz="0" w:space="0" w:color="000000"/>
                <w:bottom w:val="none" w:sz="0" w:space="0" w:color="000000"/>
                <w:right w:val="none" w:sz="0" w:space="0" w:color="000000"/>
              </w:pBdr>
              <w:spacing w:after="0"/>
              <w:ind w:left="100" w:right="100"/>
              <w:rPr>
                <w:rFonts w:eastAsia="Segoe UI" w:cs="Segoe UI"/>
                <w:color w:val="000000"/>
                <w:sz w:val="23"/>
                <w:szCs w:val="23"/>
              </w:rPr>
            </w:pPr>
            <w:r w:rsidRPr="004523AB">
              <w:rPr>
                <w:rFonts w:ascii="Segoe UI Semibold" w:eastAsia="Segoe UI Semibold" w:hAnsi="Segoe UI Semibold" w:cs="Segoe UI Semibold"/>
                <w:sz w:val="23"/>
                <w:szCs w:val="23"/>
              </w:rPr>
              <w:t>MMM 1 &amp; 2</w:t>
            </w:r>
          </w:p>
        </w:tc>
        <w:tc>
          <w:tcPr>
            <w:tcW w:w="714" w:type="pct"/>
          </w:tcPr>
          <w:p w14:paraId="2727D4FF" w14:textId="5FDE1C7C" w:rsidR="00BD4308" w:rsidRPr="004523AB" w:rsidRDefault="00BD4308" w:rsidP="00BD4308">
            <w:pPr>
              <w:pBdr>
                <w:top w:val="none" w:sz="0" w:space="0" w:color="000000"/>
                <w:left w:val="none" w:sz="0" w:space="0" w:color="000000"/>
                <w:bottom w:val="none" w:sz="0" w:space="0" w:color="000000"/>
                <w:right w:val="none" w:sz="0" w:space="0" w:color="000000"/>
              </w:pBdr>
              <w:spacing w:after="0"/>
              <w:ind w:left="100" w:right="100"/>
              <w:rPr>
                <w:rFonts w:eastAsia="Segoe UI" w:cs="Segoe UI"/>
                <w:color w:val="000000"/>
                <w:sz w:val="23"/>
                <w:szCs w:val="23"/>
              </w:rPr>
            </w:pPr>
            <w:r w:rsidRPr="004523AB">
              <w:rPr>
                <w:rFonts w:ascii="Segoe UI Semibold" w:eastAsia="Segoe UI Semibold" w:hAnsi="Segoe UI Semibold" w:cs="Segoe UI Semibold"/>
                <w:sz w:val="23"/>
                <w:szCs w:val="23"/>
              </w:rPr>
              <w:t>MMM 3,4 &amp; 5</w:t>
            </w:r>
          </w:p>
        </w:tc>
        <w:tc>
          <w:tcPr>
            <w:tcW w:w="715" w:type="pct"/>
          </w:tcPr>
          <w:p w14:paraId="3E23002C" w14:textId="66F7AAC5" w:rsidR="00BD4308" w:rsidRPr="004523AB" w:rsidRDefault="00BD4308" w:rsidP="00BD4308">
            <w:pPr>
              <w:pBdr>
                <w:top w:val="none" w:sz="0" w:space="0" w:color="000000"/>
                <w:left w:val="none" w:sz="0" w:space="0" w:color="000000"/>
                <w:bottom w:val="none" w:sz="0" w:space="0" w:color="000000"/>
                <w:right w:val="none" w:sz="0" w:space="0" w:color="000000"/>
              </w:pBdr>
              <w:spacing w:after="0"/>
              <w:ind w:left="100" w:right="100"/>
              <w:rPr>
                <w:rFonts w:eastAsia="Segoe UI" w:cs="Segoe UI"/>
                <w:color w:val="000000"/>
                <w:sz w:val="23"/>
                <w:szCs w:val="23"/>
              </w:rPr>
            </w:pPr>
            <w:r w:rsidRPr="004523AB">
              <w:rPr>
                <w:rFonts w:ascii="Segoe UI Semibold" w:eastAsia="Segoe UI Semibold" w:hAnsi="Segoe UI Semibold" w:cs="Segoe UI Semibold"/>
                <w:sz w:val="23"/>
                <w:szCs w:val="23"/>
              </w:rPr>
              <w:t>MMM 6 &amp; 7</w:t>
            </w:r>
          </w:p>
        </w:tc>
      </w:tr>
      <w:tr w:rsidR="00F033A6" w:rsidRPr="004523AB" w14:paraId="2883E25A" w14:textId="77777777" w:rsidTr="00BD4308">
        <w:trPr>
          <w:trHeight w:val="454"/>
        </w:trPr>
        <w:tc>
          <w:tcPr>
            <w:tcW w:w="2857" w:type="pct"/>
          </w:tcPr>
          <w:p w14:paraId="3A90ADA7" w14:textId="77777777" w:rsidR="00F033A6" w:rsidRPr="004523AB" w:rsidRDefault="00F033A6">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eastAsia="Segoe UI" w:cs="Segoe UI"/>
                <w:color w:val="000000"/>
                <w:sz w:val="23"/>
                <w:szCs w:val="23"/>
              </w:rPr>
              <w:t>Professional assessment of existing infection prevention and control arrangements</w:t>
            </w:r>
          </w:p>
        </w:tc>
        <w:tc>
          <w:tcPr>
            <w:tcW w:w="714" w:type="pct"/>
          </w:tcPr>
          <w:p w14:paraId="5B62B04A" w14:textId="1463B4E3" w:rsidR="00F033A6" w:rsidRPr="004523AB" w:rsidRDefault="00F033A6" w:rsidP="00B8040A">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eastAsia="Segoe UI" w:cs="Segoe UI"/>
                <w:color w:val="000000"/>
                <w:sz w:val="23"/>
                <w:szCs w:val="23"/>
              </w:rPr>
              <w:t>792 (28.7</w:t>
            </w:r>
            <w:r w:rsidR="00C8032F" w:rsidRPr="004523AB">
              <w:rPr>
                <w:rFonts w:eastAsia="Segoe UI" w:cs="Segoe UI"/>
                <w:color w:val="000000"/>
                <w:szCs w:val="21"/>
              </w:rPr>
              <w:t xml:space="preserve"> per cent)</w:t>
            </w:r>
          </w:p>
        </w:tc>
        <w:tc>
          <w:tcPr>
            <w:tcW w:w="714" w:type="pct"/>
          </w:tcPr>
          <w:p w14:paraId="7411F1CD" w14:textId="7178E083" w:rsidR="00F033A6" w:rsidRPr="004523AB" w:rsidRDefault="00F033A6" w:rsidP="00B8040A">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eastAsia="Segoe UI" w:cs="Segoe UI"/>
                <w:color w:val="000000"/>
                <w:sz w:val="23"/>
                <w:szCs w:val="23"/>
              </w:rPr>
              <w:t>134 (27.3</w:t>
            </w:r>
            <w:r w:rsidR="00C8032F" w:rsidRPr="004523AB">
              <w:rPr>
                <w:rFonts w:eastAsia="Segoe UI" w:cs="Segoe UI"/>
                <w:color w:val="000000"/>
                <w:szCs w:val="21"/>
              </w:rPr>
              <w:t xml:space="preserve"> per cent)</w:t>
            </w:r>
          </w:p>
        </w:tc>
        <w:tc>
          <w:tcPr>
            <w:tcW w:w="715" w:type="pct"/>
          </w:tcPr>
          <w:p w14:paraId="6F764D64" w14:textId="206A77B0" w:rsidR="00F033A6" w:rsidRPr="004523AB" w:rsidRDefault="00F033A6" w:rsidP="00B8040A">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eastAsia="Segoe UI" w:cs="Segoe UI"/>
                <w:color w:val="000000"/>
                <w:sz w:val="23"/>
                <w:szCs w:val="23"/>
              </w:rPr>
              <w:t>28 (38.9</w:t>
            </w:r>
            <w:r w:rsidR="00C8032F" w:rsidRPr="004523AB">
              <w:rPr>
                <w:rFonts w:eastAsia="Segoe UI" w:cs="Segoe UI"/>
                <w:color w:val="000000"/>
                <w:szCs w:val="21"/>
              </w:rPr>
              <w:t xml:space="preserve"> per cent)</w:t>
            </w:r>
          </w:p>
        </w:tc>
      </w:tr>
      <w:tr w:rsidR="00F033A6" w:rsidRPr="004523AB" w14:paraId="52A4133B" w14:textId="77777777" w:rsidTr="00BD4308">
        <w:trPr>
          <w:trHeight w:val="245"/>
        </w:trPr>
        <w:tc>
          <w:tcPr>
            <w:tcW w:w="2857" w:type="pct"/>
          </w:tcPr>
          <w:p w14:paraId="668F5542" w14:textId="77777777" w:rsidR="00F033A6" w:rsidRPr="004523AB" w:rsidRDefault="00F033A6">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eastAsia="Segoe UI" w:cs="Segoe UI"/>
                <w:color w:val="000000"/>
                <w:sz w:val="23"/>
                <w:szCs w:val="23"/>
              </w:rPr>
              <w:t>Infrastructure</w:t>
            </w:r>
          </w:p>
        </w:tc>
        <w:tc>
          <w:tcPr>
            <w:tcW w:w="714" w:type="pct"/>
          </w:tcPr>
          <w:p w14:paraId="23C6B885" w14:textId="5439C61B" w:rsidR="00F033A6" w:rsidRPr="004523AB" w:rsidRDefault="00F033A6" w:rsidP="00B8040A">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eastAsia="Segoe UI" w:cs="Segoe UI"/>
                <w:color w:val="000000"/>
                <w:sz w:val="23"/>
                <w:szCs w:val="23"/>
              </w:rPr>
              <w:t>891 (32.2</w:t>
            </w:r>
            <w:r w:rsidR="00C8032F" w:rsidRPr="004523AB">
              <w:rPr>
                <w:rFonts w:eastAsia="Segoe UI" w:cs="Segoe UI"/>
                <w:color w:val="000000"/>
                <w:szCs w:val="21"/>
              </w:rPr>
              <w:t xml:space="preserve"> per cent)</w:t>
            </w:r>
          </w:p>
        </w:tc>
        <w:tc>
          <w:tcPr>
            <w:tcW w:w="714" w:type="pct"/>
          </w:tcPr>
          <w:p w14:paraId="19A17D3E" w14:textId="41B7FEC8" w:rsidR="00F033A6" w:rsidRPr="004523AB" w:rsidRDefault="00F033A6" w:rsidP="00B8040A">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eastAsia="Segoe UI" w:cs="Segoe UI"/>
                <w:color w:val="000000"/>
                <w:sz w:val="23"/>
                <w:szCs w:val="23"/>
              </w:rPr>
              <w:t>140 (28.6</w:t>
            </w:r>
            <w:r w:rsidR="00C8032F" w:rsidRPr="004523AB">
              <w:rPr>
                <w:rFonts w:eastAsia="Segoe UI" w:cs="Segoe UI"/>
                <w:color w:val="000000"/>
                <w:szCs w:val="21"/>
              </w:rPr>
              <w:t xml:space="preserve"> per cent)</w:t>
            </w:r>
          </w:p>
        </w:tc>
        <w:tc>
          <w:tcPr>
            <w:tcW w:w="715" w:type="pct"/>
          </w:tcPr>
          <w:p w14:paraId="634E6C78" w14:textId="6121ACE2" w:rsidR="00F033A6" w:rsidRPr="004523AB" w:rsidRDefault="00F033A6" w:rsidP="00B8040A">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eastAsia="Segoe UI" w:cs="Segoe UI"/>
                <w:color w:val="000000"/>
                <w:sz w:val="23"/>
                <w:szCs w:val="23"/>
              </w:rPr>
              <w:t>17 (23.6</w:t>
            </w:r>
            <w:r w:rsidR="00C8032F" w:rsidRPr="004523AB">
              <w:rPr>
                <w:rFonts w:eastAsia="Segoe UI" w:cs="Segoe UI"/>
                <w:color w:val="000000"/>
                <w:szCs w:val="21"/>
              </w:rPr>
              <w:t xml:space="preserve"> per cent)</w:t>
            </w:r>
          </w:p>
        </w:tc>
      </w:tr>
      <w:tr w:rsidR="00F033A6" w:rsidRPr="004523AB" w14:paraId="1C5C4C6B" w14:textId="77777777" w:rsidTr="00BD4308">
        <w:trPr>
          <w:trHeight w:val="227"/>
        </w:trPr>
        <w:tc>
          <w:tcPr>
            <w:tcW w:w="2857" w:type="pct"/>
          </w:tcPr>
          <w:p w14:paraId="7B829DE4" w14:textId="77777777" w:rsidR="00F033A6" w:rsidRPr="004523AB" w:rsidRDefault="00F033A6">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eastAsia="Segoe UI" w:cs="Segoe UI"/>
                <w:color w:val="000000"/>
                <w:sz w:val="23"/>
                <w:szCs w:val="23"/>
              </w:rPr>
              <w:t>Purchase of equipment</w:t>
            </w:r>
          </w:p>
        </w:tc>
        <w:tc>
          <w:tcPr>
            <w:tcW w:w="714" w:type="pct"/>
          </w:tcPr>
          <w:p w14:paraId="5CF01D67" w14:textId="25CBBB5C" w:rsidR="00F033A6" w:rsidRPr="004523AB" w:rsidRDefault="00F033A6" w:rsidP="00B8040A">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eastAsia="Segoe UI" w:cs="Segoe UI"/>
                <w:color w:val="000000"/>
                <w:sz w:val="23"/>
                <w:szCs w:val="23"/>
              </w:rPr>
              <w:t>2,171 (78.6</w:t>
            </w:r>
            <w:r w:rsidR="00C8032F" w:rsidRPr="004523AB">
              <w:rPr>
                <w:rFonts w:eastAsia="Segoe UI" w:cs="Segoe UI"/>
                <w:color w:val="000000"/>
                <w:szCs w:val="21"/>
              </w:rPr>
              <w:t xml:space="preserve"> per cent)</w:t>
            </w:r>
          </w:p>
        </w:tc>
        <w:tc>
          <w:tcPr>
            <w:tcW w:w="714" w:type="pct"/>
          </w:tcPr>
          <w:p w14:paraId="02A4CFB7" w14:textId="3CBEE400" w:rsidR="00F033A6" w:rsidRPr="004523AB" w:rsidRDefault="00F033A6" w:rsidP="00B8040A">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eastAsia="Segoe UI" w:cs="Segoe UI"/>
                <w:color w:val="000000"/>
                <w:sz w:val="23"/>
                <w:szCs w:val="23"/>
              </w:rPr>
              <w:t>374 (76.3</w:t>
            </w:r>
            <w:r w:rsidR="00C8032F" w:rsidRPr="004523AB">
              <w:rPr>
                <w:rFonts w:eastAsia="Segoe UI" w:cs="Segoe UI"/>
                <w:color w:val="000000"/>
                <w:szCs w:val="21"/>
              </w:rPr>
              <w:t xml:space="preserve"> per cent)</w:t>
            </w:r>
          </w:p>
        </w:tc>
        <w:tc>
          <w:tcPr>
            <w:tcW w:w="715" w:type="pct"/>
          </w:tcPr>
          <w:p w14:paraId="07C1440D" w14:textId="7749A4F6" w:rsidR="00F033A6" w:rsidRPr="004523AB" w:rsidRDefault="00F033A6" w:rsidP="00B8040A">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eastAsia="Segoe UI" w:cs="Segoe UI"/>
                <w:color w:val="000000"/>
                <w:sz w:val="23"/>
                <w:szCs w:val="23"/>
              </w:rPr>
              <w:t>63 (87.5</w:t>
            </w:r>
            <w:r w:rsidR="00C8032F" w:rsidRPr="004523AB">
              <w:rPr>
                <w:rFonts w:eastAsia="Segoe UI" w:cs="Segoe UI"/>
                <w:color w:val="000000"/>
                <w:szCs w:val="21"/>
              </w:rPr>
              <w:t xml:space="preserve"> per cent)</w:t>
            </w:r>
          </w:p>
        </w:tc>
      </w:tr>
      <w:tr w:rsidR="00F033A6" w:rsidRPr="004523AB" w14:paraId="0BB918E3" w14:textId="77777777" w:rsidTr="00BD4308">
        <w:trPr>
          <w:trHeight w:val="454"/>
        </w:trPr>
        <w:tc>
          <w:tcPr>
            <w:tcW w:w="2857" w:type="pct"/>
          </w:tcPr>
          <w:p w14:paraId="1BEC56FE" w14:textId="77777777" w:rsidR="00F033A6" w:rsidRPr="004523AB" w:rsidRDefault="00F033A6">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eastAsia="Segoe UI" w:cs="Segoe UI"/>
                <w:color w:val="000000"/>
                <w:sz w:val="23"/>
                <w:szCs w:val="23"/>
              </w:rPr>
              <w:t>Improving infection prevention and control procedures</w:t>
            </w:r>
          </w:p>
        </w:tc>
        <w:tc>
          <w:tcPr>
            <w:tcW w:w="714" w:type="pct"/>
          </w:tcPr>
          <w:p w14:paraId="54D2065B" w14:textId="120840EA" w:rsidR="00F033A6" w:rsidRPr="004523AB" w:rsidRDefault="00F033A6" w:rsidP="00B8040A">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eastAsia="Segoe UI" w:cs="Segoe UI"/>
                <w:color w:val="000000"/>
                <w:sz w:val="23"/>
                <w:szCs w:val="23"/>
              </w:rPr>
              <w:t>1,735 (62.8</w:t>
            </w:r>
            <w:r w:rsidR="00C8032F" w:rsidRPr="004523AB">
              <w:rPr>
                <w:rFonts w:eastAsia="Segoe UI" w:cs="Segoe UI"/>
                <w:color w:val="000000"/>
                <w:szCs w:val="21"/>
              </w:rPr>
              <w:t xml:space="preserve"> per cent)</w:t>
            </w:r>
          </w:p>
        </w:tc>
        <w:tc>
          <w:tcPr>
            <w:tcW w:w="714" w:type="pct"/>
          </w:tcPr>
          <w:p w14:paraId="184ABC79" w14:textId="24C0DC0F" w:rsidR="00F033A6" w:rsidRPr="004523AB" w:rsidRDefault="00F033A6" w:rsidP="00B8040A">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eastAsia="Segoe UI" w:cs="Segoe UI"/>
                <w:color w:val="000000"/>
                <w:sz w:val="23"/>
                <w:szCs w:val="23"/>
              </w:rPr>
              <w:t>275 (56.1</w:t>
            </w:r>
            <w:r w:rsidR="00C8032F" w:rsidRPr="004523AB">
              <w:rPr>
                <w:rFonts w:eastAsia="Segoe UI" w:cs="Segoe UI"/>
                <w:color w:val="000000"/>
                <w:szCs w:val="21"/>
              </w:rPr>
              <w:t xml:space="preserve"> per cent)</w:t>
            </w:r>
          </w:p>
        </w:tc>
        <w:tc>
          <w:tcPr>
            <w:tcW w:w="715" w:type="pct"/>
          </w:tcPr>
          <w:p w14:paraId="062D1CDE" w14:textId="3F73A39E" w:rsidR="00F033A6" w:rsidRPr="004523AB" w:rsidRDefault="00F033A6" w:rsidP="00B8040A">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eastAsia="Segoe UI" w:cs="Segoe UI"/>
                <w:color w:val="000000"/>
                <w:sz w:val="23"/>
                <w:szCs w:val="23"/>
              </w:rPr>
              <w:t>42 (58.3</w:t>
            </w:r>
            <w:r w:rsidR="00C8032F" w:rsidRPr="004523AB">
              <w:rPr>
                <w:rFonts w:eastAsia="Segoe UI" w:cs="Segoe UI"/>
                <w:color w:val="000000"/>
                <w:szCs w:val="21"/>
              </w:rPr>
              <w:t xml:space="preserve"> per cent)</w:t>
            </w:r>
          </w:p>
        </w:tc>
      </w:tr>
      <w:tr w:rsidR="00F033A6" w:rsidRPr="004523AB" w14:paraId="701EB2A9" w14:textId="77777777" w:rsidTr="00BD4308">
        <w:trPr>
          <w:trHeight w:val="245"/>
        </w:trPr>
        <w:tc>
          <w:tcPr>
            <w:tcW w:w="2857" w:type="pct"/>
          </w:tcPr>
          <w:p w14:paraId="56FC84B2" w14:textId="77777777" w:rsidR="00F033A6" w:rsidRPr="004523AB" w:rsidRDefault="00F033A6">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eastAsia="Segoe UI" w:cs="Segoe UI"/>
                <w:color w:val="000000"/>
                <w:sz w:val="23"/>
                <w:szCs w:val="23"/>
              </w:rPr>
              <w:t>Training courses</w:t>
            </w:r>
          </w:p>
        </w:tc>
        <w:tc>
          <w:tcPr>
            <w:tcW w:w="714" w:type="pct"/>
          </w:tcPr>
          <w:p w14:paraId="307B7E67" w14:textId="0C484D92" w:rsidR="00F033A6" w:rsidRPr="004523AB" w:rsidRDefault="00F033A6" w:rsidP="00B8040A">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eastAsia="Segoe UI" w:cs="Segoe UI"/>
                <w:color w:val="000000"/>
                <w:sz w:val="23"/>
                <w:szCs w:val="23"/>
              </w:rPr>
              <w:t>602 (21.8</w:t>
            </w:r>
            <w:r w:rsidR="00C8032F" w:rsidRPr="004523AB">
              <w:rPr>
                <w:rFonts w:eastAsia="Segoe UI" w:cs="Segoe UI"/>
                <w:color w:val="000000"/>
                <w:szCs w:val="21"/>
              </w:rPr>
              <w:t xml:space="preserve"> per cent)</w:t>
            </w:r>
          </w:p>
        </w:tc>
        <w:tc>
          <w:tcPr>
            <w:tcW w:w="714" w:type="pct"/>
          </w:tcPr>
          <w:p w14:paraId="0CACF1D0" w14:textId="26558497" w:rsidR="00F033A6" w:rsidRPr="004523AB" w:rsidRDefault="00F033A6" w:rsidP="00B8040A">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eastAsia="Segoe UI" w:cs="Segoe UI"/>
                <w:color w:val="000000"/>
                <w:sz w:val="23"/>
                <w:szCs w:val="23"/>
              </w:rPr>
              <w:t>126 (25.7</w:t>
            </w:r>
            <w:r w:rsidR="00C8032F" w:rsidRPr="004523AB">
              <w:rPr>
                <w:rFonts w:eastAsia="Segoe UI" w:cs="Segoe UI"/>
                <w:color w:val="000000"/>
                <w:szCs w:val="21"/>
              </w:rPr>
              <w:t xml:space="preserve"> per cent)</w:t>
            </w:r>
          </w:p>
        </w:tc>
        <w:tc>
          <w:tcPr>
            <w:tcW w:w="715" w:type="pct"/>
          </w:tcPr>
          <w:p w14:paraId="61C57B79" w14:textId="111BB4FC" w:rsidR="00F033A6" w:rsidRPr="004523AB" w:rsidRDefault="00F033A6" w:rsidP="00B8040A">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eastAsia="Segoe UI" w:cs="Segoe UI"/>
                <w:color w:val="000000"/>
                <w:sz w:val="23"/>
                <w:szCs w:val="23"/>
              </w:rPr>
              <w:t>19 (26.4</w:t>
            </w:r>
            <w:r w:rsidR="00C8032F" w:rsidRPr="004523AB">
              <w:rPr>
                <w:rFonts w:eastAsia="Segoe UI" w:cs="Segoe UI"/>
                <w:color w:val="000000"/>
                <w:szCs w:val="21"/>
              </w:rPr>
              <w:t xml:space="preserve"> per cent)</w:t>
            </w:r>
          </w:p>
        </w:tc>
      </w:tr>
      <w:tr w:rsidR="00F033A6" w:rsidRPr="004523AB" w14:paraId="4713A53E" w14:textId="77777777" w:rsidTr="00BD4308">
        <w:trPr>
          <w:trHeight w:val="227"/>
        </w:trPr>
        <w:tc>
          <w:tcPr>
            <w:tcW w:w="2857" w:type="pct"/>
          </w:tcPr>
          <w:p w14:paraId="64B8F833" w14:textId="77777777" w:rsidR="00F033A6" w:rsidRPr="004523AB" w:rsidRDefault="00F033A6">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eastAsia="Segoe UI" w:cs="Segoe UI"/>
                <w:color w:val="000000"/>
                <w:sz w:val="23"/>
                <w:szCs w:val="23"/>
              </w:rPr>
              <w:t>Reimbursement of staff time</w:t>
            </w:r>
          </w:p>
        </w:tc>
        <w:tc>
          <w:tcPr>
            <w:tcW w:w="714" w:type="pct"/>
          </w:tcPr>
          <w:p w14:paraId="2716B1A4" w14:textId="328A167E" w:rsidR="00F033A6" w:rsidRPr="004523AB" w:rsidRDefault="00F033A6" w:rsidP="00B8040A">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eastAsia="Segoe UI" w:cs="Segoe UI"/>
                <w:color w:val="000000"/>
                <w:sz w:val="23"/>
                <w:szCs w:val="23"/>
              </w:rPr>
              <w:t>744 (26.9</w:t>
            </w:r>
            <w:r w:rsidR="00C8032F" w:rsidRPr="004523AB">
              <w:rPr>
                <w:rFonts w:eastAsia="Segoe UI" w:cs="Segoe UI"/>
                <w:color w:val="000000"/>
                <w:szCs w:val="21"/>
              </w:rPr>
              <w:t xml:space="preserve"> per cent)</w:t>
            </w:r>
          </w:p>
        </w:tc>
        <w:tc>
          <w:tcPr>
            <w:tcW w:w="714" w:type="pct"/>
          </w:tcPr>
          <w:p w14:paraId="2CA9B6BF" w14:textId="15DFAE53" w:rsidR="00F033A6" w:rsidRPr="004523AB" w:rsidRDefault="00F033A6" w:rsidP="00B8040A">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eastAsia="Segoe UI" w:cs="Segoe UI"/>
                <w:color w:val="000000"/>
                <w:sz w:val="23"/>
                <w:szCs w:val="23"/>
              </w:rPr>
              <w:t>122 (24.9</w:t>
            </w:r>
            <w:r w:rsidR="00C8032F" w:rsidRPr="004523AB">
              <w:rPr>
                <w:rFonts w:eastAsia="Segoe UI" w:cs="Segoe UI"/>
                <w:color w:val="000000"/>
                <w:szCs w:val="21"/>
              </w:rPr>
              <w:t xml:space="preserve"> per cent)</w:t>
            </w:r>
          </w:p>
        </w:tc>
        <w:tc>
          <w:tcPr>
            <w:tcW w:w="715" w:type="pct"/>
          </w:tcPr>
          <w:p w14:paraId="05D492E2" w14:textId="2B790C4A" w:rsidR="00F033A6" w:rsidRPr="004523AB" w:rsidRDefault="00F033A6" w:rsidP="00B8040A">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eastAsia="Segoe UI" w:cs="Segoe UI"/>
                <w:color w:val="000000"/>
                <w:sz w:val="23"/>
                <w:szCs w:val="23"/>
              </w:rPr>
              <w:t>34 (47.2</w:t>
            </w:r>
            <w:r w:rsidR="00C8032F" w:rsidRPr="004523AB">
              <w:rPr>
                <w:rFonts w:eastAsia="Segoe UI" w:cs="Segoe UI"/>
                <w:color w:val="000000"/>
                <w:szCs w:val="21"/>
              </w:rPr>
              <w:t xml:space="preserve"> per cent)</w:t>
            </w:r>
          </w:p>
        </w:tc>
      </w:tr>
      <w:tr w:rsidR="00F033A6" w:rsidRPr="004523AB" w14:paraId="5EE363F3" w14:textId="77777777" w:rsidTr="00BD4308">
        <w:trPr>
          <w:trHeight w:val="227"/>
        </w:trPr>
        <w:tc>
          <w:tcPr>
            <w:tcW w:w="2857" w:type="pct"/>
          </w:tcPr>
          <w:p w14:paraId="57B71DC1" w14:textId="77777777" w:rsidR="00F033A6" w:rsidRPr="004523AB" w:rsidRDefault="00F033A6">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eastAsia="Segoe UI" w:cs="Segoe UI"/>
                <w:color w:val="000000"/>
                <w:sz w:val="23"/>
                <w:szCs w:val="23"/>
              </w:rPr>
              <w:t xml:space="preserve">Minor capital works </w:t>
            </w:r>
          </w:p>
        </w:tc>
        <w:tc>
          <w:tcPr>
            <w:tcW w:w="714" w:type="pct"/>
          </w:tcPr>
          <w:p w14:paraId="26FD53F9" w14:textId="7F496200" w:rsidR="00F033A6" w:rsidRPr="004523AB" w:rsidRDefault="00F033A6" w:rsidP="00B8040A">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eastAsia="Segoe UI" w:cs="Segoe UI"/>
                <w:color w:val="000000"/>
                <w:sz w:val="23"/>
                <w:szCs w:val="23"/>
              </w:rPr>
              <w:t>759 (27.5</w:t>
            </w:r>
            <w:r w:rsidR="00C8032F" w:rsidRPr="004523AB">
              <w:rPr>
                <w:rFonts w:eastAsia="Segoe UI" w:cs="Segoe UI"/>
                <w:color w:val="000000"/>
                <w:szCs w:val="21"/>
              </w:rPr>
              <w:t xml:space="preserve"> per cent)</w:t>
            </w:r>
          </w:p>
        </w:tc>
        <w:tc>
          <w:tcPr>
            <w:tcW w:w="714" w:type="pct"/>
          </w:tcPr>
          <w:p w14:paraId="5F8B4FA5" w14:textId="62FF4D5F" w:rsidR="00F033A6" w:rsidRPr="004523AB" w:rsidRDefault="00F033A6" w:rsidP="00B8040A">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eastAsia="Segoe UI" w:cs="Segoe UI"/>
                <w:color w:val="000000"/>
                <w:sz w:val="23"/>
                <w:szCs w:val="23"/>
              </w:rPr>
              <w:t>113 (23.1</w:t>
            </w:r>
            <w:r w:rsidR="00C8032F" w:rsidRPr="004523AB">
              <w:rPr>
                <w:rFonts w:eastAsia="Segoe UI" w:cs="Segoe UI"/>
                <w:color w:val="000000"/>
                <w:szCs w:val="21"/>
              </w:rPr>
              <w:t xml:space="preserve"> per cent)</w:t>
            </w:r>
          </w:p>
        </w:tc>
        <w:tc>
          <w:tcPr>
            <w:tcW w:w="715" w:type="pct"/>
          </w:tcPr>
          <w:p w14:paraId="7E7B651F" w14:textId="7829C4C7" w:rsidR="00F033A6" w:rsidRPr="004523AB" w:rsidRDefault="00F033A6" w:rsidP="00B8040A">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eastAsia="Segoe UI" w:cs="Segoe UI"/>
                <w:color w:val="000000"/>
                <w:sz w:val="23"/>
                <w:szCs w:val="23"/>
              </w:rPr>
              <w:t>11 (15.3</w:t>
            </w:r>
            <w:r w:rsidR="00C8032F" w:rsidRPr="004523AB">
              <w:rPr>
                <w:rFonts w:eastAsia="Segoe UI" w:cs="Segoe UI"/>
                <w:color w:val="000000"/>
                <w:szCs w:val="21"/>
              </w:rPr>
              <w:t xml:space="preserve"> per cent)</w:t>
            </w:r>
          </w:p>
        </w:tc>
      </w:tr>
      <w:tr w:rsidR="00F033A6" w:rsidRPr="004523AB" w14:paraId="13BC47B4" w14:textId="77777777" w:rsidTr="00BD4308">
        <w:trPr>
          <w:trHeight w:val="245"/>
        </w:trPr>
        <w:tc>
          <w:tcPr>
            <w:tcW w:w="2857" w:type="pct"/>
          </w:tcPr>
          <w:p w14:paraId="547E4DB3" w14:textId="77777777" w:rsidR="00F033A6" w:rsidRPr="004523AB" w:rsidRDefault="00F033A6">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eastAsia="Segoe UI" w:cs="Segoe UI"/>
                <w:color w:val="000000"/>
                <w:sz w:val="23"/>
                <w:szCs w:val="23"/>
              </w:rPr>
              <w:t>Professional services</w:t>
            </w:r>
          </w:p>
        </w:tc>
        <w:tc>
          <w:tcPr>
            <w:tcW w:w="714" w:type="pct"/>
          </w:tcPr>
          <w:p w14:paraId="0C779F80" w14:textId="5873A577" w:rsidR="00F033A6" w:rsidRPr="004523AB" w:rsidRDefault="00F033A6" w:rsidP="00B8040A">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eastAsia="Segoe UI" w:cs="Segoe UI"/>
                <w:color w:val="000000"/>
                <w:sz w:val="23"/>
                <w:szCs w:val="23"/>
              </w:rPr>
              <w:t>562 (20.3</w:t>
            </w:r>
            <w:r w:rsidR="00C8032F" w:rsidRPr="004523AB">
              <w:rPr>
                <w:rFonts w:eastAsia="Segoe UI" w:cs="Segoe UI"/>
                <w:color w:val="000000"/>
                <w:szCs w:val="21"/>
              </w:rPr>
              <w:t xml:space="preserve"> per cent)</w:t>
            </w:r>
          </w:p>
        </w:tc>
        <w:tc>
          <w:tcPr>
            <w:tcW w:w="714" w:type="pct"/>
          </w:tcPr>
          <w:p w14:paraId="642EB250" w14:textId="2F5158CA" w:rsidR="00F033A6" w:rsidRPr="004523AB" w:rsidRDefault="00F033A6" w:rsidP="00B8040A">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eastAsia="Segoe UI" w:cs="Segoe UI"/>
                <w:color w:val="000000"/>
                <w:sz w:val="23"/>
                <w:szCs w:val="23"/>
              </w:rPr>
              <w:t>79 (16.1</w:t>
            </w:r>
            <w:r w:rsidR="00C8032F" w:rsidRPr="004523AB">
              <w:rPr>
                <w:rFonts w:eastAsia="Segoe UI" w:cs="Segoe UI"/>
                <w:color w:val="000000"/>
                <w:szCs w:val="21"/>
              </w:rPr>
              <w:t xml:space="preserve"> per cent)</w:t>
            </w:r>
          </w:p>
        </w:tc>
        <w:tc>
          <w:tcPr>
            <w:tcW w:w="715" w:type="pct"/>
          </w:tcPr>
          <w:p w14:paraId="6E7B8578" w14:textId="53E79FAF" w:rsidR="00F033A6" w:rsidRPr="004523AB" w:rsidRDefault="00F033A6" w:rsidP="00B8040A">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eastAsia="Segoe UI" w:cs="Segoe UI"/>
                <w:color w:val="000000"/>
                <w:sz w:val="23"/>
                <w:szCs w:val="23"/>
              </w:rPr>
              <w:t>20 (27.8</w:t>
            </w:r>
            <w:r w:rsidR="00C8032F" w:rsidRPr="004523AB">
              <w:rPr>
                <w:rFonts w:eastAsia="Segoe UI" w:cs="Segoe UI"/>
                <w:color w:val="000000"/>
                <w:szCs w:val="21"/>
              </w:rPr>
              <w:t xml:space="preserve"> per cent)</w:t>
            </w:r>
          </w:p>
        </w:tc>
      </w:tr>
    </w:tbl>
    <w:p w14:paraId="4DF1212A" w14:textId="57C02713" w:rsidR="00FC670E" w:rsidRPr="004523AB" w:rsidRDefault="00FC670E" w:rsidP="00FC670E">
      <w:pPr>
        <w:pStyle w:val="Caption"/>
      </w:pPr>
      <w:r w:rsidRPr="004523AB">
        <w:lastRenderedPageBreak/>
        <w:t xml:space="preserve">Table </w:t>
      </w:r>
      <w:r w:rsidRPr="004523AB">
        <w:fldChar w:fldCharType="begin"/>
      </w:r>
      <w:r w:rsidRPr="004523AB">
        <w:instrText xml:space="preserve"> SEQ Table \* ARABIC </w:instrText>
      </w:r>
      <w:r w:rsidRPr="004523AB">
        <w:fldChar w:fldCharType="separate"/>
      </w:r>
      <w:r w:rsidR="00B96E50">
        <w:rPr>
          <w:noProof/>
        </w:rPr>
        <w:t>36</w:t>
      </w:r>
      <w:r w:rsidRPr="004523AB">
        <w:fldChar w:fldCharType="end"/>
      </w:r>
      <w:r w:rsidRPr="004523AB">
        <w:t xml:space="preserve"> | Stream 2:</w:t>
      </w:r>
      <w:r w:rsidR="00752352" w:rsidRPr="004523AB">
        <w:t xml:space="preserve"> Has the grant enhanced your practice's capacity to handle face-to-face appointments for patients with respiratory infection symptoms</w:t>
      </w:r>
      <w:r w:rsidR="0081234C" w:rsidRPr="004523AB">
        <w:t>?</w:t>
      </w:r>
      <w:r w:rsidR="00BF0C47" w:rsidRPr="004523AB">
        <w:t xml:space="preserve"> (by MMM group)</w:t>
      </w:r>
    </w:p>
    <w:tbl>
      <w:tblPr>
        <w:tblStyle w:val="AccessibleNousTable"/>
        <w:tblW w:w="0" w:type="auto"/>
        <w:tblLayout w:type="fixed"/>
        <w:tblLook w:val="0420" w:firstRow="1" w:lastRow="0" w:firstColumn="0" w:lastColumn="0" w:noHBand="0" w:noVBand="1"/>
      </w:tblPr>
      <w:tblGrid>
        <w:gridCol w:w="4566"/>
        <w:gridCol w:w="4566"/>
        <w:gridCol w:w="4567"/>
      </w:tblGrid>
      <w:tr w:rsidR="00FC670E" w:rsidRPr="004523AB" w14:paraId="235C576D" w14:textId="77777777" w:rsidTr="006E25AA">
        <w:trPr>
          <w:cnfStyle w:val="100000000000" w:firstRow="1" w:lastRow="0" w:firstColumn="0" w:lastColumn="0" w:oddVBand="0" w:evenVBand="0" w:oddHBand="0" w:evenHBand="0" w:firstRowFirstColumn="0" w:firstRowLastColumn="0" w:lastRowFirstColumn="0" w:lastRowLastColumn="0"/>
          <w:trHeight w:val="250"/>
          <w:tblHeader/>
        </w:trPr>
        <w:tc>
          <w:tcPr>
            <w:tcW w:w="4566" w:type="dxa"/>
          </w:tcPr>
          <w:p w14:paraId="340ADB0A" w14:textId="77777777" w:rsidR="00FC670E" w:rsidRPr="004523AB" w:rsidRDefault="00FC670E" w:rsidP="00752352">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MMM 1 &amp; 2</w:t>
            </w:r>
          </w:p>
        </w:tc>
        <w:tc>
          <w:tcPr>
            <w:tcW w:w="4566" w:type="dxa"/>
          </w:tcPr>
          <w:p w14:paraId="1F81E819" w14:textId="77777777" w:rsidR="00FC670E" w:rsidRPr="004523AB" w:rsidRDefault="00FC670E" w:rsidP="00752352">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MMM 3,4 &amp; 5</w:t>
            </w:r>
          </w:p>
        </w:tc>
        <w:tc>
          <w:tcPr>
            <w:tcW w:w="4567" w:type="dxa"/>
          </w:tcPr>
          <w:p w14:paraId="55B1DC46" w14:textId="77777777" w:rsidR="00FC670E" w:rsidRPr="004523AB" w:rsidRDefault="00FC670E" w:rsidP="00752352">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MMM 6 &amp; 7</w:t>
            </w:r>
          </w:p>
        </w:tc>
      </w:tr>
      <w:tr w:rsidR="00FC670E" w:rsidRPr="004523AB" w14:paraId="17DA4B4B" w14:textId="77777777" w:rsidTr="00FC670E">
        <w:trPr>
          <w:trHeight w:val="250"/>
        </w:trPr>
        <w:tc>
          <w:tcPr>
            <w:tcW w:w="4566" w:type="dxa"/>
          </w:tcPr>
          <w:p w14:paraId="2892BCF4" w14:textId="75C550F4" w:rsidR="00FC670E" w:rsidRPr="004523AB" w:rsidRDefault="00FC670E" w:rsidP="00752352">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2,443 (88.4</w:t>
            </w:r>
            <w:r w:rsidR="00634DD5" w:rsidRPr="004523AB">
              <w:rPr>
                <w:rFonts w:eastAsia="Segoe UI" w:cs="Segoe UI"/>
                <w:color w:val="000000"/>
                <w:szCs w:val="21"/>
              </w:rPr>
              <w:t xml:space="preserve"> per cent)</w:t>
            </w:r>
          </w:p>
        </w:tc>
        <w:tc>
          <w:tcPr>
            <w:tcW w:w="4566" w:type="dxa"/>
          </w:tcPr>
          <w:p w14:paraId="206793A4" w14:textId="4CD6FCC1" w:rsidR="00FC670E" w:rsidRPr="004523AB" w:rsidRDefault="00FC670E" w:rsidP="00752352">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403 (82.2</w:t>
            </w:r>
            <w:r w:rsidR="00634DD5" w:rsidRPr="004523AB">
              <w:rPr>
                <w:rFonts w:eastAsia="Segoe UI" w:cs="Segoe UI"/>
                <w:color w:val="000000"/>
                <w:szCs w:val="21"/>
              </w:rPr>
              <w:t xml:space="preserve"> per cent)</w:t>
            </w:r>
          </w:p>
        </w:tc>
        <w:tc>
          <w:tcPr>
            <w:tcW w:w="4567" w:type="dxa"/>
          </w:tcPr>
          <w:p w14:paraId="4097BA7E" w14:textId="3FF4DD2E" w:rsidR="00FC670E" w:rsidRPr="004523AB" w:rsidRDefault="00FC670E" w:rsidP="00752352">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55 (76.4</w:t>
            </w:r>
            <w:r w:rsidR="00634DD5" w:rsidRPr="004523AB">
              <w:rPr>
                <w:rFonts w:eastAsia="Segoe UI" w:cs="Segoe UI"/>
                <w:color w:val="000000"/>
                <w:szCs w:val="21"/>
              </w:rPr>
              <w:t xml:space="preserve"> per cent)</w:t>
            </w:r>
          </w:p>
        </w:tc>
      </w:tr>
    </w:tbl>
    <w:p w14:paraId="2B77FC35" w14:textId="77777777" w:rsidR="00234135" w:rsidRPr="004523AB" w:rsidRDefault="00234135">
      <w:pPr>
        <w:spacing w:after="165" w:line="259" w:lineRule="auto"/>
        <w:rPr>
          <w:lang w:eastAsia="en-AU"/>
        </w:rPr>
      </w:pPr>
      <w:r w:rsidRPr="004523AB">
        <w:rPr>
          <w:lang w:eastAsia="en-AU"/>
        </w:rPr>
        <w:br w:type="page"/>
      </w:r>
    </w:p>
    <w:p w14:paraId="076F6B82" w14:textId="2FC00B0F" w:rsidR="004F2B1E" w:rsidRPr="004523AB" w:rsidRDefault="004F2B1E" w:rsidP="004F2B1E">
      <w:pPr>
        <w:pStyle w:val="Caption"/>
      </w:pPr>
      <w:r w:rsidRPr="004523AB">
        <w:lastRenderedPageBreak/>
        <w:t xml:space="preserve">Table </w:t>
      </w:r>
      <w:r w:rsidRPr="004523AB">
        <w:fldChar w:fldCharType="begin"/>
      </w:r>
      <w:r w:rsidRPr="004523AB">
        <w:instrText xml:space="preserve"> SEQ Table \* ARABIC </w:instrText>
      </w:r>
      <w:r w:rsidRPr="004523AB">
        <w:fldChar w:fldCharType="separate"/>
      </w:r>
      <w:r w:rsidR="00B96E50">
        <w:rPr>
          <w:noProof/>
        </w:rPr>
        <w:t>37</w:t>
      </w:r>
      <w:r w:rsidRPr="004523AB">
        <w:fldChar w:fldCharType="end"/>
      </w:r>
      <w:r w:rsidRPr="004523AB">
        <w:t xml:space="preserve"> | Stream 3: What was your aim in using this grant? (by MMM group)</w:t>
      </w:r>
    </w:p>
    <w:tbl>
      <w:tblPr>
        <w:tblStyle w:val="AccessibleNousTable"/>
        <w:tblW w:w="0" w:type="auto"/>
        <w:tblLayout w:type="fixed"/>
        <w:tblLook w:val="0420" w:firstRow="1" w:lastRow="0" w:firstColumn="0" w:lastColumn="0" w:noHBand="0" w:noVBand="1"/>
      </w:tblPr>
      <w:tblGrid>
        <w:gridCol w:w="5346"/>
        <w:gridCol w:w="2673"/>
        <w:gridCol w:w="2673"/>
        <w:gridCol w:w="2673"/>
      </w:tblGrid>
      <w:tr w:rsidR="00234135" w:rsidRPr="004523AB" w14:paraId="4E30770A" w14:textId="77777777" w:rsidTr="006E25AA">
        <w:trPr>
          <w:cnfStyle w:val="100000000000" w:firstRow="1" w:lastRow="0" w:firstColumn="0" w:lastColumn="0" w:oddVBand="0" w:evenVBand="0" w:oddHBand="0" w:evenHBand="0" w:firstRowFirstColumn="0" w:firstRowLastColumn="0" w:lastRowFirstColumn="0" w:lastRowLastColumn="0"/>
          <w:trHeight w:val="322"/>
          <w:tblHeader/>
        </w:trPr>
        <w:tc>
          <w:tcPr>
            <w:tcW w:w="5346" w:type="dxa"/>
          </w:tcPr>
          <w:p w14:paraId="35134D47" w14:textId="77777777" w:rsidR="00234135" w:rsidRPr="004523AB" w:rsidRDefault="00234135" w:rsidP="00EE267F">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Response</w:t>
            </w:r>
          </w:p>
        </w:tc>
        <w:tc>
          <w:tcPr>
            <w:tcW w:w="2673" w:type="dxa"/>
          </w:tcPr>
          <w:p w14:paraId="11E71237" w14:textId="25D1910D" w:rsidR="00234135" w:rsidRPr="004523AB" w:rsidRDefault="00234135" w:rsidP="00EE267F">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MMM 1 &amp; 2</w:t>
            </w:r>
          </w:p>
        </w:tc>
        <w:tc>
          <w:tcPr>
            <w:tcW w:w="2673" w:type="dxa"/>
          </w:tcPr>
          <w:p w14:paraId="68B280B3" w14:textId="73B65CA3" w:rsidR="00234135" w:rsidRPr="004523AB" w:rsidRDefault="00234135" w:rsidP="00EE267F">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MMM 3,4 &amp; 5</w:t>
            </w:r>
          </w:p>
        </w:tc>
        <w:tc>
          <w:tcPr>
            <w:tcW w:w="2673" w:type="dxa"/>
          </w:tcPr>
          <w:p w14:paraId="40887655" w14:textId="360CCCE8" w:rsidR="00234135" w:rsidRPr="004523AB" w:rsidRDefault="00234135" w:rsidP="00EE267F">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MMM 6 &amp; 7</w:t>
            </w:r>
          </w:p>
        </w:tc>
      </w:tr>
      <w:tr w:rsidR="00234135" w:rsidRPr="004523AB" w14:paraId="1935D68D" w14:textId="77777777" w:rsidTr="00EE267F">
        <w:trPr>
          <w:trHeight w:val="232"/>
        </w:trPr>
        <w:tc>
          <w:tcPr>
            <w:tcW w:w="5346" w:type="dxa"/>
          </w:tcPr>
          <w:p w14:paraId="5884F2D1" w14:textId="77777777" w:rsidR="00234135" w:rsidRPr="004523AB" w:rsidRDefault="00234135" w:rsidP="00EE267F">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Maintain accreditation</w:t>
            </w:r>
          </w:p>
        </w:tc>
        <w:tc>
          <w:tcPr>
            <w:tcW w:w="2673" w:type="dxa"/>
          </w:tcPr>
          <w:p w14:paraId="7F642CC4" w14:textId="12AC0921" w:rsidR="00234135" w:rsidRPr="004523AB" w:rsidRDefault="00234135" w:rsidP="00EE267F">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2,550 (79.6</w:t>
            </w:r>
            <w:r w:rsidR="00634DD5" w:rsidRPr="004523AB">
              <w:rPr>
                <w:rFonts w:eastAsia="Segoe UI" w:cs="Segoe UI"/>
                <w:color w:val="000000"/>
                <w:szCs w:val="21"/>
              </w:rPr>
              <w:t xml:space="preserve"> per cent)</w:t>
            </w:r>
          </w:p>
        </w:tc>
        <w:tc>
          <w:tcPr>
            <w:tcW w:w="2673" w:type="dxa"/>
          </w:tcPr>
          <w:p w14:paraId="41164A2C" w14:textId="62DF0017" w:rsidR="00234135" w:rsidRPr="004523AB" w:rsidRDefault="00234135" w:rsidP="00EE267F">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563 (85.4</w:t>
            </w:r>
            <w:r w:rsidR="00634DD5" w:rsidRPr="004523AB">
              <w:rPr>
                <w:rFonts w:eastAsia="Segoe UI" w:cs="Segoe UI"/>
                <w:color w:val="000000"/>
                <w:szCs w:val="21"/>
              </w:rPr>
              <w:t xml:space="preserve"> per cent)</w:t>
            </w:r>
          </w:p>
        </w:tc>
        <w:tc>
          <w:tcPr>
            <w:tcW w:w="2673" w:type="dxa"/>
          </w:tcPr>
          <w:p w14:paraId="0F285447" w14:textId="30C05364" w:rsidR="00234135" w:rsidRPr="004523AB" w:rsidRDefault="00234135" w:rsidP="00EE267F">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74 (87.1</w:t>
            </w:r>
            <w:r w:rsidR="00634DD5" w:rsidRPr="004523AB">
              <w:rPr>
                <w:rFonts w:eastAsia="Segoe UI" w:cs="Segoe UI"/>
                <w:color w:val="000000"/>
                <w:szCs w:val="21"/>
              </w:rPr>
              <w:t xml:space="preserve"> per cent)</w:t>
            </w:r>
          </w:p>
        </w:tc>
      </w:tr>
      <w:tr w:rsidR="00234135" w:rsidRPr="004523AB" w14:paraId="7DFA28C6" w14:textId="77777777" w:rsidTr="00EE267F">
        <w:trPr>
          <w:trHeight w:val="250"/>
        </w:trPr>
        <w:tc>
          <w:tcPr>
            <w:tcW w:w="5346" w:type="dxa"/>
          </w:tcPr>
          <w:p w14:paraId="41749FE3" w14:textId="77777777" w:rsidR="00234135" w:rsidRPr="004523AB" w:rsidRDefault="00234135" w:rsidP="00EE267F">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Achieve accreditation</w:t>
            </w:r>
          </w:p>
        </w:tc>
        <w:tc>
          <w:tcPr>
            <w:tcW w:w="2673" w:type="dxa"/>
          </w:tcPr>
          <w:p w14:paraId="322697F0" w14:textId="3F527625" w:rsidR="00234135" w:rsidRPr="004523AB" w:rsidRDefault="00234135" w:rsidP="00EE267F">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437 (13.6</w:t>
            </w:r>
            <w:r w:rsidR="00634DD5" w:rsidRPr="004523AB">
              <w:rPr>
                <w:rFonts w:eastAsia="Segoe UI" w:cs="Segoe UI"/>
                <w:color w:val="000000"/>
                <w:szCs w:val="21"/>
              </w:rPr>
              <w:t xml:space="preserve"> per cent)</w:t>
            </w:r>
          </w:p>
        </w:tc>
        <w:tc>
          <w:tcPr>
            <w:tcW w:w="2673" w:type="dxa"/>
          </w:tcPr>
          <w:p w14:paraId="0D9FAF2D" w14:textId="322CAE81" w:rsidR="00234135" w:rsidRPr="004523AB" w:rsidRDefault="00234135" w:rsidP="00EE267F">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68 (10.3</w:t>
            </w:r>
            <w:r w:rsidR="00634DD5" w:rsidRPr="004523AB">
              <w:rPr>
                <w:rFonts w:eastAsia="Segoe UI" w:cs="Segoe UI"/>
                <w:color w:val="000000"/>
                <w:szCs w:val="21"/>
              </w:rPr>
              <w:t xml:space="preserve"> per cent)</w:t>
            </w:r>
          </w:p>
        </w:tc>
        <w:tc>
          <w:tcPr>
            <w:tcW w:w="2673" w:type="dxa"/>
          </w:tcPr>
          <w:p w14:paraId="421014C9" w14:textId="0A4093D6" w:rsidR="00234135" w:rsidRPr="004523AB" w:rsidRDefault="00234135" w:rsidP="00EE267F">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7 (8.2</w:t>
            </w:r>
            <w:r w:rsidR="00634DD5" w:rsidRPr="004523AB">
              <w:rPr>
                <w:rFonts w:eastAsia="Segoe UI" w:cs="Segoe UI"/>
                <w:color w:val="000000"/>
                <w:szCs w:val="21"/>
              </w:rPr>
              <w:t xml:space="preserve"> per cent)</w:t>
            </w:r>
          </w:p>
        </w:tc>
      </w:tr>
      <w:tr w:rsidR="00234135" w:rsidRPr="004523AB" w14:paraId="39823E5F" w14:textId="77777777" w:rsidTr="00EE267F">
        <w:trPr>
          <w:trHeight w:val="232"/>
        </w:trPr>
        <w:tc>
          <w:tcPr>
            <w:tcW w:w="5346" w:type="dxa"/>
          </w:tcPr>
          <w:p w14:paraId="00FB3842" w14:textId="77777777" w:rsidR="00234135" w:rsidRPr="004523AB" w:rsidRDefault="00234135" w:rsidP="00EE267F">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Register for accreditation</w:t>
            </w:r>
          </w:p>
        </w:tc>
        <w:tc>
          <w:tcPr>
            <w:tcW w:w="2673" w:type="dxa"/>
          </w:tcPr>
          <w:p w14:paraId="40A9E710" w14:textId="30DE9659" w:rsidR="00234135" w:rsidRPr="004523AB" w:rsidRDefault="00234135" w:rsidP="00EE267F">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139 (4.3</w:t>
            </w:r>
            <w:r w:rsidR="00634DD5" w:rsidRPr="004523AB">
              <w:rPr>
                <w:rFonts w:eastAsia="Segoe UI" w:cs="Segoe UI"/>
                <w:color w:val="000000"/>
                <w:szCs w:val="21"/>
              </w:rPr>
              <w:t xml:space="preserve"> per cent)</w:t>
            </w:r>
          </w:p>
        </w:tc>
        <w:tc>
          <w:tcPr>
            <w:tcW w:w="2673" w:type="dxa"/>
          </w:tcPr>
          <w:p w14:paraId="5112154C" w14:textId="7AE223C1" w:rsidR="00234135" w:rsidRPr="004523AB" w:rsidRDefault="00234135" w:rsidP="00EE267F">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13 (2.0</w:t>
            </w:r>
            <w:r w:rsidR="00634DD5" w:rsidRPr="004523AB">
              <w:rPr>
                <w:rFonts w:eastAsia="Segoe UI" w:cs="Segoe UI"/>
                <w:color w:val="000000"/>
                <w:szCs w:val="21"/>
              </w:rPr>
              <w:t xml:space="preserve"> per cent)</w:t>
            </w:r>
          </w:p>
        </w:tc>
        <w:tc>
          <w:tcPr>
            <w:tcW w:w="2673" w:type="dxa"/>
          </w:tcPr>
          <w:p w14:paraId="3DC7EAAA" w14:textId="395495D2" w:rsidR="00234135" w:rsidRPr="004523AB" w:rsidRDefault="00234135" w:rsidP="00EE267F">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3 (3.5</w:t>
            </w:r>
            <w:r w:rsidR="00634DD5" w:rsidRPr="004523AB">
              <w:rPr>
                <w:rFonts w:eastAsia="Segoe UI" w:cs="Segoe UI"/>
                <w:color w:val="000000"/>
                <w:szCs w:val="21"/>
              </w:rPr>
              <w:t xml:space="preserve"> per cent)</w:t>
            </w:r>
          </w:p>
        </w:tc>
      </w:tr>
      <w:tr w:rsidR="00234135" w:rsidRPr="004523AB" w14:paraId="2D0A8AA8" w14:textId="77777777" w:rsidTr="00EE267F">
        <w:trPr>
          <w:trHeight w:val="250"/>
        </w:trPr>
        <w:tc>
          <w:tcPr>
            <w:tcW w:w="5346" w:type="dxa"/>
          </w:tcPr>
          <w:p w14:paraId="549F8858" w14:textId="77777777" w:rsidR="00234135" w:rsidRPr="004523AB" w:rsidRDefault="00234135" w:rsidP="00EE267F">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No response</w:t>
            </w:r>
          </w:p>
        </w:tc>
        <w:tc>
          <w:tcPr>
            <w:tcW w:w="2673" w:type="dxa"/>
          </w:tcPr>
          <w:p w14:paraId="073E7CE7" w14:textId="10622A0F" w:rsidR="00234135" w:rsidRPr="004523AB" w:rsidRDefault="00234135" w:rsidP="00EE267F">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78 (2.4</w:t>
            </w:r>
            <w:r w:rsidR="00634DD5" w:rsidRPr="004523AB">
              <w:rPr>
                <w:rFonts w:eastAsia="Segoe UI" w:cs="Segoe UI"/>
                <w:color w:val="000000"/>
                <w:szCs w:val="21"/>
              </w:rPr>
              <w:t xml:space="preserve"> per cent)</w:t>
            </w:r>
          </w:p>
        </w:tc>
        <w:tc>
          <w:tcPr>
            <w:tcW w:w="2673" w:type="dxa"/>
          </w:tcPr>
          <w:p w14:paraId="034A50BC" w14:textId="795C3DE2" w:rsidR="00234135" w:rsidRPr="004523AB" w:rsidRDefault="00234135" w:rsidP="00EE267F">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15 (2.3</w:t>
            </w:r>
            <w:r w:rsidR="00634DD5" w:rsidRPr="004523AB">
              <w:rPr>
                <w:rFonts w:eastAsia="Segoe UI" w:cs="Segoe UI"/>
                <w:color w:val="000000"/>
                <w:szCs w:val="21"/>
              </w:rPr>
              <w:t xml:space="preserve"> per cent)</w:t>
            </w:r>
          </w:p>
        </w:tc>
        <w:tc>
          <w:tcPr>
            <w:tcW w:w="2673" w:type="dxa"/>
          </w:tcPr>
          <w:p w14:paraId="5507F338" w14:textId="36F37EA5" w:rsidR="00234135" w:rsidRPr="004523AB" w:rsidRDefault="00234135" w:rsidP="00EE267F">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 (1.2</w:t>
            </w:r>
            <w:r w:rsidR="00634DD5" w:rsidRPr="004523AB">
              <w:rPr>
                <w:rFonts w:eastAsia="Segoe UI" w:cs="Segoe UI"/>
                <w:color w:val="000000"/>
                <w:szCs w:val="21"/>
              </w:rPr>
              <w:t xml:space="preserve"> per cent)</w:t>
            </w:r>
          </w:p>
        </w:tc>
      </w:tr>
    </w:tbl>
    <w:p w14:paraId="2B2D53CF" w14:textId="61DCD605" w:rsidR="00241112" w:rsidRPr="004523AB" w:rsidRDefault="00241112" w:rsidP="00241112">
      <w:pPr>
        <w:pStyle w:val="Caption"/>
      </w:pPr>
      <w:r w:rsidRPr="004523AB">
        <w:t xml:space="preserve">Table </w:t>
      </w:r>
      <w:r w:rsidRPr="004523AB">
        <w:fldChar w:fldCharType="begin"/>
      </w:r>
      <w:r w:rsidRPr="004523AB">
        <w:instrText xml:space="preserve"> SEQ Table \* ARABIC </w:instrText>
      </w:r>
      <w:r w:rsidRPr="004523AB">
        <w:fldChar w:fldCharType="separate"/>
      </w:r>
      <w:r w:rsidR="00B96E50">
        <w:rPr>
          <w:noProof/>
        </w:rPr>
        <w:t>38</w:t>
      </w:r>
      <w:r w:rsidRPr="004523AB">
        <w:fldChar w:fldCharType="end"/>
      </w:r>
      <w:r w:rsidRPr="004523AB">
        <w:t xml:space="preserve"> | Stream 3: What did you spend grant funds on to maintain or achieve accreditation?</w:t>
      </w:r>
      <w:r w:rsidR="00BF0C47" w:rsidRPr="004523AB">
        <w:t xml:space="preserve"> (by MMM group)</w:t>
      </w:r>
    </w:p>
    <w:tbl>
      <w:tblPr>
        <w:tblStyle w:val="AccessibleNousTable"/>
        <w:tblW w:w="0" w:type="auto"/>
        <w:tblLayout w:type="fixed"/>
        <w:tblLook w:val="0420" w:firstRow="1" w:lastRow="0" w:firstColumn="0" w:lastColumn="0" w:noHBand="0" w:noVBand="1"/>
      </w:tblPr>
      <w:tblGrid>
        <w:gridCol w:w="5338"/>
        <w:gridCol w:w="2669"/>
        <w:gridCol w:w="2669"/>
        <w:gridCol w:w="2669"/>
      </w:tblGrid>
      <w:tr w:rsidR="00922D11" w:rsidRPr="004523AB" w14:paraId="53D402C3" w14:textId="77777777" w:rsidTr="006E25AA">
        <w:trPr>
          <w:cnfStyle w:val="100000000000" w:firstRow="1" w:lastRow="0" w:firstColumn="0" w:lastColumn="0" w:oddVBand="0" w:evenVBand="0" w:oddHBand="0" w:evenHBand="0" w:firstRowFirstColumn="0" w:firstRowLastColumn="0" w:lastRowFirstColumn="0" w:lastRowLastColumn="0"/>
          <w:trHeight w:val="337"/>
          <w:tblHeader/>
        </w:trPr>
        <w:tc>
          <w:tcPr>
            <w:tcW w:w="5338" w:type="dxa"/>
          </w:tcPr>
          <w:p w14:paraId="05074979" w14:textId="77777777" w:rsidR="00922D11" w:rsidRPr="004523AB" w:rsidRDefault="00922D11" w:rsidP="00634DD5">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Response</w:t>
            </w:r>
          </w:p>
        </w:tc>
        <w:tc>
          <w:tcPr>
            <w:tcW w:w="2669" w:type="dxa"/>
          </w:tcPr>
          <w:p w14:paraId="285D8086" w14:textId="34A60D94" w:rsidR="00922D11" w:rsidRPr="004523AB" w:rsidRDefault="00922D11" w:rsidP="00634DD5">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MMM 1 &amp; 2</w:t>
            </w:r>
          </w:p>
        </w:tc>
        <w:tc>
          <w:tcPr>
            <w:tcW w:w="2669" w:type="dxa"/>
          </w:tcPr>
          <w:p w14:paraId="26185D23" w14:textId="6163C21A" w:rsidR="00922D11" w:rsidRPr="004523AB" w:rsidRDefault="00922D11" w:rsidP="00634DD5">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MMM 3,4 &amp; 5</w:t>
            </w:r>
          </w:p>
        </w:tc>
        <w:tc>
          <w:tcPr>
            <w:tcW w:w="2669" w:type="dxa"/>
          </w:tcPr>
          <w:p w14:paraId="039A5C4F" w14:textId="4B1A4965" w:rsidR="00922D11" w:rsidRPr="004523AB" w:rsidRDefault="00922D11" w:rsidP="00634DD5">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MMM 6 &amp; 7</w:t>
            </w:r>
          </w:p>
        </w:tc>
      </w:tr>
      <w:tr w:rsidR="00922D11" w:rsidRPr="004523AB" w14:paraId="00AA6354" w14:textId="77777777" w:rsidTr="00922D11">
        <w:trPr>
          <w:trHeight w:val="243"/>
        </w:trPr>
        <w:tc>
          <w:tcPr>
            <w:tcW w:w="5338" w:type="dxa"/>
          </w:tcPr>
          <w:p w14:paraId="1A89BC97" w14:textId="77777777" w:rsidR="00922D11" w:rsidRPr="004523AB" w:rsidRDefault="00922D11" w:rsidP="00634DD5">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Accessibility improvements for patients</w:t>
            </w:r>
          </w:p>
        </w:tc>
        <w:tc>
          <w:tcPr>
            <w:tcW w:w="2669" w:type="dxa"/>
          </w:tcPr>
          <w:p w14:paraId="3114BD2E" w14:textId="205254AC" w:rsidR="00922D11" w:rsidRPr="004523AB" w:rsidRDefault="00922D11" w:rsidP="00634DD5">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1,173 (36.6</w:t>
            </w:r>
            <w:r w:rsidR="00634DD5" w:rsidRPr="004523AB">
              <w:rPr>
                <w:rFonts w:eastAsia="Segoe UI" w:cs="Segoe UI"/>
                <w:color w:val="000000"/>
                <w:szCs w:val="21"/>
              </w:rPr>
              <w:t xml:space="preserve"> per cent)</w:t>
            </w:r>
          </w:p>
        </w:tc>
        <w:tc>
          <w:tcPr>
            <w:tcW w:w="2669" w:type="dxa"/>
          </w:tcPr>
          <w:p w14:paraId="03AA5CC4" w14:textId="43F43896" w:rsidR="00922D11" w:rsidRPr="004523AB" w:rsidRDefault="00922D11" w:rsidP="00634DD5">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221 (33.5</w:t>
            </w:r>
            <w:r w:rsidR="00634DD5" w:rsidRPr="004523AB">
              <w:rPr>
                <w:rFonts w:eastAsia="Segoe UI" w:cs="Segoe UI"/>
                <w:color w:val="000000"/>
                <w:szCs w:val="21"/>
              </w:rPr>
              <w:t xml:space="preserve"> per cent)</w:t>
            </w:r>
          </w:p>
        </w:tc>
        <w:tc>
          <w:tcPr>
            <w:tcW w:w="2669" w:type="dxa"/>
          </w:tcPr>
          <w:p w14:paraId="39B57085" w14:textId="72153DAB" w:rsidR="00922D11" w:rsidRPr="004523AB" w:rsidRDefault="00922D11" w:rsidP="00634DD5">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32 (37.6</w:t>
            </w:r>
            <w:r w:rsidR="00634DD5" w:rsidRPr="004523AB">
              <w:rPr>
                <w:rFonts w:eastAsia="Segoe UI" w:cs="Segoe UI"/>
                <w:color w:val="000000"/>
                <w:szCs w:val="21"/>
              </w:rPr>
              <w:t xml:space="preserve"> per cent)</w:t>
            </w:r>
          </w:p>
        </w:tc>
      </w:tr>
      <w:tr w:rsidR="00922D11" w:rsidRPr="004523AB" w14:paraId="7EC4F853" w14:textId="77777777" w:rsidTr="00922D11">
        <w:trPr>
          <w:trHeight w:val="262"/>
        </w:trPr>
        <w:tc>
          <w:tcPr>
            <w:tcW w:w="5338" w:type="dxa"/>
          </w:tcPr>
          <w:p w14:paraId="23B14C28" w14:textId="77777777" w:rsidR="00922D11" w:rsidRPr="004523AB" w:rsidRDefault="00922D11" w:rsidP="00634DD5">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Quality and safety improvements for patients</w:t>
            </w:r>
          </w:p>
        </w:tc>
        <w:tc>
          <w:tcPr>
            <w:tcW w:w="2669" w:type="dxa"/>
          </w:tcPr>
          <w:p w14:paraId="63C36EAD" w14:textId="4313E99C" w:rsidR="00922D11" w:rsidRPr="004523AB" w:rsidRDefault="00922D11" w:rsidP="00634DD5">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2,110 (65.9</w:t>
            </w:r>
            <w:r w:rsidR="00634DD5" w:rsidRPr="004523AB">
              <w:rPr>
                <w:rFonts w:eastAsia="Segoe UI" w:cs="Segoe UI"/>
                <w:color w:val="000000"/>
                <w:szCs w:val="21"/>
              </w:rPr>
              <w:t xml:space="preserve"> per cent)</w:t>
            </w:r>
          </w:p>
        </w:tc>
        <w:tc>
          <w:tcPr>
            <w:tcW w:w="2669" w:type="dxa"/>
          </w:tcPr>
          <w:p w14:paraId="5B79C783" w14:textId="09D2E281" w:rsidR="00922D11" w:rsidRPr="004523AB" w:rsidRDefault="00922D11" w:rsidP="00634DD5">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417 (63.3</w:t>
            </w:r>
            <w:r w:rsidR="00634DD5" w:rsidRPr="004523AB">
              <w:rPr>
                <w:rFonts w:eastAsia="Segoe UI" w:cs="Segoe UI"/>
                <w:color w:val="000000"/>
                <w:szCs w:val="21"/>
              </w:rPr>
              <w:t xml:space="preserve"> per cent)</w:t>
            </w:r>
          </w:p>
        </w:tc>
        <w:tc>
          <w:tcPr>
            <w:tcW w:w="2669" w:type="dxa"/>
          </w:tcPr>
          <w:p w14:paraId="69E7DAE2" w14:textId="720AFBFB" w:rsidR="00922D11" w:rsidRPr="004523AB" w:rsidRDefault="00922D11" w:rsidP="00634DD5">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62 (72.9</w:t>
            </w:r>
            <w:r w:rsidR="00634DD5" w:rsidRPr="004523AB">
              <w:rPr>
                <w:rFonts w:eastAsia="Segoe UI" w:cs="Segoe UI"/>
                <w:color w:val="000000"/>
                <w:szCs w:val="21"/>
              </w:rPr>
              <w:t xml:space="preserve"> per cent)</w:t>
            </w:r>
          </w:p>
        </w:tc>
      </w:tr>
      <w:tr w:rsidR="00922D11" w:rsidRPr="004523AB" w14:paraId="5B8E538F" w14:textId="77777777" w:rsidTr="00922D11">
        <w:trPr>
          <w:trHeight w:val="486"/>
        </w:trPr>
        <w:tc>
          <w:tcPr>
            <w:tcW w:w="5338" w:type="dxa"/>
          </w:tcPr>
          <w:p w14:paraId="65777B64" w14:textId="77777777" w:rsidR="00922D11" w:rsidRPr="004523AB" w:rsidRDefault="00922D11" w:rsidP="00634DD5">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 xml:space="preserve">Supporting the health, wellbeing and safety of staff </w:t>
            </w:r>
          </w:p>
        </w:tc>
        <w:tc>
          <w:tcPr>
            <w:tcW w:w="2669" w:type="dxa"/>
          </w:tcPr>
          <w:p w14:paraId="33C59341" w14:textId="1E1B3D0E" w:rsidR="00922D11" w:rsidRPr="004523AB" w:rsidRDefault="00922D11" w:rsidP="00634DD5">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1,560 (48.7</w:t>
            </w:r>
            <w:r w:rsidR="00634DD5" w:rsidRPr="004523AB">
              <w:rPr>
                <w:rFonts w:eastAsia="Segoe UI" w:cs="Segoe UI"/>
                <w:color w:val="000000"/>
                <w:szCs w:val="21"/>
              </w:rPr>
              <w:t xml:space="preserve"> per cent)</w:t>
            </w:r>
          </w:p>
        </w:tc>
        <w:tc>
          <w:tcPr>
            <w:tcW w:w="2669" w:type="dxa"/>
          </w:tcPr>
          <w:p w14:paraId="3DAEFBFB" w14:textId="7FF6BB29" w:rsidR="00922D11" w:rsidRPr="004523AB" w:rsidRDefault="00922D11" w:rsidP="00634DD5">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248 (37.6</w:t>
            </w:r>
            <w:r w:rsidR="00634DD5" w:rsidRPr="004523AB">
              <w:rPr>
                <w:rFonts w:eastAsia="Segoe UI" w:cs="Segoe UI"/>
                <w:color w:val="000000"/>
                <w:szCs w:val="21"/>
              </w:rPr>
              <w:t xml:space="preserve"> per cent)</w:t>
            </w:r>
          </w:p>
        </w:tc>
        <w:tc>
          <w:tcPr>
            <w:tcW w:w="2669" w:type="dxa"/>
          </w:tcPr>
          <w:p w14:paraId="7D059E14" w14:textId="7ADE2D4B" w:rsidR="00922D11" w:rsidRPr="004523AB" w:rsidRDefault="00922D11" w:rsidP="00634DD5">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29 (34.1</w:t>
            </w:r>
            <w:r w:rsidR="00634DD5" w:rsidRPr="004523AB">
              <w:rPr>
                <w:rFonts w:eastAsia="Segoe UI" w:cs="Segoe UI"/>
                <w:color w:val="000000"/>
                <w:szCs w:val="21"/>
              </w:rPr>
              <w:t xml:space="preserve"> per cent)</w:t>
            </w:r>
          </w:p>
        </w:tc>
      </w:tr>
      <w:tr w:rsidR="00922D11" w:rsidRPr="004523AB" w14:paraId="675B421C" w14:textId="77777777" w:rsidTr="00922D11">
        <w:trPr>
          <w:trHeight w:val="243"/>
        </w:trPr>
        <w:tc>
          <w:tcPr>
            <w:tcW w:w="5338" w:type="dxa"/>
          </w:tcPr>
          <w:p w14:paraId="7E287D2C" w14:textId="77777777" w:rsidR="00922D11" w:rsidRPr="004523AB" w:rsidRDefault="00922D11" w:rsidP="00634DD5">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 xml:space="preserve">Purchase of equipment </w:t>
            </w:r>
          </w:p>
        </w:tc>
        <w:tc>
          <w:tcPr>
            <w:tcW w:w="2669" w:type="dxa"/>
          </w:tcPr>
          <w:p w14:paraId="7256F439" w14:textId="51851706" w:rsidR="00922D11" w:rsidRPr="004523AB" w:rsidRDefault="00922D11" w:rsidP="00634DD5">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2,497 (77.9</w:t>
            </w:r>
            <w:r w:rsidR="00634DD5" w:rsidRPr="004523AB">
              <w:rPr>
                <w:rFonts w:eastAsia="Segoe UI" w:cs="Segoe UI"/>
                <w:color w:val="000000"/>
                <w:szCs w:val="21"/>
              </w:rPr>
              <w:t xml:space="preserve"> per cent)</w:t>
            </w:r>
          </w:p>
        </w:tc>
        <w:tc>
          <w:tcPr>
            <w:tcW w:w="2669" w:type="dxa"/>
          </w:tcPr>
          <w:p w14:paraId="0CE416A3" w14:textId="2326E6C8" w:rsidR="00922D11" w:rsidRPr="004523AB" w:rsidRDefault="00922D11" w:rsidP="00634DD5">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492 (74.7</w:t>
            </w:r>
            <w:r w:rsidR="00634DD5" w:rsidRPr="004523AB">
              <w:rPr>
                <w:rFonts w:eastAsia="Segoe UI" w:cs="Segoe UI"/>
                <w:color w:val="000000"/>
                <w:szCs w:val="21"/>
              </w:rPr>
              <w:t xml:space="preserve"> per cent)</w:t>
            </w:r>
          </w:p>
        </w:tc>
        <w:tc>
          <w:tcPr>
            <w:tcW w:w="2669" w:type="dxa"/>
          </w:tcPr>
          <w:p w14:paraId="25451C4B" w14:textId="2541D85E" w:rsidR="00922D11" w:rsidRPr="004523AB" w:rsidRDefault="00922D11" w:rsidP="00634DD5">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53 (62.4</w:t>
            </w:r>
            <w:r w:rsidR="00634DD5" w:rsidRPr="004523AB">
              <w:rPr>
                <w:rFonts w:eastAsia="Segoe UI" w:cs="Segoe UI"/>
                <w:color w:val="000000"/>
                <w:szCs w:val="21"/>
              </w:rPr>
              <w:t xml:space="preserve"> per cent)</w:t>
            </w:r>
          </w:p>
        </w:tc>
      </w:tr>
      <w:tr w:rsidR="00922D11" w:rsidRPr="004523AB" w14:paraId="13DFD297" w14:textId="77777777" w:rsidTr="00922D11">
        <w:trPr>
          <w:trHeight w:val="262"/>
        </w:trPr>
        <w:tc>
          <w:tcPr>
            <w:tcW w:w="5338" w:type="dxa"/>
          </w:tcPr>
          <w:p w14:paraId="33041659" w14:textId="77777777" w:rsidR="00922D11" w:rsidRPr="004523AB" w:rsidRDefault="00922D11" w:rsidP="00634DD5">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Reimbursement of staff time</w:t>
            </w:r>
          </w:p>
        </w:tc>
        <w:tc>
          <w:tcPr>
            <w:tcW w:w="2669" w:type="dxa"/>
          </w:tcPr>
          <w:p w14:paraId="3EDA1692" w14:textId="1F739E74" w:rsidR="00922D11" w:rsidRPr="004523AB" w:rsidRDefault="00922D11" w:rsidP="00634DD5">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1,138 (35.5</w:t>
            </w:r>
            <w:r w:rsidR="00634DD5" w:rsidRPr="004523AB">
              <w:rPr>
                <w:rFonts w:eastAsia="Segoe UI" w:cs="Segoe UI"/>
                <w:color w:val="000000"/>
                <w:szCs w:val="21"/>
              </w:rPr>
              <w:t xml:space="preserve"> per cent)</w:t>
            </w:r>
          </w:p>
        </w:tc>
        <w:tc>
          <w:tcPr>
            <w:tcW w:w="2669" w:type="dxa"/>
          </w:tcPr>
          <w:p w14:paraId="4FA0A865" w14:textId="19C24D7A" w:rsidR="00922D11" w:rsidRPr="004523AB" w:rsidRDefault="00922D11" w:rsidP="00634DD5">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194 (29.4</w:t>
            </w:r>
            <w:r w:rsidR="00634DD5" w:rsidRPr="004523AB">
              <w:rPr>
                <w:rFonts w:eastAsia="Segoe UI" w:cs="Segoe UI"/>
                <w:color w:val="000000"/>
                <w:szCs w:val="21"/>
              </w:rPr>
              <w:t xml:space="preserve"> per cent)</w:t>
            </w:r>
          </w:p>
        </w:tc>
        <w:tc>
          <w:tcPr>
            <w:tcW w:w="2669" w:type="dxa"/>
          </w:tcPr>
          <w:p w14:paraId="6168FDDC" w14:textId="1BF121AA" w:rsidR="00922D11" w:rsidRPr="004523AB" w:rsidRDefault="00922D11" w:rsidP="00634DD5">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43 (50.6</w:t>
            </w:r>
            <w:r w:rsidR="00634DD5" w:rsidRPr="004523AB">
              <w:rPr>
                <w:rFonts w:eastAsia="Segoe UI" w:cs="Segoe UI"/>
                <w:color w:val="000000"/>
                <w:szCs w:val="21"/>
              </w:rPr>
              <w:t xml:space="preserve"> per cent)</w:t>
            </w:r>
          </w:p>
        </w:tc>
      </w:tr>
      <w:tr w:rsidR="00922D11" w:rsidRPr="004523AB" w14:paraId="73342BC7" w14:textId="77777777" w:rsidTr="00922D11">
        <w:trPr>
          <w:trHeight w:val="243"/>
        </w:trPr>
        <w:tc>
          <w:tcPr>
            <w:tcW w:w="5338" w:type="dxa"/>
          </w:tcPr>
          <w:p w14:paraId="0C9EB364" w14:textId="77777777" w:rsidR="00922D11" w:rsidRPr="004523AB" w:rsidRDefault="00922D11" w:rsidP="00634DD5">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 xml:space="preserve">Minor capital works </w:t>
            </w:r>
          </w:p>
        </w:tc>
        <w:tc>
          <w:tcPr>
            <w:tcW w:w="2669" w:type="dxa"/>
          </w:tcPr>
          <w:p w14:paraId="3F54B036" w14:textId="05A9F3FE" w:rsidR="00922D11" w:rsidRPr="004523AB" w:rsidRDefault="00922D11" w:rsidP="00634DD5">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742 (23.2</w:t>
            </w:r>
            <w:r w:rsidR="00634DD5" w:rsidRPr="004523AB">
              <w:rPr>
                <w:rFonts w:eastAsia="Segoe UI" w:cs="Segoe UI"/>
                <w:color w:val="000000"/>
                <w:szCs w:val="21"/>
              </w:rPr>
              <w:t xml:space="preserve"> per cent)</w:t>
            </w:r>
          </w:p>
        </w:tc>
        <w:tc>
          <w:tcPr>
            <w:tcW w:w="2669" w:type="dxa"/>
          </w:tcPr>
          <w:p w14:paraId="2EF8D9E4" w14:textId="01319295" w:rsidR="00922D11" w:rsidRPr="004523AB" w:rsidRDefault="00922D11" w:rsidP="00634DD5">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121 (18.4</w:t>
            </w:r>
            <w:r w:rsidR="00634DD5" w:rsidRPr="004523AB">
              <w:rPr>
                <w:rFonts w:eastAsia="Segoe UI" w:cs="Segoe UI"/>
                <w:color w:val="000000"/>
                <w:szCs w:val="21"/>
              </w:rPr>
              <w:t xml:space="preserve"> per cent)</w:t>
            </w:r>
          </w:p>
        </w:tc>
        <w:tc>
          <w:tcPr>
            <w:tcW w:w="2669" w:type="dxa"/>
          </w:tcPr>
          <w:p w14:paraId="1BCBC43D" w14:textId="5EDBE5BE" w:rsidR="00922D11" w:rsidRPr="004523AB" w:rsidRDefault="00922D11" w:rsidP="00634DD5">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8 (9.4</w:t>
            </w:r>
            <w:r w:rsidR="00634DD5" w:rsidRPr="004523AB">
              <w:rPr>
                <w:rFonts w:eastAsia="Segoe UI" w:cs="Segoe UI"/>
                <w:color w:val="000000"/>
                <w:szCs w:val="21"/>
              </w:rPr>
              <w:t xml:space="preserve"> per cent)</w:t>
            </w:r>
          </w:p>
        </w:tc>
      </w:tr>
      <w:tr w:rsidR="00922D11" w:rsidRPr="004523AB" w14:paraId="5F8ADDF9" w14:textId="77777777" w:rsidTr="00922D11">
        <w:trPr>
          <w:trHeight w:val="262"/>
        </w:trPr>
        <w:tc>
          <w:tcPr>
            <w:tcW w:w="5338" w:type="dxa"/>
          </w:tcPr>
          <w:p w14:paraId="33806668" w14:textId="77777777" w:rsidR="00922D11" w:rsidRPr="004523AB" w:rsidRDefault="00922D11" w:rsidP="00634DD5">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Upskilling of staff / staff training</w:t>
            </w:r>
          </w:p>
        </w:tc>
        <w:tc>
          <w:tcPr>
            <w:tcW w:w="2669" w:type="dxa"/>
          </w:tcPr>
          <w:p w14:paraId="5FE57A06" w14:textId="6FF539A7" w:rsidR="00922D11" w:rsidRPr="004523AB" w:rsidRDefault="00922D11" w:rsidP="00634DD5">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1,568 (48.9</w:t>
            </w:r>
            <w:r w:rsidR="00634DD5" w:rsidRPr="004523AB">
              <w:rPr>
                <w:rFonts w:eastAsia="Segoe UI" w:cs="Segoe UI"/>
                <w:color w:val="000000"/>
                <w:szCs w:val="21"/>
              </w:rPr>
              <w:t xml:space="preserve"> per cent)</w:t>
            </w:r>
          </w:p>
        </w:tc>
        <w:tc>
          <w:tcPr>
            <w:tcW w:w="2669" w:type="dxa"/>
          </w:tcPr>
          <w:p w14:paraId="018714A5" w14:textId="376F252B" w:rsidR="00922D11" w:rsidRPr="004523AB" w:rsidRDefault="00922D11" w:rsidP="00634DD5">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277 (42.0</w:t>
            </w:r>
            <w:r w:rsidR="00634DD5" w:rsidRPr="004523AB">
              <w:rPr>
                <w:rFonts w:eastAsia="Segoe UI" w:cs="Segoe UI"/>
                <w:color w:val="000000"/>
                <w:szCs w:val="21"/>
              </w:rPr>
              <w:t xml:space="preserve"> per cent)</w:t>
            </w:r>
          </w:p>
        </w:tc>
        <w:tc>
          <w:tcPr>
            <w:tcW w:w="2669" w:type="dxa"/>
          </w:tcPr>
          <w:p w14:paraId="362FB6F6" w14:textId="650BC67B" w:rsidR="00922D11" w:rsidRPr="004523AB" w:rsidRDefault="00922D11" w:rsidP="00634DD5">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53 (62.4</w:t>
            </w:r>
            <w:r w:rsidR="00634DD5" w:rsidRPr="004523AB">
              <w:rPr>
                <w:rFonts w:eastAsia="Segoe UI" w:cs="Segoe UI"/>
                <w:color w:val="000000"/>
                <w:szCs w:val="21"/>
              </w:rPr>
              <w:t xml:space="preserve"> per cent)</w:t>
            </w:r>
          </w:p>
        </w:tc>
      </w:tr>
      <w:tr w:rsidR="00922D11" w:rsidRPr="004523AB" w14:paraId="1F9FF879" w14:textId="77777777" w:rsidTr="00922D11">
        <w:trPr>
          <w:trHeight w:val="486"/>
        </w:trPr>
        <w:tc>
          <w:tcPr>
            <w:tcW w:w="5338" w:type="dxa"/>
          </w:tcPr>
          <w:p w14:paraId="6D728042" w14:textId="77777777" w:rsidR="00922D11" w:rsidRPr="004523AB" w:rsidRDefault="00922D11" w:rsidP="00634DD5">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Other investment/s to maintain and/or achieve accreditation (please provide a brief description)</w:t>
            </w:r>
          </w:p>
        </w:tc>
        <w:tc>
          <w:tcPr>
            <w:tcW w:w="2669" w:type="dxa"/>
          </w:tcPr>
          <w:p w14:paraId="5CAF45E8" w14:textId="55259DC9" w:rsidR="00922D11" w:rsidRPr="004523AB" w:rsidRDefault="00922D11" w:rsidP="00634DD5">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413 (12.9</w:t>
            </w:r>
            <w:r w:rsidR="00634DD5" w:rsidRPr="004523AB">
              <w:rPr>
                <w:rFonts w:eastAsia="Segoe UI" w:cs="Segoe UI"/>
                <w:color w:val="000000"/>
                <w:szCs w:val="21"/>
              </w:rPr>
              <w:t xml:space="preserve"> per cent)</w:t>
            </w:r>
          </w:p>
        </w:tc>
        <w:tc>
          <w:tcPr>
            <w:tcW w:w="2669" w:type="dxa"/>
          </w:tcPr>
          <w:p w14:paraId="4B19BEB4" w14:textId="754D9BFF" w:rsidR="00922D11" w:rsidRPr="004523AB" w:rsidRDefault="00922D11" w:rsidP="00634DD5">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95 (14.4</w:t>
            </w:r>
            <w:r w:rsidR="00634DD5" w:rsidRPr="004523AB">
              <w:rPr>
                <w:rFonts w:eastAsia="Segoe UI" w:cs="Segoe UI"/>
                <w:color w:val="000000"/>
                <w:szCs w:val="21"/>
              </w:rPr>
              <w:t xml:space="preserve"> per cent)</w:t>
            </w:r>
          </w:p>
        </w:tc>
        <w:tc>
          <w:tcPr>
            <w:tcW w:w="2669" w:type="dxa"/>
          </w:tcPr>
          <w:p w14:paraId="35B5EF09" w14:textId="414B0373" w:rsidR="00922D11" w:rsidRPr="004523AB" w:rsidRDefault="00922D11" w:rsidP="00634DD5">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15 (17.6</w:t>
            </w:r>
            <w:r w:rsidR="00634DD5" w:rsidRPr="004523AB">
              <w:rPr>
                <w:rFonts w:eastAsia="Segoe UI" w:cs="Segoe UI"/>
                <w:color w:val="000000"/>
                <w:szCs w:val="21"/>
              </w:rPr>
              <w:t xml:space="preserve"> per cent)</w:t>
            </w:r>
          </w:p>
        </w:tc>
      </w:tr>
    </w:tbl>
    <w:p w14:paraId="1678844C" w14:textId="77777777" w:rsidR="002B6D10" w:rsidRPr="004523AB" w:rsidRDefault="002B6D10">
      <w:pPr>
        <w:spacing w:after="165" w:line="259" w:lineRule="auto"/>
        <w:rPr>
          <w:lang w:eastAsia="en-AU"/>
        </w:rPr>
      </w:pPr>
      <w:r w:rsidRPr="004523AB">
        <w:rPr>
          <w:lang w:eastAsia="en-AU"/>
        </w:rPr>
        <w:br w:type="page"/>
      </w:r>
    </w:p>
    <w:p w14:paraId="64641B98" w14:textId="24698B11" w:rsidR="009C4D74" w:rsidRPr="004523AB" w:rsidRDefault="009C4D74" w:rsidP="009C4D74">
      <w:pPr>
        <w:pStyle w:val="Caption"/>
      </w:pPr>
      <w:r w:rsidRPr="004523AB">
        <w:lastRenderedPageBreak/>
        <w:t xml:space="preserve">Table </w:t>
      </w:r>
      <w:r w:rsidRPr="004523AB">
        <w:fldChar w:fldCharType="begin"/>
      </w:r>
      <w:r w:rsidRPr="004523AB">
        <w:instrText xml:space="preserve"> SEQ Table \* ARABIC </w:instrText>
      </w:r>
      <w:r w:rsidRPr="004523AB">
        <w:fldChar w:fldCharType="separate"/>
      </w:r>
      <w:r w:rsidR="00B96E50">
        <w:rPr>
          <w:noProof/>
        </w:rPr>
        <w:t>39</w:t>
      </w:r>
      <w:r w:rsidRPr="004523AB">
        <w:fldChar w:fldCharType="end"/>
      </w:r>
      <w:r w:rsidRPr="004523AB">
        <w:t xml:space="preserve"> | Stream 3: What is the current accreditation status for your practice?</w:t>
      </w:r>
      <w:r w:rsidR="00BF0C47" w:rsidRPr="004523AB">
        <w:t xml:space="preserve"> (by MMM group)</w:t>
      </w:r>
    </w:p>
    <w:tbl>
      <w:tblPr>
        <w:tblStyle w:val="AccessibleNousTable"/>
        <w:tblW w:w="0" w:type="auto"/>
        <w:tblLayout w:type="fixed"/>
        <w:tblLook w:val="0420" w:firstRow="1" w:lastRow="0" w:firstColumn="0" w:lastColumn="0" w:noHBand="0" w:noVBand="1"/>
      </w:tblPr>
      <w:tblGrid>
        <w:gridCol w:w="5760"/>
        <w:gridCol w:w="2160"/>
        <w:gridCol w:w="2160"/>
        <w:gridCol w:w="2160"/>
      </w:tblGrid>
      <w:tr w:rsidR="002B6D10" w:rsidRPr="004523AB" w14:paraId="30E02B65" w14:textId="77777777" w:rsidTr="006E25AA">
        <w:trPr>
          <w:cnfStyle w:val="100000000000" w:firstRow="1" w:lastRow="0" w:firstColumn="0" w:lastColumn="0" w:oddVBand="0" w:evenVBand="0" w:oddHBand="0" w:evenHBand="0" w:firstRowFirstColumn="0" w:firstRowLastColumn="0" w:lastRowFirstColumn="0" w:lastRowLastColumn="0"/>
          <w:tblHeader/>
        </w:trPr>
        <w:tc>
          <w:tcPr>
            <w:tcW w:w="5760" w:type="dxa"/>
          </w:tcPr>
          <w:p w14:paraId="287802B2" w14:textId="77777777" w:rsidR="002B6D10" w:rsidRPr="004523AB" w:rsidRDefault="002B6D10" w:rsidP="009C4D74">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Response</w:t>
            </w:r>
          </w:p>
        </w:tc>
        <w:tc>
          <w:tcPr>
            <w:tcW w:w="2160" w:type="dxa"/>
          </w:tcPr>
          <w:p w14:paraId="54A1B4DC" w14:textId="418363C9" w:rsidR="002B6D10" w:rsidRPr="004523AB" w:rsidRDefault="002B6D10" w:rsidP="009C4D74">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MMM 1 &amp; 2</w:t>
            </w:r>
          </w:p>
        </w:tc>
        <w:tc>
          <w:tcPr>
            <w:tcW w:w="2160" w:type="dxa"/>
          </w:tcPr>
          <w:p w14:paraId="5AA43888" w14:textId="6897E332" w:rsidR="002B6D10" w:rsidRPr="004523AB" w:rsidRDefault="002B6D10" w:rsidP="009C4D74">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MMM 3,4 &amp; 5</w:t>
            </w:r>
          </w:p>
        </w:tc>
        <w:tc>
          <w:tcPr>
            <w:tcW w:w="2160" w:type="dxa"/>
          </w:tcPr>
          <w:p w14:paraId="1F0C2B27" w14:textId="25F3D274" w:rsidR="002B6D10" w:rsidRPr="004523AB" w:rsidRDefault="002B6D10" w:rsidP="009C4D74">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MMM 6 &amp; 7</w:t>
            </w:r>
          </w:p>
        </w:tc>
      </w:tr>
      <w:tr w:rsidR="002B6D10" w:rsidRPr="004523AB" w14:paraId="466F247B" w14:textId="77777777" w:rsidTr="009C4D74">
        <w:tc>
          <w:tcPr>
            <w:tcW w:w="5760" w:type="dxa"/>
          </w:tcPr>
          <w:p w14:paraId="06E8A3C7" w14:textId="77777777" w:rsidR="002B6D10" w:rsidRPr="004523AB" w:rsidRDefault="002B6D10" w:rsidP="009C4D74">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Accredited</w:t>
            </w:r>
          </w:p>
        </w:tc>
        <w:tc>
          <w:tcPr>
            <w:tcW w:w="2160" w:type="dxa"/>
          </w:tcPr>
          <w:p w14:paraId="25DFC311" w14:textId="5056A658" w:rsidR="002B6D10" w:rsidRPr="004523AB" w:rsidRDefault="002B6D10" w:rsidP="009C4D74">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2,805 (87.5</w:t>
            </w:r>
            <w:r w:rsidR="00C03CAC" w:rsidRPr="004523AB">
              <w:rPr>
                <w:rFonts w:eastAsia="Segoe UI" w:cs="Segoe UI"/>
                <w:color w:val="000000"/>
                <w:szCs w:val="21"/>
              </w:rPr>
              <w:t xml:space="preserve"> per cent)</w:t>
            </w:r>
          </w:p>
        </w:tc>
        <w:tc>
          <w:tcPr>
            <w:tcW w:w="2160" w:type="dxa"/>
          </w:tcPr>
          <w:p w14:paraId="144B1861" w14:textId="7957F447" w:rsidR="002B6D10" w:rsidRPr="004523AB" w:rsidRDefault="002B6D10" w:rsidP="009C4D74">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608 (92.3</w:t>
            </w:r>
            <w:r w:rsidR="00C03CAC" w:rsidRPr="004523AB">
              <w:rPr>
                <w:rFonts w:eastAsia="Segoe UI" w:cs="Segoe UI"/>
                <w:color w:val="000000"/>
                <w:szCs w:val="21"/>
              </w:rPr>
              <w:t xml:space="preserve"> per cent)</w:t>
            </w:r>
          </w:p>
        </w:tc>
        <w:tc>
          <w:tcPr>
            <w:tcW w:w="2160" w:type="dxa"/>
          </w:tcPr>
          <w:p w14:paraId="1FF2F35E" w14:textId="3AA2A06A" w:rsidR="002B6D10" w:rsidRPr="004523AB" w:rsidRDefault="002B6D10" w:rsidP="009C4D74">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79 (92.9</w:t>
            </w:r>
            <w:r w:rsidR="00C03CAC" w:rsidRPr="004523AB">
              <w:rPr>
                <w:rFonts w:eastAsia="Segoe UI" w:cs="Segoe UI"/>
                <w:color w:val="000000"/>
                <w:szCs w:val="21"/>
              </w:rPr>
              <w:t xml:space="preserve"> per cent)</w:t>
            </w:r>
          </w:p>
        </w:tc>
      </w:tr>
      <w:tr w:rsidR="002B6D10" w:rsidRPr="004523AB" w14:paraId="00FF1B57" w14:textId="77777777" w:rsidTr="009C4D74">
        <w:tc>
          <w:tcPr>
            <w:tcW w:w="5760" w:type="dxa"/>
          </w:tcPr>
          <w:p w14:paraId="30D75987" w14:textId="77777777" w:rsidR="002B6D10" w:rsidRPr="004523AB" w:rsidRDefault="002B6D10" w:rsidP="009C4D74">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Registered, and working towards accreditation</w:t>
            </w:r>
          </w:p>
        </w:tc>
        <w:tc>
          <w:tcPr>
            <w:tcW w:w="2160" w:type="dxa"/>
          </w:tcPr>
          <w:p w14:paraId="50925786" w14:textId="26135D59" w:rsidR="002B6D10" w:rsidRPr="004523AB" w:rsidRDefault="002B6D10" w:rsidP="009C4D74">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177 (5.5</w:t>
            </w:r>
            <w:r w:rsidR="00C03CAC" w:rsidRPr="004523AB">
              <w:rPr>
                <w:rFonts w:eastAsia="Segoe UI" w:cs="Segoe UI"/>
                <w:color w:val="000000"/>
                <w:szCs w:val="21"/>
              </w:rPr>
              <w:t xml:space="preserve"> per cent)</w:t>
            </w:r>
          </w:p>
        </w:tc>
        <w:tc>
          <w:tcPr>
            <w:tcW w:w="2160" w:type="dxa"/>
          </w:tcPr>
          <w:p w14:paraId="19349476" w14:textId="63710F57" w:rsidR="002B6D10" w:rsidRPr="004523AB" w:rsidRDefault="002B6D10" w:rsidP="009C4D74">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28 (4.2</w:t>
            </w:r>
            <w:r w:rsidR="00C03CAC" w:rsidRPr="004523AB">
              <w:rPr>
                <w:rFonts w:eastAsia="Segoe UI" w:cs="Segoe UI"/>
                <w:color w:val="000000"/>
                <w:szCs w:val="21"/>
              </w:rPr>
              <w:t xml:space="preserve"> per cent)</w:t>
            </w:r>
          </w:p>
        </w:tc>
        <w:tc>
          <w:tcPr>
            <w:tcW w:w="2160" w:type="dxa"/>
          </w:tcPr>
          <w:p w14:paraId="1130321C" w14:textId="245D2FF4" w:rsidR="002B6D10" w:rsidRPr="004523AB" w:rsidRDefault="002B6D10" w:rsidP="009C4D74">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5 (5.9</w:t>
            </w:r>
            <w:r w:rsidR="00C03CAC" w:rsidRPr="004523AB">
              <w:rPr>
                <w:rFonts w:eastAsia="Segoe UI" w:cs="Segoe UI"/>
                <w:color w:val="000000"/>
                <w:szCs w:val="21"/>
              </w:rPr>
              <w:t xml:space="preserve"> per cent)</w:t>
            </w:r>
          </w:p>
        </w:tc>
      </w:tr>
      <w:tr w:rsidR="002B6D10" w:rsidRPr="004523AB" w14:paraId="6835685C" w14:textId="77777777" w:rsidTr="009C4D74">
        <w:tc>
          <w:tcPr>
            <w:tcW w:w="5760" w:type="dxa"/>
          </w:tcPr>
          <w:p w14:paraId="55C890CD" w14:textId="77777777" w:rsidR="002B6D10" w:rsidRPr="004523AB" w:rsidRDefault="002B6D10" w:rsidP="009C4D74">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Not registered for accreditation: We ARE planning to register for accreditation in the next 12 months</w:t>
            </w:r>
          </w:p>
        </w:tc>
        <w:tc>
          <w:tcPr>
            <w:tcW w:w="2160" w:type="dxa"/>
          </w:tcPr>
          <w:p w14:paraId="0A67EB28" w14:textId="32CC3432" w:rsidR="002B6D10" w:rsidRPr="004523AB" w:rsidRDefault="002B6D10" w:rsidP="009C4D74">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98 (3.1</w:t>
            </w:r>
            <w:r w:rsidR="00C03CAC" w:rsidRPr="004523AB">
              <w:rPr>
                <w:rFonts w:eastAsia="Segoe UI" w:cs="Segoe UI"/>
                <w:color w:val="000000"/>
                <w:szCs w:val="21"/>
              </w:rPr>
              <w:t xml:space="preserve"> per cent)</w:t>
            </w:r>
          </w:p>
        </w:tc>
        <w:tc>
          <w:tcPr>
            <w:tcW w:w="2160" w:type="dxa"/>
          </w:tcPr>
          <w:p w14:paraId="4FB524F0" w14:textId="55DFCF6F" w:rsidR="002B6D10" w:rsidRPr="004523AB" w:rsidRDefault="002B6D10" w:rsidP="009C4D74">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7 (1.1</w:t>
            </w:r>
            <w:r w:rsidR="00C03CAC" w:rsidRPr="004523AB">
              <w:rPr>
                <w:rFonts w:eastAsia="Segoe UI" w:cs="Segoe UI"/>
                <w:color w:val="000000"/>
                <w:szCs w:val="21"/>
              </w:rPr>
              <w:t xml:space="preserve"> per cent)</w:t>
            </w:r>
          </w:p>
        </w:tc>
        <w:tc>
          <w:tcPr>
            <w:tcW w:w="2160" w:type="dxa"/>
          </w:tcPr>
          <w:p w14:paraId="7356E8FF" w14:textId="77777777" w:rsidR="002B6D10" w:rsidRPr="004523AB" w:rsidRDefault="002B6D10" w:rsidP="009C4D74">
            <w:pPr>
              <w:pBdr>
                <w:top w:val="none" w:sz="0" w:space="0" w:color="000000"/>
                <w:left w:val="none" w:sz="0" w:space="0" w:color="000000"/>
                <w:bottom w:val="none" w:sz="0" w:space="0" w:color="000000"/>
                <w:right w:val="none" w:sz="0" w:space="0" w:color="000000"/>
              </w:pBdr>
              <w:spacing w:after="0"/>
              <w:ind w:left="100" w:right="100"/>
              <w:rPr>
                <w:szCs w:val="21"/>
              </w:rPr>
            </w:pPr>
          </w:p>
        </w:tc>
      </w:tr>
      <w:tr w:rsidR="002B6D10" w:rsidRPr="004523AB" w14:paraId="1BF4B57D" w14:textId="77777777" w:rsidTr="009C4D74">
        <w:tc>
          <w:tcPr>
            <w:tcW w:w="5760" w:type="dxa"/>
          </w:tcPr>
          <w:p w14:paraId="63F176A6" w14:textId="77777777" w:rsidR="002B6D10" w:rsidRPr="004523AB" w:rsidRDefault="002B6D10" w:rsidP="009C4D74">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Not registered for accreditation: We are NOT planning to register for accreditation in the next 12 months</w:t>
            </w:r>
          </w:p>
        </w:tc>
        <w:tc>
          <w:tcPr>
            <w:tcW w:w="2160" w:type="dxa"/>
          </w:tcPr>
          <w:p w14:paraId="4161A75B" w14:textId="19CB95B6" w:rsidR="002B6D10" w:rsidRPr="004523AB" w:rsidRDefault="002B6D10" w:rsidP="009C4D74">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46 (1.4</w:t>
            </w:r>
            <w:r w:rsidR="00C03CAC" w:rsidRPr="004523AB">
              <w:rPr>
                <w:rFonts w:eastAsia="Segoe UI" w:cs="Segoe UI"/>
                <w:color w:val="000000"/>
                <w:szCs w:val="21"/>
              </w:rPr>
              <w:t xml:space="preserve"> per cent)</w:t>
            </w:r>
          </w:p>
        </w:tc>
        <w:tc>
          <w:tcPr>
            <w:tcW w:w="2160" w:type="dxa"/>
          </w:tcPr>
          <w:p w14:paraId="5A5E1ADC" w14:textId="0B12CB78" w:rsidR="002B6D10" w:rsidRPr="004523AB" w:rsidRDefault="002B6D10" w:rsidP="009C4D74">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 (0.2</w:t>
            </w:r>
            <w:r w:rsidR="00C03CAC" w:rsidRPr="004523AB">
              <w:rPr>
                <w:rFonts w:eastAsia="Segoe UI" w:cs="Segoe UI"/>
                <w:color w:val="000000"/>
                <w:szCs w:val="21"/>
              </w:rPr>
              <w:t xml:space="preserve"> per cent)</w:t>
            </w:r>
          </w:p>
        </w:tc>
        <w:tc>
          <w:tcPr>
            <w:tcW w:w="2160" w:type="dxa"/>
          </w:tcPr>
          <w:p w14:paraId="67394ABA" w14:textId="77777777" w:rsidR="002B6D10" w:rsidRPr="004523AB" w:rsidRDefault="002B6D10" w:rsidP="009C4D74">
            <w:pPr>
              <w:pBdr>
                <w:top w:val="none" w:sz="0" w:space="0" w:color="000000"/>
                <w:left w:val="none" w:sz="0" w:space="0" w:color="000000"/>
                <w:bottom w:val="none" w:sz="0" w:space="0" w:color="000000"/>
                <w:right w:val="none" w:sz="0" w:space="0" w:color="000000"/>
              </w:pBdr>
              <w:spacing w:after="0"/>
              <w:ind w:left="100" w:right="100"/>
              <w:rPr>
                <w:szCs w:val="21"/>
              </w:rPr>
            </w:pPr>
          </w:p>
        </w:tc>
      </w:tr>
      <w:tr w:rsidR="002B6D10" w:rsidRPr="004523AB" w14:paraId="1651E4BB" w14:textId="77777777" w:rsidTr="009C4D74">
        <w:tc>
          <w:tcPr>
            <w:tcW w:w="5760" w:type="dxa"/>
          </w:tcPr>
          <w:p w14:paraId="15E32FD0" w14:textId="77777777" w:rsidR="002B6D10" w:rsidRPr="004523AB" w:rsidRDefault="002B6D10" w:rsidP="009C4D74">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No response</w:t>
            </w:r>
          </w:p>
        </w:tc>
        <w:tc>
          <w:tcPr>
            <w:tcW w:w="2160" w:type="dxa"/>
          </w:tcPr>
          <w:p w14:paraId="47AE0944" w14:textId="5DBEA84A" w:rsidR="002B6D10" w:rsidRPr="004523AB" w:rsidRDefault="002B6D10" w:rsidP="009C4D74">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78 (2.4</w:t>
            </w:r>
            <w:r w:rsidR="00C03CAC" w:rsidRPr="004523AB">
              <w:rPr>
                <w:rFonts w:eastAsia="Segoe UI" w:cs="Segoe UI"/>
                <w:color w:val="000000"/>
                <w:szCs w:val="21"/>
              </w:rPr>
              <w:t xml:space="preserve"> per cent)</w:t>
            </w:r>
          </w:p>
        </w:tc>
        <w:tc>
          <w:tcPr>
            <w:tcW w:w="2160" w:type="dxa"/>
          </w:tcPr>
          <w:p w14:paraId="7AA65336" w14:textId="7C5FF7FF" w:rsidR="002B6D10" w:rsidRPr="004523AB" w:rsidRDefault="002B6D10" w:rsidP="009C4D74">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15 (2.3</w:t>
            </w:r>
            <w:r w:rsidR="00C03CAC" w:rsidRPr="004523AB">
              <w:rPr>
                <w:rFonts w:eastAsia="Segoe UI" w:cs="Segoe UI"/>
                <w:color w:val="000000"/>
                <w:szCs w:val="21"/>
              </w:rPr>
              <w:t xml:space="preserve"> per cent)</w:t>
            </w:r>
          </w:p>
        </w:tc>
        <w:tc>
          <w:tcPr>
            <w:tcW w:w="2160" w:type="dxa"/>
          </w:tcPr>
          <w:p w14:paraId="59D332D4" w14:textId="15DB4473" w:rsidR="002B6D10" w:rsidRPr="004523AB" w:rsidRDefault="002B6D10" w:rsidP="009C4D74">
            <w:pPr>
              <w:pBdr>
                <w:top w:val="none" w:sz="0" w:space="0" w:color="000000"/>
                <w:left w:val="none" w:sz="0" w:space="0" w:color="000000"/>
                <w:bottom w:val="none" w:sz="0" w:space="0" w:color="000000"/>
                <w:right w:val="none" w:sz="0" w:space="0" w:color="000000"/>
              </w:pBdr>
              <w:spacing w:after="0"/>
              <w:ind w:left="100" w:right="100"/>
              <w:rPr>
                <w:szCs w:val="21"/>
              </w:rPr>
            </w:pPr>
            <w:r w:rsidRPr="004523AB">
              <w:rPr>
                <w:rFonts w:eastAsia="Segoe UI" w:cs="Segoe UI"/>
                <w:color w:val="000000"/>
                <w:szCs w:val="21"/>
              </w:rPr>
              <w:t>1 (1.2</w:t>
            </w:r>
            <w:r w:rsidR="00C03CAC" w:rsidRPr="004523AB">
              <w:rPr>
                <w:rFonts w:eastAsia="Segoe UI" w:cs="Segoe UI"/>
                <w:color w:val="000000"/>
                <w:szCs w:val="21"/>
              </w:rPr>
              <w:t xml:space="preserve"> per cent)</w:t>
            </w:r>
          </w:p>
        </w:tc>
      </w:tr>
    </w:tbl>
    <w:p w14:paraId="03C9CAFA" w14:textId="46E75EA0" w:rsidR="004F2B1E" w:rsidRPr="004523AB" w:rsidRDefault="004F2B1E" w:rsidP="003F5741">
      <w:pPr>
        <w:rPr>
          <w:lang w:eastAsia="en-AU"/>
        </w:rPr>
      </w:pPr>
    </w:p>
    <w:p w14:paraId="352600B5" w14:textId="77777777" w:rsidR="00E92698" w:rsidRPr="004523AB" w:rsidRDefault="00E92698">
      <w:pPr>
        <w:spacing w:after="165" w:line="259" w:lineRule="auto"/>
        <w:rPr>
          <w:lang w:eastAsia="en-AU"/>
        </w:rPr>
      </w:pPr>
      <w:r w:rsidRPr="004523AB">
        <w:rPr>
          <w:lang w:eastAsia="en-AU"/>
        </w:rPr>
        <w:br w:type="page"/>
      </w:r>
    </w:p>
    <w:p w14:paraId="2DD3C4F0" w14:textId="6ECBAF4F" w:rsidR="00FD1D24" w:rsidRPr="004523AB" w:rsidRDefault="00FD1D24" w:rsidP="00FD1D24">
      <w:pPr>
        <w:pStyle w:val="Caption"/>
      </w:pPr>
      <w:r w:rsidRPr="004523AB">
        <w:lastRenderedPageBreak/>
        <w:t xml:space="preserve">Table </w:t>
      </w:r>
      <w:r w:rsidRPr="004523AB">
        <w:fldChar w:fldCharType="begin"/>
      </w:r>
      <w:r w:rsidRPr="004523AB">
        <w:instrText xml:space="preserve"> SEQ Table \* ARABIC </w:instrText>
      </w:r>
      <w:r w:rsidRPr="004523AB">
        <w:fldChar w:fldCharType="separate"/>
      </w:r>
      <w:r w:rsidR="00B96E50">
        <w:rPr>
          <w:noProof/>
        </w:rPr>
        <w:t>40</w:t>
      </w:r>
      <w:r w:rsidRPr="004523AB">
        <w:fldChar w:fldCharType="end"/>
      </w:r>
      <w:r w:rsidRPr="004523AB">
        <w:t xml:space="preserve"> | Responses to questions about the grant process</w:t>
      </w:r>
      <w:r w:rsidR="00ED5665" w:rsidRPr="004523AB">
        <w:t xml:space="preserve"> (by MMM group)</w:t>
      </w:r>
    </w:p>
    <w:tbl>
      <w:tblPr>
        <w:tblStyle w:val="AccessibleNousTable"/>
        <w:tblW w:w="14251" w:type="dxa"/>
        <w:tblLayout w:type="fixed"/>
        <w:tblLook w:val="0420" w:firstRow="1" w:lastRow="0" w:firstColumn="0" w:lastColumn="0" w:noHBand="0" w:noVBand="1"/>
      </w:tblPr>
      <w:tblGrid>
        <w:gridCol w:w="4750"/>
        <w:gridCol w:w="2375"/>
        <w:gridCol w:w="2375"/>
        <w:gridCol w:w="2375"/>
        <w:gridCol w:w="2376"/>
      </w:tblGrid>
      <w:tr w:rsidR="00E92698" w:rsidRPr="004523AB" w14:paraId="02D37990" w14:textId="77777777" w:rsidTr="005A26FB">
        <w:trPr>
          <w:cnfStyle w:val="100000000000" w:firstRow="1" w:lastRow="0" w:firstColumn="0" w:lastColumn="0" w:oddVBand="0" w:evenVBand="0" w:oddHBand="0" w:evenHBand="0" w:firstRowFirstColumn="0" w:firstRowLastColumn="0" w:lastRowFirstColumn="0" w:lastRowLastColumn="0"/>
          <w:cantSplit/>
          <w:trHeight w:val="289"/>
          <w:tblHeader/>
        </w:trPr>
        <w:tc>
          <w:tcPr>
            <w:tcW w:w="4750" w:type="dxa"/>
          </w:tcPr>
          <w:p w14:paraId="0DF5FEC4" w14:textId="77777777" w:rsidR="00E92698" w:rsidRPr="004523AB" w:rsidRDefault="00E92698" w:rsidP="00E92698">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Variable</w:t>
            </w:r>
          </w:p>
        </w:tc>
        <w:tc>
          <w:tcPr>
            <w:tcW w:w="2375" w:type="dxa"/>
          </w:tcPr>
          <w:p w14:paraId="313B64F8" w14:textId="77777777" w:rsidR="00E92698" w:rsidRPr="004523AB" w:rsidRDefault="00E92698" w:rsidP="00E92698">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Response</w:t>
            </w:r>
          </w:p>
        </w:tc>
        <w:tc>
          <w:tcPr>
            <w:tcW w:w="2375" w:type="dxa"/>
          </w:tcPr>
          <w:p w14:paraId="189665EF" w14:textId="7467BCE5"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MMM 1 &amp; 2</w:t>
            </w:r>
          </w:p>
        </w:tc>
        <w:tc>
          <w:tcPr>
            <w:tcW w:w="2375" w:type="dxa"/>
          </w:tcPr>
          <w:p w14:paraId="5CD13D3E" w14:textId="4AC68E8F"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MMM 3,4 &amp; 5</w:t>
            </w:r>
          </w:p>
        </w:tc>
        <w:tc>
          <w:tcPr>
            <w:tcW w:w="2376" w:type="dxa"/>
          </w:tcPr>
          <w:p w14:paraId="4E9D47AC" w14:textId="3E57D70C"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rPr>
                <w:sz w:val="23"/>
                <w:szCs w:val="23"/>
              </w:rPr>
            </w:pPr>
            <w:r w:rsidRPr="004523AB">
              <w:rPr>
                <w:rFonts w:ascii="Segoe UI Semibold" w:eastAsia="Segoe UI Semibold" w:hAnsi="Segoe UI Semibold" w:cs="Segoe UI Semibold"/>
                <w:sz w:val="23"/>
                <w:szCs w:val="23"/>
              </w:rPr>
              <w:t>MMM 6 &amp; 7</w:t>
            </w:r>
          </w:p>
        </w:tc>
      </w:tr>
      <w:tr w:rsidR="00E92698" w:rsidRPr="004523AB" w14:paraId="71BF03AA" w14:textId="77777777" w:rsidTr="00E92698">
        <w:trPr>
          <w:trHeight w:val="273"/>
        </w:trPr>
        <w:tc>
          <w:tcPr>
            <w:tcW w:w="4750" w:type="dxa"/>
          </w:tcPr>
          <w:p w14:paraId="1723D9F0" w14:textId="77777777" w:rsidR="00E92698" w:rsidRPr="004523AB" w:rsidRDefault="00E92698">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The Program guidance documentation clearly outlined the eligibility criteria and application requirements.</w:t>
            </w:r>
          </w:p>
        </w:tc>
        <w:tc>
          <w:tcPr>
            <w:tcW w:w="2375" w:type="dxa"/>
          </w:tcPr>
          <w:p w14:paraId="556C9025" w14:textId="77777777" w:rsidR="00E92698" w:rsidRPr="004523AB" w:rsidRDefault="00E92698">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Strongly agree</w:t>
            </w:r>
          </w:p>
        </w:tc>
        <w:tc>
          <w:tcPr>
            <w:tcW w:w="2375" w:type="dxa"/>
          </w:tcPr>
          <w:p w14:paraId="40E2D1FA" w14:textId="753E479C"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1,860 (44.2</w:t>
            </w:r>
            <w:r w:rsidR="00FD1D24" w:rsidRPr="004523AB">
              <w:rPr>
                <w:rFonts w:eastAsia="Segoe UI" w:cs="Segoe UI"/>
                <w:color w:val="000000"/>
                <w:szCs w:val="21"/>
              </w:rPr>
              <w:t xml:space="preserve"> per cent)</w:t>
            </w:r>
          </w:p>
        </w:tc>
        <w:tc>
          <w:tcPr>
            <w:tcW w:w="2375" w:type="dxa"/>
          </w:tcPr>
          <w:p w14:paraId="589E4B4C" w14:textId="2EEC4910"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385 (40.2</w:t>
            </w:r>
            <w:r w:rsidR="00FD1D24" w:rsidRPr="004523AB">
              <w:rPr>
                <w:rFonts w:eastAsia="Segoe UI" w:cs="Segoe UI"/>
                <w:color w:val="000000"/>
                <w:szCs w:val="21"/>
              </w:rPr>
              <w:t xml:space="preserve"> per cent)</w:t>
            </w:r>
          </w:p>
        </w:tc>
        <w:tc>
          <w:tcPr>
            <w:tcW w:w="2376" w:type="dxa"/>
          </w:tcPr>
          <w:p w14:paraId="4BBB7687" w14:textId="4A7398A8"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63 (40.4</w:t>
            </w:r>
            <w:r w:rsidR="00FD1D24" w:rsidRPr="004523AB">
              <w:rPr>
                <w:rFonts w:eastAsia="Segoe UI" w:cs="Segoe UI"/>
                <w:color w:val="000000"/>
                <w:szCs w:val="21"/>
              </w:rPr>
              <w:t xml:space="preserve"> per cent)</w:t>
            </w:r>
          </w:p>
        </w:tc>
      </w:tr>
      <w:tr w:rsidR="00E92698" w:rsidRPr="004523AB" w14:paraId="73A431A6" w14:textId="77777777" w:rsidTr="00E92698">
        <w:trPr>
          <w:trHeight w:val="123"/>
        </w:trPr>
        <w:tc>
          <w:tcPr>
            <w:tcW w:w="4750" w:type="dxa"/>
          </w:tcPr>
          <w:p w14:paraId="47FC7CCE" w14:textId="607034E2" w:rsidR="00E92698" w:rsidRPr="004523AB" w:rsidRDefault="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The Program guidance documentation clearly outlined the eligibility criteria and application requirements.</w:t>
            </w:r>
          </w:p>
        </w:tc>
        <w:tc>
          <w:tcPr>
            <w:tcW w:w="2375" w:type="dxa"/>
          </w:tcPr>
          <w:p w14:paraId="3C4CC1FA" w14:textId="77777777" w:rsidR="00E92698" w:rsidRPr="004523AB" w:rsidRDefault="00E92698">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Agree</w:t>
            </w:r>
          </w:p>
        </w:tc>
        <w:tc>
          <w:tcPr>
            <w:tcW w:w="2375" w:type="dxa"/>
          </w:tcPr>
          <w:p w14:paraId="67BA772C" w14:textId="380D8848"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2,128 (50.5</w:t>
            </w:r>
            <w:r w:rsidR="00FD1D24" w:rsidRPr="004523AB">
              <w:rPr>
                <w:rFonts w:eastAsia="Segoe UI" w:cs="Segoe UI"/>
                <w:color w:val="000000"/>
                <w:szCs w:val="21"/>
              </w:rPr>
              <w:t xml:space="preserve"> per cent)</w:t>
            </w:r>
          </w:p>
        </w:tc>
        <w:tc>
          <w:tcPr>
            <w:tcW w:w="2375" w:type="dxa"/>
          </w:tcPr>
          <w:p w14:paraId="777ACDA4" w14:textId="437E2949"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518 (54.1</w:t>
            </w:r>
            <w:r w:rsidR="009F1914" w:rsidRPr="004523AB">
              <w:rPr>
                <w:rFonts w:eastAsia="Segoe UI" w:cs="Segoe UI"/>
                <w:color w:val="000000"/>
                <w:szCs w:val="21"/>
              </w:rPr>
              <w:t xml:space="preserve"> per cent)</w:t>
            </w:r>
          </w:p>
        </w:tc>
        <w:tc>
          <w:tcPr>
            <w:tcW w:w="2376" w:type="dxa"/>
          </w:tcPr>
          <w:p w14:paraId="3D2FF3AE" w14:textId="26E4F294"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84 (53.8</w:t>
            </w:r>
            <w:r w:rsidR="009F1914" w:rsidRPr="004523AB">
              <w:rPr>
                <w:rFonts w:eastAsia="Segoe UI" w:cs="Segoe UI"/>
                <w:color w:val="000000"/>
                <w:szCs w:val="21"/>
              </w:rPr>
              <w:t xml:space="preserve"> per cent)</w:t>
            </w:r>
          </w:p>
        </w:tc>
      </w:tr>
      <w:tr w:rsidR="00E92698" w:rsidRPr="004523AB" w14:paraId="75E36740" w14:textId="77777777" w:rsidTr="00E92698">
        <w:trPr>
          <w:trHeight w:val="123"/>
        </w:trPr>
        <w:tc>
          <w:tcPr>
            <w:tcW w:w="4750" w:type="dxa"/>
          </w:tcPr>
          <w:p w14:paraId="7D11AC88" w14:textId="4BA9BB43" w:rsidR="00E92698" w:rsidRPr="004523AB" w:rsidRDefault="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The Program guidance documentation clearly outlined the eligibility criteria and application requirements.</w:t>
            </w:r>
          </w:p>
        </w:tc>
        <w:tc>
          <w:tcPr>
            <w:tcW w:w="2375" w:type="dxa"/>
          </w:tcPr>
          <w:p w14:paraId="2A14C7BB" w14:textId="77777777" w:rsidR="00E92698" w:rsidRPr="004523AB" w:rsidRDefault="00E92698">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Disagree</w:t>
            </w:r>
          </w:p>
        </w:tc>
        <w:tc>
          <w:tcPr>
            <w:tcW w:w="2375" w:type="dxa"/>
          </w:tcPr>
          <w:p w14:paraId="7A3F212E" w14:textId="2CBF85DE"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52 (1.2</w:t>
            </w:r>
            <w:r w:rsidR="009F1914" w:rsidRPr="004523AB">
              <w:rPr>
                <w:rFonts w:eastAsia="Segoe UI" w:cs="Segoe UI"/>
                <w:color w:val="000000"/>
                <w:szCs w:val="21"/>
              </w:rPr>
              <w:t xml:space="preserve"> per cent)</w:t>
            </w:r>
          </w:p>
        </w:tc>
        <w:tc>
          <w:tcPr>
            <w:tcW w:w="2375" w:type="dxa"/>
          </w:tcPr>
          <w:p w14:paraId="62E8D027" w14:textId="3DC13E74"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7 (0.7</w:t>
            </w:r>
            <w:r w:rsidR="009F1914" w:rsidRPr="004523AB">
              <w:rPr>
                <w:rFonts w:eastAsia="Segoe UI" w:cs="Segoe UI"/>
                <w:color w:val="000000"/>
                <w:szCs w:val="21"/>
              </w:rPr>
              <w:t xml:space="preserve"> per cent)</w:t>
            </w:r>
          </w:p>
        </w:tc>
        <w:tc>
          <w:tcPr>
            <w:tcW w:w="2376" w:type="dxa"/>
          </w:tcPr>
          <w:p w14:paraId="18865E7C" w14:textId="34023217"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1 (0.6</w:t>
            </w:r>
            <w:r w:rsidR="009F1914" w:rsidRPr="004523AB">
              <w:rPr>
                <w:rFonts w:eastAsia="Segoe UI" w:cs="Segoe UI"/>
                <w:color w:val="000000"/>
                <w:szCs w:val="21"/>
              </w:rPr>
              <w:t xml:space="preserve"> per cent)</w:t>
            </w:r>
          </w:p>
        </w:tc>
      </w:tr>
      <w:tr w:rsidR="00E92698" w:rsidRPr="004523AB" w14:paraId="103A9BAB" w14:textId="77777777" w:rsidTr="00E92698">
        <w:trPr>
          <w:trHeight w:val="123"/>
        </w:trPr>
        <w:tc>
          <w:tcPr>
            <w:tcW w:w="4750" w:type="dxa"/>
          </w:tcPr>
          <w:p w14:paraId="2FFD08E6" w14:textId="4981C82A" w:rsidR="00E92698" w:rsidRPr="004523AB" w:rsidRDefault="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The Program guidance documentation clearly outlined the eligibility criteria and application requirements.</w:t>
            </w:r>
          </w:p>
        </w:tc>
        <w:tc>
          <w:tcPr>
            <w:tcW w:w="2375" w:type="dxa"/>
          </w:tcPr>
          <w:p w14:paraId="194B22C5" w14:textId="77777777" w:rsidR="00E92698" w:rsidRPr="004523AB" w:rsidRDefault="00E92698">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Strongly disagree</w:t>
            </w:r>
          </w:p>
        </w:tc>
        <w:tc>
          <w:tcPr>
            <w:tcW w:w="2375" w:type="dxa"/>
          </w:tcPr>
          <w:p w14:paraId="7281906B" w14:textId="3B094FC9"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33 (0.8</w:t>
            </w:r>
            <w:r w:rsidR="009F1914" w:rsidRPr="004523AB">
              <w:rPr>
                <w:rFonts w:eastAsia="Segoe UI" w:cs="Segoe UI"/>
                <w:color w:val="000000"/>
                <w:szCs w:val="21"/>
              </w:rPr>
              <w:t xml:space="preserve"> per cent)</w:t>
            </w:r>
          </w:p>
        </w:tc>
        <w:tc>
          <w:tcPr>
            <w:tcW w:w="2375" w:type="dxa"/>
          </w:tcPr>
          <w:p w14:paraId="6F8E4331" w14:textId="6A43CDEA"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14 (1.5</w:t>
            </w:r>
            <w:r w:rsidR="009F1914" w:rsidRPr="004523AB">
              <w:rPr>
                <w:rFonts w:eastAsia="Segoe UI" w:cs="Segoe UI"/>
                <w:color w:val="000000"/>
                <w:szCs w:val="21"/>
              </w:rPr>
              <w:t xml:space="preserve"> per cent)</w:t>
            </w:r>
          </w:p>
        </w:tc>
        <w:tc>
          <w:tcPr>
            <w:tcW w:w="2376" w:type="dxa"/>
          </w:tcPr>
          <w:p w14:paraId="3FB4A56A" w14:textId="719EC439"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6 (3.8</w:t>
            </w:r>
            <w:r w:rsidR="009F1914" w:rsidRPr="004523AB">
              <w:rPr>
                <w:rFonts w:eastAsia="Segoe UI" w:cs="Segoe UI"/>
                <w:color w:val="000000"/>
                <w:szCs w:val="21"/>
              </w:rPr>
              <w:t xml:space="preserve"> per cent)</w:t>
            </w:r>
          </w:p>
        </w:tc>
      </w:tr>
      <w:tr w:rsidR="00E92698" w:rsidRPr="004523AB" w14:paraId="72822CFC" w14:textId="77777777" w:rsidTr="00E92698">
        <w:trPr>
          <w:trHeight w:val="123"/>
        </w:trPr>
        <w:tc>
          <w:tcPr>
            <w:tcW w:w="4750" w:type="dxa"/>
          </w:tcPr>
          <w:p w14:paraId="33729F87" w14:textId="12E8D066" w:rsidR="00E92698" w:rsidRPr="004523AB" w:rsidRDefault="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The Program guidance documentation clearly outlined the eligibility criteria and application requirements.</w:t>
            </w:r>
          </w:p>
        </w:tc>
        <w:tc>
          <w:tcPr>
            <w:tcW w:w="2375" w:type="dxa"/>
          </w:tcPr>
          <w:p w14:paraId="4F5EBE8E" w14:textId="77777777" w:rsidR="00E92698" w:rsidRPr="004523AB" w:rsidRDefault="00E92698">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No response</w:t>
            </w:r>
          </w:p>
        </w:tc>
        <w:tc>
          <w:tcPr>
            <w:tcW w:w="2375" w:type="dxa"/>
          </w:tcPr>
          <w:p w14:paraId="00C1367D" w14:textId="139C6279"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138 (3.3</w:t>
            </w:r>
            <w:r w:rsidR="009F1914" w:rsidRPr="004523AB">
              <w:rPr>
                <w:rFonts w:eastAsia="Segoe UI" w:cs="Segoe UI"/>
                <w:color w:val="000000"/>
                <w:szCs w:val="21"/>
              </w:rPr>
              <w:t xml:space="preserve"> per cent)</w:t>
            </w:r>
          </w:p>
        </w:tc>
        <w:tc>
          <w:tcPr>
            <w:tcW w:w="2375" w:type="dxa"/>
          </w:tcPr>
          <w:p w14:paraId="0F541847" w14:textId="47852B7E"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34 (3.5</w:t>
            </w:r>
            <w:r w:rsidR="009F1914" w:rsidRPr="004523AB">
              <w:rPr>
                <w:rFonts w:eastAsia="Segoe UI" w:cs="Segoe UI"/>
                <w:color w:val="000000"/>
                <w:szCs w:val="21"/>
              </w:rPr>
              <w:t xml:space="preserve"> per cent)</w:t>
            </w:r>
          </w:p>
        </w:tc>
        <w:tc>
          <w:tcPr>
            <w:tcW w:w="2376" w:type="dxa"/>
          </w:tcPr>
          <w:p w14:paraId="28341E7B" w14:textId="029EA516"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2 (1.3</w:t>
            </w:r>
            <w:r w:rsidR="009F1914" w:rsidRPr="004523AB">
              <w:rPr>
                <w:rFonts w:eastAsia="Segoe UI" w:cs="Segoe UI"/>
                <w:color w:val="000000"/>
                <w:szCs w:val="21"/>
              </w:rPr>
              <w:t xml:space="preserve"> per cent)</w:t>
            </w:r>
          </w:p>
        </w:tc>
      </w:tr>
      <w:tr w:rsidR="00E92698" w:rsidRPr="004523AB" w14:paraId="3C1B7BDA" w14:textId="77777777" w:rsidTr="00E92698">
        <w:trPr>
          <w:trHeight w:val="273"/>
        </w:trPr>
        <w:tc>
          <w:tcPr>
            <w:tcW w:w="4750" w:type="dxa"/>
          </w:tcPr>
          <w:p w14:paraId="0704AF02" w14:textId="77777777" w:rsidR="00E92698" w:rsidRPr="004523AB" w:rsidRDefault="00E92698">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It was easy to complete the Application and Grant Agreement Form.</w:t>
            </w:r>
          </w:p>
        </w:tc>
        <w:tc>
          <w:tcPr>
            <w:tcW w:w="2375" w:type="dxa"/>
          </w:tcPr>
          <w:p w14:paraId="59BA875D" w14:textId="77777777" w:rsidR="00E92698" w:rsidRPr="004523AB" w:rsidRDefault="00E92698">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Strongly agree</w:t>
            </w:r>
          </w:p>
        </w:tc>
        <w:tc>
          <w:tcPr>
            <w:tcW w:w="2375" w:type="dxa"/>
          </w:tcPr>
          <w:p w14:paraId="63E7D7FE" w14:textId="282E368E"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1,950 (46.3</w:t>
            </w:r>
            <w:r w:rsidR="009F1914" w:rsidRPr="004523AB">
              <w:rPr>
                <w:rFonts w:eastAsia="Segoe UI" w:cs="Segoe UI"/>
                <w:color w:val="000000"/>
                <w:szCs w:val="21"/>
              </w:rPr>
              <w:t xml:space="preserve"> per cent)</w:t>
            </w:r>
          </w:p>
        </w:tc>
        <w:tc>
          <w:tcPr>
            <w:tcW w:w="2375" w:type="dxa"/>
          </w:tcPr>
          <w:p w14:paraId="505629FA" w14:textId="3B689FDD"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448 (46.8</w:t>
            </w:r>
            <w:r w:rsidR="009F1914" w:rsidRPr="004523AB">
              <w:rPr>
                <w:rFonts w:eastAsia="Segoe UI" w:cs="Segoe UI"/>
                <w:color w:val="000000"/>
                <w:szCs w:val="21"/>
              </w:rPr>
              <w:t xml:space="preserve"> per cent)</w:t>
            </w:r>
          </w:p>
        </w:tc>
        <w:tc>
          <w:tcPr>
            <w:tcW w:w="2376" w:type="dxa"/>
          </w:tcPr>
          <w:p w14:paraId="14953B95" w14:textId="6523CE8E"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70 (44.9</w:t>
            </w:r>
            <w:r w:rsidR="009F1914" w:rsidRPr="004523AB">
              <w:rPr>
                <w:rFonts w:eastAsia="Segoe UI" w:cs="Segoe UI"/>
                <w:color w:val="000000"/>
                <w:szCs w:val="21"/>
              </w:rPr>
              <w:t xml:space="preserve"> per cent)</w:t>
            </w:r>
          </w:p>
        </w:tc>
      </w:tr>
      <w:tr w:rsidR="00E92698" w:rsidRPr="004523AB" w14:paraId="019FEBFB" w14:textId="77777777" w:rsidTr="00E92698">
        <w:trPr>
          <w:trHeight w:val="123"/>
        </w:trPr>
        <w:tc>
          <w:tcPr>
            <w:tcW w:w="4750" w:type="dxa"/>
          </w:tcPr>
          <w:p w14:paraId="056B20EE" w14:textId="352E45BB" w:rsidR="00E92698" w:rsidRPr="004523AB" w:rsidRDefault="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It was easy to complete the Application and Grant Agreement Form.</w:t>
            </w:r>
          </w:p>
        </w:tc>
        <w:tc>
          <w:tcPr>
            <w:tcW w:w="2375" w:type="dxa"/>
          </w:tcPr>
          <w:p w14:paraId="79DB0FEB" w14:textId="77777777" w:rsidR="00E92698" w:rsidRPr="004523AB" w:rsidRDefault="00E92698">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Agree</w:t>
            </w:r>
          </w:p>
        </w:tc>
        <w:tc>
          <w:tcPr>
            <w:tcW w:w="2375" w:type="dxa"/>
          </w:tcPr>
          <w:p w14:paraId="63FE92D2" w14:textId="586268FF"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2,028 (48.2</w:t>
            </w:r>
            <w:r w:rsidR="000D1B6C" w:rsidRPr="004523AB">
              <w:rPr>
                <w:rFonts w:eastAsia="Segoe UI" w:cs="Segoe UI"/>
                <w:color w:val="000000"/>
                <w:szCs w:val="21"/>
              </w:rPr>
              <w:t xml:space="preserve"> per cent)</w:t>
            </w:r>
          </w:p>
        </w:tc>
        <w:tc>
          <w:tcPr>
            <w:tcW w:w="2375" w:type="dxa"/>
          </w:tcPr>
          <w:p w14:paraId="38536439" w14:textId="2E6125B2"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447 (46.7</w:t>
            </w:r>
            <w:r w:rsidR="000D1B6C" w:rsidRPr="004523AB">
              <w:rPr>
                <w:rFonts w:eastAsia="Segoe UI" w:cs="Segoe UI"/>
                <w:color w:val="000000"/>
                <w:szCs w:val="21"/>
              </w:rPr>
              <w:t xml:space="preserve"> per cent)</w:t>
            </w:r>
          </w:p>
        </w:tc>
        <w:tc>
          <w:tcPr>
            <w:tcW w:w="2376" w:type="dxa"/>
          </w:tcPr>
          <w:p w14:paraId="7238A1B1" w14:textId="7BC0AC2E"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74 (47.4</w:t>
            </w:r>
            <w:r w:rsidR="000D1B6C" w:rsidRPr="004523AB">
              <w:rPr>
                <w:rFonts w:eastAsia="Segoe UI" w:cs="Segoe UI"/>
                <w:color w:val="000000"/>
                <w:szCs w:val="21"/>
              </w:rPr>
              <w:t xml:space="preserve"> per cent)</w:t>
            </w:r>
          </w:p>
        </w:tc>
      </w:tr>
      <w:tr w:rsidR="00E92698" w:rsidRPr="004523AB" w14:paraId="422C017B" w14:textId="77777777" w:rsidTr="00E92698">
        <w:trPr>
          <w:trHeight w:val="123"/>
        </w:trPr>
        <w:tc>
          <w:tcPr>
            <w:tcW w:w="4750" w:type="dxa"/>
          </w:tcPr>
          <w:p w14:paraId="6F2CA637" w14:textId="64082E6B" w:rsidR="00E92698" w:rsidRPr="004523AB" w:rsidRDefault="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It was easy to complete the Application and Grant Agreement Form.</w:t>
            </w:r>
          </w:p>
        </w:tc>
        <w:tc>
          <w:tcPr>
            <w:tcW w:w="2375" w:type="dxa"/>
          </w:tcPr>
          <w:p w14:paraId="1EF1885D" w14:textId="77777777" w:rsidR="00E92698" w:rsidRPr="004523AB" w:rsidRDefault="00E92698">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Disagree</w:t>
            </w:r>
          </w:p>
        </w:tc>
        <w:tc>
          <w:tcPr>
            <w:tcW w:w="2375" w:type="dxa"/>
          </w:tcPr>
          <w:p w14:paraId="33092AE2" w14:textId="13E85F71"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45 (1.1</w:t>
            </w:r>
            <w:r w:rsidR="000D1B6C" w:rsidRPr="004523AB">
              <w:rPr>
                <w:rFonts w:eastAsia="Segoe UI" w:cs="Segoe UI"/>
                <w:color w:val="000000"/>
                <w:szCs w:val="21"/>
              </w:rPr>
              <w:t xml:space="preserve"> per cent)</w:t>
            </w:r>
          </w:p>
        </w:tc>
        <w:tc>
          <w:tcPr>
            <w:tcW w:w="2375" w:type="dxa"/>
          </w:tcPr>
          <w:p w14:paraId="01BEE471" w14:textId="4E874F68"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11 (1.1</w:t>
            </w:r>
            <w:r w:rsidR="000D1B6C" w:rsidRPr="004523AB">
              <w:rPr>
                <w:rFonts w:eastAsia="Segoe UI" w:cs="Segoe UI"/>
                <w:color w:val="000000"/>
                <w:szCs w:val="21"/>
              </w:rPr>
              <w:t xml:space="preserve"> per cent)</w:t>
            </w:r>
          </w:p>
        </w:tc>
        <w:tc>
          <w:tcPr>
            <w:tcW w:w="2376" w:type="dxa"/>
          </w:tcPr>
          <w:p w14:paraId="134E6958" w14:textId="592AC639"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3 (1.9</w:t>
            </w:r>
            <w:r w:rsidR="000D1B6C" w:rsidRPr="004523AB">
              <w:rPr>
                <w:rFonts w:eastAsia="Segoe UI" w:cs="Segoe UI"/>
                <w:color w:val="000000"/>
                <w:szCs w:val="21"/>
              </w:rPr>
              <w:t xml:space="preserve"> per cent)</w:t>
            </w:r>
          </w:p>
        </w:tc>
      </w:tr>
      <w:tr w:rsidR="00E92698" w:rsidRPr="004523AB" w14:paraId="404EE94B" w14:textId="77777777" w:rsidTr="00E92698">
        <w:trPr>
          <w:trHeight w:val="123"/>
        </w:trPr>
        <w:tc>
          <w:tcPr>
            <w:tcW w:w="4750" w:type="dxa"/>
          </w:tcPr>
          <w:p w14:paraId="2D41921E" w14:textId="28E99FD4" w:rsidR="00E92698" w:rsidRPr="004523AB" w:rsidRDefault="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lastRenderedPageBreak/>
              <w:t>It was easy to complete the Application and Grant Agreement Form.</w:t>
            </w:r>
          </w:p>
        </w:tc>
        <w:tc>
          <w:tcPr>
            <w:tcW w:w="2375" w:type="dxa"/>
          </w:tcPr>
          <w:p w14:paraId="478F58D9" w14:textId="77777777" w:rsidR="00E92698" w:rsidRPr="004523AB" w:rsidRDefault="00E92698">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Strongly disagree</w:t>
            </w:r>
          </w:p>
        </w:tc>
        <w:tc>
          <w:tcPr>
            <w:tcW w:w="2375" w:type="dxa"/>
          </w:tcPr>
          <w:p w14:paraId="61504F67" w14:textId="159B5140"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38 (0.9</w:t>
            </w:r>
            <w:r w:rsidR="000D1B6C" w:rsidRPr="004523AB">
              <w:rPr>
                <w:rFonts w:eastAsia="Segoe UI" w:cs="Segoe UI"/>
                <w:color w:val="000000"/>
                <w:szCs w:val="21"/>
              </w:rPr>
              <w:t xml:space="preserve"> per cent)</w:t>
            </w:r>
          </w:p>
        </w:tc>
        <w:tc>
          <w:tcPr>
            <w:tcW w:w="2375" w:type="dxa"/>
          </w:tcPr>
          <w:p w14:paraId="610302B3" w14:textId="0A3198EC"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13 (1.4</w:t>
            </w:r>
            <w:r w:rsidR="000D1B6C" w:rsidRPr="004523AB">
              <w:rPr>
                <w:rFonts w:eastAsia="Segoe UI" w:cs="Segoe UI"/>
                <w:color w:val="000000"/>
                <w:szCs w:val="21"/>
              </w:rPr>
              <w:t xml:space="preserve"> per cent)</w:t>
            </w:r>
          </w:p>
        </w:tc>
        <w:tc>
          <w:tcPr>
            <w:tcW w:w="2376" w:type="dxa"/>
          </w:tcPr>
          <w:p w14:paraId="4B8B7687" w14:textId="0F485AA6"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6 (3.8</w:t>
            </w:r>
            <w:r w:rsidR="000D1B6C" w:rsidRPr="004523AB">
              <w:rPr>
                <w:rFonts w:eastAsia="Segoe UI" w:cs="Segoe UI"/>
                <w:color w:val="000000"/>
                <w:szCs w:val="21"/>
              </w:rPr>
              <w:t xml:space="preserve"> per cent)</w:t>
            </w:r>
          </w:p>
        </w:tc>
      </w:tr>
      <w:tr w:rsidR="00E92698" w:rsidRPr="004523AB" w14:paraId="55EA4C8B" w14:textId="77777777" w:rsidTr="00E92698">
        <w:trPr>
          <w:trHeight w:val="123"/>
        </w:trPr>
        <w:tc>
          <w:tcPr>
            <w:tcW w:w="4750" w:type="dxa"/>
          </w:tcPr>
          <w:p w14:paraId="2E58AA54" w14:textId="25A56381" w:rsidR="00E92698" w:rsidRPr="004523AB" w:rsidRDefault="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It was easy to complete the Application and Grant Agreement Form.</w:t>
            </w:r>
          </w:p>
        </w:tc>
        <w:tc>
          <w:tcPr>
            <w:tcW w:w="2375" w:type="dxa"/>
          </w:tcPr>
          <w:p w14:paraId="1A8B2851" w14:textId="77777777" w:rsidR="00E92698" w:rsidRPr="004523AB" w:rsidRDefault="00E92698">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No response</w:t>
            </w:r>
          </w:p>
        </w:tc>
        <w:tc>
          <w:tcPr>
            <w:tcW w:w="2375" w:type="dxa"/>
          </w:tcPr>
          <w:p w14:paraId="6796700F" w14:textId="3090EFBE"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150 (3.6</w:t>
            </w:r>
            <w:r w:rsidR="000D1B6C" w:rsidRPr="004523AB">
              <w:rPr>
                <w:rFonts w:eastAsia="Segoe UI" w:cs="Segoe UI"/>
                <w:color w:val="000000"/>
                <w:szCs w:val="21"/>
              </w:rPr>
              <w:t xml:space="preserve"> per cent)</w:t>
            </w:r>
          </w:p>
        </w:tc>
        <w:tc>
          <w:tcPr>
            <w:tcW w:w="2375" w:type="dxa"/>
          </w:tcPr>
          <w:p w14:paraId="1155D7FA" w14:textId="41847779"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39 (4.1</w:t>
            </w:r>
            <w:r w:rsidR="000D1B6C" w:rsidRPr="004523AB">
              <w:rPr>
                <w:rFonts w:eastAsia="Segoe UI" w:cs="Segoe UI"/>
                <w:color w:val="000000"/>
                <w:szCs w:val="21"/>
              </w:rPr>
              <w:t xml:space="preserve"> per cent)</w:t>
            </w:r>
          </w:p>
        </w:tc>
        <w:tc>
          <w:tcPr>
            <w:tcW w:w="2376" w:type="dxa"/>
          </w:tcPr>
          <w:p w14:paraId="254B5435" w14:textId="08A25578"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3 (1.9</w:t>
            </w:r>
            <w:r w:rsidR="000D1B6C" w:rsidRPr="004523AB">
              <w:rPr>
                <w:rFonts w:eastAsia="Segoe UI" w:cs="Segoe UI"/>
                <w:color w:val="000000"/>
                <w:szCs w:val="21"/>
              </w:rPr>
              <w:t xml:space="preserve"> per cent)</w:t>
            </w:r>
          </w:p>
        </w:tc>
      </w:tr>
      <w:tr w:rsidR="00E92698" w:rsidRPr="004523AB" w14:paraId="4EB19C35" w14:textId="77777777" w:rsidTr="00E92698">
        <w:trPr>
          <w:trHeight w:val="289"/>
        </w:trPr>
        <w:tc>
          <w:tcPr>
            <w:tcW w:w="4750" w:type="dxa"/>
          </w:tcPr>
          <w:p w14:paraId="188761CA" w14:textId="77777777" w:rsidR="00E92698" w:rsidRPr="004523AB" w:rsidRDefault="00E92698">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Our practice did not need assistance from our Primary Health Network (PHN) to complete the grant application.</w:t>
            </w:r>
          </w:p>
        </w:tc>
        <w:tc>
          <w:tcPr>
            <w:tcW w:w="2375" w:type="dxa"/>
          </w:tcPr>
          <w:p w14:paraId="1CBF4E70" w14:textId="77777777" w:rsidR="00E92698" w:rsidRPr="004523AB" w:rsidRDefault="00E92698">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Strongly agree</w:t>
            </w:r>
          </w:p>
        </w:tc>
        <w:tc>
          <w:tcPr>
            <w:tcW w:w="2375" w:type="dxa"/>
          </w:tcPr>
          <w:p w14:paraId="7230E02C" w14:textId="3D7A6012"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1,431 (34.0</w:t>
            </w:r>
            <w:r w:rsidR="000D1B6C" w:rsidRPr="004523AB">
              <w:rPr>
                <w:rFonts w:eastAsia="Segoe UI" w:cs="Segoe UI"/>
                <w:color w:val="000000"/>
                <w:szCs w:val="21"/>
              </w:rPr>
              <w:t xml:space="preserve"> per cent)</w:t>
            </w:r>
          </w:p>
        </w:tc>
        <w:tc>
          <w:tcPr>
            <w:tcW w:w="2375" w:type="dxa"/>
          </w:tcPr>
          <w:p w14:paraId="5814EEBF" w14:textId="0C4C3C4B"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310 (32.4</w:t>
            </w:r>
            <w:r w:rsidR="000D1B6C" w:rsidRPr="004523AB">
              <w:rPr>
                <w:rFonts w:eastAsia="Segoe UI" w:cs="Segoe UI"/>
                <w:color w:val="000000"/>
                <w:szCs w:val="21"/>
              </w:rPr>
              <w:t xml:space="preserve"> per cent)</w:t>
            </w:r>
          </w:p>
        </w:tc>
        <w:tc>
          <w:tcPr>
            <w:tcW w:w="2376" w:type="dxa"/>
          </w:tcPr>
          <w:p w14:paraId="3617EB7B" w14:textId="1E6F4130"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43 (27.6</w:t>
            </w:r>
            <w:r w:rsidR="000D1B6C" w:rsidRPr="004523AB">
              <w:rPr>
                <w:rFonts w:eastAsia="Segoe UI" w:cs="Segoe UI"/>
                <w:color w:val="000000"/>
                <w:szCs w:val="21"/>
              </w:rPr>
              <w:t xml:space="preserve"> per cent)</w:t>
            </w:r>
          </w:p>
        </w:tc>
      </w:tr>
      <w:tr w:rsidR="00E92698" w:rsidRPr="004523AB" w14:paraId="6AA9ED02" w14:textId="77777777" w:rsidTr="00E92698">
        <w:trPr>
          <w:trHeight w:val="123"/>
        </w:trPr>
        <w:tc>
          <w:tcPr>
            <w:tcW w:w="4750" w:type="dxa"/>
          </w:tcPr>
          <w:p w14:paraId="0EC284E2" w14:textId="7A3CF445" w:rsidR="00E92698" w:rsidRPr="004523AB" w:rsidRDefault="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Our practice did not need assistance from our Primary Health Network (PHN) to complete the grant application.</w:t>
            </w:r>
          </w:p>
        </w:tc>
        <w:tc>
          <w:tcPr>
            <w:tcW w:w="2375" w:type="dxa"/>
          </w:tcPr>
          <w:p w14:paraId="57708D98" w14:textId="77777777" w:rsidR="00E92698" w:rsidRPr="004523AB" w:rsidRDefault="00E92698">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Agree</w:t>
            </w:r>
          </w:p>
        </w:tc>
        <w:tc>
          <w:tcPr>
            <w:tcW w:w="2375" w:type="dxa"/>
          </w:tcPr>
          <w:p w14:paraId="13F4E29A" w14:textId="697D7CE1"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1,828 (43.4</w:t>
            </w:r>
            <w:r w:rsidR="000D1B6C" w:rsidRPr="004523AB">
              <w:rPr>
                <w:rFonts w:eastAsia="Segoe UI" w:cs="Segoe UI"/>
                <w:color w:val="000000"/>
                <w:szCs w:val="21"/>
              </w:rPr>
              <w:t xml:space="preserve"> per cent)</w:t>
            </w:r>
          </w:p>
        </w:tc>
        <w:tc>
          <w:tcPr>
            <w:tcW w:w="2375" w:type="dxa"/>
          </w:tcPr>
          <w:p w14:paraId="34A5F461" w14:textId="3689CB27"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433 (45.2</w:t>
            </w:r>
            <w:r w:rsidR="000D1B6C" w:rsidRPr="004523AB">
              <w:rPr>
                <w:rFonts w:eastAsia="Segoe UI" w:cs="Segoe UI"/>
                <w:color w:val="000000"/>
                <w:szCs w:val="21"/>
              </w:rPr>
              <w:t xml:space="preserve"> per cent)</w:t>
            </w:r>
          </w:p>
        </w:tc>
        <w:tc>
          <w:tcPr>
            <w:tcW w:w="2376" w:type="dxa"/>
          </w:tcPr>
          <w:p w14:paraId="5D9CFD2F" w14:textId="1D2F91B7"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70 (44.9</w:t>
            </w:r>
            <w:r w:rsidR="000D1B6C" w:rsidRPr="004523AB">
              <w:rPr>
                <w:rFonts w:eastAsia="Segoe UI" w:cs="Segoe UI"/>
                <w:color w:val="000000"/>
                <w:szCs w:val="21"/>
              </w:rPr>
              <w:t xml:space="preserve"> per cent)</w:t>
            </w:r>
          </w:p>
        </w:tc>
      </w:tr>
      <w:tr w:rsidR="00E92698" w:rsidRPr="004523AB" w14:paraId="06EBC433" w14:textId="77777777" w:rsidTr="00E92698">
        <w:trPr>
          <w:trHeight w:val="123"/>
        </w:trPr>
        <w:tc>
          <w:tcPr>
            <w:tcW w:w="4750" w:type="dxa"/>
          </w:tcPr>
          <w:p w14:paraId="13F64603" w14:textId="0F73ED69" w:rsidR="00E92698" w:rsidRPr="004523AB" w:rsidRDefault="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Our practice did not need assistance from our Primary Health Network (PHN) to complete the grant application.</w:t>
            </w:r>
          </w:p>
        </w:tc>
        <w:tc>
          <w:tcPr>
            <w:tcW w:w="2375" w:type="dxa"/>
          </w:tcPr>
          <w:p w14:paraId="69E8A439" w14:textId="77777777" w:rsidR="00E92698" w:rsidRPr="004523AB" w:rsidRDefault="00E92698">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Disagree</w:t>
            </w:r>
          </w:p>
        </w:tc>
        <w:tc>
          <w:tcPr>
            <w:tcW w:w="2375" w:type="dxa"/>
          </w:tcPr>
          <w:p w14:paraId="1CF11552" w14:textId="12B24E88"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581 (13.8</w:t>
            </w:r>
            <w:r w:rsidR="000D1B6C" w:rsidRPr="004523AB">
              <w:rPr>
                <w:rFonts w:eastAsia="Segoe UI" w:cs="Segoe UI"/>
                <w:color w:val="000000"/>
                <w:szCs w:val="21"/>
              </w:rPr>
              <w:t xml:space="preserve"> per cent)</w:t>
            </w:r>
          </w:p>
        </w:tc>
        <w:tc>
          <w:tcPr>
            <w:tcW w:w="2375" w:type="dxa"/>
          </w:tcPr>
          <w:p w14:paraId="67CBB2DE" w14:textId="3ECC6AB0"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133 (13.9</w:t>
            </w:r>
            <w:r w:rsidR="000D1B6C" w:rsidRPr="004523AB">
              <w:rPr>
                <w:rFonts w:eastAsia="Segoe UI" w:cs="Segoe UI"/>
                <w:color w:val="000000"/>
                <w:szCs w:val="21"/>
              </w:rPr>
              <w:t xml:space="preserve"> per cent)</w:t>
            </w:r>
          </w:p>
        </w:tc>
        <w:tc>
          <w:tcPr>
            <w:tcW w:w="2376" w:type="dxa"/>
          </w:tcPr>
          <w:p w14:paraId="0C99E4D0" w14:textId="36F8B3E1"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22 (14.1</w:t>
            </w:r>
            <w:r w:rsidR="000D1B6C" w:rsidRPr="004523AB">
              <w:rPr>
                <w:rFonts w:eastAsia="Segoe UI" w:cs="Segoe UI"/>
                <w:color w:val="000000"/>
                <w:szCs w:val="21"/>
              </w:rPr>
              <w:t xml:space="preserve"> per cent)</w:t>
            </w:r>
          </w:p>
        </w:tc>
      </w:tr>
      <w:tr w:rsidR="00E92698" w:rsidRPr="004523AB" w14:paraId="70118797" w14:textId="77777777" w:rsidTr="00E92698">
        <w:trPr>
          <w:trHeight w:val="123"/>
        </w:trPr>
        <w:tc>
          <w:tcPr>
            <w:tcW w:w="4750" w:type="dxa"/>
          </w:tcPr>
          <w:p w14:paraId="1DD29AB1" w14:textId="6D678FD0" w:rsidR="00E92698" w:rsidRPr="004523AB" w:rsidRDefault="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Our practice did not need assistance from our Primary Health Network (PHN) to complete the grant application.</w:t>
            </w:r>
          </w:p>
        </w:tc>
        <w:tc>
          <w:tcPr>
            <w:tcW w:w="2375" w:type="dxa"/>
          </w:tcPr>
          <w:p w14:paraId="33853AB0" w14:textId="77777777" w:rsidR="00E92698" w:rsidRPr="004523AB" w:rsidRDefault="00E92698">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Strongly disagree</w:t>
            </w:r>
          </w:p>
        </w:tc>
        <w:tc>
          <w:tcPr>
            <w:tcW w:w="2375" w:type="dxa"/>
          </w:tcPr>
          <w:p w14:paraId="1929493B" w14:textId="2BC0EFD8"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164 (3.9</w:t>
            </w:r>
            <w:r w:rsidR="000D1B6C" w:rsidRPr="004523AB">
              <w:rPr>
                <w:rFonts w:eastAsia="Segoe UI" w:cs="Segoe UI"/>
                <w:color w:val="000000"/>
                <w:szCs w:val="21"/>
              </w:rPr>
              <w:t xml:space="preserve"> per cent)</w:t>
            </w:r>
          </w:p>
        </w:tc>
        <w:tc>
          <w:tcPr>
            <w:tcW w:w="2375" w:type="dxa"/>
          </w:tcPr>
          <w:p w14:paraId="5FEB275C" w14:textId="238F1133"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32 (3.3</w:t>
            </w:r>
            <w:r w:rsidR="000D1B6C" w:rsidRPr="004523AB">
              <w:rPr>
                <w:rFonts w:eastAsia="Segoe UI" w:cs="Segoe UI"/>
                <w:color w:val="000000"/>
                <w:szCs w:val="21"/>
              </w:rPr>
              <w:t xml:space="preserve"> per cent)</w:t>
            </w:r>
          </w:p>
        </w:tc>
        <w:tc>
          <w:tcPr>
            <w:tcW w:w="2376" w:type="dxa"/>
          </w:tcPr>
          <w:p w14:paraId="5B51E6D6" w14:textId="52E8F41B"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16 (10.3</w:t>
            </w:r>
            <w:r w:rsidR="000D1B6C" w:rsidRPr="004523AB">
              <w:rPr>
                <w:rFonts w:eastAsia="Segoe UI" w:cs="Segoe UI"/>
                <w:color w:val="000000"/>
                <w:szCs w:val="21"/>
              </w:rPr>
              <w:t xml:space="preserve"> per cent)</w:t>
            </w:r>
          </w:p>
        </w:tc>
      </w:tr>
      <w:tr w:rsidR="00E92698" w:rsidRPr="004523AB" w14:paraId="28CF7C41" w14:textId="77777777" w:rsidTr="00E92698">
        <w:trPr>
          <w:trHeight w:val="123"/>
        </w:trPr>
        <w:tc>
          <w:tcPr>
            <w:tcW w:w="4750" w:type="dxa"/>
          </w:tcPr>
          <w:p w14:paraId="6B8BA29D" w14:textId="39050105" w:rsidR="00E92698" w:rsidRPr="004523AB" w:rsidRDefault="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Our practice did not need assistance from our Primary Health Network (PHN) to complete the grant application.</w:t>
            </w:r>
          </w:p>
        </w:tc>
        <w:tc>
          <w:tcPr>
            <w:tcW w:w="2375" w:type="dxa"/>
          </w:tcPr>
          <w:p w14:paraId="66EA5D7D" w14:textId="77777777" w:rsidR="00E92698" w:rsidRPr="004523AB" w:rsidRDefault="00E92698">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No response</w:t>
            </w:r>
          </w:p>
        </w:tc>
        <w:tc>
          <w:tcPr>
            <w:tcW w:w="2375" w:type="dxa"/>
          </w:tcPr>
          <w:p w14:paraId="48117960" w14:textId="41F2AF5B"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207 (4.9</w:t>
            </w:r>
            <w:r w:rsidR="000D1B6C" w:rsidRPr="004523AB">
              <w:rPr>
                <w:rFonts w:eastAsia="Segoe UI" w:cs="Segoe UI"/>
                <w:color w:val="000000"/>
                <w:szCs w:val="21"/>
              </w:rPr>
              <w:t xml:space="preserve"> per cent)</w:t>
            </w:r>
          </w:p>
        </w:tc>
        <w:tc>
          <w:tcPr>
            <w:tcW w:w="2375" w:type="dxa"/>
          </w:tcPr>
          <w:p w14:paraId="616A201B" w14:textId="1CD5771C"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50 (5.2</w:t>
            </w:r>
            <w:r w:rsidR="000D1B6C" w:rsidRPr="004523AB">
              <w:rPr>
                <w:rFonts w:eastAsia="Segoe UI" w:cs="Segoe UI"/>
                <w:color w:val="000000"/>
                <w:szCs w:val="21"/>
              </w:rPr>
              <w:t xml:space="preserve"> per cent)</w:t>
            </w:r>
          </w:p>
        </w:tc>
        <w:tc>
          <w:tcPr>
            <w:tcW w:w="2376" w:type="dxa"/>
          </w:tcPr>
          <w:p w14:paraId="3F5E898B" w14:textId="24291B73"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5 (3.2</w:t>
            </w:r>
            <w:r w:rsidR="000D1B6C" w:rsidRPr="004523AB">
              <w:rPr>
                <w:rFonts w:eastAsia="Segoe UI" w:cs="Segoe UI"/>
                <w:color w:val="000000"/>
                <w:szCs w:val="21"/>
              </w:rPr>
              <w:t xml:space="preserve"> per cent)</w:t>
            </w:r>
          </w:p>
        </w:tc>
      </w:tr>
      <w:tr w:rsidR="00E92698" w:rsidRPr="004523AB" w14:paraId="601E7E06" w14:textId="77777777" w:rsidTr="00E92698">
        <w:trPr>
          <w:trHeight w:val="289"/>
        </w:trPr>
        <w:tc>
          <w:tcPr>
            <w:tcW w:w="4750" w:type="dxa"/>
          </w:tcPr>
          <w:p w14:paraId="3ADE8C86" w14:textId="77777777" w:rsidR="00E92698" w:rsidRPr="004523AB" w:rsidRDefault="00E92698">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It was easy for our practice to receive the grant funds.</w:t>
            </w:r>
          </w:p>
        </w:tc>
        <w:tc>
          <w:tcPr>
            <w:tcW w:w="2375" w:type="dxa"/>
          </w:tcPr>
          <w:p w14:paraId="06C1D264" w14:textId="77777777" w:rsidR="00E92698" w:rsidRPr="004523AB" w:rsidRDefault="00E92698">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Strongly agree</w:t>
            </w:r>
          </w:p>
        </w:tc>
        <w:tc>
          <w:tcPr>
            <w:tcW w:w="2375" w:type="dxa"/>
          </w:tcPr>
          <w:p w14:paraId="54B0F468" w14:textId="3A5FA50B"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1,916 (45.5</w:t>
            </w:r>
            <w:r w:rsidR="000D1B6C" w:rsidRPr="004523AB">
              <w:rPr>
                <w:rFonts w:eastAsia="Segoe UI" w:cs="Segoe UI"/>
                <w:color w:val="000000"/>
                <w:szCs w:val="21"/>
              </w:rPr>
              <w:t xml:space="preserve"> per cent)</w:t>
            </w:r>
          </w:p>
        </w:tc>
        <w:tc>
          <w:tcPr>
            <w:tcW w:w="2375" w:type="dxa"/>
          </w:tcPr>
          <w:p w14:paraId="239D2ED2" w14:textId="17CC1879"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463 (48.3</w:t>
            </w:r>
            <w:r w:rsidR="000D1B6C" w:rsidRPr="004523AB">
              <w:rPr>
                <w:rFonts w:eastAsia="Segoe UI" w:cs="Segoe UI"/>
                <w:color w:val="000000"/>
                <w:szCs w:val="21"/>
              </w:rPr>
              <w:t xml:space="preserve"> per cent)</w:t>
            </w:r>
          </w:p>
        </w:tc>
        <w:tc>
          <w:tcPr>
            <w:tcW w:w="2376" w:type="dxa"/>
          </w:tcPr>
          <w:p w14:paraId="6019FD7D" w14:textId="0A74C74E"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67 (42.9</w:t>
            </w:r>
            <w:r w:rsidR="000D1B6C" w:rsidRPr="004523AB">
              <w:rPr>
                <w:rFonts w:eastAsia="Segoe UI" w:cs="Segoe UI"/>
                <w:color w:val="000000"/>
                <w:szCs w:val="21"/>
              </w:rPr>
              <w:t xml:space="preserve"> per cent)</w:t>
            </w:r>
          </w:p>
        </w:tc>
      </w:tr>
      <w:tr w:rsidR="00E92698" w:rsidRPr="004523AB" w14:paraId="69A985EC" w14:textId="77777777" w:rsidTr="00E92698">
        <w:trPr>
          <w:trHeight w:val="123"/>
        </w:trPr>
        <w:tc>
          <w:tcPr>
            <w:tcW w:w="4750" w:type="dxa"/>
          </w:tcPr>
          <w:p w14:paraId="0CD58F50" w14:textId="1B977085" w:rsidR="00E92698" w:rsidRPr="004523AB" w:rsidRDefault="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It was easy for our practice to receive the grant funds</w:t>
            </w:r>
          </w:p>
        </w:tc>
        <w:tc>
          <w:tcPr>
            <w:tcW w:w="2375" w:type="dxa"/>
          </w:tcPr>
          <w:p w14:paraId="77E7AF73" w14:textId="77777777" w:rsidR="00E92698" w:rsidRPr="004523AB" w:rsidRDefault="00E92698">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Agree</w:t>
            </w:r>
          </w:p>
        </w:tc>
        <w:tc>
          <w:tcPr>
            <w:tcW w:w="2375" w:type="dxa"/>
          </w:tcPr>
          <w:p w14:paraId="0E42C23F" w14:textId="74C4D979"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2,075 (49.3</w:t>
            </w:r>
            <w:r w:rsidR="000D1B6C" w:rsidRPr="004523AB">
              <w:rPr>
                <w:rFonts w:eastAsia="Segoe UI" w:cs="Segoe UI"/>
                <w:color w:val="000000"/>
                <w:szCs w:val="21"/>
              </w:rPr>
              <w:t xml:space="preserve"> per cent)</w:t>
            </w:r>
          </w:p>
        </w:tc>
        <w:tc>
          <w:tcPr>
            <w:tcW w:w="2375" w:type="dxa"/>
          </w:tcPr>
          <w:p w14:paraId="32229AEB" w14:textId="2644E630"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437 (45.6</w:t>
            </w:r>
            <w:r w:rsidR="000D1B6C" w:rsidRPr="004523AB">
              <w:rPr>
                <w:rFonts w:eastAsia="Segoe UI" w:cs="Segoe UI"/>
                <w:color w:val="000000"/>
                <w:szCs w:val="21"/>
              </w:rPr>
              <w:t xml:space="preserve"> per cent)</w:t>
            </w:r>
          </w:p>
        </w:tc>
        <w:tc>
          <w:tcPr>
            <w:tcW w:w="2376" w:type="dxa"/>
          </w:tcPr>
          <w:p w14:paraId="749DED67" w14:textId="5BAD019A"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74 (47.4</w:t>
            </w:r>
            <w:r w:rsidR="000D1B6C" w:rsidRPr="004523AB">
              <w:rPr>
                <w:rFonts w:eastAsia="Segoe UI" w:cs="Segoe UI"/>
                <w:color w:val="000000"/>
                <w:szCs w:val="21"/>
              </w:rPr>
              <w:t xml:space="preserve"> per cent)</w:t>
            </w:r>
          </w:p>
        </w:tc>
      </w:tr>
      <w:tr w:rsidR="00E92698" w:rsidRPr="004523AB" w14:paraId="52BF3702" w14:textId="77777777" w:rsidTr="00E92698">
        <w:trPr>
          <w:trHeight w:val="123"/>
        </w:trPr>
        <w:tc>
          <w:tcPr>
            <w:tcW w:w="4750" w:type="dxa"/>
          </w:tcPr>
          <w:p w14:paraId="2783922B" w14:textId="1BC45983" w:rsidR="00E92698" w:rsidRPr="004523AB" w:rsidRDefault="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lastRenderedPageBreak/>
              <w:t>It was easy for our practice to receive the grant funds</w:t>
            </w:r>
          </w:p>
        </w:tc>
        <w:tc>
          <w:tcPr>
            <w:tcW w:w="2375" w:type="dxa"/>
          </w:tcPr>
          <w:p w14:paraId="7D8B3084" w14:textId="77777777" w:rsidR="00E92698" w:rsidRPr="004523AB" w:rsidRDefault="00E92698">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Disagree</w:t>
            </w:r>
          </w:p>
        </w:tc>
        <w:tc>
          <w:tcPr>
            <w:tcW w:w="2375" w:type="dxa"/>
          </w:tcPr>
          <w:p w14:paraId="5FD1414C" w14:textId="5B19E9A6"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34 (0.8</w:t>
            </w:r>
            <w:r w:rsidR="000D1B6C" w:rsidRPr="004523AB">
              <w:rPr>
                <w:rFonts w:eastAsia="Segoe UI" w:cs="Segoe UI"/>
                <w:color w:val="000000"/>
                <w:szCs w:val="21"/>
              </w:rPr>
              <w:t xml:space="preserve"> per cent)</w:t>
            </w:r>
          </w:p>
        </w:tc>
        <w:tc>
          <w:tcPr>
            <w:tcW w:w="2375" w:type="dxa"/>
          </w:tcPr>
          <w:p w14:paraId="79C2D87F" w14:textId="3B7AECA6"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13 (1.4</w:t>
            </w:r>
            <w:r w:rsidR="000D1B6C" w:rsidRPr="004523AB">
              <w:rPr>
                <w:rFonts w:eastAsia="Segoe UI" w:cs="Segoe UI"/>
                <w:color w:val="000000"/>
                <w:szCs w:val="21"/>
              </w:rPr>
              <w:t xml:space="preserve"> per cent)</w:t>
            </w:r>
          </w:p>
        </w:tc>
        <w:tc>
          <w:tcPr>
            <w:tcW w:w="2376" w:type="dxa"/>
          </w:tcPr>
          <w:p w14:paraId="42F882D0" w14:textId="4D17818D"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5 (3.2</w:t>
            </w:r>
            <w:r w:rsidR="000D1B6C" w:rsidRPr="004523AB">
              <w:rPr>
                <w:rFonts w:eastAsia="Segoe UI" w:cs="Segoe UI"/>
                <w:color w:val="000000"/>
                <w:szCs w:val="21"/>
              </w:rPr>
              <w:t xml:space="preserve"> per cent)</w:t>
            </w:r>
          </w:p>
        </w:tc>
      </w:tr>
      <w:tr w:rsidR="00E92698" w:rsidRPr="004523AB" w14:paraId="4F72EF01" w14:textId="77777777" w:rsidTr="00E92698">
        <w:trPr>
          <w:trHeight w:val="123"/>
        </w:trPr>
        <w:tc>
          <w:tcPr>
            <w:tcW w:w="4750" w:type="dxa"/>
          </w:tcPr>
          <w:p w14:paraId="0CAE3294" w14:textId="56AABD19" w:rsidR="00E92698" w:rsidRPr="004523AB" w:rsidRDefault="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It was easy for our practice to receive the grant funds</w:t>
            </w:r>
          </w:p>
        </w:tc>
        <w:tc>
          <w:tcPr>
            <w:tcW w:w="2375" w:type="dxa"/>
          </w:tcPr>
          <w:p w14:paraId="11D70BFE" w14:textId="77777777" w:rsidR="00E92698" w:rsidRPr="004523AB" w:rsidRDefault="00E92698">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Strongly disagree</w:t>
            </w:r>
          </w:p>
        </w:tc>
        <w:tc>
          <w:tcPr>
            <w:tcW w:w="2375" w:type="dxa"/>
          </w:tcPr>
          <w:p w14:paraId="01F3D9E8" w14:textId="3551F6F4"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25 (0.6</w:t>
            </w:r>
            <w:r w:rsidR="000D1B6C" w:rsidRPr="004523AB">
              <w:rPr>
                <w:rFonts w:eastAsia="Segoe UI" w:cs="Segoe UI"/>
                <w:color w:val="000000"/>
                <w:szCs w:val="21"/>
              </w:rPr>
              <w:t xml:space="preserve"> per cent)</w:t>
            </w:r>
          </w:p>
        </w:tc>
        <w:tc>
          <w:tcPr>
            <w:tcW w:w="2375" w:type="dxa"/>
          </w:tcPr>
          <w:p w14:paraId="02FB4977" w14:textId="628D72FB"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10 (1.0</w:t>
            </w:r>
            <w:r w:rsidR="000D1B6C" w:rsidRPr="004523AB">
              <w:rPr>
                <w:rFonts w:eastAsia="Segoe UI" w:cs="Segoe UI"/>
                <w:color w:val="000000"/>
                <w:szCs w:val="21"/>
              </w:rPr>
              <w:t xml:space="preserve"> per cent)</w:t>
            </w:r>
          </w:p>
        </w:tc>
        <w:tc>
          <w:tcPr>
            <w:tcW w:w="2376" w:type="dxa"/>
          </w:tcPr>
          <w:p w14:paraId="7D3E05D6" w14:textId="2DC1F433"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6 (3.8</w:t>
            </w:r>
            <w:r w:rsidR="000D1B6C" w:rsidRPr="004523AB">
              <w:rPr>
                <w:rFonts w:eastAsia="Segoe UI" w:cs="Segoe UI"/>
                <w:color w:val="000000"/>
                <w:szCs w:val="21"/>
              </w:rPr>
              <w:t xml:space="preserve"> per cent)</w:t>
            </w:r>
          </w:p>
        </w:tc>
      </w:tr>
      <w:tr w:rsidR="00E92698" w:rsidRPr="004523AB" w14:paraId="59BEB801" w14:textId="77777777" w:rsidTr="00E92698">
        <w:trPr>
          <w:trHeight w:val="123"/>
        </w:trPr>
        <w:tc>
          <w:tcPr>
            <w:tcW w:w="4750" w:type="dxa"/>
          </w:tcPr>
          <w:p w14:paraId="0747CCEA" w14:textId="6F253EFF" w:rsidR="00E92698" w:rsidRPr="004523AB" w:rsidRDefault="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It was easy for our practice to receive the grant funds</w:t>
            </w:r>
          </w:p>
        </w:tc>
        <w:tc>
          <w:tcPr>
            <w:tcW w:w="2375" w:type="dxa"/>
          </w:tcPr>
          <w:p w14:paraId="688CCE6C" w14:textId="77777777" w:rsidR="00E92698" w:rsidRPr="004523AB" w:rsidRDefault="00E92698">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No response</w:t>
            </w:r>
          </w:p>
        </w:tc>
        <w:tc>
          <w:tcPr>
            <w:tcW w:w="2375" w:type="dxa"/>
          </w:tcPr>
          <w:p w14:paraId="7CD805E2" w14:textId="2AF383AC"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161 (3.8</w:t>
            </w:r>
            <w:r w:rsidR="000D1B6C" w:rsidRPr="004523AB">
              <w:rPr>
                <w:rFonts w:eastAsia="Segoe UI" w:cs="Segoe UI"/>
                <w:color w:val="000000"/>
                <w:szCs w:val="21"/>
              </w:rPr>
              <w:t xml:space="preserve"> per cent)</w:t>
            </w:r>
          </w:p>
        </w:tc>
        <w:tc>
          <w:tcPr>
            <w:tcW w:w="2375" w:type="dxa"/>
          </w:tcPr>
          <w:p w14:paraId="0666AA96" w14:textId="5FD2F31F"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35 (3.7</w:t>
            </w:r>
            <w:r w:rsidR="005A26FB" w:rsidRPr="004523AB">
              <w:rPr>
                <w:rFonts w:eastAsia="Segoe UI" w:cs="Segoe UI"/>
                <w:color w:val="000000"/>
                <w:szCs w:val="21"/>
              </w:rPr>
              <w:t xml:space="preserve"> per cent)</w:t>
            </w:r>
          </w:p>
        </w:tc>
        <w:tc>
          <w:tcPr>
            <w:tcW w:w="2376" w:type="dxa"/>
          </w:tcPr>
          <w:p w14:paraId="2BAAFD28" w14:textId="069FB6A4" w:rsidR="00E92698" w:rsidRPr="004523AB" w:rsidRDefault="00E92698" w:rsidP="00FD1D24">
            <w:pPr>
              <w:pBdr>
                <w:top w:val="none" w:sz="0" w:space="0" w:color="000000"/>
                <w:left w:val="none" w:sz="0" w:space="0" w:color="000000"/>
                <w:bottom w:val="none" w:sz="0" w:space="0" w:color="000000"/>
                <w:right w:val="none" w:sz="0" w:space="0" w:color="000000"/>
              </w:pBdr>
              <w:spacing w:after="0"/>
              <w:ind w:left="100" w:right="100"/>
            </w:pPr>
            <w:r w:rsidRPr="004523AB">
              <w:rPr>
                <w:rFonts w:eastAsia="Segoe UI" w:cs="Segoe UI"/>
                <w:color w:val="000000"/>
                <w:szCs w:val="21"/>
              </w:rPr>
              <w:t>4 (2.6</w:t>
            </w:r>
            <w:r w:rsidR="005A26FB" w:rsidRPr="004523AB">
              <w:rPr>
                <w:rFonts w:eastAsia="Segoe UI" w:cs="Segoe UI"/>
                <w:color w:val="000000"/>
                <w:szCs w:val="21"/>
              </w:rPr>
              <w:t xml:space="preserve"> per cent)</w:t>
            </w:r>
          </w:p>
        </w:tc>
      </w:tr>
    </w:tbl>
    <w:p w14:paraId="2B31DC69" w14:textId="77777777" w:rsidR="00AF4DDE" w:rsidRPr="004523AB" w:rsidRDefault="00AF4DDE" w:rsidP="003F5741">
      <w:pPr>
        <w:rPr>
          <w:lang w:eastAsia="en-AU"/>
        </w:rPr>
      </w:pPr>
    </w:p>
    <w:p w14:paraId="4BCBA40E" w14:textId="77777777" w:rsidR="002D400C" w:rsidRPr="004523AB" w:rsidRDefault="002D400C" w:rsidP="00DD628A">
      <w:pPr>
        <w:rPr>
          <w:lang w:eastAsia="en-AU"/>
        </w:rPr>
        <w:sectPr w:rsidR="002D400C" w:rsidRPr="004523AB" w:rsidSect="00FF5D96">
          <w:pgSz w:w="16838" w:h="11906" w:orient="landscape" w:code="9"/>
          <w:pgMar w:top="1418" w:right="1247" w:bottom="1304" w:left="1559" w:header="720" w:footer="720" w:gutter="0"/>
          <w:cols w:space="720"/>
          <w:docGrid w:linePitch="360"/>
        </w:sectPr>
      </w:pPr>
    </w:p>
    <w:p w14:paraId="5CD8A3CB" w14:textId="35183B75" w:rsidR="00323982" w:rsidRPr="004523AB" w:rsidRDefault="00323982" w:rsidP="004A5971">
      <w:pPr>
        <w:pStyle w:val="xAppendixLevel1"/>
      </w:pPr>
      <w:bookmarkStart w:id="90" w:name="_Ref184906099"/>
      <w:bookmarkStart w:id="91" w:name="_Toc184982773"/>
      <w:r w:rsidRPr="004523AB">
        <w:lastRenderedPageBreak/>
        <w:t>Alignment of lessons learnt to policy documents</w:t>
      </w:r>
      <w:bookmarkEnd w:id="90"/>
      <w:bookmarkEnd w:id="91"/>
    </w:p>
    <w:p w14:paraId="1AC9CE80" w14:textId="3F475827" w:rsidR="004A5971" w:rsidRPr="004523AB" w:rsidRDefault="00323982" w:rsidP="00323982">
      <w:pPr>
        <w:spacing w:after="165" w:line="259" w:lineRule="auto"/>
      </w:pPr>
      <w:r w:rsidRPr="004523AB">
        <w:t>The lessons learnt for future programs are presented in this report, aligned to the Commonwealth Grants Rules and Principles (CGRP) 2024 principles,</w:t>
      </w:r>
      <w:r w:rsidR="00106C60" w:rsidRPr="004523AB">
        <w:t xml:space="preserve"> </w:t>
      </w:r>
      <w:r w:rsidR="00106C60" w:rsidRPr="004523AB">
        <w:rPr>
          <w:rStyle w:val="FootnoteReference"/>
        </w:rPr>
        <w:footnoteReference w:id="28"/>
      </w:r>
      <w:r w:rsidRPr="004523AB">
        <w:t xml:space="preserve">  the Australian Governments’ commitment to the National Agreement on Closing the Gap</w:t>
      </w:r>
      <w:r w:rsidR="00D31912" w:rsidRPr="004523AB">
        <w:rPr>
          <w:rStyle w:val="FootnoteReference"/>
        </w:rPr>
        <w:footnoteReference w:id="29"/>
      </w:r>
      <w:r w:rsidRPr="004523AB">
        <w:t xml:space="preserve">  and the Quintuple Aim. </w:t>
      </w:r>
      <w:r w:rsidR="00DF7995" w:rsidRPr="004523AB">
        <w:rPr>
          <w:rStyle w:val="FootnoteReference"/>
        </w:rPr>
        <w:footnoteReference w:id="30"/>
      </w:r>
      <w:r w:rsidRPr="004523AB">
        <w:t xml:space="preserve">  </w:t>
      </w:r>
      <w:r w:rsidR="00B905F2" w:rsidRPr="004523AB">
        <w:fldChar w:fldCharType="begin"/>
      </w:r>
      <w:r w:rsidR="00B905F2" w:rsidRPr="004523AB">
        <w:instrText xml:space="preserve"> REF _Ref184905636 \h </w:instrText>
      </w:r>
      <w:r w:rsidR="004523AB" w:rsidRPr="004523AB">
        <w:instrText xml:space="preserve"> \* MERGEFORMAT </w:instrText>
      </w:r>
      <w:r w:rsidR="00B905F2" w:rsidRPr="004523AB">
        <w:fldChar w:fldCharType="separate"/>
      </w:r>
      <w:r w:rsidR="00B96E50" w:rsidRPr="004523AB">
        <w:t xml:space="preserve">Table </w:t>
      </w:r>
      <w:r w:rsidR="00B96E50">
        <w:rPr>
          <w:noProof/>
        </w:rPr>
        <w:t>41</w:t>
      </w:r>
      <w:r w:rsidR="00B905F2" w:rsidRPr="004523AB">
        <w:fldChar w:fldCharType="end"/>
      </w:r>
      <w:r w:rsidR="00B905F2" w:rsidRPr="004523AB">
        <w:t xml:space="preserve"> </w:t>
      </w:r>
      <w:r w:rsidRPr="004523AB">
        <w:t>maps each recommendation’s alignment to relevant policy.</w:t>
      </w:r>
    </w:p>
    <w:p w14:paraId="6BF3423B" w14:textId="7E8D8302" w:rsidR="007A17E3" w:rsidRPr="004523AB" w:rsidRDefault="007A17E3" w:rsidP="007A17E3">
      <w:pPr>
        <w:pStyle w:val="Caption"/>
      </w:pPr>
      <w:bookmarkStart w:id="92" w:name="_Ref184905636"/>
      <w:r w:rsidRPr="004523AB">
        <w:t xml:space="preserve">Table </w:t>
      </w:r>
      <w:r w:rsidRPr="004523AB">
        <w:fldChar w:fldCharType="begin"/>
      </w:r>
      <w:r w:rsidRPr="004523AB">
        <w:instrText xml:space="preserve"> SEQ Table \* ARABIC </w:instrText>
      </w:r>
      <w:r w:rsidRPr="004523AB">
        <w:fldChar w:fldCharType="separate"/>
      </w:r>
      <w:r w:rsidR="00B96E50">
        <w:rPr>
          <w:noProof/>
        </w:rPr>
        <w:t>41</w:t>
      </w:r>
      <w:r w:rsidRPr="004523AB">
        <w:fldChar w:fldCharType="end"/>
      </w:r>
      <w:bookmarkEnd w:id="92"/>
      <w:r w:rsidRPr="004523AB">
        <w:t xml:space="preserve"> | Alignment of lessons learnt to relevant policy</w:t>
      </w:r>
    </w:p>
    <w:tbl>
      <w:tblPr>
        <w:tblStyle w:val="AccessibleCombinationHeader"/>
        <w:tblW w:w="0" w:type="auto"/>
        <w:tblLook w:val="04A0" w:firstRow="1" w:lastRow="0" w:firstColumn="1" w:lastColumn="0" w:noHBand="0" w:noVBand="1"/>
      </w:tblPr>
      <w:tblGrid>
        <w:gridCol w:w="421"/>
        <w:gridCol w:w="4966"/>
        <w:gridCol w:w="3533"/>
      </w:tblGrid>
      <w:tr w:rsidR="000819C8" w:rsidRPr="004523AB" w14:paraId="48A22D43" w14:textId="77777777" w:rsidTr="006E25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1" w:type="dxa"/>
          </w:tcPr>
          <w:p w14:paraId="4901999A" w14:textId="77777777" w:rsidR="000819C8" w:rsidRPr="004523AB" w:rsidRDefault="000819C8">
            <w:pPr>
              <w:rPr>
                <w:rFonts w:asciiTheme="majorHAnsi" w:hAnsiTheme="majorHAnsi" w:cstheme="majorHAnsi"/>
                <w:sz w:val="23"/>
                <w:szCs w:val="23"/>
                <w:lang w:eastAsia="en-AU"/>
              </w:rPr>
            </w:pPr>
          </w:p>
        </w:tc>
        <w:tc>
          <w:tcPr>
            <w:tcW w:w="4966" w:type="dxa"/>
          </w:tcPr>
          <w:p w14:paraId="5D6E9644" w14:textId="77777777" w:rsidR="000819C8" w:rsidRPr="004523AB" w:rsidRDefault="000819C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3"/>
                <w:szCs w:val="23"/>
                <w:highlight w:val="yellow"/>
                <w:lang w:eastAsia="en-AU"/>
              </w:rPr>
            </w:pPr>
            <w:r w:rsidRPr="004523AB">
              <w:rPr>
                <w:rFonts w:asciiTheme="majorHAnsi" w:hAnsiTheme="majorHAnsi" w:cstheme="majorHAnsi"/>
                <w:sz w:val="23"/>
                <w:szCs w:val="23"/>
                <w:lang w:eastAsia="en-AU"/>
              </w:rPr>
              <w:t>Recommendation</w:t>
            </w:r>
          </w:p>
        </w:tc>
        <w:tc>
          <w:tcPr>
            <w:tcW w:w="3533" w:type="dxa"/>
          </w:tcPr>
          <w:p w14:paraId="76878910" w14:textId="77777777" w:rsidR="000819C8" w:rsidRPr="004523AB" w:rsidRDefault="000819C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3"/>
                <w:szCs w:val="23"/>
                <w:highlight w:val="yellow"/>
                <w:lang w:eastAsia="en-AU"/>
              </w:rPr>
            </w:pPr>
            <w:r w:rsidRPr="004523AB">
              <w:rPr>
                <w:rFonts w:asciiTheme="majorHAnsi" w:hAnsiTheme="majorHAnsi" w:cstheme="majorHAnsi"/>
                <w:sz w:val="23"/>
                <w:szCs w:val="23"/>
                <w:lang w:eastAsia="en-AU"/>
              </w:rPr>
              <w:t>Alignment</w:t>
            </w:r>
          </w:p>
        </w:tc>
      </w:tr>
      <w:tr w:rsidR="000819C8" w:rsidRPr="004523AB" w14:paraId="76696644" w14:textId="77777777" w:rsidTr="00634C97">
        <w:tc>
          <w:tcPr>
            <w:cnfStyle w:val="001000000000" w:firstRow="0" w:lastRow="0" w:firstColumn="1" w:lastColumn="0" w:oddVBand="0" w:evenVBand="0" w:oddHBand="0" w:evenHBand="0" w:firstRowFirstColumn="0" w:firstRowLastColumn="0" w:lastRowFirstColumn="0" w:lastRowLastColumn="0"/>
            <w:tcW w:w="421" w:type="dxa"/>
          </w:tcPr>
          <w:p w14:paraId="10AF4653" w14:textId="77777777" w:rsidR="000819C8" w:rsidRPr="004523AB" w:rsidRDefault="000819C8">
            <w:pPr>
              <w:spacing w:after="0"/>
              <w:rPr>
                <w:szCs w:val="21"/>
                <w:lang w:eastAsia="en-AU"/>
              </w:rPr>
            </w:pPr>
            <w:r w:rsidRPr="004523AB">
              <w:rPr>
                <w:szCs w:val="21"/>
                <w:lang w:eastAsia="en-AU"/>
              </w:rPr>
              <w:t>1</w:t>
            </w:r>
          </w:p>
        </w:tc>
        <w:tc>
          <w:tcPr>
            <w:tcW w:w="4966" w:type="dxa"/>
          </w:tcPr>
          <w:p w14:paraId="2F298F9B" w14:textId="77777777" w:rsidR="000819C8" w:rsidRPr="004523AB" w:rsidRDefault="000819C8">
            <w:pPr>
              <w:spacing w:after="0"/>
              <w:cnfStyle w:val="000000000000" w:firstRow="0" w:lastRow="0" w:firstColumn="0" w:lastColumn="0" w:oddVBand="0" w:evenVBand="0" w:oddHBand="0" w:evenHBand="0" w:firstRowFirstColumn="0" w:firstRowLastColumn="0" w:lastRowFirstColumn="0" w:lastRowLastColumn="0"/>
              <w:rPr>
                <w:szCs w:val="21"/>
                <w:lang w:eastAsia="en-AU"/>
              </w:rPr>
            </w:pPr>
            <w:r w:rsidRPr="004523AB">
              <w:rPr>
                <w:szCs w:val="21"/>
                <w:lang w:eastAsia="en-AU"/>
              </w:rPr>
              <w:t xml:space="preserve">Comprehensive and inclusive engagement with all stakeholders for large scale, national programs will optimise design and implementation. </w:t>
            </w:r>
          </w:p>
        </w:tc>
        <w:tc>
          <w:tcPr>
            <w:tcW w:w="3533" w:type="dxa"/>
          </w:tcPr>
          <w:p w14:paraId="687702A6" w14:textId="77777777" w:rsidR="000819C8" w:rsidRPr="004523AB" w:rsidRDefault="000819C8" w:rsidP="00D5597B">
            <w:pPr>
              <w:pStyle w:val="TableNBullet"/>
              <w:cnfStyle w:val="000000000000" w:firstRow="0" w:lastRow="0" w:firstColumn="0" w:lastColumn="0" w:oddVBand="0" w:evenVBand="0" w:oddHBand="0" w:evenHBand="0" w:firstRowFirstColumn="0" w:firstRowLastColumn="0" w:lastRowFirstColumn="0" w:lastRowLastColumn="0"/>
            </w:pPr>
            <w:r w:rsidRPr="004523AB">
              <w:t>Robust planning and design*</w:t>
            </w:r>
          </w:p>
          <w:p w14:paraId="38AD963D" w14:textId="77777777" w:rsidR="000819C8" w:rsidRPr="004523AB" w:rsidRDefault="000819C8" w:rsidP="00D5597B">
            <w:pPr>
              <w:pStyle w:val="TableNBullet"/>
              <w:cnfStyle w:val="000000000000" w:firstRow="0" w:lastRow="0" w:firstColumn="0" w:lastColumn="0" w:oddVBand="0" w:evenVBand="0" w:oddHBand="0" w:evenHBand="0" w:firstRowFirstColumn="0" w:firstRowLastColumn="0" w:lastRowFirstColumn="0" w:lastRowLastColumn="0"/>
            </w:pPr>
            <w:r w:rsidRPr="004523AB">
              <w:t>Collaboration and partnership*</w:t>
            </w:r>
          </w:p>
        </w:tc>
      </w:tr>
      <w:tr w:rsidR="000819C8" w:rsidRPr="004523AB" w14:paraId="6F5E7773" w14:textId="77777777" w:rsidTr="00634C97">
        <w:tc>
          <w:tcPr>
            <w:cnfStyle w:val="001000000000" w:firstRow="0" w:lastRow="0" w:firstColumn="1" w:lastColumn="0" w:oddVBand="0" w:evenVBand="0" w:oddHBand="0" w:evenHBand="0" w:firstRowFirstColumn="0" w:firstRowLastColumn="0" w:lastRowFirstColumn="0" w:lastRowLastColumn="0"/>
            <w:tcW w:w="421" w:type="dxa"/>
          </w:tcPr>
          <w:p w14:paraId="4485432D" w14:textId="77777777" w:rsidR="000819C8" w:rsidRPr="004523AB" w:rsidRDefault="000819C8">
            <w:pPr>
              <w:spacing w:after="0"/>
              <w:rPr>
                <w:szCs w:val="21"/>
                <w:lang w:eastAsia="en-AU"/>
              </w:rPr>
            </w:pPr>
            <w:r w:rsidRPr="004523AB">
              <w:rPr>
                <w:szCs w:val="21"/>
                <w:lang w:eastAsia="en-AU"/>
              </w:rPr>
              <w:t>2</w:t>
            </w:r>
          </w:p>
        </w:tc>
        <w:tc>
          <w:tcPr>
            <w:tcW w:w="4966" w:type="dxa"/>
          </w:tcPr>
          <w:p w14:paraId="476EF495" w14:textId="77777777" w:rsidR="000819C8" w:rsidRPr="004523AB" w:rsidRDefault="000819C8">
            <w:pPr>
              <w:spacing w:after="0"/>
              <w:cnfStyle w:val="000000000000" w:firstRow="0" w:lastRow="0" w:firstColumn="0" w:lastColumn="0" w:oddVBand="0" w:evenVBand="0" w:oddHBand="0" w:evenHBand="0" w:firstRowFirstColumn="0" w:firstRowLastColumn="0" w:lastRowFirstColumn="0" w:lastRowLastColumn="0"/>
              <w:rPr>
                <w:szCs w:val="21"/>
                <w:lang w:eastAsia="en-AU"/>
              </w:rPr>
            </w:pPr>
            <w:r w:rsidRPr="004523AB">
              <w:rPr>
                <w:szCs w:val="21"/>
                <w:lang w:eastAsia="en-AU"/>
              </w:rPr>
              <w:t xml:space="preserve">Program design can incentivise behaviours that align to program objectives, including equity and accessibility. </w:t>
            </w:r>
          </w:p>
        </w:tc>
        <w:tc>
          <w:tcPr>
            <w:tcW w:w="3533" w:type="dxa"/>
          </w:tcPr>
          <w:p w14:paraId="06A9CCCD" w14:textId="77777777" w:rsidR="000819C8" w:rsidRPr="004523AB" w:rsidRDefault="000819C8" w:rsidP="00D5597B">
            <w:pPr>
              <w:pStyle w:val="TableNBullet"/>
              <w:cnfStyle w:val="000000000000" w:firstRow="0" w:lastRow="0" w:firstColumn="0" w:lastColumn="0" w:oddVBand="0" w:evenVBand="0" w:oddHBand="0" w:evenHBand="0" w:firstRowFirstColumn="0" w:firstRowLastColumn="0" w:lastRowFirstColumn="0" w:lastRowLastColumn="0"/>
            </w:pPr>
            <w:r w:rsidRPr="004523AB">
              <w:t xml:space="preserve">Consistency with established processes (including </w:t>
            </w:r>
            <w:proofErr w:type="gramStart"/>
            <w:r w:rsidRPr="004523AB">
              <w:t>policy)*</w:t>
            </w:r>
            <w:proofErr w:type="gramEnd"/>
          </w:p>
          <w:p w14:paraId="3B2291B1" w14:textId="77777777" w:rsidR="000819C8" w:rsidRPr="004523AB" w:rsidRDefault="000819C8" w:rsidP="00D5597B">
            <w:pPr>
              <w:pStyle w:val="TableNBullet"/>
              <w:cnfStyle w:val="000000000000" w:firstRow="0" w:lastRow="0" w:firstColumn="0" w:lastColumn="0" w:oddVBand="0" w:evenVBand="0" w:oddHBand="0" w:evenHBand="0" w:firstRowFirstColumn="0" w:firstRowLastColumn="0" w:lastRowFirstColumn="0" w:lastRowLastColumn="0"/>
            </w:pPr>
            <w:r w:rsidRPr="004523AB">
              <w:t>Quintuple Aim</w:t>
            </w:r>
          </w:p>
          <w:p w14:paraId="383BF623" w14:textId="77777777" w:rsidR="000819C8" w:rsidRPr="004523AB" w:rsidRDefault="000819C8" w:rsidP="00D5597B">
            <w:pPr>
              <w:pStyle w:val="TableNBullet"/>
              <w:cnfStyle w:val="000000000000" w:firstRow="0" w:lastRow="0" w:firstColumn="0" w:lastColumn="0" w:oddVBand="0" w:evenVBand="0" w:oddHBand="0" w:evenHBand="0" w:firstRowFirstColumn="0" w:firstRowLastColumn="0" w:lastRowFirstColumn="0" w:lastRowLastColumn="0"/>
            </w:pPr>
            <w:r w:rsidRPr="004523AB">
              <w:t>Robust planning and design*</w:t>
            </w:r>
          </w:p>
        </w:tc>
      </w:tr>
      <w:tr w:rsidR="000819C8" w:rsidRPr="004523AB" w14:paraId="64C7C1BF" w14:textId="77777777" w:rsidTr="00634C97">
        <w:tc>
          <w:tcPr>
            <w:cnfStyle w:val="001000000000" w:firstRow="0" w:lastRow="0" w:firstColumn="1" w:lastColumn="0" w:oddVBand="0" w:evenVBand="0" w:oddHBand="0" w:evenHBand="0" w:firstRowFirstColumn="0" w:firstRowLastColumn="0" w:lastRowFirstColumn="0" w:lastRowLastColumn="0"/>
            <w:tcW w:w="421" w:type="dxa"/>
          </w:tcPr>
          <w:p w14:paraId="161975B5" w14:textId="77777777" w:rsidR="000819C8" w:rsidRPr="004523AB" w:rsidRDefault="000819C8">
            <w:pPr>
              <w:spacing w:after="0"/>
              <w:rPr>
                <w:szCs w:val="21"/>
                <w:lang w:eastAsia="en-AU"/>
              </w:rPr>
            </w:pPr>
            <w:r w:rsidRPr="004523AB">
              <w:rPr>
                <w:szCs w:val="21"/>
                <w:lang w:eastAsia="en-AU"/>
              </w:rPr>
              <w:t>3</w:t>
            </w:r>
          </w:p>
        </w:tc>
        <w:tc>
          <w:tcPr>
            <w:tcW w:w="4966" w:type="dxa"/>
          </w:tcPr>
          <w:p w14:paraId="69C56F34" w14:textId="77777777" w:rsidR="000819C8" w:rsidRPr="004523AB" w:rsidRDefault="000819C8">
            <w:pPr>
              <w:spacing w:after="0"/>
              <w:cnfStyle w:val="000000000000" w:firstRow="0" w:lastRow="0" w:firstColumn="0" w:lastColumn="0" w:oddVBand="0" w:evenVBand="0" w:oddHBand="0" w:evenHBand="0" w:firstRowFirstColumn="0" w:firstRowLastColumn="0" w:lastRowFirstColumn="0" w:lastRowLastColumn="0"/>
              <w:rPr>
                <w:szCs w:val="21"/>
                <w:lang w:eastAsia="en-AU"/>
              </w:rPr>
            </w:pPr>
            <w:r w:rsidRPr="004523AB">
              <w:rPr>
                <w:szCs w:val="21"/>
                <w:lang w:eastAsia="en-AU"/>
              </w:rPr>
              <w:t>Involving NACCHO early in the design of all programs related to First Nations primary care is critical. There are opportunities to translate good practice within the ACCHO sector to future national program design.</w:t>
            </w:r>
          </w:p>
        </w:tc>
        <w:tc>
          <w:tcPr>
            <w:tcW w:w="3533" w:type="dxa"/>
          </w:tcPr>
          <w:p w14:paraId="5647FE8C" w14:textId="77777777" w:rsidR="000819C8" w:rsidRPr="004523AB" w:rsidRDefault="000819C8" w:rsidP="00D5597B">
            <w:pPr>
              <w:pStyle w:val="TableNBullet"/>
              <w:cnfStyle w:val="000000000000" w:firstRow="0" w:lastRow="0" w:firstColumn="0" w:lastColumn="0" w:oddVBand="0" w:evenVBand="0" w:oddHBand="0" w:evenHBand="0" w:firstRowFirstColumn="0" w:firstRowLastColumn="0" w:lastRowFirstColumn="0" w:lastRowLastColumn="0"/>
            </w:pPr>
            <w:r w:rsidRPr="004523AB">
              <w:t>Collaboration and partnership*</w:t>
            </w:r>
          </w:p>
          <w:p w14:paraId="22FD26D7" w14:textId="77777777" w:rsidR="000819C8" w:rsidRPr="004523AB" w:rsidRDefault="000819C8" w:rsidP="00D5597B">
            <w:pPr>
              <w:pStyle w:val="TableNBullet"/>
              <w:cnfStyle w:val="000000000000" w:firstRow="0" w:lastRow="0" w:firstColumn="0" w:lastColumn="0" w:oddVBand="0" w:evenVBand="0" w:oddHBand="0" w:evenHBand="0" w:firstRowFirstColumn="0" w:firstRowLastColumn="0" w:lastRowFirstColumn="0" w:lastRowLastColumn="0"/>
            </w:pPr>
            <w:r w:rsidRPr="004523AB">
              <w:t>Closing the Gap</w:t>
            </w:r>
          </w:p>
        </w:tc>
      </w:tr>
      <w:tr w:rsidR="000819C8" w:rsidRPr="004523AB" w14:paraId="0AA97791" w14:textId="77777777" w:rsidTr="00634C97">
        <w:tc>
          <w:tcPr>
            <w:cnfStyle w:val="001000000000" w:firstRow="0" w:lastRow="0" w:firstColumn="1" w:lastColumn="0" w:oddVBand="0" w:evenVBand="0" w:oddHBand="0" w:evenHBand="0" w:firstRowFirstColumn="0" w:firstRowLastColumn="0" w:lastRowFirstColumn="0" w:lastRowLastColumn="0"/>
            <w:tcW w:w="421" w:type="dxa"/>
          </w:tcPr>
          <w:p w14:paraId="5E60ACB4" w14:textId="77777777" w:rsidR="000819C8" w:rsidRPr="004523AB" w:rsidRDefault="000819C8">
            <w:pPr>
              <w:spacing w:after="0"/>
              <w:rPr>
                <w:szCs w:val="21"/>
                <w:lang w:eastAsia="en-AU"/>
              </w:rPr>
            </w:pPr>
            <w:r w:rsidRPr="004523AB">
              <w:rPr>
                <w:szCs w:val="21"/>
                <w:lang w:eastAsia="en-AU"/>
              </w:rPr>
              <w:t>4</w:t>
            </w:r>
          </w:p>
        </w:tc>
        <w:tc>
          <w:tcPr>
            <w:tcW w:w="4966" w:type="dxa"/>
          </w:tcPr>
          <w:p w14:paraId="3DCE59F2" w14:textId="77777777" w:rsidR="000819C8" w:rsidRPr="004523AB" w:rsidRDefault="000819C8">
            <w:pPr>
              <w:spacing w:after="0"/>
              <w:cnfStyle w:val="000000000000" w:firstRow="0" w:lastRow="0" w:firstColumn="0" w:lastColumn="0" w:oddVBand="0" w:evenVBand="0" w:oddHBand="0" w:evenHBand="0" w:firstRowFirstColumn="0" w:firstRowLastColumn="0" w:lastRowFirstColumn="0" w:lastRowLastColumn="0"/>
              <w:rPr>
                <w:szCs w:val="21"/>
                <w:lang w:eastAsia="en-AU"/>
              </w:rPr>
            </w:pPr>
            <w:r w:rsidRPr="004523AB">
              <w:rPr>
                <w:szCs w:val="21"/>
                <w:lang w:eastAsia="en-AU"/>
              </w:rPr>
              <w:t xml:space="preserve">Programs that leverage those who have trusted relationships and understanding of the target recipients, such as NACCHO and PHNs, have foundations for success. </w:t>
            </w:r>
          </w:p>
        </w:tc>
        <w:tc>
          <w:tcPr>
            <w:tcW w:w="3533" w:type="dxa"/>
          </w:tcPr>
          <w:p w14:paraId="305D699D" w14:textId="77777777" w:rsidR="000819C8" w:rsidRPr="004523AB" w:rsidRDefault="000819C8" w:rsidP="00D5597B">
            <w:pPr>
              <w:pStyle w:val="TableNBullet"/>
              <w:cnfStyle w:val="000000000000" w:firstRow="0" w:lastRow="0" w:firstColumn="0" w:lastColumn="0" w:oddVBand="0" w:evenVBand="0" w:oddHBand="0" w:evenHBand="0" w:firstRowFirstColumn="0" w:firstRowLastColumn="0" w:lastRowFirstColumn="0" w:lastRowLastColumn="0"/>
            </w:pPr>
            <w:r w:rsidRPr="004523AB">
              <w:t>Collaboration and partnership*</w:t>
            </w:r>
          </w:p>
        </w:tc>
      </w:tr>
      <w:tr w:rsidR="000819C8" w:rsidRPr="004523AB" w14:paraId="14917A41" w14:textId="77777777" w:rsidTr="00634C97">
        <w:tc>
          <w:tcPr>
            <w:cnfStyle w:val="001000000000" w:firstRow="0" w:lastRow="0" w:firstColumn="1" w:lastColumn="0" w:oddVBand="0" w:evenVBand="0" w:oddHBand="0" w:evenHBand="0" w:firstRowFirstColumn="0" w:firstRowLastColumn="0" w:lastRowFirstColumn="0" w:lastRowLastColumn="0"/>
            <w:tcW w:w="421" w:type="dxa"/>
          </w:tcPr>
          <w:p w14:paraId="225CACC0" w14:textId="77777777" w:rsidR="000819C8" w:rsidRPr="004523AB" w:rsidRDefault="000819C8">
            <w:pPr>
              <w:spacing w:after="0"/>
              <w:rPr>
                <w:szCs w:val="21"/>
                <w:lang w:eastAsia="en-AU"/>
              </w:rPr>
            </w:pPr>
            <w:r w:rsidRPr="004523AB">
              <w:rPr>
                <w:szCs w:val="21"/>
                <w:lang w:eastAsia="en-AU"/>
              </w:rPr>
              <w:t>5</w:t>
            </w:r>
          </w:p>
        </w:tc>
        <w:tc>
          <w:tcPr>
            <w:tcW w:w="4966" w:type="dxa"/>
          </w:tcPr>
          <w:p w14:paraId="585C08A2" w14:textId="77777777" w:rsidR="000819C8" w:rsidRPr="004523AB" w:rsidRDefault="000819C8">
            <w:pPr>
              <w:spacing w:after="0"/>
              <w:cnfStyle w:val="000000000000" w:firstRow="0" w:lastRow="0" w:firstColumn="0" w:lastColumn="0" w:oddVBand="0" w:evenVBand="0" w:oddHBand="0" w:evenHBand="0" w:firstRowFirstColumn="0" w:firstRowLastColumn="0" w:lastRowFirstColumn="0" w:lastRowLastColumn="0"/>
              <w:rPr>
                <w:szCs w:val="21"/>
                <w:lang w:eastAsia="en-AU"/>
              </w:rPr>
            </w:pPr>
            <w:r w:rsidRPr="004523AB">
              <w:rPr>
                <w:szCs w:val="21"/>
                <w:lang w:eastAsia="en-AU"/>
              </w:rPr>
              <w:t xml:space="preserve">When multiple partners are involved in program delivery, graduated support for varying levels of operational maturity may assist effective implementation. </w:t>
            </w:r>
          </w:p>
        </w:tc>
        <w:tc>
          <w:tcPr>
            <w:tcW w:w="3533" w:type="dxa"/>
          </w:tcPr>
          <w:p w14:paraId="5DC4023F" w14:textId="77777777" w:rsidR="000819C8" w:rsidRPr="004523AB" w:rsidRDefault="000819C8" w:rsidP="00D5597B">
            <w:pPr>
              <w:pStyle w:val="TableNBullet"/>
              <w:cnfStyle w:val="000000000000" w:firstRow="0" w:lastRow="0" w:firstColumn="0" w:lastColumn="0" w:oddVBand="0" w:evenVBand="0" w:oddHBand="0" w:evenHBand="0" w:firstRowFirstColumn="0" w:firstRowLastColumn="0" w:lastRowFirstColumn="0" w:lastRowLastColumn="0"/>
            </w:pPr>
            <w:r w:rsidRPr="004523AB">
              <w:t>Outcomes orientation*</w:t>
            </w:r>
          </w:p>
          <w:p w14:paraId="43970B18" w14:textId="77777777" w:rsidR="000819C8" w:rsidRPr="004523AB" w:rsidRDefault="000819C8" w:rsidP="00D5597B">
            <w:pPr>
              <w:pStyle w:val="TableNBullet"/>
              <w:cnfStyle w:val="000000000000" w:firstRow="0" w:lastRow="0" w:firstColumn="0" w:lastColumn="0" w:oddVBand="0" w:evenVBand="0" w:oddHBand="0" w:evenHBand="0" w:firstRowFirstColumn="0" w:firstRowLastColumn="0" w:lastRowFirstColumn="0" w:lastRowLastColumn="0"/>
            </w:pPr>
            <w:r w:rsidRPr="004523AB">
              <w:t xml:space="preserve">Consistency with grant guidelines and established processes (including </w:t>
            </w:r>
            <w:proofErr w:type="gramStart"/>
            <w:r w:rsidRPr="004523AB">
              <w:t>policy)*</w:t>
            </w:r>
            <w:proofErr w:type="gramEnd"/>
          </w:p>
        </w:tc>
      </w:tr>
      <w:tr w:rsidR="000819C8" w:rsidRPr="004523AB" w14:paraId="12FD6121" w14:textId="77777777" w:rsidTr="00634C97">
        <w:tc>
          <w:tcPr>
            <w:cnfStyle w:val="001000000000" w:firstRow="0" w:lastRow="0" w:firstColumn="1" w:lastColumn="0" w:oddVBand="0" w:evenVBand="0" w:oddHBand="0" w:evenHBand="0" w:firstRowFirstColumn="0" w:firstRowLastColumn="0" w:lastRowFirstColumn="0" w:lastRowLastColumn="0"/>
            <w:tcW w:w="421" w:type="dxa"/>
          </w:tcPr>
          <w:p w14:paraId="2C0BBD9F" w14:textId="77777777" w:rsidR="000819C8" w:rsidRPr="004523AB" w:rsidRDefault="000819C8">
            <w:pPr>
              <w:spacing w:after="0"/>
              <w:rPr>
                <w:szCs w:val="21"/>
                <w:lang w:eastAsia="en-AU"/>
              </w:rPr>
            </w:pPr>
            <w:r w:rsidRPr="004523AB">
              <w:rPr>
                <w:szCs w:val="21"/>
                <w:lang w:eastAsia="en-AU"/>
              </w:rPr>
              <w:t>6</w:t>
            </w:r>
          </w:p>
        </w:tc>
        <w:tc>
          <w:tcPr>
            <w:tcW w:w="4966" w:type="dxa"/>
          </w:tcPr>
          <w:p w14:paraId="59764478" w14:textId="77777777" w:rsidR="000819C8" w:rsidRPr="004523AB" w:rsidRDefault="000819C8">
            <w:pPr>
              <w:spacing w:after="0"/>
              <w:cnfStyle w:val="000000000000" w:firstRow="0" w:lastRow="0" w:firstColumn="0" w:lastColumn="0" w:oddVBand="0" w:evenVBand="0" w:oddHBand="0" w:evenHBand="0" w:firstRowFirstColumn="0" w:firstRowLastColumn="0" w:lastRowFirstColumn="0" w:lastRowLastColumn="0"/>
              <w:rPr>
                <w:szCs w:val="21"/>
                <w:lang w:eastAsia="en-AU"/>
              </w:rPr>
            </w:pPr>
            <w:r w:rsidRPr="004523AB">
              <w:rPr>
                <w:szCs w:val="21"/>
                <w:lang w:eastAsia="en-AU"/>
              </w:rPr>
              <w:t xml:space="preserve">Communications for large programs involving multiple stakeholders need to be timely, tested and well-thought through for end users. </w:t>
            </w:r>
          </w:p>
        </w:tc>
        <w:tc>
          <w:tcPr>
            <w:tcW w:w="3533" w:type="dxa"/>
          </w:tcPr>
          <w:p w14:paraId="292D82EA" w14:textId="77777777" w:rsidR="000819C8" w:rsidRPr="004523AB" w:rsidRDefault="000819C8" w:rsidP="00D5597B">
            <w:pPr>
              <w:pStyle w:val="TableNBullet"/>
              <w:cnfStyle w:val="000000000000" w:firstRow="0" w:lastRow="0" w:firstColumn="0" w:lastColumn="0" w:oddVBand="0" w:evenVBand="0" w:oddHBand="0" w:evenHBand="0" w:firstRowFirstColumn="0" w:firstRowLastColumn="0" w:lastRowFirstColumn="0" w:lastRowLastColumn="0"/>
            </w:pPr>
            <w:r w:rsidRPr="004523AB">
              <w:t>Robust planning and design*</w:t>
            </w:r>
          </w:p>
          <w:p w14:paraId="5204243F" w14:textId="77777777" w:rsidR="000819C8" w:rsidRPr="004523AB" w:rsidRDefault="000819C8" w:rsidP="00D5597B">
            <w:pPr>
              <w:pStyle w:val="TableNBullet"/>
              <w:cnfStyle w:val="000000000000" w:firstRow="0" w:lastRow="0" w:firstColumn="0" w:lastColumn="0" w:oddVBand="0" w:evenVBand="0" w:oddHBand="0" w:evenHBand="0" w:firstRowFirstColumn="0" w:firstRowLastColumn="0" w:lastRowFirstColumn="0" w:lastRowLastColumn="0"/>
            </w:pPr>
            <w:r w:rsidRPr="004523AB">
              <w:t>Outcomes orientation*</w:t>
            </w:r>
          </w:p>
          <w:p w14:paraId="03EF6B8B" w14:textId="77777777" w:rsidR="000819C8" w:rsidRPr="004523AB" w:rsidRDefault="000819C8" w:rsidP="00D5597B">
            <w:pPr>
              <w:pStyle w:val="TableNBullet"/>
              <w:cnfStyle w:val="000000000000" w:firstRow="0" w:lastRow="0" w:firstColumn="0" w:lastColumn="0" w:oddVBand="0" w:evenVBand="0" w:oddHBand="0" w:evenHBand="0" w:firstRowFirstColumn="0" w:firstRowLastColumn="0" w:lastRowFirstColumn="0" w:lastRowLastColumn="0"/>
            </w:pPr>
            <w:r w:rsidRPr="004523AB">
              <w:t xml:space="preserve">Consistency with grant guidelines and established processes (including </w:t>
            </w:r>
            <w:proofErr w:type="gramStart"/>
            <w:r w:rsidRPr="004523AB">
              <w:t>policy)*</w:t>
            </w:r>
            <w:proofErr w:type="gramEnd"/>
          </w:p>
        </w:tc>
      </w:tr>
      <w:tr w:rsidR="000819C8" w:rsidRPr="004523AB" w14:paraId="31D3AE4C" w14:textId="77777777" w:rsidTr="00634C97">
        <w:tc>
          <w:tcPr>
            <w:cnfStyle w:val="001000000000" w:firstRow="0" w:lastRow="0" w:firstColumn="1" w:lastColumn="0" w:oddVBand="0" w:evenVBand="0" w:oddHBand="0" w:evenHBand="0" w:firstRowFirstColumn="0" w:firstRowLastColumn="0" w:lastRowFirstColumn="0" w:lastRowLastColumn="0"/>
            <w:tcW w:w="421" w:type="dxa"/>
          </w:tcPr>
          <w:p w14:paraId="1D83FA38" w14:textId="77777777" w:rsidR="000819C8" w:rsidRPr="004523AB" w:rsidRDefault="000819C8">
            <w:pPr>
              <w:spacing w:after="0"/>
              <w:rPr>
                <w:szCs w:val="21"/>
                <w:lang w:eastAsia="en-AU"/>
              </w:rPr>
            </w:pPr>
            <w:r w:rsidRPr="004523AB">
              <w:rPr>
                <w:szCs w:val="21"/>
                <w:lang w:eastAsia="en-AU"/>
              </w:rPr>
              <w:t>7</w:t>
            </w:r>
          </w:p>
        </w:tc>
        <w:tc>
          <w:tcPr>
            <w:tcW w:w="4966" w:type="dxa"/>
          </w:tcPr>
          <w:p w14:paraId="6B22F7E7" w14:textId="77777777" w:rsidR="000819C8" w:rsidRPr="004523AB" w:rsidRDefault="000819C8">
            <w:pPr>
              <w:spacing w:after="0"/>
              <w:cnfStyle w:val="000000000000" w:firstRow="0" w:lastRow="0" w:firstColumn="0" w:lastColumn="0" w:oddVBand="0" w:evenVBand="0" w:oddHBand="0" w:evenHBand="0" w:firstRowFirstColumn="0" w:firstRowLastColumn="0" w:lastRowFirstColumn="0" w:lastRowLastColumn="0"/>
              <w:rPr>
                <w:szCs w:val="21"/>
                <w:lang w:eastAsia="en-AU"/>
              </w:rPr>
            </w:pPr>
            <w:r w:rsidRPr="004523AB">
              <w:rPr>
                <w:szCs w:val="21"/>
                <w:lang w:eastAsia="en-AU"/>
              </w:rPr>
              <w:t xml:space="preserve">Additional benefits for broader policy outcomes, beyond the immediate program objectives, can be achieved through program delivery. </w:t>
            </w:r>
          </w:p>
        </w:tc>
        <w:tc>
          <w:tcPr>
            <w:tcW w:w="3533" w:type="dxa"/>
          </w:tcPr>
          <w:p w14:paraId="378D56A6" w14:textId="77777777" w:rsidR="000819C8" w:rsidRPr="004523AB" w:rsidRDefault="000819C8" w:rsidP="00D5597B">
            <w:pPr>
              <w:pStyle w:val="TableNBullet"/>
              <w:cnfStyle w:val="000000000000" w:firstRow="0" w:lastRow="0" w:firstColumn="0" w:lastColumn="0" w:oddVBand="0" w:evenVBand="0" w:oddHBand="0" w:evenHBand="0" w:firstRowFirstColumn="0" w:firstRowLastColumn="0" w:lastRowFirstColumn="0" w:lastRowLastColumn="0"/>
            </w:pPr>
            <w:r w:rsidRPr="004523AB">
              <w:t>Robust planning and design*</w:t>
            </w:r>
          </w:p>
          <w:p w14:paraId="4441F05A" w14:textId="77777777" w:rsidR="000819C8" w:rsidRPr="004523AB" w:rsidRDefault="000819C8" w:rsidP="00D5597B">
            <w:pPr>
              <w:pStyle w:val="TableNBullet"/>
              <w:cnfStyle w:val="000000000000" w:firstRow="0" w:lastRow="0" w:firstColumn="0" w:lastColumn="0" w:oddVBand="0" w:evenVBand="0" w:oddHBand="0" w:evenHBand="0" w:firstRowFirstColumn="0" w:firstRowLastColumn="0" w:lastRowFirstColumn="0" w:lastRowLastColumn="0"/>
            </w:pPr>
            <w:r w:rsidRPr="004523AB">
              <w:t>Outcomes orientation*</w:t>
            </w:r>
          </w:p>
          <w:p w14:paraId="30AE8290" w14:textId="77777777" w:rsidR="000819C8" w:rsidRPr="004523AB" w:rsidRDefault="000819C8" w:rsidP="00D5597B">
            <w:pPr>
              <w:pStyle w:val="TableNBullet"/>
              <w:cnfStyle w:val="000000000000" w:firstRow="0" w:lastRow="0" w:firstColumn="0" w:lastColumn="0" w:oddVBand="0" w:evenVBand="0" w:oddHBand="0" w:evenHBand="0" w:firstRowFirstColumn="0" w:firstRowLastColumn="0" w:lastRowFirstColumn="0" w:lastRowLastColumn="0"/>
            </w:pPr>
            <w:r w:rsidRPr="004523AB">
              <w:lastRenderedPageBreak/>
              <w:t xml:space="preserve">Consistency with grant guidelines and established processes (including </w:t>
            </w:r>
            <w:proofErr w:type="gramStart"/>
            <w:r w:rsidRPr="004523AB">
              <w:t>policy)*</w:t>
            </w:r>
            <w:proofErr w:type="gramEnd"/>
          </w:p>
        </w:tc>
      </w:tr>
      <w:tr w:rsidR="000819C8" w:rsidRPr="004523AB" w14:paraId="500EB370" w14:textId="77777777" w:rsidTr="00634C97">
        <w:tc>
          <w:tcPr>
            <w:cnfStyle w:val="001000000000" w:firstRow="0" w:lastRow="0" w:firstColumn="1" w:lastColumn="0" w:oddVBand="0" w:evenVBand="0" w:oddHBand="0" w:evenHBand="0" w:firstRowFirstColumn="0" w:firstRowLastColumn="0" w:lastRowFirstColumn="0" w:lastRowLastColumn="0"/>
            <w:tcW w:w="421" w:type="dxa"/>
          </w:tcPr>
          <w:p w14:paraId="20D2673D" w14:textId="77777777" w:rsidR="000819C8" w:rsidRPr="004523AB" w:rsidRDefault="000819C8">
            <w:pPr>
              <w:spacing w:after="0"/>
              <w:rPr>
                <w:szCs w:val="21"/>
                <w:lang w:eastAsia="en-AU"/>
              </w:rPr>
            </w:pPr>
            <w:r w:rsidRPr="004523AB">
              <w:rPr>
                <w:szCs w:val="21"/>
                <w:lang w:eastAsia="en-AU"/>
              </w:rPr>
              <w:lastRenderedPageBreak/>
              <w:t>8</w:t>
            </w:r>
          </w:p>
        </w:tc>
        <w:tc>
          <w:tcPr>
            <w:tcW w:w="4966" w:type="dxa"/>
          </w:tcPr>
          <w:p w14:paraId="42CF4988" w14:textId="77777777" w:rsidR="000819C8" w:rsidRPr="004523AB" w:rsidRDefault="000819C8">
            <w:pPr>
              <w:spacing w:after="0"/>
              <w:cnfStyle w:val="000000000000" w:firstRow="0" w:lastRow="0" w:firstColumn="0" w:lastColumn="0" w:oddVBand="0" w:evenVBand="0" w:oddHBand="0" w:evenHBand="0" w:firstRowFirstColumn="0" w:firstRowLastColumn="0" w:lastRowFirstColumn="0" w:lastRowLastColumn="0"/>
              <w:rPr>
                <w:szCs w:val="21"/>
                <w:lang w:eastAsia="en-AU"/>
              </w:rPr>
            </w:pPr>
            <w:r w:rsidRPr="004523AB">
              <w:rPr>
                <w:szCs w:val="21"/>
                <w:lang w:eastAsia="en-AU"/>
              </w:rPr>
              <w:t xml:space="preserve">Reporting and acquittal, ongoing monitoring and evaluation should be part of early design, and be proportional to the level of funding, administrative effort, and long-term impact. </w:t>
            </w:r>
          </w:p>
        </w:tc>
        <w:tc>
          <w:tcPr>
            <w:tcW w:w="3533" w:type="dxa"/>
          </w:tcPr>
          <w:p w14:paraId="2544ACFE" w14:textId="77777777" w:rsidR="000819C8" w:rsidRPr="004523AB" w:rsidRDefault="000819C8" w:rsidP="00D5597B">
            <w:pPr>
              <w:pStyle w:val="TableNBullet"/>
              <w:cnfStyle w:val="000000000000" w:firstRow="0" w:lastRow="0" w:firstColumn="0" w:lastColumn="0" w:oddVBand="0" w:evenVBand="0" w:oddHBand="0" w:evenHBand="0" w:firstRowFirstColumn="0" w:firstRowLastColumn="0" w:lastRowFirstColumn="0" w:lastRowLastColumn="0"/>
            </w:pPr>
            <w:r w:rsidRPr="004523AB">
              <w:t>Governance and accountability*</w:t>
            </w:r>
          </w:p>
          <w:p w14:paraId="56AD43CB" w14:textId="77777777" w:rsidR="000819C8" w:rsidRPr="004523AB" w:rsidRDefault="000819C8" w:rsidP="00D5597B">
            <w:pPr>
              <w:pStyle w:val="TableNBullet"/>
              <w:cnfStyle w:val="000000000000" w:firstRow="0" w:lastRow="0" w:firstColumn="0" w:lastColumn="0" w:oddVBand="0" w:evenVBand="0" w:oddHBand="0" w:evenHBand="0" w:firstRowFirstColumn="0" w:firstRowLastColumn="0" w:lastRowFirstColumn="0" w:lastRowLastColumn="0"/>
            </w:pPr>
            <w:r w:rsidRPr="004523AB">
              <w:t>Outcomes orientation*</w:t>
            </w:r>
          </w:p>
        </w:tc>
      </w:tr>
    </w:tbl>
    <w:p w14:paraId="079F4788" w14:textId="336F8887" w:rsidR="006F36BA" w:rsidRPr="006E25AA" w:rsidRDefault="00193430" w:rsidP="006E25AA">
      <w:pPr>
        <w:rPr>
          <w:lang w:eastAsia="en-AU"/>
        </w:rPr>
      </w:pPr>
      <w:r w:rsidRPr="004523AB">
        <w:rPr>
          <w:lang w:eastAsia="en-AU"/>
        </w:rPr>
        <w:t xml:space="preserve">*Principles in the Commonwealth Grants Rules and Principles 2024. </w:t>
      </w:r>
    </w:p>
    <w:sectPr w:rsidR="006F36BA" w:rsidRPr="006E25AA" w:rsidSect="00FF5D96">
      <w:pgSz w:w="11906" w:h="16838" w:code="9"/>
      <w:pgMar w:top="1247" w:right="1304" w:bottom="1559"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3F049E" w14:textId="77777777" w:rsidR="000A0925" w:rsidRDefault="000A0925" w:rsidP="00302076">
      <w:pPr>
        <w:spacing w:after="0"/>
      </w:pPr>
      <w:r>
        <w:separator/>
      </w:r>
    </w:p>
  </w:endnote>
  <w:endnote w:type="continuationSeparator" w:id="0">
    <w:p w14:paraId="42325796" w14:textId="77777777" w:rsidR="000A0925" w:rsidRDefault="000A0925" w:rsidP="00302076">
      <w:pPr>
        <w:spacing w:after="0"/>
      </w:pPr>
      <w:r>
        <w:continuationSeparator/>
      </w:r>
    </w:p>
  </w:endnote>
  <w:endnote w:type="continuationNotice" w:id="1">
    <w:p w14:paraId="3FA75E64" w14:textId="77777777" w:rsidR="000A0925" w:rsidRDefault="000A09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light">
    <w:panose1 w:val="020B04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arlett">
    <w:panose1 w:val="00000000000000000000"/>
    <w:charset w:val="02"/>
    <w:family w:val="auto"/>
    <w:pitch w:val="variable"/>
    <w:sig w:usb0="00000000" w:usb1="10000000" w:usb2="00000000" w:usb3="00000000" w:csb0="80000000" w:csb1="00000000"/>
  </w:font>
  <w:font w:name="SimSun-ExtB">
    <w:panose1 w:val="02010609060101010101"/>
    <w:charset w:val="86"/>
    <w:family w:val="modern"/>
    <w:pitch w:val="fixed"/>
    <w:sig w:usb0="00000003" w:usb1="0A0E0000" w:usb2="00000010" w:usb3="00000000" w:csb0="00040001" w:csb1="00000000"/>
  </w:font>
  <w:font w:name="Segoe UI Historic">
    <w:panose1 w:val="020B0502040204020203"/>
    <w:charset w:val="00"/>
    <w:family w:val="swiss"/>
    <w:pitch w:val="variable"/>
    <w:sig w:usb0="800001EF" w:usb1="02000002" w:usb2="0060C08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65486D" w14:textId="6701957C" w:rsidR="007847A4" w:rsidRPr="00FD4AB1" w:rsidRDefault="007847A4">
    <w:pPr>
      <w:pStyle w:val="Footer"/>
      <w:rPr>
        <w:rFonts w:ascii="Segoe UI Semibold" w:hAnsi="Segoe UI Semibold" w:cs="Segoe UI"/>
        <w:b/>
      </w:rPr>
    </w:pPr>
    <w:r w:rsidRPr="00591FB7">
      <w:rPr>
        <w:szCs w:val="15"/>
        <w:lang w:eastAsia="en-AU"/>
      </w:rPr>
      <w:t xml:space="preserve">Nous Group | </w:t>
    </w:r>
    <w:sdt>
      <w:sdtPr>
        <w:rPr>
          <w:szCs w:val="15"/>
          <w:lang w:eastAsia="en-AU"/>
        </w:rPr>
        <w:alias w:val="Title"/>
        <w:id w:val="1042178468"/>
        <w:dataBinding w:prefixMappings="xmlns:ns0='http://purl.org/dc/elements/1.1/' xmlns:ns1='http://schemas.openxmlformats.org/package/2006/metadata/core-properties' " w:xpath="/ns1:coreProperties[1]/ns0:title[1]" w:storeItemID="{6C3C8BC8-F283-45AE-878A-BAB7291924A1}"/>
        <w:text/>
      </w:sdtPr>
      <w:sdtContent>
        <w:r w:rsidR="00791D7C">
          <w:rPr>
            <w:szCs w:val="15"/>
            <w:lang w:eastAsia="en-AU"/>
          </w:rPr>
          <w:t>Strengthening Medicare – General Practice Grants Program Evaluation: Final Report</w:t>
        </w:r>
      </w:sdtContent>
    </w:sdt>
    <w:r w:rsidRPr="00591FB7">
      <w:rPr>
        <w:szCs w:val="15"/>
        <w:lang w:eastAsia="en-AU"/>
      </w:rPr>
      <w:t xml:space="preserve"> | </w:t>
    </w:r>
    <w:sdt>
      <w:sdtPr>
        <w:rPr>
          <w:szCs w:val="15"/>
          <w:lang w:eastAsia="en-AU"/>
        </w:rPr>
        <w:alias w:val="Publish Date"/>
        <w:id w:val="890228047"/>
        <w:dataBinding w:prefixMappings="xmlns:ns0='http://schemas.microsoft.com/office/2006/coverPageProps' " w:xpath="/ns0:CoverPageProperties[1]/ns0:PublishDate[1]" w:storeItemID="{55AF091B-3C7A-41E3-B477-F2FDAA23CFDA}"/>
        <w:date w:fullDate="2024-11-28T00:00:00Z">
          <w:dateFormat w:val="d MMMM yyyy"/>
          <w:lid w:val="en-AU"/>
          <w:storeMappedDataAs w:val="dateTime"/>
          <w:calendar w:val="gregorian"/>
        </w:date>
      </w:sdtPr>
      <w:sdtContent>
        <w:r w:rsidR="00624D60">
          <w:rPr>
            <w:szCs w:val="15"/>
            <w:lang w:eastAsia="en-AU"/>
          </w:rPr>
          <w:t>28 November 2024</w:t>
        </w:r>
      </w:sdtContent>
    </w:sdt>
    <w:r w:rsidRPr="00591FB7">
      <w:rPr>
        <w:rFonts w:ascii="Segoe UI Semibold" w:hAnsi="Segoe UI Semibold" w:cs="Segoe UI"/>
      </w:rPr>
      <w:ptab w:relativeTo="margin" w:alignment="right" w:leader="none"/>
    </w:r>
    <w:r w:rsidRPr="00591FB7">
      <w:rPr>
        <w:rFonts w:cs="Segoe UI"/>
      </w:rPr>
      <w:t xml:space="preserve">| </w:t>
    </w:r>
    <w:r w:rsidRPr="00591FB7">
      <w:rPr>
        <w:rFonts w:cs="Segoe UI"/>
        <w:b/>
        <w:sz w:val="16"/>
        <w:szCs w:val="16"/>
      </w:rPr>
      <w:fldChar w:fldCharType="begin"/>
    </w:r>
    <w:r w:rsidRPr="00591FB7">
      <w:rPr>
        <w:rFonts w:cs="Segoe UI"/>
        <w:sz w:val="16"/>
        <w:szCs w:val="16"/>
      </w:rPr>
      <w:instrText xml:space="preserve"> PAGE  \* roman  \* MERGEFORMAT </w:instrText>
    </w:r>
    <w:r w:rsidRPr="00591FB7">
      <w:rPr>
        <w:rFonts w:cs="Segoe UI"/>
        <w:b/>
        <w:sz w:val="16"/>
        <w:szCs w:val="16"/>
      </w:rPr>
      <w:fldChar w:fldCharType="separate"/>
    </w:r>
    <w:r w:rsidRPr="00591FB7">
      <w:rPr>
        <w:rFonts w:cs="Segoe UI"/>
        <w:b/>
        <w:noProof/>
        <w:sz w:val="16"/>
        <w:szCs w:val="16"/>
      </w:rPr>
      <w:t>i</w:t>
    </w:r>
    <w:r w:rsidRPr="00591FB7">
      <w:rPr>
        <w:rFonts w:cs="Segoe UI"/>
        <w:b/>
        <w:sz w:val="16"/>
        <w:szCs w:val="16"/>
      </w:rPr>
      <w:fldChar w:fldCharType="end"/>
    </w:r>
    <w:r w:rsidRPr="003B464C">
      <w:rPr>
        <w:rFonts w:cs="Segoe UI"/>
        <w:color w:val="A5A5A5"/>
        <w:sz w:val="16"/>
        <w:szCs w:val="16"/>
      </w:rPr>
      <w:t xml:space="preserve"> </w:t>
    </w:r>
    <w:r w:rsidRPr="00591FB7">
      <w:rPr>
        <w:rFonts w:cs="Segoe UI"/>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F310B" w14:textId="583511BA" w:rsidR="000511F4" w:rsidRPr="00BC3603" w:rsidRDefault="000511F4">
    <w:pPr>
      <w:pStyle w:val="Footer"/>
      <w:rPr>
        <w:rFonts w:asciiTheme="minorHAnsi" w:hAnsiTheme="minorHAnsi" w:cstheme="minorHAnsi"/>
        <w:b/>
        <w:sz w:val="18"/>
        <w:szCs w:val="18"/>
      </w:rPr>
    </w:pPr>
    <w:r w:rsidRPr="00591FB7">
      <w:rPr>
        <w:rFonts w:asciiTheme="minorHAnsi" w:hAnsiTheme="minorHAnsi" w:cstheme="minorHAnsi"/>
        <w:sz w:val="18"/>
        <w:szCs w:val="18"/>
        <w:lang w:eastAsia="en-AU"/>
      </w:rPr>
      <w:t xml:space="preserve">Nous Group | </w:t>
    </w:r>
    <w:sdt>
      <w:sdtPr>
        <w:rPr>
          <w:rFonts w:asciiTheme="minorHAnsi" w:hAnsiTheme="minorHAnsi" w:cstheme="minorHAnsi"/>
          <w:sz w:val="18"/>
          <w:szCs w:val="18"/>
          <w:lang w:eastAsia="en-AU"/>
        </w:rPr>
        <w:alias w:val="Title"/>
        <w:id w:val="1089580792"/>
        <w:dataBinding w:prefixMappings="xmlns:ns0='http://purl.org/dc/elements/1.1/' xmlns:ns1='http://schemas.openxmlformats.org/package/2006/metadata/core-properties' " w:xpath="/ns1:coreProperties[1]/ns0:title[1]" w:storeItemID="{6C3C8BC8-F283-45AE-878A-BAB7291924A1}"/>
        <w:text/>
      </w:sdtPr>
      <w:sdtContent>
        <w:r w:rsidR="00791D7C">
          <w:rPr>
            <w:rFonts w:asciiTheme="minorHAnsi" w:hAnsiTheme="minorHAnsi" w:cstheme="minorHAnsi"/>
            <w:sz w:val="18"/>
            <w:szCs w:val="18"/>
            <w:lang w:eastAsia="en-AU"/>
          </w:rPr>
          <w:t>Strengthening Medicare – General Practice Grants Program Evaluation: Final Report</w:t>
        </w:r>
      </w:sdtContent>
    </w:sdt>
    <w:r w:rsidRPr="00591FB7">
      <w:rPr>
        <w:rFonts w:asciiTheme="minorHAnsi" w:hAnsiTheme="minorHAnsi" w:cstheme="minorHAnsi"/>
        <w:sz w:val="18"/>
        <w:szCs w:val="18"/>
        <w:lang w:eastAsia="en-AU"/>
      </w:rPr>
      <w:t xml:space="preserve"> | </w:t>
    </w:r>
    <w:sdt>
      <w:sdtPr>
        <w:rPr>
          <w:rFonts w:asciiTheme="minorHAnsi" w:hAnsiTheme="minorHAnsi" w:cstheme="minorHAnsi"/>
          <w:sz w:val="18"/>
          <w:szCs w:val="18"/>
          <w:lang w:eastAsia="en-AU"/>
        </w:rPr>
        <w:alias w:val="Publish Date"/>
        <w:id w:val="-1085840653"/>
        <w:dataBinding w:prefixMappings="xmlns:ns0='http://schemas.microsoft.com/office/2006/coverPageProps' " w:xpath="/ns0:CoverPageProperties[1]/ns0:PublishDate[1]" w:storeItemID="{55AF091B-3C7A-41E3-B477-F2FDAA23CFDA}"/>
        <w:date w:fullDate="2024-11-28T00:00:00Z">
          <w:dateFormat w:val="d MMMM yyyy"/>
          <w:lid w:val="en-AU"/>
          <w:storeMappedDataAs w:val="dateTime"/>
          <w:calendar w:val="gregorian"/>
        </w:date>
      </w:sdtPr>
      <w:sdtContent>
        <w:r w:rsidR="00624D60">
          <w:rPr>
            <w:rFonts w:asciiTheme="minorHAnsi" w:hAnsiTheme="minorHAnsi" w:cstheme="minorHAnsi"/>
            <w:sz w:val="18"/>
            <w:szCs w:val="18"/>
            <w:lang w:eastAsia="en-AU"/>
          </w:rPr>
          <w:t>28 November 2024</w:t>
        </w:r>
      </w:sdtContent>
    </w:sdt>
    <w:r w:rsidRPr="00591FB7">
      <w:rPr>
        <w:rFonts w:asciiTheme="minorHAnsi" w:hAnsiTheme="minorHAnsi" w:cstheme="minorHAnsi"/>
        <w:sz w:val="18"/>
        <w:szCs w:val="18"/>
      </w:rPr>
      <w:ptab w:relativeTo="margin" w:alignment="right" w:leader="none"/>
    </w:r>
    <w:r w:rsidRPr="00591FB7">
      <w:rPr>
        <w:rFonts w:asciiTheme="minorHAnsi" w:hAnsiTheme="minorHAnsi" w:cstheme="minorHAnsi"/>
        <w:sz w:val="18"/>
        <w:szCs w:val="18"/>
      </w:rPr>
      <w:t xml:space="preserve">| </w:t>
    </w:r>
    <w:r w:rsidRPr="00591FB7">
      <w:rPr>
        <w:rFonts w:asciiTheme="minorHAnsi" w:hAnsiTheme="minorHAnsi" w:cstheme="minorHAnsi"/>
        <w:sz w:val="18"/>
        <w:szCs w:val="18"/>
      </w:rPr>
      <w:fldChar w:fldCharType="begin"/>
    </w:r>
    <w:r w:rsidRPr="00591FB7">
      <w:rPr>
        <w:rFonts w:asciiTheme="minorHAnsi" w:hAnsiTheme="minorHAnsi" w:cstheme="minorHAnsi"/>
        <w:sz w:val="18"/>
        <w:szCs w:val="18"/>
      </w:rPr>
      <w:instrText xml:space="preserve"> PAGE  \* roman  \* MERGEFORMAT </w:instrText>
    </w:r>
    <w:r w:rsidRPr="00591FB7">
      <w:rPr>
        <w:rFonts w:asciiTheme="minorHAnsi" w:hAnsiTheme="minorHAnsi" w:cstheme="minorHAnsi"/>
        <w:sz w:val="18"/>
        <w:szCs w:val="18"/>
      </w:rPr>
      <w:fldChar w:fldCharType="separate"/>
    </w:r>
    <w:r w:rsidRPr="00591FB7">
      <w:rPr>
        <w:rFonts w:asciiTheme="minorHAnsi" w:hAnsiTheme="minorHAnsi" w:cstheme="minorHAnsi"/>
        <w:noProof/>
        <w:sz w:val="18"/>
        <w:szCs w:val="18"/>
      </w:rPr>
      <w:t>ii</w:t>
    </w:r>
    <w:r w:rsidRPr="00591FB7">
      <w:rPr>
        <w:rFonts w:asciiTheme="minorHAnsi" w:hAnsiTheme="minorHAnsi" w:cstheme="minorHAnsi"/>
        <w:sz w:val="18"/>
        <w:szCs w:val="18"/>
      </w:rPr>
      <w:fldChar w:fldCharType="end"/>
    </w:r>
    <w:r w:rsidRPr="00591FB7">
      <w:rPr>
        <w:rFonts w:asciiTheme="minorHAnsi" w:hAnsiTheme="minorHAnsi" w:cstheme="minorHAnsi"/>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0BEDC" w14:textId="77777777" w:rsidR="00856872" w:rsidRDefault="00856872" w:rsidP="00E32C9A">
    <w:pPr>
      <w:pStyle w:val="NousFooter"/>
    </w:pPr>
    <w:r w:rsidRPr="000D4195">
      <w:rPr>
        <w:noProof/>
      </w:rPr>
      <w:drawing>
        <wp:inline distT="0" distB="0" distL="0" distR="0" wp14:anchorId="2800F0B6" wp14:editId="4640E419">
          <wp:extent cx="856155" cy="234000"/>
          <wp:effectExtent l="0" t="0" r="1270"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6155" cy="234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FBCAD9" w14:textId="25B717BD" w:rsidR="008A550C" w:rsidRPr="00474657" w:rsidRDefault="00474657">
    <w:pPr>
      <w:pStyle w:val="Footer"/>
      <w:rPr>
        <w:rFonts w:cs="Segoe UI"/>
        <w:b/>
      </w:rPr>
    </w:pPr>
    <w:r w:rsidRPr="00791D7C">
      <w:rPr>
        <w:rFonts w:cs="Segoe UI"/>
        <w:sz w:val="16"/>
        <w:szCs w:val="11"/>
        <w:lang w:eastAsia="en-AU"/>
      </w:rPr>
      <w:t xml:space="preserve">Nous Group | </w:t>
    </w:r>
    <w:sdt>
      <w:sdtPr>
        <w:rPr>
          <w:rFonts w:cs="Segoe UI"/>
          <w:sz w:val="16"/>
          <w:szCs w:val="11"/>
          <w:lang w:eastAsia="en-AU"/>
        </w:rPr>
        <w:alias w:val="Title"/>
        <w:id w:val="787928190"/>
        <w:dataBinding w:prefixMappings="xmlns:ns0='http://purl.org/dc/elements/1.1/' xmlns:ns1='http://schemas.openxmlformats.org/package/2006/metadata/core-properties' " w:xpath="/ns1:coreProperties[1]/ns0:title[1]" w:storeItemID="{6C3C8BC8-F283-45AE-878A-BAB7291924A1}"/>
        <w:text/>
      </w:sdtPr>
      <w:sdtContent>
        <w:r w:rsidR="00791D7C" w:rsidRPr="00791D7C">
          <w:rPr>
            <w:rFonts w:cs="Segoe UI"/>
            <w:sz w:val="16"/>
            <w:szCs w:val="11"/>
            <w:lang w:eastAsia="en-AU"/>
          </w:rPr>
          <w:t>Strengthening Medicare – General Practice Grants Program Evaluation: Final Report</w:t>
        </w:r>
      </w:sdtContent>
    </w:sdt>
    <w:r w:rsidRPr="00791D7C">
      <w:rPr>
        <w:rFonts w:cs="Segoe UI"/>
        <w:sz w:val="16"/>
        <w:szCs w:val="11"/>
        <w:lang w:eastAsia="en-AU"/>
      </w:rPr>
      <w:t xml:space="preserve"> | </w:t>
    </w:r>
    <w:sdt>
      <w:sdtPr>
        <w:rPr>
          <w:rFonts w:cs="Segoe UI"/>
          <w:sz w:val="16"/>
          <w:szCs w:val="11"/>
          <w:lang w:eastAsia="en-AU"/>
        </w:rPr>
        <w:alias w:val="Publish Date"/>
        <w:id w:val="1474948173"/>
        <w:dataBinding w:prefixMappings="xmlns:ns0='http://schemas.microsoft.com/office/2006/coverPageProps' " w:xpath="/ns0:CoverPageProperties[1]/ns0:PublishDate[1]" w:storeItemID="{55AF091B-3C7A-41E3-B477-F2FDAA23CFDA}"/>
        <w:date w:fullDate="2024-11-28T00:00:00Z">
          <w:dateFormat w:val="d MMMM yyyy"/>
          <w:lid w:val="en-AU"/>
          <w:storeMappedDataAs w:val="dateTime"/>
          <w:calendar w:val="gregorian"/>
        </w:date>
      </w:sdtPr>
      <w:sdtContent>
        <w:r w:rsidRPr="00791D7C">
          <w:rPr>
            <w:rFonts w:cs="Segoe UI"/>
            <w:sz w:val="16"/>
            <w:szCs w:val="11"/>
            <w:lang w:eastAsia="en-AU"/>
          </w:rPr>
          <w:t>28 November 2024</w:t>
        </w:r>
      </w:sdtContent>
    </w:sdt>
    <w:r w:rsidRPr="00455978">
      <w:rPr>
        <w:rFonts w:cs="Segoe UI"/>
      </w:rPr>
      <w:ptab w:relativeTo="margin" w:alignment="right" w:leader="none"/>
    </w:r>
    <w:r w:rsidRPr="00455978">
      <w:rPr>
        <w:rFonts w:cs="Segoe UI"/>
      </w:rPr>
      <w:t xml:space="preserve">| </w:t>
    </w:r>
    <w:r w:rsidRPr="00455978">
      <w:rPr>
        <w:rFonts w:cs="Segoe UI"/>
        <w:sz w:val="16"/>
        <w:szCs w:val="16"/>
      </w:rPr>
      <w:fldChar w:fldCharType="begin"/>
    </w:r>
    <w:r w:rsidRPr="00455978">
      <w:rPr>
        <w:rFonts w:cs="Segoe UI"/>
        <w:sz w:val="16"/>
        <w:szCs w:val="16"/>
      </w:rPr>
      <w:instrText xml:space="preserve"> PAGE  \* Arabic  \* MERGEFORMAT </w:instrText>
    </w:r>
    <w:r w:rsidRPr="00455978">
      <w:rPr>
        <w:rFonts w:cs="Segoe UI"/>
        <w:sz w:val="16"/>
        <w:szCs w:val="16"/>
      </w:rPr>
      <w:fldChar w:fldCharType="separate"/>
    </w:r>
    <w:r w:rsidRPr="00455978">
      <w:rPr>
        <w:rFonts w:cs="Segoe UI"/>
        <w:sz w:val="16"/>
        <w:szCs w:val="16"/>
      </w:rPr>
      <w:t>1</w:t>
    </w:r>
    <w:r w:rsidRPr="00455978">
      <w:rPr>
        <w:rFonts w:cs="Segoe UI"/>
        <w:sz w:val="16"/>
        <w:szCs w:val="16"/>
      </w:rPr>
      <w:fldChar w:fldCharType="end"/>
    </w:r>
    <w:r w:rsidRPr="00455978">
      <w:rPr>
        <w:rFonts w:cs="Segoe UI"/>
        <w:b/>
      </w:rPr>
      <w:t xml:space="preserve"> </w:t>
    </w:r>
    <w:r w:rsidRPr="00455978">
      <w:rPr>
        <w:rFonts w:cs="Segoe UI"/>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104AB5" w14:textId="01B32C3A" w:rsidR="00FD47AE" w:rsidRPr="00474657" w:rsidRDefault="00FD47AE" w:rsidP="00474657">
    <w:pPr>
      <w:pStyle w:val="Footer"/>
      <w:rPr>
        <w:rFonts w:cs="Segoe UI"/>
        <w:b/>
      </w:rPr>
    </w:pPr>
    <w:r w:rsidRPr="00455978">
      <w:rPr>
        <w:rFonts w:cs="Segoe UI"/>
        <w:szCs w:val="15"/>
        <w:lang w:eastAsia="en-AU"/>
      </w:rPr>
      <w:t xml:space="preserve">Nous Group | </w:t>
    </w:r>
    <w:sdt>
      <w:sdtPr>
        <w:rPr>
          <w:rFonts w:cs="Segoe UI"/>
          <w:szCs w:val="15"/>
          <w:lang w:eastAsia="en-AU"/>
        </w:rPr>
        <w:alias w:val="Title"/>
        <w:id w:val="958452986"/>
        <w:dataBinding w:prefixMappings="xmlns:ns0='http://purl.org/dc/elements/1.1/' xmlns:ns1='http://schemas.openxmlformats.org/package/2006/metadata/core-properties' " w:xpath="/ns1:coreProperties[1]/ns0:title[1]" w:storeItemID="{6C3C8BC8-F283-45AE-878A-BAB7291924A1}"/>
        <w:text/>
      </w:sdtPr>
      <w:sdtContent>
        <w:r w:rsidR="00791D7C">
          <w:rPr>
            <w:rFonts w:cs="Segoe UI"/>
            <w:szCs w:val="15"/>
            <w:lang w:eastAsia="en-AU"/>
          </w:rPr>
          <w:t>Strengthening Medicare – General Practice Grants Program Evaluation: Final Report</w:t>
        </w:r>
      </w:sdtContent>
    </w:sdt>
    <w:r w:rsidRPr="00455978">
      <w:rPr>
        <w:rFonts w:cs="Segoe UI"/>
        <w:szCs w:val="15"/>
        <w:lang w:eastAsia="en-AU"/>
      </w:rPr>
      <w:t xml:space="preserve"> | </w:t>
    </w:r>
    <w:sdt>
      <w:sdtPr>
        <w:rPr>
          <w:rFonts w:cs="Segoe UI"/>
          <w:szCs w:val="15"/>
          <w:lang w:eastAsia="en-AU"/>
        </w:rPr>
        <w:alias w:val="Publish Date"/>
        <w:id w:val="-723907658"/>
        <w:dataBinding w:prefixMappings="xmlns:ns0='http://schemas.microsoft.com/office/2006/coverPageProps' " w:xpath="/ns0:CoverPageProperties[1]/ns0:PublishDate[1]" w:storeItemID="{55AF091B-3C7A-41E3-B477-F2FDAA23CFDA}"/>
        <w:date w:fullDate="2024-11-28T00:00:00Z">
          <w:dateFormat w:val="d MMMM yyyy"/>
          <w:lid w:val="en-AU"/>
          <w:storeMappedDataAs w:val="dateTime"/>
          <w:calendar w:val="gregorian"/>
        </w:date>
      </w:sdtPr>
      <w:sdtContent>
        <w:r w:rsidRPr="00455978">
          <w:rPr>
            <w:rFonts w:cs="Segoe UI"/>
            <w:szCs w:val="15"/>
            <w:lang w:eastAsia="en-AU"/>
          </w:rPr>
          <w:t>28 November 2024</w:t>
        </w:r>
      </w:sdtContent>
    </w:sdt>
    <w:r w:rsidRPr="00455978">
      <w:rPr>
        <w:rFonts w:cs="Segoe UI"/>
      </w:rPr>
      <w:ptab w:relativeTo="margin" w:alignment="right" w:leader="none"/>
    </w:r>
    <w:r w:rsidRPr="00455978">
      <w:rPr>
        <w:rFonts w:cs="Segoe UI"/>
      </w:rPr>
      <w:t xml:space="preserve">| </w:t>
    </w:r>
    <w:r w:rsidRPr="00455978">
      <w:rPr>
        <w:rFonts w:cs="Segoe UI"/>
        <w:sz w:val="16"/>
        <w:szCs w:val="16"/>
      </w:rPr>
      <w:fldChar w:fldCharType="begin"/>
    </w:r>
    <w:r w:rsidRPr="00AD0509">
      <w:instrText xml:space="preserve"> PAGE  \* Arabic  \* MERGEFORMAT </w:instrText>
    </w:r>
    <w:r w:rsidRPr="00455978">
      <w:rPr>
        <w:rFonts w:cs="Segoe UI"/>
        <w:sz w:val="16"/>
        <w:szCs w:val="16"/>
      </w:rPr>
      <w:fldChar w:fldCharType="separate"/>
    </w:r>
    <w:r w:rsidR="00660A4D" w:rsidRPr="00455978">
      <w:rPr>
        <w:rFonts w:cs="Segoe UI"/>
        <w:sz w:val="16"/>
        <w:szCs w:val="16"/>
      </w:rPr>
      <w:t>3</w:t>
    </w:r>
    <w:r w:rsidRPr="00455978">
      <w:rPr>
        <w:rFonts w:cs="Segoe UI"/>
        <w:sz w:val="16"/>
        <w:szCs w:val="16"/>
      </w:rPr>
      <w:fldChar w:fldCharType="end"/>
    </w:r>
    <w:r w:rsidRPr="00455978">
      <w:rPr>
        <w:rFonts w:cs="Segoe UI"/>
        <w:b/>
      </w:rPr>
      <w:t xml:space="preserve"> </w:t>
    </w:r>
    <w:r w:rsidRPr="00455978">
      <w:rPr>
        <w:rFonts w:cs="Segoe UI"/>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B48602" w14:textId="77777777" w:rsidR="000A0925" w:rsidRDefault="000A0925" w:rsidP="00302076">
      <w:pPr>
        <w:spacing w:after="0"/>
      </w:pPr>
      <w:r>
        <w:separator/>
      </w:r>
    </w:p>
  </w:footnote>
  <w:footnote w:type="continuationSeparator" w:id="0">
    <w:p w14:paraId="3EFFC0FA" w14:textId="77777777" w:rsidR="000A0925" w:rsidRDefault="000A0925" w:rsidP="00302076">
      <w:pPr>
        <w:spacing w:after="0"/>
      </w:pPr>
      <w:r>
        <w:continuationSeparator/>
      </w:r>
    </w:p>
  </w:footnote>
  <w:footnote w:type="continuationNotice" w:id="1">
    <w:p w14:paraId="7BBB567C" w14:textId="77777777" w:rsidR="000A0925" w:rsidRDefault="000A0925">
      <w:pPr>
        <w:spacing w:after="0" w:line="240" w:lineRule="auto"/>
      </w:pPr>
    </w:p>
  </w:footnote>
  <w:footnote w:id="2">
    <w:p w14:paraId="30352557" w14:textId="77777777" w:rsidR="00624D60" w:rsidRPr="00274847" w:rsidRDefault="00624D60" w:rsidP="00624D60">
      <w:pPr>
        <w:pStyle w:val="FootnoteText"/>
        <w:rPr>
          <w:sz w:val="16"/>
          <w:szCs w:val="16"/>
        </w:rPr>
      </w:pPr>
      <w:r w:rsidRPr="00274847">
        <w:rPr>
          <w:rStyle w:val="FootnoteReference"/>
          <w:sz w:val="16"/>
          <w:szCs w:val="16"/>
        </w:rPr>
        <w:footnoteRef/>
      </w:r>
      <w:r w:rsidRPr="00274847">
        <w:rPr>
          <w:sz w:val="16"/>
          <w:szCs w:val="16"/>
        </w:rPr>
        <w:t xml:space="preserve">Department of Health and Aged Care, Taskforce Report.  </w:t>
      </w:r>
      <w:hyperlink r:id="rId1" w:history="1">
        <w:r w:rsidRPr="00274847">
          <w:rPr>
            <w:rStyle w:val="Hyperlink"/>
            <w:sz w:val="16"/>
            <w:szCs w:val="16"/>
          </w:rPr>
          <w:t>https://www.health.gov.au/sites/default/files/2023-02/strengthening-medicare-taskforce-report_0.pdf</w:t>
        </w:r>
      </w:hyperlink>
      <w:r w:rsidRPr="00274847">
        <w:rPr>
          <w:sz w:val="16"/>
          <w:szCs w:val="16"/>
        </w:rPr>
        <w:t xml:space="preserve"> </w:t>
      </w:r>
    </w:p>
  </w:footnote>
  <w:footnote w:id="3">
    <w:p w14:paraId="4BF55F42" w14:textId="77777777" w:rsidR="00EB6DBC" w:rsidRPr="00274847" w:rsidRDefault="00EB6DBC" w:rsidP="00EB6DBC">
      <w:pPr>
        <w:pStyle w:val="FootnoteText"/>
        <w:rPr>
          <w:sz w:val="16"/>
          <w:szCs w:val="16"/>
        </w:rPr>
      </w:pPr>
      <w:r w:rsidRPr="00274847">
        <w:rPr>
          <w:rStyle w:val="FootnoteReference"/>
          <w:sz w:val="16"/>
          <w:szCs w:val="16"/>
        </w:rPr>
        <w:footnoteRef/>
      </w:r>
      <w:r w:rsidRPr="00274847">
        <w:rPr>
          <w:sz w:val="16"/>
          <w:szCs w:val="16"/>
        </w:rPr>
        <w:t xml:space="preserve"> Of the 127 eligible ACCHOs, one withdrew from the Grant Program. For reporting purposes, the Department tracked uptake for 126 eligible ACCHOs.  </w:t>
      </w:r>
    </w:p>
  </w:footnote>
  <w:footnote w:id="4">
    <w:p w14:paraId="1F5433A1" w14:textId="77777777" w:rsidR="00EB6DBC" w:rsidRPr="000472C3" w:rsidDel="00634C3E" w:rsidRDefault="00EB6DBC" w:rsidP="00EB6DBC">
      <w:pPr>
        <w:pStyle w:val="FootnoteText"/>
        <w:rPr>
          <w:sz w:val="21"/>
          <w:szCs w:val="21"/>
        </w:rPr>
      </w:pPr>
      <w:r w:rsidRPr="00274847" w:rsidDel="00634C3E">
        <w:rPr>
          <w:rStyle w:val="FootnoteReference"/>
          <w:sz w:val="16"/>
          <w:szCs w:val="16"/>
        </w:rPr>
        <w:footnoteRef/>
      </w:r>
      <w:r w:rsidRPr="00274847" w:rsidDel="00634C3E">
        <w:rPr>
          <w:sz w:val="16"/>
          <w:szCs w:val="16"/>
        </w:rPr>
        <w:t xml:space="preserve"> </w:t>
      </w:r>
      <w:r w:rsidRPr="00274847">
        <w:rPr>
          <w:sz w:val="16"/>
          <w:szCs w:val="16"/>
        </w:rPr>
        <w:t xml:space="preserve">As </w:t>
      </w:r>
      <w:proofErr w:type="gramStart"/>
      <w:r w:rsidRPr="00274847">
        <w:rPr>
          <w:sz w:val="16"/>
          <w:szCs w:val="16"/>
        </w:rPr>
        <w:t>at</w:t>
      </w:r>
      <w:proofErr w:type="gramEnd"/>
      <w:r w:rsidRPr="00274847">
        <w:rPr>
          <w:sz w:val="16"/>
          <w:szCs w:val="16"/>
        </w:rPr>
        <w:t xml:space="preserve"> 30 October 2024. </w:t>
      </w:r>
      <w:r w:rsidRPr="00274847" w:rsidDel="00634C3E">
        <w:rPr>
          <w:sz w:val="16"/>
          <w:szCs w:val="16"/>
        </w:rPr>
        <w:t xml:space="preserve">This figure </w:t>
      </w:r>
      <w:r w:rsidRPr="00274847">
        <w:rPr>
          <w:sz w:val="16"/>
          <w:szCs w:val="16"/>
        </w:rPr>
        <w:t>may</w:t>
      </w:r>
      <w:r w:rsidRPr="00274847" w:rsidDel="00634C3E">
        <w:rPr>
          <w:sz w:val="16"/>
          <w:szCs w:val="16"/>
        </w:rPr>
        <w:t xml:space="preserve"> change once the financial acquittal process has been completed</w:t>
      </w:r>
    </w:p>
  </w:footnote>
  <w:footnote w:id="5">
    <w:p w14:paraId="7C20B692" w14:textId="77777777" w:rsidR="002B5EA6" w:rsidRPr="00274847" w:rsidRDefault="002B5EA6" w:rsidP="002B5EA6">
      <w:pPr>
        <w:pStyle w:val="FootnoteText"/>
        <w:rPr>
          <w:sz w:val="16"/>
          <w:szCs w:val="16"/>
        </w:rPr>
      </w:pPr>
      <w:r w:rsidRPr="00274847">
        <w:rPr>
          <w:rStyle w:val="FootnoteReference"/>
          <w:sz w:val="16"/>
          <w:szCs w:val="16"/>
        </w:rPr>
        <w:footnoteRef/>
      </w:r>
      <w:r w:rsidRPr="00274847">
        <w:rPr>
          <w:sz w:val="16"/>
          <w:szCs w:val="16"/>
        </w:rPr>
        <w:t xml:space="preserve">  </w:t>
      </w:r>
      <w:hyperlink r:id="rId2" w:history="1">
        <w:r w:rsidRPr="00274847">
          <w:rPr>
            <w:rStyle w:val="Hyperlink"/>
            <w:sz w:val="16"/>
            <w:szCs w:val="16"/>
          </w:rPr>
          <w:t>On the Quintuple Aim: Why Expand Beyond the Triple Aim? | Institute for Healthcare Improvement (ihi.org)</w:t>
        </w:r>
      </w:hyperlink>
    </w:p>
  </w:footnote>
  <w:footnote w:id="6">
    <w:p w14:paraId="0EC1E37F" w14:textId="77777777" w:rsidR="004D1B35" w:rsidRPr="00274847" w:rsidRDefault="004D1B35" w:rsidP="004D1B35">
      <w:pPr>
        <w:pStyle w:val="FootnoteText"/>
        <w:rPr>
          <w:sz w:val="16"/>
          <w:szCs w:val="16"/>
        </w:rPr>
      </w:pPr>
      <w:r w:rsidRPr="00274847">
        <w:rPr>
          <w:rStyle w:val="FootnoteReference"/>
          <w:sz w:val="16"/>
          <w:szCs w:val="16"/>
        </w:rPr>
        <w:footnoteRef/>
      </w:r>
      <w:r w:rsidRPr="00274847">
        <w:rPr>
          <w:sz w:val="16"/>
          <w:szCs w:val="16"/>
        </w:rPr>
        <w:t xml:space="preserve"> Gordon, J. et al. ‘General Practice Statistics in Australia: Pushing a Round Peg into a Square Hole’ (2022) International Journal of Environmental Research and Public Health 19(4) </w:t>
      </w:r>
      <w:hyperlink r:id="rId3" w:history="1">
        <w:r w:rsidRPr="00274847">
          <w:rPr>
            <w:rStyle w:val="Hyperlink"/>
            <w:sz w:val="16"/>
            <w:szCs w:val="16"/>
          </w:rPr>
          <w:t>https://www.ncbi.nlm.nih.gov/pmc/articles/PMC8872542/</w:t>
        </w:r>
      </w:hyperlink>
      <w:r w:rsidRPr="00274847">
        <w:rPr>
          <w:sz w:val="16"/>
          <w:szCs w:val="16"/>
        </w:rPr>
        <w:t xml:space="preserve"> </w:t>
      </w:r>
    </w:p>
  </w:footnote>
  <w:footnote w:id="7">
    <w:p w14:paraId="3F413FCD" w14:textId="77777777" w:rsidR="004D1B35" w:rsidRPr="00274847" w:rsidRDefault="004D1B35" w:rsidP="004D1B35">
      <w:pPr>
        <w:pStyle w:val="FootnoteText"/>
        <w:rPr>
          <w:sz w:val="16"/>
          <w:szCs w:val="16"/>
        </w:rPr>
      </w:pPr>
      <w:r w:rsidRPr="00274847">
        <w:rPr>
          <w:rStyle w:val="FootnoteReference"/>
          <w:sz w:val="16"/>
          <w:szCs w:val="16"/>
        </w:rPr>
        <w:footnoteRef/>
      </w:r>
      <w:r w:rsidRPr="00274847">
        <w:rPr>
          <w:sz w:val="16"/>
          <w:szCs w:val="16"/>
        </w:rPr>
        <w:t xml:space="preserve"> AIHW, ‘General practice, allied health and other primary care services’ </w:t>
      </w:r>
      <w:hyperlink r:id="rId4" w:history="1">
        <w:r w:rsidRPr="00274847">
          <w:rPr>
            <w:rStyle w:val="Hyperlink"/>
            <w:sz w:val="16"/>
            <w:szCs w:val="16"/>
          </w:rPr>
          <w:t>https://www.aihw.gov.au/reports/primary-health-care/general-practice-allied-health-and-other-primary-c</w:t>
        </w:r>
      </w:hyperlink>
      <w:r w:rsidRPr="00274847">
        <w:rPr>
          <w:sz w:val="16"/>
          <w:szCs w:val="16"/>
        </w:rPr>
        <w:t xml:space="preserve"> Last updated 21 April 2023.</w:t>
      </w:r>
    </w:p>
  </w:footnote>
  <w:footnote w:id="8">
    <w:p w14:paraId="45396BF2" w14:textId="77777777" w:rsidR="004D1B35" w:rsidRPr="00274847" w:rsidRDefault="004D1B35" w:rsidP="004D1B35">
      <w:pPr>
        <w:pStyle w:val="FootnoteText"/>
        <w:rPr>
          <w:sz w:val="16"/>
          <w:szCs w:val="16"/>
        </w:rPr>
      </w:pPr>
      <w:r w:rsidRPr="00274847">
        <w:rPr>
          <w:rStyle w:val="FootnoteReference"/>
          <w:sz w:val="16"/>
          <w:szCs w:val="16"/>
        </w:rPr>
        <w:footnoteRef/>
      </w:r>
      <w:r w:rsidRPr="00274847">
        <w:rPr>
          <w:sz w:val="16"/>
          <w:szCs w:val="16"/>
        </w:rPr>
        <w:t xml:space="preserve"> Royal Australian College of GPs. General Practice: Health of the Nation 2022.  </w:t>
      </w:r>
      <w:hyperlink r:id="rId5" w:anchor=":~:text=The%202022%20General%20Practice%3A%20Health,the%20provision%20of%20patient%20care" w:history="1">
        <w:r w:rsidRPr="00274847">
          <w:rPr>
            <w:rStyle w:val="Hyperlink"/>
            <w:sz w:val="16"/>
            <w:szCs w:val="16"/>
          </w:rPr>
          <w:t>https://www.racgp.org.au/general-practice-health-of-the-nation-2022/#:~:text=The%202022%20General%20Practice%3A%20Health,the%20provision%20of%20patient%20care</w:t>
        </w:r>
      </w:hyperlink>
      <w:r w:rsidRPr="00274847">
        <w:rPr>
          <w:sz w:val="16"/>
          <w:szCs w:val="16"/>
        </w:rPr>
        <w:t xml:space="preserve"> </w:t>
      </w:r>
    </w:p>
  </w:footnote>
  <w:footnote w:id="9">
    <w:p w14:paraId="46EEFFE6" w14:textId="77777777" w:rsidR="004D1B35" w:rsidRPr="00274847" w:rsidRDefault="004D1B35" w:rsidP="004D1B35">
      <w:pPr>
        <w:pStyle w:val="FootnoteText"/>
        <w:rPr>
          <w:sz w:val="16"/>
          <w:szCs w:val="16"/>
        </w:rPr>
      </w:pPr>
      <w:r w:rsidRPr="00274847">
        <w:rPr>
          <w:rStyle w:val="FootnoteReference"/>
          <w:sz w:val="16"/>
          <w:szCs w:val="16"/>
        </w:rPr>
        <w:footnoteRef/>
      </w:r>
      <w:r w:rsidRPr="00274847">
        <w:rPr>
          <w:sz w:val="16"/>
          <w:szCs w:val="16"/>
        </w:rPr>
        <w:t xml:space="preserve"> Department of Health and Aged Care, Australia’s Primary Health Care 10 Year Plan 2022-2032. https://www.health.gov.au/resources/publications/australias-primary-health-care-10-year-plan-2022-2032?language=en </w:t>
      </w:r>
    </w:p>
  </w:footnote>
  <w:footnote w:id="10">
    <w:p w14:paraId="59DC045A" w14:textId="77777777" w:rsidR="004D1B35" w:rsidRPr="000472C3" w:rsidRDefault="004D1B35" w:rsidP="004D1B35">
      <w:pPr>
        <w:pStyle w:val="FootnoteText"/>
        <w:rPr>
          <w:sz w:val="21"/>
          <w:szCs w:val="21"/>
        </w:rPr>
      </w:pPr>
      <w:r w:rsidRPr="00274847">
        <w:rPr>
          <w:rStyle w:val="FootnoteReference"/>
          <w:sz w:val="16"/>
          <w:szCs w:val="16"/>
        </w:rPr>
        <w:footnoteRef/>
      </w:r>
      <w:r w:rsidRPr="00274847">
        <w:rPr>
          <w:sz w:val="16"/>
          <w:szCs w:val="16"/>
        </w:rPr>
        <w:t xml:space="preserve"> Department of Health and Aged Care, Strengthening Medicare Taskforce Report.  </w:t>
      </w:r>
      <w:hyperlink r:id="rId6" w:history="1">
        <w:r w:rsidRPr="00274847">
          <w:rPr>
            <w:rStyle w:val="Hyperlink"/>
            <w:sz w:val="16"/>
            <w:szCs w:val="16"/>
          </w:rPr>
          <w:t>https://www.health.gov.au/sites/default/files/2023-02/strengthening-medicare-taskforce-report_0.pdf</w:t>
        </w:r>
      </w:hyperlink>
    </w:p>
  </w:footnote>
  <w:footnote w:id="11">
    <w:p w14:paraId="5C3641EF" w14:textId="77777777" w:rsidR="00915C40" w:rsidRPr="00274847" w:rsidRDefault="00915C40" w:rsidP="00915C40">
      <w:pPr>
        <w:pStyle w:val="FootnoteText"/>
        <w:rPr>
          <w:sz w:val="16"/>
          <w:szCs w:val="16"/>
        </w:rPr>
      </w:pPr>
      <w:r w:rsidRPr="00274847">
        <w:rPr>
          <w:rStyle w:val="FootnoteReference"/>
          <w:sz w:val="16"/>
          <w:szCs w:val="16"/>
        </w:rPr>
        <w:footnoteRef/>
      </w:r>
      <w:r w:rsidRPr="00274847">
        <w:rPr>
          <w:sz w:val="16"/>
          <w:szCs w:val="16"/>
        </w:rPr>
        <w:t xml:space="preserve"> As </w:t>
      </w:r>
      <w:proofErr w:type="gramStart"/>
      <w:r w:rsidRPr="00274847">
        <w:rPr>
          <w:sz w:val="16"/>
          <w:szCs w:val="16"/>
        </w:rPr>
        <w:t>at</w:t>
      </w:r>
      <w:proofErr w:type="gramEnd"/>
      <w:r w:rsidRPr="00274847">
        <w:rPr>
          <w:sz w:val="16"/>
          <w:szCs w:val="16"/>
        </w:rPr>
        <w:t xml:space="preserve"> 30 October 2024. </w:t>
      </w:r>
      <w:r w:rsidRPr="00274847" w:rsidDel="00634C3E">
        <w:rPr>
          <w:sz w:val="16"/>
          <w:szCs w:val="16"/>
        </w:rPr>
        <w:t xml:space="preserve">This figure </w:t>
      </w:r>
      <w:r w:rsidRPr="00274847">
        <w:rPr>
          <w:sz w:val="16"/>
          <w:szCs w:val="16"/>
        </w:rPr>
        <w:t>may</w:t>
      </w:r>
      <w:r w:rsidRPr="00274847" w:rsidDel="00634C3E">
        <w:rPr>
          <w:sz w:val="16"/>
          <w:szCs w:val="16"/>
        </w:rPr>
        <w:t xml:space="preserve"> change once the financial acquittal process has been completed</w:t>
      </w:r>
    </w:p>
  </w:footnote>
  <w:footnote w:id="12">
    <w:p w14:paraId="2F71A454" w14:textId="77777777" w:rsidR="00AE39A6" w:rsidRPr="00274847" w:rsidRDefault="00AE39A6" w:rsidP="00AE39A6">
      <w:pPr>
        <w:pStyle w:val="FootnoteText"/>
        <w:rPr>
          <w:sz w:val="16"/>
          <w:szCs w:val="16"/>
        </w:rPr>
      </w:pPr>
      <w:r w:rsidRPr="00274847">
        <w:rPr>
          <w:rStyle w:val="FootnoteReference"/>
          <w:sz w:val="16"/>
          <w:szCs w:val="16"/>
        </w:rPr>
        <w:footnoteRef/>
      </w:r>
      <w:r w:rsidRPr="00274847">
        <w:rPr>
          <w:sz w:val="16"/>
          <w:szCs w:val="16"/>
        </w:rPr>
        <w:t xml:space="preserve"> Ibid</w:t>
      </w:r>
    </w:p>
  </w:footnote>
  <w:footnote w:id="13">
    <w:p w14:paraId="782C8210" w14:textId="77777777" w:rsidR="00E70401" w:rsidRPr="00274847" w:rsidRDefault="00E70401" w:rsidP="00E70401">
      <w:pPr>
        <w:pStyle w:val="FootnoteText"/>
        <w:rPr>
          <w:sz w:val="16"/>
          <w:szCs w:val="16"/>
        </w:rPr>
      </w:pPr>
      <w:r w:rsidRPr="00274847">
        <w:rPr>
          <w:rStyle w:val="FootnoteReference"/>
          <w:sz w:val="16"/>
          <w:szCs w:val="16"/>
        </w:rPr>
        <w:footnoteRef/>
      </w:r>
      <w:r w:rsidRPr="00274847">
        <w:rPr>
          <w:sz w:val="16"/>
          <w:szCs w:val="16"/>
        </w:rPr>
        <w:t xml:space="preserve"> https://consultations.health.gov.au/primary-health-networks-strategy-branch/review-of-general-practice-accreditation-arrangeme/user_uploads/review-of-the-ngpa-scheme---consultation-paper---final---110821--004-.pdf</w:t>
      </w:r>
    </w:p>
  </w:footnote>
  <w:footnote w:id="14">
    <w:p w14:paraId="73EE0EC3" w14:textId="77777777" w:rsidR="007E59AB" w:rsidRPr="000472C3" w:rsidRDefault="007E59AB" w:rsidP="007E59AB">
      <w:pPr>
        <w:pStyle w:val="FootnoteText"/>
        <w:rPr>
          <w:sz w:val="21"/>
          <w:szCs w:val="21"/>
        </w:rPr>
      </w:pPr>
      <w:r w:rsidRPr="00274847">
        <w:rPr>
          <w:rStyle w:val="FootnoteReference"/>
          <w:sz w:val="16"/>
          <w:szCs w:val="16"/>
        </w:rPr>
        <w:footnoteRef/>
      </w:r>
      <w:r w:rsidRPr="00274847">
        <w:rPr>
          <w:sz w:val="16"/>
          <w:szCs w:val="16"/>
        </w:rPr>
        <w:t xml:space="preserve"> Department of Health and Aged Care. (2023). Fact Sheet: Strengthening Medicare – General Practice Grants Program. https://www.health.gov.au/sites/default/files/2023-05/strengthening-medicare-general-practice-grants-program.pdf</w:t>
      </w:r>
    </w:p>
  </w:footnote>
  <w:footnote w:id="15">
    <w:p w14:paraId="0EB957AA" w14:textId="77777777" w:rsidR="007E59AB" w:rsidRPr="00274847" w:rsidRDefault="007E59AB" w:rsidP="007E59AB">
      <w:pPr>
        <w:pStyle w:val="FootnoteText"/>
        <w:rPr>
          <w:color w:val="000000" w:themeColor="text1"/>
          <w:sz w:val="16"/>
          <w:szCs w:val="16"/>
        </w:rPr>
      </w:pPr>
      <w:r w:rsidRPr="00274847">
        <w:rPr>
          <w:rStyle w:val="FootnoteReference"/>
          <w:color w:val="000000" w:themeColor="text1"/>
          <w:sz w:val="16"/>
          <w:szCs w:val="16"/>
        </w:rPr>
        <w:footnoteRef/>
      </w:r>
      <w:r w:rsidRPr="00274847">
        <w:rPr>
          <w:color w:val="000000" w:themeColor="text1"/>
          <w:sz w:val="16"/>
          <w:szCs w:val="16"/>
        </w:rPr>
        <w:t xml:space="preserve"> Data supplied by the Department in Addendum Number 1 of the Request </w:t>
      </w:r>
      <w:proofErr w:type="gramStart"/>
      <w:r w:rsidRPr="00274847">
        <w:rPr>
          <w:color w:val="000000" w:themeColor="text1"/>
          <w:sz w:val="16"/>
          <w:szCs w:val="16"/>
        </w:rPr>
        <w:t>For</w:t>
      </w:r>
      <w:proofErr w:type="gramEnd"/>
      <w:r w:rsidRPr="00274847">
        <w:rPr>
          <w:color w:val="000000" w:themeColor="text1"/>
          <w:sz w:val="16"/>
          <w:szCs w:val="16"/>
        </w:rPr>
        <w:t xml:space="preserve"> Quote for the evaluation engagement</w:t>
      </w:r>
    </w:p>
  </w:footnote>
  <w:footnote w:id="16">
    <w:p w14:paraId="63E2E483" w14:textId="77777777" w:rsidR="006B41FE" w:rsidRPr="00274847" w:rsidRDefault="006B41FE" w:rsidP="006B41FE">
      <w:pPr>
        <w:pStyle w:val="FootnoteText"/>
        <w:rPr>
          <w:sz w:val="16"/>
          <w:szCs w:val="16"/>
        </w:rPr>
      </w:pPr>
      <w:r w:rsidRPr="00274847">
        <w:rPr>
          <w:rStyle w:val="FootnoteReference"/>
          <w:sz w:val="16"/>
          <w:szCs w:val="16"/>
        </w:rPr>
        <w:footnoteRef/>
      </w:r>
      <w:r w:rsidRPr="00274847">
        <w:rPr>
          <w:sz w:val="16"/>
          <w:szCs w:val="16"/>
        </w:rPr>
        <w:t xml:space="preserve"> Commonwealth Grant Rules and Guidelines. </w:t>
      </w:r>
      <w:hyperlink r:id="rId7" w:history="1">
        <w:r w:rsidRPr="00274847">
          <w:rPr>
            <w:rStyle w:val="Hyperlink"/>
            <w:sz w:val="16"/>
            <w:szCs w:val="16"/>
          </w:rPr>
          <w:t>https://www.finance.gov.au/government/commonwealth-grants/commonwealth-grants-rules-and-guidelines</w:t>
        </w:r>
      </w:hyperlink>
      <w:r w:rsidRPr="00274847">
        <w:rPr>
          <w:sz w:val="16"/>
          <w:szCs w:val="16"/>
        </w:rPr>
        <w:t xml:space="preserve"> </w:t>
      </w:r>
    </w:p>
  </w:footnote>
  <w:footnote w:id="17">
    <w:p w14:paraId="3BA16F38" w14:textId="77777777" w:rsidR="008D47E4" w:rsidRPr="00274847" w:rsidRDefault="008D47E4" w:rsidP="008D47E4">
      <w:pPr>
        <w:pStyle w:val="FootnoteText"/>
        <w:rPr>
          <w:sz w:val="16"/>
          <w:szCs w:val="16"/>
        </w:rPr>
      </w:pPr>
      <w:r w:rsidRPr="00274847">
        <w:rPr>
          <w:rStyle w:val="FootnoteReference"/>
          <w:sz w:val="16"/>
          <w:szCs w:val="16"/>
        </w:rPr>
        <w:footnoteRef/>
      </w:r>
      <w:r w:rsidRPr="00274847">
        <w:rPr>
          <w:sz w:val="16"/>
          <w:szCs w:val="16"/>
        </w:rPr>
        <w:t xml:space="preserve"> Woodley, M (2022). Accessed via: </w:t>
      </w:r>
      <w:hyperlink r:id="rId8" w:history="1">
        <w:r w:rsidRPr="00274847">
          <w:rPr>
            <w:rStyle w:val="Hyperlink"/>
            <w:sz w:val="16"/>
            <w:szCs w:val="16"/>
          </w:rPr>
          <w:t>https://www1.racgp.org.au/newsgp/professional/labor-promises-nearly-1-billion-in-general-practic</w:t>
        </w:r>
      </w:hyperlink>
      <w:r w:rsidRPr="00274847">
        <w:rPr>
          <w:sz w:val="16"/>
          <w:szCs w:val="16"/>
        </w:rPr>
        <w:t xml:space="preserve"> </w:t>
      </w:r>
    </w:p>
  </w:footnote>
  <w:footnote w:id="18">
    <w:p w14:paraId="2C812369" w14:textId="77777777" w:rsidR="002852E6" w:rsidRPr="00274847" w:rsidRDefault="002852E6" w:rsidP="002852E6">
      <w:pPr>
        <w:pStyle w:val="FootnoteText"/>
        <w:rPr>
          <w:sz w:val="16"/>
          <w:szCs w:val="16"/>
        </w:rPr>
      </w:pPr>
      <w:r w:rsidRPr="00274847">
        <w:rPr>
          <w:rStyle w:val="FootnoteReference"/>
          <w:sz w:val="16"/>
          <w:szCs w:val="16"/>
        </w:rPr>
        <w:footnoteRef/>
      </w:r>
      <w:r w:rsidRPr="00274847">
        <w:rPr>
          <w:sz w:val="16"/>
          <w:szCs w:val="16"/>
        </w:rPr>
        <w:t xml:space="preserve"> MyMedicare practices </w:t>
      </w:r>
      <w:proofErr w:type="gramStart"/>
      <w:r w:rsidRPr="00274847">
        <w:rPr>
          <w:sz w:val="16"/>
          <w:szCs w:val="16"/>
        </w:rPr>
        <w:t>are able to</w:t>
      </w:r>
      <w:proofErr w:type="gramEnd"/>
      <w:r w:rsidRPr="00274847">
        <w:rPr>
          <w:sz w:val="16"/>
          <w:szCs w:val="16"/>
        </w:rPr>
        <w:t xml:space="preserve"> access additional information about patients through a more formalised relationship, and are eligible for additional MBS items, including longer telehealth consults with additional billing incentives. Whilst there is currently an exemption until June 2025 for practices in some settings, practices will need to be accredited to access MyMedicare in the future. </w:t>
      </w:r>
      <w:hyperlink r:id="rId9" w:anchor="benefits" w:history="1">
        <w:r w:rsidRPr="00274847">
          <w:rPr>
            <w:rStyle w:val="Hyperlink"/>
            <w:sz w:val="16"/>
            <w:szCs w:val="16"/>
          </w:rPr>
          <w:t>https://www.health.gov.au/our-work/mymedicare/practices-and-providers#benefits</w:t>
        </w:r>
      </w:hyperlink>
      <w:r w:rsidRPr="00274847">
        <w:rPr>
          <w:sz w:val="16"/>
          <w:szCs w:val="16"/>
        </w:rPr>
        <w:t xml:space="preserve"> </w:t>
      </w:r>
    </w:p>
  </w:footnote>
  <w:footnote w:id="19">
    <w:p w14:paraId="0BA8C83F" w14:textId="77777777" w:rsidR="006A335C" w:rsidRPr="00274847" w:rsidRDefault="006A335C" w:rsidP="006A335C">
      <w:pPr>
        <w:pStyle w:val="FootnoteText"/>
        <w:rPr>
          <w:sz w:val="16"/>
          <w:szCs w:val="16"/>
        </w:rPr>
      </w:pPr>
      <w:r w:rsidRPr="00274847">
        <w:rPr>
          <w:rStyle w:val="FootnoteReference"/>
          <w:sz w:val="16"/>
          <w:szCs w:val="16"/>
        </w:rPr>
        <w:footnoteRef/>
      </w:r>
      <w:r w:rsidRPr="00274847">
        <w:rPr>
          <w:sz w:val="16"/>
          <w:szCs w:val="16"/>
        </w:rPr>
        <w:t xml:space="preserve"> </w:t>
      </w:r>
      <w:r w:rsidRPr="00274847">
        <w:rPr>
          <w:sz w:val="16"/>
          <w:szCs w:val="16"/>
          <w:lang w:eastAsia="en-AU"/>
        </w:rPr>
        <w:t>$25k grants were awarded to practices and ACCHOs with &lt;7FTE general practitioners (or any unaccredited practice), $35k grants were awarded to practices or ACCHOs with 7-14.9 FTE general practitioners, and $50k grants awarded to practices of ACCHOs with 15+ FTE general practitioners.</w:t>
      </w:r>
    </w:p>
  </w:footnote>
  <w:footnote w:id="20">
    <w:p w14:paraId="1B0437B9" w14:textId="77777777" w:rsidR="00241438" w:rsidRPr="00274847" w:rsidRDefault="00241438">
      <w:pPr>
        <w:pStyle w:val="FootnoteText"/>
        <w:rPr>
          <w:sz w:val="16"/>
          <w:szCs w:val="16"/>
        </w:rPr>
      </w:pPr>
      <w:r w:rsidRPr="00274847">
        <w:rPr>
          <w:rStyle w:val="FootnoteReference"/>
          <w:sz w:val="16"/>
          <w:szCs w:val="16"/>
        </w:rPr>
        <w:footnoteRef/>
      </w:r>
      <w:r w:rsidRPr="00274847">
        <w:rPr>
          <w:sz w:val="16"/>
          <w:szCs w:val="16"/>
        </w:rPr>
        <w:t xml:space="preserve"> Of the 127 eligible ACCHOs, one withdrew from the Program. For reporting purposes, the Department tracked uptake for 126 eligible ACCHOs.  </w:t>
      </w:r>
    </w:p>
  </w:footnote>
  <w:footnote w:id="21">
    <w:p w14:paraId="52D671CE" w14:textId="77777777" w:rsidR="00FF1FCB" w:rsidRPr="00274847" w:rsidRDefault="00FF1FCB" w:rsidP="00FF1FCB">
      <w:pPr>
        <w:pStyle w:val="FootnoteText"/>
        <w:rPr>
          <w:sz w:val="16"/>
          <w:szCs w:val="16"/>
        </w:rPr>
      </w:pPr>
      <w:r w:rsidRPr="00274847">
        <w:rPr>
          <w:rStyle w:val="FootnoteReference"/>
          <w:sz w:val="16"/>
          <w:szCs w:val="16"/>
        </w:rPr>
        <w:footnoteRef/>
      </w:r>
      <w:r w:rsidRPr="00274847">
        <w:rPr>
          <w:sz w:val="16"/>
          <w:szCs w:val="16"/>
        </w:rPr>
        <w:t xml:space="preserve"> Ibid</w:t>
      </w:r>
    </w:p>
  </w:footnote>
  <w:footnote w:id="22">
    <w:p w14:paraId="71435AA4" w14:textId="77777777" w:rsidR="00A45068" w:rsidRPr="00274847" w:rsidRDefault="00A45068" w:rsidP="00A45068">
      <w:pPr>
        <w:pStyle w:val="FootnoteText"/>
        <w:rPr>
          <w:sz w:val="16"/>
          <w:szCs w:val="16"/>
        </w:rPr>
      </w:pPr>
      <w:r w:rsidRPr="00274847">
        <w:rPr>
          <w:rStyle w:val="FootnoteReference"/>
          <w:sz w:val="16"/>
          <w:szCs w:val="16"/>
        </w:rPr>
        <w:footnoteRef/>
      </w:r>
      <w:r w:rsidRPr="00274847">
        <w:rPr>
          <w:sz w:val="16"/>
          <w:szCs w:val="16"/>
        </w:rPr>
        <w:t xml:space="preserve"> </w:t>
      </w:r>
      <w:hyperlink r:id="rId10" w:history="1">
        <w:r w:rsidRPr="00274847">
          <w:rPr>
            <w:rStyle w:val="Hyperlink"/>
            <w:sz w:val="16"/>
            <w:szCs w:val="16"/>
          </w:rPr>
          <w:t>On the Quintuple Aim: Why Expand Beyond the Triple Aim? | Institute for Healthcare Improvement (ihi.org)</w:t>
        </w:r>
      </w:hyperlink>
    </w:p>
  </w:footnote>
  <w:footnote w:id="23">
    <w:p w14:paraId="3FF92F3A" w14:textId="77777777" w:rsidR="00A45068" w:rsidRPr="000472C3" w:rsidRDefault="00A45068" w:rsidP="00A45068">
      <w:pPr>
        <w:pStyle w:val="FootnoteText"/>
        <w:rPr>
          <w:sz w:val="21"/>
          <w:szCs w:val="21"/>
        </w:rPr>
      </w:pPr>
      <w:r w:rsidRPr="00274847">
        <w:rPr>
          <w:rStyle w:val="FootnoteReference"/>
          <w:sz w:val="16"/>
          <w:szCs w:val="16"/>
        </w:rPr>
        <w:footnoteRef/>
      </w:r>
      <w:r w:rsidRPr="00274847">
        <w:rPr>
          <w:sz w:val="16"/>
          <w:szCs w:val="16"/>
        </w:rPr>
        <w:t xml:space="preserve"> </w:t>
      </w:r>
      <w:hyperlink r:id="rId11" w:history="1">
        <w:r w:rsidRPr="00274847">
          <w:rPr>
            <w:rStyle w:val="Hyperlink"/>
            <w:sz w:val="16"/>
            <w:szCs w:val="16"/>
          </w:rPr>
          <w:t>https://www.health.gov.au/resources/publications/australias-primary-health-care-10-year-plan-2022-2032?language=en</w:t>
        </w:r>
      </w:hyperlink>
      <w:r w:rsidRPr="000472C3">
        <w:rPr>
          <w:sz w:val="21"/>
          <w:szCs w:val="21"/>
        </w:rPr>
        <w:t xml:space="preserve"> </w:t>
      </w:r>
    </w:p>
  </w:footnote>
  <w:footnote w:id="24">
    <w:p w14:paraId="241C4F92" w14:textId="4813CF8E" w:rsidR="004D3395" w:rsidRPr="00274847" w:rsidRDefault="004D3395" w:rsidP="004D3395">
      <w:pPr>
        <w:pStyle w:val="FootnoteText"/>
        <w:rPr>
          <w:sz w:val="16"/>
          <w:szCs w:val="16"/>
        </w:rPr>
      </w:pPr>
      <w:r w:rsidRPr="00274847">
        <w:rPr>
          <w:rStyle w:val="FootnoteReference"/>
          <w:sz w:val="16"/>
          <w:szCs w:val="16"/>
        </w:rPr>
        <w:footnoteRef/>
      </w:r>
      <w:r w:rsidRPr="00274847">
        <w:rPr>
          <w:sz w:val="16"/>
          <w:szCs w:val="16"/>
        </w:rPr>
        <w:t xml:space="preserve"> Department of Finance, Commonwealth Grants Rules and Principles 2024. Accessed via: </w:t>
      </w:r>
      <w:hyperlink r:id="rId12" w:history="1">
        <w:r w:rsidR="00101FDA" w:rsidRPr="00274847">
          <w:rPr>
            <w:rStyle w:val="Hyperlink"/>
            <w:sz w:val="16"/>
            <w:szCs w:val="16"/>
          </w:rPr>
          <w:t>Federal Register of Legislation</w:t>
        </w:r>
      </w:hyperlink>
      <w:r w:rsidRPr="00274847">
        <w:rPr>
          <w:sz w:val="16"/>
          <w:szCs w:val="16"/>
        </w:rPr>
        <w:t xml:space="preserve"> </w:t>
      </w:r>
    </w:p>
  </w:footnote>
  <w:footnote w:id="25">
    <w:p w14:paraId="72C357E4" w14:textId="66552ABA" w:rsidR="009E09DD" w:rsidRPr="00274847" w:rsidRDefault="009E09DD" w:rsidP="009E09DD">
      <w:pPr>
        <w:pStyle w:val="FootnoteText"/>
        <w:rPr>
          <w:sz w:val="16"/>
          <w:szCs w:val="16"/>
        </w:rPr>
      </w:pPr>
      <w:r w:rsidRPr="00274847">
        <w:rPr>
          <w:rStyle w:val="FootnoteReference"/>
          <w:sz w:val="16"/>
          <w:szCs w:val="16"/>
        </w:rPr>
        <w:footnoteRef/>
      </w:r>
      <w:r w:rsidRPr="00274847">
        <w:rPr>
          <w:sz w:val="16"/>
          <w:szCs w:val="16"/>
        </w:rPr>
        <w:t xml:space="preserve"> Commonwealth of Australia, Department of the Prime Minister and Cabinet. Accessed via: </w:t>
      </w:r>
      <w:hyperlink r:id="rId13" w:history="1">
        <w:r w:rsidR="00190DDD" w:rsidRPr="00274847">
          <w:rPr>
            <w:rStyle w:val="Hyperlink"/>
            <w:sz w:val="16"/>
            <w:szCs w:val="16"/>
          </w:rPr>
          <w:t>Closing the Gap</w:t>
        </w:r>
      </w:hyperlink>
    </w:p>
  </w:footnote>
  <w:footnote w:id="26">
    <w:p w14:paraId="6B15C5BA" w14:textId="77777777" w:rsidR="00593A26" w:rsidRPr="00274847" w:rsidRDefault="00593A26" w:rsidP="00593A26">
      <w:pPr>
        <w:pStyle w:val="FootnoteText"/>
        <w:rPr>
          <w:sz w:val="16"/>
          <w:szCs w:val="16"/>
        </w:rPr>
      </w:pPr>
      <w:r w:rsidRPr="00274847">
        <w:rPr>
          <w:rStyle w:val="FootnoteReference"/>
          <w:sz w:val="16"/>
          <w:szCs w:val="16"/>
        </w:rPr>
        <w:footnoteRef/>
      </w:r>
      <w:r w:rsidRPr="00274847">
        <w:rPr>
          <w:sz w:val="16"/>
          <w:szCs w:val="16"/>
        </w:rPr>
        <w:t xml:space="preserve"> </w:t>
      </w:r>
      <w:hyperlink r:id="rId14" w:history="1">
        <w:r w:rsidRPr="00274847">
          <w:rPr>
            <w:rStyle w:val="Hyperlink"/>
            <w:sz w:val="16"/>
            <w:szCs w:val="16"/>
          </w:rPr>
          <w:t>On the Quintuple Aim: Why Expand Beyond the Triple Aim? | Institute for Healthcare Improvement (ihi.org)</w:t>
        </w:r>
      </w:hyperlink>
    </w:p>
  </w:footnote>
  <w:footnote w:id="27">
    <w:p w14:paraId="6D7734DA" w14:textId="7C7ACA39" w:rsidR="00624501" w:rsidRPr="000472C3" w:rsidRDefault="00624501" w:rsidP="00624501">
      <w:pPr>
        <w:pStyle w:val="FootnoteText"/>
        <w:rPr>
          <w:sz w:val="21"/>
          <w:szCs w:val="21"/>
        </w:rPr>
      </w:pPr>
      <w:r w:rsidRPr="000472C3">
        <w:rPr>
          <w:rStyle w:val="FootnoteReference"/>
          <w:sz w:val="21"/>
          <w:szCs w:val="21"/>
        </w:rPr>
        <w:footnoteRef/>
      </w:r>
      <w:r w:rsidRPr="000472C3">
        <w:rPr>
          <w:sz w:val="21"/>
          <w:szCs w:val="21"/>
        </w:rPr>
        <w:t xml:space="preserve"> MMM measures remoteness and population size on a scale of Modified Monash (MM) categories MM 1 to MM 7. MM 1 is a major city and MM 7 is very remote.  </w:t>
      </w:r>
      <w:hyperlink r:id="rId15" w:history="1">
        <w:r w:rsidR="00F20331" w:rsidRPr="000472C3">
          <w:rPr>
            <w:rStyle w:val="Hyperlink"/>
            <w:sz w:val="21"/>
            <w:szCs w:val="21"/>
          </w:rPr>
          <w:t>Modified Monash Model</w:t>
        </w:r>
      </w:hyperlink>
      <w:r w:rsidRPr="000472C3">
        <w:rPr>
          <w:sz w:val="21"/>
          <w:szCs w:val="21"/>
        </w:rPr>
        <w:t xml:space="preserve"> </w:t>
      </w:r>
    </w:p>
  </w:footnote>
  <w:footnote w:id="28">
    <w:p w14:paraId="7B4912DC" w14:textId="28FF007A" w:rsidR="00106C60" w:rsidRPr="00274847" w:rsidRDefault="00106C60" w:rsidP="00106C60">
      <w:pPr>
        <w:pStyle w:val="FootnoteText"/>
        <w:rPr>
          <w:sz w:val="16"/>
          <w:szCs w:val="16"/>
        </w:rPr>
      </w:pPr>
      <w:r w:rsidRPr="00274847">
        <w:rPr>
          <w:rStyle w:val="FootnoteReference"/>
          <w:sz w:val="16"/>
          <w:szCs w:val="16"/>
        </w:rPr>
        <w:footnoteRef/>
      </w:r>
      <w:r w:rsidRPr="00274847">
        <w:rPr>
          <w:sz w:val="16"/>
          <w:szCs w:val="16"/>
        </w:rPr>
        <w:t xml:space="preserve">  Department of Finance, Commonwealth Grants Rules and Principles 2024. Accessed via: </w:t>
      </w:r>
      <w:hyperlink r:id="rId16" w:history="1">
        <w:r w:rsidR="00CC3037" w:rsidRPr="00274847">
          <w:rPr>
            <w:rStyle w:val="Hyperlink"/>
            <w:sz w:val="16"/>
            <w:szCs w:val="16"/>
          </w:rPr>
          <w:t>Federal Register of Legislation</w:t>
        </w:r>
      </w:hyperlink>
      <w:r w:rsidRPr="00274847">
        <w:rPr>
          <w:sz w:val="16"/>
          <w:szCs w:val="16"/>
        </w:rPr>
        <w:t xml:space="preserve"> </w:t>
      </w:r>
    </w:p>
  </w:footnote>
  <w:footnote w:id="29">
    <w:p w14:paraId="3E1B2A77" w14:textId="55C4134A" w:rsidR="00D31912" w:rsidRPr="00274847" w:rsidRDefault="00D31912" w:rsidP="00D31912">
      <w:pPr>
        <w:pStyle w:val="FootnoteText"/>
        <w:rPr>
          <w:sz w:val="16"/>
          <w:szCs w:val="16"/>
        </w:rPr>
      </w:pPr>
      <w:r w:rsidRPr="00274847">
        <w:rPr>
          <w:rStyle w:val="FootnoteReference"/>
          <w:sz w:val="16"/>
          <w:szCs w:val="16"/>
        </w:rPr>
        <w:footnoteRef/>
      </w:r>
      <w:r w:rsidRPr="00274847">
        <w:rPr>
          <w:sz w:val="16"/>
          <w:szCs w:val="16"/>
        </w:rPr>
        <w:t xml:space="preserve">   Commonwealth of Australia, Department of the Prime Minister and Cabinet. Accessed via: </w:t>
      </w:r>
      <w:hyperlink r:id="rId17" w:history="1">
        <w:r w:rsidR="00B144BC" w:rsidRPr="00274847">
          <w:rPr>
            <w:rStyle w:val="Hyperlink"/>
            <w:sz w:val="16"/>
            <w:szCs w:val="16"/>
          </w:rPr>
          <w:t>Closing the Gap</w:t>
        </w:r>
      </w:hyperlink>
    </w:p>
  </w:footnote>
  <w:footnote w:id="30">
    <w:p w14:paraId="381CB3A3" w14:textId="77777777" w:rsidR="00DF7995" w:rsidRPr="000472C3" w:rsidRDefault="00DF7995" w:rsidP="00DF7995">
      <w:pPr>
        <w:pStyle w:val="FootnoteText"/>
        <w:rPr>
          <w:sz w:val="21"/>
          <w:szCs w:val="21"/>
        </w:rPr>
      </w:pPr>
      <w:r w:rsidRPr="00274847">
        <w:rPr>
          <w:rStyle w:val="FootnoteReference"/>
          <w:sz w:val="16"/>
          <w:szCs w:val="16"/>
        </w:rPr>
        <w:footnoteRef/>
      </w:r>
      <w:r w:rsidRPr="00274847">
        <w:rPr>
          <w:sz w:val="16"/>
          <w:szCs w:val="16"/>
        </w:rPr>
        <w:t xml:space="preserve"> </w:t>
      </w:r>
      <w:hyperlink r:id="rId18" w:history="1">
        <w:r w:rsidRPr="00274847">
          <w:rPr>
            <w:rStyle w:val="Hyperlink"/>
            <w:sz w:val="16"/>
            <w:szCs w:val="16"/>
          </w:rPr>
          <w:t>On the Quintuple Aim: Why Expand Beyond the Triple Aim? | Institute for Healthcare Improvement (ihi.org)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AF9042" w14:textId="77777777" w:rsidR="007847A4" w:rsidRDefault="007847A4">
    <w:pPr>
      <w:pStyle w:val="Header"/>
    </w:pPr>
    <w:r>
      <w:rPr>
        <w:noProof/>
        <w:sz w:val="20"/>
        <w:szCs w:val="20"/>
        <w:lang w:eastAsia="en-AU"/>
      </w:rPr>
      <w:drawing>
        <wp:anchor distT="0" distB="0" distL="114300" distR="114300" simplePos="0" relativeHeight="251658241" behindDoc="0" locked="0" layoutInCell="1" allowOverlap="1" wp14:anchorId="095300E7" wp14:editId="60D8EBDA">
          <wp:simplePos x="0" y="0"/>
          <wp:positionH relativeFrom="page">
            <wp:posOffset>3337</wp:posOffset>
          </wp:positionH>
          <wp:positionV relativeFrom="page">
            <wp:posOffset>-6985</wp:posOffset>
          </wp:positionV>
          <wp:extent cx="7559749" cy="116958"/>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2A850" w14:textId="77777777" w:rsidR="007847A4" w:rsidRDefault="007847A4">
    <w:pPr>
      <w:pStyle w:val="Header"/>
      <w:tabs>
        <w:tab w:val="clear" w:pos="4513"/>
        <w:tab w:val="clear" w:pos="9026"/>
        <w:tab w:val="left" w:pos="1758"/>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C682E" w14:textId="77777777" w:rsidR="000511F4" w:rsidRDefault="000511F4">
    <w:r>
      <w:rPr>
        <w:noProof/>
        <w:sz w:val="20"/>
        <w:szCs w:val="20"/>
        <w:lang w:eastAsia="en-AU"/>
      </w:rPr>
      <w:drawing>
        <wp:anchor distT="0" distB="0" distL="114300" distR="114300" simplePos="0" relativeHeight="251658242" behindDoc="0" locked="0" layoutInCell="1" allowOverlap="1" wp14:anchorId="43B9EF61" wp14:editId="7CDD0620">
          <wp:simplePos x="0" y="0"/>
          <wp:positionH relativeFrom="page">
            <wp:posOffset>0</wp:posOffset>
          </wp:positionH>
          <wp:positionV relativeFrom="page">
            <wp:posOffset>0</wp:posOffset>
          </wp:positionV>
          <wp:extent cx="7776000" cy="114300"/>
          <wp:effectExtent l="0" t="0" r="0" b="0"/>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7600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8677A" w14:textId="77777777" w:rsidR="005B6A94" w:rsidRPr="000A4767" w:rsidRDefault="000A4767" w:rsidP="000A4767">
    <w:pPr>
      <w:pStyle w:val="Header"/>
    </w:pPr>
    <w:r w:rsidRPr="000D4195">
      <w:rPr>
        <w:noProof/>
        <w:lang w:eastAsia="en-AU"/>
      </w:rPr>
      <w:drawing>
        <wp:anchor distT="0" distB="0" distL="114300" distR="114300" simplePos="0" relativeHeight="251658240" behindDoc="0" locked="0" layoutInCell="1" allowOverlap="1" wp14:anchorId="5E87D781" wp14:editId="158ECC3B">
          <wp:simplePos x="0" y="0"/>
          <wp:positionH relativeFrom="page">
            <wp:posOffset>-1905</wp:posOffset>
          </wp:positionH>
          <wp:positionV relativeFrom="page">
            <wp:posOffset>1905</wp:posOffset>
          </wp:positionV>
          <wp:extent cx="7812000" cy="11430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81200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9A02E1" w14:textId="77777777" w:rsidR="00FD47AE" w:rsidRDefault="00FD47A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C948A" w14:textId="77777777" w:rsidR="00FD47AE" w:rsidRDefault="00FD47AE">
    <w:pPr>
      <w:pStyle w:val="Header"/>
    </w:pPr>
    <w:r w:rsidRPr="00AD0509">
      <w:rPr>
        <w:noProof/>
        <w:sz w:val="20"/>
        <w:szCs w:val="20"/>
        <w:lang w:eastAsia="en-AU"/>
      </w:rPr>
      <w:drawing>
        <wp:anchor distT="0" distB="0" distL="114300" distR="114300" simplePos="0" relativeHeight="251658244" behindDoc="0" locked="0" layoutInCell="1" allowOverlap="1" wp14:anchorId="1810E7A2" wp14:editId="35BF55D8">
          <wp:simplePos x="0" y="0"/>
          <wp:positionH relativeFrom="page">
            <wp:align>right</wp:align>
          </wp:positionH>
          <wp:positionV relativeFrom="page">
            <wp:posOffset>10274</wp:posOffset>
          </wp:positionV>
          <wp:extent cx="11136630" cy="114300"/>
          <wp:effectExtent l="0" t="0" r="7620" b="0"/>
          <wp:wrapNone/>
          <wp:docPr id="1918388342" name="Picture 1918388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8388342" name="Picture 1918388342">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113663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ECD731" w14:textId="77777777" w:rsidR="00FD47AE" w:rsidRDefault="00FD47AE">
    <w:r w:rsidRPr="00AD0509">
      <w:rPr>
        <w:noProof/>
        <w:sz w:val="20"/>
        <w:szCs w:val="20"/>
        <w:lang w:eastAsia="en-AU"/>
      </w:rPr>
      <w:drawing>
        <wp:anchor distT="0" distB="0" distL="114300" distR="114300" simplePos="0" relativeHeight="251658245" behindDoc="0" locked="0" layoutInCell="1" allowOverlap="1" wp14:anchorId="31E6E5FA" wp14:editId="419C2EC2">
          <wp:simplePos x="0" y="0"/>
          <wp:positionH relativeFrom="page">
            <wp:posOffset>0</wp:posOffset>
          </wp:positionH>
          <wp:positionV relativeFrom="page">
            <wp:posOffset>0</wp:posOffset>
          </wp:positionV>
          <wp:extent cx="10668000" cy="114300"/>
          <wp:effectExtent l="0" t="0" r="0" b="0"/>
          <wp:wrapNone/>
          <wp:docPr id="1143893538" name="Picture 11438935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3893538" name="Picture 1143893538">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668468" cy="114305"/>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4C8941" w14:textId="77777777" w:rsidR="00725750" w:rsidRDefault="00725750">
    <w:pPr>
      <w:pStyle w:val="Header"/>
    </w:pPr>
    <w:r w:rsidRPr="00AD0509">
      <w:rPr>
        <w:noProof/>
        <w:lang w:eastAsia="en-AU"/>
      </w:rPr>
      <w:drawing>
        <wp:anchor distT="0" distB="0" distL="114300" distR="114300" simplePos="0" relativeHeight="251658246" behindDoc="1" locked="0" layoutInCell="1" allowOverlap="1" wp14:anchorId="4CA5EC8B" wp14:editId="0EEDD31A">
          <wp:simplePos x="0" y="0"/>
          <wp:positionH relativeFrom="page">
            <wp:align>right</wp:align>
          </wp:positionH>
          <wp:positionV relativeFrom="page">
            <wp:posOffset>10274</wp:posOffset>
          </wp:positionV>
          <wp:extent cx="10838815" cy="123290"/>
          <wp:effectExtent l="0" t="0" r="635" b="0"/>
          <wp:wrapNone/>
          <wp:docPr id="376475511" name="Picture 3764755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76475511" name="Picture 3764755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38815" cy="12329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ffectLst/>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8B5C3" w14:textId="77777777" w:rsidR="00616A6A" w:rsidRPr="000A4767" w:rsidRDefault="00616A6A" w:rsidP="000A4767">
    <w:pPr>
      <w:pStyle w:val="Header"/>
    </w:pPr>
    <w:r w:rsidRPr="000D4195">
      <w:rPr>
        <w:noProof/>
        <w:lang w:eastAsia="en-AU"/>
      </w:rPr>
      <w:drawing>
        <wp:anchor distT="0" distB="0" distL="114300" distR="114300" simplePos="0" relativeHeight="251658243" behindDoc="0" locked="0" layoutInCell="1" allowOverlap="1" wp14:anchorId="29E1F0E7" wp14:editId="48774EDC">
          <wp:simplePos x="0" y="0"/>
          <wp:positionH relativeFrom="page">
            <wp:posOffset>-3176933</wp:posOffset>
          </wp:positionH>
          <wp:positionV relativeFrom="page">
            <wp:posOffset>-28826</wp:posOffset>
          </wp:positionV>
          <wp:extent cx="14165636" cy="171950"/>
          <wp:effectExtent l="0" t="0" r="0" b="0"/>
          <wp:wrapNone/>
          <wp:docPr id="224081772" name="Picture 2240817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6624235" cy="20179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FA1456B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26066E"/>
    <w:multiLevelType w:val="hybridMultilevel"/>
    <w:tmpl w:val="0D862182"/>
    <w:lvl w:ilvl="0" w:tplc="FFFFFFFF">
      <w:start w:val="1"/>
      <w:numFmt w:val="decimal"/>
      <w:lvlText w:val="%1."/>
      <w:lvlJc w:val="left"/>
      <w:pPr>
        <w:ind w:left="397" w:hanging="397"/>
      </w:pPr>
      <w:rPr>
        <w:rFonts w:asciiTheme="minorHAnsi" w:hAnsiTheme="minorHAnsi" w:cstheme="minorHAnsi" w:hint="default"/>
      </w:rPr>
    </w:lvl>
    <w:lvl w:ilvl="1" w:tplc="FFFFFFFF">
      <w:start w:val="1"/>
      <w:numFmt w:val="lowerLetter"/>
      <w:lvlText w:val="%2."/>
      <w:lvlJc w:val="left"/>
      <w:pPr>
        <w:ind w:left="794" w:hanging="397"/>
      </w:pPr>
      <w:rPr>
        <w:rFonts w:hint="default"/>
      </w:rPr>
    </w:lvl>
    <w:lvl w:ilvl="2" w:tplc="FFFFFFFF">
      <w:start w:val="1"/>
      <w:numFmt w:val="lowerRoman"/>
      <w:lvlText w:val="%3."/>
      <w:lvlJc w:val="right"/>
      <w:pPr>
        <w:ind w:left="1247" w:hanging="340"/>
      </w:pPr>
      <w:rPr>
        <w:rFonts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9A31A2"/>
    <w:multiLevelType w:val="multilevel"/>
    <w:tmpl w:val="D27EAE0A"/>
    <w:lvl w:ilvl="0">
      <w:start w:val="1"/>
      <w:numFmt w:val="decimal"/>
      <w:pStyle w:val="Heading1"/>
      <w:lvlText w:val="%1"/>
      <w:lvlJc w:val="left"/>
      <w:pPr>
        <w:ind w:left="360" w:hanging="360"/>
      </w:pPr>
      <w:rPr>
        <w:rFonts w:ascii="Segoe UI" w:hAnsi="Segoe UI" w:hint="default"/>
        <w:b/>
        <w:i w:val="0"/>
        <w:sz w:val="36"/>
        <w:szCs w:val="96"/>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0DD718B2"/>
    <w:multiLevelType w:val="hybridMultilevel"/>
    <w:tmpl w:val="575A7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625D8B"/>
    <w:multiLevelType w:val="hybridMultilevel"/>
    <w:tmpl w:val="0D862182"/>
    <w:lvl w:ilvl="0" w:tplc="63BC98D4">
      <w:start w:val="1"/>
      <w:numFmt w:val="decimal"/>
      <w:lvlText w:val="%1."/>
      <w:lvlJc w:val="left"/>
      <w:pPr>
        <w:ind w:left="397" w:hanging="397"/>
      </w:pPr>
      <w:rPr>
        <w:rFonts w:asciiTheme="minorHAnsi" w:hAnsiTheme="minorHAnsi" w:cstheme="minorHAnsi" w:hint="default"/>
      </w:rPr>
    </w:lvl>
    <w:lvl w:ilvl="1" w:tplc="0C090019">
      <w:start w:val="1"/>
      <w:numFmt w:val="lowerLetter"/>
      <w:lvlText w:val="%2."/>
      <w:lvlJc w:val="left"/>
      <w:pPr>
        <w:ind w:left="794" w:hanging="397"/>
      </w:pPr>
      <w:rPr>
        <w:rFonts w:hint="default"/>
      </w:rPr>
    </w:lvl>
    <w:lvl w:ilvl="2" w:tplc="0C09001B">
      <w:start w:val="1"/>
      <w:numFmt w:val="lowerRoman"/>
      <w:lvlText w:val="%3."/>
      <w:lvlJc w:val="right"/>
      <w:pPr>
        <w:ind w:left="1247" w:hanging="34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3E737A5"/>
    <w:multiLevelType w:val="hybridMultilevel"/>
    <w:tmpl w:val="B4ACD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905FFB"/>
    <w:multiLevelType w:val="multilevel"/>
    <w:tmpl w:val="A40495DC"/>
    <w:lvl w:ilvl="0">
      <w:start w:val="1"/>
      <w:numFmt w:val="decimal"/>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8774A25"/>
    <w:multiLevelType w:val="hybridMultilevel"/>
    <w:tmpl w:val="F528B76A"/>
    <w:lvl w:ilvl="0" w:tplc="07AEF5E2">
      <w:start w:val="1"/>
      <w:numFmt w:val="decimal"/>
      <w:lvlText w:val="%1."/>
      <w:lvlJc w:val="left"/>
      <w:pPr>
        <w:ind w:left="360" w:hanging="360"/>
      </w:pPr>
      <w:rPr>
        <w:rFonts w:asciiTheme="majorHAnsi" w:hAnsiTheme="majorHAnsi" w:cstheme="majorHAns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E273BF7"/>
    <w:multiLevelType w:val="hybridMultilevel"/>
    <w:tmpl w:val="44A4D4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28848C5"/>
    <w:multiLevelType w:val="multilevel"/>
    <w:tmpl w:val="E1C033D0"/>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 w15:restartNumberingAfterBreak="0">
    <w:nsid w:val="335E6CF7"/>
    <w:multiLevelType w:val="hybridMultilevel"/>
    <w:tmpl w:val="1D8A8C3C"/>
    <w:lvl w:ilvl="0" w:tplc="414EE37A">
      <w:start w:val="1"/>
      <w:numFmt w:val="bullet"/>
      <w:lvlText w:val="•"/>
      <w:lvlJc w:val="left"/>
      <w:pPr>
        <w:tabs>
          <w:tab w:val="num" w:pos="720"/>
        </w:tabs>
        <w:ind w:left="720" w:hanging="360"/>
      </w:pPr>
      <w:rPr>
        <w:rFonts w:ascii="Arial" w:hAnsi="Arial" w:hint="default"/>
      </w:rPr>
    </w:lvl>
    <w:lvl w:ilvl="1" w:tplc="5F84BFA2" w:tentative="1">
      <w:start w:val="1"/>
      <w:numFmt w:val="bullet"/>
      <w:lvlText w:val="•"/>
      <w:lvlJc w:val="left"/>
      <w:pPr>
        <w:tabs>
          <w:tab w:val="num" w:pos="1440"/>
        </w:tabs>
        <w:ind w:left="1440" w:hanging="360"/>
      </w:pPr>
      <w:rPr>
        <w:rFonts w:ascii="Arial" w:hAnsi="Arial" w:hint="default"/>
      </w:rPr>
    </w:lvl>
    <w:lvl w:ilvl="2" w:tplc="318E753C" w:tentative="1">
      <w:start w:val="1"/>
      <w:numFmt w:val="bullet"/>
      <w:lvlText w:val="•"/>
      <w:lvlJc w:val="left"/>
      <w:pPr>
        <w:tabs>
          <w:tab w:val="num" w:pos="2160"/>
        </w:tabs>
        <w:ind w:left="2160" w:hanging="360"/>
      </w:pPr>
      <w:rPr>
        <w:rFonts w:ascii="Arial" w:hAnsi="Arial" w:hint="default"/>
      </w:rPr>
    </w:lvl>
    <w:lvl w:ilvl="3" w:tplc="1588589E" w:tentative="1">
      <w:start w:val="1"/>
      <w:numFmt w:val="bullet"/>
      <w:lvlText w:val="•"/>
      <w:lvlJc w:val="left"/>
      <w:pPr>
        <w:tabs>
          <w:tab w:val="num" w:pos="2880"/>
        </w:tabs>
        <w:ind w:left="2880" w:hanging="360"/>
      </w:pPr>
      <w:rPr>
        <w:rFonts w:ascii="Arial" w:hAnsi="Arial" w:hint="default"/>
      </w:rPr>
    </w:lvl>
    <w:lvl w:ilvl="4" w:tplc="FC700040" w:tentative="1">
      <w:start w:val="1"/>
      <w:numFmt w:val="bullet"/>
      <w:lvlText w:val="•"/>
      <w:lvlJc w:val="left"/>
      <w:pPr>
        <w:tabs>
          <w:tab w:val="num" w:pos="3600"/>
        </w:tabs>
        <w:ind w:left="3600" w:hanging="360"/>
      </w:pPr>
      <w:rPr>
        <w:rFonts w:ascii="Arial" w:hAnsi="Arial" w:hint="default"/>
      </w:rPr>
    </w:lvl>
    <w:lvl w:ilvl="5" w:tplc="E44E07B4" w:tentative="1">
      <w:start w:val="1"/>
      <w:numFmt w:val="bullet"/>
      <w:lvlText w:val="•"/>
      <w:lvlJc w:val="left"/>
      <w:pPr>
        <w:tabs>
          <w:tab w:val="num" w:pos="4320"/>
        </w:tabs>
        <w:ind w:left="4320" w:hanging="360"/>
      </w:pPr>
      <w:rPr>
        <w:rFonts w:ascii="Arial" w:hAnsi="Arial" w:hint="default"/>
      </w:rPr>
    </w:lvl>
    <w:lvl w:ilvl="6" w:tplc="EC622DF0" w:tentative="1">
      <w:start w:val="1"/>
      <w:numFmt w:val="bullet"/>
      <w:lvlText w:val="•"/>
      <w:lvlJc w:val="left"/>
      <w:pPr>
        <w:tabs>
          <w:tab w:val="num" w:pos="5040"/>
        </w:tabs>
        <w:ind w:left="5040" w:hanging="360"/>
      </w:pPr>
      <w:rPr>
        <w:rFonts w:ascii="Arial" w:hAnsi="Arial" w:hint="default"/>
      </w:rPr>
    </w:lvl>
    <w:lvl w:ilvl="7" w:tplc="BFFC9BE8" w:tentative="1">
      <w:start w:val="1"/>
      <w:numFmt w:val="bullet"/>
      <w:lvlText w:val="•"/>
      <w:lvlJc w:val="left"/>
      <w:pPr>
        <w:tabs>
          <w:tab w:val="num" w:pos="5760"/>
        </w:tabs>
        <w:ind w:left="5760" w:hanging="360"/>
      </w:pPr>
      <w:rPr>
        <w:rFonts w:ascii="Arial" w:hAnsi="Arial" w:hint="default"/>
      </w:rPr>
    </w:lvl>
    <w:lvl w:ilvl="8" w:tplc="8030172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83515EF"/>
    <w:multiLevelType w:val="hybridMultilevel"/>
    <w:tmpl w:val="36FEFC1C"/>
    <w:lvl w:ilvl="0" w:tplc="8836E2AE">
      <w:start w:val="1"/>
      <w:numFmt w:val="bullet"/>
      <w:lvlText w:val="•"/>
      <w:lvlJc w:val="left"/>
      <w:pPr>
        <w:tabs>
          <w:tab w:val="num" w:pos="720"/>
        </w:tabs>
        <w:ind w:left="720" w:hanging="360"/>
      </w:pPr>
      <w:rPr>
        <w:rFonts w:ascii="Arial" w:hAnsi="Arial" w:hint="default"/>
      </w:rPr>
    </w:lvl>
    <w:lvl w:ilvl="1" w:tplc="BBDEB7D2" w:tentative="1">
      <w:start w:val="1"/>
      <w:numFmt w:val="bullet"/>
      <w:lvlText w:val="•"/>
      <w:lvlJc w:val="left"/>
      <w:pPr>
        <w:tabs>
          <w:tab w:val="num" w:pos="1440"/>
        </w:tabs>
        <w:ind w:left="1440" w:hanging="360"/>
      </w:pPr>
      <w:rPr>
        <w:rFonts w:ascii="Arial" w:hAnsi="Arial" w:hint="default"/>
      </w:rPr>
    </w:lvl>
    <w:lvl w:ilvl="2" w:tplc="68B20FD8" w:tentative="1">
      <w:start w:val="1"/>
      <w:numFmt w:val="bullet"/>
      <w:lvlText w:val="•"/>
      <w:lvlJc w:val="left"/>
      <w:pPr>
        <w:tabs>
          <w:tab w:val="num" w:pos="2160"/>
        </w:tabs>
        <w:ind w:left="2160" w:hanging="360"/>
      </w:pPr>
      <w:rPr>
        <w:rFonts w:ascii="Arial" w:hAnsi="Arial" w:hint="default"/>
      </w:rPr>
    </w:lvl>
    <w:lvl w:ilvl="3" w:tplc="18C00452" w:tentative="1">
      <w:start w:val="1"/>
      <w:numFmt w:val="bullet"/>
      <w:lvlText w:val="•"/>
      <w:lvlJc w:val="left"/>
      <w:pPr>
        <w:tabs>
          <w:tab w:val="num" w:pos="2880"/>
        </w:tabs>
        <w:ind w:left="2880" w:hanging="360"/>
      </w:pPr>
      <w:rPr>
        <w:rFonts w:ascii="Arial" w:hAnsi="Arial" w:hint="default"/>
      </w:rPr>
    </w:lvl>
    <w:lvl w:ilvl="4" w:tplc="2AA8FBBE" w:tentative="1">
      <w:start w:val="1"/>
      <w:numFmt w:val="bullet"/>
      <w:lvlText w:val="•"/>
      <w:lvlJc w:val="left"/>
      <w:pPr>
        <w:tabs>
          <w:tab w:val="num" w:pos="3600"/>
        </w:tabs>
        <w:ind w:left="3600" w:hanging="360"/>
      </w:pPr>
      <w:rPr>
        <w:rFonts w:ascii="Arial" w:hAnsi="Arial" w:hint="default"/>
      </w:rPr>
    </w:lvl>
    <w:lvl w:ilvl="5" w:tplc="55FAD0DA" w:tentative="1">
      <w:start w:val="1"/>
      <w:numFmt w:val="bullet"/>
      <w:lvlText w:val="•"/>
      <w:lvlJc w:val="left"/>
      <w:pPr>
        <w:tabs>
          <w:tab w:val="num" w:pos="4320"/>
        </w:tabs>
        <w:ind w:left="4320" w:hanging="360"/>
      </w:pPr>
      <w:rPr>
        <w:rFonts w:ascii="Arial" w:hAnsi="Arial" w:hint="default"/>
      </w:rPr>
    </w:lvl>
    <w:lvl w:ilvl="6" w:tplc="C6B47116" w:tentative="1">
      <w:start w:val="1"/>
      <w:numFmt w:val="bullet"/>
      <w:lvlText w:val="•"/>
      <w:lvlJc w:val="left"/>
      <w:pPr>
        <w:tabs>
          <w:tab w:val="num" w:pos="5040"/>
        </w:tabs>
        <w:ind w:left="5040" w:hanging="360"/>
      </w:pPr>
      <w:rPr>
        <w:rFonts w:ascii="Arial" w:hAnsi="Arial" w:hint="default"/>
      </w:rPr>
    </w:lvl>
    <w:lvl w:ilvl="7" w:tplc="CAAA54D2" w:tentative="1">
      <w:start w:val="1"/>
      <w:numFmt w:val="bullet"/>
      <w:lvlText w:val="•"/>
      <w:lvlJc w:val="left"/>
      <w:pPr>
        <w:tabs>
          <w:tab w:val="num" w:pos="5760"/>
        </w:tabs>
        <w:ind w:left="5760" w:hanging="360"/>
      </w:pPr>
      <w:rPr>
        <w:rFonts w:ascii="Arial" w:hAnsi="Arial" w:hint="default"/>
      </w:rPr>
    </w:lvl>
    <w:lvl w:ilvl="8" w:tplc="6D3E7C0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9D1413D"/>
    <w:multiLevelType w:val="multilevel"/>
    <w:tmpl w:val="7F149136"/>
    <w:lvl w:ilvl="0">
      <w:start w:val="1"/>
      <w:numFmt w:val="bullet"/>
      <w:pStyle w:val="TableNBullet"/>
      <w:lvlText w:val=""/>
      <w:lvlJc w:val="left"/>
      <w:pPr>
        <w:ind w:left="227" w:hanging="227"/>
      </w:pPr>
      <w:rPr>
        <w:rFonts w:ascii="Symbol" w:hAnsi="Symbol" w:hint="default"/>
        <w:color w:val="auto"/>
        <w:position w:val="0"/>
        <w:sz w:val="16"/>
        <w:szCs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3" w15:restartNumberingAfterBreak="0">
    <w:nsid w:val="40361C5B"/>
    <w:multiLevelType w:val="hybridMultilevel"/>
    <w:tmpl w:val="2E12E284"/>
    <w:lvl w:ilvl="0" w:tplc="44FAA402">
      <w:start w:val="1"/>
      <w:numFmt w:val="bullet"/>
      <w:lvlText w:val="•"/>
      <w:lvlJc w:val="left"/>
      <w:pPr>
        <w:tabs>
          <w:tab w:val="num" w:pos="720"/>
        </w:tabs>
        <w:ind w:left="720" w:hanging="360"/>
      </w:pPr>
      <w:rPr>
        <w:rFonts w:ascii="Arial" w:hAnsi="Arial" w:hint="default"/>
      </w:rPr>
    </w:lvl>
    <w:lvl w:ilvl="1" w:tplc="72CA5298" w:tentative="1">
      <w:start w:val="1"/>
      <w:numFmt w:val="bullet"/>
      <w:lvlText w:val="•"/>
      <w:lvlJc w:val="left"/>
      <w:pPr>
        <w:tabs>
          <w:tab w:val="num" w:pos="1440"/>
        </w:tabs>
        <w:ind w:left="1440" w:hanging="360"/>
      </w:pPr>
      <w:rPr>
        <w:rFonts w:ascii="Arial" w:hAnsi="Arial" w:hint="default"/>
      </w:rPr>
    </w:lvl>
    <w:lvl w:ilvl="2" w:tplc="1B222EDA" w:tentative="1">
      <w:start w:val="1"/>
      <w:numFmt w:val="bullet"/>
      <w:lvlText w:val="•"/>
      <w:lvlJc w:val="left"/>
      <w:pPr>
        <w:tabs>
          <w:tab w:val="num" w:pos="2160"/>
        </w:tabs>
        <w:ind w:left="2160" w:hanging="360"/>
      </w:pPr>
      <w:rPr>
        <w:rFonts w:ascii="Arial" w:hAnsi="Arial" w:hint="default"/>
      </w:rPr>
    </w:lvl>
    <w:lvl w:ilvl="3" w:tplc="ED1CEBF8" w:tentative="1">
      <w:start w:val="1"/>
      <w:numFmt w:val="bullet"/>
      <w:lvlText w:val="•"/>
      <w:lvlJc w:val="left"/>
      <w:pPr>
        <w:tabs>
          <w:tab w:val="num" w:pos="2880"/>
        </w:tabs>
        <w:ind w:left="2880" w:hanging="360"/>
      </w:pPr>
      <w:rPr>
        <w:rFonts w:ascii="Arial" w:hAnsi="Arial" w:hint="default"/>
      </w:rPr>
    </w:lvl>
    <w:lvl w:ilvl="4" w:tplc="0C4E5296" w:tentative="1">
      <w:start w:val="1"/>
      <w:numFmt w:val="bullet"/>
      <w:lvlText w:val="•"/>
      <w:lvlJc w:val="left"/>
      <w:pPr>
        <w:tabs>
          <w:tab w:val="num" w:pos="3600"/>
        </w:tabs>
        <w:ind w:left="3600" w:hanging="360"/>
      </w:pPr>
      <w:rPr>
        <w:rFonts w:ascii="Arial" w:hAnsi="Arial" w:hint="default"/>
      </w:rPr>
    </w:lvl>
    <w:lvl w:ilvl="5" w:tplc="9B46753E" w:tentative="1">
      <w:start w:val="1"/>
      <w:numFmt w:val="bullet"/>
      <w:lvlText w:val="•"/>
      <w:lvlJc w:val="left"/>
      <w:pPr>
        <w:tabs>
          <w:tab w:val="num" w:pos="4320"/>
        </w:tabs>
        <w:ind w:left="4320" w:hanging="360"/>
      </w:pPr>
      <w:rPr>
        <w:rFonts w:ascii="Arial" w:hAnsi="Arial" w:hint="default"/>
      </w:rPr>
    </w:lvl>
    <w:lvl w:ilvl="6" w:tplc="53A0A252" w:tentative="1">
      <w:start w:val="1"/>
      <w:numFmt w:val="bullet"/>
      <w:lvlText w:val="•"/>
      <w:lvlJc w:val="left"/>
      <w:pPr>
        <w:tabs>
          <w:tab w:val="num" w:pos="5040"/>
        </w:tabs>
        <w:ind w:left="5040" w:hanging="360"/>
      </w:pPr>
      <w:rPr>
        <w:rFonts w:ascii="Arial" w:hAnsi="Arial" w:hint="default"/>
      </w:rPr>
    </w:lvl>
    <w:lvl w:ilvl="7" w:tplc="CD166E82" w:tentative="1">
      <w:start w:val="1"/>
      <w:numFmt w:val="bullet"/>
      <w:lvlText w:val="•"/>
      <w:lvlJc w:val="left"/>
      <w:pPr>
        <w:tabs>
          <w:tab w:val="num" w:pos="5760"/>
        </w:tabs>
        <w:ind w:left="5760" w:hanging="360"/>
      </w:pPr>
      <w:rPr>
        <w:rFonts w:ascii="Arial" w:hAnsi="Arial" w:hint="default"/>
      </w:rPr>
    </w:lvl>
    <w:lvl w:ilvl="8" w:tplc="D4A2CAF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AB30710"/>
    <w:multiLevelType w:val="hybridMultilevel"/>
    <w:tmpl w:val="BC28FDC8"/>
    <w:lvl w:ilvl="0" w:tplc="9B8AAA78">
      <w:start w:val="1"/>
      <w:numFmt w:val="decimal"/>
      <w:pStyle w:val="longformcalloutnumber"/>
      <w:lvlText w:val="%1."/>
      <w:lvlJc w:val="left"/>
      <w:pPr>
        <w:ind w:left="720" w:hanging="360"/>
      </w:pPr>
      <w:rPr>
        <w:rFonts w:hint="default"/>
        <w:b w:val="0"/>
        <w:color w:val="00264D" w:themeColor="background2"/>
        <w:sz w:val="21"/>
        <w:szCs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B3D2157"/>
    <w:multiLevelType w:val="multilevel"/>
    <w:tmpl w:val="310876F2"/>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03D7B7D"/>
    <w:multiLevelType w:val="multilevel"/>
    <w:tmpl w:val="E1C033D0"/>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8" w15:restartNumberingAfterBreak="0">
    <w:nsid w:val="54C55940"/>
    <w:multiLevelType w:val="multilevel"/>
    <w:tmpl w:val="D3261AAA"/>
    <w:lvl w:ilvl="0">
      <w:start w:val="1"/>
      <w:numFmt w:val="bullet"/>
      <w:pStyle w:val="intoductionbullet"/>
      <w:lvlText w:val=""/>
      <w:lvlJc w:val="left"/>
      <w:pPr>
        <w:ind w:left="357" w:hanging="357"/>
      </w:pPr>
      <w:rPr>
        <w:rFonts w:ascii="Symbol" w:hAnsi="Symbol" w:hint="default"/>
        <w:color w:val="00264D" w:themeColor="background2"/>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6500878"/>
    <w:multiLevelType w:val="hybridMultilevel"/>
    <w:tmpl w:val="267CBFEC"/>
    <w:lvl w:ilvl="0" w:tplc="0C090001">
      <w:start w:val="1"/>
      <w:numFmt w:val="bullet"/>
      <w:pStyle w:val="TableExp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8B030FE"/>
    <w:multiLevelType w:val="multilevel"/>
    <w:tmpl w:val="57CA7630"/>
    <w:styleLink w:val="TableNListnumberedmultilevel"/>
    <w:lvl w:ilvl="0">
      <w:start w:val="1"/>
      <w:numFmt w:val="bullet"/>
      <w:pStyle w:val="TableNListnumbered"/>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15:restartNumberingAfterBreak="0">
    <w:nsid w:val="71A16EBA"/>
    <w:multiLevelType w:val="multilevel"/>
    <w:tmpl w:val="FC5606CE"/>
    <w:lvl w:ilvl="0">
      <w:start w:val="1"/>
      <w:numFmt w:val="upperLetter"/>
      <w:pStyle w:val="xAppendixLevel1"/>
      <w:lvlText w:val="Appendix %1"/>
      <w:lvlJc w:val="left"/>
      <w:pPr>
        <w:ind w:left="2268" w:hanging="2268"/>
      </w:p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9B7218E"/>
    <w:multiLevelType w:val="multilevel"/>
    <w:tmpl w:val="4462D4F2"/>
    <w:styleLink w:val="TableexpListnumberedmultilevel"/>
    <w:lvl w:ilvl="0">
      <w:start w:val="1"/>
      <w:numFmt w:val="bullet"/>
      <w:lvlText w:val=""/>
      <w:lvlJc w:val="left"/>
      <w:pPr>
        <w:ind w:left="340" w:hanging="340"/>
      </w:pPr>
      <w:rPr>
        <w:rFonts w:ascii="Symbol" w:hAnsi="Symbol" w:hint="default"/>
        <w:sz w:val="16"/>
      </w:rPr>
    </w:lvl>
    <w:lvl w:ilvl="1">
      <w:start w:val="1"/>
      <w:numFmt w:val="bullet"/>
      <w:pStyle w:val="TableNBulletlevel2"/>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F372619"/>
    <w:multiLevelType w:val="hybridMultilevel"/>
    <w:tmpl w:val="2C1CB8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5006360">
    <w:abstractNumId w:val="21"/>
  </w:num>
  <w:num w:numId="2" w16cid:durableId="1980760923">
    <w:abstractNumId w:val="12"/>
  </w:num>
  <w:num w:numId="3" w16cid:durableId="892737592">
    <w:abstractNumId w:val="22"/>
  </w:num>
  <w:num w:numId="4" w16cid:durableId="737289070">
    <w:abstractNumId w:val="14"/>
  </w:num>
  <w:num w:numId="5" w16cid:durableId="1823741038">
    <w:abstractNumId w:val="15"/>
  </w:num>
  <w:num w:numId="6" w16cid:durableId="94400778">
    <w:abstractNumId w:val="18"/>
  </w:num>
  <w:num w:numId="7" w16cid:durableId="7197844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11845613">
    <w:abstractNumId w:val="6"/>
    <w:lvlOverride w:ilvl="0">
      <w:lvl w:ilvl="0">
        <w:start w:val="1"/>
        <w:numFmt w:val="decimal"/>
        <w:lvlText w:val="%1."/>
        <w:lvlJc w:val="left"/>
        <w:pPr>
          <w:ind w:left="340" w:hanging="340"/>
        </w:pPr>
        <w:rPr>
          <w:rFonts w:ascii="Segoe UI" w:hAnsi="Segoe UI" w:hint="default"/>
          <w:b w:val="0"/>
          <w:i w:val="0"/>
          <w:sz w:val="19"/>
        </w:rPr>
      </w:lvl>
    </w:lvlOverride>
    <w:lvlOverride w:ilvl="1">
      <w:lvl w:ilvl="1">
        <w:start w:val="1"/>
        <w:numFmt w:val="lowerLetter"/>
        <w:lvlText w:val="%2."/>
        <w:lvlJc w:val="left"/>
        <w:pPr>
          <w:ind w:left="680" w:hanging="340"/>
        </w:pPr>
        <w:rPr>
          <w:rFonts w:ascii="Segoe UI" w:hAnsi="Segoe UI" w:hint="default"/>
          <w:sz w:val="20"/>
        </w:rPr>
      </w:lvl>
    </w:lvlOverride>
    <w:lvlOverride w:ilvl="2">
      <w:lvl w:ilvl="2">
        <w:start w:val="1"/>
        <w:numFmt w:val="lowerRoman"/>
        <w:lvlText w:val="%3."/>
        <w:lvlJc w:val="left"/>
        <w:pPr>
          <w:ind w:left="1021" w:hanging="341"/>
        </w:pPr>
        <w:rPr>
          <w:rFonts w:ascii="Segoe UI" w:hAnsi="Segoe UI" w:hint="default"/>
          <w:sz w:val="19"/>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left"/>
        <w:pPr>
          <w:ind w:left="3600" w:hanging="360"/>
        </w:pPr>
        <w:rPr>
          <w:rFonts w:hint="default"/>
        </w:rPr>
      </w:lvl>
    </w:lvlOverride>
    <w:lvlOverride w:ilvl="6">
      <w:lvl w:ilvl="6">
        <w:start w:val="1"/>
        <w:numFmt w:val="decimal"/>
        <w:lvlText w:val="%7."/>
        <w:lvlJc w:val="left"/>
        <w:pPr>
          <w:ind w:left="3960" w:hanging="360"/>
        </w:pPr>
        <w:rPr>
          <w:rFonts w:hint="default"/>
        </w:rPr>
      </w:lvl>
    </w:lvlOverride>
    <w:lvlOverride w:ilvl="7">
      <w:lvl w:ilvl="7">
        <w:start w:val="1"/>
        <w:numFmt w:val="lowerLetter"/>
        <w:lvlText w:val="%8."/>
        <w:lvlJc w:val="left"/>
        <w:pPr>
          <w:ind w:left="4320" w:hanging="360"/>
        </w:pPr>
        <w:rPr>
          <w:rFonts w:hint="default"/>
        </w:rPr>
      </w:lvl>
    </w:lvlOverride>
    <w:lvlOverride w:ilvl="8">
      <w:lvl w:ilvl="8">
        <w:start w:val="1"/>
        <w:numFmt w:val="lowerRoman"/>
        <w:lvlText w:val="%9."/>
        <w:lvlJc w:val="left"/>
        <w:pPr>
          <w:ind w:left="4680" w:hanging="360"/>
        </w:pPr>
        <w:rPr>
          <w:rFonts w:hint="default"/>
        </w:rPr>
      </w:lvl>
    </w:lvlOverride>
  </w:num>
  <w:num w:numId="9" w16cid:durableId="1322781175">
    <w:abstractNumId w:val="20"/>
  </w:num>
  <w:num w:numId="10" w16cid:durableId="1639147593">
    <w:abstractNumId w:val="6"/>
    <w:lvlOverride w:ilvl="0">
      <w:startOverride w:val="1"/>
      <w:lvl w:ilvl="0">
        <w:start w:val="1"/>
        <w:numFmt w:val="decimal"/>
        <w:lvlText w:val="%1."/>
        <w:lvlJc w:val="left"/>
        <w:pPr>
          <w:ind w:left="340" w:hanging="340"/>
        </w:pPr>
        <w:rPr>
          <w:rFonts w:ascii="Segoe UI" w:hAnsi="Segoe UI" w:hint="default"/>
          <w:b w:val="0"/>
          <w:i w:val="0"/>
          <w:sz w:val="19"/>
        </w:rPr>
      </w:lvl>
    </w:lvlOverride>
    <w:lvlOverride w:ilvl="1">
      <w:startOverride w:val="1"/>
      <w:lvl w:ilvl="1">
        <w:start w:val="1"/>
        <w:numFmt w:val="lowerLetter"/>
        <w:lvlText w:val="%2."/>
        <w:lvlJc w:val="left"/>
        <w:pPr>
          <w:ind w:left="680" w:hanging="340"/>
        </w:pPr>
        <w:rPr>
          <w:rFonts w:ascii="Segoe UI" w:hAnsi="Segoe UI" w:hint="default"/>
          <w:sz w:val="20"/>
        </w:rPr>
      </w:lvl>
    </w:lvlOverride>
    <w:lvlOverride w:ilvl="2">
      <w:startOverride w:val="1"/>
      <w:lvl w:ilvl="2">
        <w:start w:val="1"/>
        <w:numFmt w:val="lowerRoman"/>
        <w:lvlText w:val="%3."/>
        <w:lvlJc w:val="left"/>
        <w:pPr>
          <w:ind w:left="1021" w:hanging="341"/>
        </w:pPr>
        <w:rPr>
          <w:rFonts w:ascii="Segoe UI" w:hAnsi="Segoe UI" w:hint="default"/>
          <w:sz w:val="19"/>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left"/>
        <w:pPr>
          <w:ind w:left="3600" w:hanging="360"/>
        </w:pPr>
        <w:rPr>
          <w:rFonts w:hint="default"/>
        </w:rPr>
      </w:lvl>
    </w:lvlOverride>
    <w:lvlOverride w:ilvl="6">
      <w:startOverride w:val="1"/>
      <w:lvl w:ilvl="6">
        <w:start w:val="1"/>
        <w:numFmt w:val="decimal"/>
        <w:lvlText w:val="%7."/>
        <w:lvlJc w:val="left"/>
        <w:pPr>
          <w:ind w:left="3960" w:hanging="360"/>
        </w:pPr>
        <w:rPr>
          <w:rFonts w:hint="default"/>
        </w:rPr>
      </w:lvl>
    </w:lvlOverride>
    <w:lvlOverride w:ilvl="7">
      <w:startOverride w:val="1"/>
      <w:lvl w:ilvl="7">
        <w:start w:val="1"/>
        <w:numFmt w:val="lowerLetter"/>
        <w:lvlText w:val="%8."/>
        <w:lvlJc w:val="left"/>
        <w:pPr>
          <w:ind w:left="4320" w:hanging="360"/>
        </w:pPr>
        <w:rPr>
          <w:rFonts w:hint="default"/>
        </w:rPr>
      </w:lvl>
    </w:lvlOverride>
    <w:lvlOverride w:ilvl="8">
      <w:startOverride w:val="1"/>
      <w:lvl w:ilvl="8">
        <w:start w:val="1"/>
        <w:numFmt w:val="lowerRoman"/>
        <w:lvlText w:val="%9."/>
        <w:lvlJc w:val="left"/>
        <w:pPr>
          <w:ind w:left="4680" w:hanging="360"/>
        </w:pPr>
        <w:rPr>
          <w:rFonts w:hint="default"/>
        </w:rPr>
      </w:lvl>
    </w:lvlOverride>
  </w:num>
  <w:num w:numId="11" w16cid:durableId="565728378">
    <w:abstractNumId w:val="6"/>
    <w:lvlOverride w:ilvl="0">
      <w:startOverride w:val="1"/>
      <w:lvl w:ilvl="0">
        <w:start w:val="1"/>
        <w:numFmt w:val="decimal"/>
        <w:lvlText w:val="%1."/>
        <w:lvlJc w:val="left"/>
        <w:pPr>
          <w:ind w:left="340" w:hanging="340"/>
        </w:pPr>
        <w:rPr>
          <w:rFonts w:ascii="Segoe UI" w:hAnsi="Segoe UI" w:hint="default"/>
          <w:b w:val="0"/>
          <w:i w:val="0"/>
          <w:sz w:val="19"/>
        </w:rPr>
      </w:lvl>
    </w:lvlOverride>
    <w:lvlOverride w:ilvl="1">
      <w:startOverride w:val="1"/>
      <w:lvl w:ilvl="1">
        <w:start w:val="1"/>
        <w:numFmt w:val="lowerLetter"/>
        <w:lvlText w:val="%2."/>
        <w:lvlJc w:val="left"/>
        <w:pPr>
          <w:ind w:left="680" w:hanging="340"/>
        </w:pPr>
        <w:rPr>
          <w:rFonts w:ascii="Segoe UI" w:hAnsi="Segoe UI" w:hint="default"/>
          <w:sz w:val="20"/>
        </w:rPr>
      </w:lvl>
    </w:lvlOverride>
    <w:lvlOverride w:ilvl="2">
      <w:startOverride w:val="1"/>
      <w:lvl w:ilvl="2">
        <w:start w:val="1"/>
        <w:numFmt w:val="lowerRoman"/>
        <w:lvlText w:val="%3."/>
        <w:lvlJc w:val="left"/>
        <w:pPr>
          <w:ind w:left="1021" w:hanging="341"/>
        </w:pPr>
        <w:rPr>
          <w:rFonts w:ascii="Segoe UI" w:hAnsi="Segoe UI" w:hint="default"/>
          <w:sz w:val="19"/>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left"/>
        <w:pPr>
          <w:ind w:left="3600" w:hanging="360"/>
        </w:pPr>
        <w:rPr>
          <w:rFonts w:hint="default"/>
        </w:rPr>
      </w:lvl>
    </w:lvlOverride>
    <w:lvlOverride w:ilvl="6">
      <w:startOverride w:val="1"/>
      <w:lvl w:ilvl="6">
        <w:start w:val="1"/>
        <w:numFmt w:val="decimal"/>
        <w:lvlText w:val="%7."/>
        <w:lvlJc w:val="left"/>
        <w:pPr>
          <w:ind w:left="3960" w:hanging="360"/>
        </w:pPr>
        <w:rPr>
          <w:rFonts w:hint="default"/>
        </w:rPr>
      </w:lvl>
    </w:lvlOverride>
    <w:lvlOverride w:ilvl="7">
      <w:startOverride w:val="1"/>
      <w:lvl w:ilvl="7">
        <w:start w:val="1"/>
        <w:numFmt w:val="lowerLetter"/>
        <w:lvlText w:val="%8."/>
        <w:lvlJc w:val="left"/>
        <w:pPr>
          <w:ind w:left="4320" w:hanging="360"/>
        </w:pPr>
        <w:rPr>
          <w:rFonts w:hint="default"/>
        </w:rPr>
      </w:lvl>
    </w:lvlOverride>
    <w:lvlOverride w:ilvl="8">
      <w:startOverride w:val="1"/>
      <w:lvl w:ilvl="8">
        <w:start w:val="1"/>
        <w:numFmt w:val="lowerRoman"/>
        <w:lvlText w:val="%9."/>
        <w:lvlJc w:val="left"/>
        <w:pPr>
          <w:ind w:left="4680" w:hanging="360"/>
        </w:pPr>
        <w:rPr>
          <w:rFonts w:hint="default"/>
        </w:rPr>
      </w:lvl>
    </w:lvlOverride>
  </w:num>
  <w:num w:numId="12" w16cid:durableId="905409223">
    <w:abstractNumId w:val="6"/>
    <w:lvlOverride w:ilvl="0">
      <w:startOverride w:val="1"/>
      <w:lvl w:ilvl="0">
        <w:start w:val="1"/>
        <w:numFmt w:val="decimal"/>
        <w:lvlText w:val="%1."/>
        <w:lvlJc w:val="left"/>
        <w:pPr>
          <w:ind w:left="340" w:hanging="340"/>
        </w:pPr>
        <w:rPr>
          <w:rFonts w:ascii="Segoe UI" w:hAnsi="Segoe UI" w:hint="default"/>
          <w:b w:val="0"/>
          <w:i w:val="0"/>
          <w:sz w:val="19"/>
        </w:rPr>
      </w:lvl>
    </w:lvlOverride>
    <w:lvlOverride w:ilvl="1">
      <w:startOverride w:val="1"/>
      <w:lvl w:ilvl="1">
        <w:start w:val="1"/>
        <w:numFmt w:val="lowerLetter"/>
        <w:lvlText w:val="%2."/>
        <w:lvlJc w:val="left"/>
        <w:pPr>
          <w:ind w:left="680" w:hanging="340"/>
        </w:pPr>
        <w:rPr>
          <w:rFonts w:ascii="Segoe UI" w:hAnsi="Segoe UI" w:hint="default"/>
          <w:sz w:val="20"/>
        </w:rPr>
      </w:lvl>
    </w:lvlOverride>
    <w:lvlOverride w:ilvl="2">
      <w:startOverride w:val="1"/>
      <w:lvl w:ilvl="2">
        <w:start w:val="1"/>
        <w:numFmt w:val="lowerRoman"/>
        <w:lvlText w:val="%3."/>
        <w:lvlJc w:val="left"/>
        <w:pPr>
          <w:ind w:left="1021" w:hanging="341"/>
        </w:pPr>
        <w:rPr>
          <w:rFonts w:ascii="Segoe UI" w:hAnsi="Segoe UI" w:hint="default"/>
          <w:sz w:val="19"/>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left"/>
        <w:pPr>
          <w:ind w:left="3600" w:hanging="360"/>
        </w:pPr>
        <w:rPr>
          <w:rFonts w:hint="default"/>
        </w:rPr>
      </w:lvl>
    </w:lvlOverride>
    <w:lvlOverride w:ilvl="6">
      <w:startOverride w:val="1"/>
      <w:lvl w:ilvl="6">
        <w:start w:val="1"/>
        <w:numFmt w:val="decimal"/>
        <w:lvlText w:val="%7."/>
        <w:lvlJc w:val="left"/>
        <w:pPr>
          <w:ind w:left="3960" w:hanging="360"/>
        </w:pPr>
        <w:rPr>
          <w:rFonts w:hint="default"/>
        </w:rPr>
      </w:lvl>
    </w:lvlOverride>
    <w:lvlOverride w:ilvl="7">
      <w:startOverride w:val="1"/>
      <w:lvl w:ilvl="7">
        <w:start w:val="1"/>
        <w:numFmt w:val="lowerLetter"/>
        <w:lvlText w:val="%8."/>
        <w:lvlJc w:val="left"/>
        <w:pPr>
          <w:ind w:left="4320" w:hanging="360"/>
        </w:pPr>
        <w:rPr>
          <w:rFonts w:hint="default"/>
        </w:rPr>
      </w:lvl>
    </w:lvlOverride>
    <w:lvlOverride w:ilvl="8">
      <w:startOverride w:val="1"/>
      <w:lvl w:ilvl="8">
        <w:start w:val="1"/>
        <w:numFmt w:val="lowerRoman"/>
        <w:lvlText w:val="%9."/>
        <w:lvlJc w:val="left"/>
        <w:pPr>
          <w:ind w:left="4680" w:hanging="360"/>
        </w:pPr>
        <w:rPr>
          <w:rFonts w:hint="default"/>
        </w:rPr>
      </w:lvl>
    </w:lvlOverride>
  </w:num>
  <w:num w:numId="13" w16cid:durableId="786314068">
    <w:abstractNumId w:val="6"/>
    <w:lvlOverride w:ilvl="0">
      <w:startOverride w:val="1"/>
      <w:lvl w:ilvl="0">
        <w:start w:val="1"/>
        <w:numFmt w:val="decimal"/>
        <w:lvlText w:val="%1."/>
        <w:lvlJc w:val="left"/>
        <w:pPr>
          <w:ind w:left="340" w:hanging="340"/>
        </w:pPr>
        <w:rPr>
          <w:rFonts w:ascii="Segoe UI" w:hAnsi="Segoe UI" w:hint="default"/>
          <w:b w:val="0"/>
          <w:i w:val="0"/>
          <w:sz w:val="19"/>
        </w:rPr>
      </w:lvl>
    </w:lvlOverride>
    <w:lvlOverride w:ilvl="1">
      <w:startOverride w:val="1"/>
      <w:lvl w:ilvl="1">
        <w:start w:val="1"/>
        <w:numFmt w:val="lowerLetter"/>
        <w:lvlText w:val="%2."/>
        <w:lvlJc w:val="left"/>
        <w:pPr>
          <w:ind w:left="680" w:hanging="340"/>
        </w:pPr>
        <w:rPr>
          <w:rFonts w:ascii="Segoe UI" w:hAnsi="Segoe UI" w:hint="default"/>
          <w:sz w:val="20"/>
        </w:rPr>
      </w:lvl>
    </w:lvlOverride>
    <w:lvlOverride w:ilvl="2">
      <w:startOverride w:val="1"/>
      <w:lvl w:ilvl="2">
        <w:start w:val="1"/>
        <w:numFmt w:val="lowerRoman"/>
        <w:lvlText w:val="%3."/>
        <w:lvlJc w:val="left"/>
        <w:pPr>
          <w:ind w:left="1021" w:hanging="341"/>
        </w:pPr>
        <w:rPr>
          <w:rFonts w:ascii="Segoe UI" w:hAnsi="Segoe UI" w:hint="default"/>
          <w:sz w:val="19"/>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left"/>
        <w:pPr>
          <w:ind w:left="3600" w:hanging="360"/>
        </w:pPr>
        <w:rPr>
          <w:rFonts w:hint="default"/>
        </w:rPr>
      </w:lvl>
    </w:lvlOverride>
    <w:lvlOverride w:ilvl="6">
      <w:startOverride w:val="1"/>
      <w:lvl w:ilvl="6">
        <w:start w:val="1"/>
        <w:numFmt w:val="decimal"/>
        <w:lvlText w:val="%7."/>
        <w:lvlJc w:val="left"/>
        <w:pPr>
          <w:ind w:left="3960" w:hanging="360"/>
        </w:pPr>
        <w:rPr>
          <w:rFonts w:hint="default"/>
        </w:rPr>
      </w:lvl>
    </w:lvlOverride>
    <w:lvlOverride w:ilvl="7">
      <w:startOverride w:val="1"/>
      <w:lvl w:ilvl="7">
        <w:start w:val="1"/>
        <w:numFmt w:val="lowerLetter"/>
        <w:lvlText w:val="%8."/>
        <w:lvlJc w:val="left"/>
        <w:pPr>
          <w:ind w:left="4320" w:hanging="360"/>
        </w:pPr>
        <w:rPr>
          <w:rFonts w:hint="default"/>
        </w:rPr>
      </w:lvl>
    </w:lvlOverride>
    <w:lvlOverride w:ilvl="8">
      <w:startOverride w:val="1"/>
      <w:lvl w:ilvl="8">
        <w:start w:val="1"/>
        <w:numFmt w:val="lowerRoman"/>
        <w:lvlText w:val="%9."/>
        <w:lvlJc w:val="left"/>
        <w:pPr>
          <w:ind w:left="4680" w:hanging="360"/>
        </w:pPr>
        <w:rPr>
          <w:rFonts w:hint="default"/>
        </w:rPr>
      </w:lvl>
    </w:lvlOverride>
  </w:num>
  <w:num w:numId="14" w16cid:durableId="851341195">
    <w:abstractNumId w:val="6"/>
    <w:lvlOverride w:ilvl="0">
      <w:startOverride w:val="1"/>
      <w:lvl w:ilvl="0">
        <w:start w:val="1"/>
        <w:numFmt w:val="decimal"/>
        <w:lvlText w:val="%1."/>
        <w:lvlJc w:val="left"/>
        <w:pPr>
          <w:ind w:left="340" w:hanging="340"/>
        </w:pPr>
        <w:rPr>
          <w:rFonts w:ascii="Segoe UI" w:hAnsi="Segoe UI" w:hint="default"/>
          <w:b w:val="0"/>
          <w:i w:val="0"/>
          <w:sz w:val="19"/>
        </w:rPr>
      </w:lvl>
    </w:lvlOverride>
    <w:lvlOverride w:ilvl="1">
      <w:startOverride w:val="1"/>
      <w:lvl w:ilvl="1">
        <w:start w:val="1"/>
        <w:numFmt w:val="lowerLetter"/>
        <w:lvlText w:val="%2."/>
        <w:lvlJc w:val="left"/>
        <w:pPr>
          <w:ind w:left="680" w:hanging="340"/>
        </w:pPr>
        <w:rPr>
          <w:rFonts w:ascii="Segoe UI" w:hAnsi="Segoe UI" w:hint="default"/>
          <w:sz w:val="20"/>
        </w:rPr>
      </w:lvl>
    </w:lvlOverride>
    <w:lvlOverride w:ilvl="2">
      <w:startOverride w:val="1"/>
      <w:lvl w:ilvl="2">
        <w:start w:val="1"/>
        <w:numFmt w:val="lowerRoman"/>
        <w:lvlText w:val="%3."/>
        <w:lvlJc w:val="left"/>
        <w:pPr>
          <w:ind w:left="1021" w:hanging="341"/>
        </w:pPr>
        <w:rPr>
          <w:rFonts w:ascii="Segoe UI" w:hAnsi="Segoe UI" w:hint="default"/>
          <w:sz w:val="19"/>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left"/>
        <w:pPr>
          <w:ind w:left="3600" w:hanging="360"/>
        </w:pPr>
        <w:rPr>
          <w:rFonts w:hint="default"/>
        </w:rPr>
      </w:lvl>
    </w:lvlOverride>
    <w:lvlOverride w:ilvl="6">
      <w:startOverride w:val="1"/>
      <w:lvl w:ilvl="6">
        <w:start w:val="1"/>
        <w:numFmt w:val="decimal"/>
        <w:lvlText w:val="%7."/>
        <w:lvlJc w:val="left"/>
        <w:pPr>
          <w:ind w:left="3960" w:hanging="360"/>
        </w:pPr>
        <w:rPr>
          <w:rFonts w:hint="default"/>
        </w:rPr>
      </w:lvl>
    </w:lvlOverride>
    <w:lvlOverride w:ilvl="7">
      <w:startOverride w:val="1"/>
      <w:lvl w:ilvl="7">
        <w:start w:val="1"/>
        <w:numFmt w:val="lowerLetter"/>
        <w:lvlText w:val="%8."/>
        <w:lvlJc w:val="left"/>
        <w:pPr>
          <w:ind w:left="4320" w:hanging="360"/>
        </w:pPr>
        <w:rPr>
          <w:rFonts w:hint="default"/>
        </w:rPr>
      </w:lvl>
    </w:lvlOverride>
    <w:lvlOverride w:ilvl="8">
      <w:startOverride w:val="1"/>
      <w:lvl w:ilvl="8">
        <w:start w:val="1"/>
        <w:numFmt w:val="lowerRoman"/>
        <w:lvlText w:val="%9."/>
        <w:lvlJc w:val="left"/>
        <w:pPr>
          <w:ind w:left="4680" w:hanging="360"/>
        </w:pPr>
        <w:rPr>
          <w:rFonts w:hint="default"/>
        </w:rPr>
      </w:lvl>
    </w:lvlOverride>
  </w:num>
  <w:num w:numId="15" w16cid:durableId="1368407251">
    <w:abstractNumId w:val="16"/>
  </w:num>
  <w:num w:numId="16" w16cid:durableId="2112582747">
    <w:abstractNumId w:val="4"/>
    <w:lvlOverride w:ilvl="0">
      <w:startOverride w:val="1"/>
    </w:lvlOverride>
  </w:num>
  <w:num w:numId="17" w16cid:durableId="695885361">
    <w:abstractNumId w:val="19"/>
  </w:num>
  <w:num w:numId="18" w16cid:durableId="1547378126">
    <w:abstractNumId w:val="7"/>
  </w:num>
  <w:num w:numId="19" w16cid:durableId="241379981">
    <w:abstractNumId w:val="6"/>
    <w:lvlOverride w:ilvl="0">
      <w:startOverride w:val="1"/>
      <w:lvl w:ilvl="0">
        <w:start w:val="1"/>
        <w:numFmt w:val="decimal"/>
        <w:lvlText w:val="%1."/>
        <w:lvlJc w:val="left"/>
        <w:pPr>
          <w:ind w:left="340" w:hanging="340"/>
        </w:pPr>
        <w:rPr>
          <w:rFonts w:ascii="Segoe UI" w:hAnsi="Segoe UI" w:hint="default"/>
          <w:b w:val="0"/>
          <w:i w:val="0"/>
          <w:sz w:val="19"/>
        </w:rPr>
      </w:lvl>
    </w:lvlOverride>
    <w:lvlOverride w:ilvl="1">
      <w:startOverride w:val="1"/>
      <w:lvl w:ilvl="1">
        <w:start w:val="1"/>
        <w:numFmt w:val="lowerLetter"/>
        <w:lvlText w:val="%2."/>
        <w:lvlJc w:val="left"/>
        <w:pPr>
          <w:ind w:left="680" w:hanging="340"/>
        </w:pPr>
        <w:rPr>
          <w:rFonts w:ascii="Segoe UI" w:hAnsi="Segoe UI" w:hint="default"/>
          <w:sz w:val="20"/>
        </w:rPr>
      </w:lvl>
    </w:lvlOverride>
    <w:lvlOverride w:ilvl="2">
      <w:startOverride w:val="1"/>
      <w:lvl w:ilvl="2">
        <w:start w:val="1"/>
        <w:numFmt w:val="lowerRoman"/>
        <w:lvlText w:val="%3."/>
        <w:lvlJc w:val="left"/>
        <w:pPr>
          <w:ind w:left="1021" w:hanging="341"/>
        </w:pPr>
        <w:rPr>
          <w:rFonts w:ascii="Segoe UI" w:hAnsi="Segoe UI" w:hint="default"/>
          <w:sz w:val="19"/>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left"/>
        <w:pPr>
          <w:ind w:left="3600" w:hanging="360"/>
        </w:pPr>
        <w:rPr>
          <w:rFonts w:hint="default"/>
        </w:rPr>
      </w:lvl>
    </w:lvlOverride>
    <w:lvlOverride w:ilvl="6">
      <w:startOverride w:val="1"/>
      <w:lvl w:ilvl="6">
        <w:start w:val="1"/>
        <w:numFmt w:val="decimal"/>
        <w:lvlText w:val="%7."/>
        <w:lvlJc w:val="left"/>
        <w:pPr>
          <w:ind w:left="3960" w:hanging="360"/>
        </w:pPr>
        <w:rPr>
          <w:rFonts w:hint="default"/>
        </w:rPr>
      </w:lvl>
    </w:lvlOverride>
    <w:lvlOverride w:ilvl="7">
      <w:startOverride w:val="1"/>
      <w:lvl w:ilvl="7">
        <w:start w:val="1"/>
        <w:numFmt w:val="lowerLetter"/>
        <w:lvlText w:val="%8."/>
        <w:lvlJc w:val="left"/>
        <w:pPr>
          <w:ind w:left="4320" w:hanging="360"/>
        </w:pPr>
        <w:rPr>
          <w:rFonts w:hint="default"/>
        </w:rPr>
      </w:lvl>
    </w:lvlOverride>
    <w:lvlOverride w:ilvl="8">
      <w:startOverride w:val="1"/>
      <w:lvl w:ilvl="8">
        <w:start w:val="1"/>
        <w:numFmt w:val="lowerRoman"/>
        <w:lvlText w:val="%9."/>
        <w:lvlJc w:val="left"/>
        <w:pPr>
          <w:ind w:left="4680" w:hanging="360"/>
        </w:pPr>
        <w:rPr>
          <w:rFonts w:hint="default"/>
        </w:rPr>
      </w:lvl>
    </w:lvlOverride>
  </w:num>
  <w:num w:numId="20" w16cid:durableId="2090425988">
    <w:abstractNumId w:val="9"/>
  </w:num>
  <w:num w:numId="21" w16cid:durableId="1789353659">
    <w:abstractNumId w:val="23"/>
  </w:num>
  <w:num w:numId="22" w16cid:durableId="188837592">
    <w:abstractNumId w:val="8"/>
  </w:num>
  <w:num w:numId="23" w16cid:durableId="2003044068">
    <w:abstractNumId w:val="5"/>
  </w:num>
  <w:num w:numId="24" w16cid:durableId="1980915338">
    <w:abstractNumId w:val="3"/>
  </w:num>
  <w:num w:numId="25" w16cid:durableId="141780396">
    <w:abstractNumId w:val="13"/>
  </w:num>
  <w:num w:numId="26" w16cid:durableId="624044706">
    <w:abstractNumId w:val="10"/>
  </w:num>
  <w:num w:numId="27" w16cid:durableId="1151601000">
    <w:abstractNumId w:val="11"/>
  </w:num>
  <w:num w:numId="28" w16cid:durableId="113058062">
    <w:abstractNumId w:val="2"/>
  </w:num>
  <w:num w:numId="29" w16cid:durableId="1141265904">
    <w:abstractNumId w:val="4"/>
  </w:num>
  <w:num w:numId="30" w16cid:durableId="1444616172">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2892042">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91899790">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20854908">
    <w:abstractNumId w:val="1"/>
  </w:num>
  <w:num w:numId="34" w16cid:durableId="880093141">
    <w:abstractNumId w:val="17"/>
  </w:num>
  <w:num w:numId="35" w16cid:durableId="11879761">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AccessibleNousTable"/>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0C9"/>
    <w:rsid w:val="000008DC"/>
    <w:rsid w:val="00000A9B"/>
    <w:rsid w:val="00000BF3"/>
    <w:rsid w:val="00002250"/>
    <w:rsid w:val="00002706"/>
    <w:rsid w:val="00002992"/>
    <w:rsid w:val="00002B61"/>
    <w:rsid w:val="0000541A"/>
    <w:rsid w:val="000061C3"/>
    <w:rsid w:val="00007ECD"/>
    <w:rsid w:val="00010342"/>
    <w:rsid w:val="0001052B"/>
    <w:rsid w:val="00010BB3"/>
    <w:rsid w:val="000114EB"/>
    <w:rsid w:val="000121B4"/>
    <w:rsid w:val="000133C9"/>
    <w:rsid w:val="00013659"/>
    <w:rsid w:val="0001428C"/>
    <w:rsid w:val="000145D3"/>
    <w:rsid w:val="00015A11"/>
    <w:rsid w:val="00015A46"/>
    <w:rsid w:val="0001648F"/>
    <w:rsid w:val="00016DCE"/>
    <w:rsid w:val="00017629"/>
    <w:rsid w:val="00017F9A"/>
    <w:rsid w:val="000202EC"/>
    <w:rsid w:val="00020856"/>
    <w:rsid w:val="00020B8D"/>
    <w:rsid w:val="00020FDE"/>
    <w:rsid w:val="00021461"/>
    <w:rsid w:val="000219D6"/>
    <w:rsid w:val="00021F62"/>
    <w:rsid w:val="000221DC"/>
    <w:rsid w:val="00022720"/>
    <w:rsid w:val="00022AD1"/>
    <w:rsid w:val="00023419"/>
    <w:rsid w:val="000248CA"/>
    <w:rsid w:val="00030633"/>
    <w:rsid w:val="000312A7"/>
    <w:rsid w:val="00032CBB"/>
    <w:rsid w:val="00032D29"/>
    <w:rsid w:val="00033244"/>
    <w:rsid w:val="00033983"/>
    <w:rsid w:val="00033D8F"/>
    <w:rsid w:val="000344A3"/>
    <w:rsid w:val="00036A9D"/>
    <w:rsid w:val="00036B64"/>
    <w:rsid w:val="00037DCC"/>
    <w:rsid w:val="00040C6C"/>
    <w:rsid w:val="00040FA8"/>
    <w:rsid w:val="000410E4"/>
    <w:rsid w:val="00041B2D"/>
    <w:rsid w:val="00041BF9"/>
    <w:rsid w:val="00041CBC"/>
    <w:rsid w:val="00041FDD"/>
    <w:rsid w:val="00042265"/>
    <w:rsid w:val="00042C73"/>
    <w:rsid w:val="0004388C"/>
    <w:rsid w:val="000439D5"/>
    <w:rsid w:val="00043A5E"/>
    <w:rsid w:val="00043B1E"/>
    <w:rsid w:val="00043F27"/>
    <w:rsid w:val="0004510D"/>
    <w:rsid w:val="0004522E"/>
    <w:rsid w:val="00045471"/>
    <w:rsid w:val="0004579B"/>
    <w:rsid w:val="0004650E"/>
    <w:rsid w:val="00046603"/>
    <w:rsid w:val="00046CC0"/>
    <w:rsid w:val="000472C3"/>
    <w:rsid w:val="0005065B"/>
    <w:rsid w:val="00050D5E"/>
    <w:rsid w:val="000511F4"/>
    <w:rsid w:val="0005144B"/>
    <w:rsid w:val="000514A5"/>
    <w:rsid w:val="00051825"/>
    <w:rsid w:val="0005195D"/>
    <w:rsid w:val="00051BEB"/>
    <w:rsid w:val="00051DC3"/>
    <w:rsid w:val="0005259A"/>
    <w:rsid w:val="00053D9D"/>
    <w:rsid w:val="000549A4"/>
    <w:rsid w:val="0005575C"/>
    <w:rsid w:val="000557B8"/>
    <w:rsid w:val="000560C6"/>
    <w:rsid w:val="00056282"/>
    <w:rsid w:val="00056EAD"/>
    <w:rsid w:val="0005789D"/>
    <w:rsid w:val="00057B56"/>
    <w:rsid w:val="00061583"/>
    <w:rsid w:val="00062391"/>
    <w:rsid w:val="00062A76"/>
    <w:rsid w:val="00062B73"/>
    <w:rsid w:val="00062CD4"/>
    <w:rsid w:val="000639C2"/>
    <w:rsid w:val="000640D2"/>
    <w:rsid w:val="000645B4"/>
    <w:rsid w:val="00065079"/>
    <w:rsid w:val="00066A8C"/>
    <w:rsid w:val="00070BAE"/>
    <w:rsid w:val="00070CDF"/>
    <w:rsid w:val="0007176B"/>
    <w:rsid w:val="00072C64"/>
    <w:rsid w:val="00072DC5"/>
    <w:rsid w:val="00074674"/>
    <w:rsid w:val="000746EC"/>
    <w:rsid w:val="00075174"/>
    <w:rsid w:val="0007553A"/>
    <w:rsid w:val="00075BDF"/>
    <w:rsid w:val="00076171"/>
    <w:rsid w:val="000761AE"/>
    <w:rsid w:val="0007627E"/>
    <w:rsid w:val="000768B5"/>
    <w:rsid w:val="000772A9"/>
    <w:rsid w:val="0007789C"/>
    <w:rsid w:val="00080ADC"/>
    <w:rsid w:val="0008190A"/>
    <w:rsid w:val="000819C8"/>
    <w:rsid w:val="00081D6E"/>
    <w:rsid w:val="000826E7"/>
    <w:rsid w:val="00082C96"/>
    <w:rsid w:val="00083268"/>
    <w:rsid w:val="00083992"/>
    <w:rsid w:val="00083A70"/>
    <w:rsid w:val="000843C9"/>
    <w:rsid w:val="000843DD"/>
    <w:rsid w:val="00084E74"/>
    <w:rsid w:val="0008528A"/>
    <w:rsid w:val="00085959"/>
    <w:rsid w:val="000867D9"/>
    <w:rsid w:val="00086ADC"/>
    <w:rsid w:val="00086D1A"/>
    <w:rsid w:val="00091477"/>
    <w:rsid w:val="00091607"/>
    <w:rsid w:val="00091A80"/>
    <w:rsid w:val="00091AC2"/>
    <w:rsid w:val="00092435"/>
    <w:rsid w:val="000925D8"/>
    <w:rsid w:val="00093465"/>
    <w:rsid w:val="00093FA9"/>
    <w:rsid w:val="0009455F"/>
    <w:rsid w:val="00094C98"/>
    <w:rsid w:val="00096C48"/>
    <w:rsid w:val="00096EC1"/>
    <w:rsid w:val="00097A1E"/>
    <w:rsid w:val="000A0925"/>
    <w:rsid w:val="000A13C3"/>
    <w:rsid w:val="000A218C"/>
    <w:rsid w:val="000A22D8"/>
    <w:rsid w:val="000A2BC7"/>
    <w:rsid w:val="000A3373"/>
    <w:rsid w:val="000A35C2"/>
    <w:rsid w:val="000A381A"/>
    <w:rsid w:val="000A4767"/>
    <w:rsid w:val="000A4846"/>
    <w:rsid w:val="000A6AE3"/>
    <w:rsid w:val="000A6B4B"/>
    <w:rsid w:val="000A6F2D"/>
    <w:rsid w:val="000B06D3"/>
    <w:rsid w:val="000B12DA"/>
    <w:rsid w:val="000B180F"/>
    <w:rsid w:val="000B222C"/>
    <w:rsid w:val="000B2390"/>
    <w:rsid w:val="000B26ED"/>
    <w:rsid w:val="000B27E2"/>
    <w:rsid w:val="000B2B4C"/>
    <w:rsid w:val="000B305B"/>
    <w:rsid w:val="000B3105"/>
    <w:rsid w:val="000B43E1"/>
    <w:rsid w:val="000B495D"/>
    <w:rsid w:val="000B69B3"/>
    <w:rsid w:val="000B6D04"/>
    <w:rsid w:val="000B6F4A"/>
    <w:rsid w:val="000C03A8"/>
    <w:rsid w:val="000C0E2C"/>
    <w:rsid w:val="000C17B9"/>
    <w:rsid w:val="000C19BE"/>
    <w:rsid w:val="000C1A26"/>
    <w:rsid w:val="000C1E94"/>
    <w:rsid w:val="000C209C"/>
    <w:rsid w:val="000C3290"/>
    <w:rsid w:val="000C3AFF"/>
    <w:rsid w:val="000C3B53"/>
    <w:rsid w:val="000C3CF6"/>
    <w:rsid w:val="000C3D41"/>
    <w:rsid w:val="000C40D1"/>
    <w:rsid w:val="000C424A"/>
    <w:rsid w:val="000C432A"/>
    <w:rsid w:val="000C4740"/>
    <w:rsid w:val="000C4B11"/>
    <w:rsid w:val="000C55E3"/>
    <w:rsid w:val="000C5795"/>
    <w:rsid w:val="000C62C0"/>
    <w:rsid w:val="000C6EDD"/>
    <w:rsid w:val="000C70AE"/>
    <w:rsid w:val="000C719A"/>
    <w:rsid w:val="000C7926"/>
    <w:rsid w:val="000C7C68"/>
    <w:rsid w:val="000D090D"/>
    <w:rsid w:val="000D0C2F"/>
    <w:rsid w:val="000D0F35"/>
    <w:rsid w:val="000D1B6C"/>
    <w:rsid w:val="000D1E4F"/>
    <w:rsid w:val="000D2D85"/>
    <w:rsid w:val="000D34F7"/>
    <w:rsid w:val="000D3BD9"/>
    <w:rsid w:val="000D3DF5"/>
    <w:rsid w:val="000D3FA3"/>
    <w:rsid w:val="000D4195"/>
    <w:rsid w:val="000D5CE3"/>
    <w:rsid w:val="000D633A"/>
    <w:rsid w:val="000D77E3"/>
    <w:rsid w:val="000D78EF"/>
    <w:rsid w:val="000E1521"/>
    <w:rsid w:val="000E2477"/>
    <w:rsid w:val="000E35B4"/>
    <w:rsid w:val="000E37C6"/>
    <w:rsid w:val="000E3FA0"/>
    <w:rsid w:val="000E5993"/>
    <w:rsid w:val="000E657C"/>
    <w:rsid w:val="000E7285"/>
    <w:rsid w:val="000E765F"/>
    <w:rsid w:val="000E7922"/>
    <w:rsid w:val="000E7E6E"/>
    <w:rsid w:val="000F0338"/>
    <w:rsid w:val="000F124B"/>
    <w:rsid w:val="000F26E2"/>
    <w:rsid w:val="000F2BC9"/>
    <w:rsid w:val="000F2D5C"/>
    <w:rsid w:val="000F3873"/>
    <w:rsid w:val="000F44A1"/>
    <w:rsid w:val="000F493D"/>
    <w:rsid w:val="000F53DC"/>
    <w:rsid w:val="000F617F"/>
    <w:rsid w:val="000F66DD"/>
    <w:rsid w:val="000F6E5F"/>
    <w:rsid w:val="000F7DA3"/>
    <w:rsid w:val="000F7E83"/>
    <w:rsid w:val="00101FDA"/>
    <w:rsid w:val="00102B3F"/>
    <w:rsid w:val="001030BD"/>
    <w:rsid w:val="00103D06"/>
    <w:rsid w:val="00104478"/>
    <w:rsid w:val="001045DB"/>
    <w:rsid w:val="0010462B"/>
    <w:rsid w:val="00104A93"/>
    <w:rsid w:val="00104D4A"/>
    <w:rsid w:val="00104E95"/>
    <w:rsid w:val="00104EAF"/>
    <w:rsid w:val="00104F6D"/>
    <w:rsid w:val="001052EF"/>
    <w:rsid w:val="001053E4"/>
    <w:rsid w:val="001054C5"/>
    <w:rsid w:val="00105CDF"/>
    <w:rsid w:val="001063B8"/>
    <w:rsid w:val="00106C60"/>
    <w:rsid w:val="00106CA6"/>
    <w:rsid w:val="00107A39"/>
    <w:rsid w:val="00107E37"/>
    <w:rsid w:val="001104C6"/>
    <w:rsid w:val="0011111D"/>
    <w:rsid w:val="00111246"/>
    <w:rsid w:val="0011129B"/>
    <w:rsid w:val="00111500"/>
    <w:rsid w:val="00111677"/>
    <w:rsid w:val="00111F2B"/>
    <w:rsid w:val="001122A2"/>
    <w:rsid w:val="001123C0"/>
    <w:rsid w:val="001124FA"/>
    <w:rsid w:val="00113457"/>
    <w:rsid w:val="001135E8"/>
    <w:rsid w:val="00115697"/>
    <w:rsid w:val="00115AC0"/>
    <w:rsid w:val="00115CC1"/>
    <w:rsid w:val="0011641E"/>
    <w:rsid w:val="00117F98"/>
    <w:rsid w:val="001200D7"/>
    <w:rsid w:val="00120AF9"/>
    <w:rsid w:val="00120DBC"/>
    <w:rsid w:val="00121281"/>
    <w:rsid w:val="001215C4"/>
    <w:rsid w:val="00121A2C"/>
    <w:rsid w:val="00121FB3"/>
    <w:rsid w:val="00122852"/>
    <w:rsid w:val="00123458"/>
    <w:rsid w:val="0012557B"/>
    <w:rsid w:val="00125F55"/>
    <w:rsid w:val="0012698E"/>
    <w:rsid w:val="0012733B"/>
    <w:rsid w:val="00127927"/>
    <w:rsid w:val="00127F3C"/>
    <w:rsid w:val="0013009F"/>
    <w:rsid w:val="0013170A"/>
    <w:rsid w:val="00131C25"/>
    <w:rsid w:val="0013218E"/>
    <w:rsid w:val="00132567"/>
    <w:rsid w:val="0013273C"/>
    <w:rsid w:val="00132A74"/>
    <w:rsid w:val="00132C79"/>
    <w:rsid w:val="00132E9C"/>
    <w:rsid w:val="0013447D"/>
    <w:rsid w:val="00135D5F"/>
    <w:rsid w:val="00137CDB"/>
    <w:rsid w:val="00137EB8"/>
    <w:rsid w:val="001406DF"/>
    <w:rsid w:val="00142411"/>
    <w:rsid w:val="00143055"/>
    <w:rsid w:val="00143202"/>
    <w:rsid w:val="00143908"/>
    <w:rsid w:val="00143ADC"/>
    <w:rsid w:val="00143B25"/>
    <w:rsid w:val="00143B5D"/>
    <w:rsid w:val="00144192"/>
    <w:rsid w:val="00144EC4"/>
    <w:rsid w:val="001463DD"/>
    <w:rsid w:val="00147C8C"/>
    <w:rsid w:val="00147DBE"/>
    <w:rsid w:val="00147EDE"/>
    <w:rsid w:val="00150EC0"/>
    <w:rsid w:val="00151184"/>
    <w:rsid w:val="0015187A"/>
    <w:rsid w:val="00151E40"/>
    <w:rsid w:val="00152A7A"/>
    <w:rsid w:val="001533BC"/>
    <w:rsid w:val="00153FE0"/>
    <w:rsid w:val="001547A0"/>
    <w:rsid w:val="00154E1F"/>
    <w:rsid w:val="0015563D"/>
    <w:rsid w:val="0015583B"/>
    <w:rsid w:val="00155A05"/>
    <w:rsid w:val="00156384"/>
    <w:rsid w:val="001564F5"/>
    <w:rsid w:val="00156D3A"/>
    <w:rsid w:val="00160A43"/>
    <w:rsid w:val="001615D0"/>
    <w:rsid w:val="0016204E"/>
    <w:rsid w:val="00163810"/>
    <w:rsid w:val="00164E66"/>
    <w:rsid w:val="0016524E"/>
    <w:rsid w:val="001655AB"/>
    <w:rsid w:val="00165726"/>
    <w:rsid w:val="00166008"/>
    <w:rsid w:val="001660EC"/>
    <w:rsid w:val="001668B6"/>
    <w:rsid w:val="001676B3"/>
    <w:rsid w:val="001705D1"/>
    <w:rsid w:val="00170692"/>
    <w:rsid w:val="00170CE3"/>
    <w:rsid w:val="00171900"/>
    <w:rsid w:val="00171CD8"/>
    <w:rsid w:val="00173864"/>
    <w:rsid w:val="00174054"/>
    <w:rsid w:val="001749F6"/>
    <w:rsid w:val="00174EC3"/>
    <w:rsid w:val="001773D3"/>
    <w:rsid w:val="00177EB3"/>
    <w:rsid w:val="00180720"/>
    <w:rsid w:val="001808B6"/>
    <w:rsid w:val="00180C19"/>
    <w:rsid w:val="00180D89"/>
    <w:rsid w:val="001811F4"/>
    <w:rsid w:val="00181311"/>
    <w:rsid w:val="00183532"/>
    <w:rsid w:val="00183FCA"/>
    <w:rsid w:val="001845C3"/>
    <w:rsid w:val="00185308"/>
    <w:rsid w:val="00185C24"/>
    <w:rsid w:val="00185C77"/>
    <w:rsid w:val="0018662E"/>
    <w:rsid w:val="00187500"/>
    <w:rsid w:val="00190DDD"/>
    <w:rsid w:val="0019129D"/>
    <w:rsid w:val="00191702"/>
    <w:rsid w:val="00191A72"/>
    <w:rsid w:val="00192669"/>
    <w:rsid w:val="00192CE4"/>
    <w:rsid w:val="00193430"/>
    <w:rsid w:val="00193717"/>
    <w:rsid w:val="00193794"/>
    <w:rsid w:val="00194610"/>
    <w:rsid w:val="00195872"/>
    <w:rsid w:val="00195A21"/>
    <w:rsid w:val="0019625A"/>
    <w:rsid w:val="0019699C"/>
    <w:rsid w:val="00196A6D"/>
    <w:rsid w:val="00196E9A"/>
    <w:rsid w:val="001A04D4"/>
    <w:rsid w:val="001A0A4E"/>
    <w:rsid w:val="001A0C0B"/>
    <w:rsid w:val="001A147E"/>
    <w:rsid w:val="001A1B8D"/>
    <w:rsid w:val="001A407C"/>
    <w:rsid w:val="001A4616"/>
    <w:rsid w:val="001A4734"/>
    <w:rsid w:val="001A4DF4"/>
    <w:rsid w:val="001A5549"/>
    <w:rsid w:val="001A58E6"/>
    <w:rsid w:val="001A5990"/>
    <w:rsid w:val="001A6623"/>
    <w:rsid w:val="001A6EF3"/>
    <w:rsid w:val="001A7BFC"/>
    <w:rsid w:val="001A7CB0"/>
    <w:rsid w:val="001A7CF9"/>
    <w:rsid w:val="001B01AA"/>
    <w:rsid w:val="001B04BC"/>
    <w:rsid w:val="001B06BF"/>
    <w:rsid w:val="001B15EB"/>
    <w:rsid w:val="001B1EEE"/>
    <w:rsid w:val="001B229C"/>
    <w:rsid w:val="001B2502"/>
    <w:rsid w:val="001B3D8F"/>
    <w:rsid w:val="001B4082"/>
    <w:rsid w:val="001B4C5F"/>
    <w:rsid w:val="001B4E2D"/>
    <w:rsid w:val="001B5133"/>
    <w:rsid w:val="001B702B"/>
    <w:rsid w:val="001B78D5"/>
    <w:rsid w:val="001B7DFD"/>
    <w:rsid w:val="001C0369"/>
    <w:rsid w:val="001C046B"/>
    <w:rsid w:val="001C0EA0"/>
    <w:rsid w:val="001C1921"/>
    <w:rsid w:val="001C21D2"/>
    <w:rsid w:val="001C252A"/>
    <w:rsid w:val="001C271D"/>
    <w:rsid w:val="001C2DA3"/>
    <w:rsid w:val="001C307D"/>
    <w:rsid w:val="001C3C71"/>
    <w:rsid w:val="001C46D2"/>
    <w:rsid w:val="001C4BE5"/>
    <w:rsid w:val="001C6ACE"/>
    <w:rsid w:val="001C6B52"/>
    <w:rsid w:val="001C793B"/>
    <w:rsid w:val="001D04C5"/>
    <w:rsid w:val="001D0EAE"/>
    <w:rsid w:val="001D214C"/>
    <w:rsid w:val="001D2204"/>
    <w:rsid w:val="001D2806"/>
    <w:rsid w:val="001D2C76"/>
    <w:rsid w:val="001D3191"/>
    <w:rsid w:val="001D32BE"/>
    <w:rsid w:val="001D3457"/>
    <w:rsid w:val="001D3A04"/>
    <w:rsid w:val="001D457C"/>
    <w:rsid w:val="001D4EDB"/>
    <w:rsid w:val="001D51BA"/>
    <w:rsid w:val="001D5AEE"/>
    <w:rsid w:val="001D7196"/>
    <w:rsid w:val="001D764F"/>
    <w:rsid w:val="001D798A"/>
    <w:rsid w:val="001D7B6F"/>
    <w:rsid w:val="001E098C"/>
    <w:rsid w:val="001E0A25"/>
    <w:rsid w:val="001E0A76"/>
    <w:rsid w:val="001E10BE"/>
    <w:rsid w:val="001E266B"/>
    <w:rsid w:val="001E2B65"/>
    <w:rsid w:val="001E2D54"/>
    <w:rsid w:val="001E2EB1"/>
    <w:rsid w:val="001E3655"/>
    <w:rsid w:val="001E3E72"/>
    <w:rsid w:val="001E6832"/>
    <w:rsid w:val="001E6C30"/>
    <w:rsid w:val="001E79F3"/>
    <w:rsid w:val="001F027D"/>
    <w:rsid w:val="001F2658"/>
    <w:rsid w:val="001F2E3F"/>
    <w:rsid w:val="001F3231"/>
    <w:rsid w:val="001F366D"/>
    <w:rsid w:val="001F3B9B"/>
    <w:rsid w:val="001F3DBC"/>
    <w:rsid w:val="001F3F95"/>
    <w:rsid w:val="001F5870"/>
    <w:rsid w:val="001F5CFF"/>
    <w:rsid w:val="001F61C7"/>
    <w:rsid w:val="001F6D28"/>
    <w:rsid w:val="001F6E40"/>
    <w:rsid w:val="001F7EEA"/>
    <w:rsid w:val="001F7F4E"/>
    <w:rsid w:val="0020000D"/>
    <w:rsid w:val="0020076D"/>
    <w:rsid w:val="00200CB1"/>
    <w:rsid w:val="00201B95"/>
    <w:rsid w:val="00202194"/>
    <w:rsid w:val="002024EE"/>
    <w:rsid w:val="00202979"/>
    <w:rsid w:val="00203524"/>
    <w:rsid w:val="00204038"/>
    <w:rsid w:val="0020419D"/>
    <w:rsid w:val="002051E2"/>
    <w:rsid w:val="00206AE4"/>
    <w:rsid w:val="002073C4"/>
    <w:rsid w:val="00210D28"/>
    <w:rsid w:val="00210DD8"/>
    <w:rsid w:val="002113A3"/>
    <w:rsid w:val="00211488"/>
    <w:rsid w:val="00212EBE"/>
    <w:rsid w:val="002139AC"/>
    <w:rsid w:val="00213BB3"/>
    <w:rsid w:val="00214223"/>
    <w:rsid w:val="00214AA4"/>
    <w:rsid w:val="00214C96"/>
    <w:rsid w:val="00215FF7"/>
    <w:rsid w:val="0022024B"/>
    <w:rsid w:val="00220ECD"/>
    <w:rsid w:val="00221D0F"/>
    <w:rsid w:val="00222191"/>
    <w:rsid w:val="002223C9"/>
    <w:rsid w:val="00222514"/>
    <w:rsid w:val="002225C5"/>
    <w:rsid w:val="002236ED"/>
    <w:rsid w:val="00223C0B"/>
    <w:rsid w:val="0022432E"/>
    <w:rsid w:val="002248A3"/>
    <w:rsid w:val="00224C9C"/>
    <w:rsid w:val="00224D12"/>
    <w:rsid w:val="002268D9"/>
    <w:rsid w:val="0022723F"/>
    <w:rsid w:val="00227B77"/>
    <w:rsid w:val="0023001E"/>
    <w:rsid w:val="002303CE"/>
    <w:rsid w:val="00231116"/>
    <w:rsid w:val="002321F6"/>
    <w:rsid w:val="00232B2F"/>
    <w:rsid w:val="0023346F"/>
    <w:rsid w:val="0023372E"/>
    <w:rsid w:val="00233A39"/>
    <w:rsid w:val="00234135"/>
    <w:rsid w:val="002345C4"/>
    <w:rsid w:val="0023530B"/>
    <w:rsid w:val="0023590D"/>
    <w:rsid w:val="00235978"/>
    <w:rsid w:val="00235BB5"/>
    <w:rsid w:val="00235CF8"/>
    <w:rsid w:val="0023637B"/>
    <w:rsid w:val="002370E9"/>
    <w:rsid w:val="002376B8"/>
    <w:rsid w:val="002379CD"/>
    <w:rsid w:val="00237B1A"/>
    <w:rsid w:val="0024072B"/>
    <w:rsid w:val="00240BA7"/>
    <w:rsid w:val="00241112"/>
    <w:rsid w:val="00241438"/>
    <w:rsid w:val="002421AE"/>
    <w:rsid w:val="002434D2"/>
    <w:rsid w:val="00243A45"/>
    <w:rsid w:val="00246013"/>
    <w:rsid w:val="002460F1"/>
    <w:rsid w:val="00246EA9"/>
    <w:rsid w:val="00250C77"/>
    <w:rsid w:val="00250CCD"/>
    <w:rsid w:val="00250CCF"/>
    <w:rsid w:val="00250F2A"/>
    <w:rsid w:val="00251343"/>
    <w:rsid w:val="002518FE"/>
    <w:rsid w:val="00251AD1"/>
    <w:rsid w:val="00252896"/>
    <w:rsid w:val="00252DCF"/>
    <w:rsid w:val="00253EB3"/>
    <w:rsid w:val="0025457C"/>
    <w:rsid w:val="00254BA7"/>
    <w:rsid w:val="00254C21"/>
    <w:rsid w:val="002552A1"/>
    <w:rsid w:val="002553B6"/>
    <w:rsid w:val="00255720"/>
    <w:rsid w:val="00255E93"/>
    <w:rsid w:val="00255ED9"/>
    <w:rsid w:val="0025633C"/>
    <w:rsid w:val="00257A87"/>
    <w:rsid w:val="002600B5"/>
    <w:rsid w:val="00260281"/>
    <w:rsid w:val="002611B3"/>
    <w:rsid w:val="00261454"/>
    <w:rsid w:val="00261509"/>
    <w:rsid w:val="00261BA8"/>
    <w:rsid w:val="00262644"/>
    <w:rsid w:val="002627E3"/>
    <w:rsid w:val="002629C8"/>
    <w:rsid w:val="002632AA"/>
    <w:rsid w:val="002641A1"/>
    <w:rsid w:val="002642BC"/>
    <w:rsid w:val="00264DF5"/>
    <w:rsid w:val="00265326"/>
    <w:rsid w:val="00265329"/>
    <w:rsid w:val="00265868"/>
    <w:rsid w:val="002667DF"/>
    <w:rsid w:val="002667F9"/>
    <w:rsid w:val="0026689E"/>
    <w:rsid w:val="00270EBC"/>
    <w:rsid w:val="00271091"/>
    <w:rsid w:val="00272330"/>
    <w:rsid w:val="002725EB"/>
    <w:rsid w:val="00273D59"/>
    <w:rsid w:val="002741DD"/>
    <w:rsid w:val="00274847"/>
    <w:rsid w:val="00274D33"/>
    <w:rsid w:val="002753C3"/>
    <w:rsid w:val="00276421"/>
    <w:rsid w:val="002766FF"/>
    <w:rsid w:val="002775BB"/>
    <w:rsid w:val="00280437"/>
    <w:rsid w:val="00280C0D"/>
    <w:rsid w:val="00281714"/>
    <w:rsid w:val="00281D42"/>
    <w:rsid w:val="00281ED7"/>
    <w:rsid w:val="00282087"/>
    <w:rsid w:val="00282972"/>
    <w:rsid w:val="00282BC8"/>
    <w:rsid w:val="00282E54"/>
    <w:rsid w:val="002831DD"/>
    <w:rsid w:val="00283B0F"/>
    <w:rsid w:val="00283CF0"/>
    <w:rsid w:val="002852E6"/>
    <w:rsid w:val="002856BF"/>
    <w:rsid w:val="00285A09"/>
    <w:rsid w:val="002861D8"/>
    <w:rsid w:val="00287172"/>
    <w:rsid w:val="002874E2"/>
    <w:rsid w:val="0029116C"/>
    <w:rsid w:val="002914AD"/>
    <w:rsid w:val="002917D1"/>
    <w:rsid w:val="00291C98"/>
    <w:rsid w:val="0029320C"/>
    <w:rsid w:val="00293533"/>
    <w:rsid w:val="00293CAA"/>
    <w:rsid w:val="00293EB9"/>
    <w:rsid w:val="00294243"/>
    <w:rsid w:val="002942D7"/>
    <w:rsid w:val="00294C2C"/>
    <w:rsid w:val="0029515B"/>
    <w:rsid w:val="00295983"/>
    <w:rsid w:val="00296996"/>
    <w:rsid w:val="002970C9"/>
    <w:rsid w:val="00297AA7"/>
    <w:rsid w:val="00297F80"/>
    <w:rsid w:val="002A0818"/>
    <w:rsid w:val="002A1B8E"/>
    <w:rsid w:val="002A2EA5"/>
    <w:rsid w:val="002A3AB1"/>
    <w:rsid w:val="002A67A9"/>
    <w:rsid w:val="002A6F53"/>
    <w:rsid w:val="002B0099"/>
    <w:rsid w:val="002B00CD"/>
    <w:rsid w:val="002B0A04"/>
    <w:rsid w:val="002B1041"/>
    <w:rsid w:val="002B266A"/>
    <w:rsid w:val="002B3AA2"/>
    <w:rsid w:val="002B5822"/>
    <w:rsid w:val="002B5CC7"/>
    <w:rsid w:val="002B5EA6"/>
    <w:rsid w:val="002B6208"/>
    <w:rsid w:val="002B6752"/>
    <w:rsid w:val="002B6D10"/>
    <w:rsid w:val="002B7129"/>
    <w:rsid w:val="002B7A6E"/>
    <w:rsid w:val="002C0064"/>
    <w:rsid w:val="002C037C"/>
    <w:rsid w:val="002C0F2A"/>
    <w:rsid w:val="002C13EF"/>
    <w:rsid w:val="002C1F84"/>
    <w:rsid w:val="002C29A5"/>
    <w:rsid w:val="002C2E2F"/>
    <w:rsid w:val="002C44E5"/>
    <w:rsid w:val="002C452B"/>
    <w:rsid w:val="002C71F7"/>
    <w:rsid w:val="002C723C"/>
    <w:rsid w:val="002D08A9"/>
    <w:rsid w:val="002D0A22"/>
    <w:rsid w:val="002D1130"/>
    <w:rsid w:val="002D1BD9"/>
    <w:rsid w:val="002D1C3D"/>
    <w:rsid w:val="002D1F21"/>
    <w:rsid w:val="002D3AF7"/>
    <w:rsid w:val="002D3D93"/>
    <w:rsid w:val="002D3DC0"/>
    <w:rsid w:val="002D400C"/>
    <w:rsid w:val="002D41BF"/>
    <w:rsid w:val="002D4C63"/>
    <w:rsid w:val="002D4EFA"/>
    <w:rsid w:val="002D633D"/>
    <w:rsid w:val="002D6A19"/>
    <w:rsid w:val="002E1621"/>
    <w:rsid w:val="002E2011"/>
    <w:rsid w:val="002E2628"/>
    <w:rsid w:val="002E286B"/>
    <w:rsid w:val="002E29AF"/>
    <w:rsid w:val="002E336B"/>
    <w:rsid w:val="002E3B2D"/>
    <w:rsid w:val="002E499B"/>
    <w:rsid w:val="002E4A2D"/>
    <w:rsid w:val="002E4C3E"/>
    <w:rsid w:val="002E551E"/>
    <w:rsid w:val="002E592E"/>
    <w:rsid w:val="002E6015"/>
    <w:rsid w:val="002E6786"/>
    <w:rsid w:val="002E68C5"/>
    <w:rsid w:val="002E6B6D"/>
    <w:rsid w:val="002E6F48"/>
    <w:rsid w:val="002E70C8"/>
    <w:rsid w:val="002E7302"/>
    <w:rsid w:val="002E7670"/>
    <w:rsid w:val="002E7890"/>
    <w:rsid w:val="002E7E14"/>
    <w:rsid w:val="002F032A"/>
    <w:rsid w:val="002F126A"/>
    <w:rsid w:val="002F1C70"/>
    <w:rsid w:val="002F1E75"/>
    <w:rsid w:val="002F2FC5"/>
    <w:rsid w:val="002F303D"/>
    <w:rsid w:val="002F34CE"/>
    <w:rsid w:val="002F3726"/>
    <w:rsid w:val="002F4046"/>
    <w:rsid w:val="002F4868"/>
    <w:rsid w:val="002F4BA7"/>
    <w:rsid w:val="002F4EC2"/>
    <w:rsid w:val="002F53C2"/>
    <w:rsid w:val="002F568B"/>
    <w:rsid w:val="002F5720"/>
    <w:rsid w:val="002F58DB"/>
    <w:rsid w:val="002F6DDA"/>
    <w:rsid w:val="002F6F68"/>
    <w:rsid w:val="002F700C"/>
    <w:rsid w:val="002F7C14"/>
    <w:rsid w:val="00300D99"/>
    <w:rsid w:val="00301B0A"/>
    <w:rsid w:val="00302076"/>
    <w:rsid w:val="00302A25"/>
    <w:rsid w:val="0030317E"/>
    <w:rsid w:val="003031A6"/>
    <w:rsid w:val="003038B5"/>
    <w:rsid w:val="00303DC0"/>
    <w:rsid w:val="00303E3E"/>
    <w:rsid w:val="003040DB"/>
    <w:rsid w:val="00304C0B"/>
    <w:rsid w:val="00304EE2"/>
    <w:rsid w:val="00304F70"/>
    <w:rsid w:val="00305B3D"/>
    <w:rsid w:val="0030609F"/>
    <w:rsid w:val="003062DD"/>
    <w:rsid w:val="003068F4"/>
    <w:rsid w:val="00307039"/>
    <w:rsid w:val="003077E6"/>
    <w:rsid w:val="0031068F"/>
    <w:rsid w:val="00311B34"/>
    <w:rsid w:val="00311D73"/>
    <w:rsid w:val="00311E6F"/>
    <w:rsid w:val="00312112"/>
    <w:rsid w:val="0031214B"/>
    <w:rsid w:val="00312436"/>
    <w:rsid w:val="00312654"/>
    <w:rsid w:val="00314541"/>
    <w:rsid w:val="00314D84"/>
    <w:rsid w:val="00316147"/>
    <w:rsid w:val="003162F1"/>
    <w:rsid w:val="003163FF"/>
    <w:rsid w:val="003164E2"/>
    <w:rsid w:val="00316965"/>
    <w:rsid w:val="00316ED7"/>
    <w:rsid w:val="00317C86"/>
    <w:rsid w:val="00317DC5"/>
    <w:rsid w:val="003200EA"/>
    <w:rsid w:val="0032099F"/>
    <w:rsid w:val="00321AE8"/>
    <w:rsid w:val="0032201A"/>
    <w:rsid w:val="0032223F"/>
    <w:rsid w:val="00322921"/>
    <w:rsid w:val="00323982"/>
    <w:rsid w:val="003239D4"/>
    <w:rsid w:val="00323C65"/>
    <w:rsid w:val="00323D04"/>
    <w:rsid w:val="003254FE"/>
    <w:rsid w:val="00325F18"/>
    <w:rsid w:val="00326533"/>
    <w:rsid w:val="00327052"/>
    <w:rsid w:val="00327F3D"/>
    <w:rsid w:val="003302DE"/>
    <w:rsid w:val="003304E1"/>
    <w:rsid w:val="00331FB8"/>
    <w:rsid w:val="00331FFB"/>
    <w:rsid w:val="003325D8"/>
    <w:rsid w:val="0033319F"/>
    <w:rsid w:val="003337D3"/>
    <w:rsid w:val="003352BB"/>
    <w:rsid w:val="0033551C"/>
    <w:rsid w:val="0033734D"/>
    <w:rsid w:val="003378E9"/>
    <w:rsid w:val="0034083D"/>
    <w:rsid w:val="00340B1E"/>
    <w:rsid w:val="00341031"/>
    <w:rsid w:val="0034176C"/>
    <w:rsid w:val="00342182"/>
    <w:rsid w:val="00344022"/>
    <w:rsid w:val="00344CDB"/>
    <w:rsid w:val="0034548B"/>
    <w:rsid w:val="00345628"/>
    <w:rsid w:val="00345B1A"/>
    <w:rsid w:val="00346A7C"/>
    <w:rsid w:val="00346E6F"/>
    <w:rsid w:val="003471C5"/>
    <w:rsid w:val="00347273"/>
    <w:rsid w:val="00347659"/>
    <w:rsid w:val="00347F8F"/>
    <w:rsid w:val="00350BCD"/>
    <w:rsid w:val="00351AC6"/>
    <w:rsid w:val="00351B44"/>
    <w:rsid w:val="00351D7C"/>
    <w:rsid w:val="00352010"/>
    <w:rsid w:val="003529B8"/>
    <w:rsid w:val="00352A33"/>
    <w:rsid w:val="003538A3"/>
    <w:rsid w:val="0035552A"/>
    <w:rsid w:val="00355F05"/>
    <w:rsid w:val="003560B9"/>
    <w:rsid w:val="003562AC"/>
    <w:rsid w:val="00356587"/>
    <w:rsid w:val="00356951"/>
    <w:rsid w:val="00357299"/>
    <w:rsid w:val="00357982"/>
    <w:rsid w:val="00360829"/>
    <w:rsid w:val="0036096F"/>
    <w:rsid w:val="00360DC6"/>
    <w:rsid w:val="00360E60"/>
    <w:rsid w:val="00361493"/>
    <w:rsid w:val="003625AB"/>
    <w:rsid w:val="00362D54"/>
    <w:rsid w:val="00362DA2"/>
    <w:rsid w:val="00362FD3"/>
    <w:rsid w:val="003638A7"/>
    <w:rsid w:val="003638A8"/>
    <w:rsid w:val="00363DC1"/>
    <w:rsid w:val="00364B38"/>
    <w:rsid w:val="00364E88"/>
    <w:rsid w:val="00366152"/>
    <w:rsid w:val="00366959"/>
    <w:rsid w:val="00367172"/>
    <w:rsid w:val="003672D9"/>
    <w:rsid w:val="00367D56"/>
    <w:rsid w:val="0037067A"/>
    <w:rsid w:val="00371822"/>
    <w:rsid w:val="00371A75"/>
    <w:rsid w:val="00371D98"/>
    <w:rsid w:val="003726BC"/>
    <w:rsid w:val="00375109"/>
    <w:rsid w:val="003753B9"/>
    <w:rsid w:val="00375CF3"/>
    <w:rsid w:val="003764AC"/>
    <w:rsid w:val="00376586"/>
    <w:rsid w:val="00376B63"/>
    <w:rsid w:val="0037707F"/>
    <w:rsid w:val="0037712B"/>
    <w:rsid w:val="00377BAB"/>
    <w:rsid w:val="00377CF4"/>
    <w:rsid w:val="00380A69"/>
    <w:rsid w:val="0038119F"/>
    <w:rsid w:val="00381C0C"/>
    <w:rsid w:val="00382016"/>
    <w:rsid w:val="0038303D"/>
    <w:rsid w:val="003851B8"/>
    <w:rsid w:val="00385659"/>
    <w:rsid w:val="00385770"/>
    <w:rsid w:val="00385DB0"/>
    <w:rsid w:val="00385FC0"/>
    <w:rsid w:val="00386B89"/>
    <w:rsid w:val="00387B3A"/>
    <w:rsid w:val="003905D1"/>
    <w:rsid w:val="00390C45"/>
    <w:rsid w:val="003922BE"/>
    <w:rsid w:val="00392B5D"/>
    <w:rsid w:val="00393344"/>
    <w:rsid w:val="003937EE"/>
    <w:rsid w:val="003938CD"/>
    <w:rsid w:val="00393ED0"/>
    <w:rsid w:val="003948F3"/>
    <w:rsid w:val="00394BD5"/>
    <w:rsid w:val="00394F7B"/>
    <w:rsid w:val="00394FBD"/>
    <w:rsid w:val="00395F35"/>
    <w:rsid w:val="003A1853"/>
    <w:rsid w:val="003A1F7D"/>
    <w:rsid w:val="003A2A96"/>
    <w:rsid w:val="003A37A7"/>
    <w:rsid w:val="003A4577"/>
    <w:rsid w:val="003A512C"/>
    <w:rsid w:val="003A556C"/>
    <w:rsid w:val="003A62FE"/>
    <w:rsid w:val="003A6F9C"/>
    <w:rsid w:val="003A6FD0"/>
    <w:rsid w:val="003A73D5"/>
    <w:rsid w:val="003A78BB"/>
    <w:rsid w:val="003A7B8F"/>
    <w:rsid w:val="003B08E3"/>
    <w:rsid w:val="003B1319"/>
    <w:rsid w:val="003B285C"/>
    <w:rsid w:val="003B409D"/>
    <w:rsid w:val="003B46AE"/>
    <w:rsid w:val="003B48EB"/>
    <w:rsid w:val="003B4E28"/>
    <w:rsid w:val="003B4F05"/>
    <w:rsid w:val="003B5034"/>
    <w:rsid w:val="003B5517"/>
    <w:rsid w:val="003B5B68"/>
    <w:rsid w:val="003B68B9"/>
    <w:rsid w:val="003B72FA"/>
    <w:rsid w:val="003C0325"/>
    <w:rsid w:val="003C08F7"/>
    <w:rsid w:val="003C1008"/>
    <w:rsid w:val="003C1236"/>
    <w:rsid w:val="003C2549"/>
    <w:rsid w:val="003C2B7B"/>
    <w:rsid w:val="003C2ECF"/>
    <w:rsid w:val="003C331A"/>
    <w:rsid w:val="003C3644"/>
    <w:rsid w:val="003C39FE"/>
    <w:rsid w:val="003C4279"/>
    <w:rsid w:val="003C4BFE"/>
    <w:rsid w:val="003C4FDC"/>
    <w:rsid w:val="003C5110"/>
    <w:rsid w:val="003C6DC6"/>
    <w:rsid w:val="003C73C6"/>
    <w:rsid w:val="003D0131"/>
    <w:rsid w:val="003D0D42"/>
    <w:rsid w:val="003D2C9A"/>
    <w:rsid w:val="003D2D33"/>
    <w:rsid w:val="003D3AEC"/>
    <w:rsid w:val="003D485F"/>
    <w:rsid w:val="003D5577"/>
    <w:rsid w:val="003D5EBC"/>
    <w:rsid w:val="003D6499"/>
    <w:rsid w:val="003D6AEB"/>
    <w:rsid w:val="003D6EE9"/>
    <w:rsid w:val="003D73A8"/>
    <w:rsid w:val="003D7580"/>
    <w:rsid w:val="003E0682"/>
    <w:rsid w:val="003E0766"/>
    <w:rsid w:val="003E08FD"/>
    <w:rsid w:val="003E0A2A"/>
    <w:rsid w:val="003E1D09"/>
    <w:rsid w:val="003E1EFF"/>
    <w:rsid w:val="003E2BA2"/>
    <w:rsid w:val="003E30BE"/>
    <w:rsid w:val="003E31C8"/>
    <w:rsid w:val="003E3336"/>
    <w:rsid w:val="003E4B68"/>
    <w:rsid w:val="003E5C4A"/>
    <w:rsid w:val="003E5E65"/>
    <w:rsid w:val="003E6B5C"/>
    <w:rsid w:val="003E7001"/>
    <w:rsid w:val="003F1A3B"/>
    <w:rsid w:val="003F30E4"/>
    <w:rsid w:val="003F335A"/>
    <w:rsid w:val="003F3D00"/>
    <w:rsid w:val="003F3E7A"/>
    <w:rsid w:val="003F508F"/>
    <w:rsid w:val="003F5741"/>
    <w:rsid w:val="003F5970"/>
    <w:rsid w:val="003F5B79"/>
    <w:rsid w:val="003F5F98"/>
    <w:rsid w:val="003F6E28"/>
    <w:rsid w:val="003F77EF"/>
    <w:rsid w:val="004003C3"/>
    <w:rsid w:val="004018C5"/>
    <w:rsid w:val="00402980"/>
    <w:rsid w:val="00403121"/>
    <w:rsid w:val="00403D71"/>
    <w:rsid w:val="0040432C"/>
    <w:rsid w:val="004044F7"/>
    <w:rsid w:val="00404652"/>
    <w:rsid w:val="004046F8"/>
    <w:rsid w:val="00404801"/>
    <w:rsid w:val="00404E32"/>
    <w:rsid w:val="004053DC"/>
    <w:rsid w:val="004057EA"/>
    <w:rsid w:val="0040754D"/>
    <w:rsid w:val="004075BE"/>
    <w:rsid w:val="00407895"/>
    <w:rsid w:val="00407A4C"/>
    <w:rsid w:val="00411A83"/>
    <w:rsid w:val="00412D98"/>
    <w:rsid w:val="00413203"/>
    <w:rsid w:val="004134C3"/>
    <w:rsid w:val="0041393C"/>
    <w:rsid w:val="00413A52"/>
    <w:rsid w:val="00413E8C"/>
    <w:rsid w:val="004157D7"/>
    <w:rsid w:val="00416BDD"/>
    <w:rsid w:val="0041795A"/>
    <w:rsid w:val="004203FE"/>
    <w:rsid w:val="004223BB"/>
    <w:rsid w:val="00423B65"/>
    <w:rsid w:val="00423CDE"/>
    <w:rsid w:val="00424E5D"/>
    <w:rsid w:val="00424F3E"/>
    <w:rsid w:val="00425B87"/>
    <w:rsid w:val="0042634A"/>
    <w:rsid w:val="00426CA8"/>
    <w:rsid w:val="00427129"/>
    <w:rsid w:val="00427733"/>
    <w:rsid w:val="00427A87"/>
    <w:rsid w:val="00427D2A"/>
    <w:rsid w:val="00427E2C"/>
    <w:rsid w:val="00427F9C"/>
    <w:rsid w:val="0043184C"/>
    <w:rsid w:val="00432875"/>
    <w:rsid w:val="00433BB2"/>
    <w:rsid w:val="00433E5A"/>
    <w:rsid w:val="00434562"/>
    <w:rsid w:val="00434AD2"/>
    <w:rsid w:val="00435936"/>
    <w:rsid w:val="00435ABC"/>
    <w:rsid w:val="00436597"/>
    <w:rsid w:val="0043789F"/>
    <w:rsid w:val="0044017F"/>
    <w:rsid w:val="0044132D"/>
    <w:rsid w:val="00442231"/>
    <w:rsid w:val="004427B7"/>
    <w:rsid w:val="00442C9B"/>
    <w:rsid w:val="004439A4"/>
    <w:rsid w:val="0044446E"/>
    <w:rsid w:val="00444B38"/>
    <w:rsid w:val="004453BA"/>
    <w:rsid w:val="004456DC"/>
    <w:rsid w:val="00445B4E"/>
    <w:rsid w:val="00446931"/>
    <w:rsid w:val="0044734F"/>
    <w:rsid w:val="00447A22"/>
    <w:rsid w:val="00450A2D"/>
    <w:rsid w:val="00450E4E"/>
    <w:rsid w:val="0045238A"/>
    <w:rsid w:val="004523AB"/>
    <w:rsid w:val="00452443"/>
    <w:rsid w:val="00454593"/>
    <w:rsid w:val="00454A0B"/>
    <w:rsid w:val="00455978"/>
    <w:rsid w:val="00455A6A"/>
    <w:rsid w:val="004567E8"/>
    <w:rsid w:val="00456CBB"/>
    <w:rsid w:val="00460639"/>
    <w:rsid w:val="00460AAA"/>
    <w:rsid w:val="00461034"/>
    <w:rsid w:val="004612A5"/>
    <w:rsid w:val="004614AE"/>
    <w:rsid w:val="0046177F"/>
    <w:rsid w:val="00461D40"/>
    <w:rsid w:val="00461D49"/>
    <w:rsid w:val="004625F8"/>
    <w:rsid w:val="00462935"/>
    <w:rsid w:val="0046352C"/>
    <w:rsid w:val="004652BE"/>
    <w:rsid w:val="004656B7"/>
    <w:rsid w:val="00465BC8"/>
    <w:rsid w:val="00466054"/>
    <w:rsid w:val="004665AF"/>
    <w:rsid w:val="00470C31"/>
    <w:rsid w:val="00470F6D"/>
    <w:rsid w:val="00470FFA"/>
    <w:rsid w:val="00472155"/>
    <w:rsid w:val="00472A6B"/>
    <w:rsid w:val="00473830"/>
    <w:rsid w:val="00473A32"/>
    <w:rsid w:val="00473D82"/>
    <w:rsid w:val="00473E3E"/>
    <w:rsid w:val="0047406D"/>
    <w:rsid w:val="00474289"/>
    <w:rsid w:val="00474657"/>
    <w:rsid w:val="00474CC2"/>
    <w:rsid w:val="00475492"/>
    <w:rsid w:val="0047597D"/>
    <w:rsid w:val="00476B28"/>
    <w:rsid w:val="004776B9"/>
    <w:rsid w:val="00477EC6"/>
    <w:rsid w:val="00480B18"/>
    <w:rsid w:val="0048165C"/>
    <w:rsid w:val="00482414"/>
    <w:rsid w:val="004829EC"/>
    <w:rsid w:val="00482BD3"/>
    <w:rsid w:val="0048364D"/>
    <w:rsid w:val="00485492"/>
    <w:rsid w:val="00485B42"/>
    <w:rsid w:val="00486F18"/>
    <w:rsid w:val="0048714F"/>
    <w:rsid w:val="0048761B"/>
    <w:rsid w:val="00487745"/>
    <w:rsid w:val="00487DE7"/>
    <w:rsid w:val="00490DDA"/>
    <w:rsid w:val="00491335"/>
    <w:rsid w:val="00493FE2"/>
    <w:rsid w:val="00493FFC"/>
    <w:rsid w:val="00494E4A"/>
    <w:rsid w:val="00495B49"/>
    <w:rsid w:val="004970E6"/>
    <w:rsid w:val="00497164"/>
    <w:rsid w:val="004977F2"/>
    <w:rsid w:val="00497FEF"/>
    <w:rsid w:val="004A0492"/>
    <w:rsid w:val="004A0633"/>
    <w:rsid w:val="004A094A"/>
    <w:rsid w:val="004A0E68"/>
    <w:rsid w:val="004A128F"/>
    <w:rsid w:val="004A14F1"/>
    <w:rsid w:val="004A1BA6"/>
    <w:rsid w:val="004A1DD2"/>
    <w:rsid w:val="004A55D5"/>
    <w:rsid w:val="004A5895"/>
    <w:rsid w:val="004A5971"/>
    <w:rsid w:val="004A5E4B"/>
    <w:rsid w:val="004A667B"/>
    <w:rsid w:val="004A68EB"/>
    <w:rsid w:val="004A7161"/>
    <w:rsid w:val="004A7A14"/>
    <w:rsid w:val="004B124E"/>
    <w:rsid w:val="004B126C"/>
    <w:rsid w:val="004B1678"/>
    <w:rsid w:val="004B19ED"/>
    <w:rsid w:val="004B214C"/>
    <w:rsid w:val="004B27C1"/>
    <w:rsid w:val="004B280B"/>
    <w:rsid w:val="004B4140"/>
    <w:rsid w:val="004B4499"/>
    <w:rsid w:val="004B492A"/>
    <w:rsid w:val="004B4D26"/>
    <w:rsid w:val="004B5212"/>
    <w:rsid w:val="004B6EE9"/>
    <w:rsid w:val="004B75A4"/>
    <w:rsid w:val="004B7C98"/>
    <w:rsid w:val="004C0918"/>
    <w:rsid w:val="004C09DD"/>
    <w:rsid w:val="004C23CF"/>
    <w:rsid w:val="004C2DC7"/>
    <w:rsid w:val="004C2F1D"/>
    <w:rsid w:val="004C337F"/>
    <w:rsid w:val="004C6ED2"/>
    <w:rsid w:val="004C7AC8"/>
    <w:rsid w:val="004D00D6"/>
    <w:rsid w:val="004D045E"/>
    <w:rsid w:val="004D1109"/>
    <w:rsid w:val="004D129C"/>
    <w:rsid w:val="004D12AB"/>
    <w:rsid w:val="004D1B35"/>
    <w:rsid w:val="004D2BBB"/>
    <w:rsid w:val="004D3395"/>
    <w:rsid w:val="004D351A"/>
    <w:rsid w:val="004D36BF"/>
    <w:rsid w:val="004D4109"/>
    <w:rsid w:val="004D412E"/>
    <w:rsid w:val="004D5207"/>
    <w:rsid w:val="004D62DD"/>
    <w:rsid w:val="004D63B2"/>
    <w:rsid w:val="004D6C95"/>
    <w:rsid w:val="004D6DFC"/>
    <w:rsid w:val="004D71EB"/>
    <w:rsid w:val="004D7F93"/>
    <w:rsid w:val="004E2070"/>
    <w:rsid w:val="004E429F"/>
    <w:rsid w:val="004E4A75"/>
    <w:rsid w:val="004E4FB9"/>
    <w:rsid w:val="004E6616"/>
    <w:rsid w:val="004E6781"/>
    <w:rsid w:val="004E6F09"/>
    <w:rsid w:val="004F04E9"/>
    <w:rsid w:val="004F05EB"/>
    <w:rsid w:val="004F06C4"/>
    <w:rsid w:val="004F2657"/>
    <w:rsid w:val="004F2B1E"/>
    <w:rsid w:val="004F2BC0"/>
    <w:rsid w:val="004F3855"/>
    <w:rsid w:val="004F3C52"/>
    <w:rsid w:val="004F40CC"/>
    <w:rsid w:val="004F558D"/>
    <w:rsid w:val="004F5B1A"/>
    <w:rsid w:val="004F6F70"/>
    <w:rsid w:val="004F795C"/>
    <w:rsid w:val="00500031"/>
    <w:rsid w:val="00500737"/>
    <w:rsid w:val="00502085"/>
    <w:rsid w:val="00502806"/>
    <w:rsid w:val="00502975"/>
    <w:rsid w:val="0050311F"/>
    <w:rsid w:val="0050313D"/>
    <w:rsid w:val="005035A9"/>
    <w:rsid w:val="00503B26"/>
    <w:rsid w:val="00504D35"/>
    <w:rsid w:val="00504F16"/>
    <w:rsid w:val="0050517D"/>
    <w:rsid w:val="00505810"/>
    <w:rsid w:val="00505CF4"/>
    <w:rsid w:val="00506741"/>
    <w:rsid w:val="00506BB0"/>
    <w:rsid w:val="00506D2E"/>
    <w:rsid w:val="00507F14"/>
    <w:rsid w:val="00510113"/>
    <w:rsid w:val="00510B74"/>
    <w:rsid w:val="00510B9B"/>
    <w:rsid w:val="005117E0"/>
    <w:rsid w:val="00512146"/>
    <w:rsid w:val="00513325"/>
    <w:rsid w:val="0051399E"/>
    <w:rsid w:val="00513FBD"/>
    <w:rsid w:val="00514778"/>
    <w:rsid w:val="005152F3"/>
    <w:rsid w:val="005159C5"/>
    <w:rsid w:val="00515C1F"/>
    <w:rsid w:val="00515C2E"/>
    <w:rsid w:val="00515F86"/>
    <w:rsid w:val="00517544"/>
    <w:rsid w:val="00520561"/>
    <w:rsid w:val="00520F9B"/>
    <w:rsid w:val="00521D7F"/>
    <w:rsid w:val="00522871"/>
    <w:rsid w:val="00523309"/>
    <w:rsid w:val="00523D16"/>
    <w:rsid w:val="00524BFC"/>
    <w:rsid w:val="005258CA"/>
    <w:rsid w:val="00525B1A"/>
    <w:rsid w:val="005263BF"/>
    <w:rsid w:val="0053029E"/>
    <w:rsid w:val="00530306"/>
    <w:rsid w:val="00530A72"/>
    <w:rsid w:val="00531BC0"/>
    <w:rsid w:val="00532739"/>
    <w:rsid w:val="0053294D"/>
    <w:rsid w:val="005335D9"/>
    <w:rsid w:val="00533CB2"/>
    <w:rsid w:val="00534377"/>
    <w:rsid w:val="00535096"/>
    <w:rsid w:val="00535E1B"/>
    <w:rsid w:val="00536AB0"/>
    <w:rsid w:val="00536C08"/>
    <w:rsid w:val="005374AD"/>
    <w:rsid w:val="005403FF"/>
    <w:rsid w:val="00540A82"/>
    <w:rsid w:val="00540AAD"/>
    <w:rsid w:val="0054118C"/>
    <w:rsid w:val="005411C6"/>
    <w:rsid w:val="00541B87"/>
    <w:rsid w:val="00542BC2"/>
    <w:rsid w:val="0054397F"/>
    <w:rsid w:val="00543DF2"/>
    <w:rsid w:val="00545E9D"/>
    <w:rsid w:val="00547343"/>
    <w:rsid w:val="00547905"/>
    <w:rsid w:val="005502E8"/>
    <w:rsid w:val="005506D5"/>
    <w:rsid w:val="00550C94"/>
    <w:rsid w:val="005517BF"/>
    <w:rsid w:val="00551A1D"/>
    <w:rsid w:val="005520FC"/>
    <w:rsid w:val="005524C9"/>
    <w:rsid w:val="0055294A"/>
    <w:rsid w:val="005536D5"/>
    <w:rsid w:val="00553C8F"/>
    <w:rsid w:val="00553CAC"/>
    <w:rsid w:val="00554562"/>
    <w:rsid w:val="00554740"/>
    <w:rsid w:val="00554E36"/>
    <w:rsid w:val="00555788"/>
    <w:rsid w:val="0055598A"/>
    <w:rsid w:val="00555E56"/>
    <w:rsid w:val="00555FE5"/>
    <w:rsid w:val="00556139"/>
    <w:rsid w:val="00556689"/>
    <w:rsid w:val="00556838"/>
    <w:rsid w:val="005579CB"/>
    <w:rsid w:val="00560E1D"/>
    <w:rsid w:val="0056129C"/>
    <w:rsid w:val="00561BE3"/>
    <w:rsid w:val="005629C1"/>
    <w:rsid w:val="00562E89"/>
    <w:rsid w:val="00564F2B"/>
    <w:rsid w:val="0056579A"/>
    <w:rsid w:val="0056598B"/>
    <w:rsid w:val="00565F48"/>
    <w:rsid w:val="00566CF2"/>
    <w:rsid w:val="00567175"/>
    <w:rsid w:val="00567DF7"/>
    <w:rsid w:val="00571F5C"/>
    <w:rsid w:val="00572309"/>
    <w:rsid w:val="005723BF"/>
    <w:rsid w:val="00574542"/>
    <w:rsid w:val="0057466D"/>
    <w:rsid w:val="005749D1"/>
    <w:rsid w:val="00574C98"/>
    <w:rsid w:val="005757B1"/>
    <w:rsid w:val="00575C7D"/>
    <w:rsid w:val="0057693B"/>
    <w:rsid w:val="00577001"/>
    <w:rsid w:val="00577757"/>
    <w:rsid w:val="00580639"/>
    <w:rsid w:val="005812CA"/>
    <w:rsid w:val="0058132F"/>
    <w:rsid w:val="005817D8"/>
    <w:rsid w:val="00581C02"/>
    <w:rsid w:val="00582BD5"/>
    <w:rsid w:val="00582D3A"/>
    <w:rsid w:val="00583B26"/>
    <w:rsid w:val="00583C3A"/>
    <w:rsid w:val="00584119"/>
    <w:rsid w:val="005842CE"/>
    <w:rsid w:val="00584CB9"/>
    <w:rsid w:val="005851F3"/>
    <w:rsid w:val="00585CD6"/>
    <w:rsid w:val="00586771"/>
    <w:rsid w:val="005869C3"/>
    <w:rsid w:val="00586EA8"/>
    <w:rsid w:val="00587A2D"/>
    <w:rsid w:val="00590141"/>
    <w:rsid w:val="00590666"/>
    <w:rsid w:val="0059122A"/>
    <w:rsid w:val="005918EC"/>
    <w:rsid w:val="00591FB7"/>
    <w:rsid w:val="00592F90"/>
    <w:rsid w:val="00593A26"/>
    <w:rsid w:val="00594B36"/>
    <w:rsid w:val="00596005"/>
    <w:rsid w:val="00596173"/>
    <w:rsid w:val="0059621C"/>
    <w:rsid w:val="005966CF"/>
    <w:rsid w:val="005979F2"/>
    <w:rsid w:val="00597A03"/>
    <w:rsid w:val="00597C3E"/>
    <w:rsid w:val="005A06D4"/>
    <w:rsid w:val="005A0A61"/>
    <w:rsid w:val="005A0DCA"/>
    <w:rsid w:val="005A1034"/>
    <w:rsid w:val="005A1D73"/>
    <w:rsid w:val="005A1EF7"/>
    <w:rsid w:val="005A24E8"/>
    <w:rsid w:val="005A26FB"/>
    <w:rsid w:val="005A3DA7"/>
    <w:rsid w:val="005A4CD3"/>
    <w:rsid w:val="005A5913"/>
    <w:rsid w:val="005A5A00"/>
    <w:rsid w:val="005A5B43"/>
    <w:rsid w:val="005A5D2F"/>
    <w:rsid w:val="005A5D93"/>
    <w:rsid w:val="005A649A"/>
    <w:rsid w:val="005A6692"/>
    <w:rsid w:val="005A6BCB"/>
    <w:rsid w:val="005A7CC1"/>
    <w:rsid w:val="005B016D"/>
    <w:rsid w:val="005B163A"/>
    <w:rsid w:val="005B2CC9"/>
    <w:rsid w:val="005B35B0"/>
    <w:rsid w:val="005B365E"/>
    <w:rsid w:val="005B3DB2"/>
    <w:rsid w:val="005B44F4"/>
    <w:rsid w:val="005B6426"/>
    <w:rsid w:val="005B6A94"/>
    <w:rsid w:val="005B7E31"/>
    <w:rsid w:val="005C045F"/>
    <w:rsid w:val="005C17AF"/>
    <w:rsid w:val="005C1899"/>
    <w:rsid w:val="005C19A6"/>
    <w:rsid w:val="005C1F28"/>
    <w:rsid w:val="005C2404"/>
    <w:rsid w:val="005C2E69"/>
    <w:rsid w:val="005C4615"/>
    <w:rsid w:val="005C46CE"/>
    <w:rsid w:val="005C4F2A"/>
    <w:rsid w:val="005C55C0"/>
    <w:rsid w:val="005C5D10"/>
    <w:rsid w:val="005C66B2"/>
    <w:rsid w:val="005C679B"/>
    <w:rsid w:val="005C6D3F"/>
    <w:rsid w:val="005D0567"/>
    <w:rsid w:val="005D12C9"/>
    <w:rsid w:val="005D1983"/>
    <w:rsid w:val="005D1B68"/>
    <w:rsid w:val="005D21A0"/>
    <w:rsid w:val="005D3C52"/>
    <w:rsid w:val="005D4689"/>
    <w:rsid w:val="005D4A90"/>
    <w:rsid w:val="005D5234"/>
    <w:rsid w:val="005D5708"/>
    <w:rsid w:val="005D6349"/>
    <w:rsid w:val="005D6B47"/>
    <w:rsid w:val="005D6B55"/>
    <w:rsid w:val="005D73A0"/>
    <w:rsid w:val="005D765D"/>
    <w:rsid w:val="005D76F5"/>
    <w:rsid w:val="005E05A6"/>
    <w:rsid w:val="005E072B"/>
    <w:rsid w:val="005E1089"/>
    <w:rsid w:val="005E149C"/>
    <w:rsid w:val="005E1510"/>
    <w:rsid w:val="005E3E53"/>
    <w:rsid w:val="005E43ED"/>
    <w:rsid w:val="005E497F"/>
    <w:rsid w:val="005F0162"/>
    <w:rsid w:val="005F03A8"/>
    <w:rsid w:val="005F1689"/>
    <w:rsid w:val="005F31C5"/>
    <w:rsid w:val="005F382F"/>
    <w:rsid w:val="005F4361"/>
    <w:rsid w:val="005F46A5"/>
    <w:rsid w:val="005F53BB"/>
    <w:rsid w:val="005F6700"/>
    <w:rsid w:val="005F6947"/>
    <w:rsid w:val="005F6E51"/>
    <w:rsid w:val="005F7015"/>
    <w:rsid w:val="005F7407"/>
    <w:rsid w:val="005F7947"/>
    <w:rsid w:val="005F7B40"/>
    <w:rsid w:val="00600079"/>
    <w:rsid w:val="006016A5"/>
    <w:rsid w:val="006018D0"/>
    <w:rsid w:val="00601D5C"/>
    <w:rsid w:val="0060200C"/>
    <w:rsid w:val="00602297"/>
    <w:rsid w:val="00602423"/>
    <w:rsid w:val="00602ACC"/>
    <w:rsid w:val="00603B59"/>
    <w:rsid w:val="00603D7C"/>
    <w:rsid w:val="006043C9"/>
    <w:rsid w:val="006046BA"/>
    <w:rsid w:val="00605410"/>
    <w:rsid w:val="00605C5C"/>
    <w:rsid w:val="006063BE"/>
    <w:rsid w:val="00606C67"/>
    <w:rsid w:val="00610817"/>
    <w:rsid w:val="00611802"/>
    <w:rsid w:val="00611D27"/>
    <w:rsid w:val="00612125"/>
    <w:rsid w:val="006130B7"/>
    <w:rsid w:val="00613294"/>
    <w:rsid w:val="006133DA"/>
    <w:rsid w:val="00613475"/>
    <w:rsid w:val="00613CFC"/>
    <w:rsid w:val="006140D9"/>
    <w:rsid w:val="0061428E"/>
    <w:rsid w:val="00614AA6"/>
    <w:rsid w:val="00614B98"/>
    <w:rsid w:val="006150EC"/>
    <w:rsid w:val="006153B3"/>
    <w:rsid w:val="0061688F"/>
    <w:rsid w:val="00616A6A"/>
    <w:rsid w:val="00617AF8"/>
    <w:rsid w:val="00620A8C"/>
    <w:rsid w:val="00621651"/>
    <w:rsid w:val="0062215A"/>
    <w:rsid w:val="006231F4"/>
    <w:rsid w:val="00623AAF"/>
    <w:rsid w:val="0062432F"/>
    <w:rsid w:val="00624501"/>
    <w:rsid w:val="00624A97"/>
    <w:rsid w:val="00624C87"/>
    <w:rsid w:val="00624D60"/>
    <w:rsid w:val="00625344"/>
    <w:rsid w:val="00625CC0"/>
    <w:rsid w:val="00625E61"/>
    <w:rsid w:val="00626C4A"/>
    <w:rsid w:val="006270AD"/>
    <w:rsid w:val="006275AC"/>
    <w:rsid w:val="00627B76"/>
    <w:rsid w:val="00630CE1"/>
    <w:rsid w:val="00630D55"/>
    <w:rsid w:val="0063150F"/>
    <w:rsid w:val="00631663"/>
    <w:rsid w:val="006316A0"/>
    <w:rsid w:val="00631FB0"/>
    <w:rsid w:val="00632396"/>
    <w:rsid w:val="006329AA"/>
    <w:rsid w:val="00632A86"/>
    <w:rsid w:val="00633A11"/>
    <w:rsid w:val="00633EB9"/>
    <w:rsid w:val="00634C97"/>
    <w:rsid w:val="00634DD5"/>
    <w:rsid w:val="006351C8"/>
    <w:rsid w:val="00636DDB"/>
    <w:rsid w:val="00637B60"/>
    <w:rsid w:val="00637ECB"/>
    <w:rsid w:val="00640347"/>
    <w:rsid w:val="00640398"/>
    <w:rsid w:val="006403FE"/>
    <w:rsid w:val="006404BE"/>
    <w:rsid w:val="0064062C"/>
    <w:rsid w:val="0064064A"/>
    <w:rsid w:val="0064084B"/>
    <w:rsid w:val="00640DE2"/>
    <w:rsid w:val="00641240"/>
    <w:rsid w:val="00641FBA"/>
    <w:rsid w:val="00642521"/>
    <w:rsid w:val="006451E6"/>
    <w:rsid w:val="006462EF"/>
    <w:rsid w:val="006462F0"/>
    <w:rsid w:val="00646CC2"/>
    <w:rsid w:val="006478A0"/>
    <w:rsid w:val="00650BA4"/>
    <w:rsid w:val="006533A9"/>
    <w:rsid w:val="00653916"/>
    <w:rsid w:val="00654334"/>
    <w:rsid w:val="00654AD6"/>
    <w:rsid w:val="006550D7"/>
    <w:rsid w:val="0065586C"/>
    <w:rsid w:val="006560B2"/>
    <w:rsid w:val="00656304"/>
    <w:rsid w:val="00656B12"/>
    <w:rsid w:val="00656F1A"/>
    <w:rsid w:val="00660118"/>
    <w:rsid w:val="00660513"/>
    <w:rsid w:val="00660A4D"/>
    <w:rsid w:val="006617BB"/>
    <w:rsid w:val="00661922"/>
    <w:rsid w:val="00662092"/>
    <w:rsid w:val="006622B1"/>
    <w:rsid w:val="006626DA"/>
    <w:rsid w:val="006651A0"/>
    <w:rsid w:val="0066563A"/>
    <w:rsid w:val="00665ED7"/>
    <w:rsid w:val="00667171"/>
    <w:rsid w:val="0066772D"/>
    <w:rsid w:val="00667D22"/>
    <w:rsid w:val="00670AC6"/>
    <w:rsid w:val="006710AC"/>
    <w:rsid w:val="006713E1"/>
    <w:rsid w:val="00671DA1"/>
    <w:rsid w:val="0067353B"/>
    <w:rsid w:val="00674A10"/>
    <w:rsid w:val="00675C1F"/>
    <w:rsid w:val="00675F21"/>
    <w:rsid w:val="006762A3"/>
    <w:rsid w:val="00676667"/>
    <w:rsid w:val="00677214"/>
    <w:rsid w:val="00677287"/>
    <w:rsid w:val="00677A8F"/>
    <w:rsid w:val="00677DE3"/>
    <w:rsid w:val="00677E0B"/>
    <w:rsid w:val="00680DF4"/>
    <w:rsid w:val="00681820"/>
    <w:rsid w:val="00681FCE"/>
    <w:rsid w:val="00682595"/>
    <w:rsid w:val="00682969"/>
    <w:rsid w:val="006839D7"/>
    <w:rsid w:val="00683B50"/>
    <w:rsid w:val="00684138"/>
    <w:rsid w:val="006841F8"/>
    <w:rsid w:val="00684238"/>
    <w:rsid w:val="00684394"/>
    <w:rsid w:val="00684433"/>
    <w:rsid w:val="00684800"/>
    <w:rsid w:val="0068488E"/>
    <w:rsid w:val="00684A4B"/>
    <w:rsid w:val="00684D96"/>
    <w:rsid w:val="0068613B"/>
    <w:rsid w:val="00686283"/>
    <w:rsid w:val="006862AA"/>
    <w:rsid w:val="00686300"/>
    <w:rsid w:val="00686BCA"/>
    <w:rsid w:val="00687C66"/>
    <w:rsid w:val="006902F7"/>
    <w:rsid w:val="006914E9"/>
    <w:rsid w:val="0069213A"/>
    <w:rsid w:val="00692CE9"/>
    <w:rsid w:val="006935EA"/>
    <w:rsid w:val="00694596"/>
    <w:rsid w:val="006948BE"/>
    <w:rsid w:val="00695024"/>
    <w:rsid w:val="006950BA"/>
    <w:rsid w:val="00696471"/>
    <w:rsid w:val="0069673D"/>
    <w:rsid w:val="00696826"/>
    <w:rsid w:val="006A0A6D"/>
    <w:rsid w:val="006A1FB6"/>
    <w:rsid w:val="006A200D"/>
    <w:rsid w:val="006A3264"/>
    <w:rsid w:val="006A335C"/>
    <w:rsid w:val="006A34B5"/>
    <w:rsid w:val="006A366A"/>
    <w:rsid w:val="006A3900"/>
    <w:rsid w:val="006A48B7"/>
    <w:rsid w:val="006A4DA6"/>
    <w:rsid w:val="006A5462"/>
    <w:rsid w:val="006A56FD"/>
    <w:rsid w:val="006A5C0C"/>
    <w:rsid w:val="006A5D11"/>
    <w:rsid w:val="006A7769"/>
    <w:rsid w:val="006A7F1E"/>
    <w:rsid w:val="006B0C96"/>
    <w:rsid w:val="006B1234"/>
    <w:rsid w:val="006B231D"/>
    <w:rsid w:val="006B2812"/>
    <w:rsid w:val="006B28E9"/>
    <w:rsid w:val="006B34E6"/>
    <w:rsid w:val="006B41FE"/>
    <w:rsid w:val="006B4A92"/>
    <w:rsid w:val="006B54EA"/>
    <w:rsid w:val="006B63A2"/>
    <w:rsid w:val="006B664A"/>
    <w:rsid w:val="006C03FB"/>
    <w:rsid w:val="006C083C"/>
    <w:rsid w:val="006C14CB"/>
    <w:rsid w:val="006C17A2"/>
    <w:rsid w:val="006C1D8D"/>
    <w:rsid w:val="006C2028"/>
    <w:rsid w:val="006C262F"/>
    <w:rsid w:val="006C29A0"/>
    <w:rsid w:val="006C2AD6"/>
    <w:rsid w:val="006C39B3"/>
    <w:rsid w:val="006C3FD9"/>
    <w:rsid w:val="006C4017"/>
    <w:rsid w:val="006C406B"/>
    <w:rsid w:val="006C421B"/>
    <w:rsid w:val="006C44B8"/>
    <w:rsid w:val="006C5545"/>
    <w:rsid w:val="006C6624"/>
    <w:rsid w:val="006C6795"/>
    <w:rsid w:val="006C6BDF"/>
    <w:rsid w:val="006C6DE8"/>
    <w:rsid w:val="006C75E8"/>
    <w:rsid w:val="006D1686"/>
    <w:rsid w:val="006D3FFF"/>
    <w:rsid w:val="006D403E"/>
    <w:rsid w:val="006D42CD"/>
    <w:rsid w:val="006D447A"/>
    <w:rsid w:val="006D464D"/>
    <w:rsid w:val="006D4865"/>
    <w:rsid w:val="006D4B2D"/>
    <w:rsid w:val="006D5455"/>
    <w:rsid w:val="006D58C8"/>
    <w:rsid w:val="006D5C12"/>
    <w:rsid w:val="006D695F"/>
    <w:rsid w:val="006D7CB1"/>
    <w:rsid w:val="006E01D0"/>
    <w:rsid w:val="006E08B6"/>
    <w:rsid w:val="006E1570"/>
    <w:rsid w:val="006E17D4"/>
    <w:rsid w:val="006E1EC7"/>
    <w:rsid w:val="006E25AA"/>
    <w:rsid w:val="006E3B43"/>
    <w:rsid w:val="006E4805"/>
    <w:rsid w:val="006E4C3C"/>
    <w:rsid w:val="006E5668"/>
    <w:rsid w:val="006E6000"/>
    <w:rsid w:val="006E61E2"/>
    <w:rsid w:val="006E6B4E"/>
    <w:rsid w:val="006E7305"/>
    <w:rsid w:val="006E7BB3"/>
    <w:rsid w:val="006E7C64"/>
    <w:rsid w:val="006F02CF"/>
    <w:rsid w:val="006F0DA7"/>
    <w:rsid w:val="006F36BA"/>
    <w:rsid w:val="006F3FC0"/>
    <w:rsid w:val="006F3FE7"/>
    <w:rsid w:val="006F4983"/>
    <w:rsid w:val="006F4A4A"/>
    <w:rsid w:val="006F4D48"/>
    <w:rsid w:val="006F59A5"/>
    <w:rsid w:val="006F5B5A"/>
    <w:rsid w:val="006F5DA7"/>
    <w:rsid w:val="006F6411"/>
    <w:rsid w:val="006F69F2"/>
    <w:rsid w:val="006F69FF"/>
    <w:rsid w:val="006F70B5"/>
    <w:rsid w:val="006F75F1"/>
    <w:rsid w:val="006F7623"/>
    <w:rsid w:val="007006CD"/>
    <w:rsid w:val="00700FA3"/>
    <w:rsid w:val="007010E0"/>
    <w:rsid w:val="007019C9"/>
    <w:rsid w:val="00701BC6"/>
    <w:rsid w:val="00702B2F"/>
    <w:rsid w:val="00704125"/>
    <w:rsid w:val="00704266"/>
    <w:rsid w:val="00704582"/>
    <w:rsid w:val="00704739"/>
    <w:rsid w:val="00704C05"/>
    <w:rsid w:val="00707691"/>
    <w:rsid w:val="007076E8"/>
    <w:rsid w:val="00710626"/>
    <w:rsid w:val="00710F59"/>
    <w:rsid w:val="00711F5C"/>
    <w:rsid w:val="007120BC"/>
    <w:rsid w:val="00714A96"/>
    <w:rsid w:val="00714DE6"/>
    <w:rsid w:val="00714EE9"/>
    <w:rsid w:val="00715772"/>
    <w:rsid w:val="00715B8B"/>
    <w:rsid w:val="00716ABF"/>
    <w:rsid w:val="007174D8"/>
    <w:rsid w:val="0071751E"/>
    <w:rsid w:val="00717F26"/>
    <w:rsid w:val="0072042E"/>
    <w:rsid w:val="00720544"/>
    <w:rsid w:val="00722FEC"/>
    <w:rsid w:val="0072302D"/>
    <w:rsid w:val="007240B2"/>
    <w:rsid w:val="007240E4"/>
    <w:rsid w:val="00724AFC"/>
    <w:rsid w:val="007250CF"/>
    <w:rsid w:val="00725750"/>
    <w:rsid w:val="00725BC8"/>
    <w:rsid w:val="00725CA1"/>
    <w:rsid w:val="0072621A"/>
    <w:rsid w:val="0072686E"/>
    <w:rsid w:val="007268C7"/>
    <w:rsid w:val="00726A63"/>
    <w:rsid w:val="00726B92"/>
    <w:rsid w:val="00726CBC"/>
    <w:rsid w:val="007277EA"/>
    <w:rsid w:val="00730011"/>
    <w:rsid w:val="00730AE5"/>
    <w:rsid w:val="0073145B"/>
    <w:rsid w:val="00732DF9"/>
    <w:rsid w:val="007337AC"/>
    <w:rsid w:val="00734570"/>
    <w:rsid w:val="00735F59"/>
    <w:rsid w:val="00740343"/>
    <w:rsid w:val="0074040A"/>
    <w:rsid w:val="007405CB"/>
    <w:rsid w:val="007407C5"/>
    <w:rsid w:val="00740978"/>
    <w:rsid w:val="007417B6"/>
    <w:rsid w:val="007426B0"/>
    <w:rsid w:val="00742EAB"/>
    <w:rsid w:val="00742FDA"/>
    <w:rsid w:val="007432E2"/>
    <w:rsid w:val="00743C71"/>
    <w:rsid w:val="00744FD7"/>
    <w:rsid w:val="007464D3"/>
    <w:rsid w:val="007468BC"/>
    <w:rsid w:val="007473BB"/>
    <w:rsid w:val="00750320"/>
    <w:rsid w:val="007509CC"/>
    <w:rsid w:val="00750F1A"/>
    <w:rsid w:val="0075198F"/>
    <w:rsid w:val="00752352"/>
    <w:rsid w:val="00753B29"/>
    <w:rsid w:val="00754318"/>
    <w:rsid w:val="00754C56"/>
    <w:rsid w:val="00754F9E"/>
    <w:rsid w:val="00755F6A"/>
    <w:rsid w:val="00755FCF"/>
    <w:rsid w:val="00756252"/>
    <w:rsid w:val="00756674"/>
    <w:rsid w:val="0075682A"/>
    <w:rsid w:val="00756ED5"/>
    <w:rsid w:val="00757BF3"/>
    <w:rsid w:val="00757CC1"/>
    <w:rsid w:val="007607AF"/>
    <w:rsid w:val="00761808"/>
    <w:rsid w:val="00763F3B"/>
    <w:rsid w:val="007645B3"/>
    <w:rsid w:val="0076523F"/>
    <w:rsid w:val="00765901"/>
    <w:rsid w:val="00766605"/>
    <w:rsid w:val="00766E79"/>
    <w:rsid w:val="007672FC"/>
    <w:rsid w:val="00770213"/>
    <w:rsid w:val="00771C05"/>
    <w:rsid w:val="00772132"/>
    <w:rsid w:val="0077283A"/>
    <w:rsid w:val="00773AC9"/>
    <w:rsid w:val="00773E1C"/>
    <w:rsid w:val="0077446C"/>
    <w:rsid w:val="007749A8"/>
    <w:rsid w:val="00774CB8"/>
    <w:rsid w:val="007753BF"/>
    <w:rsid w:val="00775713"/>
    <w:rsid w:val="007759EA"/>
    <w:rsid w:val="00775B75"/>
    <w:rsid w:val="0078017A"/>
    <w:rsid w:val="00780653"/>
    <w:rsid w:val="0078168B"/>
    <w:rsid w:val="00781773"/>
    <w:rsid w:val="007818AF"/>
    <w:rsid w:val="007828F5"/>
    <w:rsid w:val="00783FDC"/>
    <w:rsid w:val="007842C4"/>
    <w:rsid w:val="007842DA"/>
    <w:rsid w:val="00784400"/>
    <w:rsid w:val="00784458"/>
    <w:rsid w:val="007847A4"/>
    <w:rsid w:val="007859E5"/>
    <w:rsid w:val="00785A68"/>
    <w:rsid w:val="00785FDB"/>
    <w:rsid w:val="00786D5D"/>
    <w:rsid w:val="0078750D"/>
    <w:rsid w:val="00790D92"/>
    <w:rsid w:val="00791002"/>
    <w:rsid w:val="007913D7"/>
    <w:rsid w:val="0079192F"/>
    <w:rsid w:val="00791D7C"/>
    <w:rsid w:val="00792381"/>
    <w:rsid w:val="00792878"/>
    <w:rsid w:val="0079371E"/>
    <w:rsid w:val="00795370"/>
    <w:rsid w:val="007955EF"/>
    <w:rsid w:val="00796416"/>
    <w:rsid w:val="00796AF0"/>
    <w:rsid w:val="0079700B"/>
    <w:rsid w:val="007977E7"/>
    <w:rsid w:val="007A01F5"/>
    <w:rsid w:val="007A05FE"/>
    <w:rsid w:val="007A0901"/>
    <w:rsid w:val="007A0FC6"/>
    <w:rsid w:val="007A1217"/>
    <w:rsid w:val="007A17E3"/>
    <w:rsid w:val="007A20B2"/>
    <w:rsid w:val="007A325D"/>
    <w:rsid w:val="007A46E6"/>
    <w:rsid w:val="007A4AD6"/>
    <w:rsid w:val="007A4C39"/>
    <w:rsid w:val="007A503F"/>
    <w:rsid w:val="007A6944"/>
    <w:rsid w:val="007A6983"/>
    <w:rsid w:val="007A6E32"/>
    <w:rsid w:val="007A7317"/>
    <w:rsid w:val="007A7C3B"/>
    <w:rsid w:val="007B0235"/>
    <w:rsid w:val="007B0DCE"/>
    <w:rsid w:val="007B0E79"/>
    <w:rsid w:val="007B1D07"/>
    <w:rsid w:val="007B2463"/>
    <w:rsid w:val="007B2F61"/>
    <w:rsid w:val="007B37A0"/>
    <w:rsid w:val="007B434C"/>
    <w:rsid w:val="007B4461"/>
    <w:rsid w:val="007B5831"/>
    <w:rsid w:val="007B5E8E"/>
    <w:rsid w:val="007B63C7"/>
    <w:rsid w:val="007B6792"/>
    <w:rsid w:val="007B6D0F"/>
    <w:rsid w:val="007B7C48"/>
    <w:rsid w:val="007C0A57"/>
    <w:rsid w:val="007C0ABD"/>
    <w:rsid w:val="007C0EF0"/>
    <w:rsid w:val="007C1007"/>
    <w:rsid w:val="007C1424"/>
    <w:rsid w:val="007C159B"/>
    <w:rsid w:val="007C1CFE"/>
    <w:rsid w:val="007C2A87"/>
    <w:rsid w:val="007C415C"/>
    <w:rsid w:val="007C4DE7"/>
    <w:rsid w:val="007C50F6"/>
    <w:rsid w:val="007C6452"/>
    <w:rsid w:val="007C6492"/>
    <w:rsid w:val="007C67E6"/>
    <w:rsid w:val="007C6F09"/>
    <w:rsid w:val="007C6FCB"/>
    <w:rsid w:val="007C73C3"/>
    <w:rsid w:val="007D0793"/>
    <w:rsid w:val="007D18EB"/>
    <w:rsid w:val="007D1910"/>
    <w:rsid w:val="007D1BB4"/>
    <w:rsid w:val="007D1EC3"/>
    <w:rsid w:val="007D2C30"/>
    <w:rsid w:val="007D30B8"/>
    <w:rsid w:val="007D356A"/>
    <w:rsid w:val="007D4F54"/>
    <w:rsid w:val="007D53AB"/>
    <w:rsid w:val="007D583C"/>
    <w:rsid w:val="007D620B"/>
    <w:rsid w:val="007D6C87"/>
    <w:rsid w:val="007D785F"/>
    <w:rsid w:val="007D7B67"/>
    <w:rsid w:val="007E0131"/>
    <w:rsid w:val="007E087C"/>
    <w:rsid w:val="007E0AD9"/>
    <w:rsid w:val="007E122D"/>
    <w:rsid w:val="007E1C37"/>
    <w:rsid w:val="007E1C8E"/>
    <w:rsid w:val="007E2787"/>
    <w:rsid w:val="007E2D6D"/>
    <w:rsid w:val="007E3D51"/>
    <w:rsid w:val="007E4E17"/>
    <w:rsid w:val="007E514B"/>
    <w:rsid w:val="007E59AB"/>
    <w:rsid w:val="007E66F7"/>
    <w:rsid w:val="007E6BB4"/>
    <w:rsid w:val="007E7BDE"/>
    <w:rsid w:val="007F02F7"/>
    <w:rsid w:val="007F0666"/>
    <w:rsid w:val="007F1225"/>
    <w:rsid w:val="007F1315"/>
    <w:rsid w:val="007F188B"/>
    <w:rsid w:val="007F364D"/>
    <w:rsid w:val="007F3E9E"/>
    <w:rsid w:val="007F4C01"/>
    <w:rsid w:val="007F4DD7"/>
    <w:rsid w:val="007F53B4"/>
    <w:rsid w:val="007F5A49"/>
    <w:rsid w:val="007F5E2F"/>
    <w:rsid w:val="007F5E99"/>
    <w:rsid w:val="007F651B"/>
    <w:rsid w:val="007F6C2D"/>
    <w:rsid w:val="007F7571"/>
    <w:rsid w:val="007F790A"/>
    <w:rsid w:val="007F79D8"/>
    <w:rsid w:val="00800059"/>
    <w:rsid w:val="0080095F"/>
    <w:rsid w:val="00800BE3"/>
    <w:rsid w:val="00801284"/>
    <w:rsid w:val="00801F4F"/>
    <w:rsid w:val="008029CF"/>
    <w:rsid w:val="008030E2"/>
    <w:rsid w:val="0080368E"/>
    <w:rsid w:val="00803CE1"/>
    <w:rsid w:val="008040DE"/>
    <w:rsid w:val="00804C2E"/>
    <w:rsid w:val="00804E0E"/>
    <w:rsid w:val="00804FF2"/>
    <w:rsid w:val="0080518D"/>
    <w:rsid w:val="00805A3A"/>
    <w:rsid w:val="00807546"/>
    <w:rsid w:val="00807562"/>
    <w:rsid w:val="00807C61"/>
    <w:rsid w:val="0081215A"/>
    <w:rsid w:val="008121B2"/>
    <w:rsid w:val="008122D9"/>
    <w:rsid w:val="0081234C"/>
    <w:rsid w:val="008123FA"/>
    <w:rsid w:val="00813702"/>
    <w:rsid w:val="00813C86"/>
    <w:rsid w:val="0081457D"/>
    <w:rsid w:val="0081459B"/>
    <w:rsid w:val="00814B73"/>
    <w:rsid w:val="00815F81"/>
    <w:rsid w:val="00815FD9"/>
    <w:rsid w:val="0081627A"/>
    <w:rsid w:val="00816838"/>
    <w:rsid w:val="00816E7C"/>
    <w:rsid w:val="00817187"/>
    <w:rsid w:val="0081725A"/>
    <w:rsid w:val="008208D4"/>
    <w:rsid w:val="00820D30"/>
    <w:rsid w:val="00821336"/>
    <w:rsid w:val="008219D0"/>
    <w:rsid w:val="00822CB6"/>
    <w:rsid w:val="00823368"/>
    <w:rsid w:val="008233BE"/>
    <w:rsid w:val="00823BE8"/>
    <w:rsid w:val="00823CED"/>
    <w:rsid w:val="00824EC0"/>
    <w:rsid w:val="00825697"/>
    <w:rsid w:val="008256EC"/>
    <w:rsid w:val="00825AA4"/>
    <w:rsid w:val="00825EBD"/>
    <w:rsid w:val="0082642A"/>
    <w:rsid w:val="00826C9D"/>
    <w:rsid w:val="00826DAD"/>
    <w:rsid w:val="008272BA"/>
    <w:rsid w:val="008278D2"/>
    <w:rsid w:val="00830897"/>
    <w:rsid w:val="00830FFA"/>
    <w:rsid w:val="0083107E"/>
    <w:rsid w:val="00831286"/>
    <w:rsid w:val="00831B52"/>
    <w:rsid w:val="00832539"/>
    <w:rsid w:val="00832690"/>
    <w:rsid w:val="00833DCB"/>
    <w:rsid w:val="00833EE3"/>
    <w:rsid w:val="00834A44"/>
    <w:rsid w:val="00834FDB"/>
    <w:rsid w:val="008356CF"/>
    <w:rsid w:val="0083576A"/>
    <w:rsid w:val="00836679"/>
    <w:rsid w:val="008368B0"/>
    <w:rsid w:val="00836F8F"/>
    <w:rsid w:val="00837BAB"/>
    <w:rsid w:val="0084037F"/>
    <w:rsid w:val="00840D6E"/>
    <w:rsid w:val="00842050"/>
    <w:rsid w:val="00843623"/>
    <w:rsid w:val="00843763"/>
    <w:rsid w:val="0084398C"/>
    <w:rsid w:val="00845FD9"/>
    <w:rsid w:val="00845FE3"/>
    <w:rsid w:val="00846007"/>
    <w:rsid w:val="00846D4D"/>
    <w:rsid w:val="008476B0"/>
    <w:rsid w:val="00850BA9"/>
    <w:rsid w:val="0085121B"/>
    <w:rsid w:val="00851FBC"/>
    <w:rsid w:val="00853024"/>
    <w:rsid w:val="00853195"/>
    <w:rsid w:val="0085395C"/>
    <w:rsid w:val="00854354"/>
    <w:rsid w:val="0085496F"/>
    <w:rsid w:val="00855219"/>
    <w:rsid w:val="00855DB3"/>
    <w:rsid w:val="00855DF7"/>
    <w:rsid w:val="00855E4E"/>
    <w:rsid w:val="00856872"/>
    <w:rsid w:val="008569D5"/>
    <w:rsid w:val="00856E5E"/>
    <w:rsid w:val="008579DD"/>
    <w:rsid w:val="00857F63"/>
    <w:rsid w:val="00860FC1"/>
    <w:rsid w:val="00861244"/>
    <w:rsid w:val="0086182A"/>
    <w:rsid w:val="00861E87"/>
    <w:rsid w:val="00863163"/>
    <w:rsid w:val="00863556"/>
    <w:rsid w:val="00863709"/>
    <w:rsid w:val="008639BB"/>
    <w:rsid w:val="008644A4"/>
    <w:rsid w:val="00864A14"/>
    <w:rsid w:val="008669B0"/>
    <w:rsid w:val="008701F2"/>
    <w:rsid w:val="00870233"/>
    <w:rsid w:val="008703D5"/>
    <w:rsid w:val="00870BFB"/>
    <w:rsid w:val="0087145F"/>
    <w:rsid w:val="00871F74"/>
    <w:rsid w:val="00874106"/>
    <w:rsid w:val="008752C6"/>
    <w:rsid w:val="0087635C"/>
    <w:rsid w:val="00876E18"/>
    <w:rsid w:val="00880376"/>
    <w:rsid w:val="008814E9"/>
    <w:rsid w:val="00881A79"/>
    <w:rsid w:val="00881A7D"/>
    <w:rsid w:val="00881E95"/>
    <w:rsid w:val="0088213B"/>
    <w:rsid w:val="008821F4"/>
    <w:rsid w:val="008825F1"/>
    <w:rsid w:val="00882EE8"/>
    <w:rsid w:val="00883251"/>
    <w:rsid w:val="00883796"/>
    <w:rsid w:val="00883FAB"/>
    <w:rsid w:val="00884FC1"/>
    <w:rsid w:val="00885462"/>
    <w:rsid w:val="008858D2"/>
    <w:rsid w:val="00885D2A"/>
    <w:rsid w:val="0088639E"/>
    <w:rsid w:val="00886BDF"/>
    <w:rsid w:val="00886F0A"/>
    <w:rsid w:val="00887BEF"/>
    <w:rsid w:val="0089088B"/>
    <w:rsid w:val="0089098C"/>
    <w:rsid w:val="00890DE9"/>
    <w:rsid w:val="00891C10"/>
    <w:rsid w:val="008920EE"/>
    <w:rsid w:val="0089248D"/>
    <w:rsid w:val="008924AA"/>
    <w:rsid w:val="008929F8"/>
    <w:rsid w:val="0089368C"/>
    <w:rsid w:val="00893FC5"/>
    <w:rsid w:val="0089442D"/>
    <w:rsid w:val="008948F0"/>
    <w:rsid w:val="00894ABA"/>
    <w:rsid w:val="00894FE1"/>
    <w:rsid w:val="00896375"/>
    <w:rsid w:val="008967C3"/>
    <w:rsid w:val="00896AB1"/>
    <w:rsid w:val="00896C23"/>
    <w:rsid w:val="008972D0"/>
    <w:rsid w:val="008978A1"/>
    <w:rsid w:val="00897A5C"/>
    <w:rsid w:val="008A0480"/>
    <w:rsid w:val="008A0558"/>
    <w:rsid w:val="008A18B0"/>
    <w:rsid w:val="008A1FAC"/>
    <w:rsid w:val="008A2293"/>
    <w:rsid w:val="008A22A1"/>
    <w:rsid w:val="008A261D"/>
    <w:rsid w:val="008A2B8F"/>
    <w:rsid w:val="008A2C79"/>
    <w:rsid w:val="008A2D8A"/>
    <w:rsid w:val="008A2FB6"/>
    <w:rsid w:val="008A35DE"/>
    <w:rsid w:val="008A3FCC"/>
    <w:rsid w:val="008A48EA"/>
    <w:rsid w:val="008A4C69"/>
    <w:rsid w:val="008A4D90"/>
    <w:rsid w:val="008A4F08"/>
    <w:rsid w:val="008A541F"/>
    <w:rsid w:val="008A550C"/>
    <w:rsid w:val="008A55C6"/>
    <w:rsid w:val="008A59D8"/>
    <w:rsid w:val="008A71A1"/>
    <w:rsid w:val="008B014F"/>
    <w:rsid w:val="008B209E"/>
    <w:rsid w:val="008B26F6"/>
    <w:rsid w:val="008B30DC"/>
    <w:rsid w:val="008B3868"/>
    <w:rsid w:val="008B4580"/>
    <w:rsid w:val="008B521D"/>
    <w:rsid w:val="008B5AE5"/>
    <w:rsid w:val="008B5B84"/>
    <w:rsid w:val="008B5BAD"/>
    <w:rsid w:val="008B6FA4"/>
    <w:rsid w:val="008B7167"/>
    <w:rsid w:val="008B7524"/>
    <w:rsid w:val="008C0138"/>
    <w:rsid w:val="008C03F1"/>
    <w:rsid w:val="008C0582"/>
    <w:rsid w:val="008C0708"/>
    <w:rsid w:val="008C14C8"/>
    <w:rsid w:val="008C2A78"/>
    <w:rsid w:val="008C2DF1"/>
    <w:rsid w:val="008C2E2C"/>
    <w:rsid w:val="008C2F2B"/>
    <w:rsid w:val="008C3E22"/>
    <w:rsid w:val="008C5487"/>
    <w:rsid w:val="008C6176"/>
    <w:rsid w:val="008C6B82"/>
    <w:rsid w:val="008C72A7"/>
    <w:rsid w:val="008C7443"/>
    <w:rsid w:val="008C74CC"/>
    <w:rsid w:val="008C7DDD"/>
    <w:rsid w:val="008D10F8"/>
    <w:rsid w:val="008D1A0F"/>
    <w:rsid w:val="008D2BA9"/>
    <w:rsid w:val="008D2D1D"/>
    <w:rsid w:val="008D2E17"/>
    <w:rsid w:val="008D3542"/>
    <w:rsid w:val="008D3D3B"/>
    <w:rsid w:val="008D47E4"/>
    <w:rsid w:val="008D5D5A"/>
    <w:rsid w:val="008D658A"/>
    <w:rsid w:val="008D67BB"/>
    <w:rsid w:val="008D6871"/>
    <w:rsid w:val="008D74DF"/>
    <w:rsid w:val="008D74F9"/>
    <w:rsid w:val="008D7AA8"/>
    <w:rsid w:val="008E04BF"/>
    <w:rsid w:val="008E0AB9"/>
    <w:rsid w:val="008E18F7"/>
    <w:rsid w:val="008E1AF6"/>
    <w:rsid w:val="008E4433"/>
    <w:rsid w:val="008E4C00"/>
    <w:rsid w:val="008E581D"/>
    <w:rsid w:val="008E7AFA"/>
    <w:rsid w:val="008F0EE6"/>
    <w:rsid w:val="008F1319"/>
    <w:rsid w:val="008F1F5E"/>
    <w:rsid w:val="008F1FAD"/>
    <w:rsid w:val="008F3CEE"/>
    <w:rsid w:val="008F4D9A"/>
    <w:rsid w:val="008F610A"/>
    <w:rsid w:val="008F641E"/>
    <w:rsid w:val="008F697E"/>
    <w:rsid w:val="008F697F"/>
    <w:rsid w:val="008F6F1E"/>
    <w:rsid w:val="008F7825"/>
    <w:rsid w:val="00900F3A"/>
    <w:rsid w:val="00902094"/>
    <w:rsid w:val="009037A1"/>
    <w:rsid w:val="00904143"/>
    <w:rsid w:val="00904B05"/>
    <w:rsid w:val="009053F4"/>
    <w:rsid w:val="009057CC"/>
    <w:rsid w:val="00905E8D"/>
    <w:rsid w:val="00905FC7"/>
    <w:rsid w:val="00906135"/>
    <w:rsid w:val="00907F59"/>
    <w:rsid w:val="009103C8"/>
    <w:rsid w:val="009125CA"/>
    <w:rsid w:val="009130C9"/>
    <w:rsid w:val="00913229"/>
    <w:rsid w:val="009151E8"/>
    <w:rsid w:val="009155D7"/>
    <w:rsid w:val="00915618"/>
    <w:rsid w:val="00915C40"/>
    <w:rsid w:val="00915D5E"/>
    <w:rsid w:val="00915EF8"/>
    <w:rsid w:val="00916669"/>
    <w:rsid w:val="00916BBF"/>
    <w:rsid w:val="0091707D"/>
    <w:rsid w:val="009174A8"/>
    <w:rsid w:val="009174D6"/>
    <w:rsid w:val="009176CD"/>
    <w:rsid w:val="00917700"/>
    <w:rsid w:val="009209BE"/>
    <w:rsid w:val="00920EE7"/>
    <w:rsid w:val="009210A4"/>
    <w:rsid w:val="00921A28"/>
    <w:rsid w:val="00921B41"/>
    <w:rsid w:val="00922366"/>
    <w:rsid w:val="00922432"/>
    <w:rsid w:val="00922D11"/>
    <w:rsid w:val="0092307F"/>
    <w:rsid w:val="00923436"/>
    <w:rsid w:val="00923DD3"/>
    <w:rsid w:val="0092533A"/>
    <w:rsid w:val="00926C23"/>
    <w:rsid w:val="00927C7E"/>
    <w:rsid w:val="00930764"/>
    <w:rsid w:val="00931121"/>
    <w:rsid w:val="0093118E"/>
    <w:rsid w:val="00931C06"/>
    <w:rsid w:val="00931C31"/>
    <w:rsid w:val="0093265A"/>
    <w:rsid w:val="00932666"/>
    <w:rsid w:val="00932A53"/>
    <w:rsid w:val="009338D0"/>
    <w:rsid w:val="00934F62"/>
    <w:rsid w:val="00935899"/>
    <w:rsid w:val="00935B84"/>
    <w:rsid w:val="0093783A"/>
    <w:rsid w:val="00937A40"/>
    <w:rsid w:val="00937DF2"/>
    <w:rsid w:val="00942548"/>
    <w:rsid w:val="009431A8"/>
    <w:rsid w:val="00943482"/>
    <w:rsid w:val="00943B34"/>
    <w:rsid w:val="0094428D"/>
    <w:rsid w:val="009445BB"/>
    <w:rsid w:val="0094573A"/>
    <w:rsid w:val="00947089"/>
    <w:rsid w:val="00947256"/>
    <w:rsid w:val="00947619"/>
    <w:rsid w:val="00947C19"/>
    <w:rsid w:val="009507CE"/>
    <w:rsid w:val="009523FC"/>
    <w:rsid w:val="00952B40"/>
    <w:rsid w:val="00953231"/>
    <w:rsid w:val="009536F8"/>
    <w:rsid w:val="00953892"/>
    <w:rsid w:val="00953D8B"/>
    <w:rsid w:val="009545B7"/>
    <w:rsid w:val="0095473B"/>
    <w:rsid w:val="00954B32"/>
    <w:rsid w:val="009559E9"/>
    <w:rsid w:val="00955D6D"/>
    <w:rsid w:val="0095625E"/>
    <w:rsid w:val="009568DA"/>
    <w:rsid w:val="00957DCB"/>
    <w:rsid w:val="00957FE2"/>
    <w:rsid w:val="00960402"/>
    <w:rsid w:val="0096045B"/>
    <w:rsid w:val="009606F0"/>
    <w:rsid w:val="00961DD6"/>
    <w:rsid w:val="00961F36"/>
    <w:rsid w:val="00961F6D"/>
    <w:rsid w:val="00962C1F"/>
    <w:rsid w:val="00963A5B"/>
    <w:rsid w:val="0096456A"/>
    <w:rsid w:val="009648C6"/>
    <w:rsid w:val="0096522F"/>
    <w:rsid w:val="009656D9"/>
    <w:rsid w:val="00965DCB"/>
    <w:rsid w:val="00965DE1"/>
    <w:rsid w:val="009660C2"/>
    <w:rsid w:val="0096682C"/>
    <w:rsid w:val="00967091"/>
    <w:rsid w:val="009708BB"/>
    <w:rsid w:val="009712AB"/>
    <w:rsid w:val="00971D2C"/>
    <w:rsid w:val="00971D5A"/>
    <w:rsid w:val="00972988"/>
    <w:rsid w:val="00972D5E"/>
    <w:rsid w:val="0097434E"/>
    <w:rsid w:val="00975424"/>
    <w:rsid w:val="009766A9"/>
    <w:rsid w:val="00976BE4"/>
    <w:rsid w:val="009775A0"/>
    <w:rsid w:val="009779D5"/>
    <w:rsid w:val="00977B01"/>
    <w:rsid w:val="00977D61"/>
    <w:rsid w:val="009802E3"/>
    <w:rsid w:val="00980D99"/>
    <w:rsid w:val="009814ED"/>
    <w:rsid w:val="009820CA"/>
    <w:rsid w:val="009823AB"/>
    <w:rsid w:val="0098248A"/>
    <w:rsid w:val="00983656"/>
    <w:rsid w:val="00983974"/>
    <w:rsid w:val="0098414A"/>
    <w:rsid w:val="009842B5"/>
    <w:rsid w:val="009845B7"/>
    <w:rsid w:val="0098468C"/>
    <w:rsid w:val="009879BE"/>
    <w:rsid w:val="0099061A"/>
    <w:rsid w:val="009907CD"/>
    <w:rsid w:val="00990C55"/>
    <w:rsid w:val="00991631"/>
    <w:rsid w:val="0099195D"/>
    <w:rsid w:val="0099292E"/>
    <w:rsid w:val="0099313E"/>
    <w:rsid w:val="0099459E"/>
    <w:rsid w:val="009945F5"/>
    <w:rsid w:val="0099471C"/>
    <w:rsid w:val="009960B2"/>
    <w:rsid w:val="00996C0F"/>
    <w:rsid w:val="00996D2A"/>
    <w:rsid w:val="00997138"/>
    <w:rsid w:val="00997473"/>
    <w:rsid w:val="009977AA"/>
    <w:rsid w:val="00997D8B"/>
    <w:rsid w:val="009A0D50"/>
    <w:rsid w:val="009A13CD"/>
    <w:rsid w:val="009A1A49"/>
    <w:rsid w:val="009A1CCC"/>
    <w:rsid w:val="009A1E65"/>
    <w:rsid w:val="009A22F4"/>
    <w:rsid w:val="009A23C6"/>
    <w:rsid w:val="009A293D"/>
    <w:rsid w:val="009A2DAB"/>
    <w:rsid w:val="009A2F05"/>
    <w:rsid w:val="009A34F8"/>
    <w:rsid w:val="009A3948"/>
    <w:rsid w:val="009A4F0C"/>
    <w:rsid w:val="009A5A03"/>
    <w:rsid w:val="009A61B6"/>
    <w:rsid w:val="009A67AA"/>
    <w:rsid w:val="009A69F5"/>
    <w:rsid w:val="009A79E8"/>
    <w:rsid w:val="009A7B28"/>
    <w:rsid w:val="009B1ECB"/>
    <w:rsid w:val="009B262D"/>
    <w:rsid w:val="009B351E"/>
    <w:rsid w:val="009B3F0E"/>
    <w:rsid w:val="009B45EB"/>
    <w:rsid w:val="009B5BE0"/>
    <w:rsid w:val="009B5D50"/>
    <w:rsid w:val="009B620C"/>
    <w:rsid w:val="009B741C"/>
    <w:rsid w:val="009B776E"/>
    <w:rsid w:val="009C0A06"/>
    <w:rsid w:val="009C279C"/>
    <w:rsid w:val="009C2873"/>
    <w:rsid w:val="009C28EB"/>
    <w:rsid w:val="009C2AC6"/>
    <w:rsid w:val="009C2B06"/>
    <w:rsid w:val="009C2E3E"/>
    <w:rsid w:val="009C3248"/>
    <w:rsid w:val="009C3B7F"/>
    <w:rsid w:val="009C42ED"/>
    <w:rsid w:val="009C44AC"/>
    <w:rsid w:val="009C4594"/>
    <w:rsid w:val="009C4A62"/>
    <w:rsid w:val="009C4D74"/>
    <w:rsid w:val="009C5212"/>
    <w:rsid w:val="009C5573"/>
    <w:rsid w:val="009C5C9F"/>
    <w:rsid w:val="009C6986"/>
    <w:rsid w:val="009C6FE7"/>
    <w:rsid w:val="009C709E"/>
    <w:rsid w:val="009C7171"/>
    <w:rsid w:val="009C750F"/>
    <w:rsid w:val="009D0495"/>
    <w:rsid w:val="009D0E96"/>
    <w:rsid w:val="009D195A"/>
    <w:rsid w:val="009D236B"/>
    <w:rsid w:val="009D27EB"/>
    <w:rsid w:val="009D295A"/>
    <w:rsid w:val="009D46EB"/>
    <w:rsid w:val="009D4A32"/>
    <w:rsid w:val="009D5335"/>
    <w:rsid w:val="009D6A21"/>
    <w:rsid w:val="009D75EF"/>
    <w:rsid w:val="009E09DD"/>
    <w:rsid w:val="009E135C"/>
    <w:rsid w:val="009E1B23"/>
    <w:rsid w:val="009E20C3"/>
    <w:rsid w:val="009E2235"/>
    <w:rsid w:val="009E2463"/>
    <w:rsid w:val="009E2F26"/>
    <w:rsid w:val="009E3395"/>
    <w:rsid w:val="009E4C82"/>
    <w:rsid w:val="009E552C"/>
    <w:rsid w:val="009E57E1"/>
    <w:rsid w:val="009E62BF"/>
    <w:rsid w:val="009E63FD"/>
    <w:rsid w:val="009E6675"/>
    <w:rsid w:val="009E67BA"/>
    <w:rsid w:val="009E6B87"/>
    <w:rsid w:val="009E7192"/>
    <w:rsid w:val="009E73BE"/>
    <w:rsid w:val="009F0ADC"/>
    <w:rsid w:val="009F0E50"/>
    <w:rsid w:val="009F0EDC"/>
    <w:rsid w:val="009F13BE"/>
    <w:rsid w:val="009F1439"/>
    <w:rsid w:val="009F1914"/>
    <w:rsid w:val="009F20E4"/>
    <w:rsid w:val="009F21D0"/>
    <w:rsid w:val="009F2916"/>
    <w:rsid w:val="009F3013"/>
    <w:rsid w:val="009F33AD"/>
    <w:rsid w:val="009F4B44"/>
    <w:rsid w:val="009F5AF5"/>
    <w:rsid w:val="009F5B49"/>
    <w:rsid w:val="009F638F"/>
    <w:rsid w:val="009F6AE6"/>
    <w:rsid w:val="009F7057"/>
    <w:rsid w:val="009F79EC"/>
    <w:rsid w:val="00A002DC"/>
    <w:rsid w:val="00A01453"/>
    <w:rsid w:val="00A02656"/>
    <w:rsid w:val="00A02D78"/>
    <w:rsid w:val="00A03358"/>
    <w:rsid w:val="00A041EB"/>
    <w:rsid w:val="00A04BE6"/>
    <w:rsid w:val="00A04C94"/>
    <w:rsid w:val="00A050A5"/>
    <w:rsid w:val="00A05E5C"/>
    <w:rsid w:val="00A0646A"/>
    <w:rsid w:val="00A065C1"/>
    <w:rsid w:val="00A06D48"/>
    <w:rsid w:val="00A07AF8"/>
    <w:rsid w:val="00A10387"/>
    <w:rsid w:val="00A11403"/>
    <w:rsid w:val="00A1211C"/>
    <w:rsid w:val="00A12830"/>
    <w:rsid w:val="00A131B6"/>
    <w:rsid w:val="00A13432"/>
    <w:rsid w:val="00A136E7"/>
    <w:rsid w:val="00A13EE2"/>
    <w:rsid w:val="00A14141"/>
    <w:rsid w:val="00A15A8B"/>
    <w:rsid w:val="00A15CBD"/>
    <w:rsid w:val="00A16C2D"/>
    <w:rsid w:val="00A16D4D"/>
    <w:rsid w:val="00A204B4"/>
    <w:rsid w:val="00A20EA8"/>
    <w:rsid w:val="00A21559"/>
    <w:rsid w:val="00A22A59"/>
    <w:rsid w:val="00A2350C"/>
    <w:rsid w:val="00A23E90"/>
    <w:rsid w:val="00A24530"/>
    <w:rsid w:val="00A2502D"/>
    <w:rsid w:val="00A257CE"/>
    <w:rsid w:val="00A25B49"/>
    <w:rsid w:val="00A25F41"/>
    <w:rsid w:val="00A263E5"/>
    <w:rsid w:val="00A26ACC"/>
    <w:rsid w:val="00A27C38"/>
    <w:rsid w:val="00A27C97"/>
    <w:rsid w:val="00A3045A"/>
    <w:rsid w:val="00A31151"/>
    <w:rsid w:val="00A31470"/>
    <w:rsid w:val="00A31A7B"/>
    <w:rsid w:val="00A33B62"/>
    <w:rsid w:val="00A35294"/>
    <w:rsid w:val="00A3547D"/>
    <w:rsid w:val="00A36330"/>
    <w:rsid w:val="00A379C7"/>
    <w:rsid w:val="00A37C5E"/>
    <w:rsid w:val="00A405F7"/>
    <w:rsid w:val="00A40A11"/>
    <w:rsid w:val="00A41059"/>
    <w:rsid w:val="00A41B57"/>
    <w:rsid w:val="00A41F56"/>
    <w:rsid w:val="00A42810"/>
    <w:rsid w:val="00A43166"/>
    <w:rsid w:val="00A4421E"/>
    <w:rsid w:val="00A44DE5"/>
    <w:rsid w:val="00A45058"/>
    <w:rsid w:val="00A45068"/>
    <w:rsid w:val="00A452E3"/>
    <w:rsid w:val="00A50142"/>
    <w:rsid w:val="00A506DE"/>
    <w:rsid w:val="00A50872"/>
    <w:rsid w:val="00A515E9"/>
    <w:rsid w:val="00A51E8C"/>
    <w:rsid w:val="00A52AAC"/>
    <w:rsid w:val="00A52C1E"/>
    <w:rsid w:val="00A52D36"/>
    <w:rsid w:val="00A52E68"/>
    <w:rsid w:val="00A53642"/>
    <w:rsid w:val="00A539E5"/>
    <w:rsid w:val="00A53E4B"/>
    <w:rsid w:val="00A53FB1"/>
    <w:rsid w:val="00A54630"/>
    <w:rsid w:val="00A55705"/>
    <w:rsid w:val="00A56BDA"/>
    <w:rsid w:val="00A56C09"/>
    <w:rsid w:val="00A57051"/>
    <w:rsid w:val="00A601D3"/>
    <w:rsid w:val="00A604BD"/>
    <w:rsid w:val="00A608D4"/>
    <w:rsid w:val="00A60CA8"/>
    <w:rsid w:val="00A61025"/>
    <w:rsid w:val="00A61B78"/>
    <w:rsid w:val="00A6248D"/>
    <w:rsid w:val="00A62691"/>
    <w:rsid w:val="00A62927"/>
    <w:rsid w:val="00A62B3A"/>
    <w:rsid w:val="00A62CEB"/>
    <w:rsid w:val="00A62D52"/>
    <w:rsid w:val="00A62F69"/>
    <w:rsid w:val="00A63870"/>
    <w:rsid w:val="00A64358"/>
    <w:rsid w:val="00A649E0"/>
    <w:rsid w:val="00A64A9E"/>
    <w:rsid w:val="00A65BEE"/>
    <w:rsid w:val="00A664D0"/>
    <w:rsid w:val="00A66C96"/>
    <w:rsid w:val="00A677ED"/>
    <w:rsid w:val="00A67A61"/>
    <w:rsid w:val="00A70476"/>
    <w:rsid w:val="00A70B5A"/>
    <w:rsid w:val="00A71229"/>
    <w:rsid w:val="00A71D22"/>
    <w:rsid w:val="00A72F6F"/>
    <w:rsid w:val="00A73389"/>
    <w:rsid w:val="00A73A2D"/>
    <w:rsid w:val="00A74984"/>
    <w:rsid w:val="00A751D8"/>
    <w:rsid w:val="00A75237"/>
    <w:rsid w:val="00A75DA0"/>
    <w:rsid w:val="00A76014"/>
    <w:rsid w:val="00A76023"/>
    <w:rsid w:val="00A77272"/>
    <w:rsid w:val="00A776BE"/>
    <w:rsid w:val="00A77EA4"/>
    <w:rsid w:val="00A806ED"/>
    <w:rsid w:val="00A80C09"/>
    <w:rsid w:val="00A811F0"/>
    <w:rsid w:val="00A813DF"/>
    <w:rsid w:val="00A81809"/>
    <w:rsid w:val="00A8245C"/>
    <w:rsid w:val="00A83515"/>
    <w:rsid w:val="00A835E1"/>
    <w:rsid w:val="00A838BE"/>
    <w:rsid w:val="00A83DD8"/>
    <w:rsid w:val="00A83FD6"/>
    <w:rsid w:val="00A848E3"/>
    <w:rsid w:val="00A84F53"/>
    <w:rsid w:val="00A85271"/>
    <w:rsid w:val="00A868B7"/>
    <w:rsid w:val="00A878E7"/>
    <w:rsid w:val="00A90367"/>
    <w:rsid w:val="00A911EF"/>
    <w:rsid w:val="00A91E7C"/>
    <w:rsid w:val="00A91E9D"/>
    <w:rsid w:val="00A91EFA"/>
    <w:rsid w:val="00A92159"/>
    <w:rsid w:val="00A92375"/>
    <w:rsid w:val="00A9362D"/>
    <w:rsid w:val="00A94044"/>
    <w:rsid w:val="00A9440A"/>
    <w:rsid w:val="00A954A0"/>
    <w:rsid w:val="00A96837"/>
    <w:rsid w:val="00A968C8"/>
    <w:rsid w:val="00A97154"/>
    <w:rsid w:val="00A972D1"/>
    <w:rsid w:val="00A97D3B"/>
    <w:rsid w:val="00A97FA9"/>
    <w:rsid w:val="00AA168A"/>
    <w:rsid w:val="00AA2492"/>
    <w:rsid w:val="00AA26DC"/>
    <w:rsid w:val="00AA36E0"/>
    <w:rsid w:val="00AA3D91"/>
    <w:rsid w:val="00AA5C89"/>
    <w:rsid w:val="00AA6094"/>
    <w:rsid w:val="00AA632C"/>
    <w:rsid w:val="00AA78F8"/>
    <w:rsid w:val="00AA7AAF"/>
    <w:rsid w:val="00AA7FAE"/>
    <w:rsid w:val="00AB0134"/>
    <w:rsid w:val="00AB026C"/>
    <w:rsid w:val="00AB0811"/>
    <w:rsid w:val="00AB14C6"/>
    <w:rsid w:val="00AB1B44"/>
    <w:rsid w:val="00AB263F"/>
    <w:rsid w:val="00AB280E"/>
    <w:rsid w:val="00AB2D98"/>
    <w:rsid w:val="00AB2E65"/>
    <w:rsid w:val="00AB3375"/>
    <w:rsid w:val="00AB3719"/>
    <w:rsid w:val="00AB3F67"/>
    <w:rsid w:val="00AB4681"/>
    <w:rsid w:val="00AB661F"/>
    <w:rsid w:val="00AB691A"/>
    <w:rsid w:val="00AB6F23"/>
    <w:rsid w:val="00AC0370"/>
    <w:rsid w:val="00AC1A06"/>
    <w:rsid w:val="00AC1FBC"/>
    <w:rsid w:val="00AC2F0B"/>
    <w:rsid w:val="00AC4244"/>
    <w:rsid w:val="00AC4E50"/>
    <w:rsid w:val="00AC5098"/>
    <w:rsid w:val="00AC541B"/>
    <w:rsid w:val="00AC71C1"/>
    <w:rsid w:val="00AC7B54"/>
    <w:rsid w:val="00AD013A"/>
    <w:rsid w:val="00AD05A7"/>
    <w:rsid w:val="00AD0A2E"/>
    <w:rsid w:val="00AD0CBA"/>
    <w:rsid w:val="00AD17A6"/>
    <w:rsid w:val="00AD2A1D"/>
    <w:rsid w:val="00AD2CFA"/>
    <w:rsid w:val="00AD3F91"/>
    <w:rsid w:val="00AD4012"/>
    <w:rsid w:val="00AD41C5"/>
    <w:rsid w:val="00AD42D2"/>
    <w:rsid w:val="00AD47C2"/>
    <w:rsid w:val="00AD4ABF"/>
    <w:rsid w:val="00AD53F0"/>
    <w:rsid w:val="00AD5FEF"/>
    <w:rsid w:val="00AD6442"/>
    <w:rsid w:val="00AD75D1"/>
    <w:rsid w:val="00AD79ED"/>
    <w:rsid w:val="00AD7B00"/>
    <w:rsid w:val="00AD7DD1"/>
    <w:rsid w:val="00AE0134"/>
    <w:rsid w:val="00AE02DB"/>
    <w:rsid w:val="00AE0B9B"/>
    <w:rsid w:val="00AE226C"/>
    <w:rsid w:val="00AE273A"/>
    <w:rsid w:val="00AE2B8D"/>
    <w:rsid w:val="00AE30FB"/>
    <w:rsid w:val="00AE3509"/>
    <w:rsid w:val="00AE3853"/>
    <w:rsid w:val="00AE38AE"/>
    <w:rsid w:val="00AE39A6"/>
    <w:rsid w:val="00AE4021"/>
    <w:rsid w:val="00AE56DB"/>
    <w:rsid w:val="00AE7A13"/>
    <w:rsid w:val="00AE7B34"/>
    <w:rsid w:val="00AF000C"/>
    <w:rsid w:val="00AF055E"/>
    <w:rsid w:val="00AF0F46"/>
    <w:rsid w:val="00AF12BD"/>
    <w:rsid w:val="00AF2234"/>
    <w:rsid w:val="00AF3078"/>
    <w:rsid w:val="00AF3971"/>
    <w:rsid w:val="00AF4781"/>
    <w:rsid w:val="00AF4DDE"/>
    <w:rsid w:val="00AF5CA4"/>
    <w:rsid w:val="00AF639B"/>
    <w:rsid w:val="00AF66EC"/>
    <w:rsid w:val="00AF73D1"/>
    <w:rsid w:val="00AF7C11"/>
    <w:rsid w:val="00AF7EC9"/>
    <w:rsid w:val="00B000BE"/>
    <w:rsid w:val="00B000C7"/>
    <w:rsid w:val="00B006EB"/>
    <w:rsid w:val="00B00BF9"/>
    <w:rsid w:val="00B00D84"/>
    <w:rsid w:val="00B01950"/>
    <w:rsid w:val="00B02053"/>
    <w:rsid w:val="00B03251"/>
    <w:rsid w:val="00B03476"/>
    <w:rsid w:val="00B04127"/>
    <w:rsid w:val="00B04250"/>
    <w:rsid w:val="00B05184"/>
    <w:rsid w:val="00B05897"/>
    <w:rsid w:val="00B059E3"/>
    <w:rsid w:val="00B061FE"/>
    <w:rsid w:val="00B064A8"/>
    <w:rsid w:val="00B076DF"/>
    <w:rsid w:val="00B102DE"/>
    <w:rsid w:val="00B109D2"/>
    <w:rsid w:val="00B110AF"/>
    <w:rsid w:val="00B116D6"/>
    <w:rsid w:val="00B11B5C"/>
    <w:rsid w:val="00B129EF"/>
    <w:rsid w:val="00B13AFB"/>
    <w:rsid w:val="00B13FEE"/>
    <w:rsid w:val="00B144BC"/>
    <w:rsid w:val="00B1615E"/>
    <w:rsid w:val="00B16887"/>
    <w:rsid w:val="00B16A27"/>
    <w:rsid w:val="00B17497"/>
    <w:rsid w:val="00B17BF4"/>
    <w:rsid w:val="00B20851"/>
    <w:rsid w:val="00B20AEC"/>
    <w:rsid w:val="00B214B2"/>
    <w:rsid w:val="00B218E7"/>
    <w:rsid w:val="00B21F0E"/>
    <w:rsid w:val="00B2232C"/>
    <w:rsid w:val="00B23B35"/>
    <w:rsid w:val="00B23F70"/>
    <w:rsid w:val="00B2418D"/>
    <w:rsid w:val="00B251D4"/>
    <w:rsid w:val="00B2563A"/>
    <w:rsid w:val="00B259E0"/>
    <w:rsid w:val="00B26546"/>
    <w:rsid w:val="00B26547"/>
    <w:rsid w:val="00B26745"/>
    <w:rsid w:val="00B274A0"/>
    <w:rsid w:val="00B274B7"/>
    <w:rsid w:val="00B27DBF"/>
    <w:rsid w:val="00B30223"/>
    <w:rsid w:val="00B31355"/>
    <w:rsid w:val="00B319E8"/>
    <w:rsid w:val="00B31A09"/>
    <w:rsid w:val="00B32A5F"/>
    <w:rsid w:val="00B32F77"/>
    <w:rsid w:val="00B3350A"/>
    <w:rsid w:val="00B33AF6"/>
    <w:rsid w:val="00B3479F"/>
    <w:rsid w:val="00B364DC"/>
    <w:rsid w:val="00B36614"/>
    <w:rsid w:val="00B36A91"/>
    <w:rsid w:val="00B36F44"/>
    <w:rsid w:val="00B37A22"/>
    <w:rsid w:val="00B37DB1"/>
    <w:rsid w:val="00B40121"/>
    <w:rsid w:val="00B40230"/>
    <w:rsid w:val="00B413BC"/>
    <w:rsid w:val="00B41FD9"/>
    <w:rsid w:val="00B42A06"/>
    <w:rsid w:val="00B42E1E"/>
    <w:rsid w:val="00B4380F"/>
    <w:rsid w:val="00B44762"/>
    <w:rsid w:val="00B45210"/>
    <w:rsid w:val="00B45449"/>
    <w:rsid w:val="00B455D1"/>
    <w:rsid w:val="00B45849"/>
    <w:rsid w:val="00B45F8A"/>
    <w:rsid w:val="00B462A0"/>
    <w:rsid w:val="00B469ED"/>
    <w:rsid w:val="00B46EB5"/>
    <w:rsid w:val="00B47F62"/>
    <w:rsid w:val="00B50904"/>
    <w:rsid w:val="00B51B97"/>
    <w:rsid w:val="00B51ED5"/>
    <w:rsid w:val="00B52121"/>
    <w:rsid w:val="00B526A3"/>
    <w:rsid w:val="00B52767"/>
    <w:rsid w:val="00B52E3E"/>
    <w:rsid w:val="00B53418"/>
    <w:rsid w:val="00B54157"/>
    <w:rsid w:val="00B54CDD"/>
    <w:rsid w:val="00B54F3C"/>
    <w:rsid w:val="00B56506"/>
    <w:rsid w:val="00B56817"/>
    <w:rsid w:val="00B60479"/>
    <w:rsid w:val="00B60A33"/>
    <w:rsid w:val="00B60B58"/>
    <w:rsid w:val="00B61363"/>
    <w:rsid w:val="00B6198E"/>
    <w:rsid w:val="00B61F46"/>
    <w:rsid w:val="00B620FA"/>
    <w:rsid w:val="00B625EA"/>
    <w:rsid w:val="00B6286E"/>
    <w:rsid w:val="00B628B0"/>
    <w:rsid w:val="00B62B3D"/>
    <w:rsid w:val="00B62BE1"/>
    <w:rsid w:val="00B636E0"/>
    <w:rsid w:val="00B63B85"/>
    <w:rsid w:val="00B645A5"/>
    <w:rsid w:val="00B6487A"/>
    <w:rsid w:val="00B6497C"/>
    <w:rsid w:val="00B64C01"/>
    <w:rsid w:val="00B6512C"/>
    <w:rsid w:val="00B65A02"/>
    <w:rsid w:val="00B6650D"/>
    <w:rsid w:val="00B66C06"/>
    <w:rsid w:val="00B66ED5"/>
    <w:rsid w:val="00B67B6C"/>
    <w:rsid w:val="00B705CB"/>
    <w:rsid w:val="00B7090F"/>
    <w:rsid w:val="00B71854"/>
    <w:rsid w:val="00B71D04"/>
    <w:rsid w:val="00B71EF3"/>
    <w:rsid w:val="00B7280F"/>
    <w:rsid w:val="00B72C91"/>
    <w:rsid w:val="00B7307F"/>
    <w:rsid w:val="00B7385B"/>
    <w:rsid w:val="00B73D50"/>
    <w:rsid w:val="00B74960"/>
    <w:rsid w:val="00B753C8"/>
    <w:rsid w:val="00B75595"/>
    <w:rsid w:val="00B75654"/>
    <w:rsid w:val="00B7633A"/>
    <w:rsid w:val="00B765C2"/>
    <w:rsid w:val="00B76D39"/>
    <w:rsid w:val="00B772A6"/>
    <w:rsid w:val="00B77C75"/>
    <w:rsid w:val="00B803DA"/>
    <w:rsid w:val="00B8040A"/>
    <w:rsid w:val="00B80C37"/>
    <w:rsid w:val="00B80C8F"/>
    <w:rsid w:val="00B81CD7"/>
    <w:rsid w:val="00B822FA"/>
    <w:rsid w:val="00B824F8"/>
    <w:rsid w:val="00B82628"/>
    <w:rsid w:val="00B8273D"/>
    <w:rsid w:val="00B832FD"/>
    <w:rsid w:val="00B841B9"/>
    <w:rsid w:val="00B84A0B"/>
    <w:rsid w:val="00B84CA8"/>
    <w:rsid w:val="00B85061"/>
    <w:rsid w:val="00B859A1"/>
    <w:rsid w:val="00B85C9A"/>
    <w:rsid w:val="00B872FD"/>
    <w:rsid w:val="00B8756F"/>
    <w:rsid w:val="00B875BC"/>
    <w:rsid w:val="00B905F2"/>
    <w:rsid w:val="00B90819"/>
    <w:rsid w:val="00B90A23"/>
    <w:rsid w:val="00B90A78"/>
    <w:rsid w:val="00B90B2C"/>
    <w:rsid w:val="00B90B3C"/>
    <w:rsid w:val="00B90B3F"/>
    <w:rsid w:val="00B911F2"/>
    <w:rsid w:val="00B93273"/>
    <w:rsid w:val="00B942E9"/>
    <w:rsid w:val="00B94645"/>
    <w:rsid w:val="00B95F58"/>
    <w:rsid w:val="00B96E50"/>
    <w:rsid w:val="00B97192"/>
    <w:rsid w:val="00B97A50"/>
    <w:rsid w:val="00BA0F07"/>
    <w:rsid w:val="00BA12AC"/>
    <w:rsid w:val="00BA1EF2"/>
    <w:rsid w:val="00BA39C1"/>
    <w:rsid w:val="00BA3DB6"/>
    <w:rsid w:val="00BA4BCF"/>
    <w:rsid w:val="00BA5B20"/>
    <w:rsid w:val="00BA643D"/>
    <w:rsid w:val="00BA74C4"/>
    <w:rsid w:val="00BB02CE"/>
    <w:rsid w:val="00BB0D78"/>
    <w:rsid w:val="00BB1215"/>
    <w:rsid w:val="00BB14E5"/>
    <w:rsid w:val="00BB16B6"/>
    <w:rsid w:val="00BB2207"/>
    <w:rsid w:val="00BB2D6D"/>
    <w:rsid w:val="00BB4C50"/>
    <w:rsid w:val="00BB683D"/>
    <w:rsid w:val="00BB7724"/>
    <w:rsid w:val="00BB7BE7"/>
    <w:rsid w:val="00BB7C0B"/>
    <w:rsid w:val="00BC052D"/>
    <w:rsid w:val="00BC0EE8"/>
    <w:rsid w:val="00BC1365"/>
    <w:rsid w:val="00BC2345"/>
    <w:rsid w:val="00BC2445"/>
    <w:rsid w:val="00BC2854"/>
    <w:rsid w:val="00BC2FB8"/>
    <w:rsid w:val="00BC3110"/>
    <w:rsid w:val="00BC3603"/>
    <w:rsid w:val="00BC3612"/>
    <w:rsid w:val="00BC4137"/>
    <w:rsid w:val="00BC438E"/>
    <w:rsid w:val="00BC4B91"/>
    <w:rsid w:val="00BC6377"/>
    <w:rsid w:val="00BC72C6"/>
    <w:rsid w:val="00BC7F38"/>
    <w:rsid w:val="00BD05C0"/>
    <w:rsid w:val="00BD12A9"/>
    <w:rsid w:val="00BD1F6D"/>
    <w:rsid w:val="00BD3C99"/>
    <w:rsid w:val="00BD4308"/>
    <w:rsid w:val="00BD4847"/>
    <w:rsid w:val="00BD5BFE"/>
    <w:rsid w:val="00BD65E7"/>
    <w:rsid w:val="00BD79F9"/>
    <w:rsid w:val="00BE0529"/>
    <w:rsid w:val="00BE1B75"/>
    <w:rsid w:val="00BE30B9"/>
    <w:rsid w:val="00BE3365"/>
    <w:rsid w:val="00BE3732"/>
    <w:rsid w:val="00BE4486"/>
    <w:rsid w:val="00BE4870"/>
    <w:rsid w:val="00BE5259"/>
    <w:rsid w:val="00BE566D"/>
    <w:rsid w:val="00BE7BC5"/>
    <w:rsid w:val="00BE7F92"/>
    <w:rsid w:val="00BF0005"/>
    <w:rsid w:val="00BF0C47"/>
    <w:rsid w:val="00BF14E7"/>
    <w:rsid w:val="00BF175F"/>
    <w:rsid w:val="00BF1888"/>
    <w:rsid w:val="00BF2F2F"/>
    <w:rsid w:val="00BF3528"/>
    <w:rsid w:val="00BF379D"/>
    <w:rsid w:val="00BF4005"/>
    <w:rsid w:val="00BF57B2"/>
    <w:rsid w:val="00BF644C"/>
    <w:rsid w:val="00BF6EFC"/>
    <w:rsid w:val="00BF6F04"/>
    <w:rsid w:val="00BF7470"/>
    <w:rsid w:val="00C00C10"/>
    <w:rsid w:val="00C01820"/>
    <w:rsid w:val="00C0207B"/>
    <w:rsid w:val="00C0255B"/>
    <w:rsid w:val="00C03BCF"/>
    <w:rsid w:val="00C03CAC"/>
    <w:rsid w:val="00C04068"/>
    <w:rsid w:val="00C04445"/>
    <w:rsid w:val="00C04B29"/>
    <w:rsid w:val="00C04DF3"/>
    <w:rsid w:val="00C05A8B"/>
    <w:rsid w:val="00C05C8D"/>
    <w:rsid w:val="00C05D86"/>
    <w:rsid w:val="00C05DCD"/>
    <w:rsid w:val="00C060D3"/>
    <w:rsid w:val="00C07869"/>
    <w:rsid w:val="00C07C8B"/>
    <w:rsid w:val="00C07EC1"/>
    <w:rsid w:val="00C104AD"/>
    <w:rsid w:val="00C1165A"/>
    <w:rsid w:val="00C124AE"/>
    <w:rsid w:val="00C138C0"/>
    <w:rsid w:val="00C13AC3"/>
    <w:rsid w:val="00C13DCC"/>
    <w:rsid w:val="00C15E97"/>
    <w:rsid w:val="00C16580"/>
    <w:rsid w:val="00C16899"/>
    <w:rsid w:val="00C16C0D"/>
    <w:rsid w:val="00C16DE9"/>
    <w:rsid w:val="00C16F31"/>
    <w:rsid w:val="00C17C0E"/>
    <w:rsid w:val="00C22250"/>
    <w:rsid w:val="00C225BF"/>
    <w:rsid w:val="00C22B3A"/>
    <w:rsid w:val="00C233B4"/>
    <w:rsid w:val="00C23442"/>
    <w:rsid w:val="00C2399E"/>
    <w:rsid w:val="00C23DF1"/>
    <w:rsid w:val="00C24B0F"/>
    <w:rsid w:val="00C26986"/>
    <w:rsid w:val="00C27DAD"/>
    <w:rsid w:val="00C303D8"/>
    <w:rsid w:val="00C304A3"/>
    <w:rsid w:val="00C3358B"/>
    <w:rsid w:val="00C336DA"/>
    <w:rsid w:val="00C338BD"/>
    <w:rsid w:val="00C33C63"/>
    <w:rsid w:val="00C33CE8"/>
    <w:rsid w:val="00C33F6D"/>
    <w:rsid w:val="00C34D86"/>
    <w:rsid w:val="00C3526E"/>
    <w:rsid w:val="00C362BD"/>
    <w:rsid w:val="00C363A2"/>
    <w:rsid w:val="00C37437"/>
    <w:rsid w:val="00C40464"/>
    <w:rsid w:val="00C42721"/>
    <w:rsid w:val="00C430DF"/>
    <w:rsid w:val="00C4378F"/>
    <w:rsid w:val="00C437E5"/>
    <w:rsid w:val="00C43924"/>
    <w:rsid w:val="00C44E31"/>
    <w:rsid w:val="00C451D8"/>
    <w:rsid w:val="00C4526B"/>
    <w:rsid w:val="00C45D26"/>
    <w:rsid w:val="00C45DD1"/>
    <w:rsid w:val="00C462B0"/>
    <w:rsid w:val="00C47EE7"/>
    <w:rsid w:val="00C50103"/>
    <w:rsid w:val="00C50285"/>
    <w:rsid w:val="00C507C4"/>
    <w:rsid w:val="00C50B0B"/>
    <w:rsid w:val="00C50F4A"/>
    <w:rsid w:val="00C511F2"/>
    <w:rsid w:val="00C51BC9"/>
    <w:rsid w:val="00C51C9D"/>
    <w:rsid w:val="00C51E22"/>
    <w:rsid w:val="00C53A6E"/>
    <w:rsid w:val="00C53CD9"/>
    <w:rsid w:val="00C53F55"/>
    <w:rsid w:val="00C54637"/>
    <w:rsid w:val="00C56352"/>
    <w:rsid w:val="00C56C87"/>
    <w:rsid w:val="00C5757B"/>
    <w:rsid w:val="00C57916"/>
    <w:rsid w:val="00C57A7B"/>
    <w:rsid w:val="00C6005A"/>
    <w:rsid w:val="00C601A6"/>
    <w:rsid w:val="00C605AD"/>
    <w:rsid w:val="00C6278C"/>
    <w:rsid w:val="00C62E23"/>
    <w:rsid w:val="00C644F8"/>
    <w:rsid w:val="00C646C9"/>
    <w:rsid w:val="00C64A80"/>
    <w:rsid w:val="00C64C7B"/>
    <w:rsid w:val="00C657A2"/>
    <w:rsid w:val="00C66169"/>
    <w:rsid w:val="00C67A04"/>
    <w:rsid w:val="00C67D8F"/>
    <w:rsid w:val="00C67E91"/>
    <w:rsid w:val="00C70097"/>
    <w:rsid w:val="00C70A1E"/>
    <w:rsid w:val="00C71B90"/>
    <w:rsid w:val="00C7248B"/>
    <w:rsid w:val="00C72648"/>
    <w:rsid w:val="00C72FD3"/>
    <w:rsid w:val="00C72FF0"/>
    <w:rsid w:val="00C749CC"/>
    <w:rsid w:val="00C74D9C"/>
    <w:rsid w:val="00C76594"/>
    <w:rsid w:val="00C76953"/>
    <w:rsid w:val="00C76E48"/>
    <w:rsid w:val="00C773FA"/>
    <w:rsid w:val="00C8032F"/>
    <w:rsid w:val="00C806DD"/>
    <w:rsid w:val="00C80E8E"/>
    <w:rsid w:val="00C8198B"/>
    <w:rsid w:val="00C81B5D"/>
    <w:rsid w:val="00C81EB6"/>
    <w:rsid w:val="00C81F86"/>
    <w:rsid w:val="00C82107"/>
    <w:rsid w:val="00C823D3"/>
    <w:rsid w:val="00C82F3D"/>
    <w:rsid w:val="00C845C6"/>
    <w:rsid w:val="00C8499D"/>
    <w:rsid w:val="00C84B98"/>
    <w:rsid w:val="00C851A3"/>
    <w:rsid w:val="00C869E8"/>
    <w:rsid w:val="00C902EC"/>
    <w:rsid w:val="00C9097B"/>
    <w:rsid w:val="00C909B5"/>
    <w:rsid w:val="00C9104A"/>
    <w:rsid w:val="00C91ABB"/>
    <w:rsid w:val="00C92C5A"/>
    <w:rsid w:val="00C93326"/>
    <w:rsid w:val="00C93C4A"/>
    <w:rsid w:val="00C9443B"/>
    <w:rsid w:val="00C94A5B"/>
    <w:rsid w:val="00C94FBB"/>
    <w:rsid w:val="00C94FD4"/>
    <w:rsid w:val="00C9584F"/>
    <w:rsid w:val="00C95A21"/>
    <w:rsid w:val="00C96B0F"/>
    <w:rsid w:val="00C96E56"/>
    <w:rsid w:val="00C97754"/>
    <w:rsid w:val="00CA03D1"/>
    <w:rsid w:val="00CA0B78"/>
    <w:rsid w:val="00CA2262"/>
    <w:rsid w:val="00CA2366"/>
    <w:rsid w:val="00CA268D"/>
    <w:rsid w:val="00CA299F"/>
    <w:rsid w:val="00CA2E60"/>
    <w:rsid w:val="00CA3AE3"/>
    <w:rsid w:val="00CA5354"/>
    <w:rsid w:val="00CA573C"/>
    <w:rsid w:val="00CA7678"/>
    <w:rsid w:val="00CB0190"/>
    <w:rsid w:val="00CB036E"/>
    <w:rsid w:val="00CB0B14"/>
    <w:rsid w:val="00CB0D32"/>
    <w:rsid w:val="00CB1245"/>
    <w:rsid w:val="00CB130B"/>
    <w:rsid w:val="00CB1315"/>
    <w:rsid w:val="00CB1AA3"/>
    <w:rsid w:val="00CB2248"/>
    <w:rsid w:val="00CB2557"/>
    <w:rsid w:val="00CB2B31"/>
    <w:rsid w:val="00CB2C44"/>
    <w:rsid w:val="00CB316D"/>
    <w:rsid w:val="00CB3402"/>
    <w:rsid w:val="00CB34C7"/>
    <w:rsid w:val="00CB3901"/>
    <w:rsid w:val="00CB3B25"/>
    <w:rsid w:val="00CB3BFD"/>
    <w:rsid w:val="00CB486C"/>
    <w:rsid w:val="00CB57EC"/>
    <w:rsid w:val="00CB5FCC"/>
    <w:rsid w:val="00CB686A"/>
    <w:rsid w:val="00CB7868"/>
    <w:rsid w:val="00CC04B5"/>
    <w:rsid w:val="00CC1A58"/>
    <w:rsid w:val="00CC1BA6"/>
    <w:rsid w:val="00CC21FB"/>
    <w:rsid w:val="00CC2F58"/>
    <w:rsid w:val="00CC3037"/>
    <w:rsid w:val="00CC33CF"/>
    <w:rsid w:val="00CC37C7"/>
    <w:rsid w:val="00CC4176"/>
    <w:rsid w:val="00CC41AD"/>
    <w:rsid w:val="00CC4887"/>
    <w:rsid w:val="00CC4B28"/>
    <w:rsid w:val="00CC4B45"/>
    <w:rsid w:val="00CC4E26"/>
    <w:rsid w:val="00CC7270"/>
    <w:rsid w:val="00CC75C4"/>
    <w:rsid w:val="00CC76AB"/>
    <w:rsid w:val="00CD0770"/>
    <w:rsid w:val="00CD0AD0"/>
    <w:rsid w:val="00CD0BFD"/>
    <w:rsid w:val="00CD0EFA"/>
    <w:rsid w:val="00CD1A18"/>
    <w:rsid w:val="00CD1D23"/>
    <w:rsid w:val="00CD1E09"/>
    <w:rsid w:val="00CD33A4"/>
    <w:rsid w:val="00CD3A5E"/>
    <w:rsid w:val="00CD3B05"/>
    <w:rsid w:val="00CD3C21"/>
    <w:rsid w:val="00CD40D0"/>
    <w:rsid w:val="00CD4D7D"/>
    <w:rsid w:val="00CD60F0"/>
    <w:rsid w:val="00CD64FF"/>
    <w:rsid w:val="00CD6B87"/>
    <w:rsid w:val="00CD729C"/>
    <w:rsid w:val="00CD7319"/>
    <w:rsid w:val="00CD7B4E"/>
    <w:rsid w:val="00CE0D01"/>
    <w:rsid w:val="00CE13DB"/>
    <w:rsid w:val="00CE1F0E"/>
    <w:rsid w:val="00CE2991"/>
    <w:rsid w:val="00CE3275"/>
    <w:rsid w:val="00CE4922"/>
    <w:rsid w:val="00CE5447"/>
    <w:rsid w:val="00CE5D80"/>
    <w:rsid w:val="00CE5F32"/>
    <w:rsid w:val="00CE7B3D"/>
    <w:rsid w:val="00CE7C1F"/>
    <w:rsid w:val="00CE7E43"/>
    <w:rsid w:val="00CE7F9A"/>
    <w:rsid w:val="00CF04A4"/>
    <w:rsid w:val="00CF0621"/>
    <w:rsid w:val="00CF07F2"/>
    <w:rsid w:val="00CF1885"/>
    <w:rsid w:val="00CF252F"/>
    <w:rsid w:val="00CF2E79"/>
    <w:rsid w:val="00CF303A"/>
    <w:rsid w:val="00CF4027"/>
    <w:rsid w:val="00CF431F"/>
    <w:rsid w:val="00CF4D6C"/>
    <w:rsid w:val="00CF5E58"/>
    <w:rsid w:val="00CF6588"/>
    <w:rsid w:val="00CF69C8"/>
    <w:rsid w:val="00CF75EB"/>
    <w:rsid w:val="00CF7B91"/>
    <w:rsid w:val="00CF7F48"/>
    <w:rsid w:val="00D00480"/>
    <w:rsid w:val="00D01CD5"/>
    <w:rsid w:val="00D03123"/>
    <w:rsid w:val="00D035F0"/>
    <w:rsid w:val="00D0406D"/>
    <w:rsid w:val="00D0413B"/>
    <w:rsid w:val="00D04B33"/>
    <w:rsid w:val="00D04F1F"/>
    <w:rsid w:val="00D05036"/>
    <w:rsid w:val="00D06423"/>
    <w:rsid w:val="00D079A6"/>
    <w:rsid w:val="00D10672"/>
    <w:rsid w:val="00D10734"/>
    <w:rsid w:val="00D110D2"/>
    <w:rsid w:val="00D12537"/>
    <w:rsid w:val="00D130BA"/>
    <w:rsid w:val="00D135D4"/>
    <w:rsid w:val="00D138EE"/>
    <w:rsid w:val="00D15BC1"/>
    <w:rsid w:val="00D165CC"/>
    <w:rsid w:val="00D16E6D"/>
    <w:rsid w:val="00D17A1B"/>
    <w:rsid w:val="00D17EA0"/>
    <w:rsid w:val="00D20493"/>
    <w:rsid w:val="00D20659"/>
    <w:rsid w:val="00D20951"/>
    <w:rsid w:val="00D21E5E"/>
    <w:rsid w:val="00D21FCD"/>
    <w:rsid w:val="00D225BC"/>
    <w:rsid w:val="00D226E1"/>
    <w:rsid w:val="00D233CE"/>
    <w:rsid w:val="00D238BE"/>
    <w:rsid w:val="00D23E21"/>
    <w:rsid w:val="00D23FE9"/>
    <w:rsid w:val="00D24B3E"/>
    <w:rsid w:val="00D25181"/>
    <w:rsid w:val="00D25516"/>
    <w:rsid w:val="00D2570A"/>
    <w:rsid w:val="00D257D3"/>
    <w:rsid w:val="00D25DBA"/>
    <w:rsid w:val="00D26C23"/>
    <w:rsid w:val="00D26E6D"/>
    <w:rsid w:val="00D306B7"/>
    <w:rsid w:val="00D3105D"/>
    <w:rsid w:val="00D3136C"/>
    <w:rsid w:val="00D316B2"/>
    <w:rsid w:val="00D31912"/>
    <w:rsid w:val="00D31B94"/>
    <w:rsid w:val="00D31E75"/>
    <w:rsid w:val="00D33ACB"/>
    <w:rsid w:val="00D33E9A"/>
    <w:rsid w:val="00D347D7"/>
    <w:rsid w:val="00D34EF8"/>
    <w:rsid w:val="00D35141"/>
    <w:rsid w:val="00D357C3"/>
    <w:rsid w:val="00D360B8"/>
    <w:rsid w:val="00D360D4"/>
    <w:rsid w:val="00D373FD"/>
    <w:rsid w:val="00D41310"/>
    <w:rsid w:val="00D41EA1"/>
    <w:rsid w:val="00D4239A"/>
    <w:rsid w:val="00D42709"/>
    <w:rsid w:val="00D42E93"/>
    <w:rsid w:val="00D43D6A"/>
    <w:rsid w:val="00D43F33"/>
    <w:rsid w:val="00D44260"/>
    <w:rsid w:val="00D45899"/>
    <w:rsid w:val="00D46B09"/>
    <w:rsid w:val="00D46E99"/>
    <w:rsid w:val="00D47538"/>
    <w:rsid w:val="00D507FB"/>
    <w:rsid w:val="00D51896"/>
    <w:rsid w:val="00D5416C"/>
    <w:rsid w:val="00D55282"/>
    <w:rsid w:val="00D5597B"/>
    <w:rsid w:val="00D56096"/>
    <w:rsid w:val="00D5613E"/>
    <w:rsid w:val="00D57BA1"/>
    <w:rsid w:val="00D60208"/>
    <w:rsid w:val="00D60B20"/>
    <w:rsid w:val="00D60DB6"/>
    <w:rsid w:val="00D62363"/>
    <w:rsid w:val="00D62669"/>
    <w:rsid w:val="00D626D6"/>
    <w:rsid w:val="00D62BFC"/>
    <w:rsid w:val="00D6363F"/>
    <w:rsid w:val="00D63657"/>
    <w:rsid w:val="00D6396A"/>
    <w:rsid w:val="00D641CC"/>
    <w:rsid w:val="00D6437C"/>
    <w:rsid w:val="00D655A7"/>
    <w:rsid w:val="00D65633"/>
    <w:rsid w:val="00D6643E"/>
    <w:rsid w:val="00D66EF8"/>
    <w:rsid w:val="00D677D8"/>
    <w:rsid w:val="00D7080C"/>
    <w:rsid w:val="00D727BD"/>
    <w:rsid w:val="00D72870"/>
    <w:rsid w:val="00D734B0"/>
    <w:rsid w:val="00D73AD8"/>
    <w:rsid w:val="00D745CD"/>
    <w:rsid w:val="00D74EC7"/>
    <w:rsid w:val="00D76511"/>
    <w:rsid w:val="00D76733"/>
    <w:rsid w:val="00D76B92"/>
    <w:rsid w:val="00D77A68"/>
    <w:rsid w:val="00D800EB"/>
    <w:rsid w:val="00D82C1F"/>
    <w:rsid w:val="00D8464E"/>
    <w:rsid w:val="00D85458"/>
    <w:rsid w:val="00D86185"/>
    <w:rsid w:val="00D86583"/>
    <w:rsid w:val="00D8672B"/>
    <w:rsid w:val="00D8672C"/>
    <w:rsid w:val="00D86997"/>
    <w:rsid w:val="00D86EC9"/>
    <w:rsid w:val="00D86FE0"/>
    <w:rsid w:val="00D87257"/>
    <w:rsid w:val="00D902ED"/>
    <w:rsid w:val="00D90BFB"/>
    <w:rsid w:val="00D91348"/>
    <w:rsid w:val="00D918D8"/>
    <w:rsid w:val="00D91F5E"/>
    <w:rsid w:val="00D921C7"/>
    <w:rsid w:val="00D92CA1"/>
    <w:rsid w:val="00D9360B"/>
    <w:rsid w:val="00D93C97"/>
    <w:rsid w:val="00D93F35"/>
    <w:rsid w:val="00D9427F"/>
    <w:rsid w:val="00D94C48"/>
    <w:rsid w:val="00D951E0"/>
    <w:rsid w:val="00D957D2"/>
    <w:rsid w:val="00D95ACC"/>
    <w:rsid w:val="00D95FE6"/>
    <w:rsid w:val="00D972FC"/>
    <w:rsid w:val="00DA05AF"/>
    <w:rsid w:val="00DA0705"/>
    <w:rsid w:val="00DA1113"/>
    <w:rsid w:val="00DA1814"/>
    <w:rsid w:val="00DA1AB6"/>
    <w:rsid w:val="00DA2A22"/>
    <w:rsid w:val="00DA2C69"/>
    <w:rsid w:val="00DA3340"/>
    <w:rsid w:val="00DA3717"/>
    <w:rsid w:val="00DA38CC"/>
    <w:rsid w:val="00DA39DC"/>
    <w:rsid w:val="00DA49EE"/>
    <w:rsid w:val="00DA522F"/>
    <w:rsid w:val="00DA52CA"/>
    <w:rsid w:val="00DA57AD"/>
    <w:rsid w:val="00DA5E6F"/>
    <w:rsid w:val="00DA5FBF"/>
    <w:rsid w:val="00DA5FF5"/>
    <w:rsid w:val="00DA670D"/>
    <w:rsid w:val="00DA6FAC"/>
    <w:rsid w:val="00DB0746"/>
    <w:rsid w:val="00DB0934"/>
    <w:rsid w:val="00DB2119"/>
    <w:rsid w:val="00DB2654"/>
    <w:rsid w:val="00DB32AC"/>
    <w:rsid w:val="00DB3AA1"/>
    <w:rsid w:val="00DB5A42"/>
    <w:rsid w:val="00DB5F0C"/>
    <w:rsid w:val="00DB695D"/>
    <w:rsid w:val="00DB7F0E"/>
    <w:rsid w:val="00DC06F5"/>
    <w:rsid w:val="00DC1122"/>
    <w:rsid w:val="00DC1135"/>
    <w:rsid w:val="00DC1F1E"/>
    <w:rsid w:val="00DC24C8"/>
    <w:rsid w:val="00DC5C1F"/>
    <w:rsid w:val="00DC7554"/>
    <w:rsid w:val="00DC75F4"/>
    <w:rsid w:val="00DC786B"/>
    <w:rsid w:val="00DC7B85"/>
    <w:rsid w:val="00DC7C01"/>
    <w:rsid w:val="00DD0459"/>
    <w:rsid w:val="00DD0A47"/>
    <w:rsid w:val="00DD189F"/>
    <w:rsid w:val="00DD203A"/>
    <w:rsid w:val="00DD2356"/>
    <w:rsid w:val="00DD2462"/>
    <w:rsid w:val="00DD285A"/>
    <w:rsid w:val="00DD3004"/>
    <w:rsid w:val="00DD3DC1"/>
    <w:rsid w:val="00DD5312"/>
    <w:rsid w:val="00DD5BE5"/>
    <w:rsid w:val="00DD5E8C"/>
    <w:rsid w:val="00DD628A"/>
    <w:rsid w:val="00DD62DB"/>
    <w:rsid w:val="00DD630C"/>
    <w:rsid w:val="00DD79CC"/>
    <w:rsid w:val="00DD7C75"/>
    <w:rsid w:val="00DD7CF7"/>
    <w:rsid w:val="00DD7EF4"/>
    <w:rsid w:val="00DE05B7"/>
    <w:rsid w:val="00DE0806"/>
    <w:rsid w:val="00DE0D08"/>
    <w:rsid w:val="00DE1C82"/>
    <w:rsid w:val="00DE27D0"/>
    <w:rsid w:val="00DE28D9"/>
    <w:rsid w:val="00DE37B6"/>
    <w:rsid w:val="00DE491B"/>
    <w:rsid w:val="00DE4DD0"/>
    <w:rsid w:val="00DE523F"/>
    <w:rsid w:val="00DE553A"/>
    <w:rsid w:val="00DE595F"/>
    <w:rsid w:val="00DE5C29"/>
    <w:rsid w:val="00DE623D"/>
    <w:rsid w:val="00DE709E"/>
    <w:rsid w:val="00DE7131"/>
    <w:rsid w:val="00DE7142"/>
    <w:rsid w:val="00DE7BA0"/>
    <w:rsid w:val="00DF1261"/>
    <w:rsid w:val="00DF1311"/>
    <w:rsid w:val="00DF14DC"/>
    <w:rsid w:val="00DF23EE"/>
    <w:rsid w:val="00DF244E"/>
    <w:rsid w:val="00DF2752"/>
    <w:rsid w:val="00DF2C46"/>
    <w:rsid w:val="00DF2D9B"/>
    <w:rsid w:val="00DF3682"/>
    <w:rsid w:val="00DF37B3"/>
    <w:rsid w:val="00DF3AFA"/>
    <w:rsid w:val="00DF3C75"/>
    <w:rsid w:val="00DF44FD"/>
    <w:rsid w:val="00DF4673"/>
    <w:rsid w:val="00DF71C9"/>
    <w:rsid w:val="00DF7995"/>
    <w:rsid w:val="00DF7E97"/>
    <w:rsid w:val="00E0037A"/>
    <w:rsid w:val="00E00A96"/>
    <w:rsid w:val="00E0167C"/>
    <w:rsid w:val="00E031CC"/>
    <w:rsid w:val="00E038AB"/>
    <w:rsid w:val="00E03B98"/>
    <w:rsid w:val="00E05139"/>
    <w:rsid w:val="00E05963"/>
    <w:rsid w:val="00E0642C"/>
    <w:rsid w:val="00E068A9"/>
    <w:rsid w:val="00E07D96"/>
    <w:rsid w:val="00E10329"/>
    <w:rsid w:val="00E10594"/>
    <w:rsid w:val="00E10BB0"/>
    <w:rsid w:val="00E10C0F"/>
    <w:rsid w:val="00E118A7"/>
    <w:rsid w:val="00E11CD1"/>
    <w:rsid w:val="00E11D3C"/>
    <w:rsid w:val="00E11F58"/>
    <w:rsid w:val="00E133B2"/>
    <w:rsid w:val="00E13755"/>
    <w:rsid w:val="00E13A3B"/>
    <w:rsid w:val="00E13B71"/>
    <w:rsid w:val="00E15A88"/>
    <w:rsid w:val="00E16C33"/>
    <w:rsid w:val="00E170B2"/>
    <w:rsid w:val="00E174C5"/>
    <w:rsid w:val="00E1757C"/>
    <w:rsid w:val="00E17887"/>
    <w:rsid w:val="00E17EB8"/>
    <w:rsid w:val="00E20AFB"/>
    <w:rsid w:val="00E210CE"/>
    <w:rsid w:val="00E2175F"/>
    <w:rsid w:val="00E21D39"/>
    <w:rsid w:val="00E22D61"/>
    <w:rsid w:val="00E2307F"/>
    <w:rsid w:val="00E232B4"/>
    <w:rsid w:val="00E241D4"/>
    <w:rsid w:val="00E2562C"/>
    <w:rsid w:val="00E27086"/>
    <w:rsid w:val="00E27AF2"/>
    <w:rsid w:val="00E27B7F"/>
    <w:rsid w:val="00E30432"/>
    <w:rsid w:val="00E3179F"/>
    <w:rsid w:val="00E32447"/>
    <w:rsid w:val="00E3291E"/>
    <w:rsid w:val="00E32C9A"/>
    <w:rsid w:val="00E32D03"/>
    <w:rsid w:val="00E33C69"/>
    <w:rsid w:val="00E3429E"/>
    <w:rsid w:val="00E344EB"/>
    <w:rsid w:val="00E34AAF"/>
    <w:rsid w:val="00E34F7E"/>
    <w:rsid w:val="00E3520A"/>
    <w:rsid w:val="00E35B07"/>
    <w:rsid w:val="00E35C5C"/>
    <w:rsid w:val="00E3639D"/>
    <w:rsid w:val="00E363C9"/>
    <w:rsid w:val="00E37274"/>
    <w:rsid w:val="00E372A8"/>
    <w:rsid w:val="00E376BD"/>
    <w:rsid w:val="00E4032C"/>
    <w:rsid w:val="00E40F61"/>
    <w:rsid w:val="00E415FA"/>
    <w:rsid w:val="00E41A43"/>
    <w:rsid w:val="00E41C0F"/>
    <w:rsid w:val="00E42C31"/>
    <w:rsid w:val="00E42CC4"/>
    <w:rsid w:val="00E430A0"/>
    <w:rsid w:val="00E430AA"/>
    <w:rsid w:val="00E43309"/>
    <w:rsid w:val="00E43A72"/>
    <w:rsid w:val="00E44331"/>
    <w:rsid w:val="00E45FBB"/>
    <w:rsid w:val="00E46B96"/>
    <w:rsid w:val="00E4701E"/>
    <w:rsid w:val="00E476FB"/>
    <w:rsid w:val="00E501BE"/>
    <w:rsid w:val="00E502DE"/>
    <w:rsid w:val="00E5042D"/>
    <w:rsid w:val="00E5061F"/>
    <w:rsid w:val="00E52634"/>
    <w:rsid w:val="00E52CE5"/>
    <w:rsid w:val="00E5355D"/>
    <w:rsid w:val="00E53710"/>
    <w:rsid w:val="00E5402D"/>
    <w:rsid w:val="00E541F0"/>
    <w:rsid w:val="00E54889"/>
    <w:rsid w:val="00E54BB0"/>
    <w:rsid w:val="00E550F4"/>
    <w:rsid w:val="00E557C5"/>
    <w:rsid w:val="00E55824"/>
    <w:rsid w:val="00E55EBF"/>
    <w:rsid w:val="00E56635"/>
    <w:rsid w:val="00E569E2"/>
    <w:rsid w:val="00E56A3E"/>
    <w:rsid w:val="00E575E6"/>
    <w:rsid w:val="00E576DC"/>
    <w:rsid w:val="00E6007F"/>
    <w:rsid w:val="00E608B7"/>
    <w:rsid w:val="00E6104B"/>
    <w:rsid w:val="00E61B45"/>
    <w:rsid w:val="00E61BF7"/>
    <w:rsid w:val="00E6212A"/>
    <w:rsid w:val="00E627AF"/>
    <w:rsid w:val="00E6381D"/>
    <w:rsid w:val="00E648BA"/>
    <w:rsid w:val="00E64972"/>
    <w:rsid w:val="00E649E4"/>
    <w:rsid w:val="00E6775A"/>
    <w:rsid w:val="00E6793A"/>
    <w:rsid w:val="00E70325"/>
    <w:rsid w:val="00E70401"/>
    <w:rsid w:val="00E70DDF"/>
    <w:rsid w:val="00E71AB6"/>
    <w:rsid w:val="00E71B4D"/>
    <w:rsid w:val="00E71EC5"/>
    <w:rsid w:val="00E725CD"/>
    <w:rsid w:val="00E72CFF"/>
    <w:rsid w:val="00E73178"/>
    <w:rsid w:val="00E7349D"/>
    <w:rsid w:val="00E737CA"/>
    <w:rsid w:val="00E742C2"/>
    <w:rsid w:val="00E748A4"/>
    <w:rsid w:val="00E74AC4"/>
    <w:rsid w:val="00E76C96"/>
    <w:rsid w:val="00E773A4"/>
    <w:rsid w:val="00E77404"/>
    <w:rsid w:val="00E77C95"/>
    <w:rsid w:val="00E8017D"/>
    <w:rsid w:val="00E806C5"/>
    <w:rsid w:val="00E806DA"/>
    <w:rsid w:val="00E807F0"/>
    <w:rsid w:val="00E80905"/>
    <w:rsid w:val="00E80FB8"/>
    <w:rsid w:val="00E814B7"/>
    <w:rsid w:val="00E81EE5"/>
    <w:rsid w:val="00E8291D"/>
    <w:rsid w:val="00E8319D"/>
    <w:rsid w:val="00E857A7"/>
    <w:rsid w:val="00E87074"/>
    <w:rsid w:val="00E87FCA"/>
    <w:rsid w:val="00E902D8"/>
    <w:rsid w:val="00E90538"/>
    <w:rsid w:val="00E908E6"/>
    <w:rsid w:val="00E90D3C"/>
    <w:rsid w:val="00E90FB6"/>
    <w:rsid w:val="00E918B8"/>
    <w:rsid w:val="00E91B50"/>
    <w:rsid w:val="00E92495"/>
    <w:rsid w:val="00E92698"/>
    <w:rsid w:val="00E92D1F"/>
    <w:rsid w:val="00E93398"/>
    <w:rsid w:val="00E9369F"/>
    <w:rsid w:val="00E9374E"/>
    <w:rsid w:val="00E93B69"/>
    <w:rsid w:val="00E9472B"/>
    <w:rsid w:val="00E961F1"/>
    <w:rsid w:val="00E96586"/>
    <w:rsid w:val="00E9722C"/>
    <w:rsid w:val="00E97677"/>
    <w:rsid w:val="00EA006B"/>
    <w:rsid w:val="00EA0B03"/>
    <w:rsid w:val="00EA10B7"/>
    <w:rsid w:val="00EA14C9"/>
    <w:rsid w:val="00EA1BFB"/>
    <w:rsid w:val="00EA1E82"/>
    <w:rsid w:val="00EA1F63"/>
    <w:rsid w:val="00EA20FC"/>
    <w:rsid w:val="00EA2165"/>
    <w:rsid w:val="00EA241C"/>
    <w:rsid w:val="00EA4FE1"/>
    <w:rsid w:val="00EA53DF"/>
    <w:rsid w:val="00EA5EEE"/>
    <w:rsid w:val="00EA6696"/>
    <w:rsid w:val="00EA6796"/>
    <w:rsid w:val="00EA679D"/>
    <w:rsid w:val="00EA67BE"/>
    <w:rsid w:val="00EA6821"/>
    <w:rsid w:val="00EA6D2D"/>
    <w:rsid w:val="00EB0CE9"/>
    <w:rsid w:val="00EB1254"/>
    <w:rsid w:val="00EB1472"/>
    <w:rsid w:val="00EB1F3C"/>
    <w:rsid w:val="00EB36FD"/>
    <w:rsid w:val="00EB49BB"/>
    <w:rsid w:val="00EB4EE6"/>
    <w:rsid w:val="00EB65E8"/>
    <w:rsid w:val="00EB6B2F"/>
    <w:rsid w:val="00EB6CD6"/>
    <w:rsid w:val="00EB6DBC"/>
    <w:rsid w:val="00EB712A"/>
    <w:rsid w:val="00EB775E"/>
    <w:rsid w:val="00EC0568"/>
    <w:rsid w:val="00EC0665"/>
    <w:rsid w:val="00EC1703"/>
    <w:rsid w:val="00EC1BDD"/>
    <w:rsid w:val="00EC27E7"/>
    <w:rsid w:val="00EC37CE"/>
    <w:rsid w:val="00EC68BB"/>
    <w:rsid w:val="00EC7787"/>
    <w:rsid w:val="00ED1AC3"/>
    <w:rsid w:val="00ED1C4A"/>
    <w:rsid w:val="00ED229B"/>
    <w:rsid w:val="00ED2569"/>
    <w:rsid w:val="00ED2694"/>
    <w:rsid w:val="00ED2FA9"/>
    <w:rsid w:val="00ED368C"/>
    <w:rsid w:val="00ED4511"/>
    <w:rsid w:val="00ED4C88"/>
    <w:rsid w:val="00ED537A"/>
    <w:rsid w:val="00ED5665"/>
    <w:rsid w:val="00ED5D27"/>
    <w:rsid w:val="00ED5EC8"/>
    <w:rsid w:val="00ED6E9F"/>
    <w:rsid w:val="00ED7341"/>
    <w:rsid w:val="00ED74F8"/>
    <w:rsid w:val="00ED779D"/>
    <w:rsid w:val="00ED7A6A"/>
    <w:rsid w:val="00EE06BE"/>
    <w:rsid w:val="00EE1178"/>
    <w:rsid w:val="00EE1CBD"/>
    <w:rsid w:val="00EE267F"/>
    <w:rsid w:val="00EE276D"/>
    <w:rsid w:val="00EE27A4"/>
    <w:rsid w:val="00EE2F98"/>
    <w:rsid w:val="00EE4CD6"/>
    <w:rsid w:val="00EE5E68"/>
    <w:rsid w:val="00EE5F7A"/>
    <w:rsid w:val="00EE6425"/>
    <w:rsid w:val="00EE665D"/>
    <w:rsid w:val="00EE6C66"/>
    <w:rsid w:val="00EE6D91"/>
    <w:rsid w:val="00EE6E81"/>
    <w:rsid w:val="00EF0131"/>
    <w:rsid w:val="00EF0F9D"/>
    <w:rsid w:val="00EF173C"/>
    <w:rsid w:val="00EF286A"/>
    <w:rsid w:val="00EF2943"/>
    <w:rsid w:val="00EF3306"/>
    <w:rsid w:val="00EF40D5"/>
    <w:rsid w:val="00EF469C"/>
    <w:rsid w:val="00EF4CBC"/>
    <w:rsid w:val="00EF50E0"/>
    <w:rsid w:val="00EF586A"/>
    <w:rsid w:val="00EF6308"/>
    <w:rsid w:val="00EF6A0A"/>
    <w:rsid w:val="00EF6B01"/>
    <w:rsid w:val="00EF6D33"/>
    <w:rsid w:val="00EF7F0F"/>
    <w:rsid w:val="00EF7F58"/>
    <w:rsid w:val="00F0040B"/>
    <w:rsid w:val="00F004D4"/>
    <w:rsid w:val="00F00DE4"/>
    <w:rsid w:val="00F00FA7"/>
    <w:rsid w:val="00F01892"/>
    <w:rsid w:val="00F0227C"/>
    <w:rsid w:val="00F02ED9"/>
    <w:rsid w:val="00F033A6"/>
    <w:rsid w:val="00F0389E"/>
    <w:rsid w:val="00F042BD"/>
    <w:rsid w:val="00F043E1"/>
    <w:rsid w:val="00F04FF6"/>
    <w:rsid w:val="00F05356"/>
    <w:rsid w:val="00F05DB1"/>
    <w:rsid w:val="00F064ED"/>
    <w:rsid w:val="00F066CA"/>
    <w:rsid w:val="00F06E4E"/>
    <w:rsid w:val="00F07652"/>
    <w:rsid w:val="00F0792B"/>
    <w:rsid w:val="00F0795D"/>
    <w:rsid w:val="00F07A4D"/>
    <w:rsid w:val="00F07AC2"/>
    <w:rsid w:val="00F07D9F"/>
    <w:rsid w:val="00F10193"/>
    <w:rsid w:val="00F10705"/>
    <w:rsid w:val="00F10E12"/>
    <w:rsid w:val="00F11293"/>
    <w:rsid w:val="00F116CB"/>
    <w:rsid w:val="00F1232F"/>
    <w:rsid w:val="00F14983"/>
    <w:rsid w:val="00F14D6F"/>
    <w:rsid w:val="00F15042"/>
    <w:rsid w:val="00F15BF1"/>
    <w:rsid w:val="00F1604C"/>
    <w:rsid w:val="00F16323"/>
    <w:rsid w:val="00F16B8C"/>
    <w:rsid w:val="00F176ED"/>
    <w:rsid w:val="00F17820"/>
    <w:rsid w:val="00F20284"/>
    <w:rsid w:val="00F20331"/>
    <w:rsid w:val="00F208EC"/>
    <w:rsid w:val="00F21492"/>
    <w:rsid w:val="00F218E9"/>
    <w:rsid w:val="00F21AE0"/>
    <w:rsid w:val="00F21E32"/>
    <w:rsid w:val="00F2333E"/>
    <w:rsid w:val="00F2470B"/>
    <w:rsid w:val="00F24863"/>
    <w:rsid w:val="00F25639"/>
    <w:rsid w:val="00F25A1C"/>
    <w:rsid w:val="00F25B9F"/>
    <w:rsid w:val="00F26442"/>
    <w:rsid w:val="00F27A6B"/>
    <w:rsid w:val="00F27E22"/>
    <w:rsid w:val="00F27F52"/>
    <w:rsid w:val="00F30D51"/>
    <w:rsid w:val="00F30D70"/>
    <w:rsid w:val="00F326DD"/>
    <w:rsid w:val="00F32966"/>
    <w:rsid w:val="00F32ACA"/>
    <w:rsid w:val="00F330A7"/>
    <w:rsid w:val="00F334F5"/>
    <w:rsid w:val="00F3396F"/>
    <w:rsid w:val="00F33D80"/>
    <w:rsid w:val="00F35E03"/>
    <w:rsid w:val="00F35F01"/>
    <w:rsid w:val="00F36000"/>
    <w:rsid w:val="00F36270"/>
    <w:rsid w:val="00F37198"/>
    <w:rsid w:val="00F37EB3"/>
    <w:rsid w:val="00F402C2"/>
    <w:rsid w:val="00F40356"/>
    <w:rsid w:val="00F4094D"/>
    <w:rsid w:val="00F411FF"/>
    <w:rsid w:val="00F41441"/>
    <w:rsid w:val="00F41A3D"/>
    <w:rsid w:val="00F431E0"/>
    <w:rsid w:val="00F43857"/>
    <w:rsid w:val="00F4458F"/>
    <w:rsid w:val="00F44F68"/>
    <w:rsid w:val="00F455FF"/>
    <w:rsid w:val="00F461F2"/>
    <w:rsid w:val="00F4648E"/>
    <w:rsid w:val="00F46999"/>
    <w:rsid w:val="00F46B3B"/>
    <w:rsid w:val="00F4745F"/>
    <w:rsid w:val="00F4799C"/>
    <w:rsid w:val="00F47D5A"/>
    <w:rsid w:val="00F50BE2"/>
    <w:rsid w:val="00F50DD4"/>
    <w:rsid w:val="00F5114E"/>
    <w:rsid w:val="00F5128E"/>
    <w:rsid w:val="00F519B7"/>
    <w:rsid w:val="00F51C1F"/>
    <w:rsid w:val="00F52EAB"/>
    <w:rsid w:val="00F53530"/>
    <w:rsid w:val="00F53A11"/>
    <w:rsid w:val="00F53AC7"/>
    <w:rsid w:val="00F53B28"/>
    <w:rsid w:val="00F53D36"/>
    <w:rsid w:val="00F541D6"/>
    <w:rsid w:val="00F545F2"/>
    <w:rsid w:val="00F557F4"/>
    <w:rsid w:val="00F55D63"/>
    <w:rsid w:val="00F55EE6"/>
    <w:rsid w:val="00F564AD"/>
    <w:rsid w:val="00F57D6C"/>
    <w:rsid w:val="00F608A8"/>
    <w:rsid w:val="00F60A1D"/>
    <w:rsid w:val="00F6100B"/>
    <w:rsid w:val="00F624BD"/>
    <w:rsid w:val="00F638F2"/>
    <w:rsid w:val="00F64233"/>
    <w:rsid w:val="00F646E8"/>
    <w:rsid w:val="00F64A74"/>
    <w:rsid w:val="00F64F83"/>
    <w:rsid w:val="00F65BAD"/>
    <w:rsid w:val="00F65C6E"/>
    <w:rsid w:val="00F660A8"/>
    <w:rsid w:val="00F662CD"/>
    <w:rsid w:val="00F671BF"/>
    <w:rsid w:val="00F701B2"/>
    <w:rsid w:val="00F70EF4"/>
    <w:rsid w:val="00F7148C"/>
    <w:rsid w:val="00F725CB"/>
    <w:rsid w:val="00F72739"/>
    <w:rsid w:val="00F7285F"/>
    <w:rsid w:val="00F73188"/>
    <w:rsid w:val="00F74275"/>
    <w:rsid w:val="00F74F3D"/>
    <w:rsid w:val="00F75A8B"/>
    <w:rsid w:val="00F76255"/>
    <w:rsid w:val="00F76878"/>
    <w:rsid w:val="00F76B80"/>
    <w:rsid w:val="00F772DA"/>
    <w:rsid w:val="00F77AAB"/>
    <w:rsid w:val="00F77C6C"/>
    <w:rsid w:val="00F807E2"/>
    <w:rsid w:val="00F80F8D"/>
    <w:rsid w:val="00F82929"/>
    <w:rsid w:val="00F82FDF"/>
    <w:rsid w:val="00F836BB"/>
    <w:rsid w:val="00F840EC"/>
    <w:rsid w:val="00F841D6"/>
    <w:rsid w:val="00F84EFB"/>
    <w:rsid w:val="00F85DCB"/>
    <w:rsid w:val="00F86BC2"/>
    <w:rsid w:val="00F871B7"/>
    <w:rsid w:val="00F8740C"/>
    <w:rsid w:val="00F87C95"/>
    <w:rsid w:val="00F91806"/>
    <w:rsid w:val="00F91CE7"/>
    <w:rsid w:val="00F91E74"/>
    <w:rsid w:val="00F92949"/>
    <w:rsid w:val="00F938CD"/>
    <w:rsid w:val="00F9445C"/>
    <w:rsid w:val="00F944FB"/>
    <w:rsid w:val="00F946F8"/>
    <w:rsid w:val="00F95044"/>
    <w:rsid w:val="00F956BF"/>
    <w:rsid w:val="00F9618D"/>
    <w:rsid w:val="00F967C7"/>
    <w:rsid w:val="00F9694E"/>
    <w:rsid w:val="00F96F1C"/>
    <w:rsid w:val="00F96FA9"/>
    <w:rsid w:val="00F9723E"/>
    <w:rsid w:val="00F9780C"/>
    <w:rsid w:val="00F97C81"/>
    <w:rsid w:val="00F97DAE"/>
    <w:rsid w:val="00FA0AC8"/>
    <w:rsid w:val="00FA17A3"/>
    <w:rsid w:val="00FA28E2"/>
    <w:rsid w:val="00FA3222"/>
    <w:rsid w:val="00FA3725"/>
    <w:rsid w:val="00FA3E52"/>
    <w:rsid w:val="00FA455A"/>
    <w:rsid w:val="00FA46A9"/>
    <w:rsid w:val="00FA4DDA"/>
    <w:rsid w:val="00FA4F43"/>
    <w:rsid w:val="00FA50C7"/>
    <w:rsid w:val="00FA5907"/>
    <w:rsid w:val="00FA72B8"/>
    <w:rsid w:val="00FA7385"/>
    <w:rsid w:val="00FA76C4"/>
    <w:rsid w:val="00FB141F"/>
    <w:rsid w:val="00FB1500"/>
    <w:rsid w:val="00FB1B8E"/>
    <w:rsid w:val="00FB1E5C"/>
    <w:rsid w:val="00FB2511"/>
    <w:rsid w:val="00FB413B"/>
    <w:rsid w:val="00FB493D"/>
    <w:rsid w:val="00FB4C90"/>
    <w:rsid w:val="00FB737B"/>
    <w:rsid w:val="00FB7686"/>
    <w:rsid w:val="00FC138F"/>
    <w:rsid w:val="00FC21F5"/>
    <w:rsid w:val="00FC2281"/>
    <w:rsid w:val="00FC241B"/>
    <w:rsid w:val="00FC25CF"/>
    <w:rsid w:val="00FC2600"/>
    <w:rsid w:val="00FC281D"/>
    <w:rsid w:val="00FC28F1"/>
    <w:rsid w:val="00FC2AC0"/>
    <w:rsid w:val="00FC3FB9"/>
    <w:rsid w:val="00FC4631"/>
    <w:rsid w:val="00FC47A9"/>
    <w:rsid w:val="00FC579D"/>
    <w:rsid w:val="00FC5E07"/>
    <w:rsid w:val="00FC650D"/>
    <w:rsid w:val="00FC670E"/>
    <w:rsid w:val="00FC7052"/>
    <w:rsid w:val="00FD0C9A"/>
    <w:rsid w:val="00FD1417"/>
    <w:rsid w:val="00FD1667"/>
    <w:rsid w:val="00FD1D24"/>
    <w:rsid w:val="00FD1DB9"/>
    <w:rsid w:val="00FD298F"/>
    <w:rsid w:val="00FD33AB"/>
    <w:rsid w:val="00FD352A"/>
    <w:rsid w:val="00FD3739"/>
    <w:rsid w:val="00FD3DA1"/>
    <w:rsid w:val="00FD4013"/>
    <w:rsid w:val="00FD4104"/>
    <w:rsid w:val="00FD41A9"/>
    <w:rsid w:val="00FD42B7"/>
    <w:rsid w:val="00FD47AE"/>
    <w:rsid w:val="00FD47F3"/>
    <w:rsid w:val="00FD53AC"/>
    <w:rsid w:val="00FD5B11"/>
    <w:rsid w:val="00FD7930"/>
    <w:rsid w:val="00FD7E8A"/>
    <w:rsid w:val="00FE063D"/>
    <w:rsid w:val="00FE06DF"/>
    <w:rsid w:val="00FE13F5"/>
    <w:rsid w:val="00FE1790"/>
    <w:rsid w:val="00FE185D"/>
    <w:rsid w:val="00FE1F6E"/>
    <w:rsid w:val="00FE2604"/>
    <w:rsid w:val="00FE43AF"/>
    <w:rsid w:val="00FE4EAD"/>
    <w:rsid w:val="00FE54EB"/>
    <w:rsid w:val="00FE5595"/>
    <w:rsid w:val="00FE5760"/>
    <w:rsid w:val="00FE5C15"/>
    <w:rsid w:val="00FE5CB2"/>
    <w:rsid w:val="00FE68E1"/>
    <w:rsid w:val="00FE6EE7"/>
    <w:rsid w:val="00FE738D"/>
    <w:rsid w:val="00FF0930"/>
    <w:rsid w:val="00FF1059"/>
    <w:rsid w:val="00FF1156"/>
    <w:rsid w:val="00FF1FCB"/>
    <w:rsid w:val="00FF3A84"/>
    <w:rsid w:val="00FF4674"/>
    <w:rsid w:val="00FF4A53"/>
    <w:rsid w:val="00FF4A73"/>
    <w:rsid w:val="00FF5231"/>
    <w:rsid w:val="00FF5D96"/>
    <w:rsid w:val="00FF5F81"/>
    <w:rsid w:val="00FF624B"/>
    <w:rsid w:val="00FF66C8"/>
    <w:rsid w:val="00FF7A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6B1CF"/>
  <w15:docId w15:val="{74E35909-593C-41A1-962E-84894525C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5"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97B"/>
    <w:pPr>
      <w:spacing w:after="120" w:line="276" w:lineRule="auto"/>
    </w:pPr>
    <w:rPr>
      <w:rFonts w:ascii="Segoe UI" w:hAnsi="Segoe UI"/>
      <w:sz w:val="21"/>
      <w:lang w:val="en-AU"/>
    </w:rPr>
  </w:style>
  <w:style w:type="paragraph" w:styleId="Heading1">
    <w:name w:val="heading 1"/>
    <w:basedOn w:val="Normal"/>
    <w:next w:val="Normal"/>
    <w:link w:val="Heading1Char"/>
    <w:uiPriority w:val="19"/>
    <w:qFormat/>
    <w:rsid w:val="009606F0"/>
    <w:pPr>
      <w:keepNext/>
      <w:pageBreakBefore/>
      <w:numPr>
        <w:numId w:val="28"/>
      </w:numPr>
      <w:spacing w:after="480" w:line="240" w:lineRule="auto"/>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9"/>
    <w:qFormat/>
    <w:rsid w:val="00456CBB"/>
    <w:pPr>
      <w:keepNext/>
      <w:numPr>
        <w:ilvl w:val="1"/>
        <w:numId w:val="28"/>
      </w:numPr>
      <w:spacing w:before="360" w:after="180" w:line="380" w:lineRule="exact"/>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9"/>
    <w:qFormat/>
    <w:rsid w:val="00DA5FBF"/>
    <w:pPr>
      <w:keepNext/>
      <w:numPr>
        <w:ilvl w:val="2"/>
        <w:numId w:val="28"/>
      </w:numPr>
      <w:spacing w:before="480" w:after="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9"/>
    <w:qFormat/>
    <w:rsid w:val="00DA5FBF"/>
    <w:pPr>
      <w:keepNext/>
      <w:spacing w:before="240" w:after="60"/>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9"/>
    <w:qFormat/>
    <w:rsid w:val="00BD12A9"/>
    <w:pPr>
      <w:keepNext/>
      <w:numPr>
        <w:ilvl w:val="4"/>
        <w:numId w:val="28"/>
      </w:numPr>
      <w:spacing w:before="240"/>
      <w:outlineLvl w:val="4"/>
    </w:pPr>
    <w:rPr>
      <w:rFonts w:eastAsia="Times New Roman" w:cs="Times New Roman"/>
      <w:b/>
      <w:color w:val="000000" w:themeColor="text1"/>
      <w:szCs w:val="24"/>
      <w:lang w:eastAsia="en-AU"/>
    </w:rPr>
  </w:style>
  <w:style w:type="paragraph" w:styleId="Heading6">
    <w:name w:val="heading 6"/>
    <w:basedOn w:val="Normal"/>
    <w:next w:val="Normal"/>
    <w:link w:val="Heading6Char"/>
    <w:uiPriority w:val="19"/>
    <w:qFormat/>
    <w:rsid w:val="00DA5FBF"/>
    <w:pPr>
      <w:keepNext/>
      <w:keepLines/>
      <w:numPr>
        <w:ilvl w:val="5"/>
        <w:numId w:val="28"/>
      </w:numPr>
      <w:spacing w:before="200" w:after="60"/>
      <w:outlineLvl w:val="5"/>
    </w:pPr>
    <w:rPr>
      <w:rFonts w:eastAsiaTheme="majorEastAsia" w:cstheme="majorBidi"/>
      <w:b/>
      <w:i/>
      <w:iCs/>
      <w:color w:val="000000" w:themeColor="text1"/>
      <w:szCs w:val="19"/>
      <w:lang w:eastAsia="en-AU"/>
    </w:rPr>
  </w:style>
  <w:style w:type="paragraph" w:styleId="Heading7">
    <w:name w:val="heading 7"/>
    <w:basedOn w:val="Normal"/>
    <w:next w:val="Normal"/>
    <w:link w:val="Heading7Char"/>
    <w:uiPriority w:val="19"/>
    <w:semiHidden/>
    <w:rsid w:val="006F5B5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6F5B5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9"/>
    <w:rsid w:val="009606F0"/>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9"/>
    <w:rsid w:val="00456CBB"/>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DA5FBF"/>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9"/>
    <w:rsid w:val="00DA5FBF"/>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BD12A9"/>
    <w:rPr>
      <w:rFonts w:ascii="Segoe UI" w:eastAsia="Times New Roman" w:hAnsi="Segoe UI" w:cs="Times New Roman"/>
      <w:b/>
      <w:color w:val="000000" w:themeColor="text1"/>
      <w:sz w:val="21"/>
      <w:szCs w:val="24"/>
      <w:lang w:val="en-AU" w:eastAsia="en-AU"/>
    </w:rPr>
  </w:style>
  <w:style w:type="character" w:customStyle="1" w:styleId="Heading6Char">
    <w:name w:val="Heading 6 Char"/>
    <w:basedOn w:val="DefaultParagraphFont"/>
    <w:link w:val="Heading6"/>
    <w:uiPriority w:val="19"/>
    <w:rsid w:val="00DA5FBF"/>
    <w:rPr>
      <w:rFonts w:ascii="Segoe UI" w:eastAsiaTheme="majorEastAsia" w:hAnsi="Segoe UI" w:cstheme="majorBidi"/>
      <w:b/>
      <w:i/>
      <w:iCs/>
      <w:color w:val="000000" w:themeColor="text1"/>
      <w:sz w:val="21"/>
      <w:szCs w:val="19"/>
      <w:lang w:val="en-AU" w:eastAsia="en-AU"/>
    </w:rPr>
  </w:style>
  <w:style w:type="paragraph" w:customStyle="1" w:styleId="TableNheader">
    <w:name w:val="Table N header"/>
    <w:basedOn w:val="Normal"/>
    <w:uiPriority w:val="2"/>
    <w:qFormat/>
    <w:rsid w:val="00613294"/>
    <w:pPr>
      <w:spacing w:before="40" w:after="40" w:line="240" w:lineRule="auto"/>
    </w:pPr>
    <w:rPr>
      <w:rFonts w:ascii="Segoe UI Semibold" w:hAnsi="Segoe UI Semibold"/>
      <w:color w:val="FFFFFF" w:themeColor="background1"/>
      <w:sz w:val="23"/>
    </w:rPr>
  </w:style>
  <w:style w:type="paragraph" w:customStyle="1" w:styleId="TableNText">
    <w:name w:val="Table N Text"/>
    <w:basedOn w:val="Normal"/>
    <w:link w:val="TableNTextChar"/>
    <w:uiPriority w:val="2"/>
    <w:qFormat/>
    <w:rsid w:val="00D6643E"/>
    <w:pPr>
      <w:spacing w:before="120" w:after="0"/>
    </w:pPr>
  </w:style>
  <w:style w:type="paragraph" w:styleId="Header">
    <w:name w:val="header"/>
    <w:basedOn w:val="Normal"/>
    <w:link w:val="HeaderChar"/>
    <w:uiPriority w:val="99"/>
    <w:unhideWhenUsed/>
    <w:rsid w:val="00302076"/>
    <w:pPr>
      <w:tabs>
        <w:tab w:val="center" w:pos="4513"/>
        <w:tab w:val="right" w:pos="9026"/>
      </w:tabs>
      <w:spacing w:after="0"/>
    </w:pPr>
  </w:style>
  <w:style w:type="character" w:customStyle="1" w:styleId="HeaderChar">
    <w:name w:val="Header Char"/>
    <w:basedOn w:val="DefaultParagraphFont"/>
    <w:link w:val="Header"/>
    <w:uiPriority w:val="99"/>
    <w:rsid w:val="00302076"/>
    <w:rPr>
      <w:rFonts w:ascii="Segoe UI" w:hAnsi="Segoe UI"/>
      <w:sz w:val="19"/>
    </w:rPr>
  </w:style>
  <w:style w:type="paragraph" w:styleId="Footer">
    <w:name w:val="footer"/>
    <w:aliases w:val="Foot note"/>
    <w:basedOn w:val="Normal"/>
    <w:link w:val="FooterChar"/>
    <w:uiPriority w:val="89"/>
    <w:unhideWhenUsed/>
    <w:rsid w:val="00BD12A9"/>
    <w:pPr>
      <w:tabs>
        <w:tab w:val="center" w:pos="4513"/>
        <w:tab w:val="right" w:pos="9026"/>
      </w:tabs>
      <w:spacing w:after="0"/>
    </w:pPr>
    <w:rPr>
      <w:sz w:val="19"/>
    </w:rPr>
  </w:style>
  <w:style w:type="character" w:customStyle="1" w:styleId="FooterChar">
    <w:name w:val="Footer Char"/>
    <w:aliases w:val="Foot note Char"/>
    <w:basedOn w:val="DefaultParagraphFont"/>
    <w:link w:val="Footer"/>
    <w:uiPriority w:val="89"/>
    <w:rsid w:val="00BD12A9"/>
    <w:rPr>
      <w:rFonts w:ascii="Segoe UI" w:hAnsi="Segoe UI"/>
      <w:sz w:val="19"/>
      <w:lang w:val="en-AU"/>
    </w:rPr>
  </w:style>
  <w:style w:type="paragraph" w:styleId="Caption">
    <w:name w:val="caption"/>
    <w:basedOn w:val="Normal"/>
    <w:next w:val="Normal"/>
    <w:link w:val="CaptionChar"/>
    <w:uiPriority w:val="35"/>
    <w:qFormat/>
    <w:rsid w:val="00F53B28"/>
    <w:pPr>
      <w:keepNext/>
      <w:spacing w:before="240"/>
    </w:pPr>
    <w:rPr>
      <w:rFonts w:ascii="Segoe UI Semibold" w:hAnsi="Segoe UI Semibold"/>
      <w:bCs/>
      <w:color w:val="00264D" w:themeColor="background2"/>
      <w:szCs w:val="18"/>
    </w:rPr>
  </w:style>
  <w:style w:type="paragraph" w:customStyle="1" w:styleId="TableNBullet">
    <w:name w:val="Table N Bullet"/>
    <w:basedOn w:val="Normal"/>
    <w:link w:val="TableNBulletChar"/>
    <w:uiPriority w:val="2"/>
    <w:qFormat/>
    <w:rsid w:val="009B45EB"/>
    <w:pPr>
      <w:numPr>
        <w:numId w:val="2"/>
      </w:numPr>
      <w:suppressAutoHyphens/>
      <w:spacing w:after="0"/>
      <w:contextualSpacing/>
    </w:pPr>
    <w:rPr>
      <w:rFonts w:eastAsia="Times New Roman" w:cs="Times New Roman"/>
      <w:szCs w:val="19"/>
      <w:lang w:eastAsia="en-AU"/>
    </w:rPr>
  </w:style>
  <w:style w:type="paragraph" w:customStyle="1" w:styleId="TableNListnumbered">
    <w:name w:val="Table N List (numbered)"/>
    <w:basedOn w:val="TableNBullet"/>
    <w:uiPriority w:val="2"/>
    <w:qFormat/>
    <w:rsid w:val="005117E0"/>
    <w:pPr>
      <w:numPr>
        <w:numId w:val="9"/>
      </w:numPr>
    </w:pPr>
  </w:style>
  <w:style w:type="paragraph" w:customStyle="1" w:styleId="xAppendixLevel1">
    <w:name w:val="xAppendix Level 1"/>
    <w:basedOn w:val="Heading1"/>
    <w:next w:val="Normal"/>
    <w:uiPriority w:val="98"/>
    <w:qFormat/>
    <w:rsid w:val="003529B8"/>
    <w:pPr>
      <w:numPr>
        <w:numId w:val="1"/>
      </w:numPr>
    </w:pPr>
    <w:rPr>
      <w:bCs/>
    </w:rPr>
  </w:style>
  <w:style w:type="paragraph" w:customStyle="1" w:styleId="xAppendixLevel2">
    <w:name w:val="xAppendix Level 2"/>
    <w:basedOn w:val="Heading2"/>
    <w:next w:val="Normal"/>
    <w:uiPriority w:val="98"/>
    <w:qFormat/>
    <w:rsid w:val="002B5822"/>
    <w:pPr>
      <w:numPr>
        <w:numId w:val="1"/>
      </w:numPr>
    </w:pPr>
    <w:rPr>
      <w:bCs/>
      <w:sz w:val="34"/>
    </w:rPr>
  </w:style>
  <w:style w:type="paragraph" w:customStyle="1" w:styleId="xAppendixLevel3">
    <w:name w:val="xAppendix Level 3"/>
    <w:basedOn w:val="Heading3"/>
    <w:next w:val="Normal"/>
    <w:uiPriority w:val="98"/>
    <w:qFormat/>
    <w:rsid w:val="002B5822"/>
    <w:pPr>
      <w:numPr>
        <w:numId w:val="1"/>
      </w:numPr>
    </w:pPr>
    <w:rPr>
      <w:bCs/>
    </w:rPr>
  </w:style>
  <w:style w:type="paragraph" w:customStyle="1" w:styleId="Listnumbered">
    <w:name w:val="List (numbered)"/>
    <w:basedOn w:val="Normal"/>
    <w:uiPriority w:val="1"/>
    <w:qFormat/>
    <w:rsid w:val="005B016D"/>
    <w:pPr>
      <w:tabs>
        <w:tab w:val="num" w:pos="360"/>
      </w:tabs>
    </w:pPr>
  </w:style>
  <w:style w:type="paragraph" w:customStyle="1" w:styleId="Source">
    <w:name w:val="Source"/>
    <w:basedOn w:val="Normal"/>
    <w:next w:val="Normal"/>
    <w:link w:val="SourceChar"/>
    <w:uiPriority w:val="39"/>
    <w:rsid w:val="00000A9B"/>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000A9B"/>
    <w:rPr>
      <w:rFonts w:ascii="Segoe UI" w:eastAsia="Times New Roman" w:hAnsi="Segoe UI" w:cs="Times New Roman"/>
      <w:i/>
      <w:sz w:val="17"/>
      <w:szCs w:val="19"/>
      <w:lang w:val="en-AU" w:eastAsia="en-AU"/>
    </w:rPr>
  </w:style>
  <w:style w:type="table" w:customStyle="1" w:styleId="Sectionintroductiontable1">
    <w:name w:val="Section introduction table1"/>
    <w:basedOn w:val="TableNormal"/>
    <w:uiPriority w:val="99"/>
    <w:rsid w:val="00171900"/>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egoe UI Semilight" w:hAnsi="Segoe UI Semilight"/>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character" w:customStyle="1" w:styleId="Heading7Char">
    <w:name w:val="Heading 7 Char"/>
    <w:basedOn w:val="DefaultParagraphFont"/>
    <w:link w:val="Heading7"/>
    <w:uiPriority w:val="19"/>
    <w:semiHidden/>
    <w:rsid w:val="006F5B5A"/>
    <w:rPr>
      <w:rFonts w:ascii="Segoe UI" w:eastAsiaTheme="majorEastAsia" w:hAnsi="Segoe UI" w:cstheme="majorBidi"/>
      <w:i/>
      <w:iCs/>
      <w:color w:val="404040" w:themeColor="text1" w:themeTint="BF"/>
      <w:sz w:val="19"/>
    </w:rPr>
  </w:style>
  <w:style w:type="paragraph" w:customStyle="1" w:styleId="BioName">
    <w:name w:val="Bio Name"/>
    <w:basedOn w:val="Normal"/>
    <w:uiPriority w:val="97"/>
    <w:qFormat/>
    <w:rsid w:val="00477EC6"/>
    <w:pPr>
      <w:spacing w:before="60" w:after="60" w:line="240" w:lineRule="auto"/>
      <w:jc w:val="center"/>
    </w:pPr>
    <w:rPr>
      <w:b/>
      <w:caps/>
      <w:color w:val="00264D" w:themeColor="background2"/>
      <w:szCs w:val="19"/>
    </w:rPr>
  </w:style>
  <w:style w:type="paragraph" w:customStyle="1" w:styleId="BioPosition">
    <w:name w:val="Bio Position"/>
    <w:basedOn w:val="Normal"/>
    <w:uiPriority w:val="97"/>
    <w:qFormat/>
    <w:rsid w:val="00477EC6"/>
    <w:pPr>
      <w:spacing w:line="240" w:lineRule="auto"/>
      <w:jc w:val="center"/>
    </w:pPr>
    <w:rPr>
      <w:color w:val="00264D" w:themeColor="background2"/>
      <w:szCs w:val="19"/>
    </w:rPr>
  </w:style>
  <w:style w:type="paragraph" w:styleId="BalloonText">
    <w:name w:val="Balloon Text"/>
    <w:basedOn w:val="Normal"/>
    <w:link w:val="BalloonTextChar"/>
    <w:uiPriority w:val="99"/>
    <w:semiHidden/>
    <w:unhideWhenUsed/>
    <w:rsid w:val="00B2563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63A"/>
    <w:rPr>
      <w:rFonts w:ascii="Tahoma" w:hAnsi="Tahoma" w:cs="Tahoma"/>
      <w:sz w:val="16"/>
      <w:szCs w:val="16"/>
    </w:rPr>
  </w:style>
  <w:style w:type="table" w:styleId="LightList-Accent5">
    <w:name w:val="Light List Accent 5"/>
    <w:basedOn w:val="TableNormal"/>
    <w:uiPriority w:val="61"/>
    <w:rsid w:val="0098248A"/>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98248A"/>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B7385B"/>
    <w:rPr>
      <w:rFonts w:ascii="Segoe UI" w:eastAsia="Times New Roman" w:hAnsi="Segoe UI" w:cs="Times New Roman"/>
      <w:sz w:val="21"/>
      <w:szCs w:val="19"/>
      <w:lang w:val="en-AU" w:eastAsia="en-AU"/>
    </w:rPr>
  </w:style>
  <w:style w:type="table" w:styleId="TableGrid">
    <w:name w:val="Table Grid"/>
    <w:aliases w:val="Nous Table,Table,NOUS,NOUS Side Header"/>
    <w:basedOn w:val="TableNormal"/>
    <w:uiPriority w:val="99"/>
    <w:rsid w:val="00B6650D"/>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w:hAnsi="Segoe UI"/>
        <w:sz w:val="17"/>
      </w:rPr>
    </w:tblStylePr>
    <w:tblStylePr w:type="band2Horz">
      <w:rPr>
        <w:rFonts w:ascii="Segoe UI" w:hAnsi="Segoe UI"/>
        <w:sz w:val="17"/>
      </w:rPr>
    </w:tblStylePr>
  </w:style>
  <w:style w:type="paragraph" w:customStyle="1" w:styleId="URL-groupcomau">
    <w:name w:val="URL - group.com.au"/>
    <w:basedOn w:val="Normal"/>
    <w:link w:val="URL-groupcomauChar"/>
    <w:uiPriority w:val="89"/>
    <w:semiHidden/>
    <w:qFormat/>
    <w:rsid w:val="000D4195"/>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0D4195"/>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0D4195"/>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0D4195"/>
    <w:rPr>
      <w:rFonts w:ascii="Segoe UI" w:eastAsia="Times New Roman" w:hAnsi="Segoe UI" w:cs="Times New Roman"/>
      <w:color w:val="FF3A40" w:themeColor="accent1"/>
      <w:spacing w:val="20"/>
      <w:sz w:val="14"/>
      <w:szCs w:val="19"/>
      <w:lang w:val="en-AU" w:eastAsia="en-AU"/>
    </w:rPr>
  </w:style>
  <w:style w:type="table" w:customStyle="1" w:styleId="NousTableSide">
    <w:name w:val="Nous Table_Side"/>
    <w:basedOn w:val="TableNormal"/>
    <w:uiPriority w:val="99"/>
    <w:rsid w:val="00235BB5"/>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Segoe UI Semibold" w:hAnsi="Segoe UI Semibold"/>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6F5B5A"/>
    <w:rPr>
      <w:rFonts w:ascii="Segoe UI" w:eastAsiaTheme="majorEastAsia" w:hAnsi="Segoe UI" w:cstheme="majorBidi"/>
      <w:color w:val="404040" w:themeColor="text1" w:themeTint="BF"/>
      <w:sz w:val="20"/>
      <w:szCs w:val="20"/>
    </w:rPr>
  </w:style>
  <w:style w:type="character" w:styleId="Hyperlink">
    <w:name w:val="Hyperlink"/>
    <w:basedOn w:val="DefaultParagraphFont"/>
    <w:uiPriority w:val="99"/>
    <w:unhideWhenUsed/>
    <w:rsid w:val="00F066CA"/>
    <w:rPr>
      <w:color w:val="00264D" w:themeColor="background2"/>
      <w:u w:val="single"/>
    </w:rPr>
  </w:style>
  <w:style w:type="table" w:customStyle="1" w:styleId="NousTableTopandside">
    <w:name w:val="Nous Table_Top and side"/>
    <w:basedOn w:val="TableNormal"/>
    <w:uiPriority w:val="99"/>
    <w:rsid w:val="00FC25CF"/>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Semibold" w:hAnsi="Segoe UI Semibold"/>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Segoe UI Semibold" w:hAnsi="Segoe UI Semibold"/>
        <w:b w:val="0"/>
        <w:color w:val="00264D" w:themeColor="background2"/>
        <w:sz w:val="18"/>
      </w:rPr>
      <w:tblPr/>
      <w:tcPr>
        <w:tcBorders>
          <w:left w:val="nil"/>
        </w:tcBorders>
        <w:shd w:val="clear" w:color="auto" w:fill="E6E6E1" w:themeFill="accent5"/>
      </w:tcPr>
    </w:tblStylePr>
  </w:style>
  <w:style w:type="paragraph" w:customStyle="1" w:styleId="BioHeading">
    <w:name w:val="Bio Heading"/>
    <w:basedOn w:val="TableNText"/>
    <w:uiPriority w:val="97"/>
    <w:qFormat/>
    <w:rsid w:val="00477EC6"/>
    <w:pPr>
      <w:spacing w:before="240" w:after="120" w:line="240" w:lineRule="auto"/>
    </w:pPr>
    <w:rPr>
      <w:color w:val="00264D" w:themeColor="background2"/>
      <w:sz w:val="19"/>
      <w:szCs w:val="19"/>
    </w:rPr>
  </w:style>
  <w:style w:type="paragraph" w:customStyle="1" w:styleId="Sectionintroduction">
    <w:name w:val="Section introduction"/>
    <w:uiPriority w:val="21"/>
    <w:qFormat/>
    <w:rsid w:val="00815FD9"/>
    <w:pPr>
      <w:spacing w:before="120" w:after="120"/>
    </w:pPr>
    <w:rPr>
      <w:rFonts w:ascii="Segoe UI Semilight" w:hAnsi="Segoe UI Semilight"/>
      <w:color w:val="00264D" w:themeColor="background2"/>
      <w:sz w:val="21"/>
      <w:szCs w:val="21"/>
      <w:lang w:val="en-AU"/>
    </w:rPr>
  </w:style>
  <w:style w:type="paragraph" w:customStyle="1" w:styleId="Callout">
    <w:name w:val="Call out"/>
    <w:basedOn w:val="Normal"/>
    <w:uiPriority w:val="98"/>
    <w:qFormat/>
    <w:rsid w:val="00554E36"/>
    <w:pPr>
      <w:pBdr>
        <w:top w:val="single" w:sz="18" w:space="4" w:color="E6E6E1" w:themeColor="accent5"/>
      </w:pBdr>
    </w:pPr>
    <w:rPr>
      <w:rFonts w:ascii="Segoe UI Semilight" w:hAnsi="Segoe UI Semilight"/>
      <w:color w:val="F8981D" w:themeColor="accent3"/>
      <w:kern w:val="24"/>
      <w:sz w:val="22"/>
    </w:rPr>
  </w:style>
  <w:style w:type="paragraph" w:customStyle="1" w:styleId="Longformcallout">
    <w:name w:val="Long form callout"/>
    <w:basedOn w:val="Normal"/>
    <w:uiPriority w:val="20"/>
    <w:qFormat/>
    <w:rsid w:val="005F382F"/>
    <w:pPr>
      <w:spacing w:before="60" w:after="60" w:line="240" w:lineRule="auto"/>
    </w:pPr>
    <w:rPr>
      <w:color w:val="00264D" w:themeColor="background2"/>
      <w:szCs w:val="19"/>
      <w:lang w:eastAsia="en-AU"/>
    </w:rPr>
  </w:style>
  <w:style w:type="paragraph" w:customStyle="1" w:styleId="longformcalloutbullet">
    <w:name w:val="long form call out bullet"/>
    <w:basedOn w:val="Longformcallout"/>
    <w:uiPriority w:val="20"/>
    <w:qFormat/>
    <w:rsid w:val="005F382F"/>
    <w:pPr>
      <w:numPr>
        <w:numId w:val="4"/>
      </w:numPr>
      <w:ind w:left="340" w:hanging="340"/>
    </w:pPr>
  </w:style>
  <w:style w:type="paragraph" w:customStyle="1" w:styleId="longformcalloutnumber">
    <w:name w:val="long form callout number"/>
    <w:basedOn w:val="longformcalloutbullet"/>
    <w:uiPriority w:val="20"/>
    <w:qFormat/>
    <w:rsid w:val="005F382F"/>
    <w:pPr>
      <w:numPr>
        <w:numId w:val="5"/>
      </w:numPr>
    </w:pPr>
  </w:style>
  <w:style w:type="paragraph" w:customStyle="1" w:styleId="NousFooter">
    <w:name w:val="Nous Footer"/>
    <w:basedOn w:val="Normal"/>
    <w:uiPriority w:val="96"/>
    <w:qFormat/>
    <w:rsid w:val="00BD12A9"/>
    <w:pPr>
      <w:spacing w:after="0"/>
    </w:pPr>
    <w:rPr>
      <w:sz w:val="18"/>
      <w:szCs w:val="15"/>
      <w:lang w:eastAsia="en-AU"/>
    </w:rPr>
  </w:style>
  <w:style w:type="paragraph" w:customStyle="1" w:styleId="ContentsHeading">
    <w:name w:val="Contents Heading"/>
    <w:basedOn w:val="Normal"/>
    <w:uiPriority w:val="19"/>
    <w:rsid w:val="005B6A94"/>
    <w:pPr>
      <w:spacing w:before="360" w:after="600" w:line="560" w:lineRule="exact"/>
    </w:pPr>
    <w:rPr>
      <w:rFonts w:eastAsia="Times New Roman" w:cs="Segoe UI"/>
      <w:b/>
      <w:color w:val="00264D"/>
      <w:sz w:val="36"/>
      <w:szCs w:val="36"/>
      <w:lang w:eastAsia="en-AU"/>
    </w:rPr>
  </w:style>
  <w:style w:type="paragraph" w:styleId="TOC2">
    <w:name w:val="toc 2"/>
    <w:basedOn w:val="Normal"/>
    <w:next w:val="Normal"/>
    <w:autoRedefine/>
    <w:uiPriority w:val="39"/>
    <w:unhideWhenUsed/>
    <w:rsid w:val="007A6E32"/>
    <w:pPr>
      <w:tabs>
        <w:tab w:val="left" w:pos="851"/>
        <w:tab w:val="right" w:pos="8920"/>
      </w:tabs>
      <w:spacing w:after="100" w:line="240" w:lineRule="auto"/>
      <w:ind w:left="426"/>
    </w:pPr>
    <w:rPr>
      <w:lang w:val="en-US"/>
    </w:rPr>
  </w:style>
  <w:style w:type="paragraph" w:styleId="TOC1">
    <w:name w:val="toc 1"/>
    <w:basedOn w:val="Normal"/>
    <w:next w:val="Normal"/>
    <w:autoRedefine/>
    <w:uiPriority w:val="39"/>
    <w:unhideWhenUsed/>
    <w:rsid w:val="007A6E32"/>
    <w:pPr>
      <w:tabs>
        <w:tab w:val="left" w:pos="426"/>
        <w:tab w:val="left" w:pos="1134"/>
        <w:tab w:val="right" w:pos="8920"/>
      </w:tabs>
      <w:spacing w:after="100" w:line="240" w:lineRule="auto"/>
    </w:pPr>
    <w:rPr>
      <w:noProof/>
      <w:lang w:val="en-US"/>
    </w:rPr>
  </w:style>
  <w:style w:type="paragraph" w:customStyle="1" w:styleId="BioQualifications">
    <w:name w:val="Bio Qualifications"/>
    <w:basedOn w:val="Normal"/>
    <w:uiPriority w:val="97"/>
    <w:qFormat/>
    <w:rsid w:val="001A1B8D"/>
    <w:pPr>
      <w:spacing w:before="240" w:after="60" w:line="240" w:lineRule="auto"/>
      <w:jc w:val="center"/>
    </w:pPr>
    <w:rPr>
      <w:b/>
      <w:color w:val="00264D" w:themeColor="background2"/>
      <w:szCs w:val="17"/>
    </w:rPr>
  </w:style>
  <w:style w:type="character" w:styleId="CommentReference">
    <w:name w:val="annotation reference"/>
    <w:basedOn w:val="DefaultParagraphFont"/>
    <w:uiPriority w:val="99"/>
    <w:semiHidden/>
    <w:unhideWhenUsed/>
    <w:rsid w:val="00EF6A0A"/>
    <w:rPr>
      <w:sz w:val="16"/>
      <w:szCs w:val="16"/>
    </w:rPr>
  </w:style>
  <w:style w:type="paragraph" w:styleId="CommentText">
    <w:name w:val="annotation text"/>
    <w:basedOn w:val="Normal"/>
    <w:link w:val="CommentTextChar"/>
    <w:uiPriority w:val="99"/>
    <w:unhideWhenUsed/>
    <w:rsid w:val="00EF6A0A"/>
    <w:pPr>
      <w:spacing w:line="240" w:lineRule="auto"/>
    </w:pPr>
    <w:rPr>
      <w:sz w:val="20"/>
      <w:szCs w:val="20"/>
    </w:rPr>
  </w:style>
  <w:style w:type="character" w:customStyle="1" w:styleId="CommentTextChar">
    <w:name w:val="Comment Text Char"/>
    <w:basedOn w:val="DefaultParagraphFont"/>
    <w:link w:val="CommentText"/>
    <w:uiPriority w:val="99"/>
    <w:rsid w:val="00EF6A0A"/>
    <w:rPr>
      <w:rFonts w:ascii="Segoe UI" w:hAnsi="Segoe UI"/>
      <w:sz w:val="20"/>
      <w:szCs w:val="20"/>
      <w:lang w:val="en-AU"/>
    </w:rPr>
  </w:style>
  <w:style w:type="paragraph" w:customStyle="1" w:styleId="introductionlist">
    <w:name w:val="introduction list"/>
    <w:basedOn w:val="Sectionintroduction"/>
    <w:uiPriority w:val="21"/>
    <w:qFormat/>
    <w:rsid w:val="00093FA9"/>
    <w:pPr>
      <w:numPr>
        <w:numId w:val="15"/>
      </w:numPr>
      <w:spacing w:before="60"/>
      <w:ind w:left="227" w:hanging="227"/>
    </w:pPr>
  </w:style>
  <w:style w:type="paragraph" w:customStyle="1" w:styleId="intoductionbullet">
    <w:name w:val="intoduction bullet"/>
    <w:basedOn w:val="Sectionintroduction"/>
    <w:uiPriority w:val="21"/>
    <w:qFormat/>
    <w:rsid w:val="009A69F5"/>
    <w:pPr>
      <w:numPr>
        <w:numId w:val="6"/>
      </w:numPr>
    </w:pPr>
  </w:style>
  <w:style w:type="paragraph" w:customStyle="1" w:styleId="BioQualificationsText">
    <w:name w:val="Bio Qualifications Text"/>
    <w:basedOn w:val="Normal"/>
    <w:uiPriority w:val="97"/>
    <w:qFormat/>
    <w:rsid w:val="001A1B8D"/>
    <w:pPr>
      <w:spacing w:line="240" w:lineRule="auto"/>
      <w:jc w:val="center"/>
    </w:pPr>
  </w:style>
  <w:style w:type="paragraph" w:customStyle="1" w:styleId="Covertitle">
    <w:name w:val="Cover title"/>
    <w:basedOn w:val="Normal"/>
    <w:link w:val="CovertitleChar"/>
    <w:uiPriority w:val="99"/>
    <w:semiHidden/>
    <w:rsid w:val="00C50B0B"/>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C50B0B"/>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C50B0B"/>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C50B0B"/>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C50B0B"/>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C50B0B"/>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C50B0B"/>
    <w:rPr>
      <w:color w:val="808080"/>
    </w:rPr>
  </w:style>
  <w:style w:type="table" w:customStyle="1" w:styleId="Sectionintroductiontable">
    <w:name w:val="Section introduction table"/>
    <w:basedOn w:val="TableNormal"/>
    <w:uiPriority w:val="99"/>
    <w:rsid w:val="00815FD9"/>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egoe UI Semilight" w:hAnsi="Segoe UI Semilight"/>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numbering" w:customStyle="1" w:styleId="Listnumberedmultilevel">
    <w:name w:val="List (numbered)_multilevel"/>
    <w:uiPriority w:val="99"/>
    <w:rsid w:val="00F660A8"/>
  </w:style>
  <w:style w:type="numbering" w:customStyle="1" w:styleId="TableexpListnumberedmultilevel">
    <w:name w:val="Table exp List (numbered) multilevel"/>
    <w:uiPriority w:val="99"/>
    <w:rsid w:val="00F660A8"/>
    <w:pPr>
      <w:numPr>
        <w:numId w:val="3"/>
      </w:numPr>
    </w:pPr>
  </w:style>
  <w:style w:type="numbering" w:customStyle="1" w:styleId="TableNListnumberedmultilevel">
    <w:name w:val="Table N List (numbered) multilevel"/>
    <w:uiPriority w:val="99"/>
    <w:rsid w:val="00F660A8"/>
    <w:pPr>
      <w:numPr>
        <w:numId w:val="9"/>
      </w:numPr>
    </w:pPr>
  </w:style>
  <w:style w:type="table" w:customStyle="1" w:styleId="NousLongformcallout">
    <w:name w:val="Nous_Long form call out"/>
    <w:basedOn w:val="TableNormal"/>
    <w:uiPriority w:val="99"/>
    <w:rsid w:val="005F382F"/>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character" w:styleId="UnresolvedMention">
    <w:name w:val="Unresolved Mention"/>
    <w:basedOn w:val="DefaultParagraphFont"/>
    <w:uiPriority w:val="99"/>
    <w:semiHidden/>
    <w:unhideWhenUsed/>
    <w:rsid w:val="0048165C"/>
    <w:rPr>
      <w:color w:val="605E5C"/>
      <w:shd w:val="clear" w:color="auto" w:fill="E1DFDD"/>
    </w:rPr>
  </w:style>
  <w:style w:type="character" w:styleId="FollowedHyperlink">
    <w:name w:val="FollowedHyperlink"/>
    <w:basedOn w:val="DefaultParagraphFont"/>
    <w:uiPriority w:val="99"/>
    <w:semiHidden/>
    <w:unhideWhenUsed/>
    <w:rsid w:val="0048165C"/>
    <w:rPr>
      <w:color w:val="0048C7" w:themeColor="followedHyperlink"/>
      <w:u w:val="single"/>
    </w:rPr>
  </w:style>
  <w:style w:type="paragraph" w:styleId="CommentSubject">
    <w:name w:val="annotation subject"/>
    <w:basedOn w:val="CommentText"/>
    <w:next w:val="CommentText"/>
    <w:link w:val="CommentSubjectChar"/>
    <w:uiPriority w:val="99"/>
    <w:semiHidden/>
    <w:unhideWhenUsed/>
    <w:rsid w:val="008C7443"/>
    <w:rPr>
      <w:b/>
      <w:bCs/>
    </w:rPr>
  </w:style>
  <w:style w:type="character" w:customStyle="1" w:styleId="CommentSubjectChar">
    <w:name w:val="Comment Subject Char"/>
    <w:basedOn w:val="CommentTextChar"/>
    <w:link w:val="CommentSubject"/>
    <w:uiPriority w:val="99"/>
    <w:semiHidden/>
    <w:rsid w:val="008C7443"/>
    <w:rPr>
      <w:rFonts w:ascii="Segoe UI" w:hAnsi="Segoe UI"/>
      <w:b/>
      <w:bCs/>
      <w:sz w:val="20"/>
      <w:szCs w:val="20"/>
      <w:lang w:val="en-AU"/>
    </w:rPr>
  </w:style>
  <w:style w:type="character" w:customStyle="1" w:styleId="TableNTextChar">
    <w:name w:val="Table N Text Char"/>
    <w:basedOn w:val="DefaultParagraphFont"/>
    <w:link w:val="TableNText"/>
    <w:uiPriority w:val="2"/>
    <w:rsid w:val="00D6643E"/>
    <w:rPr>
      <w:rFonts w:ascii="Segoe UI" w:hAnsi="Segoe UI"/>
      <w:sz w:val="21"/>
      <w:lang w:val="en-AU"/>
    </w:rPr>
  </w:style>
  <w:style w:type="table" w:customStyle="1" w:styleId="AccessibleNousTable">
    <w:name w:val="Accessible Nous Table"/>
    <w:basedOn w:val="TableNormal"/>
    <w:uiPriority w:val="99"/>
    <w:rsid w:val="00A76014"/>
    <w:pPr>
      <w:spacing w:after="0" w:line="240" w:lineRule="auto"/>
    </w:pPr>
    <w:rPr>
      <w:sz w:val="21"/>
    </w:rPr>
    <w:tblPr>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CellMar>
        <w:top w:w="57" w:type="dxa"/>
        <w:bottom w:w="57" w:type="dxa"/>
      </w:tblCellMar>
    </w:tblPr>
    <w:tblStylePr w:type="firstRow">
      <w:rPr>
        <w:color w:val="FFFFFF" w:themeColor="background1"/>
      </w:rPr>
      <w:tblPr/>
      <w:tcPr>
        <w:tc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FFFFFF" w:themeColor="background1"/>
          <w:insideV w:val="single" w:sz="4" w:space="0" w:color="FFFFFF" w:themeColor="background1"/>
        </w:tcBorders>
        <w:shd w:val="clear" w:color="auto" w:fill="00264D" w:themeFill="background2"/>
      </w:tcPr>
    </w:tblStylePr>
  </w:style>
  <w:style w:type="table" w:customStyle="1" w:styleId="AccessibleSideColumn">
    <w:name w:val="Accessible Side Column"/>
    <w:basedOn w:val="TableNormal"/>
    <w:uiPriority w:val="99"/>
    <w:rsid w:val="00A76014"/>
    <w:pPr>
      <w:spacing w:after="0" w:line="240" w:lineRule="auto"/>
    </w:pPr>
    <w:tblPr>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Pr>
    <w:tblStylePr w:type="firstRow">
      <w:tblPr/>
      <w:tcPr>
        <w:tcBorders>
          <w:top w:val="single" w:sz="4" w:space="0" w:color="00264D" w:themeColor="background2"/>
          <w:left w:val="single" w:sz="4" w:space="0" w:color="00264D" w:themeColor="background2"/>
          <w:bottom w:val="single" w:sz="4" w:space="0" w:color="FFFFFF" w:themeColor="background1"/>
          <w:right w:val="single" w:sz="4" w:space="0" w:color="00264D" w:themeColor="background2"/>
          <w:insideH w:val="single" w:sz="4" w:space="0" w:color="FFFFFF" w:themeColor="background1"/>
          <w:insideV w:val="single" w:sz="4" w:space="0" w:color="FFFFFF" w:themeColor="background1"/>
          <w:tl2br w:val="nil"/>
          <w:tr2bl w:val="nil"/>
        </w:tcBorders>
      </w:tcPr>
    </w:tblStylePr>
    <w:tblStylePr w:type="firstCol">
      <w:rPr>
        <w:color w:val="FFFFFF" w:themeColor="background1"/>
        <w:sz w:val="21"/>
      </w:rPr>
      <w:tblPr/>
      <w:tcPr>
        <w:tc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FFFFFF" w:themeColor="background1"/>
          <w:insideV w:val="single" w:sz="4" w:space="0" w:color="FFFFFF" w:themeColor="background1"/>
        </w:tcBorders>
        <w:shd w:val="clear" w:color="auto" w:fill="00264D" w:themeFill="background2"/>
      </w:tcPr>
    </w:tblStylePr>
  </w:style>
  <w:style w:type="table" w:customStyle="1" w:styleId="AccessibleCombinationHeader">
    <w:name w:val="Accessible Combination Header"/>
    <w:basedOn w:val="TableNormal"/>
    <w:uiPriority w:val="99"/>
    <w:rsid w:val="00D3105D"/>
    <w:pPr>
      <w:spacing w:after="0" w:line="240" w:lineRule="auto"/>
    </w:pPr>
    <w:rPr>
      <w:sz w:val="21"/>
    </w:rPr>
    <w:tblPr>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Pr>
    <w:tblStylePr w:type="firstRow">
      <w:rPr>
        <w:color w:val="FFFFFF" w:themeColor="background1"/>
      </w:rPr>
      <w:tblPr/>
      <w:tcPr>
        <w:tcBorders>
          <w:insideV w:val="single" w:sz="4" w:space="0" w:color="FFFFFF" w:themeColor="background1"/>
        </w:tcBorders>
        <w:shd w:val="clear" w:color="auto" w:fill="00264D" w:themeFill="background2"/>
      </w:tcPr>
    </w:tblStylePr>
    <w:tblStylePr w:type="firstCol">
      <w:rPr>
        <w:b/>
        <w:color w:val="00264D" w:themeColor="background2"/>
      </w:rPr>
      <w:tblPr/>
      <w:tcPr>
        <w:shd w:val="clear" w:color="auto" w:fill="E6E6E1" w:themeFill="accent5"/>
      </w:tcPr>
    </w:tblStylePr>
  </w:style>
  <w:style w:type="paragraph" w:customStyle="1" w:styleId="CaseStudytitle">
    <w:name w:val="Case Study title"/>
    <w:basedOn w:val="Normal"/>
    <w:qFormat/>
    <w:rsid w:val="00AD6442"/>
    <w:pPr>
      <w:spacing w:line="240" w:lineRule="auto"/>
    </w:pPr>
    <w:rPr>
      <w:rFonts w:asciiTheme="majorHAnsi" w:hAnsiTheme="majorHAnsi"/>
      <w:caps/>
      <w:color w:val="F25E21" w:themeColor="accent2"/>
      <w:sz w:val="24"/>
    </w:rPr>
  </w:style>
  <w:style w:type="paragraph" w:customStyle="1" w:styleId="TableNBulletlevel2">
    <w:name w:val="Table N Bullet (level2)"/>
    <w:basedOn w:val="Normal"/>
    <w:link w:val="TableNBulletlevel2Char"/>
    <w:qFormat/>
    <w:rsid w:val="009B45EB"/>
    <w:pPr>
      <w:numPr>
        <w:ilvl w:val="1"/>
        <w:numId w:val="3"/>
      </w:numPr>
      <w:suppressAutoHyphens/>
    </w:pPr>
    <w:rPr>
      <w:rFonts w:eastAsia="Times New Roman" w:cs="Times New Roman"/>
      <w:szCs w:val="19"/>
      <w:lang w:eastAsia="en-AU"/>
    </w:rPr>
  </w:style>
  <w:style w:type="paragraph" w:styleId="FootnoteText">
    <w:name w:val="footnote text"/>
    <w:basedOn w:val="Normal"/>
    <w:link w:val="FootnoteTextChar"/>
    <w:uiPriority w:val="99"/>
    <w:unhideWhenUsed/>
    <w:rsid w:val="00624D60"/>
    <w:pPr>
      <w:spacing w:after="0" w:line="240" w:lineRule="auto"/>
    </w:pPr>
    <w:rPr>
      <w:sz w:val="15"/>
      <w:szCs w:val="20"/>
    </w:rPr>
  </w:style>
  <w:style w:type="character" w:customStyle="1" w:styleId="FootnoteTextChar">
    <w:name w:val="Footnote Text Char"/>
    <w:basedOn w:val="DefaultParagraphFont"/>
    <w:link w:val="FootnoteText"/>
    <w:uiPriority w:val="99"/>
    <w:rsid w:val="00624D60"/>
    <w:rPr>
      <w:rFonts w:ascii="Segoe UI" w:hAnsi="Segoe UI"/>
      <w:sz w:val="15"/>
      <w:szCs w:val="20"/>
      <w:lang w:val="en-AU"/>
    </w:rPr>
  </w:style>
  <w:style w:type="character" w:styleId="FootnoteReference">
    <w:name w:val="footnote reference"/>
    <w:basedOn w:val="DefaultParagraphFont"/>
    <w:uiPriority w:val="99"/>
    <w:unhideWhenUsed/>
    <w:rsid w:val="00624D60"/>
    <w:rPr>
      <w:vertAlign w:val="superscript"/>
    </w:rPr>
  </w:style>
  <w:style w:type="table" w:customStyle="1" w:styleId="NousTableStyletopandsideheading">
    <w:name w:val="Nous Table Style top and side heading"/>
    <w:basedOn w:val="TableNormal"/>
    <w:uiPriority w:val="99"/>
    <w:rsid w:val="006935EA"/>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Marlett" w:hAnsi="Marlett"/>
        <w:b/>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tcPr>
    </w:tblStylePr>
    <w:tblStylePr w:type="firstCol">
      <w:pPr>
        <w:jc w:val="center"/>
      </w:pPr>
      <w:rPr>
        <w:rFonts w:ascii="Marlett" w:hAnsi="Marlett"/>
        <w:b/>
        <w:color w:val="00264D" w:themeColor="background2"/>
        <w:sz w:val="18"/>
      </w:rPr>
      <w:tblPr/>
      <w:tcPr>
        <w:tcBorders>
          <w:left w:val="nil"/>
        </w:tcBorders>
        <w:shd w:val="clear" w:color="auto" w:fill="E6E6E1" w:themeFill="accent5"/>
      </w:tcPr>
    </w:tblStylePr>
  </w:style>
  <w:style w:type="character" w:customStyle="1" w:styleId="CaptionChar">
    <w:name w:val="Caption Char"/>
    <w:link w:val="Caption"/>
    <w:uiPriority w:val="35"/>
    <w:locked/>
    <w:rsid w:val="006935EA"/>
    <w:rPr>
      <w:rFonts w:ascii="Segoe UI Semibold" w:hAnsi="Segoe UI Semibold"/>
      <w:bCs/>
      <w:color w:val="00264D" w:themeColor="background2"/>
      <w:sz w:val="21"/>
      <w:szCs w:val="18"/>
      <w:lang w:val="en-AU"/>
    </w:rPr>
  </w:style>
  <w:style w:type="character" w:styleId="Mention">
    <w:name w:val="Mention"/>
    <w:basedOn w:val="DefaultParagraphFont"/>
    <w:uiPriority w:val="99"/>
    <w:unhideWhenUsed/>
    <w:rsid w:val="00094C98"/>
    <w:rPr>
      <w:color w:val="2B579A"/>
      <w:shd w:val="clear" w:color="auto" w:fill="E1DFDD"/>
    </w:rPr>
  </w:style>
  <w:style w:type="paragraph" w:styleId="Revision">
    <w:name w:val="Revision"/>
    <w:hidden/>
    <w:uiPriority w:val="99"/>
    <w:semiHidden/>
    <w:rsid w:val="001F3F95"/>
    <w:pPr>
      <w:spacing w:after="0" w:line="240" w:lineRule="auto"/>
    </w:pPr>
    <w:rPr>
      <w:rFonts w:ascii="Segoe UI" w:hAnsi="Segoe UI"/>
      <w:sz w:val="21"/>
      <w:lang w:val="en-AU"/>
    </w:rPr>
  </w:style>
  <w:style w:type="paragraph" w:styleId="ListParagraph">
    <w:name w:val="List Paragraph"/>
    <w:basedOn w:val="Normal"/>
    <w:uiPriority w:val="34"/>
    <w:qFormat/>
    <w:rsid w:val="00B2232C"/>
    <w:pPr>
      <w:spacing w:line="259" w:lineRule="auto"/>
      <w:ind w:left="720"/>
      <w:contextualSpacing/>
    </w:pPr>
    <w:rPr>
      <w:sz w:val="19"/>
    </w:rPr>
  </w:style>
  <w:style w:type="paragraph" w:styleId="NormalWeb">
    <w:name w:val="Normal (Web)"/>
    <w:basedOn w:val="Normal"/>
    <w:uiPriority w:val="99"/>
    <w:semiHidden/>
    <w:unhideWhenUsed/>
    <w:rsid w:val="001D5AEE"/>
    <w:pPr>
      <w:spacing w:before="100" w:beforeAutospacing="1" w:after="100" w:afterAutospacing="1" w:line="240" w:lineRule="auto"/>
    </w:pPr>
    <w:rPr>
      <w:rFonts w:ascii="Times New Roman" w:eastAsia="Times New Roman" w:hAnsi="Times New Roman" w:cs="Times New Roman"/>
      <w:sz w:val="24"/>
      <w:szCs w:val="24"/>
      <w:lang w:eastAsia="en-AU"/>
    </w:rPr>
  </w:style>
  <w:style w:type="table" w:customStyle="1" w:styleId="none1">
    <w:name w:val="none1"/>
    <w:basedOn w:val="TableNormal"/>
    <w:next w:val="TableGrid"/>
    <w:uiPriority w:val="39"/>
    <w:rsid w:val="00A60CA8"/>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imSun-ExtB" w:hAnsi="SimSun-ExtB"/>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Historic" w:hAnsi="Segoe UI Historic"/>
        <w:sz w:val="17"/>
      </w:rPr>
    </w:tblStylePr>
    <w:tblStylePr w:type="band2Horz">
      <w:rPr>
        <w:rFonts w:ascii="Segoe UI Historic" w:hAnsi="Segoe UI Historic"/>
        <w:sz w:val="17"/>
      </w:rPr>
    </w:tblStylePr>
  </w:style>
  <w:style w:type="paragraph" w:customStyle="1" w:styleId="Default">
    <w:name w:val="Default"/>
    <w:rsid w:val="006153B3"/>
    <w:pPr>
      <w:autoSpaceDE w:val="0"/>
      <w:autoSpaceDN w:val="0"/>
      <w:adjustRightInd w:val="0"/>
      <w:spacing w:after="0" w:line="240" w:lineRule="auto"/>
    </w:pPr>
    <w:rPr>
      <w:rFonts w:ascii="Segoe UI" w:hAnsi="Segoe UI" w:cs="Segoe UI"/>
      <w:color w:val="000000"/>
      <w:sz w:val="24"/>
      <w:szCs w:val="24"/>
      <w:lang w:val="en-AU"/>
    </w:rPr>
  </w:style>
  <w:style w:type="table" w:styleId="PlainTable2">
    <w:name w:val="Plain Table 2"/>
    <w:basedOn w:val="TableNormal"/>
    <w:uiPriority w:val="42"/>
    <w:rsid w:val="0018530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ExpBullet">
    <w:name w:val="Table Exp Bullet"/>
    <w:basedOn w:val="TableNBullet"/>
    <w:uiPriority w:val="3"/>
    <w:qFormat/>
    <w:rsid w:val="008A550C"/>
    <w:pPr>
      <w:numPr>
        <w:numId w:val="17"/>
      </w:numPr>
      <w:spacing w:line="259" w:lineRule="auto"/>
    </w:pPr>
    <w:rPr>
      <w:sz w:val="17"/>
    </w:rPr>
  </w:style>
  <w:style w:type="character" w:styleId="Strong">
    <w:name w:val="Strong"/>
    <w:basedOn w:val="DefaultParagraphFont"/>
    <w:uiPriority w:val="22"/>
    <w:rsid w:val="000145D3"/>
    <w:rPr>
      <w:b/>
      <w:bCs/>
      <w:color w:val="00264D" w:themeColor="background2"/>
    </w:rPr>
  </w:style>
  <w:style w:type="paragraph" w:styleId="ListBullet">
    <w:name w:val="List Bullet"/>
    <w:basedOn w:val="Normal"/>
    <w:uiPriority w:val="99"/>
    <w:unhideWhenUsed/>
    <w:qFormat/>
    <w:rsid w:val="00D3105D"/>
    <w:pPr>
      <w:numPr>
        <w:numId w:val="35"/>
      </w:numPr>
      <w:contextualSpacing/>
    </w:pPr>
  </w:style>
  <w:style w:type="paragraph" w:customStyle="1" w:styleId="TableNTextStrong">
    <w:name w:val="Table N Text (Strong)"/>
    <w:basedOn w:val="TableNText"/>
    <w:link w:val="TableNTextStrongChar"/>
    <w:qFormat/>
    <w:rsid w:val="00B7385B"/>
    <w:rPr>
      <w:b/>
    </w:rPr>
  </w:style>
  <w:style w:type="character" w:customStyle="1" w:styleId="TableNTextStrongChar">
    <w:name w:val="Table N Text (Strong) Char"/>
    <w:basedOn w:val="TableNTextChar"/>
    <w:link w:val="TableNTextStrong"/>
    <w:rsid w:val="00B7385B"/>
    <w:rPr>
      <w:rFonts w:ascii="Segoe UI" w:hAnsi="Segoe UI"/>
      <w:b/>
      <w:sz w:val="21"/>
      <w:lang w:val="en-AU"/>
    </w:rPr>
  </w:style>
  <w:style w:type="character" w:customStyle="1" w:styleId="TableNBulletlevel2Char">
    <w:name w:val="Table N Bullet (level2) Char"/>
    <w:basedOn w:val="DefaultParagraphFont"/>
    <w:link w:val="TableNBulletlevel2"/>
    <w:rsid w:val="009B45EB"/>
    <w:rPr>
      <w:rFonts w:ascii="Segoe UI" w:eastAsia="Times New Roman" w:hAnsi="Segoe UI" w:cs="Times New Roman"/>
      <w:sz w:val="21"/>
      <w:szCs w:val="19"/>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656168">
      <w:bodyDiv w:val="1"/>
      <w:marLeft w:val="0"/>
      <w:marRight w:val="0"/>
      <w:marTop w:val="0"/>
      <w:marBottom w:val="0"/>
      <w:divBdr>
        <w:top w:val="none" w:sz="0" w:space="0" w:color="auto"/>
        <w:left w:val="none" w:sz="0" w:space="0" w:color="auto"/>
        <w:bottom w:val="none" w:sz="0" w:space="0" w:color="auto"/>
        <w:right w:val="none" w:sz="0" w:space="0" w:color="auto"/>
      </w:divBdr>
    </w:div>
    <w:div w:id="67923655">
      <w:bodyDiv w:val="1"/>
      <w:marLeft w:val="0"/>
      <w:marRight w:val="0"/>
      <w:marTop w:val="0"/>
      <w:marBottom w:val="0"/>
      <w:divBdr>
        <w:top w:val="none" w:sz="0" w:space="0" w:color="auto"/>
        <w:left w:val="none" w:sz="0" w:space="0" w:color="auto"/>
        <w:bottom w:val="none" w:sz="0" w:space="0" w:color="auto"/>
        <w:right w:val="none" w:sz="0" w:space="0" w:color="auto"/>
      </w:divBdr>
    </w:div>
    <w:div w:id="106049791">
      <w:bodyDiv w:val="1"/>
      <w:marLeft w:val="0"/>
      <w:marRight w:val="0"/>
      <w:marTop w:val="0"/>
      <w:marBottom w:val="0"/>
      <w:divBdr>
        <w:top w:val="none" w:sz="0" w:space="0" w:color="auto"/>
        <w:left w:val="none" w:sz="0" w:space="0" w:color="auto"/>
        <w:bottom w:val="none" w:sz="0" w:space="0" w:color="auto"/>
        <w:right w:val="none" w:sz="0" w:space="0" w:color="auto"/>
      </w:divBdr>
    </w:div>
    <w:div w:id="106699198">
      <w:bodyDiv w:val="1"/>
      <w:marLeft w:val="0"/>
      <w:marRight w:val="0"/>
      <w:marTop w:val="0"/>
      <w:marBottom w:val="0"/>
      <w:divBdr>
        <w:top w:val="none" w:sz="0" w:space="0" w:color="auto"/>
        <w:left w:val="none" w:sz="0" w:space="0" w:color="auto"/>
        <w:bottom w:val="none" w:sz="0" w:space="0" w:color="auto"/>
        <w:right w:val="none" w:sz="0" w:space="0" w:color="auto"/>
      </w:divBdr>
    </w:div>
    <w:div w:id="141584487">
      <w:bodyDiv w:val="1"/>
      <w:marLeft w:val="0"/>
      <w:marRight w:val="0"/>
      <w:marTop w:val="0"/>
      <w:marBottom w:val="0"/>
      <w:divBdr>
        <w:top w:val="none" w:sz="0" w:space="0" w:color="auto"/>
        <w:left w:val="none" w:sz="0" w:space="0" w:color="auto"/>
        <w:bottom w:val="none" w:sz="0" w:space="0" w:color="auto"/>
        <w:right w:val="none" w:sz="0" w:space="0" w:color="auto"/>
      </w:divBdr>
    </w:div>
    <w:div w:id="180823530">
      <w:bodyDiv w:val="1"/>
      <w:marLeft w:val="0"/>
      <w:marRight w:val="0"/>
      <w:marTop w:val="0"/>
      <w:marBottom w:val="0"/>
      <w:divBdr>
        <w:top w:val="none" w:sz="0" w:space="0" w:color="auto"/>
        <w:left w:val="none" w:sz="0" w:space="0" w:color="auto"/>
        <w:bottom w:val="none" w:sz="0" w:space="0" w:color="auto"/>
        <w:right w:val="none" w:sz="0" w:space="0" w:color="auto"/>
      </w:divBdr>
    </w:div>
    <w:div w:id="369575966">
      <w:bodyDiv w:val="1"/>
      <w:marLeft w:val="0"/>
      <w:marRight w:val="0"/>
      <w:marTop w:val="0"/>
      <w:marBottom w:val="0"/>
      <w:divBdr>
        <w:top w:val="none" w:sz="0" w:space="0" w:color="auto"/>
        <w:left w:val="none" w:sz="0" w:space="0" w:color="auto"/>
        <w:bottom w:val="none" w:sz="0" w:space="0" w:color="auto"/>
        <w:right w:val="none" w:sz="0" w:space="0" w:color="auto"/>
      </w:divBdr>
    </w:div>
    <w:div w:id="379399544">
      <w:bodyDiv w:val="1"/>
      <w:marLeft w:val="0"/>
      <w:marRight w:val="0"/>
      <w:marTop w:val="0"/>
      <w:marBottom w:val="0"/>
      <w:divBdr>
        <w:top w:val="none" w:sz="0" w:space="0" w:color="auto"/>
        <w:left w:val="none" w:sz="0" w:space="0" w:color="auto"/>
        <w:bottom w:val="none" w:sz="0" w:space="0" w:color="auto"/>
        <w:right w:val="none" w:sz="0" w:space="0" w:color="auto"/>
      </w:divBdr>
    </w:div>
    <w:div w:id="396635096">
      <w:bodyDiv w:val="1"/>
      <w:marLeft w:val="0"/>
      <w:marRight w:val="0"/>
      <w:marTop w:val="0"/>
      <w:marBottom w:val="0"/>
      <w:divBdr>
        <w:top w:val="none" w:sz="0" w:space="0" w:color="auto"/>
        <w:left w:val="none" w:sz="0" w:space="0" w:color="auto"/>
        <w:bottom w:val="none" w:sz="0" w:space="0" w:color="auto"/>
        <w:right w:val="none" w:sz="0" w:space="0" w:color="auto"/>
      </w:divBdr>
    </w:div>
    <w:div w:id="409623979">
      <w:bodyDiv w:val="1"/>
      <w:marLeft w:val="0"/>
      <w:marRight w:val="0"/>
      <w:marTop w:val="0"/>
      <w:marBottom w:val="0"/>
      <w:divBdr>
        <w:top w:val="none" w:sz="0" w:space="0" w:color="auto"/>
        <w:left w:val="none" w:sz="0" w:space="0" w:color="auto"/>
        <w:bottom w:val="none" w:sz="0" w:space="0" w:color="auto"/>
        <w:right w:val="none" w:sz="0" w:space="0" w:color="auto"/>
      </w:divBdr>
    </w:div>
    <w:div w:id="418332073">
      <w:bodyDiv w:val="1"/>
      <w:marLeft w:val="0"/>
      <w:marRight w:val="0"/>
      <w:marTop w:val="0"/>
      <w:marBottom w:val="0"/>
      <w:divBdr>
        <w:top w:val="none" w:sz="0" w:space="0" w:color="auto"/>
        <w:left w:val="none" w:sz="0" w:space="0" w:color="auto"/>
        <w:bottom w:val="none" w:sz="0" w:space="0" w:color="auto"/>
        <w:right w:val="none" w:sz="0" w:space="0" w:color="auto"/>
      </w:divBdr>
    </w:div>
    <w:div w:id="460029941">
      <w:bodyDiv w:val="1"/>
      <w:marLeft w:val="0"/>
      <w:marRight w:val="0"/>
      <w:marTop w:val="0"/>
      <w:marBottom w:val="0"/>
      <w:divBdr>
        <w:top w:val="none" w:sz="0" w:space="0" w:color="auto"/>
        <w:left w:val="none" w:sz="0" w:space="0" w:color="auto"/>
        <w:bottom w:val="none" w:sz="0" w:space="0" w:color="auto"/>
        <w:right w:val="none" w:sz="0" w:space="0" w:color="auto"/>
      </w:divBdr>
    </w:div>
    <w:div w:id="537164802">
      <w:bodyDiv w:val="1"/>
      <w:marLeft w:val="0"/>
      <w:marRight w:val="0"/>
      <w:marTop w:val="0"/>
      <w:marBottom w:val="0"/>
      <w:divBdr>
        <w:top w:val="none" w:sz="0" w:space="0" w:color="auto"/>
        <w:left w:val="none" w:sz="0" w:space="0" w:color="auto"/>
        <w:bottom w:val="none" w:sz="0" w:space="0" w:color="auto"/>
        <w:right w:val="none" w:sz="0" w:space="0" w:color="auto"/>
      </w:divBdr>
    </w:div>
    <w:div w:id="547956648">
      <w:bodyDiv w:val="1"/>
      <w:marLeft w:val="0"/>
      <w:marRight w:val="0"/>
      <w:marTop w:val="0"/>
      <w:marBottom w:val="0"/>
      <w:divBdr>
        <w:top w:val="none" w:sz="0" w:space="0" w:color="auto"/>
        <w:left w:val="none" w:sz="0" w:space="0" w:color="auto"/>
        <w:bottom w:val="none" w:sz="0" w:space="0" w:color="auto"/>
        <w:right w:val="none" w:sz="0" w:space="0" w:color="auto"/>
      </w:divBdr>
    </w:div>
    <w:div w:id="553084847">
      <w:bodyDiv w:val="1"/>
      <w:marLeft w:val="0"/>
      <w:marRight w:val="0"/>
      <w:marTop w:val="0"/>
      <w:marBottom w:val="0"/>
      <w:divBdr>
        <w:top w:val="none" w:sz="0" w:space="0" w:color="auto"/>
        <w:left w:val="none" w:sz="0" w:space="0" w:color="auto"/>
        <w:bottom w:val="none" w:sz="0" w:space="0" w:color="auto"/>
        <w:right w:val="none" w:sz="0" w:space="0" w:color="auto"/>
      </w:divBdr>
    </w:div>
    <w:div w:id="572155842">
      <w:bodyDiv w:val="1"/>
      <w:marLeft w:val="0"/>
      <w:marRight w:val="0"/>
      <w:marTop w:val="0"/>
      <w:marBottom w:val="0"/>
      <w:divBdr>
        <w:top w:val="none" w:sz="0" w:space="0" w:color="auto"/>
        <w:left w:val="none" w:sz="0" w:space="0" w:color="auto"/>
        <w:bottom w:val="none" w:sz="0" w:space="0" w:color="auto"/>
        <w:right w:val="none" w:sz="0" w:space="0" w:color="auto"/>
      </w:divBdr>
    </w:div>
    <w:div w:id="577634391">
      <w:bodyDiv w:val="1"/>
      <w:marLeft w:val="0"/>
      <w:marRight w:val="0"/>
      <w:marTop w:val="0"/>
      <w:marBottom w:val="0"/>
      <w:divBdr>
        <w:top w:val="none" w:sz="0" w:space="0" w:color="auto"/>
        <w:left w:val="none" w:sz="0" w:space="0" w:color="auto"/>
        <w:bottom w:val="none" w:sz="0" w:space="0" w:color="auto"/>
        <w:right w:val="none" w:sz="0" w:space="0" w:color="auto"/>
      </w:divBdr>
    </w:div>
    <w:div w:id="595789041">
      <w:bodyDiv w:val="1"/>
      <w:marLeft w:val="0"/>
      <w:marRight w:val="0"/>
      <w:marTop w:val="0"/>
      <w:marBottom w:val="0"/>
      <w:divBdr>
        <w:top w:val="none" w:sz="0" w:space="0" w:color="auto"/>
        <w:left w:val="none" w:sz="0" w:space="0" w:color="auto"/>
        <w:bottom w:val="none" w:sz="0" w:space="0" w:color="auto"/>
        <w:right w:val="none" w:sz="0" w:space="0" w:color="auto"/>
      </w:divBdr>
    </w:div>
    <w:div w:id="607271156">
      <w:bodyDiv w:val="1"/>
      <w:marLeft w:val="0"/>
      <w:marRight w:val="0"/>
      <w:marTop w:val="0"/>
      <w:marBottom w:val="0"/>
      <w:divBdr>
        <w:top w:val="none" w:sz="0" w:space="0" w:color="auto"/>
        <w:left w:val="none" w:sz="0" w:space="0" w:color="auto"/>
        <w:bottom w:val="none" w:sz="0" w:space="0" w:color="auto"/>
        <w:right w:val="none" w:sz="0" w:space="0" w:color="auto"/>
      </w:divBdr>
      <w:divsChild>
        <w:div w:id="338001494">
          <w:marLeft w:val="360"/>
          <w:marRight w:val="0"/>
          <w:marTop w:val="0"/>
          <w:marBottom w:val="160"/>
          <w:divBdr>
            <w:top w:val="none" w:sz="0" w:space="0" w:color="auto"/>
            <w:left w:val="none" w:sz="0" w:space="0" w:color="auto"/>
            <w:bottom w:val="none" w:sz="0" w:space="0" w:color="auto"/>
            <w:right w:val="none" w:sz="0" w:space="0" w:color="auto"/>
          </w:divBdr>
        </w:div>
        <w:div w:id="615602678">
          <w:marLeft w:val="360"/>
          <w:marRight w:val="0"/>
          <w:marTop w:val="0"/>
          <w:marBottom w:val="160"/>
          <w:divBdr>
            <w:top w:val="none" w:sz="0" w:space="0" w:color="auto"/>
            <w:left w:val="none" w:sz="0" w:space="0" w:color="auto"/>
            <w:bottom w:val="none" w:sz="0" w:space="0" w:color="auto"/>
            <w:right w:val="none" w:sz="0" w:space="0" w:color="auto"/>
          </w:divBdr>
        </w:div>
        <w:div w:id="2014139826">
          <w:marLeft w:val="360"/>
          <w:marRight w:val="0"/>
          <w:marTop w:val="0"/>
          <w:marBottom w:val="160"/>
          <w:divBdr>
            <w:top w:val="none" w:sz="0" w:space="0" w:color="auto"/>
            <w:left w:val="none" w:sz="0" w:space="0" w:color="auto"/>
            <w:bottom w:val="none" w:sz="0" w:space="0" w:color="auto"/>
            <w:right w:val="none" w:sz="0" w:space="0" w:color="auto"/>
          </w:divBdr>
        </w:div>
      </w:divsChild>
    </w:div>
    <w:div w:id="614605641">
      <w:bodyDiv w:val="1"/>
      <w:marLeft w:val="0"/>
      <w:marRight w:val="0"/>
      <w:marTop w:val="0"/>
      <w:marBottom w:val="0"/>
      <w:divBdr>
        <w:top w:val="none" w:sz="0" w:space="0" w:color="auto"/>
        <w:left w:val="none" w:sz="0" w:space="0" w:color="auto"/>
        <w:bottom w:val="none" w:sz="0" w:space="0" w:color="auto"/>
        <w:right w:val="none" w:sz="0" w:space="0" w:color="auto"/>
      </w:divBdr>
    </w:div>
    <w:div w:id="633684008">
      <w:bodyDiv w:val="1"/>
      <w:marLeft w:val="0"/>
      <w:marRight w:val="0"/>
      <w:marTop w:val="0"/>
      <w:marBottom w:val="0"/>
      <w:divBdr>
        <w:top w:val="none" w:sz="0" w:space="0" w:color="auto"/>
        <w:left w:val="none" w:sz="0" w:space="0" w:color="auto"/>
        <w:bottom w:val="none" w:sz="0" w:space="0" w:color="auto"/>
        <w:right w:val="none" w:sz="0" w:space="0" w:color="auto"/>
      </w:divBdr>
    </w:div>
    <w:div w:id="667564211">
      <w:bodyDiv w:val="1"/>
      <w:marLeft w:val="0"/>
      <w:marRight w:val="0"/>
      <w:marTop w:val="0"/>
      <w:marBottom w:val="0"/>
      <w:divBdr>
        <w:top w:val="none" w:sz="0" w:space="0" w:color="auto"/>
        <w:left w:val="none" w:sz="0" w:space="0" w:color="auto"/>
        <w:bottom w:val="none" w:sz="0" w:space="0" w:color="auto"/>
        <w:right w:val="none" w:sz="0" w:space="0" w:color="auto"/>
      </w:divBdr>
    </w:div>
    <w:div w:id="680201684">
      <w:bodyDiv w:val="1"/>
      <w:marLeft w:val="0"/>
      <w:marRight w:val="0"/>
      <w:marTop w:val="0"/>
      <w:marBottom w:val="0"/>
      <w:divBdr>
        <w:top w:val="none" w:sz="0" w:space="0" w:color="auto"/>
        <w:left w:val="none" w:sz="0" w:space="0" w:color="auto"/>
        <w:bottom w:val="none" w:sz="0" w:space="0" w:color="auto"/>
        <w:right w:val="none" w:sz="0" w:space="0" w:color="auto"/>
      </w:divBdr>
    </w:div>
    <w:div w:id="680788609">
      <w:bodyDiv w:val="1"/>
      <w:marLeft w:val="0"/>
      <w:marRight w:val="0"/>
      <w:marTop w:val="0"/>
      <w:marBottom w:val="0"/>
      <w:divBdr>
        <w:top w:val="none" w:sz="0" w:space="0" w:color="auto"/>
        <w:left w:val="none" w:sz="0" w:space="0" w:color="auto"/>
        <w:bottom w:val="none" w:sz="0" w:space="0" w:color="auto"/>
        <w:right w:val="none" w:sz="0" w:space="0" w:color="auto"/>
      </w:divBdr>
    </w:div>
    <w:div w:id="712581545">
      <w:bodyDiv w:val="1"/>
      <w:marLeft w:val="0"/>
      <w:marRight w:val="0"/>
      <w:marTop w:val="0"/>
      <w:marBottom w:val="0"/>
      <w:divBdr>
        <w:top w:val="none" w:sz="0" w:space="0" w:color="auto"/>
        <w:left w:val="none" w:sz="0" w:space="0" w:color="auto"/>
        <w:bottom w:val="none" w:sz="0" w:space="0" w:color="auto"/>
        <w:right w:val="none" w:sz="0" w:space="0" w:color="auto"/>
      </w:divBdr>
    </w:div>
    <w:div w:id="730234678">
      <w:bodyDiv w:val="1"/>
      <w:marLeft w:val="0"/>
      <w:marRight w:val="0"/>
      <w:marTop w:val="0"/>
      <w:marBottom w:val="0"/>
      <w:divBdr>
        <w:top w:val="none" w:sz="0" w:space="0" w:color="auto"/>
        <w:left w:val="none" w:sz="0" w:space="0" w:color="auto"/>
        <w:bottom w:val="none" w:sz="0" w:space="0" w:color="auto"/>
        <w:right w:val="none" w:sz="0" w:space="0" w:color="auto"/>
      </w:divBdr>
      <w:divsChild>
        <w:div w:id="576593339">
          <w:marLeft w:val="173"/>
          <w:marRight w:val="0"/>
          <w:marTop w:val="0"/>
          <w:marBottom w:val="60"/>
          <w:divBdr>
            <w:top w:val="none" w:sz="0" w:space="0" w:color="auto"/>
            <w:left w:val="none" w:sz="0" w:space="0" w:color="auto"/>
            <w:bottom w:val="none" w:sz="0" w:space="0" w:color="auto"/>
            <w:right w:val="none" w:sz="0" w:space="0" w:color="auto"/>
          </w:divBdr>
        </w:div>
        <w:div w:id="670526496">
          <w:marLeft w:val="173"/>
          <w:marRight w:val="0"/>
          <w:marTop w:val="0"/>
          <w:marBottom w:val="60"/>
          <w:divBdr>
            <w:top w:val="none" w:sz="0" w:space="0" w:color="auto"/>
            <w:left w:val="none" w:sz="0" w:space="0" w:color="auto"/>
            <w:bottom w:val="none" w:sz="0" w:space="0" w:color="auto"/>
            <w:right w:val="none" w:sz="0" w:space="0" w:color="auto"/>
          </w:divBdr>
        </w:div>
      </w:divsChild>
    </w:div>
    <w:div w:id="746540844">
      <w:bodyDiv w:val="1"/>
      <w:marLeft w:val="0"/>
      <w:marRight w:val="0"/>
      <w:marTop w:val="0"/>
      <w:marBottom w:val="0"/>
      <w:divBdr>
        <w:top w:val="none" w:sz="0" w:space="0" w:color="auto"/>
        <w:left w:val="none" w:sz="0" w:space="0" w:color="auto"/>
        <w:bottom w:val="none" w:sz="0" w:space="0" w:color="auto"/>
        <w:right w:val="none" w:sz="0" w:space="0" w:color="auto"/>
      </w:divBdr>
    </w:div>
    <w:div w:id="808479714">
      <w:bodyDiv w:val="1"/>
      <w:marLeft w:val="0"/>
      <w:marRight w:val="0"/>
      <w:marTop w:val="0"/>
      <w:marBottom w:val="0"/>
      <w:divBdr>
        <w:top w:val="none" w:sz="0" w:space="0" w:color="auto"/>
        <w:left w:val="none" w:sz="0" w:space="0" w:color="auto"/>
        <w:bottom w:val="none" w:sz="0" w:space="0" w:color="auto"/>
        <w:right w:val="none" w:sz="0" w:space="0" w:color="auto"/>
      </w:divBdr>
    </w:div>
    <w:div w:id="826868787">
      <w:bodyDiv w:val="1"/>
      <w:marLeft w:val="0"/>
      <w:marRight w:val="0"/>
      <w:marTop w:val="0"/>
      <w:marBottom w:val="0"/>
      <w:divBdr>
        <w:top w:val="none" w:sz="0" w:space="0" w:color="auto"/>
        <w:left w:val="none" w:sz="0" w:space="0" w:color="auto"/>
        <w:bottom w:val="none" w:sz="0" w:space="0" w:color="auto"/>
        <w:right w:val="none" w:sz="0" w:space="0" w:color="auto"/>
      </w:divBdr>
    </w:div>
    <w:div w:id="856846528">
      <w:bodyDiv w:val="1"/>
      <w:marLeft w:val="0"/>
      <w:marRight w:val="0"/>
      <w:marTop w:val="0"/>
      <w:marBottom w:val="0"/>
      <w:divBdr>
        <w:top w:val="none" w:sz="0" w:space="0" w:color="auto"/>
        <w:left w:val="none" w:sz="0" w:space="0" w:color="auto"/>
        <w:bottom w:val="none" w:sz="0" w:space="0" w:color="auto"/>
        <w:right w:val="none" w:sz="0" w:space="0" w:color="auto"/>
      </w:divBdr>
    </w:div>
    <w:div w:id="918949845">
      <w:bodyDiv w:val="1"/>
      <w:marLeft w:val="0"/>
      <w:marRight w:val="0"/>
      <w:marTop w:val="0"/>
      <w:marBottom w:val="0"/>
      <w:divBdr>
        <w:top w:val="none" w:sz="0" w:space="0" w:color="auto"/>
        <w:left w:val="none" w:sz="0" w:space="0" w:color="auto"/>
        <w:bottom w:val="none" w:sz="0" w:space="0" w:color="auto"/>
        <w:right w:val="none" w:sz="0" w:space="0" w:color="auto"/>
      </w:divBdr>
    </w:div>
    <w:div w:id="938220651">
      <w:bodyDiv w:val="1"/>
      <w:marLeft w:val="0"/>
      <w:marRight w:val="0"/>
      <w:marTop w:val="0"/>
      <w:marBottom w:val="0"/>
      <w:divBdr>
        <w:top w:val="none" w:sz="0" w:space="0" w:color="auto"/>
        <w:left w:val="none" w:sz="0" w:space="0" w:color="auto"/>
        <w:bottom w:val="none" w:sz="0" w:space="0" w:color="auto"/>
        <w:right w:val="none" w:sz="0" w:space="0" w:color="auto"/>
      </w:divBdr>
    </w:div>
    <w:div w:id="943416054">
      <w:bodyDiv w:val="1"/>
      <w:marLeft w:val="0"/>
      <w:marRight w:val="0"/>
      <w:marTop w:val="0"/>
      <w:marBottom w:val="0"/>
      <w:divBdr>
        <w:top w:val="none" w:sz="0" w:space="0" w:color="auto"/>
        <w:left w:val="none" w:sz="0" w:space="0" w:color="auto"/>
        <w:bottom w:val="none" w:sz="0" w:space="0" w:color="auto"/>
        <w:right w:val="none" w:sz="0" w:space="0" w:color="auto"/>
      </w:divBdr>
    </w:div>
    <w:div w:id="974798912">
      <w:bodyDiv w:val="1"/>
      <w:marLeft w:val="0"/>
      <w:marRight w:val="0"/>
      <w:marTop w:val="0"/>
      <w:marBottom w:val="0"/>
      <w:divBdr>
        <w:top w:val="none" w:sz="0" w:space="0" w:color="auto"/>
        <w:left w:val="none" w:sz="0" w:space="0" w:color="auto"/>
        <w:bottom w:val="none" w:sz="0" w:space="0" w:color="auto"/>
        <w:right w:val="none" w:sz="0" w:space="0" w:color="auto"/>
      </w:divBdr>
      <w:divsChild>
        <w:div w:id="1171094516">
          <w:marLeft w:val="173"/>
          <w:marRight w:val="0"/>
          <w:marTop w:val="0"/>
          <w:marBottom w:val="40"/>
          <w:divBdr>
            <w:top w:val="none" w:sz="0" w:space="0" w:color="auto"/>
            <w:left w:val="none" w:sz="0" w:space="0" w:color="auto"/>
            <w:bottom w:val="none" w:sz="0" w:space="0" w:color="auto"/>
            <w:right w:val="none" w:sz="0" w:space="0" w:color="auto"/>
          </w:divBdr>
        </w:div>
        <w:div w:id="1273325322">
          <w:marLeft w:val="173"/>
          <w:marRight w:val="0"/>
          <w:marTop w:val="0"/>
          <w:marBottom w:val="40"/>
          <w:divBdr>
            <w:top w:val="none" w:sz="0" w:space="0" w:color="auto"/>
            <w:left w:val="none" w:sz="0" w:space="0" w:color="auto"/>
            <w:bottom w:val="none" w:sz="0" w:space="0" w:color="auto"/>
            <w:right w:val="none" w:sz="0" w:space="0" w:color="auto"/>
          </w:divBdr>
        </w:div>
        <w:div w:id="1981956225">
          <w:marLeft w:val="173"/>
          <w:marRight w:val="0"/>
          <w:marTop w:val="0"/>
          <w:marBottom w:val="40"/>
          <w:divBdr>
            <w:top w:val="none" w:sz="0" w:space="0" w:color="auto"/>
            <w:left w:val="none" w:sz="0" w:space="0" w:color="auto"/>
            <w:bottom w:val="none" w:sz="0" w:space="0" w:color="auto"/>
            <w:right w:val="none" w:sz="0" w:space="0" w:color="auto"/>
          </w:divBdr>
        </w:div>
      </w:divsChild>
    </w:div>
    <w:div w:id="985938680">
      <w:bodyDiv w:val="1"/>
      <w:marLeft w:val="0"/>
      <w:marRight w:val="0"/>
      <w:marTop w:val="0"/>
      <w:marBottom w:val="0"/>
      <w:divBdr>
        <w:top w:val="none" w:sz="0" w:space="0" w:color="auto"/>
        <w:left w:val="none" w:sz="0" w:space="0" w:color="auto"/>
        <w:bottom w:val="none" w:sz="0" w:space="0" w:color="auto"/>
        <w:right w:val="none" w:sz="0" w:space="0" w:color="auto"/>
      </w:divBdr>
    </w:div>
    <w:div w:id="999625072">
      <w:bodyDiv w:val="1"/>
      <w:marLeft w:val="0"/>
      <w:marRight w:val="0"/>
      <w:marTop w:val="0"/>
      <w:marBottom w:val="0"/>
      <w:divBdr>
        <w:top w:val="none" w:sz="0" w:space="0" w:color="auto"/>
        <w:left w:val="none" w:sz="0" w:space="0" w:color="auto"/>
        <w:bottom w:val="none" w:sz="0" w:space="0" w:color="auto"/>
        <w:right w:val="none" w:sz="0" w:space="0" w:color="auto"/>
      </w:divBdr>
      <w:divsChild>
        <w:div w:id="538472477">
          <w:marLeft w:val="173"/>
          <w:marRight w:val="0"/>
          <w:marTop w:val="0"/>
          <w:marBottom w:val="40"/>
          <w:divBdr>
            <w:top w:val="none" w:sz="0" w:space="0" w:color="auto"/>
            <w:left w:val="none" w:sz="0" w:space="0" w:color="auto"/>
            <w:bottom w:val="none" w:sz="0" w:space="0" w:color="auto"/>
            <w:right w:val="none" w:sz="0" w:space="0" w:color="auto"/>
          </w:divBdr>
        </w:div>
        <w:div w:id="1133136617">
          <w:marLeft w:val="173"/>
          <w:marRight w:val="0"/>
          <w:marTop w:val="0"/>
          <w:marBottom w:val="40"/>
          <w:divBdr>
            <w:top w:val="none" w:sz="0" w:space="0" w:color="auto"/>
            <w:left w:val="none" w:sz="0" w:space="0" w:color="auto"/>
            <w:bottom w:val="none" w:sz="0" w:space="0" w:color="auto"/>
            <w:right w:val="none" w:sz="0" w:space="0" w:color="auto"/>
          </w:divBdr>
        </w:div>
        <w:div w:id="1881287498">
          <w:marLeft w:val="173"/>
          <w:marRight w:val="0"/>
          <w:marTop w:val="0"/>
          <w:marBottom w:val="40"/>
          <w:divBdr>
            <w:top w:val="none" w:sz="0" w:space="0" w:color="auto"/>
            <w:left w:val="none" w:sz="0" w:space="0" w:color="auto"/>
            <w:bottom w:val="none" w:sz="0" w:space="0" w:color="auto"/>
            <w:right w:val="none" w:sz="0" w:space="0" w:color="auto"/>
          </w:divBdr>
        </w:div>
      </w:divsChild>
    </w:div>
    <w:div w:id="1009259404">
      <w:bodyDiv w:val="1"/>
      <w:marLeft w:val="0"/>
      <w:marRight w:val="0"/>
      <w:marTop w:val="0"/>
      <w:marBottom w:val="0"/>
      <w:divBdr>
        <w:top w:val="none" w:sz="0" w:space="0" w:color="auto"/>
        <w:left w:val="none" w:sz="0" w:space="0" w:color="auto"/>
        <w:bottom w:val="none" w:sz="0" w:space="0" w:color="auto"/>
        <w:right w:val="none" w:sz="0" w:space="0" w:color="auto"/>
      </w:divBdr>
    </w:div>
    <w:div w:id="1016806772">
      <w:bodyDiv w:val="1"/>
      <w:marLeft w:val="0"/>
      <w:marRight w:val="0"/>
      <w:marTop w:val="0"/>
      <w:marBottom w:val="0"/>
      <w:divBdr>
        <w:top w:val="none" w:sz="0" w:space="0" w:color="auto"/>
        <w:left w:val="none" w:sz="0" w:space="0" w:color="auto"/>
        <w:bottom w:val="none" w:sz="0" w:space="0" w:color="auto"/>
        <w:right w:val="none" w:sz="0" w:space="0" w:color="auto"/>
      </w:divBdr>
    </w:div>
    <w:div w:id="1056202170">
      <w:bodyDiv w:val="1"/>
      <w:marLeft w:val="0"/>
      <w:marRight w:val="0"/>
      <w:marTop w:val="0"/>
      <w:marBottom w:val="0"/>
      <w:divBdr>
        <w:top w:val="none" w:sz="0" w:space="0" w:color="auto"/>
        <w:left w:val="none" w:sz="0" w:space="0" w:color="auto"/>
        <w:bottom w:val="none" w:sz="0" w:space="0" w:color="auto"/>
        <w:right w:val="none" w:sz="0" w:space="0" w:color="auto"/>
      </w:divBdr>
    </w:div>
    <w:div w:id="1066686421">
      <w:bodyDiv w:val="1"/>
      <w:marLeft w:val="0"/>
      <w:marRight w:val="0"/>
      <w:marTop w:val="0"/>
      <w:marBottom w:val="0"/>
      <w:divBdr>
        <w:top w:val="none" w:sz="0" w:space="0" w:color="auto"/>
        <w:left w:val="none" w:sz="0" w:space="0" w:color="auto"/>
        <w:bottom w:val="none" w:sz="0" w:space="0" w:color="auto"/>
        <w:right w:val="none" w:sz="0" w:space="0" w:color="auto"/>
      </w:divBdr>
      <w:divsChild>
        <w:div w:id="390809264">
          <w:marLeft w:val="173"/>
          <w:marRight w:val="0"/>
          <w:marTop w:val="0"/>
          <w:marBottom w:val="40"/>
          <w:divBdr>
            <w:top w:val="none" w:sz="0" w:space="0" w:color="auto"/>
            <w:left w:val="none" w:sz="0" w:space="0" w:color="auto"/>
            <w:bottom w:val="none" w:sz="0" w:space="0" w:color="auto"/>
            <w:right w:val="none" w:sz="0" w:space="0" w:color="auto"/>
          </w:divBdr>
        </w:div>
        <w:div w:id="538012624">
          <w:marLeft w:val="173"/>
          <w:marRight w:val="0"/>
          <w:marTop w:val="0"/>
          <w:marBottom w:val="40"/>
          <w:divBdr>
            <w:top w:val="none" w:sz="0" w:space="0" w:color="auto"/>
            <w:left w:val="none" w:sz="0" w:space="0" w:color="auto"/>
            <w:bottom w:val="none" w:sz="0" w:space="0" w:color="auto"/>
            <w:right w:val="none" w:sz="0" w:space="0" w:color="auto"/>
          </w:divBdr>
        </w:div>
        <w:div w:id="1403676966">
          <w:marLeft w:val="173"/>
          <w:marRight w:val="0"/>
          <w:marTop w:val="0"/>
          <w:marBottom w:val="40"/>
          <w:divBdr>
            <w:top w:val="none" w:sz="0" w:space="0" w:color="auto"/>
            <w:left w:val="none" w:sz="0" w:space="0" w:color="auto"/>
            <w:bottom w:val="none" w:sz="0" w:space="0" w:color="auto"/>
            <w:right w:val="none" w:sz="0" w:space="0" w:color="auto"/>
          </w:divBdr>
        </w:div>
        <w:div w:id="1593706099">
          <w:marLeft w:val="173"/>
          <w:marRight w:val="0"/>
          <w:marTop w:val="0"/>
          <w:marBottom w:val="40"/>
          <w:divBdr>
            <w:top w:val="none" w:sz="0" w:space="0" w:color="auto"/>
            <w:left w:val="none" w:sz="0" w:space="0" w:color="auto"/>
            <w:bottom w:val="none" w:sz="0" w:space="0" w:color="auto"/>
            <w:right w:val="none" w:sz="0" w:space="0" w:color="auto"/>
          </w:divBdr>
        </w:div>
        <w:div w:id="1899323217">
          <w:marLeft w:val="173"/>
          <w:marRight w:val="0"/>
          <w:marTop w:val="0"/>
          <w:marBottom w:val="40"/>
          <w:divBdr>
            <w:top w:val="none" w:sz="0" w:space="0" w:color="auto"/>
            <w:left w:val="none" w:sz="0" w:space="0" w:color="auto"/>
            <w:bottom w:val="none" w:sz="0" w:space="0" w:color="auto"/>
            <w:right w:val="none" w:sz="0" w:space="0" w:color="auto"/>
          </w:divBdr>
        </w:div>
      </w:divsChild>
    </w:div>
    <w:div w:id="1153988851">
      <w:bodyDiv w:val="1"/>
      <w:marLeft w:val="0"/>
      <w:marRight w:val="0"/>
      <w:marTop w:val="0"/>
      <w:marBottom w:val="0"/>
      <w:divBdr>
        <w:top w:val="none" w:sz="0" w:space="0" w:color="auto"/>
        <w:left w:val="none" w:sz="0" w:space="0" w:color="auto"/>
        <w:bottom w:val="none" w:sz="0" w:space="0" w:color="auto"/>
        <w:right w:val="none" w:sz="0" w:space="0" w:color="auto"/>
      </w:divBdr>
    </w:div>
    <w:div w:id="1204059348">
      <w:bodyDiv w:val="1"/>
      <w:marLeft w:val="0"/>
      <w:marRight w:val="0"/>
      <w:marTop w:val="0"/>
      <w:marBottom w:val="0"/>
      <w:divBdr>
        <w:top w:val="none" w:sz="0" w:space="0" w:color="auto"/>
        <w:left w:val="none" w:sz="0" w:space="0" w:color="auto"/>
        <w:bottom w:val="none" w:sz="0" w:space="0" w:color="auto"/>
        <w:right w:val="none" w:sz="0" w:space="0" w:color="auto"/>
      </w:divBdr>
    </w:div>
    <w:div w:id="1220551235">
      <w:bodyDiv w:val="1"/>
      <w:marLeft w:val="0"/>
      <w:marRight w:val="0"/>
      <w:marTop w:val="0"/>
      <w:marBottom w:val="0"/>
      <w:divBdr>
        <w:top w:val="none" w:sz="0" w:space="0" w:color="auto"/>
        <w:left w:val="none" w:sz="0" w:space="0" w:color="auto"/>
        <w:bottom w:val="none" w:sz="0" w:space="0" w:color="auto"/>
        <w:right w:val="none" w:sz="0" w:space="0" w:color="auto"/>
      </w:divBdr>
    </w:div>
    <w:div w:id="1242830337">
      <w:bodyDiv w:val="1"/>
      <w:marLeft w:val="0"/>
      <w:marRight w:val="0"/>
      <w:marTop w:val="0"/>
      <w:marBottom w:val="0"/>
      <w:divBdr>
        <w:top w:val="none" w:sz="0" w:space="0" w:color="auto"/>
        <w:left w:val="none" w:sz="0" w:space="0" w:color="auto"/>
        <w:bottom w:val="none" w:sz="0" w:space="0" w:color="auto"/>
        <w:right w:val="none" w:sz="0" w:space="0" w:color="auto"/>
      </w:divBdr>
      <w:divsChild>
        <w:div w:id="198974832">
          <w:marLeft w:val="173"/>
          <w:marRight w:val="0"/>
          <w:marTop w:val="0"/>
          <w:marBottom w:val="60"/>
          <w:divBdr>
            <w:top w:val="none" w:sz="0" w:space="0" w:color="auto"/>
            <w:left w:val="none" w:sz="0" w:space="0" w:color="auto"/>
            <w:bottom w:val="none" w:sz="0" w:space="0" w:color="auto"/>
            <w:right w:val="none" w:sz="0" w:space="0" w:color="auto"/>
          </w:divBdr>
        </w:div>
        <w:div w:id="692342422">
          <w:marLeft w:val="173"/>
          <w:marRight w:val="0"/>
          <w:marTop w:val="0"/>
          <w:marBottom w:val="60"/>
          <w:divBdr>
            <w:top w:val="none" w:sz="0" w:space="0" w:color="auto"/>
            <w:left w:val="none" w:sz="0" w:space="0" w:color="auto"/>
            <w:bottom w:val="none" w:sz="0" w:space="0" w:color="auto"/>
            <w:right w:val="none" w:sz="0" w:space="0" w:color="auto"/>
          </w:divBdr>
        </w:div>
        <w:div w:id="822284200">
          <w:marLeft w:val="173"/>
          <w:marRight w:val="0"/>
          <w:marTop w:val="0"/>
          <w:marBottom w:val="60"/>
          <w:divBdr>
            <w:top w:val="none" w:sz="0" w:space="0" w:color="auto"/>
            <w:left w:val="none" w:sz="0" w:space="0" w:color="auto"/>
            <w:bottom w:val="none" w:sz="0" w:space="0" w:color="auto"/>
            <w:right w:val="none" w:sz="0" w:space="0" w:color="auto"/>
          </w:divBdr>
        </w:div>
        <w:div w:id="995959699">
          <w:marLeft w:val="173"/>
          <w:marRight w:val="0"/>
          <w:marTop w:val="0"/>
          <w:marBottom w:val="60"/>
          <w:divBdr>
            <w:top w:val="none" w:sz="0" w:space="0" w:color="auto"/>
            <w:left w:val="none" w:sz="0" w:space="0" w:color="auto"/>
            <w:bottom w:val="none" w:sz="0" w:space="0" w:color="auto"/>
            <w:right w:val="none" w:sz="0" w:space="0" w:color="auto"/>
          </w:divBdr>
        </w:div>
        <w:div w:id="1005210571">
          <w:marLeft w:val="173"/>
          <w:marRight w:val="0"/>
          <w:marTop w:val="0"/>
          <w:marBottom w:val="60"/>
          <w:divBdr>
            <w:top w:val="none" w:sz="0" w:space="0" w:color="auto"/>
            <w:left w:val="none" w:sz="0" w:space="0" w:color="auto"/>
            <w:bottom w:val="none" w:sz="0" w:space="0" w:color="auto"/>
            <w:right w:val="none" w:sz="0" w:space="0" w:color="auto"/>
          </w:divBdr>
        </w:div>
        <w:div w:id="1353073995">
          <w:marLeft w:val="173"/>
          <w:marRight w:val="0"/>
          <w:marTop w:val="0"/>
          <w:marBottom w:val="60"/>
          <w:divBdr>
            <w:top w:val="none" w:sz="0" w:space="0" w:color="auto"/>
            <w:left w:val="none" w:sz="0" w:space="0" w:color="auto"/>
            <w:bottom w:val="none" w:sz="0" w:space="0" w:color="auto"/>
            <w:right w:val="none" w:sz="0" w:space="0" w:color="auto"/>
          </w:divBdr>
        </w:div>
        <w:div w:id="1924028608">
          <w:marLeft w:val="173"/>
          <w:marRight w:val="0"/>
          <w:marTop w:val="0"/>
          <w:marBottom w:val="60"/>
          <w:divBdr>
            <w:top w:val="none" w:sz="0" w:space="0" w:color="auto"/>
            <w:left w:val="none" w:sz="0" w:space="0" w:color="auto"/>
            <w:bottom w:val="none" w:sz="0" w:space="0" w:color="auto"/>
            <w:right w:val="none" w:sz="0" w:space="0" w:color="auto"/>
          </w:divBdr>
        </w:div>
      </w:divsChild>
    </w:div>
    <w:div w:id="1252738213">
      <w:bodyDiv w:val="1"/>
      <w:marLeft w:val="0"/>
      <w:marRight w:val="0"/>
      <w:marTop w:val="0"/>
      <w:marBottom w:val="0"/>
      <w:divBdr>
        <w:top w:val="none" w:sz="0" w:space="0" w:color="auto"/>
        <w:left w:val="none" w:sz="0" w:space="0" w:color="auto"/>
        <w:bottom w:val="none" w:sz="0" w:space="0" w:color="auto"/>
        <w:right w:val="none" w:sz="0" w:space="0" w:color="auto"/>
      </w:divBdr>
    </w:div>
    <w:div w:id="1266111038">
      <w:bodyDiv w:val="1"/>
      <w:marLeft w:val="0"/>
      <w:marRight w:val="0"/>
      <w:marTop w:val="0"/>
      <w:marBottom w:val="0"/>
      <w:divBdr>
        <w:top w:val="none" w:sz="0" w:space="0" w:color="auto"/>
        <w:left w:val="none" w:sz="0" w:space="0" w:color="auto"/>
        <w:bottom w:val="none" w:sz="0" w:space="0" w:color="auto"/>
        <w:right w:val="none" w:sz="0" w:space="0" w:color="auto"/>
      </w:divBdr>
      <w:divsChild>
        <w:div w:id="29961867">
          <w:marLeft w:val="173"/>
          <w:marRight w:val="0"/>
          <w:marTop w:val="0"/>
          <w:marBottom w:val="40"/>
          <w:divBdr>
            <w:top w:val="none" w:sz="0" w:space="0" w:color="auto"/>
            <w:left w:val="none" w:sz="0" w:space="0" w:color="auto"/>
            <w:bottom w:val="none" w:sz="0" w:space="0" w:color="auto"/>
            <w:right w:val="none" w:sz="0" w:space="0" w:color="auto"/>
          </w:divBdr>
        </w:div>
        <w:div w:id="1307590134">
          <w:marLeft w:val="173"/>
          <w:marRight w:val="0"/>
          <w:marTop w:val="0"/>
          <w:marBottom w:val="40"/>
          <w:divBdr>
            <w:top w:val="none" w:sz="0" w:space="0" w:color="auto"/>
            <w:left w:val="none" w:sz="0" w:space="0" w:color="auto"/>
            <w:bottom w:val="none" w:sz="0" w:space="0" w:color="auto"/>
            <w:right w:val="none" w:sz="0" w:space="0" w:color="auto"/>
          </w:divBdr>
        </w:div>
        <w:div w:id="1560702674">
          <w:marLeft w:val="173"/>
          <w:marRight w:val="0"/>
          <w:marTop w:val="0"/>
          <w:marBottom w:val="40"/>
          <w:divBdr>
            <w:top w:val="none" w:sz="0" w:space="0" w:color="auto"/>
            <w:left w:val="none" w:sz="0" w:space="0" w:color="auto"/>
            <w:bottom w:val="none" w:sz="0" w:space="0" w:color="auto"/>
            <w:right w:val="none" w:sz="0" w:space="0" w:color="auto"/>
          </w:divBdr>
        </w:div>
        <w:div w:id="1797523545">
          <w:marLeft w:val="173"/>
          <w:marRight w:val="0"/>
          <w:marTop w:val="0"/>
          <w:marBottom w:val="40"/>
          <w:divBdr>
            <w:top w:val="none" w:sz="0" w:space="0" w:color="auto"/>
            <w:left w:val="none" w:sz="0" w:space="0" w:color="auto"/>
            <w:bottom w:val="none" w:sz="0" w:space="0" w:color="auto"/>
            <w:right w:val="none" w:sz="0" w:space="0" w:color="auto"/>
          </w:divBdr>
        </w:div>
        <w:div w:id="1910965823">
          <w:marLeft w:val="173"/>
          <w:marRight w:val="0"/>
          <w:marTop w:val="0"/>
          <w:marBottom w:val="40"/>
          <w:divBdr>
            <w:top w:val="none" w:sz="0" w:space="0" w:color="auto"/>
            <w:left w:val="none" w:sz="0" w:space="0" w:color="auto"/>
            <w:bottom w:val="none" w:sz="0" w:space="0" w:color="auto"/>
            <w:right w:val="none" w:sz="0" w:space="0" w:color="auto"/>
          </w:divBdr>
        </w:div>
      </w:divsChild>
    </w:div>
    <w:div w:id="1269462049">
      <w:bodyDiv w:val="1"/>
      <w:marLeft w:val="0"/>
      <w:marRight w:val="0"/>
      <w:marTop w:val="0"/>
      <w:marBottom w:val="0"/>
      <w:divBdr>
        <w:top w:val="none" w:sz="0" w:space="0" w:color="auto"/>
        <w:left w:val="none" w:sz="0" w:space="0" w:color="auto"/>
        <w:bottom w:val="none" w:sz="0" w:space="0" w:color="auto"/>
        <w:right w:val="none" w:sz="0" w:space="0" w:color="auto"/>
      </w:divBdr>
    </w:div>
    <w:div w:id="1296522415">
      <w:bodyDiv w:val="1"/>
      <w:marLeft w:val="0"/>
      <w:marRight w:val="0"/>
      <w:marTop w:val="0"/>
      <w:marBottom w:val="0"/>
      <w:divBdr>
        <w:top w:val="none" w:sz="0" w:space="0" w:color="auto"/>
        <w:left w:val="none" w:sz="0" w:space="0" w:color="auto"/>
        <w:bottom w:val="none" w:sz="0" w:space="0" w:color="auto"/>
        <w:right w:val="none" w:sz="0" w:space="0" w:color="auto"/>
      </w:divBdr>
    </w:div>
    <w:div w:id="1338650346">
      <w:bodyDiv w:val="1"/>
      <w:marLeft w:val="0"/>
      <w:marRight w:val="0"/>
      <w:marTop w:val="0"/>
      <w:marBottom w:val="0"/>
      <w:divBdr>
        <w:top w:val="none" w:sz="0" w:space="0" w:color="auto"/>
        <w:left w:val="none" w:sz="0" w:space="0" w:color="auto"/>
        <w:bottom w:val="none" w:sz="0" w:space="0" w:color="auto"/>
        <w:right w:val="none" w:sz="0" w:space="0" w:color="auto"/>
      </w:divBdr>
    </w:div>
    <w:div w:id="1354914368">
      <w:bodyDiv w:val="1"/>
      <w:marLeft w:val="0"/>
      <w:marRight w:val="0"/>
      <w:marTop w:val="0"/>
      <w:marBottom w:val="0"/>
      <w:divBdr>
        <w:top w:val="none" w:sz="0" w:space="0" w:color="auto"/>
        <w:left w:val="none" w:sz="0" w:space="0" w:color="auto"/>
        <w:bottom w:val="none" w:sz="0" w:space="0" w:color="auto"/>
        <w:right w:val="none" w:sz="0" w:space="0" w:color="auto"/>
      </w:divBdr>
    </w:div>
    <w:div w:id="1365910326">
      <w:bodyDiv w:val="1"/>
      <w:marLeft w:val="0"/>
      <w:marRight w:val="0"/>
      <w:marTop w:val="0"/>
      <w:marBottom w:val="0"/>
      <w:divBdr>
        <w:top w:val="none" w:sz="0" w:space="0" w:color="auto"/>
        <w:left w:val="none" w:sz="0" w:space="0" w:color="auto"/>
        <w:bottom w:val="none" w:sz="0" w:space="0" w:color="auto"/>
        <w:right w:val="none" w:sz="0" w:space="0" w:color="auto"/>
      </w:divBdr>
      <w:divsChild>
        <w:div w:id="1482115439">
          <w:marLeft w:val="173"/>
          <w:marRight w:val="0"/>
          <w:marTop w:val="0"/>
          <w:marBottom w:val="60"/>
          <w:divBdr>
            <w:top w:val="none" w:sz="0" w:space="0" w:color="auto"/>
            <w:left w:val="none" w:sz="0" w:space="0" w:color="auto"/>
            <w:bottom w:val="none" w:sz="0" w:space="0" w:color="auto"/>
            <w:right w:val="none" w:sz="0" w:space="0" w:color="auto"/>
          </w:divBdr>
        </w:div>
      </w:divsChild>
    </w:div>
    <w:div w:id="1416393927">
      <w:bodyDiv w:val="1"/>
      <w:marLeft w:val="0"/>
      <w:marRight w:val="0"/>
      <w:marTop w:val="0"/>
      <w:marBottom w:val="0"/>
      <w:divBdr>
        <w:top w:val="none" w:sz="0" w:space="0" w:color="auto"/>
        <w:left w:val="none" w:sz="0" w:space="0" w:color="auto"/>
        <w:bottom w:val="none" w:sz="0" w:space="0" w:color="auto"/>
        <w:right w:val="none" w:sz="0" w:space="0" w:color="auto"/>
      </w:divBdr>
      <w:divsChild>
        <w:div w:id="20329239">
          <w:marLeft w:val="173"/>
          <w:marRight w:val="0"/>
          <w:marTop w:val="0"/>
          <w:marBottom w:val="60"/>
          <w:divBdr>
            <w:top w:val="none" w:sz="0" w:space="0" w:color="auto"/>
            <w:left w:val="none" w:sz="0" w:space="0" w:color="auto"/>
            <w:bottom w:val="none" w:sz="0" w:space="0" w:color="auto"/>
            <w:right w:val="none" w:sz="0" w:space="0" w:color="auto"/>
          </w:divBdr>
        </w:div>
        <w:div w:id="260383379">
          <w:marLeft w:val="173"/>
          <w:marRight w:val="0"/>
          <w:marTop w:val="0"/>
          <w:marBottom w:val="60"/>
          <w:divBdr>
            <w:top w:val="none" w:sz="0" w:space="0" w:color="auto"/>
            <w:left w:val="none" w:sz="0" w:space="0" w:color="auto"/>
            <w:bottom w:val="none" w:sz="0" w:space="0" w:color="auto"/>
            <w:right w:val="none" w:sz="0" w:space="0" w:color="auto"/>
          </w:divBdr>
        </w:div>
        <w:div w:id="943616133">
          <w:marLeft w:val="173"/>
          <w:marRight w:val="0"/>
          <w:marTop w:val="0"/>
          <w:marBottom w:val="60"/>
          <w:divBdr>
            <w:top w:val="none" w:sz="0" w:space="0" w:color="auto"/>
            <w:left w:val="none" w:sz="0" w:space="0" w:color="auto"/>
            <w:bottom w:val="none" w:sz="0" w:space="0" w:color="auto"/>
            <w:right w:val="none" w:sz="0" w:space="0" w:color="auto"/>
          </w:divBdr>
        </w:div>
        <w:div w:id="996954012">
          <w:marLeft w:val="173"/>
          <w:marRight w:val="0"/>
          <w:marTop w:val="0"/>
          <w:marBottom w:val="60"/>
          <w:divBdr>
            <w:top w:val="none" w:sz="0" w:space="0" w:color="auto"/>
            <w:left w:val="none" w:sz="0" w:space="0" w:color="auto"/>
            <w:bottom w:val="none" w:sz="0" w:space="0" w:color="auto"/>
            <w:right w:val="none" w:sz="0" w:space="0" w:color="auto"/>
          </w:divBdr>
        </w:div>
        <w:div w:id="1250894596">
          <w:marLeft w:val="173"/>
          <w:marRight w:val="0"/>
          <w:marTop w:val="0"/>
          <w:marBottom w:val="60"/>
          <w:divBdr>
            <w:top w:val="none" w:sz="0" w:space="0" w:color="auto"/>
            <w:left w:val="none" w:sz="0" w:space="0" w:color="auto"/>
            <w:bottom w:val="none" w:sz="0" w:space="0" w:color="auto"/>
            <w:right w:val="none" w:sz="0" w:space="0" w:color="auto"/>
          </w:divBdr>
        </w:div>
        <w:div w:id="1325010181">
          <w:marLeft w:val="173"/>
          <w:marRight w:val="0"/>
          <w:marTop w:val="0"/>
          <w:marBottom w:val="60"/>
          <w:divBdr>
            <w:top w:val="none" w:sz="0" w:space="0" w:color="auto"/>
            <w:left w:val="none" w:sz="0" w:space="0" w:color="auto"/>
            <w:bottom w:val="none" w:sz="0" w:space="0" w:color="auto"/>
            <w:right w:val="none" w:sz="0" w:space="0" w:color="auto"/>
          </w:divBdr>
        </w:div>
        <w:div w:id="1586451179">
          <w:marLeft w:val="173"/>
          <w:marRight w:val="0"/>
          <w:marTop w:val="0"/>
          <w:marBottom w:val="60"/>
          <w:divBdr>
            <w:top w:val="none" w:sz="0" w:space="0" w:color="auto"/>
            <w:left w:val="none" w:sz="0" w:space="0" w:color="auto"/>
            <w:bottom w:val="none" w:sz="0" w:space="0" w:color="auto"/>
            <w:right w:val="none" w:sz="0" w:space="0" w:color="auto"/>
          </w:divBdr>
        </w:div>
        <w:div w:id="1818764061">
          <w:marLeft w:val="173"/>
          <w:marRight w:val="0"/>
          <w:marTop w:val="0"/>
          <w:marBottom w:val="60"/>
          <w:divBdr>
            <w:top w:val="none" w:sz="0" w:space="0" w:color="auto"/>
            <w:left w:val="none" w:sz="0" w:space="0" w:color="auto"/>
            <w:bottom w:val="none" w:sz="0" w:space="0" w:color="auto"/>
            <w:right w:val="none" w:sz="0" w:space="0" w:color="auto"/>
          </w:divBdr>
        </w:div>
      </w:divsChild>
    </w:div>
    <w:div w:id="1426265530">
      <w:bodyDiv w:val="1"/>
      <w:marLeft w:val="0"/>
      <w:marRight w:val="0"/>
      <w:marTop w:val="0"/>
      <w:marBottom w:val="0"/>
      <w:divBdr>
        <w:top w:val="none" w:sz="0" w:space="0" w:color="auto"/>
        <w:left w:val="none" w:sz="0" w:space="0" w:color="auto"/>
        <w:bottom w:val="none" w:sz="0" w:space="0" w:color="auto"/>
        <w:right w:val="none" w:sz="0" w:space="0" w:color="auto"/>
      </w:divBdr>
    </w:div>
    <w:div w:id="1441216694">
      <w:bodyDiv w:val="1"/>
      <w:marLeft w:val="0"/>
      <w:marRight w:val="0"/>
      <w:marTop w:val="0"/>
      <w:marBottom w:val="0"/>
      <w:divBdr>
        <w:top w:val="none" w:sz="0" w:space="0" w:color="auto"/>
        <w:left w:val="none" w:sz="0" w:space="0" w:color="auto"/>
        <w:bottom w:val="none" w:sz="0" w:space="0" w:color="auto"/>
        <w:right w:val="none" w:sz="0" w:space="0" w:color="auto"/>
      </w:divBdr>
    </w:div>
    <w:div w:id="1479877187">
      <w:bodyDiv w:val="1"/>
      <w:marLeft w:val="0"/>
      <w:marRight w:val="0"/>
      <w:marTop w:val="0"/>
      <w:marBottom w:val="0"/>
      <w:divBdr>
        <w:top w:val="none" w:sz="0" w:space="0" w:color="auto"/>
        <w:left w:val="none" w:sz="0" w:space="0" w:color="auto"/>
        <w:bottom w:val="none" w:sz="0" w:space="0" w:color="auto"/>
        <w:right w:val="none" w:sz="0" w:space="0" w:color="auto"/>
      </w:divBdr>
      <w:divsChild>
        <w:div w:id="515385063">
          <w:marLeft w:val="173"/>
          <w:marRight w:val="0"/>
          <w:marTop w:val="0"/>
          <w:marBottom w:val="60"/>
          <w:divBdr>
            <w:top w:val="none" w:sz="0" w:space="0" w:color="auto"/>
            <w:left w:val="none" w:sz="0" w:space="0" w:color="auto"/>
            <w:bottom w:val="none" w:sz="0" w:space="0" w:color="auto"/>
            <w:right w:val="none" w:sz="0" w:space="0" w:color="auto"/>
          </w:divBdr>
        </w:div>
        <w:div w:id="649288175">
          <w:marLeft w:val="173"/>
          <w:marRight w:val="0"/>
          <w:marTop w:val="0"/>
          <w:marBottom w:val="60"/>
          <w:divBdr>
            <w:top w:val="none" w:sz="0" w:space="0" w:color="auto"/>
            <w:left w:val="none" w:sz="0" w:space="0" w:color="auto"/>
            <w:bottom w:val="none" w:sz="0" w:space="0" w:color="auto"/>
            <w:right w:val="none" w:sz="0" w:space="0" w:color="auto"/>
          </w:divBdr>
        </w:div>
        <w:div w:id="887378444">
          <w:marLeft w:val="173"/>
          <w:marRight w:val="0"/>
          <w:marTop w:val="0"/>
          <w:marBottom w:val="60"/>
          <w:divBdr>
            <w:top w:val="none" w:sz="0" w:space="0" w:color="auto"/>
            <w:left w:val="none" w:sz="0" w:space="0" w:color="auto"/>
            <w:bottom w:val="none" w:sz="0" w:space="0" w:color="auto"/>
            <w:right w:val="none" w:sz="0" w:space="0" w:color="auto"/>
          </w:divBdr>
        </w:div>
        <w:div w:id="1033766324">
          <w:marLeft w:val="173"/>
          <w:marRight w:val="0"/>
          <w:marTop w:val="0"/>
          <w:marBottom w:val="60"/>
          <w:divBdr>
            <w:top w:val="none" w:sz="0" w:space="0" w:color="auto"/>
            <w:left w:val="none" w:sz="0" w:space="0" w:color="auto"/>
            <w:bottom w:val="none" w:sz="0" w:space="0" w:color="auto"/>
            <w:right w:val="none" w:sz="0" w:space="0" w:color="auto"/>
          </w:divBdr>
        </w:div>
        <w:div w:id="1065030035">
          <w:marLeft w:val="173"/>
          <w:marRight w:val="0"/>
          <w:marTop w:val="0"/>
          <w:marBottom w:val="60"/>
          <w:divBdr>
            <w:top w:val="none" w:sz="0" w:space="0" w:color="auto"/>
            <w:left w:val="none" w:sz="0" w:space="0" w:color="auto"/>
            <w:bottom w:val="none" w:sz="0" w:space="0" w:color="auto"/>
            <w:right w:val="none" w:sz="0" w:space="0" w:color="auto"/>
          </w:divBdr>
        </w:div>
        <w:div w:id="1212033095">
          <w:marLeft w:val="173"/>
          <w:marRight w:val="0"/>
          <w:marTop w:val="0"/>
          <w:marBottom w:val="60"/>
          <w:divBdr>
            <w:top w:val="none" w:sz="0" w:space="0" w:color="auto"/>
            <w:left w:val="none" w:sz="0" w:space="0" w:color="auto"/>
            <w:bottom w:val="none" w:sz="0" w:space="0" w:color="auto"/>
            <w:right w:val="none" w:sz="0" w:space="0" w:color="auto"/>
          </w:divBdr>
        </w:div>
        <w:div w:id="1886679133">
          <w:marLeft w:val="173"/>
          <w:marRight w:val="0"/>
          <w:marTop w:val="0"/>
          <w:marBottom w:val="60"/>
          <w:divBdr>
            <w:top w:val="none" w:sz="0" w:space="0" w:color="auto"/>
            <w:left w:val="none" w:sz="0" w:space="0" w:color="auto"/>
            <w:bottom w:val="none" w:sz="0" w:space="0" w:color="auto"/>
            <w:right w:val="none" w:sz="0" w:space="0" w:color="auto"/>
          </w:divBdr>
        </w:div>
        <w:div w:id="1942834352">
          <w:marLeft w:val="173"/>
          <w:marRight w:val="0"/>
          <w:marTop w:val="0"/>
          <w:marBottom w:val="60"/>
          <w:divBdr>
            <w:top w:val="none" w:sz="0" w:space="0" w:color="auto"/>
            <w:left w:val="none" w:sz="0" w:space="0" w:color="auto"/>
            <w:bottom w:val="none" w:sz="0" w:space="0" w:color="auto"/>
            <w:right w:val="none" w:sz="0" w:space="0" w:color="auto"/>
          </w:divBdr>
        </w:div>
      </w:divsChild>
    </w:div>
    <w:div w:id="1489591437">
      <w:bodyDiv w:val="1"/>
      <w:marLeft w:val="0"/>
      <w:marRight w:val="0"/>
      <w:marTop w:val="0"/>
      <w:marBottom w:val="0"/>
      <w:divBdr>
        <w:top w:val="none" w:sz="0" w:space="0" w:color="auto"/>
        <w:left w:val="none" w:sz="0" w:space="0" w:color="auto"/>
        <w:bottom w:val="none" w:sz="0" w:space="0" w:color="auto"/>
        <w:right w:val="none" w:sz="0" w:space="0" w:color="auto"/>
      </w:divBdr>
      <w:divsChild>
        <w:div w:id="65230647">
          <w:marLeft w:val="173"/>
          <w:marRight w:val="0"/>
          <w:marTop w:val="0"/>
          <w:marBottom w:val="60"/>
          <w:divBdr>
            <w:top w:val="none" w:sz="0" w:space="0" w:color="auto"/>
            <w:left w:val="none" w:sz="0" w:space="0" w:color="auto"/>
            <w:bottom w:val="none" w:sz="0" w:space="0" w:color="auto"/>
            <w:right w:val="none" w:sz="0" w:space="0" w:color="auto"/>
          </w:divBdr>
        </w:div>
        <w:div w:id="291178238">
          <w:marLeft w:val="173"/>
          <w:marRight w:val="0"/>
          <w:marTop w:val="0"/>
          <w:marBottom w:val="60"/>
          <w:divBdr>
            <w:top w:val="none" w:sz="0" w:space="0" w:color="auto"/>
            <w:left w:val="none" w:sz="0" w:space="0" w:color="auto"/>
            <w:bottom w:val="none" w:sz="0" w:space="0" w:color="auto"/>
            <w:right w:val="none" w:sz="0" w:space="0" w:color="auto"/>
          </w:divBdr>
        </w:div>
        <w:div w:id="937102537">
          <w:marLeft w:val="173"/>
          <w:marRight w:val="0"/>
          <w:marTop w:val="0"/>
          <w:marBottom w:val="60"/>
          <w:divBdr>
            <w:top w:val="none" w:sz="0" w:space="0" w:color="auto"/>
            <w:left w:val="none" w:sz="0" w:space="0" w:color="auto"/>
            <w:bottom w:val="none" w:sz="0" w:space="0" w:color="auto"/>
            <w:right w:val="none" w:sz="0" w:space="0" w:color="auto"/>
          </w:divBdr>
        </w:div>
        <w:div w:id="1188367003">
          <w:marLeft w:val="173"/>
          <w:marRight w:val="0"/>
          <w:marTop w:val="0"/>
          <w:marBottom w:val="60"/>
          <w:divBdr>
            <w:top w:val="none" w:sz="0" w:space="0" w:color="auto"/>
            <w:left w:val="none" w:sz="0" w:space="0" w:color="auto"/>
            <w:bottom w:val="none" w:sz="0" w:space="0" w:color="auto"/>
            <w:right w:val="none" w:sz="0" w:space="0" w:color="auto"/>
          </w:divBdr>
        </w:div>
        <w:div w:id="2064139598">
          <w:marLeft w:val="173"/>
          <w:marRight w:val="0"/>
          <w:marTop w:val="0"/>
          <w:marBottom w:val="60"/>
          <w:divBdr>
            <w:top w:val="none" w:sz="0" w:space="0" w:color="auto"/>
            <w:left w:val="none" w:sz="0" w:space="0" w:color="auto"/>
            <w:bottom w:val="none" w:sz="0" w:space="0" w:color="auto"/>
            <w:right w:val="none" w:sz="0" w:space="0" w:color="auto"/>
          </w:divBdr>
        </w:div>
      </w:divsChild>
    </w:div>
    <w:div w:id="1501850399">
      <w:bodyDiv w:val="1"/>
      <w:marLeft w:val="0"/>
      <w:marRight w:val="0"/>
      <w:marTop w:val="0"/>
      <w:marBottom w:val="0"/>
      <w:divBdr>
        <w:top w:val="none" w:sz="0" w:space="0" w:color="auto"/>
        <w:left w:val="none" w:sz="0" w:space="0" w:color="auto"/>
        <w:bottom w:val="none" w:sz="0" w:space="0" w:color="auto"/>
        <w:right w:val="none" w:sz="0" w:space="0" w:color="auto"/>
      </w:divBdr>
    </w:div>
    <w:div w:id="1585987831">
      <w:bodyDiv w:val="1"/>
      <w:marLeft w:val="0"/>
      <w:marRight w:val="0"/>
      <w:marTop w:val="0"/>
      <w:marBottom w:val="0"/>
      <w:divBdr>
        <w:top w:val="none" w:sz="0" w:space="0" w:color="auto"/>
        <w:left w:val="none" w:sz="0" w:space="0" w:color="auto"/>
        <w:bottom w:val="none" w:sz="0" w:space="0" w:color="auto"/>
        <w:right w:val="none" w:sz="0" w:space="0" w:color="auto"/>
      </w:divBdr>
      <w:divsChild>
        <w:div w:id="720136919">
          <w:marLeft w:val="173"/>
          <w:marRight w:val="0"/>
          <w:marTop w:val="0"/>
          <w:marBottom w:val="40"/>
          <w:divBdr>
            <w:top w:val="none" w:sz="0" w:space="0" w:color="auto"/>
            <w:left w:val="none" w:sz="0" w:space="0" w:color="auto"/>
            <w:bottom w:val="none" w:sz="0" w:space="0" w:color="auto"/>
            <w:right w:val="none" w:sz="0" w:space="0" w:color="auto"/>
          </w:divBdr>
        </w:div>
        <w:div w:id="1143426973">
          <w:marLeft w:val="173"/>
          <w:marRight w:val="0"/>
          <w:marTop w:val="0"/>
          <w:marBottom w:val="40"/>
          <w:divBdr>
            <w:top w:val="none" w:sz="0" w:space="0" w:color="auto"/>
            <w:left w:val="none" w:sz="0" w:space="0" w:color="auto"/>
            <w:bottom w:val="none" w:sz="0" w:space="0" w:color="auto"/>
            <w:right w:val="none" w:sz="0" w:space="0" w:color="auto"/>
          </w:divBdr>
        </w:div>
        <w:div w:id="1550074137">
          <w:marLeft w:val="173"/>
          <w:marRight w:val="0"/>
          <w:marTop w:val="0"/>
          <w:marBottom w:val="40"/>
          <w:divBdr>
            <w:top w:val="none" w:sz="0" w:space="0" w:color="auto"/>
            <w:left w:val="none" w:sz="0" w:space="0" w:color="auto"/>
            <w:bottom w:val="none" w:sz="0" w:space="0" w:color="auto"/>
            <w:right w:val="none" w:sz="0" w:space="0" w:color="auto"/>
          </w:divBdr>
        </w:div>
      </w:divsChild>
    </w:div>
    <w:div w:id="1630014783">
      <w:bodyDiv w:val="1"/>
      <w:marLeft w:val="0"/>
      <w:marRight w:val="0"/>
      <w:marTop w:val="0"/>
      <w:marBottom w:val="0"/>
      <w:divBdr>
        <w:top w:val="none" w:sz="0" w:space="0" w:color="auto"/>
        <w:left w:val="none" w:sz="0" w:space="0" w:color="auto"/>
        <w:bottom w:val="none" w:sz="0" w:space="0" w:color="auto"/>
        <w:right w:val="none" w:sz="0" w:space="0" w:color="auto"/>
      </w:divBdr>
    </w:div>
    <w:div w:id="1636717182">
      <w:bodyDiv w:val="1"/>
      <w:marLeft w:val="0"/>
      <w:marRight w:val="0"/>
      <w:marTop w:val="0"/>
      <w:marBottom w:val="0"/>
      <w:divBdr>
        <w:top w:val="none" w:sz="0" w:space="0" w:color="auto"/>
        <w:left w:val="none" w:sz="0" w:space="0" w:color="auto"/>
        <w:bottom w:val="none" w:sz="0" w:space="0" w:color="auto"/>
        <w:right w:val="none" w:sz="0" w:space="0" w:color="auto"/>
      </w:divBdr>
    </w:div>
    <w:div w:id="1649164373">
      <w:bodyDiv w:val="1"/>
      <w:marLeft w:val="0"/>
      <w:marRight w:val="0"/>
      <w:marTop w:val="0"/>
      <w:marBottom w:val="0"/>
      <w:divBdr>
        <w:top w:val="none" w:sz="0" w:space="0" w:color="auto"/>
        <w:left w:val="none" w:sz="0" w:space="0" w:color="auto"/>
        <w:bottom w:val="none" w:sz="0" w:space="0" w:color="auto"/>
        <w:right w:val="none" w:sz="0" w:space="0" w:color="auto"/>
      </w:divBdr>
    </w:div>
    <w:div w:id="1752772417">
      <w:bodyDiv w:val="1"/>
      <w:marLeft w:val="0"/>
      <w:marRight w:val="0"/>
      <w:marTop w:val="0"/>
      <w:marBottom w:val="0"/>
      <w:divBdr>
        <w:top w:val="none" w:sz="0" w:space="0" w:color="auto"/>
        <w:left w:val="none" w:sz="0" w:space="0" w:color="auto"/>
        <w:bottom w:val="none" w:sz="0" w:space="0" w:color="auto"/>
        <w:right w:val="none" w:sz="0" w:space="0" w:color="auto"/>
      </w:divBdr>
    </w:div>
    <w:div w:id="1762795056">
      <w:bodyDiv w:val="1"/>
      <w:marLeft w:val="0"/>
      <w:marRight w:val="0"/>
      <w:marTop w:val="0"/>
      <w:marBottom w:val="0"/>
      <w:divBdr>
        <w:top w:val="none" w:sz="0" w:space="0" w:color="auto"/>
        <w:left w:val="none" w:sz="0" w:space="0" w:color="auto"/>
        <w:bottom w:val="none" w:sz="0" w:space="0" w:color="auto"/>
        <w:right w:val="none" w:sz="0" w:space="0" w:color="auto"/>
      </w:divBdr>
    </w:div>
    <w:div w:id="1771705154">
      <w:bodyDiv w:val="1"/>
      <w:marLeft w:val="0"/>
      <w:marRight w:val="0"/>
      <w:marTop w:val="0"/>
      <w:marBottom w:val="0"/>
      <w:divBdr>
        <w:top w:val="none" w:sz="0" w:space="0" w:color="auto"/>
        <w:left w:val="none" w:sz="0" w:space="0" w:color="auto"/>
        <w:bottom w:val="none" w:sz="0" w:space="0" w:color="auto"/>
        <w:right w:val="none" w:sz="0" w:space="0" w:color="auto"/>
      </w:divBdr>
    </w:div>
    <w:div w:id="1849520923">
      <w:bodyDiv w:val="1"/>
      <w:marLeft w:val="0"/>
      <w:marRight w:val="0"/>
      <w:marTop w:val="0"/>
      <w:marBottom w:val="0"/>
      <w:divBdr>
        <w:top w:val="none" w:sz="0" w:space="0" w:color="auto"/>
        <w:left w:val="none" w:sz="0" w:space="0" w:color="auto"/>
        <w:bottom w:val="none" w:sz="0" w:space="0" w:color="auto"/>
        <w:right w:val="none" w:sz="0" w:space="0" w:color="auto"/>
      </w:divBdr>
    </w:div>
    <w:div w:id="1884780561">
      <w:bodyDiv w:val="1"/>
      <w:marLeft w:val="0"/>
      <w:marRight w:val="0"/>
      <w:marTop w:val="0"/>
      <w:marBottom w:val="0"/>
      <w:divBdr>
        <w:top w:val="none" w:sz="0" w:space="0" w:color="auto"/>
        <w:left w:val="none" w:sz="0" w:space="0" w:color="auto"/>
        <w:bottom w:val="none" w:sz="0" w:space="0" w:color="auto"/>
        <w:right w:val="none" w:sz="0" w:space="0" w:color="auto"/>
      </w:divBdr>
    </w:div>
    <w:div w:id="1914000173">
      <w:bodyDiv w:val="1"/>
      <w:marLeft w:val="0"/>
      <w:marRight w:val="0"/>
      <w:marTop w:val="0"/>
      <w:marBottom w:val="0"/>
      <w:divBdr>
        <w:top w:val="none" w:sz="0" w:space="0" w:color="auto"/>
        <w:left w:val="none" w:sz="0" w:space="0" w:color="auto"/>
        <w:bottom w:val="none" w:sz="0" w:space="0" w:color="auto"/>
        <w:right w:val="none" w:sz="0" w:space="0" w:color="auto"/>
      </w:divBdr>
    </w:div>
    <w:div w:id="1947497980">
      <w:bodyDiv w:val="1"/>
      <w:marLeft w:val="0"/>
      <w:marRight w:val="0"/>
      <w:marTop w:val="0"/>
      <w:marBottom w:val="0"/>
      <w:divBdr>
        <w:top w:val="none" w:sz="0" w:space="0" w:color="auto"/>
        <w:left w:val="none" w:sz="0" w:space="0" w:color="auto"/>
        <w:bottom w:val="none" w:sz="0" w:space="0" w:color="auto"/>
        <w:right w:val="none" w:sz="0" w:space="0" w:color="auto"/>
      </w:divBdr>
    </w:div>
    <w:div w:id="1964457639">
      <w:bodyDiv w:val="1"/>
      <w:marLeft w:val="0"/>
      <w:marRight w:val="0"/>
      <w:marTop w:val="0"/>
      <w:marBottom w:val="0"/>
      <w:divBdr>
        <w:top w:val="none" w:sz="0" w:space="0" w:color="auto"/>
        <w:left w:val="none" w:sz="0" w:space="0" w:color="auto"/>
        <w:bottom w:val="none" w:sz="0" w:space="0" w:color="auto"/>
        <w:right w:val="none" w:sz="0" w:space="0" w:color="auto"/>
      </w:divBdr>
    </w:div>
    <w:div w:id="1971276964">
      <w:bodyDiv w:val="1"/>
      <w:marLeft w:val="0"/>
      <w:marRight w:val="0"/>
      <w:marTop w:val="0"/>
      <w:marBottom w:val="0"/>
      <w:divBdr>
        <w:top w:val="none" w:sz="0" w:space="0" w:color="auto"/>
        <w:left w:val="none" w:sz="0" w:space="0" w:color="auto"/>
        <w:bottom w:val="none" w:sz="0" w:space="0" w:color="auto"/>
        <w:right w:val="none" w:sz="0" w:space="0" w:color="auto"/>
      </w:divBdr>
      <w:divsChild>
        <w:div w:id="482551810">
          <w:marLeft w:val="173"/>
          <w:marRight w:val="0"/>
          <w:marTop w:val="0"/>
          <w:marBottom w:val="40"/>
          <w:divBdr>
            <w:top w:val="none" w:sz="0" w:space="0" w:color="auto"/>
            <w:left w:val="none" w:sz="0" w:space="0" w:color="auto"/>
            <w:bottom w:val="none" w:sz="0" w:space="0" w:color="auto"/>
            <w:right w:val="none" w:sz="0" w:space="0" w:color="auto"/>
          </w:divBdr>
        </w:div>
        <w:div w:id="910964648">
          <w:marLeft w:val="173"/>
          <w:marRight w:val="0"/>
          <w:marTop w:val="0"/>
          <w:marBottom w:val="40"/>
          <w:divBdr>
            <w:top w:val="none" w:sz="0" w:space="0" w:color="auto"/>
            <w:left w:val="none" w:sz="0" w:space="0" w:color="auto"/>
            <w:bottom w:val="none" w:sz="0" w:space="0" w:color="auto"/>
            <w:right w:val="none" w:sz="0" w:space="0" w:color="auto"/>
          </w:divBdr>
        </w:div>
        <w:div w:id="1202862570">
          <w:marLeft w:val="173"/>
          <w:marRight w:val="0"/>
          <w:marTop w:val="0"/>
          <w:marBottom w:val="40"/>
          <w:divBdr>
            <w:top w:val="none" w:sz="0" w:space="0" w:color="auto"/>
            <w:left w:val="none" w:sz="0" w:space="0" w:color="auto"/>
            <w:bottom w:val="none" w:sz="0" w:space="0" w:color="auto"/>
            <w:right w:val="none" w:sz="0" w:space="0" w:color="auto"/>
          </w:divBdr>
        </w:div>
        <w:div w:id="1439526022">
          <w:marLeft w:val="173"/>
          <w:marRight w:val="0"/>
          <w:marTop w:val="0"/>
          <w:marBottom w:val="40"/>
          <w:divBdr>
            <w:top w:val="none" w:sz="0" w:space="0" w:color="auto"/>
            <w:left w:val="none" w:sz="0" w:space="0" w:color="auto"/>
            <w:bottom w:val="none" w:sz="0" w:space="0" w:color="auto"/>
            <w:right w:val="none" w:sz="0" w:space="0" w:color="auto"/>
          </w:divBdr>
        </w:div>
        <w:div w:id="2129427204">
          <w:marLeft w:val="173"/>
          <w:marRight w:val="0"/>
          <w:marTop w:val="0"/>
          <w:marBottom w:val="40"/>
          <w:divBdr>
            <w:top w:val="none" w:sz="0" w:space="0" w:color="auto"/>
            <w:left w:val="none" w:sz="0" w:space="0" w:color="auto"/>
            <w:bottom w:val="none" w:sz="0" w:space="0" w:color="auto"/>
            <w:right w:val="none" w:sz="0" w:space="0" w:color="auto"/>
          </w:divBdr>
        </w:div>
      </w:divsChild>
    </w:div>
    <w:div w:id="1990819822">
      <w:bodyDiv w:val="1"/>
      <w:marLeft w:val="0"/>
      <w:marRight w:val="0"/>
      <w:marTop w:val="0"/>
      <w:marBottom w:val="0"/>
      <w:divBdr>
        <w:top w:val="none" w:sz="0" w:space="0" w:color="auto"/>
        <w:left w:val="none" w:sz="0" w:space="0" w:color="auto"/>
        <w:bottom w:val="none" w:sz="0" w:space="0" w:color="auto"/>
        <w:right w:val="none" w:sz="0" w:space="0" w:color="auto"/>
      </w:divBdr>
    </w:div>
    <w:div w:id="2008441203">
      <w:bodyDiv w:val="1"/>
      <w:marLeft w:val="0"/>
      <w:marRight w:val="0"/>
      <w:marTop w:val="0"/>
      <w:marBottom w:val="0"/>
      <w:divBdr>
        <w:top w:val="none" w:sz="0" w:space="0" w:color="auto"/>
        <w:left w:val="none" w:sz="0" w:space="0" w:color="auto"/>
        <w:bottom w:val="none" w:sz="0" w:space="0" w:color="auto"/>
        <w:right w:val="none" w:sz="0" w:space="0" w:color="auto"/>
      </w:divBdr>
    </w:div>
    <w:div w:id="2021004467">
      <w:bodyDiv w:val="1"/>
      <w:marLeft w:val="0"/>
      <w:marRight w:val="0"/>
      <w:marTop w:val="0"/>
      <w:marBottom w:val="0"/>
      <w:divBdr>
        <w:top w:val="none" w:sz="0" w:space="0" w:color="auto"/>
        <w:left w:val="none" w:sz="0" w:space="0" w:color="auto"/>
        <w:bottom w:val="none" w:sz="0" w:space="0" w:color="auto"/>
        <w:right w:val="none" w:sz="0" w:space="0" w:color="auto"/>
      </w:divBdr>
    </w:div>
    <w:div w:id="2033871238">
      <w:bodyDiv w:val="1"/>
      <w:marLeft w:val="0"/>
      <w:marRight w:val="0"/>
      <w:marTop w:val="0"/>
      <w:marBottom w:val="0"/>
      <w:divBdr>
        <w:top w:val="none" w:sz="0" w:space="0" w:color="auto"/>
        <w:left w:val="none" w:sz="0" w:space="0" w:color="auto"/>
        <w:bottom w:val="none" w:sz="0" w:space="0" w:color="auto"/>
        <w:right w:val="none" w:sz="0" w:space="0" w:color="auto"/>
      </w:divBdr>
      <w:divsChild>
        <w:div w:id="41176204">
          <w:marLeft w:val="173"/>
          <w:marRight w:val="0"/>
          <w:marTop w:val="0"/>
          <w:marBottom w:val="40"/>
          <w:divBdr>
            <w:top w:val="none" w:sz="0" w:space="0" w:color="auto"/>
            <w:left w:val="none" w:sz="0" w:space="0" w:color="auto"/>
            <w:bottom w:val="none" w:sz="0" w:space="0" w:color="auto"/>
            <w:right w:val="none" w:sz="0" w:space="0" w:color="auto"/>
          </w:divBdr>
        </w:div>
        <w:div w:id="1403288875">
          <w:marLeft w:val="173"/>
          <w:marRight w:val="0"/>
          <w:marTop w:val="0"/>
          <w:marBottom w:val="40"/>
          <w:divBdr>
            <w:top w:val="none" w:sz="0" w:space="0" w:color="auto"/>
            <w:left w:val="none" w:sz="0" w:space="0" w:color="auto"/>
            <w:bottom w:val="none" w:sz="0" w:space="0" w:color="auto"/>
            <w:right w:val="none" w:sz="0" w:space="0" w:color="auto"/>
          </w:divBdr>
        </w:div>
        <w:div w:id="1773240316">
          <w:marLeft w:val="173"/>
          <w:marRight w:val="0"/>
          <w:marTop w:val="0"/>
          <w:marBottom w:val="40"/>
          <w:divBdr>
            <w:top w:val="none" w:sz="0" w:space="0" w:color="auto"/>
            <w:left w:val="none" w:sz="0" w:space="0" w:color="auto"/>
            <w:bottom w:val="none" w:sz="0" w:space="0" w:color="auto"/>
            <w:right w:val="none" w:sz="0" w:space="0" w:color="auto"/>
          </w:divBdr>
        </w:div>
      </w:divsChild>
    </w:div>
    <w:div w:id="2054883028">
      <w:bodyDiv w:val="1"/>
      <w:marLeft w:val="0"/>
      <w:marRight w:val="0"/>
      <w:marTop w:val="0"/>
      <w:marBottom w:val="0"/>
      <w:divBdr>
        <w:top w:val="none" w:sz="0" w:space="0" w:color="auto"/>
        <w:left w:val="none" w:sz="0" w:space="0" w:color="auto"/>
        <w:bottom w:val="none" w:sz="0" w:space="0" w:color="auto"/>
        <w:right w:val="none" w:sz="0" w:space="0" w:color="auto"/>
      </w:divBdr>
      <w:divsChild>
        <w:div w:id="267353405">
          <w:marLeft w:val="173"/>
          <w:marRight w:val="0"/>
          <w:marTop w:val="0"/>
          <w:marBottom w:val="60"/>
          <w:divBdr>
            <w:top w:val="none" w:sz="0" w:space="0" w:color="auto"/>
            <w:left w:val="none" w:sz="0" w:space="0" w:color="auto"/>
            <w:bottom w:val="none" w:sz="0" w:space="0" w:color="auto"/>
            <w:right w:val="none" w:sz="0" w:space="0" w:color="auto"/>
          </w:divBdr>
        </w:div>
        <w:div w:id="426312551">
          <w:marLeft w:val="173"/>
          <w:marRight w:val="0"/>
          <w:marTop w:val="0"/>
          <w:marBottom w:val="60"/>
          <w:divBdr>
            <w:top w:val="none" w:sz="0" w:space="0" w:color="auto"/>
            <w:left w:val="none" w:sz="0" w:space="0" w:color="auto"/>
            <w:bottom w:val="none" w:sz="0" w:space="0" w:color="auto"/>
            <w:right w:val="none" w:sz="0" w:space="0" w:color="auto"/>
          </w:divBdr>
        </w:div>
        <w:div w:id="695739144">
          <w:marLeft w:val="173"/>
          <w:marRight w:val="0"/>
          <w:marTop w:val="0"/>
          <w:marBottom w:val="60"/>
          <w:divBdr>
            <w:top w:val="none" w:sz="0" w:space="0" w:color="auto"/>
            <w:left w:val="none" w:sz="0" w:space="0" w:color="auto"/>
            <w:bottom w:val="none" w:sz="0" w:space="0" w:color="auto"/>
            <w:right w:val="none" w:sz="0" w:space="0" w:color="auto"/>
          </w:divBdr>
        </w:div>
        <w:div w:id="1065838679">
          <w:marLeft w:val="173"/>
          <w:marRight w:val="0"/>
          <w:marTop w:val="0"/>
          <w:marBottom w:val="60"/>
          <w:divBdr>
            <w:top w:val="none" w:sz="0" w:space="0" w:color="auto"/>
            <w:left w:val="none" w:sz="0" w:space="0" w:color="auto"/>
            <w:bottom w:val="none" w:sz="0" w:space="0" w:color="auto"/>
            <w:right w:val="none" w:sz="0" w:space="0" w:color="auto"/>
          </w:divBdr>
        </w:div>
        <w:div w:id="1454597447">
          <w:marLeft w:val="173"/>
          <w:marRight w:val="0"/>
          <w:marTop w:val="0"/>
          <w:marBottom w:val="60"/>
          <w:divBdr>
            <w:top w:val="none" w:sz="0" w:space="0" w:color="auto"/>
            <w:left w:val="none" w:sz="0" w:space="0" w:color="auto"/>
            <w:bottom w:val="none" w:sz="0" w:space="0" w:color="auto"/>
            <w:right w:val="none" w:sz="0" w:space="0" w:color="auto"/>
          </w:divBdr>
        </w:div>
        <w:div w:id="1622609501">
          <w:marLeft w:val="173"/>
          <w:marRight w:val="0"/>
          <w:marTop w:val="0"/>
          <w:marBottom w:val="60"/>
          <w:divBdr>
            <w:top w:val="none" w:sz="0" w:space="0" w:color="auto"/>
            <w:left w:val="none" w:sz="0" w:space="0" w:color="auto"/>
            <w:bottom w:val="none" w:sz="0" w:space="0" w:color="auto"/>
            <w:right w:val="none" w:sz="0" w:space="0" w:color="auto"/>
          </w:divBdr>
        </w:div>
        <w:div w:id="1995984920">
          <w:marLeft w:val="173"/>
          <w:marRight w:val="0"/>
          <w:marTop w:val="0"/>
          <w:marBottom w:val="60"/>
          <w:divBdr>
            <w:top w:val="none" w:sz="0" w:space="0" w:color="auto"/>
            <w:left w:val="none" w:sz="0" w:space="0" w:color="auto"/>
            <w:bottom w:val="none" w:sz="0" w:space="0" w:color="auto"/>
            <w:right w:val="none" w:sz="0" w:space="0" w:color="auto"/>
          </w:divBdr>
        </w:div>
      </w:divsChild>
    </w:div>
    <w:div w:id="2127116835">
      <w:bodyDiv w:val="1"/>
      <w:marLeft w:val="0"/>
      <w:marRight w:val="0"/>
      <w:marTop w:val="0"/>
      <w:marBottom w:val="0"/>
      <w:divBdr>
        <w:top w:val="none" w:sz="0" w:space="0" w:color="auto"/>
        <w:left w:val="none" w:sz="0" w:space="0" w:color="auto"/>
        <w:bottom w:val="none" w:sz="0" w:space="0" w:color="auto"/>
        <w:right w:val="none" w:sz="0" w:space="0" w:color="auto"/>
      </w:divBdr>
    </w:div>
    <w:div w:id="2143305455">
      <w:bodyDiv w:val="1"/>
      <w:marLeft w:val="0"/>
      <w:marRight w:val="0"/>
      <w:marTop w:val="0"/>
      <w:marBottom w:val="0"/>
      <w:divBdr>
        <w:top w:val="none" w:sz="0" w:space="0" w:color="auto"/>
        <w:left w:val="none" w:sz="0" w:space="0" w:color="auto"/>
        <w:bottom w:val="none" w:sz="0" w:space="0" w:color="auto"/>
        <w:right w:val="none" w:sz="0" w:space="0" w:color="auto"/>
      </w:divBdr>
    </w:div>
    <w:div w:id="2146847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eader" Target="header8.xml"/><Relationship Id="rId39"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image" Target="media/image13.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image" Target="media/image12.png"/><Relationship Id="rId38"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3.xml"/><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www1.racgp.org.au/newsgp/professional/labor-promises-nearly-1-billion-in-general-practic" TargetMode="External"/><Relationship Id="rId13" Type="http://schemas.openxmlformats.org/officeDocument/2006/relationships/hyperlink" Target="https://www.closingthegap.gov.au/national-agreement" TargetMode="External"/><Relationship Id="rId18" Type="http://schemas.openxmlformats.org/officeDocument/2006/relationships/hyperlink" Target="https://www.ihi.org/insights/quintuple-aim-why-expand-beyond-triple-aim" TargetMode="External"/><Relationship Id="rId3" Type="http://schemas.openxmlformats.org/officeDocument/2006/relationships/hyperlink" Target="https://www.ncbi.nlm.nih.gov/pmc/articles/PMC8872542/" TargetMode="External"/><Relationship Id="rId7" Type="http://schemas.openxmlformats.org/officeDocument/2006/relationships/hyperlink" Target="https://www.finance.gov.au/government/commonwealth-grants/commonwealth-grants-rules-and-guidelines" TargetMode="External"/><Relationship Id="rId12" Type="http://schemas.openxmlformats.org/officeDocument/2006/relationships/hyperlink" Target="https://www.legislation.gov.au/F2024L00854/latest/downloads" TargetMode="External"/><Relationship Id="rId17" Type="http://schemas.openxmlformats.org/officeDocument/2006/relationships/hyperlink" Target="https://www.closingthegap.gov.au/national-agreement" TargetMode="External"/><Relationship Id="rId2" Type="http://schemas.openxmlformats.org/officeDocument/2006/relationships/hyperlink" Target="https://www.ihi.org/insights/quintuple-aim-why-expand-beyond-triple-aim" TargetMode="External"/><Relationship Id="rId16" Type="http://schemas.openxmlformats.org/officeDocument/2006/relationships/hyperlink" Target="https://www.legislation.gov.au/F2024L00854/latest/downloads" TargetMode="External"/><Relationship Id="rId1" Type="http://schemas.openxmlformats.org/officeDocument/2006/relationships/hyperlink" Target="https://www.health.gov.au/sites/default/files/2023-02/strengthening-medicare-taskforce-report_0.pdf" TargetMode="External"/><Relationship Id="rId6" Type="http://schemas.openxmlformats.org/officeDocument/2006/relationships/hyperlink" Target="https://www.health.gov.au/sites/default/files/2023-02/strengthening-medicare-taskforce-report_0.pdf" TargetMode="External"/><Relationship Id="rId11" Type="http://schemas.openxmlformats.org/officeDocument/2006/relationships/hyperlink" Target="https://www.health.gov.au/resources/publications/australias-primary-health-care-10-year-plan-2022-2032?language=en" TargetMode="External"/><Relationship Id="rId5" Type="http://schemas.openxmlformats.org/officeDocument/2006/relationships/hyperlink" Target="https://www.racgp.org.au/general-practice-health-of-the-nation-2022/" TargetMode="External"/><Relationship Id="rId15" Type="http://schemas.openxmlformats.org/officeDocument/2006/relationships/hyperlink" Target="https://www.health.gov.au/topics/rural-health-workforce/classifications/mmm" TargetMode="External"/><Relationship Id="rId10" Type="http://schemas.openxmlformats.org/officeDocument/2006/relationships/hyperlink" Target="https://www.ihi.org/insights/quintuple-aim-why-expand-beyond-triple-aim" TargetMode="External"/><Relationship Id="rId4" Type="http://schemas.openxmlformats.org/officeDocument/2006/relationships/hyperlink" Target="https://www.aihw.gov.au/reports/primary-health-care/general-practice-allied-health-and-other-primary-c" TargetMode="External"/><Relationship Id="rId9" Type="http://schemas.openxmlformats.org/officeDocument/2006/relationships/hyperlink" Target="https://www.health.gov.au/our-work/mymedicare/practices-and-providers" TargetMode="External"/><Relationship Id="rId14" Type="http://schemas.openxmlformats.org/officeDocument/2006/relationships/hyperlink" Target="https://www.ihi.org/insights/quintuple-aim-why-expand-beyond-triple-ai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2024-11-28T00:00:00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23B9EBD89ECCA4787D1432E0158C5FE" ma:contentTypeVersion="14" ma:contentTypeDescription="Create a new document." ma:contentTypeScope="" ma:versionID="66dcb54effd6fba08cb8b59f88a07cf9">
  <xsd:schema xmlns:xsd="http://www.w3.org/2001/XMLSchema" xmlns:xs="http://www.w3.org/2001/XMLSchema" xmlns:p="http://schemas.microsoft.com/office/2006/metadata/properties" xmlns:ns2="b1794a0b-8bad-407b-81fe-7440c71a5cfc" xmlns:ns3="01068028-8467-47b4-8089-d59e6569469e" targetNamespace="http://schemas.microsoft.com/office/2006/metadata/properties" ma:root="true" ma:fieldsID="7e738325153abea49f2ea1d1c3fbfa64" ns2:_="" ns3:_="">
    <xsd:import namespace="b1794a0b-8bad-407b-81fe-7440c71a5cfc"/>
    <xsd:import namespace="01068028-8467-47b4-8089-d59e6569469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Docnumber"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794a0b-8bad-407b-81fe-7440c71a5c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Docnumber" ma:index="12" nillable="true" ma:displayName="Doc number" ma:format="Dropdown" ma:internalName="Docnumber" ma:percentage="FALSE">
      <xsd:simpleType>
        <xsd:restriction base="dms:Number"/>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2a39602-bab5-4ac0-a14f-71daef3a2535"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068028-8467-47b4-8089-d59e6569469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3ffbb705-f599-4686-bbaf-58e9c7592535}" ma:internalName="TaxCatchAll" ma:showField="CatchAllData" ma:web="01068028-8467-47b4-8089-d59e656946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b1794a0b-8bad-407b-81fe-7440c71a5cfc">
      <Terms xmlns="http://schemas.microsoft.com/office/infopath/2007/PartnerControls"/>
    </lcf76f155ced4ddcb4097134ff3c332f>
    <TaxCatchAll xmlns="01068028-8467-47b4-8089-d59e6569469e" xsi:nil="true"/>
    <Docnumber xmlns="b1794a0b-8bad-407b-81fe-7440c71a5cfc">2</Docnumber>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3.xml><?xml version="1.0" encoding="utf-8"?>
<ds:datastoreItem xmlns:ds="http://schemas.openxmlformats.org/officeDocument/2006/customXml" ds:itemID="{FDCB59A1-4C67-497E-B5A8-92AC81E3A47D}">
  <ds:schemaRefs>
    <ds:schemaRef ds:uri="http://schemas.openxmlformats.org/officeDocument/2006/bibliography"/>
  </ds:schemaRefs>
</ds:datastoreItem>
</file>

<file path=customXml/itemProps4.xml><?xml version="1.0" encoding="utf-8"?>
<ds:datastoreItem xmlns:ds="http://schemas.openxmlformats.org/officeDocument/2006/customXml" ds:itemID="{40781EB5-3BD7-4DB8-A980-464F9ED6A9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794a0b-8bad-407b-81fe-7440c71a5cfc"/>
    <ds:schemaRef ds:uri="01068028-8467-47b4-8089-d59e656946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CB462EA-10A7-4754-94DC-A6846B7C0C55}">
  <ds:schemaRefs>
    <ds:schemaRef ds:uri="http://schemas.microsoft.com/office/2006/metadata/properties"/>
    <ds:schemaRef ds:uri="http://schemas.microsoft.com/office/infopath/2007/PartnerControls"/>
    <ds:schemaRef ds:uri="b1794a0b-8bad-407b-81fe-7440c71a5cfc"/>
    <ds:schemaRef ds:uri="01068028-8467-47b4-8089-d59e6569469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118</Pages>
  <Words>31285</Words>
  <Characters>169567</Characters>
  <Application>Microsoft Office Word</Application>
  <DocSecurity>2</DocSecurity>
  <Lines>6280</Lines>
  <Paragraphs>3347</Paragraphs>
  <ScaleCrop>false</ScaleCrop>
  <HeadingPairs>
    <vt:vector size="2" baseType="variant">
      <vt:variant>
        <vt:lpstr>Title</vt:lpstr>
      </vt:variant>
      <vt:variant>
        <vt:i4>1</vt:i4>
      </vt:variant>
    </vt:vector>
  </HeadingPairs>
  <TitlesOfParts>
    <vt:vector size="1" baseType="lpstr">
      <vt:lpstr>Strengthening Medicare – General Practice Grants Program Evaluation: Final Report</vt:lpstr>
    </vt:vector>
  </TitlesOfParts>
  <Company>The Nous Group</Company>
  <LinksUpToDate>false</LinksUpToDate>
  <CharactersWithSpaces>197505</CharactersWithSpaces>
  <SharedDoc>false</SharedDoc>
  <HLinks>
    <vt:vector size="180" baseType="variant">
      <vt:variant>
        <vt:i4>1310768</vt:i4>
      </vt:variant>
      <vt:variant>
        <vt:i4>80</vt:i4>
      </vt:variant>
      <vt:variant>
        <vt:i4>0</vt:i4>
      </vt:variant>
      <vt:variant>
        <vt:i4>5</vt:i4>
      </vt:variant>
      <vt:variant>
        <vt:lpwstr/>
      </vt:variant>
      <vt:variant>
        <vt:lpwstr>_Toc184911430</vt:lpwstr>
      </vt:variant>
      <vt:variant>
        <vt:i4>1376304</vt:i4>
      </vt:variant>
      <vt:variant>
        <vt:i4>74</vt:i4>
      </vt:variant>
      <vt:variant>
        <vt:i4>0</vt:i4>
      </vt:variant>
      <vt:variant>
        <vt:i4>5</vt:i4>
      </vt:variant>
      <vt:variant>
        <vt:lpwstr/>
      </vt:variant>
      <vt:variant>
        <vt:lpwstr>_Toc184911429</vt:lpwstr>
      </vt:variant>
      <vt:variant>
        <vt:i4>1376304</vt:i4>
      </vt:variant>
      <vt:variant>
        <vt:i4>68</vt:i4>
      </vt:variant>
      <vt:variant>
        <vt:i4>0</vt:i4>
      </vt:variant>
      <vt:variant>
        <vt:i4>5</vt:i4>
      </vt:variant>
      <vt:variant>
        <vt:lpwstr/>
      </vt:variant>
      <vt:variant>
        <vt:lpwstr>_Toc184911428</vt:lpwstr>
      </vt:variant>
      <vt:variant>
        <vt:i4>1376304</vt:i4>
      </vt:variant>
      <vt:variant>
        <vt:i4>62</vt:i4>
      </vt:variant>
      <vt:variant>
        <vt:i4>0</vt:i4>
      </vt:variant>
      <vt:variant>
        <vt:i4>5</vt:i4>
      </vt:variant>
      <vt:variant>
        <vt:lpwstr/>
      </vt:variant>
      <vt:variant>
        <vt:lpwstr>_Toc184911427</vt:lpwstr>
      </vt:variant>
      <vt:variant>
        <vt:i4>1376304</vt:i4>
      </vt:variant>
      <vt:variant>
        <vt:i4>56</vt:i4>
      </vt:variant>
      <vt:variant>
        <vt:i4>0</vt:i4>
      </vt:variant>
      <vt:variant>
        <vt:i4>5</vt:i4>
      </vt:variant>
      <vt:variant>
        <vt:lpwstr/>
      </vt:variant>
      <vt:variant>
        <vt:lpwstr>_Toc184911426</vt:lpwstr>
      </vt:variant>
      <vt:variant>
        <vt:i4>1376304</vt:i4>
      </vt:variant>
      <vt:variant>
        <vt:i4>50</vt:i4>
      </vt:variant>
      <vt:variant>
        <vt:i4>0</vt:i4>
      </vt:variant>
      <vt:variant>
        <vt:i4>5</vt:i4>
      </vt:variant>
      <vt:variant>
        <vt:lpwstr/>
      </vt:variant>
      <vt:variant>
        <vt:lpwstr>_Toc184911425</vt:lpwstr>
      </vt:variant>
      <vt:variant>
        <vt:i4>1376304</vt:i4>
      </vt:variant>
      <vt:variant>
        <vt:i4>44</vt:i4>
      </vt:variant>
      <vt:variant>
        <vt:i4>0</vt:i4>
      </vt:variant>
      <vt:variant>
        <vt:i4>5</vt:i4>
      </vt:variant>
      <vt:variant>
        <vt:lpwstr/>
      </vt:variant>
      <vt:variant>
        <vt:lpwstr>_Toc184911424</vt:lpwstr>
      </vt:variant>
      <vt:variant>
        <vt:i4>1376304</vt:i4>
      </vt:variant>
      <vt:variant>
        <vt:i4>38</vt:i4>
      </vt:variant>
      <vt:variant>
        <vt:i4>0</vt:i4>
      </vt:variant>
      <vt:variant>
        <vt:i4>5</vt:i4>
      </vt:variant>
      <vt:variant>
        <vt:lpwstr/>
      </vt:variant>
      <vt:variant>
        <vt:lpwstr>_Toc184911423</vt:lpwstr>
      </vt:variant>
      <vt:variant>
        <vt:i4>1376304</vt:i4>
      </vt:variant>
      <vt:variant>
        <vt:i4>32</vt:i4>
      </vt:variant>
      <vt:variant>
        <vt:i4>0</vt:i4>
      </vt:variant>
      <vt:variant>
        <vt:i4>5</vt:i4>
      </vt:variant>
      <vt:variant>
        <vt:lpwstr/>
      </vt:variant>
      <vt:variant>
        <vt:lpwstr>_Toc184911422</vt:lpwstr>
      </vt:variant>
      <vt:variant>
        <vt:i4>1376304</vt:i4>
      </vt:variant>
      <vt:variant>
        <vt:i4>26</vt:i4>
      </vt:variant>
      <vt:variant>
        <vt:i4>0</vt:i4>
      </vt:variant>
      <vt:variant>
        <vt:i4>5</vt:i4>
      </vt:variant>
      <vt:variant>
        <vt:lpwstr/>
      </vt:variant>
      <vt:variant>
        <vt:lpwstr>_Toc184911421</vt:lpwstr>
      </vt:variant>
      <vt:variant>
        <vt:i4>1376304</vt:i4>
      </vt:variant>
      <vt:variant>
        <vt:i4>20</vt:i4>
      </vt:variant>
      <vt:variant>
        <vt:i4>0</vt:i4>
      </vt:variant>
      <vt:variant>
        <vt:i4>5</vt:i4>
      </vt:variant>
      <vt:variant>
        <vt:lpwstr/>
      </vt:variant>
      <vt:variant>
        <vt:lpwstr>_Toc184911420</vt:lpwstr>
      </vt:variant>
      <vt:variant>
        <vt:i4>1441840</vt:i4>
      </vt:variant>
      <vt:variant>
        <vt:i4>14</vt:i4>
      </vt:variant>
      <vt:variant>
        <vt:i4>0</vt:i4>
      </vt:variant>
      <vt:variant>
        <vt:i4>5</vt:i4>
      </vt:variant>
      <vt:variant>
        <vt:lpwstr/>
      </vt:variant>
      <vt:variant>
        <vt:lpwstr>_Toc184911419</vt:lpwstr>
      </vt:variant>
      <vt:variant>
        <vt:i4>1441840</vt:i4>
      </vt:variant>
      <vt:variant>
        <vt:i4>8</vt:i4>
      </vt:variant>
      <vt:variant>
        <vt:i4>0</vt:i4>
      </vt:variant>
      <vt:variant>
        <vt:i4>5</vt:i4>
      </vt:variant>
      <vt:variant>
        <vt:lpwstr/>
      </vt:variant>
      <vt:variant>
        <vt:lpwstr>_Toc184911418</vt:lpwstr>
      </vt:variant>
      <vt:variant>
        <vt:i4>1441840</vt:i4>
      </vt:variant>
      <vt:variant>
        <vt:i4>2</vt:i4>
      </vt:variant>
      <vt:variant>
        <vt:i4>0</vt:i4>
      </vt:variant>
      <vt:variant>
        <vt:i4>5</vt:i4>
      </vt:variant>
      <vt:variant>
        <vt:lpwstr/>
      </vt:variant>
      <vt:variant>
        <vt:lpwstr>_Toc184911417</vt:lpwstr>
      </vt:variant>
      <vt:variant>
        <vt:i4>2293810</vt:i4>
      </vt:variant>
      <vt:variant>
        <vt:i4>42</vt:i4>
      </vt:variant>
      <vt:variant>
        <vt:i4>0</vt:i4>
      </vt:variant>
      <vt:variant>
        <vt:i4>5</vt:i4>
      </vt:variant>
      <vt:variant>
        <vt:lpwstr>https://www.health.gov.au/topics/rural-health-workforce/classifications/mmm</vt:lpwstr>
      </vt:variant>
      <vt:variant>
        <vt:lpwstr/>
      </vt:variant>
      <vt:variant>
        <vt:i4>3735651</vt:i4>
      </vt:variant>
      <vt:variant>
        <vt:i4>39</vt:i4>
      </vt:variant>
      <vt:variant>
        <vt:i4>0</vt:i4>
      </vt:variant>
      <vt:variant>
        <vt:i4>5</vt:i4>
      </vt:variant>
      <vt:variant>
        <vt:lpwstr>https://www.ihi.org/insights/quintuple-aim-why-expand-beyond-triple-aim</vt:lpwstr>
      </vt:variant>
      <vt:variant>
        <vt:lpwstr/>
      </vt:variant>
      <vt:variant>
        <vt:i4>7012475</vt:i4>
      </vt:variant>
      <vt:variant>
        <vt:i4>36</vt:i4>
      </vt:variant>
      <vt:variant>
        <vt:i4>0</vt:i4>
      </vt:variant>
      <vt:variant>
        <vt:i4>5</vt:i4>
      </vt:variant>
      <vt:variant>
        <vt:lpwstr>https://www.closingthegap.gov.au/national-agreement</vt:lpwstr>
      </vt:variant>
      <vt:variant>
        <vt:lpwstr/>
      </vt:variant>
      <vt:variant>
        <vt:i4>3735593</vt:i4>
      </vt:variant>
      <vt:variant>
        <vt:i4>33</vt:i4>
      </vt:variant>
      <vt:variant>
        <vt:i4>0</vt:i4>
      </vt:variant>
      <vt:variant>
        <vt:i4>5</vt:i4>
      </vt:variant>
      <vt:variant>
        <vt:lpwstr>https://www.legislation.gov.au/F2024L00854/latest/downloads</vt:lpwstr>
      </vt:variant>
      <vt:variant>
        <vt:lpwstr/>
      </vt:variant>
      <vt:variant>
        <vt:i4>6291506</vt:i4>
      </vt:variant>
      <vt:variant>
        <vt:i4>30</vt:i4>
      </vt:variant>
      <vt:variant>
        <vt:i4>0</vt:i4>
      </vt:variant>
      <vt:variant>
        <vt:i4>5</vt:i4>
      </vt:variant>
      <vt:variant>
        <vt:lpwstr>https://www.health.gov.au/resources/publications/australias-primary-health-care-10-year-plan-2022-2032?language=en</vt:lpwstr>
      </vt:variant>
      <vt:variant>
        <vt:lpwstr/>
      </vt:variant>
      <vt:variant>
        <vt:i4>3735651</vt:i4>
      </vt:variant>
      <vt:variant>
        <vt:i4>27</vt:i4>
      </vt:variant>
      <vt:variant>
        <vt:i4>0</vt:i4>
      </vt:variant>
      <vt:variant>
        <vt:i4>5</vt:i4>
      </vt:variant>
      <vt:variant>
        <vt:lpwstr>https://www.ihi.org/insights/quintuple-aim-why-expand-beyond-triple-aim</vt:lpwstr>
      </vt:variant>
      <vt:variant>
        <vt:lpwstr/>
      </vt:variant>
      <vt:variant>
        <vt:i4>720924</vt:i4>
      </vt:variant>
      <vt:variant>
        <vt:i4>24</vt:i4>
      </vt:variant>
      <vt:variant>
        <vt:i4>0</vt:i4>
      </vt:variant>
      <vt:variant>
        <vt:i4>5</vt:i4>
      </vt:variant>
      <vt:variant>
        <vt:lpwstr>https://www.health.gov.au/our-work/mymedicare/practices-and-providers</vt:lpwstr>
      </vt:variant>
      <vt:variant>
        <vt:lpwstr>benefits</vt:lpwstr>
      </vt:variant>
      <vt:variant>
        <vt:i4>5832790</vt:i4>
      </vt:variant>
      <vt:variant>
        <vt:i4>21</vt:i4>
      </vt:variant>
      <vt:variant>
        <vt:i4>0</vt:i4>
      </vt:variant>
      <vt:variant>
        <vt:i4>5</vt:i4>
      </vt:variant>
      <vt:variant>
        <vt:lpwstr>https://www1.racgp.org.au/newsgp/professional/labor-promises-nearly-1-billion-in-general-practic</vt:lpwstr>
      </vt:variant>
      <vt:variant>
        <vt:lpwstr/>
      </vt:variant>
      <vt:variant>
        <vt:i4>6946918</vt:i4>
      </vt:variant>
      <vt:variant>
        <vt:i4>18</vt:i4>
      </vt:variant>
      <vt:variant>
        <vt:i4>0</vt:i4>
      </vt:variant>
      <vt:variant>
        <vt:i4>5</vt:i4>
      </vt:variant>
      <vt:variant>
        <vt:lpwstr>https://www.finance.gov.au/government/commonwealth-grants/commonwealth-grants-rules-and-guidelines</vt:lpwstr>
      </vt:variant>
      <vt:variant>
        <vt:lpwstr/>
      </vt:variant>
      <vt:variant>
        <vt:i4>327782</vt:i4>
      </vt:variant>
      <vt:variant>
        <vt:i4>15</vt:i4>
      </vt:variant>
      <vt:variant>
        <vt:i4>0</vt:i4>
      </vt:variant>
      <vt:variant>
        <vt:i4>5</vt:i4>
      </vt:variant>
      <vt:variant>
        <vt:lpwstr>https://www.health.gov.au/sites/default/files/2023-02/strengthening-medicare-taskforce-report_0.pdf</vt:lpwstr>
      </vt:variant>
      <vt:variant>
        <vt:lpwstr/>
      </vt:variant>
      <vt:variant>
        <vt:i4>5111882</vt:i4>
      </vt:variant>
      <vt:variant>
        <vt:i4>12</vt:i4>
      </vt:variant>
      <vt:variant>
        <vt:i4>0</vt:i4>
      </vt:variant>
      <vt:variant>
        <vt:i4>5</vt:i4>
      </vt:variant>
      <vt:variant>
        <vt:lpwstr>https://www.racgp.org.au/general-practice-health-of-the-nation-2022/</vt:lpwstr>
      </vt:variant>
      <vt:variant>
        <vt:lpwstr>:~:text=The%202022%20General%20Practice%3A%20Health,the%20provision%20of%20patient%20care</vt:lpwstr>
      </vt:variant>
      <vt:variant>
        <vt:i4>2097207</vt:i4>
      </vt:variant>
      <vt:variant>
        <vt:i4>9</vt:i4>
      </vt:variant>
      <vt:variant>
        <vt:i4>0</vt:i4>
      </vt:variant>
      <vt:variant>
        <vt:i4>5</vt:i4>
      </vt:variant>
      <vt:variant>
        <vt:lpwstr>https://www.aihw.gov.au/reports/primary-health-care/general-practice-allied-health-and-other-primary-c</vt:lpwstr>
      </vt:variant>
      <vt:variant>
        <vt:lpwstr/>
      </vt:variant>
      <vt:variant>
        <vt:i4>1835084</vt:i4>
      </vt:variant>
      <vt:variant>
        <vt:i4>6</vt:i4>
      </vt:variant>
      <vt:variant>
        <vt:i4>0</vt:i4>
      </vt:variant>
      <vt:variant>
        <vt:i4>5</vt:i4>
      </vt:variant>
      <vt:variant>
        <vt:lpwstr>https://www.ncbi.nlm.nih.gov/pmc/articles/PMC8872542/</vt:lpwstr>
      </vt:variant>
      <vt:variant>
        <vt:lpwstr/>
      </vt:variant>
      <vt:variant>
        <vt:i4>3735651</vt:i4>
      </vt:variant>
      <vt:variant>
        <vt:i4>3</vt:i4>
      </vt:variant>
      <vt:variant>
        <vt:i4>0</vt:i4>
      </vt:variant>
      <vt:variant>
        <vt:i4>5</vt:i4>
      </vt:variant>
      <vt:variant>
        <vt:lpwstr>https://www.ihi.org/insights/quintuple-aim-why-expand-beyond-triple-aim</vt:lpwstr>
      </vt:variant>
      <vt:variant>
        <vt:lpwstr/>
      </vt:variant>
      <vt:variant>
        <vt:i4>327782</vt:i4>
      </vt:variant>
      <vt:variant>
        <vt:i4>0</vt:i4>
      </vt:variant>
      <vt:variant>
        <vt:i4>0</vt:i4>
      </vt:variant>
      <vt:variant>
        <vt:i4>5</vt:i4>
      </vt:variant>
      <vt:variant>
        <vt:lpwstr>https://www.health.gov.au/sites/default/files/2023-02/strengthening-medicare-taskforce-report_0.pdf</vt:lpwstr>
      </vt:variant>
      <vt:variant>
        <vt:lpwstr/>
      </vt:variant>
      <vt:variant>
        <vt:i4>2621510</vt:i4>
      </vt:variant>
      <vt:variant>
        <vt:i4>0</vt:i4>
      </vt:variant>
      <vt:variant>
        <vt:i4>0</vt:i4>
      </vt:variant>
      <vt:variant>
        <vt:i4>5</vt:i4>
      </vt:variant>
      <vt:variant>
        <vt:lpwstr>mailto:Adam.Goodhue@nousgroup.com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Strengthening Medicare – General Practice Grants Program Evaluation: Final Report</dc:title>
  <dc:subject>Medicare</dc:subject>
  <dc:creator>Australian Government Department of Health and Aged Care</dc:creator>
  <cp:keywords>Medicare;Strengthening Medicare</cp:keywords>
  <cp:lastModifiedBy>MASCHKE, Elvia</cp:lastModifiedBy>
  <cp:revision>2</cp:revision>
  <cp:lastPrinted>2024-12-13T00:45:00Z</cp:lastPrinted>
  <dcterms:created xsi:type="dcterms:W3CDTF">2024-12-15T07:23:00Z</dcterms:created>
  <dcterms:modified xsi:type="dcterms:W3CDTF">2024-12-15T07:23:00Z</dcterms:modified>
</cp:coreProperties>
</file>