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EC6A9" w14:textId="77777777" w:rsidR="001200C5" w:rsidRDefault="001200C5" w:rsidP="001200C5">
      <w:pPr>
        <w:pStyle w:val="Boxtype"/>
        <w:rPr>
          <w:rFonts w:eastAsiaTheme="minorHAnsi"/>
        </w:rPr>
      </w:pPr>
      <w:r w:rsidRPr="001200C5">
        <w:rPr>
          <w:rFonts w:eastAsiaTheme="minorHAnsi"/>
        </w:rPr>
        <w:t>This paper was published to inform a public consultation process that ran from 2 September 2024 to 6 October 2024. The consultation is now closed.</w:t>
      </w:r>
    </w:p>
    <w:p w14:paraId="0139F9EC" w14:textId="4D7B7971" w:rsidR="00E7013B" w:rsidRPr="0084159E" w:rsidRDefault="00E7013B" w:rsidP="001200C5">
      <w:pPr>
        <w:pStyle w:val="Title"/>
        <w:rPr>
          <w:i/>
          <w:iCs/>
        </w:rPr>
      </w:pPr>
      <w:r>
        <w:t>Stoma Appliance Scheme Schedule Review – Consultation Paper</w:t>
      </w:r>
    </w:p>
    <w:p w14:paraId="28357427" w14:textId="77777777" w:rsidR="00E7013B" w:rsidRPr="00805FFA" w:rsidRDefault="00E7013B" w:rsidP="00E7013B">
      <w:pPr>
        <w:pStyle w:val="IntroPara"/>
        <w:spacing w:before="0"/>
        <w:jc w:val="right"/>
        <w:sectPr w:rsidR="00E7013B" w:rsidRPr="00805FFA" w:rsidSect="001200C5">
          <w:footerReference w:type="default" r:id="rId8"/>
          <w:headerReference w:type="first" r:id="rId9"/>
          <w:pgSz w:w="11906" w:h="16838"/>
          <w:pgMar w:top="1701" w:right="1418" w:bottom="1418" w:left="1418" w:header="850" w:footer="709" w:gutter="0"/>
          <w:cols w:space="708"/>
          <w:titlePg/>
          <w:docGrid w:linePitch="360"/>
        </w:sectPr>
      </w:pPr>
      <w:r>
        <w:t>September</w:t>
      </w:r>
      <w:r w:rsidRPr="00805FFA">
        <w:t xml:space="preserve"> 2024</w:t>
      </w:r>
    </w:p>
    <w:sdt>
      <w:sdtPr>
        <w:rPr>
          <w:rFonts w:asciiTheme="minorHAnsi" w:eastAsiaTheme="minorHAnsi" w:hAnsiTheme="minorHAnsi" w:cstheme="minorBidi"/>
          <w:color w:val="auto"/>
          <w:kern w:val="2"/>
          <w:sz w:val="22"/>
          <w:szCs w:val="22"/>
          <w:lang w:val="en-AU"/>
          <w14:ligatures w14:val="standardContextual"/>
        </w:rPr>
        <w:id w:val="148717775"/>
        <w:docPartObj>
          <w:docPartGallery w:val="Table of Contents"/>
          <w:docPartUnique/>
        </w:docPartObj>
      </w:sdtPr>
      <w:sdtEndPr>
        <w:rPr>
          <w:bCs/>
          <w:noProof/>
        </w:rPr>
      </w:sdtEndPr>
      <w:sdtContent>
        <w:p w14:paraId="25B5D676" w14:textId="77777777" w:rsidR="00E7013B" w:rsidRDefault="00E7013B" w:rsidP="00E7013B">
          <w:pPr>
            <w:pStyle w:val="TOCHeading"/>
          </w:pPr>
          <w:r>
            <w:t>Contents</w:t>
          </w:r>
        </w:p>
        <w:p w14:paraId="7E7AB05B" w14:textId="7345A92F" w:rsidR="00323EF8" w:rsidRDefault="00E7013B">
          <w:pPr>
            <w:pStyle w:val="TOC1"/>
            <w:rPr>
              <w:rFonts w:eastAsiaTheme="minorEastAsia"/>
              <w:noProof/>
              <w:lang w:eastAsia="en-AU"/>
            </w:rPr>
          </w:pPr>
          <w:r>
            <w:fldChar w:fldCharType="begin"/>
          </w:r>
          <w:r>
            <w:instrText xml:space="preserve"> TOC \o "1-3" \h \z \u </w:instrText>
          </w:r>
          <w:r>
            <w:fldChar w:fldCharType="separate"/>
          </w:r>
          <w:hyperlink w:anchor="_Toc175909170" w:history="1">
            <w:r w:rsidR="00323EF8" w:rsidRPr="008A1EC5">
              <w:rPr>
                <w:rStyle w:val="Hyperlink"/>
                <w:noProof/>
              </w:rPr>
              <w:t>Introduction</w:t>
            </w:r>
            <w:r w:rsidR="00323EF8">
              <w:rPr>
                <w:noProof/>
                <w:webHidden/>
              </w:rPr>
              <w:tab/>
            </w:r>
            <w:r w:rsidR="00323EF8">
              <w:rPr>
                <w:noProof/>
                <w:webHidden/>
              </w:rPr>
              <w:fldChar w:fldCharType="begin"/>
            </w:r>
            <w:r w:rsidR="00323EF8">
              <w:rPr>
                <w:noProof/>
                <w:webHidden/>
              </w:rPr>
              <w:instrText xml:space="preserve"> PAGEREF _Toc175909170 \h </w:instrText>
            </w:r>
            <w:r w:rsidR="00323EF8">
              <w:rPr>
                <w:noProof/>
                <w:webHidden/>
              </w:rPr>
            </w:r>
            <w:r w:rsidR="00323EF8">
              <w:rPr>
                <w:noProof/>
                <w:webHidden/>
              </w:rPr>
              <w:fldChar w:fldCharType="separate"/>
            </w:r>
            <w:r w:rsidR="00323EF8">
              <w:rPr>
                <w:noProof/>
                <w:webHidden/>
              </w:rPr>
              <w:t>1</w:t>
            </w:r>
            <w:r w:rsidR="00323EF8">
              <w:rPr>
                <w:noProof/>
                <w:webHidden/>
              </w:rPr>
              <w:fldChar w:fldCharType="end"/>
            </w:r>
          </w:hyperlink>
        </w:p>
        <w:p w14:paraId="43CC9C67" w14:textId="72507634" w:rsidR="00323EF8" w:rsidRDefault="00323EF8">
          <w:pPr>
            <w:pStyle w:val="TOC2"/>
            <w:rPr>
              <w:rFonts w:eastAsiaTheme="minorEastAsia"/>
              <w:noProof/>
              <w:lang w:eastAsia="en-AU"/>
            </w:rPr>
          </w:pPr>
          <w:hyperlink w:anchor="_Toc175909171" w:history="1">
            <w:r w:rsidRPr="008A1EC5">
              <w:rPr>
                <w:rStyle w:val="Hyperlink"/>
                <w:noProof/>
              </w:rPr>
              <w:t>Purpose of this paper</w:t>
            </w:r>
            <w:r>
              <w:rPr>
                <w:noProof/>
                <w:webHidden/>
              </w:rPr>
              <w:tab/>
            </w:r>
            <w:r>
              <w:rPr>
                <w:noProof/>
                <w:webHidden/>
              </w:rPr>
              <w:fldChar w:fldCharType="begin"/>
            </w:r>
            <w:r>
              <w:rPr>
                <w:noProof/>
                <w:webHidden/>
              </w:rPr>
              <w:instrText xml:space="preserve"> PAGEREF _Toc175909171 \h </w:instrText>
            </w:r>
            <w:r>
              <w:rPr>
                <w:noProof/>
                <w:webHidden/>
              </w:rPr>
            </w:r>
            <w:r>
              <w:rPr>
                <w:noProof/>
                <w:webHidden/>
              </w:rPr>
              <w:fldChar w:fldCharType="separate"/>
            </w:r>
            <w:r>
              <w:rPr>
                <w:noProof/>
                <w:webHidden/>
              </w:rPr>
              <w:t>1</w:t>
            </w:r>
            <w:r>
              <w:rPr>
                <w:noProof/>
                <w:webHidden/>
              </w:rPr>
              <w:fldChar w:fldCharType="end"/>
            </w:r>
          </w:hyperlink>
        </w:p>
        <w:p w14:paraId="1B98F350" w14:textId="50102525" w:rsidR="00323EF8" w:rsidRDefault="00323EF8">
          <w:pPr>
            <w:pStyle w:val="TOC1"/>
            <w:rPr>
              <w:rFonts w:eastAsiaTheme="minorEastAsia"/>
              <w:noProof/>
              <w:lang w:eastAsia="en-AU"/>
            </w:rPr>
          </w:pPr>
          <w:hyperlink w:anchor="_Toc175909172" w:history="1">
            <w:r w:rsidRPr="008A1EC5">
              <w:rPr>
                <w:rStyle w:val="Hyperlink"/>
                <w:noProof/>
              </w:rPr>
              <w:t>Background</w:t>
            </w:r>
            <w:r>
              <w:rPr>
                <w:noProof/>
                <w:webHidden/>
              </w:rPr>
              <w:tab/>
            </w:r>
            <w:r>
              <w:rPr>
                <w:noProof/>
                <w:webHidden/>
              </w:rPr>
              <w:fldChar w:fldCharType="begin"/>
            </w:r>
            <w:r>
              <w:rPr>
                <w:noProof/>
                <w:webHidden/>
              </w:rPr>
              <w:instrText xml:space="preserve"> PAGEREF _Toc175909172 \h </w:instrText>
            </w:r>
            <w:r>
              <w:rPr>
                <w:noProof/>
                <w:webHidden/>
              </w:rPr>
            </w:r>
            <w:r>
              <w:rPr>
                <w:noProof/>
                <w:webHidden/>
              </w:rPr>
              <w:fldChar w:fldCharType="separate"/>
            </w:r>
            <w:r>
              <w:rPr>
                <w:noProof/>
                <w:webHidden/>
              </w:rPr>
              <w:t>1</w:t>
            </w:r>
            <w:r>
              <w:rPr>
                <w:noProof/>
                <w:webHidden/>
              </w:rPr>
              <w:fldChar w:fldCharType="end"/>
            </w:r>
          </w:hyperlink>
        </w:p>
        <w:p w14:paraId="55BAFA03" w14:textId="0A54D52F" w:rsidR="00323EF8" w:rsidRDefault="00323EF8">
          <w:pPr>
            <w:pStyle w:val="TOC2"/>
            <w:rPr>
              <w:rFonts w:eastAsiaTheme="minorEastAsia"/>
              <w:noProof/>
              <w:lang w:eastAsia="en-AU"/>
            </w:rPr>
          </w:pPr>
          <w:hyperlink w:anchor="_Toc175909173" w:history="1">
            <w:r w:rsidRPr="008A1EC5">
              <w:rPr>
                <w:rStyle w:val="Hyperlink"/>
                <w:noProof/>
              </w:rPr>
              <w:t>Stoma Appliance Scheme</w:t>
            </w:r>
            <w:r>
              <w:rPr>
                <w:noProof/>
                <w:webHidden/>
              </w:rPr>
              <w:tab/>
            </w:r>
            <w:r>
              <w:rPr>
                <w:noProof/>
                <w:webHidden/>
              </w:rPr>
              <w:fldChar w:fldCharType="begin"/>
            </w:r>
            <w:r>
              <w:rPr>
                <w:noProof/>
                <w:webHidden/>
              </w:rPr>
              <w:instrText xml:space="preserve"> PAGEREF _Toc175909173 \h </w:instrText>
            </w:r>
            <w:r>
              <w:rPr>
                <w:noProof/>
                <w:webHidden/>
              </w:rPr>
            </w:r>
            <w:r>
              <w:rPr>
                <w:noProof/>
                <w:webHidden/>
              </w:rPr>
              <w:fldChar w:fldCharType="separate"/>
            </w:r>
            <w:r>
              <w:rPr>
                <w:noProof/>
                <w:webHidden/>
              </w:rPr>
              <w:t>1</w:t>
            </w:r>
            <w:r>
              <w:rPr>
                <w:noProof/>
                <w:webHidden/>
              </w:rPr>
              <w:fldChar w:fldCharType="end"/>
            </w:r>
          </w:hyperlink>
        </w:p>
        <w:p w14:paraId="0116168B" w14:textId="15034787" w:rsidR="00323EF8" w:rsidRDefault="00323EF8">
          <w:pPr>
            <w:pStyle w:val="TOC3"/>
            <w:rPr>
              <w:rFonts w:eastAsiaTheme="minorEastAsia"/>
              <w:noProof/>
              <w:lang w:eastAsia="en-AU"/>
            </w:rPr>
          </w:pPr>
          <w:hyperlink w:anchor="_Toc175909174" w:history="1">
            <w:r w:rsidRPr="008A1EC5">
              <w:rPr>
                <w:rStyle w:val="Hyperlink"/>
                <w:noProof/>
              </w:rPr>
              <w:t>Current SAS Schedule Structure</w:t>
            </w:r>
            <w:r>
              <w:rPr>
                <w:noProof/>
                <w:webHidden/>
              </w:rPr>
              <w:tab/>
            </w:r>
            <w:r>
              <w:rPr>
                <w:noProof/>
                <w:webHidden/>
              </w:rPr>
              <w:fldChar w:fldCharType="begin"/>
            </w:r>
            <w:r>
              <w:rPr>
                <w:noProof/>
                <w:webHidden/>
              </w:rPr>
              <w:instrText xml:space="preserve"> PAGEREF _Toc175909174 \h </w:instrText>
            </w:r>
            <w:r>
              <w:rPr>
                <w:noProof/>
                <w:webHidden/>
              </w:rPr>
            </w:r>
            <w:r>
              <w:rPr>
                <w:noProof/>
                <w:webHidden/>
              </w:rPr>
              <w:fldChar w:fldCharType="separate"/>
            </w:r>
            <w:r>
              <w:rPr>
                <w:noProof/>
                <w:webHidden/>
              </w:rPr>
              <w:t>2</w:t>
            </w:r>
            <w:r>
              <w:rPr>
                <w:noProof/>
                <w:webHidden/>
              </w:rPr>
              <w:fldChar w:fldCharType="end"/>
            </w:r>
          </w:hyperlink>
        </w:p>
        <w:p w14:paraId="476B709E" w14:textId="72867D61" w:rsidR="00323EF8" w:rsidRDefault="00323EF8">
          <w:pPr>
            <w:pStyle w:val="TOC3"/>
            <w:rPr>
              <w:rFonts w:eastAsiaTheme="minorEastAsia"/>
              <w:noProof/>
              <w:lang w:eastAsia="en-AU"/>
            </w:rPr>
          </w:pPr>
          <w:hyperlink w:anchor="_Toc175909175" w:history="1">
            <w:r w:rsidRPr="008A1EC5">
              <w:rPr>
                <w:rStyle w:val="Hyperlink"/>
                <w:noProof/>
              </w:rPr>
              <w:t>Product pricing, maximum quantities, and restrictions</w:t>
            </w:r>
            <w:r>
              <w:rPr>
                <w:noProof/>
                <w:webHidden/>
              </w:rPr>
              <w:tab/>
            </w:r>
            <w:r>
              <w:rPr>
                <w:noProof/>
                <w:webHidden/>
              </w:rPr>
              <w:fldChar w:fldCharType="begin"/>
            </w:r>
            <w:r>
              <w:rPr>
                <w:noProof/>
                <w:webHidden/>
              </w:rPr>
              <w:instrText xml:space="preserve"> PAGEREF _Toc175909175 \h </w:instrText>
            </w:r>
            <w:r>
              <w:rPr>
                <w:noProof/>
                <w:webHidden/>
              </w:rPr>
            </w:r>
            <w:r>
              <w:rPr>
                <w:noProof/>
                <w:webHidden/>
              </w:rPr>
              <w:fldChar w:fldCharType="separate"/>
            </w:r>
            <w:r>
              <w:rPr>
                <w:noProof/>
                <w:webHidden/>
              </w:rPr>
              <w:t>3</w:t>
            </w:r>
            <w:r>
              <w:rPr>
                <w:noProof/>
                <w:webHidden/>
              </w:rPr>
              <w:fldChar w:fldCharType="end"/>
            </w:r>
          </w:hyperlink>
        </w:p>
        <w:p w14:paraId="7FCC37FC" w14:textId="7AF7BDCE" w:rsidR="00323EF8" w:rsidRDefault="00323EF8">
          <w:pPr>
            <w:pStyle w:val="TOC1"/>
            <w:rPr>
              <w:rFonts w:eastAsiaTheme="minorEastAsia"/>
              <w:noProof/>
              <w:lang w:eastAsia="en-AU"/>
            </w:rPr>
          </w:pPr>
          <w:hyperlink w:anchor="_Toc175909176" w:history="1">
            <w:r w:rsidRPr="008A1EC5">
              <w:rPr>
                <w:rStyle w:val="Hyperlink"/>
                <w:noProof/>
              </w:rPr>
              <w:t>The Review</w:t>
            </w:r>
            <w:r>
              <w:rPr>
                <w:noProof/>
                <w:webHidden/>
              </w:rPr>
              <w:tab/>
            </w:r>
            <w:r>
              <w:rPr>
                <w:noProof/>
                <w:webHidden/>
              </w:rPr>
              <w:fldChar w:fldCharType="begin"/>
            </w:r>
            <w:r>
              <w:rPr>
                <w:noProof/>
                <w:webHidden/>
              </w:rPr>
              <w:instrText xml:space="preserve"> PAGEREF _Toc175909176 \h </w:instrText>
            </w:r>
            <w:r>
              <w:rPr>
                <w:noProof/>
                <w:webHidden/>
              </w:rPr>
            </w:r>
            <w:r>
              <w:rPr>
                <w:noProof/>
                <w:webHidden/>
              </w:rPr>
              <w:fldChar w:fldCharType="separate"/>
            </w:r>
            <w:r>
              <w:rPr>
                <w:noProof/>
                <w:webHidden/>
              </w:rPr>
              <w:t>4</w:t>
            </w:r>
            <w:r>
              <w:rPr>
                <w:noProof/>
                <w:webHidden/>
              </w:rPr>
              <w:fldChar w:fldCharType="end"/>
            </w:r>
          </w:hyperlink>
        </w:p>
        <w:p w14:paraId="588CBB00" w14:textId="39A0D0B3" w:rsidR="00323EF8" w:rsidRDefault="00323EF8">
          <w:pPr>
            <w:pStyle w:val="TOC2"/>
            <w:rPr>
              <w:rFonts w:eastAsiaTheme="minorEastAsia"/>
              <w:noProof/>
              <w:lang w:eastAsia="en-AU"/>
            </w:rPr>
          </w:pPr>
          <w:hyperlink w:anchor="_Toc175909177" w:history="1">
            <w:r w:rsidRPr="008A1EC5">
              <w:rPr>
                <w:rStyle w:val="Hyperlink"/>
                <w:noProof/>
              </w:rPr>
              <w:t>Recommendations for reform</w:t>
            </w:r>
            <w:r>
              <w:rPr>
                <w:noProof/>
                <w:webHidden/>
              </w:rPr>
              <w:tab/>
            </w:r>
            <w:r>
              <w:rPr>
                <w:noProof/>
                <w:webHidden/>
              </w:rPr>
              <w:fldChar w:fldCharType="begin"/>
            </w:r>
            <w:r>
              <w:rPr>
                <w:noProof/>
                <w:webHidden/>
              </w:rPr>
              <w:instrText xml:space="preserve"> PAGEREF _Toc175909177 \h </w:instrText>
            </w:r>
            <w:r>
              <w:rPr>
                <w:noProof/>
                <w:webHidden/>
              </w:rPr>
            </w:r>
            <w:r>
              <w:rPr>
                <w:noProof/>
                <w:webHidden/>
              </w:rPr>
              <w:fldChar w:fldCharType="separate"/>
            </w:r>
            <w:r>
              <w:rPr>
                <w:noProof/>
                <w:webHidden/>
              </w:rPr>
              <w:t>4</w:t>
            </w:r>
            <w:r>
              <w:rPr>
                <w:noProof/>
                <w:webHidden/>
              </w:rPr>
              <w:fldChar w:fldCharType="end"/>
            </w:r>
          </w:hyperlink>
        </w:p>
        <w:p w14:paraId="29EEE3F7" w14:textId="342C055D" w:rsidR="00323EF8" w:rsidRDefault="00323EF8">
          <w:pPr>
            <w:pStyle w:val="TOC3"/>
            <w:rPr>
              <w:rFonts w:eastAsiaTheme="minorEastAsia"/>
              <w:noProof/>
              <w:lang w:eastAsia="en-AU"/>
            </w:rPr>
          </w:pPr>
          <w:hyperlink w:anchor="_Toc175909178" w:history="1">
            <w:r w:rsidRPr="008A1EC5">
              <w:rPr>
                <w:rStyle w:val="Hyperlink"/>
                <w:noProof/>
              </w:rPr>
              <w:t>Recommendation 1: Eligibility</w:t>
            </w:r>
            <w:r>
              <w:rPr>
                <w:noProof/>
                <w:webHidden/>
              </w:rPr>
              <w:tab/>
            </w:r>
            <w:r>
              <w:rPr>
                <w:noProof/>
                <w:webHidden/>
              </w:rPr>
              <w:fldChar w:fldCharType="begin"/>
            </w:r>
            <w:r>
              <w:rPr>
                <w:noProof/>
                <w:webHidden/>
              </w:rPr>
              <w:instrText xml:space="preserve"> PAGEREF _Toc175909178 \h </w:instrText>
            </w:r>
            <w:r>
              <w:rPr>
                <w:noProof/>
                <w:webHidden/>
              </w:rPr>
            </w:r>
            <w:r>
              <w:rPr>
                <w:noProof/>
                <w:webHidden/>
              </w:rPr>
              <w:fldChar w:fldCharType="separate"/>
            </w:r>
            <w:r>
              <w:rPr>
                <w:noProof/>
                <w:webHidden/>
              </w:rPr>
              <w:t>5</w:t>
            </w:r>
            <w:r>
              <w:rPr>
                <w:noProof/>
                <w:webHidden/>
              </w:rPr>
              <w:fldChar w:fldCharType="end"/>
            </w:r>
          </w:hyperlink>
        </w:p>
        <w:p w14:paraId="4CAC42F6" w14:textId="02F620AD" w:rsidR="00323EF8" w:rsidRDefault="00323EF8">
          <w:pPr>
            <w:pStyle w:val="TOC3"/>
            <w:rPr>
              <w:rFonts w:eastAsiaTheme="minorEastAsia"/>
              <w:noProof/>
              <w:lang w:eastAsia="en-AU"/>
            </w:rPr>
          </w:pPr>
          <w:hyperlink w:anchor="_Toc175909179" w:history="1">
            <w:r w:rsidRPr="008A1EC5">
              <w:rPr>
                <w:rStyle w:val="Hyperlink"/>
                <w:noProof/>
              </w:rPr>
              <w:t>Recommendation 2: Maximum quantities</w:t>
            </w:r>
            <w:r>
              <w:rPr>
                <w:noProof/>
                <w:webHidden/>
              </w:rPr>
              <w:tab/>
            </w:r>
            <w:r>
              <w:rPr>
                <w:noProof/>
                <w:webHidden/>
              </w:rPr>
              <w:fldChar w:fldCharType="begin"/>
            </w:r>
            <w:r>
              <w:rPr>
                <w:noProof/>
                <w:webHidden/>
              </w:rPr>
              <w:instrText xml:space="preserve"> PAGEREF _Toc175909179 \h </w:instrText>
            </w:r>
            <w:r>
              <w:rPr>
                <w:noProof/>
                <w:webHidden/>
              </w:rPr>
            </w:r>
            <w:r>
              <w:rPr>
                <w:noProof/>
                <w:webHidden/>
              </w:rPr>
              <w:fldChar w:fldCharType="separate"/>
            </w:r>
            <w:r>
              <w:rPr>
                <w:noProof/>
                <w:webHidden/>
              </w:rPr>
              <w:t>7</w:t>
            </w:r>
            <w:r>
              <w:rPr>
                <w:noProof/>
                <w:webHidden/>
              </w:rPr>
              <w:fldChar w:fldCharType="end"/>
            </w:r>
          </w:hyperlink>
        </w:p>
        <w:p w14:paraId="0791B51B" w14:textId="633ADF3F" w:rsidR="00323EF8" w:rsidRDefault="00323EF8">
          <w:pPr>
            <w:pStyle w:val="TOC3"/>
            <w:rPr>
              <w:rFonts w:eastAsiaTheme="minorEastAsia"/>
              <w:noProof/>
              <w:lang w:eastAsia="en-AU"/>
            </w:rPr>
          </w:pPr>
          <w:hyperlink w:anchor="_Toc175909180" w:history="1">
            <w:r w:rsidRPr="008A1EC5">
              <w:rPr>
                <w:rStyle w:val="Hyperlink"/>
                <w:noProof/>
              </w:rPr>
              <w:t>Recommendation 3: Group 9 products</w:t>
            </w:r>
            <w:r>
              <w:rPr>
                <w:noProof/>
                <w:webHidden/>
              </w:rPr>
              <w:tab/>
            </w:r>
            <w:r>
              <w:rPr>
                <w:noProof/>
                <w:webHidden/>
              </w:rPr>
              <w:fldChar w:fldCharType="begin"/>
            </w:r>
            <w:r>
              <w:rPr>
                <w:noProof/>
                <w:webHidden/>
              </w:rPr>
              <w:instrText xml:space="preserve"> PAGEREF _Toc175909180 \h </w:instrText>
            </w:r>
            <w:r>
              <w:rPr>
                <w:noProof/>
                <w:webHidden/>
              </w:rPr>
            </w:r>
            <w:r>
              <w:rPr>
                <w:noProof/>
                <w:webHidden/>
              </w:rPr>
              <w:fldChar w:fldCharType="separate"/>
            </w:r>
            <w:r>
              <w:rPr>
                <w:noProof/>
                <w:webHidden/>
              </w:rPr>
              <w:t>8</w:t>
            </w:r>
            <w:r>
              <w:rPr>
                <w:noProof/>
                <w:webHidden/>
              </w:rPr>
              <w:fldChar w:fldCharType="end"/>
            </w:r>
          </w:hyperlink>
        </w:p>
        <w:p w14:paraId="7BDD8933" w14:textId="256DC420" w:rsidR="00323EF8" w:rsidRDefault="00323EF8">
          <w:pPr>
            <w:pStyle w:val="TOC3"/>
            <w:rPr>
              <w:rFonts w:eastAsiaTheme="minorEastAsia"/>
              <w:noProof/>
              <w:lang w:eastAsia="en-AU"/>
            </w:rPr>
          </w:pPr>
          <w:hyperlink w:anchor="_Toc175909181" w:history="1">
            <w:r w:rsidRPr="008A1EC5">
              <w:rPr>
                <w:rStyle w:val="Hyperlink"/>
                <w:noProof/>
              </w:rPr>
              <w:t>Recommendation 4: Product pricing</w:t>
            </w:r>
            <w:r>
              <w:rPr>
                <w:noProof/>
                <w:webHidden/>
              </w:rPr>
              <w:tab/>
            </w:r>
            <w:r>
              <w:rPr>
                <w:noProof/>
                <w:webHidden/>
              </w:rPr>
              <w:fldChar w:fldCharType="begin"/>
            </w:r>
            <w:r>
              <w:rPr>
                <w:noProof/>
                <w:webHidden/>
              </w:rPr>
              <w:instrText xml:space="preserve"> PAGEREF _Toc175909181 \h </w:instrText>
            </w:r>
            <w:r>
              <w:rPr>
                <w:noProof/>
                <w:webHidden/>
              </w:rPr>
            </w:r>
            <w:r>
              <w:rPr>
                <w:noProof/>
                <w:webHidden/>
              </w:rPr>
              <w:fldChar w:fldCharType="separate"/>
            </w:r>
            <w:r>
              <w:rPr>
                <w:noProof/>
                <w:webHidden/>
              </w:rPr>
              <w:t>10</w:t>
            </w:r>
            <w:r>
              <w:rPr>
                <w:noProof/>
                <w:webHidden/>
              </w:rPr>
              <w:fldChar w:fldCharType="end"/>
            </w:r>
          </w:hyperlink>
        </w:p>
        <w:p w14:paraId="7CE552CC" w14:textId="6588D044" w:rsidR="00323EF8" w:rsidRDefault="00323EF8">
          <w:pPr>
            <w:pStyle w:val="TOC3"/>
            <w:rPr>
              <w:rFonts w:eastAsiaTheme="minorEastAsia"/>
              <w:noProof/>
              <w:lang w:eastAsia="en-AU"/>
            </w:rPr>
          </w:pPr>
          <w:hyperlink w:anchor="_Toc175909182" w:history="1">
            <w:r w:rsidRPr="008A1EC5">
              <w:rPr>
                <w:rStyle w:val="Hyperlink"/>
                <w:noProof/>
              </w:rPr>
              <w:t>Other comments</w:t>
            </w:r>
            <w:r>
              <w:rPr>
                <w:noProof/>
                <w:webHidden/>
              </w:rPr>
              <w:tab/>
            </w:r>
            <w:r>
              <w:rPr>
                <w:noProof/>
                <w:webHidden/>
              </w:rPr>
              <w:fldChar w:fldCharType="begin"/>
            </w:r>
            <w:r>
              <w:rPr>
                <w:noProof/>
                <w:webHidden/>
              </w:rPr>
              <w:instrText xml:space="preserve"> PAGEREF _Toc175909182 \h </w:instrText>
            </w:r>
            <w:r>
              <w:rPr>
                <w:noProof/>
                <w:webHidden/>
              </w:rPr>
            </w:r>
            <w:r>
              <w:rPr>
                <w:noProof/>
                <w:webHidden/>
              </w:rPr>
              <w:fldChar w:fldCharType="separate"/>
            </w:r>
            <w:r>
              <w:rPr>
                <w:noProof/>
                <w:webHidden/>
              </w:rPr>
              <w:t>12</w:t>
            </w:r>
            <w:r>
              <w:rPr>
                <w:noProof/>
                <w:webHidden/>
              </w:rPr>
              <w:fldChar w:fldCharType="end"/>
            </w:r>
          </w:hyperlink>
        </w:p>
        <w:p w14:paraId="04A66442" w14:textId="3D9C0FCF" w:rsidR="00323EF8" w:rsidRDefault="00323EF8">
          <w:pPr>
            <w:pStyle w:val="TOC1"/>
            <w:rPr>
              <w:rFonts w:eastAsiaTheme="minorEastAsia"/>
              <w:noProof/>
              <w:lang w:eastAsia="en-AU"/>
            </w:rPr>
          </w:pPr>
          <w:hyperlink w:anchor="_Toc175909183" w:history="1">
            <w:r w:rsidRPr="008A1EC5">
              <w:rPr>
                <w:rStyle w:val="Hyperlink"/>
                <w:noProof/>
              </w:rPr>
              <w:t>Next steps</w:t>
            </w:r>
            <w:r>
              <w:rPr>
                <w:noProof/>
                <w:webHidden/>
              </w:rPr>
              <w:tab/>
            </w:r>
            <w:r>
              <w:rPr>
                <w:noProof/>
                <w:webHidden/>
              </w:rPr>
              <w:fldChar w:fldCharType="begin"/>
            </w:r>
            <w:r>
              <w:rPr>
                <w:noProof/>
                <w:webHidden/>
              </w:rPr>
              <w:instrText xml:space="preserve"> PAGEREF _Toc175909183 \h </w:instrText>
            </w:r>
            <w:r>
              <w:rPr>
                <w:noProof/>
                <w:webHidden/>
              </w:rPr>
            </w:r>
            <w:r>
              <w:rPr>
                <w:noProof/>
                <w:webHidden/>
              </w:rPr>
              <w:fldChar w:fldCharType="separate"/>
            </w:r>
            <w:r>
              <w:rPr>
                <w:noProof/>
                <w:webHidden/>
              </w:rPr>
              <w:t>12</w:t>
            </w:r>
            <w:r>
              <w:rPr>
                <w:noProof/>
                <w:webHidden/>
              </w:rPr>
              <w:fldChar w:fldCharType="end"/>
            </w:r>
          </w:hyperlink>
        </w:p>
        <w:p w14:paraId="1D1DC004" w14:textId="7E60ED19" w:rsidR="00E7013B" w:rsidRDefault="00E7013B" w:rsidP="00E7013B">
          <w:r>
            <w:rPr>
              <w:b/>
              <w:bCs/>
              <w:noProof/>
            </w:rPr>
            <w:fldChar w:fldCharType="end"/>
          </w:r>
        </w:p>
      </w:sdtContent>
    </w:sdt>
    <w:p w14:paraId="195C28E1" w14:textId="77777777" w:rsidR="00E7013B" w:rsidRDefault="00E7013B" w:rsidP="00E7013B">
      <w:pPr>
        <w:rPr>
          <w:b/>
          <w:bCs/>
        </w:rPr>
        <w:sectPr w:rsidR="00E7013B" w:rsidSect="00E7013B">
          <w:footerReference w:type="default" r:id="rId10"/>
          <w:pgSz w:w="11906" w:h="16838"/>
          <w:pgMar w:top="1440" w:right="1440" w:bottom="1440" w:left="1440" w:header="708" w:footer="708" w:gutter="0"/>
          <w:cols w:space="708"/>
          <w:docGrid w:linePitch="360"/>
        </w:sectPr>
      </w:pPr>
      <w:r>
        <w:rPr>
          <w:b/>
          <w:bCs/>
        </w:rPr>
        <w:br w:type="page"/>
      </w:r>
    </w:p>
    <w:p w14:paraId="7F9907E4" w14:textId="77777777" w:rsidR="00E7013B" w:rsidRPr="00702D99" w:rsidRDefault="00E7013B" w:rsidP="00702D99">
      <w:pPr>
        <w:pStyle w:val="Heading1"/>
      </w:pPr>
      <w:bookmarkStart w:id="0" w:name="_Toc175909170"/>
      <w:r w:rsidRPr="00447B42">
        <w:lastRenderedPageBreak/>
        <w:t>Introduction</w:t>
      </w:r>
      <w:bookmarkEnd w:id="0"/>
    </w:p>
    <w:p w14:paraId="2CD0B2F6" w14:textId="77777777" w:rsidR="00E7013B" w:rsidRDefault="00E7013B" w:rsidP="00E7013B">
      <w:r w:rsidRPr="00447B42">
        <w:t xml:space="preserve">The 2023-24 Budget included agreement to a comprehensive review of the </w:t>
      </w:r>
      <w:r>
        <w:t>Stoma Appliance Scheme (</w:t>
      </w:r>
      <w:r w:rsidRPr="00447B42">
        <w:t>SAS</w:t>
      </w:r>
      <w:r>
        <w:t>)</w:t>
      </w:r>
      <w:r w:rsidRPr="00447B42">
        <w:t xml:space="preserve"> Schedule. The aim of the SAS Schedule Review </w:t>
      </w:r>
      <w:r>
        <w:t xml:space="preserve">(the Review) </w:t>
      </w:r>
      <w:r w:rsidRPr="00447B42">
        <w:t xml:space="preserve">is to </w:t>
      </w:r>
      <w:r w:rsidRPr="003B0810">
        <w:t xml:space="preserve">make sure all the products listed are </w:t>
      </w:r>
      <w:r>
        <w:t>clinically effective</w:t>
      </w:r>
      <w:r w:rsidRPr="003B0810">
        <w:t>, correctly priced, and cost-effective</w:t>
      </w:r>
      <w:r w:rsidRPr="00447B42">
        <w:t xml:space="preserve">. </w:t>
      </w:r>
      <w:r w:rsidRPr="003B0810">
        <w:t xml:space="preserve">While there have been reviews of specific sub-groups or products on the </w:t>
      </w:r>
      <w:r>
        <w:t>SAS</w:t>
      </w:r>
      <w:r w:rsidRPr="003B0810">
        <w:t xml:space="preserve"> Schedule, there has been no comprehensive review of all products, pricing and groups since 2010. </w:t>
      </w:r>
    </w:p>
    <w:p w14:paraId="5D6E4807" w14:textId="77777777" w:rsidR="00E7013B" w:rsidRDefault="00E7013B" w:rsidP="00E7013B">
      <w:r>
        <w:t>The Review is focusing on:</w:t>
      </w:r>
    </w:p>
    <w:p w14:paraId="6ACE2B60" w14:textId="77777777" w:rsidR="00E7013B" w:rsidRPr="00E71BF6" w:rsidRDefault="00E7013B" w:rsidP="00E7013B">
      <w:pPr>
        <w:pStyle w:val="ListParagraph"/>
        <w:numPr>
          <w:ilvl w:val="0"/>
          <w:numId w:val="35"/>
        </w:numPr>
        <w:rPr>
          <w:rFonts w:cstheme="minorHAnsi"/>
        </w:rPr>
      </w:pPr>
      <w:r w:rsidRPr="00E71BF6">
        <w:rPr>
          <w:rFonts w:asciiTheme="minorHAnsi" w:hAnsiTheme="minorHAnsi" w:cstheme="minorHAnsi"/>
          <w:sz w:val="22"/>
          <w:szCs w:val="22"/>
        </w:rPr>
        <w:t>the intent of the SAS</w:t>
      </w:r>
    </w:p>
    <w:p w14:paraId="0263053A" w14:textId="77777777" w:rsidR="00E7013B" w:rsidRPr="00E71BF6" w:rsidRDefault="00E7013B" w:rsidP="00E7013B">
      <w:pPr>
        <w:pStyle w:val="ListParagraph"/>
        <w:numPr>
          <w:ilvl w:val="0"/>
          <w:numId w:val="35"/>
        </w:numPr>
        <w:rPr>
          <w:rFonts w:cstheme="minorHAnsi"/>
        </w:rPr>
      </w:pPr>
      <w:r w:rsidRPr="00E71BF6">
        <w:rPr>
          <w:rFonts w:asciiTheme="minorHAnsi" w:hAnsiTheme="minorHAnsi" w:cstheme="minorHAnsi"/>
          <w:sz w:val="22"/>
          <w:szCs w:val="22"/>
        </w:rPr>
        <w:t>SAS Schedule structure</w:t>
      </w:r>
    </w:p>
    <w:p w14:paraId="2BCC4595" w14:textId="77777777" w:rsidR="00E7013B" w:rsidRPr="00E71BF6" w:rsidRDefault="00E7013B" w:rsidP="00E7013B">
      <w:pPr>
        <w:pStyle w:val="ListParagraph"/>
        <w:numPr>
          <w:ilvl w:val="0"/>
          <w:numId w:val="35"/>
        </w:numPr>
        <w:rPr>
          <w:rFonts w:cstheme="minorHAnsi"/>
        </w:rPr>
      </w:pPr>
      <w:r w:rsidRPr="00E71BF6">
        <w:rPr>
          <w:rFonts w:asciiTheme="minorHAnsi" w:hAnsiTheme="minorHAnsi" w:cstheme="minorHAnsi"/>
          <w:sz w:val="22"/>
          <w:szCs w:val="22"/>
        </w:rPr>
        <w:t xml:space="preserve">clinical eligibility for the SAS, and </w:t>
      </w:r>
    </w:p>
    <w:p w14:paraId="569631DB" w14:textId="77777777" w:rsidR="00E7013B" w:rsidRPr="00E71BF6" w:rsidRDefault="00E7013B" w:rsidP="00E7013B">
      <w:pPr>
        <w:pStyle w:val="ListParagraph"/>
        <w:numPr>
          <w:ilvl w:val="0"/>
          <w:numId w:val="35"/>
        </w:numPr>
        <w:spacing w:after="120"/>
        <w:ind w:left="714" w:hanging="357"/>
        <w:rPr>
          <w:rFonts w:cstheme="minorHAnsi"/>
        </w:rPr>
      </w:pPr>
      <w:r w:rsidRPr="00E71BF6">
        <w:rPr>
          <w:rFonts w:asciiTheme="minorHAnsi" w:hAnsiTheme="minorHAnsi" w:cstheme="minorHAnsi"/>
          <w:sz w:val="22"/>
          <w:szCs w:val="22"/>
        </w:rPr>
        <w:t xml:space="preserve">product pricing. </w:t>
      </w:r>
    </w:p>
    <w:p w14:paraId="5B038F66" w14:textId="77777777" w:rsidR="00E7013B" w:rsidRPr="00447B42" w:rsidRDefault="00E7013B" w:rsidP="00E7013B">
      <w:r>
        <w:t xml:space="preserve">The Review aims to result in an updated </w:t>
      </w:r>
      <w:r w:rsidRPr="00447B42">
        <w:t xml:space="preserve">SAS Schedule </w:t>
      </w:r>
      <w:r w:rsidRPr="003B0810">
        <w:t>that prioriti</w:t>
      </w:r>
      <w:r>
        <w:t>s</w:t>
      </w:r>
      <w:r w:rsidRPr="003B0810">
        <w:t>es improving health outcomes for people with stomas</w:t>
      </w:r>
      <w:r>
        <w:t xml:space="preserve"> (ostomates)</w:t>
      </w:r>
      <w:r w:rsidRPr="003B0810">
        <w:t xml:space="preserve"> while also ensuring the SAS remains sustainable</w:t>
      </w:r>
      <w:r>
        <w:t xml:space="preserve"> into the future</w:t>
      </w:r>
      <w:r w:rsidRPr="00447B42">
        <w:t xml:space="preserve">. </w:t>
      </w:r>
    </w:p>
    <w:p w14:paraId="32A12B06" w14:textId="77777777" w:rsidR="00E7013B" w:rsidRPr="00702D99" w:rsidRDefault="00E7013B" w:rsidP="00702D99">
      <w:pPr>
        <w:pStyle w:val="Heading2"/>
      </w:pPr>
      <w:bookmarkStart w:id="1" w:name="_Toc175909171"/>
      <w:r w:rsidRPr="006119A3">
        <w:t>Purpose</w:t>
      </w:r>
      <w:r>
        <w:t xml:space="preserve"> of this paper</w:t>
      </w:r>
      <w:bookmarkEnd w:id="1"/>
    </w:p>
    <w:p w14:paraId="6BFC5F64" w14:textId="77777777" w:rsidR="00E7013B" w:rsidRPr="00C80221" w:rsidRDefault="00E7013B" w:rsidP="00E7013B">
      <w:pPr>
        <w:rPr>
          <w:rFonts w:cstheme="minorHAnsi"/>
        </w:rPr>
      </w:pPr>
      <w:r w:rsidRPr="00C80221">
        <w:rPr>
          <w:rFonts w:cstheme="minorHAnsi"/>
        </w:rPr>
        <w:t>The purpose of this paper is to inform stakeholders and seek their views regarding the proposed changes to the SAS and SAS Schedule. This paper provides the:</w:t>
      </w:r>
    </w:p>
    <w:p w14:paraId="4BE473D7" w14:textId="77777777" w:rsidR="00E7013B" w:rsidRPr="00C80221" w:rsidRDefault="00E7013B" w:rsidP="00E7013B">
      <w:pPr>
        <w:pStyle w:val="ListParagraph"/>
        <w:numPr>
          <w:ilvl w:val="0"/>
          <w:numId w:val="6"/>
        </w:numPr>
        <w:rPr>
          <w:rFonts w:asciiTheme="minorHAnsi" w:hAnsiTheme="minorHAnsi" w:cstheme="minorHAnsi"/>
          <w:sz w:val="22"/>
          <w:szCs w:val="22"/>
        </w:rPr>
      </w:pPr>
      <w:r w:rsidRPr="00C80221">
        <w:rPr>
          <w:rFonts w:asciiTheme="minorHAnsi" w:hAnsiTheme="minorHAnsi" w:cstheme="minorHAnsi"/>
          <w:sz w:val="22"/>
          <w:szCs w:val="22"/>
        </w:rPr>
        <w:t>background to the SAS and the Review</w:t>
      </w:r>
    </w:p>
    <w:p w14:paraId="163CEA55" w14:textId="77777777" w:rsidR="00E7013B" w:rsidRPr="00C80221" w:rsidRDefault="00E7013B" w:rsidP="00E7013B">
      <w:pPr>
        <w:pStyle w:val="ListParagraph"/>
        <w:numPr>
          <w:ilvl w:val="0"/>
          <w:numId w:val="6"/>
        </w:numPr>
        <w:rPr>
          <w:rFonts w:asciiTheme="minorHAnsi" w:hAnsiTheme="minorHAnsi" w:cstheme="minorHAnsi"/>
          <w:sz w:val="22"/>
          <w:szCs w:val="22"/>
        </w:rPr>
      </w:pPr>
      <w:r w:rsidRPr="00C80221">
        <w:rPr>
          <w:rFonts w:asciiTheme="minorHAnsi" w:hAnsiTheme="minorHAnsi" w:cstheme="minorHAnsi"/>
          <w:sz w:val="22"/>
          <w:szCs w:val="22"/>
        </w:rPr>
        <w:t>proposed changes to the SAS and SAS Schedule, and</w:t>
      </w:r>
    </w:p>
    <w:p w14:paraId="39F66F95" w14:textId="77777777" w:rsidR="00E7013B" w:rsidRPr="00C80221" w:rsidRDefault="00E7013B" w:rsidP="00E7013B">
      <w:pPr>
        <w:pStyle w:val="ListParagraph"/>
        <w:numPr>
          <w:ilvl w:val="0"/>
          <w:numId w:val="6"/>
        </w:numPr>
        <w:spacing w:after="120"/>
        <w:ind w:left="714" w:hanging="357"/>
        <w:rPr>
          <w:rFonts w:asciiTheme="minorHAnsi" w:hAnsiTheme="minorHAnsi" w:cstheme="minorHAnsi"/>
          <w:sz w:val="22"/>
          <w:szCs w:val="22"/>
        </w:rPr>
      </w:pPr>
      <w:r w:rsidRPr="00C80221">
        <w:rPr>
          <w:rFonts w:asciiTheme="minorHAnsi" w:hAnsiTheme="minorHAnsi" w:cstheme="minorHAnsi"/>
          <w:sz w:val="22"/>
          <w:szCs w:val="22"/>
        </w:rPr>
        <w:t>rationale for the proposed changes to the SAS and SAS Schedule.</w:t>
      </w:r>
    </w:p>
    <w:p w14:paraId="3E238384" w14:textId="77777777" w:rsidR="00E7013B" w:rsidRPr="00C80221" w:rsidRDefault="00E7013B" w:rsidP="00E7013B">
      <w:r w:rsidRPr="00C80221">
        <w:t xml:space="preserve">The Department </w:t>
      </w:r>
      <w:r w:rsidRPr="00C80221">
        <w:rPr>
          <w:rFonts w:cs="Arial"/>
        </w:rPr>
        <w:t xml:space="preserve">of Health and Aged Care (Department) </w:t>
      </w:r>
      <w:r w:rsidRPr="00C80221">
        <w:t>wants to work with all stakeholders to ensure the SAS is fit for purpose, serves the needs of all ostomates, and protects the future sustainability of the SAS.</w:t>
      </w:r>
    </w:p>
    <w:p w14:paraId="7379375E" w14:textId="77777777" w:rsidR="00E7013B" w:rsidRPr="00702D99" w:rsidRDefault="00E7013B" w:rsidP="00702D99">
      <w:pPr>
        <w:pStyle w:val="Heading1"/>
      </w:pPr>
      <w:bookmarkStart w:id="2" w:name="_Toc175909172"/>
      <w:r w:rsidRPr="001769D3">
        <w:t>Background</w:t>
      </w:r>
      <w:bookmarkEnd w:id="2"/>
    </w:p>
    <w:p w14:paraId="0C4DF7E1" w14:textId="77777777" w:rsidR="00E7013B" w:rsidRPr="001D6A71" w:rsidRDefault="00E7013B" w:rsidP="00702D99">
      <w:pPr>
        <w:pStyle w:val="Heading2"/>
      </w:pPr>
      <w:bookmarkStart w:id="3" w:name="_Toc175909173"/>
      <w:r w:rsidRPr="001D6A71">
        <w:t>Stoma Appliance Scheme</w:t>
      </w:r>
      <w:bookmarkEnd w:id="3"/>
    </w:p>
    <w:p w14:paraId="262B276A" w14:textId="77777777" w:rsidR="00E7013B" w:rsidRDefault="00E7013B" w:rsidP="00E7013B">
      <w:pPr>
        <w:spacing w:line="240" w:lineRule="auto"/>
        <w:rPr>
          <w:rFonts w:cs="Arial"/>
        </w:rPr>
      </w:pPr>
      <w:r w:rsidRPr="00E33665">
        <w:rPr>
          <w:rFonts w:cs="Arial"/>
        </w:rPr>
        <w:t xml:space="preserve">The </w:t>
      </w:r>
      <w:r>
        <w:rPr>
          <w:rFonts w:cs="Arial"/>
        </w:rPr>
        <w:t>SAS</w:t>
      </w:r>
      <w:r w:rsidRPr="00E33665">
        <w:rPr>
          <w:rFonts w:cs="Arial"/>
        </w:rPr>
        <w:t xml:space="preserve"> was established in 1975 to support ostomates</w:t>
      </w:r>
      <w:r>
        <w:rPr>
          <w:rFonts w:cs="Arial"/>
        </w:rPr>
        <w:t>.</w:t>
      </w:r>
      <w:r w:rsidRPr="00E33665">
        <w:rPr>
          <w:rFonts w:cs="Arial"/>
        </w:rPr>
        <w:t xml:space="preserve"> </w:t>
      </w:r>
      <w:r>
        <w:rPr>
          <w:rFonts w:cs="Arial"/>
        </w:rPr>
        <w:t>It</w:t>
      </w:r>
      <w:r w:rsidRPr="00E33665">
        <w:rPr>
          <w:rFonts w:cs="Arial"/>
        </w:rPr>
        <w:t xml:space="preserve"> provides fully subsided access to stoma appliances and products to help </w:t>
      </w:r>
      <w:r>
        <w:rPr>
          <w:rFonts w:cs="Arial"/>
        </w:rPr>
        <w:t>ostomates</w:t>
      </w:r>
      <w:r w:rsidRPr="00E33665">
        <w:rPr>
          <w:rFonts w:cs="Arial"/>
        </w:rPr>
        <w:t xml:space="preserve"> live normal lives. In 20</w:t>
      </w:r>
      <w:r>
        <w:rPr>
          <w:rFonts w:cs="Arial"/>
        </w:rPr>
        <w:t>23</w:t>
      </w:r>
      <w:r w:rsidRPr="00E33665">
        <w:rPr>
          <w:rFonts w:cs="Arial"/>
        </w:rPr>
        <w:t>-202</w:t>
      </w:r>
      <w:r>
        <w:rPr>
          <w:rFonts w:cs="Arial"/>
        </w:rPr>
        <w:t>4</w:t>
      </w:r>
      <w:r w:rsidRPr="00E33665">
        <w:rPr>
          <w:rFonts w:cs="Arial"/>
        </w:rPr>
        <w:t xml:space="preserve">, the </w:t>
      </w:r>
      <w:r>
        <w:rPr>
          <w:rFonts w:cs="Arial"/>
        </w:rPr>
        <w:t>SAS</w:t>
      </w:r>
      <w:r w:rsidRPr="00E33665">
        <w:rPr>
          <w:rFonts w:cs="Arial"/>
        </w:rPr>
        <w:t xml:space="preserve"> supported around </w:t>
      </w:r>
      <w:r>
        <w:rPr>
          <w:rFonts w:cs="Arial"/>
        </w:rPr>
        <w:t>50</w:t>
      </w:r>
      <w:r w:rsidRPr="00E33665">
        <w:rPr>
          <w:rFonts w:cs="Arial"/>
        </w:rPr>
        <w:t>,000 ostomates</w:t>
      </w:r>
      <w:r>
        <w:rPr>
          <w:rFonts w:cs="Arial"/>
        </w:rPr>
        <w:t xml:space="preserve">, with an </w:t>
      </w:r>
      <w:r w:rsidRPr="00E33665">
        <w:rPr>
          <w:rFonts w:cs="Arial"/>
        </w:rPr>
        <w:t xml:space="preserve">average cost </w:t>
      </w:r>
      <w:r>
        <w:rPr>
          <w:rFonts w:cs="Arial"/>
        </w:rPr>
        <w:t>of</w:t>
      </w:r>
      <w:r w:rsidRPr="00E33665">
        <w:rPr>
          <w:rFonts w:cs="Arial"/>
        </w:rPr>
        <w:t xml:space="preserve"> subsidised products </w:t>
      </w:r>
      <w:r>
        <w:rPr>
          <w:rFonts w:cs="Arial"/>
        </w:rPr>
        <w:t>of</w:t>
      </w:r>
      <w:r w:rsidRPr="00E33665">
        <w:rPr>
          <w:rFonts w:cs="Arial"/>
        </w:rPr>
        <w:t xml:space="preserve"> over $2,</w:t>
      </w:r>
      <w:r>
        <w:rPr>
          <w:rFonts w:cs="Arial"/>
        </w:rPr>
        <w:t>3</w:t>
      </w:r>
      <w:r w:rsidRPr="00E33665">
        <w:rPr>
          <w:rFonts w:cs="Arial"/>
        </w:rPr>
        <w:t>00</w:t>
      </w:r>
      <w:r w:rsidRPr="007832DE">
        <w:rPr>
          <w:rFonts w:cs="Arial"/>
        </w:rPr>
        <w:t xml:space="preserve"> </w:t>
      </w:r>
      <w:r w:rsidRPr="00E33665">
        <w:rPr>
          <w:rFonts w:cs="Arial"/>
        </w:rPr>
        <w:t>per ostomate</w:t>
      </w:r>
      <w:r>
        <w:rPr>
          <w:rFonts w:cs="Arial"/>
        </w:rPr>
        <w:t>.</w:t>
      </w:r>
    </w:p>
    <w:p w14:paraId="6093DB95" w14:textId="77777777" w:rsidR="00E7013B" w:rsidRPr="00E33665" w:rsidRDefault="00E7013B" w:rsidP="00E7013B">
      <w:pPr>
        <w:rPr>
          <w:rFonts w:cs="Arial"/>
        </w:rPr>
      </w:pPr>
      <w:r>
        <w:rPr>
          <w:rFonts w:cs="Arial"/>
        </w:rPr>
        <w:t>Product s</w:t>
      </w:r>
      <w:r w:rsidRPr="00E33665">
        <w:rPr>
          <w:rFonts w:cs="Arial"/>
        </w:rPr>
        <w:t xml:space="preserve">ponsors apply to have their products listed on the </w:t>
      </w:r>
      <w:r>
        <w:rPr>
          <w:rFonts w:cs="Arial"/>
        </w:rPr>
        <w:t>SAS</w:t>
      </w:r>
      <w:r w:rsidRPr="00E33665">
        <w:rPr>
          <w:rFonts w:cs="Arial"/>
        </w:rPr>
        <w:t xml:space="preserve"> Schedule according to the </w:t>
      </w:r>
      <w:hyperlink r:id="rId11" w:history="1">
        <w:r w:rsidRPr="00716704">
          <w:rPr>
            <w:rStyle w:val="Hyperlink"/>
            <w:rFonts w:cs="Arial"/>
          </w:rPr>
          <w:t>Application and Assessment Guidelines</w:t>
        </w:r>
      </w:hyperlink>
      <w:r w:rsidRPr="00E33665">
        <w:rPr>
          <w:rFonts w:cs="Arial"/>
        </w:rPr>
        <w:t xml:space="preserve">. The </w:t>
      </w:r>
      <w:hyperlink r:id="rId12" w:history="1">
        <w:r w:rsidRPr="00716704">
          <w:rPr>
            <w:rStyle w:val="Hyperlink"/>
            <w:rFonts w:cs="Arial"/>
          </w:rPr>
          <w:t>Stoma Product Assessment Panel</w:t>
        </w:r>
      </w:hyperlink>
      <w:r>
        <w:rPr>
          <w:rFonts w:cs="Arial"/>
        </w:rPr>
        <w:t xml:space="preserve"> (SPAP),</w:t>
      </w:r>
      <w:r w:rsidRPr="00E33665">
        <w:rPr>
          <w:rFonts w:cs="Arial"/>
        </w:rPr>
        <w:t xml:space="preserve"> an independent technical advice panel appointed by the Department, evaluates new products for listing on the </w:t>
      </w:r>
      <w:r>
        <w:rPr>
          <w:rFonts w:cs="Arial"/>
        </w:rPr>
        <w:t>SAS</w:t>
      </w:r>
      <w:r w:rsidRPr="00E33665">
        <w:rPr>
          <w:rFonts w:cs="Arial"/>
        </w:rPr>
        <w:t xml:space="preserve"> Schedule</w:t>
      </w:r>
      <w:r>
        <w:rPr>
          <w:rFonts w:cs="Arial"/>
        </w:rPr>
        <w:t xml:space="preserve"> </w:t>
      </w:r>
      <w:r w:rsidRPr="008A1774">
        <w:rPr>
          <w:rFonts w:cs="Arial"/>
        </w:rPr>
        <w:t>and provides advice on other SAS matters</w:t>
      </w:r>
      <w:r w:rsidRPr="00E33665">
        <w:rPr>
          <w:rFonts w:cs="Arial"/>
        </w:rPr>
        <w:t xml:space="preserve">. </w:t>
      </w:r>
    </w:p>
    <w:p w14:paraId="235BC74F" w14:textId="77777777" w:rsidR="00E7013B" w:rsidRPr="008B0C79" w:rsidDel="00805FFA" w:rsidRDefault="00E7013B" w:rsidP="00E7013B">
      <w:pPr>
        <w:rPr>
          <w:rFonts w:cs="Arial"/>
        </w:rPr>
      </w:pPr>
      <w:r w:rsidRPr="008B0C79" w:rsidDel="00805FFA">
        <w:rPr>
          <w:rFonts w:cs="Arial"/>
        </w:rPr>
        <w:t xml:space="preserve">The </w:t>
      </w:r>
      <w:r w:rsidDel="00805FFA">
        <w:rPr>
          <w:rFonts w:cs="Arial"/>
        </w:rPr>
        <w:t>current</w:t>
      </w:r>
      <w:r w:rsidDel="00805FFA">
        <w:rPr>
          <w:rStyle w:val="Hyperlink"/>
        </w:rPr>
        <w:t xml:space="preserve"> </w:t>
      </w:r>
      <w:hyperlink r:id="rId13" w:history="1">
        <w:r w:rsidRPr="00602CD7" w:rsidDel="00805FFA">
          <w:rPr>
            <w:rStyle w:val="Hyperlink"/>
          </w:rPr>
          <w:t>SAS Schedule</w:t>
        </w:r>
      </w:hyperlink>
      <w:r w:rsidDel="00805FFA">
        <w:t xml:space="preserve"> </w:t>
      </w:r>
      <w:r w:rsidDel="00805FFA">
        <w:rPr>
          <w:rFonts w:cs="Arial"/>
        </w:rPr>
        <w:t>is available on the Department’s website.</w:t>
      </w:r>
    </w:p>
    <w:p w14:paraId="12F9F5EC" w14:textId="77777777" w:rsidR="00E7013B" w:rsidRDefault="00E7013B" w:rsidP="00E7013B">
      <w:pPr>
        <w:spacing w:before="160" w:line="240" w:lineRule="auto"/>
        <w:rPr>
          <w:rFonts w:cs="Arial"/>
        </w:rPr>
      </w:pPr>
      <w:r w:rsidRPr="008B0C79">
        <w:rPr>
          <w:rFonts w:cs="Arial"/>
        </w:rPr>
        <w:t>There has been a rapid expansion of products listed</w:t>
      </w:r>
      <w:r>
        <w:rPr>
          <w:rFonts w:cs="Arial"/>
        </w:rPr>
        <w:t xml:space="preserve"> on the SAS Schedule</w:t>
      </w:r>
      <w:r w:rsidRPr="008B0C79">
        <w:rPr>
          <w:rFonts w:cs="Arial"/>
        </w:rPr>
        <w:t xml:space="preserve">, </w:t>
      </w:r>
      <w:r w:rsidRPr="005A7A0C">
        <w:rPr>
          <w:rFonts w:cs="Arial"/>
        </w:rPr>
        <w:t>with 3,43</w:t>
      </w:r>
      <w:r>
        <w:rPr>
          <w:rFonts w:cs="Arial"/>
        </w:rPr>
        <w:t>0</w:t>
      </w:r>
      <w:r w:rsidRPr="005A7A0C">
        <w:rPr>
          <w:rFonts w:cs="Arial"/>
        </w:rPr>
        <w:t xml:space="preserve"> products currently listed </w:t>
      </w:r>
      <w:r>
        <w:rPr>
          <w:rFonts w:cs="Arial"/>
        </w:rPr>
        <w:t xml:space="preserve">(July 2024) </w:t>
      </w:r>
      <w:r w:rsidRPr="005A7A0C">
        <w:rPr>
          <w:rFonts w:cs="Arial"/>
        </w:rPr>
        <w:t xml:space="preserve">compared to 1,956 in 2012. </w:t>
      </w:r>
      <w:r>
        <w:rPr>
          <w:rFonts w:cs="Arial"/>
        </w:rPr>
        <w:t>The cost of the SAS has also increased</w:t>
      </w:r>
      <w:r w:rsidRPr="005A7A0C">
        <w:rPr>
          <w:rFonts w:cs="Arial"/>
        </w:rPr>
        <w:t>, from $83.3 million in 2012-13 to $114</w:t>
      </w:r>
      <w:r>
        <w:rPr>
          <w:rFonts w:cs="Arial"/>
        </w:rPr>
        <w:t>.5</w:t>
      </w:r>
      <w:r w:rsidRPr="005A7A0C">
        <w:rPr>
          <w:rFonts w:cs="Arial"/>
        </w:rPr>
        <w:t xml:space="preserve"> million in 202</w:t>
      </w:r>
      <w:r>
        <w:rPr>
          <w:rFonts w:cs="Arial"/>
        </w:rPr>
        <w:t>3</w:t>
      </w:r>
      <w:r w:rsidRPr="005A7A0C">
        <w:rPr>
          <w:rFonts w:cs="Arial"/>
        </w:rPr>
        <w:t>-2</w:t>
      </w:r>
      <w:r>
        <w:rPr>
          <w:rFonts w:cs="Arial"/>
        </w:rPr>
        <w:t>4</w:t>
      </w:r>
      <w:r w:rsidRPr="008B0C79">
        <w:rPr>
          <w:rFonts w:cs="Arial"/>
        </w:rPr>
        <w:t>.</w:t>
      </w:r>
      <w:r>
        <w:rPr>
          <w:rFonts w:cs="Arial"/>
        </w:rPr>
        <w:t xml:space="preserve"> Some</w:t>
      </w:r>
      <w:r w:rsidRPr="008B0C79">
        <w:rPr>
          <w:rFonts w:cs="Arial"/>
        </w:rPr>
        <w:t xml:space="preserve"> products currently listed have minimal utilisation</w:t>
      </w:r>
      <w:r>
        <w:rPr>
          <w:rFonts w:cs="Arial"/>
        </w:rPr>
        <w:t xml:space="preserve">, while others have </w:t>
      </w:r>
      <w:r w:rsidRPr="008B0C79">
        <w:rPr>
          <w:rFonts w:cs="Arial"/>
        </w:rPr>
        <w:t>limited clinical evidence to support their use</w:t>
      </w:r>
      <w:r>
        <w:rPr>
          <w:rFonts w:cs="Arial"/>
        </w:rPr>
        <w:t>. In addition, pricing for most products has not been reviewed since 2012</w:t>
      </w:r>
      <w:r w:rsidRPr="008B0C79">
        <w:rPr>
          <w:rFonts w:cs="Arial"/>
        </w:rPr>
        <w:t xml:space="preserve">. </w:t>
      </w:r>
    </w:p>
    <w:p w14:paraId="1A5C1882" w14:textId="77777777" w:rsidR="00E7013B" w:rsidRPr="00134ED0" w:rsidRDefault="00E7013B" w:rsidP="00E7013B">
      <w:pPr>
        <w:pStyle w:val="Heading3"/>
      </w:pPr>
      <w:bookmarkStart w:id="4" w:name="_Toc175909174"/>
      <w:r w:rsidRPr="00134ED0">
        <w:lastRenderedPageBreak/>
        <w:t>Current SAS Schedule Structure</w:t>
      </w:r>
      <w:bookmarkEnd w:id="4"/>
    </w:p>
    <w:p w14:paraId="5A24E86D" w14:textId="19697395" w:rsidR="00E7013B" w:rsidRDefault="00E7013B" w:rsidP="00E7013B">
      <w:pPr>
        <w:keepNext/>
        <w:rPr>
          <w:rFonts w:cs="Arial"/>
        </w:rPr>
      </w:pPr>
      <w:r>
        <w:rPr>
          <w:rFonts w:cs="Arial"/>
        </w:rPr>
        <w:t xml:space="preserve">The </w:t>
      </w:r>
      <w:r w:rsidRPr="008B0C79">
        <w:rPr>
          <w:rFonts w:cs="Arial"/>
        </w:rPr>
        <w:t xml:space="preserve">current </w:t>
      </w:r>
      <w:r>
        <w:rPr>
          <w:rFonts w:cs="Arial"/>
        </w:rPr>
        <w:t>SAS</w:t>
      </w:r>
      <w:r w:rsidRPr="008B0C79">
        <w:rPr>
          <w:rFonts w:cs="Arial"/>
        </w:rPr>
        <w:t xml:space="preserve"> Schedule has </w:t>
      </w:r>
      <w:r w:rsidRPr="005A7A0C">
        <w:rPr>
          <w:rFonts w:cs="Arial"/>
        </w:rPr>
        <w:t>3,43</w:t>
      </w:r>
      <w:r w:rsidR="003D600E">
        <w:rPr>
          <w:rFonts w:cs="Arial"/>
        </w:rPr>
        <w:t>0</w:t>
      </w:r>
      <w:r w:rsidRPr="005A7A0C">
        <w:rPr>
          <w:rFonts w:cs="Arial"/>
        </w:rPr>
        <w:t xml:space="preserve"> </w:t>
      </w:r>
      <w:r w:rsidRPr="008B0C79">
        <w:rPr>
          <w:rFonts w:cs="Arial"/>
        </w:rPr>
        <w:t>product</w:t>
      </w:r>
      <w:r>
        <w:rPr>
          <w:rFonts w:cs="Arial"/>
        </w:rPr>
        <w:t>s</w:t>
      </w:r>
      <w:r w:rsidRPr="008B0C79">
        <w:rPr>
          <w:rFonts w:cs="Arial"/>
        </w:rPr>
        <w:t xml:space="preserve"> listed </w:t>
      </w:r>
      <w:r>
        <w:rPr>
          <w:rFonts w:cs="Arial"/>
        </w:rPr>
        <w:t>under 569 separate codes (known as SAS Codes). Products are categorised into</w:t>
      </w:r>
      <w:r w:rsidRPr="008B0C79">
        <w:rPr>
          <w:rFonts w:cs="Arial"/>
        </w:rPr>
        <w:t xml:space="preserve"> 11 product type groups and 38 sub</w:t>
      </w:r>
      <w:r>
        <w:rPr>
          <w:rFonts w:cs="Arial"/>
        </w:rPr>
        <w:noBreakHyphen/>
      </w:r>
      <w:r w:rsidRPr="008B0C79">
        <w:rPr>
          <w:rFonts w:cs="Arial"/>
        </w:rPr>
        <w:t>groups</w:t>
      </w:r>
      <w:r>
        <w:rPr>
          <w:rFonts w:cs="Arial"/>
        </w:rPr>
        <w:t xml:space="preserve">. </w:t>
      </w:r>
    </w:p>
    <w:p w14:paraId="36C6FA9F" w14:textId="4F6DFCCF" w:rsidR="00631DA7" w:rsidRDefault="00631DA7" w:rsidP="00F500A4">
      <w:pPr>
        <w:keepNext/>
        <w:rPr>
          <w:rFonts w:cs="Arial"/>
          <w:b/>
        </w:rPr>
      </w:pPr>
      <w:r w:rsidRPr="001D6A71">
        <w:rPr>
          <w:rFonts w:cstheme="minorHAnsi"/>
          <w:b/>
          <w:sz w:val="21"/>
          <w:szCs w:val="21"/>
        </w:rPr>
        <w:t>Stoma Appliance Scheme Schedule Groups and Subgroups</w:t>
      </w:r>
    </w:p>
    <w:tbl>
      <w:tblPr>
        <w:tblStyle w:val="TableGrid"/>
        <w:tblW w:w="5000" w:type="pct"/>
        <w:tblLook w:val="0620" w:firstRow="1" w:lastRow="0" w:firstColumn="0" w:lastColumn="0" w:noHBand="1" w:noVBand="1"/>
        <w:tblDescription w:val="Stoma application scheme table is a list of the different groups and sub groups in which stoma products are grouped."/>
      </w:tblPr>
      <w:tblGrid>
        <w:gridCol w:w="1696"/>
        <w:gridCol w:w="2689"/>
        <w:gridCol w:w="4631"/>
      </w:tblGrid>
      <w:tr w:rsidR="00E7013B" w:rsidRPr="00B33BE6" w14:paraId="4F411360" w14:textId="77777777" w:rsidTr="001440AA">
        <w:trPr>
          <w:tblHeader/>
        </w:trPr>
        <w:tc>
          <w:tcPr>
            <w:tcW w:w="941" w:type="pc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F5991C7" w14:textId="77777777" w:rsidR="00E7013B" w:rsidRPr="00B33BE6" w:rsidRDefault="00E7013B" w:rsidP="001440AA">
            <w:pPr>
              <w:spacing w:before="40" w:after="40"/>
              <w:jc w:val="center"/>
              <w:rPr>
                <w:rFonts w:asciiTheme="minorHAnsi" w:hAnsiTheme="minorHAnsi" w:cstheme="minorHAnsi"/>
                <w:b/>
                <w:sz w:val="21"/>
                <w:szCs w:val="21"/>
              </w:rPr>
            </w:pPr>
            <w:r w:rsidRPr="00B33BE6">
              <w:rPr>
                <w:rFonts w:asciiTheme="minorHAnsi" w:hAnsiTheme="minorHAnsi" w:cstheme="minorHAnsi"/>
                <w:b/>
                <w:sz w:val="21"/>
                <w:szCs w:val="21"/>
              </w:rPr>
              <w:t>Group Number</w:t>
            </w:r>
          </w:p>
        </w:tc>
        <w:tc>
          <w:tcPr>
            <w:tcW w:w="1491" w:type="pc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A3A6D23" w14:textId="77777777" w:rsidR="00E7013B" w:rsidRPr="00B33BE6" w:rsidRDefault="00E7013B" w:rsidP="001440AA">
            <w:pPr>
              <w:spacing w:before="40" w:after="40"/>
              <w:jc w:val="center"/>
              <w:rPr>
                <w:rFonts w:asciiTheme="minorHAnsi" w:hAnsiTheme="minorHAnsi" w:cstheme="minorHAnsi"/>
                <w:b/>
                <w:sz w:val="21"/>
                <w:szCs w:val="21"/>
              </w:rPr>
            </w:pPr>
            <w:r w:rsidRPr="00B33BE6">
              <w:rPr>
                <w:rFonts w:asciiTheme="minorHAnsi" w:hAnsiTheme="minorHAnsi" w:cstheme="minorHAnsi"/>
                <w:b/>
                <w:sz w:val="21"/>
                <w:szCs w:val="21"/>
              </w:rPr>
              <w:t>Main Group</w:t>
            </w:r>
          </w:p>
        </w:tc>
        <w:tc>
          <w:tcPr>
            <w:tcW w:w="2568" w:type="pc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E79BC7E" w14:textId="77777777" w:rsidR="00E7013B" w:rsidRPr="00B33BE6" w:rsidRDefault="00E7013B" w:rsidP="001440AA">
            <w:pPr>
              <w:spacing w:before="40" w:after="40"/>
              <w:jc w:val="center"/>
              <w:rPr>
                <w:rFonts w:asciiTheme="minorHAnsi" w:hAnsiTheme="minorHAnsi" w:cstheme="minorHAnsi"/>
                <w:b/>
                <w:sz w:val="21"/>
                <w:szCs w:val="21"/>
              </w:rPr>
            </w:pPr>
            <w:r w:rsidRPr="00B33BE6">
              <w:rPr>
                <w:rFonts w:asciiTheme="minorHAnsi" w:hAnsiTheme="minorHAnsi" w:cstheme="minorHAnsi"/>
                <w:b/>
                <w:sz w:val="21"/>
                <w:szCs w:val="21"/>
              </w:rPr>
              <w:t>Subgroup</w:t>
            </w:r>
          </w:p>
        </w:tc>
      </w:tr>
      <w:tr w:rsidR="00E7013B" w:rsidRPr="00B33BE6" w14:paraId="39ED98B8" w14:textId="77777777" w:rsidTr="001440AA">
        <w:tc>
          <w:tcPr>
            <w:tcW w:w="941" w:type="pct"/>
            <w:tcBorders>
              <w:top w:val="single" w:sz="4" w:space="0" w:color="auto"/>
              <w:left w:val="single" w:sz="4" w:space="0" w:color="auto"/>
              <w:bottom w:val="single" w:sz="4" w:space="0" w:color="auto"/>
              <w:right w:val="single" w:sz="4" w:space="0" w:color="auto"/>
            </w:tcBorders>
            <w:hideMark/>
          </w:tcPr>
          <w:p w14:paraId="0E912F68" w14:textId="77777777" w:rsidR="00E7013B" w:rsidRPr="00B33BE6" w:rsidRDefault="00E7013B" w:rsidP="001440AA">
            <w:pPr>
              <w:spacing w:before="40" w:after="40"/>
              <w:jc w:val="center"/>
              <w:rPr>
                <w:rFonts w:asciiTheme="minorHAnsi" w:hAnsiTheme="minorHAnsi" w:cstheme="minorHAnsi"/>
                <w:b/>
                <w:sz w:val="21"/>
                <w:szCs w:val="21"/>
              </w:rPr>
            </w:pPr>
            <w:r w:rsidRPr="00B33BE6">
              <w:rPr>
                <w:rFonts w:asciiTheme="minorHAnsi" w:hAnsiTheme="minorHAnsi" w:cstheme="minorHAnsi"/>
                <w:b/>
                <w:sz w:val="21"/>
                <w:szCs w:val="21"/>
              </w:rPr>
              <w:t>1</w:t>
            </w:r>
          </w:p>
        </w:tc>
        <w:tc>
          <w:tcPr>
            <w:tcW w:w="1491" w:type="pct"/>
            <w:tcBorders>
              <w:top w:val="single" w:sz="4" w:space="0" w:color="auto"/>
              <w:left w:val="single" w:sz="4" w:space="0" w:color="auto"/>
              <w:bottom w:val="single" w:sz="4" w:space="0" w:color="auto"/>
              <w:right w:val="single" w:sz="4" w:space="0" w:color="auto"/>
            </w:tcBorders>
            <w:hideMark/>
          </w:tcPr>
          <w:p w14:paraId="72D460FA" w14:textId="77777777" w:rsidR="00E7013B" w:rsidRPr="00B33BE6" w:rsidRDefault="00E7013B" w:rsidP="001440AA">
            <w:pPr>
              <w:spacing w:before="40" w:after="40"/>
              <w:rPr>
                <w:rFonts w:asciiTheme="minorHAnsi" w:hAnsiTheme="minorHAnsi" w:cstheme="minorHAnsi"/>
                <w:sz w:val="21"/>
                <w:szCs w:val="21"/>
              </w:rPr>
            </w:pPr>
            <w:r w:rsidRPr="00B33BE6">
              <w:rPr>
                <w:rFonts w:asciiTheme="minorHAnsi" w:hAnsiTheme="minorHAnsi" w:cstheme="minorHAnsi"/>
                <w:sz w:val="21"/>
                <w:szCs w:val="21"/>
              </w:rPr>
              <w:t>One-Piece Closed</w:t>
            </w:r>
          </w:p>
        </w:tc>
        <w:tc>
          <w:tcPr>
            <w:tcW w:w="2568" w:type="pct"/>
            <w:tcBorders>
              <w:top w:val="single" w:sz="4" w:space="0" w:color="auto"/>
              <w:left w:val="single" w:sz="4" w:space="0" w:color="auto"/>
              <w:bottom w:val="single" w:sz="4" w:space="0" w:color="auto"/>
              <w:right w:val="single" w:sz="4" w:space="0" w:color="auto"/>
            </w:tcBorders>
            <w:hideMark/>
          </w:tcPr>
          <w:p w14:paraId="58993980" w14:textId="77777777" w:rsidR="00E7013B" w:rsidRPr="00B33BE6" w:rsidRDefault="00E7013B" w:rsidP="001440AA">
            <w:pPr>
              <w:numPr>
                <w:ilvl w:val="0"/>
                <w:numId w:val="9"/>
              </w:numPr>
              <w:spacing w:before="40" w:after="40"/>
              <w:rPr>
                <w:rFonts w:asciiTheme="minorHAnsi" w:hAnsiTheme="minorHAnsi" w:cstheme="minorHAnsi"/>
                <w:sz w:val="21"/>
                <w:szCs w:val="21"/>
              </w:rPr>
            </w:pPr>
            <w:r w:rsidRPr="00B33BE6">
              <w:rPr>
                <w:rFonts w:asciiTheme="minorHAnsi" w:hAnsiTheme="minorHAnsi" w:cstheme="minorHAnsi"/>
                <w:sz w:val="21"/>
                <w:szCs w:val="21"/>
              </w:rPr>
              <w:t>Stoma Caps</w:t>
            </w:r>
          </w:p>
          <w:p w14:paraId="093FC5E2" w14:textId="77777777" w:rsidR="00E7013B" w:rsidRPr="00B33BE6" w:rsidRDefault="00E7013B" w:rsidP="001440AA">
            <w:pPr>
              <w:numPr>
                <w:ilvl w:val="0"/>
                <w:numId w:val="9"/>
              </w:numPr>
              <w:spacing w:before="40" w:after="40"/>
              <w:rPr>
                <w:rFonts w:asciiTheme="minorHAnsi" w:hAnsiTheme="minorHAnsi" w:cstheme="minorHAnsi"/>
                <w:sz w:val="21"/>
                <w:szCs w:val="21"/>
              </w:rPr>
            </w:pPr>
            <w:r w:rsidRPr="00B33BE6">
              <w:rPr>
                <w:rFonts w:asciiTheme="minorHAnsi" w:hAnsiTheme="minorHAnsi" w:cstheme="minorHAnsi"/>
                <w:sz w:val="21"/>
                <w:szCs w:val="21"/>
              </w:rPr>
              <w:t>Flat Baseplate</w:t>
            </w:r>
          </w:p>
          <w:p w14:paraId="6E973588" w14:textId="77777777" w:rsidR="00E7013B" w:rsidRPr="00B33BE6" w:rsidRDefault="00E7013B" w:rsidP="001440AA">
            <w:pPr>
              <w:numPr>
                <w:ilvl w:val="0"/>
                <w:numId w:val="9"/>
              </w:numPr>
              <w:spacing w:before="40" w:after="40"/>
              <w:rPr>
                <w:rFonts w:asciiTheme="minorHAnsi" w:hAnsiTheme="minorHAnsi" w:cstheme="minorHAnsi"/>
                <w:sz w:val="21"/>
                <w:szCs w:val="21"/>
              </w:rPr>
            </w:pPr>
            <w:r w:rsidRPr="00B33BE6">
              <w:rPr>
                <w:rFonts w:asciiTheme="minorHAnsi" w:hAnsiTheme="minorHAnsi" w:cstheme="minorHAnsi"/>
                <w:sz w:val="21"/>
                <w:szCs w:val="21"/>
              </w:rPr>
              <w:t>Convex Baseplate</w:t>
            </w:r>
          </w:p>
        </w:tc>
      </w:tr>
      <w:tr w:rsidR="00E7013B" w:rsidRPr="00B33BE6" w14:paraId="32413AEE" w14:textId="77777777" w:rsidTr="001440AA">
        <w:tc>
          <w:tcPr>
            <w:tcW w:w="941" w:type="pct"/>
            <w:tcBorders>
              <w:top w:val="single" w:sz="4" w:space="0" w:color="auto"/>
              <w:left w:val="single" w:sz="4" w:space="0" w:color="auto"/>
              <w:bottom w:val="single" w:sz="4" w:space="0" w:color="auto"/>
              <w:right w:val="single" w:sz="4" w:space="0" w:color="auto"/>
            </w:tcBorders>
            <w:hideMark/>
          </w:tcPr>
          <w:p w14:paraId="6B089D7D" w14:textId="77777777" w:rsidR="00E7013B" w:rsidRPr="00B33BE6" w:rsidRDefault="00E7013B" w:rsidP="001440AA">
            <w:pPr>
              <w:spacing w:before="40" w:after="40"/>
              <w:jc w:val="center"/>
              <w:rPr>
                <w:rFonts w:asciiTheme="minorHAnsi" w:hAnsiTheme="minorHAnsi" w:cstheme="minorHAnsi"/>
                <w:b/>
                <w:sz w:val="21"/>
                <w:szCs w:val="21"/>
              </w:rPr>
            </w:pPr>
            <w:r w:rsidRPr="00B33BE6">
              <w:rPr>
                <w:rFonts w:asciiTheme="minorHAnsi" w:hAnsiTheme="minorHAnsi" w:cstheme="minorHAnsi"/>
                <w:b/>
                <w:sz w:val="21"/>
                <w:szCs w:val="21"/>
              </w:rPr>
              <w:t>2</w:t>
            </w:r>
          </w:p>
        </w:tc>
        <w:tc>
          <w:tcPr>
            <w:tcW w:w="1491" w:type="pct"/>
            <w:tcBorders>
              <w:top w:val="single" w:sz="4" w:space="0" w:color="auto"/>
              <w:left w:val="single" w:sz="4" w:space="0" w:color="auto"/>
              <w:bottom w:val="single" w:sz="4" w:space="0" w:color="auto"/>
              <w:right w:val="single" w:sz="4" w:space="0" w:color="auto"/>
            </w:tcBorders>
            <w:hideMark/>
          </w:tcPr>
          <w:p w14:paraId="448EABA9" w14:textId="77777777" w:rsidR="00E7013B" w:rsidRPr="00B33BE6" w:rsidRDefault="00E7013B" w:rsidP="001440AA">
            <w:pPr>
              <w:spacing w:before="40" w:after="40"/>
              <w:rPr>
                <w:rFonts w:asciiTheme="minorHAnsi" w:hAnsiTheme="minorHAnsi" w:cstheme="minorHAnsi"/>
                <w:sz w:val="21"/>
                <w:szCs w:val="21"/>
              </w:rPr>
            </w:pPr>
            <w:r w:rsidRPr="00B33BE6">
              <w:rPr>
                <w:rFonts w:asciiTheme="minorHAnsi" w:hAnsiTheme="minorHAnsi" w:cstheme="minorHAnsi"/>
                <w:sz w:val="21"/>
                <w:szCs w:val="21"/>
              </w:rPr>
              <w:t>One-Piece Drainable</w:t>
            </w:r>
          </w:p>
        </w:tc>
        <w:tc>
          <w:tcPr>
            <w:tcW w:w="2568" w:type="pct"/>
            <w:tcBorders>
              <w:top w:val="single" w:sz="4" w:space="0" w:color="auto"/>
              <w:left w:val="single" w:sz="4" w:space="0" w:color="auto"/>
              <w:bottom w:val="single" w:sz="4" w:space="0" w:color="auto"/>
              <w:right w:val="single" w:sz="4" w:space="0" w:color="auto"/>
            </w:tcBorders>
            <w:hideMark/>
          </w:tcPr>
          <w:p w14:paraId="305C57EC" w14:textId="77777777" w:rsidR="00E7013B" w:rsidRPr="00B33BE6" w:rsidRDefault="00E7013B" w:rsidP="001440AA">
            <w:pPr>
              <w:numPr>
                <w:ilvl w:val="0"/>
                <w:numId w:val="10"/>
              </w:numPr>
              <w:spacing w:before="40" w:after="40"/>
              <w:rPr>
                <w:rFonts w:asciiTheme="minorHAnsi" w:hAnsiTheme="minorHAnsi" w:cstheme="minorHAnsi"/>
                <w:sz w:val="21"/>
                <w:szCs w:val="21"/>
              </w:rPr>
            </w:pPr>
            <w:r w:rsidRPr="00B33BE6">
              <w:rPr>
                <w:rFonts w:asciiTheme="minorHAnsi" w:hAnsiTheme="minorHAnsi" w:cstheme="minorHAnsi"/>
                <w:sz w:val="21"/>
                <w:szCs w:val="21"/>
              </w:rPr>
              <w:t>Flat Baseplate</w:t>
            </w:r>
          </w:p>
          <w:p w14:paraId="61A5D74B" w14:textId="77777777" w:rsidR="00E7013B" w:rsidRPr="00B33BE6" w:rsidRDefault="00E7013B" w:rsidP="001440AA">
            <w:pPr>
              <w:numPr>
                <w:ilvl w:val="0"/>
                <w:numId w:val="10"/>
              </w:numPr>
              <w:spacing w:before="40" w:after="40"/>
              <w:rPr>
                <w:rFonts w:asciiTheme="minorHAnsi" w:hAnsiTheme="minorHAnsi" w:cstheme="minorHAnsi"/>
                <w:sz w:val="21"/>
                <w:szCs w:val="21"/>
              </w:rPr>
            </w:pPr>
            <w:r w:rsidRPr="00B33BE6">
              <w:rPr>
                <w:rFonts w:asciiTheme="minorHAnsi" w:hAnsiTheme="minorHAnsi" w:cstheme="minorHAnsi"/>
                <w:sz w:val="21"/>
                <w:szCs w:val="21"/>
              </w:rPr>
              <w:t>Convex Baseplate</w:t>
            </w:r>
          </w:p>
        </w:tc>
      </w:tr>
      <w:tr w:rsidR="00E7013B" w:rsidRPr="00B33BE6" w14:paraId="44965255" w14:textId="77777777" w:rsidTr="001440AA">
        <w:tc>
          <w:tcPr>
            <w:tcW w:w="941" w:type="pct"/>
            <w:tcBorders>
              <w:top w:val="single" w:sz="4" w:space="0" w:color="auto"/>
              <w:left w:val="single" w:sz="4" w:space="0" w:color="auto"/>
              <w:bottom w:val="single" w:sz="4" w:space="0" w:color="auto"/>
              <w:right w:val="single" w:sz="4" w:space="0" w:color="auto"/>
            </w:tcBorders>
            <w:hideMark/>
          </w:tcPr>
          <w:p w14:paraId="0B7E7868" w14:textId="77777777" w:rsidR="00E7013B" w:rsidRPr="00B33BE6" w:rsidRDefault="00E7013B" w:rsidP="001440AA">
            <w:pPr>
              <w:spacing w:before="40" w:after="40"/>
              <w:jc w:val="center"/>
              <w:rPr>
                <w:rFonts w:asciiTheme="minorHAnsi" w:hAnsiTheme="minorHAnsi" w:cstheme="minorHAnsi"/>
                <w:b/>
                <w:sz w:val="21"/>
                <w:szCs w:val="21"/>
              </w:rPr>
            </w:pPr>
            <w:r w:rsidRPr="00B33BE6">
              <w:rPr>
                <w:rFonts w:asciiTheme="minorHAnsi" w:hAnsiTheme="minorHAnsi" w:cstheme="minorHAnsi"/>
                <w:b/>
                <w:sz w:val="21"/>
                <w:szCs w:val="21"/>
              </w:rPr>
              <w:t>3</w:t>
            </w:r>
          </w:p>
        </w:tc>
        <w:tc>
          <w:tcPr>
            <w:tcW w:w="1491" w:type="pct"/>
            <w:tcBorders>
              <w:top w:val="single" w:sz="4" w:space="0" w:color="auto"/>
              <w:left w:val="single" w:sz="4" w:space="0" w:color="auto"/>
              <w:bottom w:val="single" w:sz="4" w:space="0" w:color="auto"/>
              <w:right w:val="single" w:sz="4" w:space="0" w:color="auto"/>
            </w:tcBorders>
            <w:hideMark/>
          </w:tcPr>
          <w:p w14:paraId="0DDDED40" w14:textId="77777777" w:rsidR="00E7013B" w:rsidRPr="00B33BE6" w:rsidRDefault="00E7013B" w:rsidP="001440AA">
            <w:pPr>
              <w:spacing w:before="40" w:after="40"/>
              <w:rPr>
                <w:rFonts w:asciiTheme="minorHAnsi" w:hAnsiTheme="minorHAnsi" w:cstheme="minorHAnsi"/>
                <w:sz w:val="21"/>
                <w:szCs w:val="21"/>
              </w:rPr>
            </w:pPr>
            <w:r w:rsidRPr="00B33BE6">
              <w:rPr>
                <w:rFonts w:asciiTheme="minorHAnsi" w:hAnsiTheme="minorHAnsi" w:cstheme="minorHAnsi"/>
                <w:sz w:val="21"/>
                <w:szCs w:val="21"/>
              </w:rPr>
              <w:t xml:space="preserve">One-Piece Urostomy </w:t>
            </w:r>
          </w:p>
        </w:tc>
        <w:tc>
          <w:tcPr>
            <w:tcW w:w="2568" w:type="pct"/>
            <w:tcBorders>
              <w:top w:val="single" w:sz="4" w:space="0" w:color="auto"/>
              <w:left w:val="single" w:sz="4" w:space="0" w:color="auto"/>
              <w:bottom w:val="single" w:sz="4" w:space="0" w:color="auto"/>
              <w:right w:val="single" w:sz="4" w:space="0" w:color="auto"/>
            </w:tcBorders>
            <w:hideMark/>
          </w:tcPr>
          <w:p w14:paraId="15E35DF6" w14:textId="77777777" w:rsidR="00E7013B" w:rsidRPr="00B33BE6" w:rsidRDefault="00E7013B" w:rsidP="001440AA">
            <w:pPr>
              <w:numPr>
                <w:ilvl w:val="0"/>
                <w:numId w:val="11"/>
              </w:numPr>
              <w:spacing w:before="40" w:after="40"/>
              <w:rPr>
                <w:rFonts w:asciiTheme="minorHAnsi" w:hAnsiTheme="minorHAnsi" w:cstheme="minorHAnsi"/>
                <w:sz w:val="21"/>
                <w:szCs w:val="21"/>
              </w:rPr>
            </w:pPr>
            <w:r w:rsidRPr="00B33BE6">
              <w:rPr>
                <w:rFonts w:asciiTheme="minorHAnsi" w:hAnsiTheme="minorHAnsi" w:cstheme="minorHAnsi"/>
                <w:sz w:val="21"/>
                <w:szCs w:val="21"/>
              </w:rPr>
              <w:t>Flat Baseplate</w:t>
            </w:r>
          </w:p>
          <w:p w14:paraId="4E985233" w14:textId="77777777" w:rsidR="00E7013B" w:rsidRPr="00B33BE6" w:rsidRDefault="00E7013B" w:rsidP="001440AA">
            <w:pPr>
              <w:numPr>
                <w:ilvl w:val="0"/>
                <w:numId w:val="11"/>
              </w:numPr>
              <w:spacing w:before="40" w:after="40"/>
              <w:rPr>
                <w:rFonts w:asciiTheme="minorHAnsi" w:hAnsiTheme="minorHAnsi" w:cstheme="minorHAnsi"/>
                <w:sz w:val="21"/>
                <w:szCs w:val="21"/>
              </w:rPr>
            </w:pPr>
            <w:r w:rsidRPr="00B33BE6">
              <w:rPr>
                <w:rFonts w:asciiTheme="minorHAnsi" w:hAnsiTheme="minorHAnsi" w:cstheme="minorHAnsi"/>
                <w:sz w:val="21"/>
                <w:szCs w:val="21"/>
              </w:rPr>
              <w:t>Convex Baseplate</w:t>
            </w:r>
          </w:p>
        </w:tc>
      </w:tr>
      <w:tr w:rsidR="00E7013B" w:rsidRPr="00B33BE6" w14:paraId="583595AC" w14:textId="77777777" w:rsidTr="001440AA">
        <w:tc>
          <w:tcPr>
            <w:tcW w:w="941" w:type="pct"/>
            <w:tcBorders>
              <w:top w:val="single" w:sz="4" w:space="0" w:color="auto"/>
              <w:left w:val="single" w:sz="4" w:space="0" w:color="auto"/>
              <w:bottom w:val="single" w:sz="4" w:space="0" w:color="auto"/>
              <w:right w:val="single" w:sz="4" w:space="0" w:color="auto"/>
            </w:tcBorders>
            <w:hideMark/>
          </w:tcPr>
          <w:p w14:paraId="55E15E9E" w14:textId="77777777" w:rsidR="00E7013B" w:rsidRPr="00B33BE6" w:rsidRDefault="00E7013B" w:rsidP="001440AA">
            <w:pPr>
              <w:spacing w:before="40" w:after="40"/>
              <w:jc w:val="center"/>
              <w:rPr>
                <w:rFonts w:asciiTheme="minorHAnsi" w:hAnsiTheme="minorHAnsi" w:cstheme="minorHAnsi"/>
                <w:b/>
                <w:sz w:val="21"/>
                <w:szCs w:val="21"/>
              </w:rPr>
            </w:pPr>
            <w:r w:rsidRPr="00B33BE6">
              <w:rPr>
                <w:rFonts w:asciiTheme="minorHAnsi" w:hAnsiTheme="minorHAnsi" w:cstheme="minorHAnsi"/>
                <w:b/>
                <w:sz w:val="21"/>
                <w:szCs w:val="21"/>
              </w:rPr>
              <w:t>4</w:t>
            </w:r>
          </w:p>
        </w:tc>
        <w:tc>
          <w:tcPr>
            <w:tcW w:w="1491" w:type="pct"/>
            <w:tcBorders>
              <w:top w:val="single" w:sz="4" w:space="0" w:color="auto"/>
              <w:left w:val="single" w:sz="4" w:space="0" w:color="auto"/>
              <w:bottom w:val="single" w:sz="4" w:space="0" w:color="auto"/>
              <w:right w:val="single" w:sz="4" w:space="0" w:color="auto"/>
            </w:tcBorders>
            <w:hideMark/>
          </w:tcPr>
          <w:p w14:paraId="41F7C823" w14:textId="77777777" w:rsidR="00E7013B" w:rsidRPr="00B33BE6" w:rsidRDefault="00E7013B" w:rsidP="001440AA">
            <w:pPr>
              <w:spacing w:before="40" w:after="40"/>
              <w:rPr>
                <w:rFonts w:asciiTheme="minorHAnsi" w:hAnsiTheme="minorHAnsi" w:cstheme="minorHAnsi"/>
                <w:sz w:val="21"/>
                <w:szCs w:val="21"/>
              </w:rPr>
            </w:pPr>
            <w:r w:rsidRPr="00B33BE6">
              <w:rPr>
                <w:rFonts w:asciiTheme="minorHAnsi" w:hAnsiTheme="minorHAnsi" w:cstheme="minorHAnsi"/>
                <w:sz w:val="21"/>
                <w:szCs w:val="21"/>
              </w:rPr>
              <w:t>Two-Piece Baseplate</w:t>
            </w:r>
          </w:p>
        </w:tc>
        <w:tc>
          <w:tcPr>
            <w:tcW w:w="2568" w:type="pct"/>
            <w:tcBorders>
              <w:top w:val="single" w:sz="4" w:space="0" w:color="auto"/>
              <w:left w:val="single" w:sz="4" w:space="0" w:color="auto"/>
              <w:bottom w:val="single" w:sz="4" w:space="0" w:color="auto"/>
              <w:right w:val="single" w:sz="4" w:space="0" w:color="auto"/>
            </w:tcBorders>
            <w:hideMark/>
          </w:tcPr>
          <w:p w14:paraId="59C5C067" w14:textId="77777777" w:rsidR="00E7013B" w:rsidRPr="00B33BE6" w:rsidRDefault="00E7013B" w:rsidP="001440AA">
            <w:pPr>
              <w:numPr>
                <w:ilvl w:val="0"/>
                <w:numId w:val="12"/>
              </w:numPr>
              <w:spacing w:before="40" w:after="40"/>
              <w:rPr>
                <w:rFonts w:asciiTheme="minorHAnsi" w:hAnsiTheme="minorHAnsi" w:cstheme="minorHAnsi"/>
                <w:sz w:val="21"/>
                <w:szCs w:val="21"/>
              </w:rPr>
            </w:pPr>
            <w:r w:rsidRPr="00B33BE6">
              <w:rPr>
                <w:rFonts w:asciiTheme="minorHAnsi" w:hAnsiTheme="minorHAnsi" w:cstheme="minorHAnsi"/>
                <w:sz w:val="21"/>
                <w:szCs w:val="21"/>
              </w:rPr>
              <w:t>Mechanical Coupling – Flat</w:t>
            </w:r>
          </w:p>
          <w:p w14:paraId="12731985" w14:textId="77777777" w:rsidR="00E7013B" w:rsidRPr="00B33BE6" w:rsidRDefault="00E7013B" w:rsidP="001440AA">
            <w:pPr>
              <w:numPr>
                <w:ilvl w:val="0"/>
                <w:numId w:val="12"/>
              </w:numPr>
              <w:spacing w:before="40" w:after="40"/>
              <w:rPr>
                <w:rFonts w:asciiTheme="minorHAnsi" w:hAnsiTheme="minorHAnsi" w:cstheme="minorHAnsi"/>
                <w:sz w:val="21"/>
                <w:szCs w:val="21"/>
              </w:rPr>
            </w:pPr>
            <w:r w:rsidRPr="00B33BE6">
              <w:rPr>
                <w:rFonts w:asciiTheme="minorHAnsi" w:hAnsiTheme="minorHAnsi" w:cstheme="minorHAnsi"/>
                <w:sz w:val="21"/>
                <w:szCs w:val="21"/>
              </w:rPr>
              <w:t>Mechanical Coupling – Extended Wear</w:t>
            </w:r>
          </w:p>
          <w:p w14:paraId="64A6BE95" w14:textId="77777777" w:rsidR="00E7013B" w:rsidRPr="00B33BE6" w:rsidRDefault="00E7013B" w:rsidP="001440AA">
            <w:pPr>
              <w:numPr>
                <w:ilvl w:val="0"/>
                <w:numId w:val="12"/>
              </w:numPr>
              <w:spacing w:before="40" w:after="40"/>
              <w:rPr>
                <w:rFonts w:asciiTheme="minorHAnsi" w:hAnsiTheme="minorHAnsi" w:cstheme="minorHAnsi"/>
                <w:sz w:val="21"/>
                <w:szCs w:val="21"/>
              </w:rPr>
            </w:pPr>
            <w:r w:rsidRPr="00B33BE6">
              <w:rPr>
                <w:rFonts w:asciiTheme="minorHAnsi" w:hAnsiTheme="minorHAnsi" w:cstheme="minorHAnsi"/>
                <w:sz w:val="21"/>
                <w:szCs w:val="21"/>
              </w:rPr>
              <w:t>Mechanical Coupling – Convex</w:t>
            </w:r>
          </w:p>
          <w:p w14:paraId="6BEA4DF7" w14:textId="77777777" w:rsidR="00E7013B" w:rsidRPr="00B33BE6" w:rsidRDefault="00E7013B" w:rsidP="001440AA">
            <w:pPr>
              <w:numPr>
                <w:ilvl w:val="0"/>
                <w:numId w:val="12"/>
              </w:numPr>
              <w:spacing w:before="40" w:after="40"/>
              <w:rPr>
                <w:rFonts w:asciiTheme="minorHAnsi" w:hAnsiTheme="minorHAnsi" w:cstheme="minorHAnsi"/>
                <w:sz w:val="21"/>
                <w:szCs w:val="21"/>
              </w:rPr>
            </w:pPr>
            <w:r w:rsidRPr="00B33BE6">
              <w:rPr>
                <w:rFonts w:asciiTheme="minorHAnsi" w:hAnsiTheme="minorHAnsi" w:cstheme="minorHAnsi"/>
                <w:sz w:val="21"/>
                <w:szCs w:val="21"/>
              </w:rPr>
              <w:t>Adhesive Coupling – Flat</w:t>
            </w:r>
          </w:p>
          <w:p w14:paraId="16BDF5E4" w14:textId="77777777" w:rsidR="00E7013B" w:rsidRPr="00B33BE6" w:rsidRDefault="00E7013B" w:rsidP="001440AA">
            <w:pPr>
              <w:numPr>
                <w:ilvl w:val="0"/>
                <w:numId w:val="12"/>
              </w:numPr>
              <w:spacing w:before="40" w:after="40"/>
              <w:rPr>
                <w:rFonts w:asciiTheme="minorHAnsi" w:hAnsiTheme="minorHAnsi" w:cstheme="minorHAnsi"/>
                <w:sz w:val="21"/>
                <w:szCs w:val="21"/>
              </w:rPr>
            </w:pPr>
            <w:r w:rsidRPr="00B33BE6">
              <w:rPr>
                <w:rFonts w:asciiTheme="minorHAnsi" w:hAnsiTheme="minorHAnsi" w:cstheme="minorHAnsi"/>
                <w:sz w:val="21"/>
                <w:szCs w:val="21"/>
              </w:rPr>
              <w:t>Adhesive Coupling – Extended Wear</w:t>
            </w:r>
          </w:p>
          <w:p w14:paraId="108EFABB" w14:textId="77777777" w:rsidR="00E7013B" w:rsidRPr="00B33BE6" w:rsidRDefault="00E7013B" w:rsidP="001440AA">
            <w:pPr>
              <w:numPr>
                <w:ilvl w:val="0"/>
                <w:numId w:val="12"/>
              </w:numPr>
              <w:spacing w:before="40" w:after="40"/>
              <w:rPr>
                <w:rFonts w:asciiTheme="minorHAnsi" w:hAnsiTheme="minorHAnsi" w:cstheme="minorHAnsi"/>
                <w:sz w:val="21"/>
                <w:szCs w:val="21"/>
              </w:rPr>
            </w:pPr>
            <w:r w:rsidRPr="00B33BE6">
              <w:rPr>
                <w:rFonts w:asciiTheme="minorHAnsi" w:hAnsiTheme="minorHAnsi" w:cstheme="minorHAnsi"/>
                <w:sz w:val="21"/>
                <w:szCs w:val="21"/>
              </w:rPr>
              <w:t>Adhesive Coupling – Convex</w:t>
            </w:r>
          </w:p>
        </w:tc>
      </w:tr>
      <w:tr w:rsidR="00E7013B" w:rsidRPr="00B33BE6" w14:paraId="0266EF66" w14:textId="77777777" w:rsidTr="001440AA">
        <w:tc>
          <w:tcPr>
            <w:tcW w:w="941" w:type="pct"/>
            <w:tcBorders>
              <w:top w:val="single" w:sz="4" w:space="0" w:color="auto"/>
              <w:left w:val="single" w:sz="4" w:space="0" w:color="auto"/>
              <w:bottom w:val="single" w:sz="4" w:space="0" w:color="auto"/>
              <w:right w:val="single" w:sz="4" w:space="0" w:color="auto"/>
            </w:tcBorders>
            <w:hideMark/>
          </w:tcPr>
          <w:p w14:paraId="1ABBDB1A" w14:textId="77777777" w:rsidR="00E7013B" w:rsidRPr="00B33BE6" w:rsidRDefault="00E7013B" w:rsidP="001440AA">
            <w:pPr>
              <w:spacing w:before="40" w:after="40"/>
              <w:jc w:val="center"/>
              <w:rPr>
                <w:rFonts w:asciiTheme="minorHAnsi" w:hAnsiTheme="minorHAnsi" w:cstheme="minorHAnsi"/>
                <w:b/>
                <w:sz w:val="21"/>
                <w:szCs w:val="21"/>
              </w:rPr>
            </w:pPr>
            <w:r w:rsidRPr="00B33BE6">
              <w:rPr>
                <w:rFonts w:asciiTheme="minorHAnsi" w:hAnsiTheme="minorHAnsi" w:cstheme="minorHAnsi"/>
                <w:b/>
                <w:sz w:val="21"/>
                <w:szCs w:val="21"/>
              </w:rPr>
              <w:t>5</w:t>
            </w:r>
          </w:p>
        </w:tc>
        <w:tc>
          <w:tcPr>
            <w:tcW w:w="1491" w:type="pct"/>
            <w:tcBorders>
              <w:top w:val="single" w:sz="4" w:space="0" w:color="auto"/>
              <w:left w:val="single" w:sz="4" w:space="0" w:color="auto"/>
              <w:bottom w:val="single" w:sz="4" w:space="0" w:color="auto"/>
              <w:right w:val="single" w:sz="4" w:space="0" w:color="auto"/>
            </w:tcBorders>
            <w:hideMark/>
          </w:tcPr>
          <w:p w14:paraId="33D13256" w14:textId="77777777" w:rsidR="00E7013B" w:rsidRPr="00B33BE6" w:rsidRDefault="00E7013B" w:rsidP="001440AA">
            <w:pPr>
              <w:spacing w:before="40" w:after="40"/>
              <w:rPr>
                <w:rFonts w:asciiTheme="minorHAnsi" w:hAnsiTheme="minorHAnsi" w:cstheme="minorHAnsi"/>
                <w:sz w:val="21"/>
                <w:szCs w:val="21"/>
              </w:rPr>
            </w:pPr>
            <w:r w:rsidRPr="00B33BE6">
              <w:rPr>
                <w:rFonts w:asciiTheme="minorHAnsi" w:hAnsiTheme="minorHAnsi" w:cstheme="minorHAnsi"/>
                <w:sz w:val="21"/>
                <w:szCs w:val="21"/>
              </w:rPr>
              <w:t>Two-Piece Closed</w:t>
            </w:r>
          </w:p>
        </w:tc>
        <w:tc>
          <w:tcPr>
            <w:tcW w:w="2568" w:type="pct"/>
            <w:tcBorders>
              <w:top w:val="single" w:sz="4" w:space="0" w:color="auto"/>
              <w:left w:val="single" w:sz="4" w:space="0" w:color="auto"/>
              <w:bottom w:val="single" w:sz="4" w:space="0" w:color="auto"/>
              <w:right w:val="single" w:sz="4" w:space="0" w:color="auto"/>
            </w:tcBorders>
            <w:hideMark/>
          </w:tcPr>
          <w:p w14:paraId="7B84E86D" w14:textId="77777777" w:rsidR="00E7013B" w:rsidRPr="00B33BE6" w:rsidRDefault="00E7013B" w:rsidP="001440AA">
            <w:pPr>
              <w:numPr>
                <w:ilvl w:val="0"/>
                <w:numId w:val="13"/>
              </w:numPr>
              <w:spacing w:before="40" w:after="40"/>
              <w:rPr>
                <w:rFonts w:asciiTheme="minorHAnsi" w:hAnsiTheme="minorHAnsi" w:cstheme="minorHAnsi"/>
                <w:sz w:val="21"/>
                <w:szCs w:val="21"/>
              </w:rPr>
            </w:pPr>
            <w:r w:rsidRPr="00B33BE6">
              <w:rPr>
                <w:rFonts w:asciiTheme="minorHAnsi" w:hAnsiTheme="minorHAnsi" w:cstheme="minorHAnsi"/>
                <w:sz w:val="21"/>
                <w:szCs w:val="21"/>
              </w:rPr>
              <w:t>Mechanical Coupling</w:t>
            </w:r>
          </w:p>
          <w:p w14:paraId="34D59FF9" w14:textId="77777777" w:rsidR="00E7013B" w:rsidRPr="00B33BE6" w:rsidRDefault="00E7013B" w:rsidP="001440AA">
            <w:pPr>
              <w:numPr>
                <w:ilvl w:val="0"/>
                <w:numId w:val="13"/>
              </w:numPr>
              <w:spacing w:before="40" w:after="40"/>
              <w:rPr>
                <w:rFonts w:asciiTheme="minorHAnsi" w:hAnsiTheme="minorHAnsi" w:cstheme="minorHAnsi"/>
                <w:sz w:val="21"/>
                <w:szCs w:val="21"/>
              </w:rPr>
            </w:pPr>
            <w:r w:rsidRPr="00B33BE6">
              <w:rPr>
                <w:rFonts w:asciiTheme="minorHAnsi" w:hAnsiTheme="minorHAnsi" w:cstheme="minorHAnsi"/>
                <w:sz w:val="21"/>
                <w:szCs w:val="21"/>
              </w:rPr>
              <w:t>Adhesive Coupling</w:t>
            </w:r>
          </w:p>
        </w:tc>
      </w:tr>
      <w:tr w:rsidR="00E7013B" w:rsidRPr="00B33BE6" w14:paraId="6C31C22D" w14:textId="77777777" w:rsidTr="001440AA">
        <w:tc>
          <w:tcPr>
            <w:tcW w:w="941" w:type="pct"/>
            <w:tcBorders>
              <w:top w:val="single" w:sz="4" w:space="0" w:color="auto"/>
              <w:left w:val="single" w:sz="4" w:space="0" w:color="auto"/>
              <w:bottom w:val="single" w:sz="4" w:space="0" w:color="auto"/>
              <w:right w:val="single" w:sz="4" w:space="0" w:color="auto"/>
            </w:tcBorders>
            <w:hideMark/>
          </w:tcPr>
          <w:p w14:paraId="41FACAA9" w14:textId="77777777" w:rsidR="00E7013B" w:rsidRPr="00B33BE6" w:rsidRDefault="00E7013B" w:rsidP="001440AA">
            <w:pPr>
              <w:spacing w:before="40" w:after="40"/>
              <w:jc w:val="center"/>
              <w:rPr>
                <w:rFonts w:asciiTheme="minorHAnsi" w:hAnsiTheme="minorHAnsi" w:cstheme="minorHAnsi"/>
                <w:b/>
                <w:sz w:val="21"/>
                <w:szCs w:val="21"/>
              </w:rPr>
            </w:pPr>
            <w:r w:rsidRPr="00B33BE6">
              <w:rPr>
                <w:rFonts w:asciiTheme="minorHAnsi" w:hAnsiTheme="minorHAnsi" w:cstheme="minorHAnsi"/>
                <w:b/>
                <w:sz w:val="21"/>
                <w:szCs w:val="21"/>
              </w:rPr>
              <w:t>6</w:t>
            </w:r>
          </w:p>
        </w:tc>
        <w:tc>
          <w:tcPr>
            <w:tcW w:w="1491" w:type="pct"/>
            <w:tcBorders>
              <w:top w:val="single" w:sz="4" w:space="0" w:color="auto"/>
              <w:left w:val="single" w:sz="4" w:space="0" w:color="auto"/>
              <w:bottom w:val="single" w:sz="4" w:space="0" w:color="auto"/>
              <w:right w:val="single" w:sz="4" w:space="0" w:color="auto"/>
            </w:tcBorders>
            <w:hideMark/>
          </w:tcPr>
          <w:p w14:paraId="4D3D8E7C" w14:textId="77777777" w:rsidR="00E7013B" w:rsidRPr="00B33BE6" w:rsidRDefault="00E7013B" w:rsidP="001440AA">
            <w:pPr>
              <w:spacing w:before="40" w:after="40"/>
              <w:rPr>
                <w:rFonts w:asciiTheme="minorHAnsi" w:hAnsiTheme="minorHAnsi" w:cstheme="minorHAnsi"/>
                <w:sz w:val="21"/>
                <w:szCs w:val="21"/>
              </w:rPr>
            </w:pPr>
            <w:r w:rsidRPr="00B33BE6">
              <w:rPr>
                <w:rFonts w:asciiTheme="minorHAnsi" w:hAnsiTheme="minorHAnsi" w:cstheme="minorHAnsi"/>
                <w:sz w:val="21"/>
                <w:szCs w:val="21"/>
              </w:rPr>
              <w:t>Two-Piece Drainable</w:t>
            </w:r>
          </w:p>
        </w:tc>
        <w:tc>
          <w:tcPr>
            <w:tcW w:w="2568" w:type="pct"/>
            <w:tcBorders>
              <w:top w:val="single" w:sz="4" w:space="0" w:color="auto"/>
              <w:left w:val="single" w:sz="4" w:space="0" w:color="auto"/>
              <w:bottom w:val="single" w:sz="4" w:space="0" w:color="auto"/>
              <w:right w:val="single" w:sz="4" w:space="0" w:color="auto"/>
            </w:tcBorders>
            <w:hideMark/>
          </w:tcPr>
          <w:p w14:paraId="4D901AC4" w14:textId="77777777" w:rsidR="00E7013B" w:rsidRPr="00B33BE6" w:rsidRDefault="00E7013B" w:rsidP="001440AA">
            <w:pPr>
              <w:numPr>
                <w:ilvl w:val="0"/>
                <w:numId w:val="14"/>
              </w:numPr>
              <w:spacing w:before="40" w:after="40"/>
              <w:rPr>
                <w:rFonts w:asciiTheme="minorHAnsi" w:hAnsiTheme="minorHAnsi" w:cstheme="minorHAnsi"/>
                <w:sz w:val="21"/>
                <w:szCs w:val="21"/>
              </w:rPr>
            </w:pPr>
            <w:r w:rsidRPr="00B33BE6">
              <w:rPr>
                <w:rFonts w:asciiTheme="minorHAnsi" w:hAnsiTheme="minorHAnsi" w:cstheme="minorHAnsi"/>
                <w:sz w:val="21"/>
                <w:szCs w:val="21"/>
              </w:rPr>
              <w:t>Mechanical Coupling</w:t>
            </w:r>
          </w:p>
          <w:p w14:paraId="2C5FA460" w14:textId="77777777" w:rsidR="00E7013B" w:rsidRPr="00B33BE6" w:rsidRDefault="00E7013B" w:rsidP="001440AA">
            <w:pPr>
              <w:numPr>
                <w:ilvl w:val="0"/>
                <w:numId w:val="14"/>
              </w:numPr>
              <w:spacing w:before="40" w:after="40"/>
              <w:rPr>
                <w:rFonts w:asciiTheme="minorHAnsi" w:hAnsiTheme="minorHAnsi" w:cstheme="minorHAnsi"/>
                <w:sz w:val="21"/>
                <w:szCs w:val="21"/>
              </w:rPr>
            </w:pPr>
            <w:r w:rsidRPr="00B33BE6">
              <w:rPr>
                <w:rFonts w:asciiTheme="minorHAnsi" w:hAnsiTheme="minorHAnsi" w:cstheme="minorHAnsi"/>
                <w:sz w:val="21"/>
                <w:szCs w:val="21"/>
              </w:rPr>
              <w:t>Adhesive Coupling</w:t>
            </w:r>
          </w:p>
        </w:tc>
      </w:tr>
      <w:tr w:rsidR="00E7013B" w:rsidRPr="00B33BE6" w14:paraId="12A3DEA7" w14:textId="77777777" w:rsidTr="001440AA">
        <w:tc>
          <w:tcPr>
            <w:tcW w:w="941" w:type="pct"/>
            <w:tcBorders>
              <w:top w:val="single" w:sz="4" w:space="0" w:color="auto"/>
              <w:left w:val="single" w:sz="4" w:space="0" w:color="auto"/>
              <w:bottom w:val="single" w:sz="4" w:space="0" w:color="auto"/>
              <w:right w:val="single" w:sz="4" w:space="0" w:color="auto"/>
            </w:tcBorders>
            <w:hideMark/>
          </w:tcPr>
          <w:p w14:paraId="4BF3273E" w14:textId="77777777" w:rsidR="00E7013B" w:rsidRPr="00B33BE6" w:rsidRDefault="00E7013B" w:rsidP="001440AA">
            <w:pPr>
              <w:spacing w:before="40" w:after="40"/>
              <w:jc w:val="center"/>
              <w:rPr>
                <w:rFonts w:asciiTheme="minorHAnsi" w:hAnsiTheme="minorHAnsi" w:cstheme="minorHAnsi"/>
                <w:b/>
                <w:sz w:val="21"/>
                <w:szCs w:val="21"/>
              </w:rPr>
            </w:pPr>
            <w:r w:rsidRPr="00B33BE6">
              <w:rPr>
                <w:rFonts w:asciiTheme="minorHAnsi" w:hAnsiTheme="minorHAnsi" w:cstheme="minorHAnsi"/>
                <w:b/>
                <w:sz w:val="21"/>
                <w:szCs w:val="21"/>
              </w:rPr>
              <w:t>7</w:t>
            </w:r>
          </w:p>
        </w:tc>
        <w:tc>
          <w:tcPr>
            <w:tcW w:w="1491" w:type="pct"/>
            <w:tcBorders>
              <w:top w:val="single" w:sz="4" w:space="0" w:color="auto"/>
              <w:left w:val="single" w:sz="4" w:space="0" w:color="auto"/>
              <w:bottom w:val="single" w:sz="4" w:space="0" w:color="auto"/>
              <w:right w:val="single" w:sz="4" w:space="0" w:color="auto"/>
            </w:tcBorders>
            <w:hideMark/>
          </w:tcPr>
          <w:p w14:paraId="4A3548C5" w14:textId="77777777" w:rsidR="00E7013B" w:rsidRPr="00B33BE6" w:rsidRDefault="00E7013B" w:rsidP="001440AA">
            <w:pPr>
              <w:spacing w:before="40" w:after="40"/>
              <w:rPr>
                <w:rFonts w:asciiTheme="minorHAnsi" w:hAnsiTheme="minorHAnsi" w:cstheme="minorHAnsi"/>
                <w:sz w:val="21"/>
                <w:szCs w:val="21"/>
              </w:rPr>
            </w:pPr>
            <w:r w:rsidRPr="00B33BE6">
              <w:rPr>
                <w:rFonts w:asciiTheme="minorHAnsi" w:hAnsiTheme="minorHAnsi" w:cstheme="minorHAnsi"/>
                <w:sz w:val="21"/>
                <w:szCs w:val="21"/>
              </w:rPr>
              <w:t>Two-Piece Urostomy</w:t>
            </w:r>
          </w:p>
        </w:tc>
        <w:tc>
          <w:tcPr>
            <w:tcW w:w="2568" w:type="pct"/>
            <w:tcBorders>
              <w:top w:val="single" w:sz="4" w:space="0" w:color="auto"/>
              <w:left w:val="single" w:sz="4" w:space="0" w:color="auto"/>
              <w:bottom w:val="single" w:sz="4" w:space="0" w:color="auto"/>
              <w:right w:val="single" w:sz="4" w:space="0" w:color="auto"/>
            </w:tcBorders>
            <w:hideMark/>
          </w:tcPr>
          <w:p w14:paraId="79357FD6" w14:textId="77777777" w:rsidR="00E7013B" w:rsidRPr="00B33BE6" w:rsidRDefault="00E7013B" w:rsidP="001440AA">
            <w:pPr>
              <w:numPr>
                <w:ilvl w:val="0"/>
                <w:numId w:val="15"/>
              </w:numPr>
              <w:spacing w:before="40" w:after="40"/>
              <w:rPr>
                <w:rFonts w:asciiTheme="minorHAnsi" w:hAnsiTheme="minorHAnsi" w:cstheme="minorHAnsi"/>
                <w:sz w:val="21"/>
                <w:szCs w:val="21"/>
              </w:rPr>
            </w:pPr>
            <w:r w:rsidRPr="00B33BE6">
              <w:rPr>
                <w:rFonts w:asciiTheme="minorHAnsi" w:hAnsiTheme="minorHAnsi" w:cstheme="minorHAnsi"/>
                <w:sz w:val="21"/>
                <w:szCs w:val="21"/>
              </w:rPr>
              <w:t>Mechanical Coupling</w:t>
            </w:r>
          </w:p>
          <w:p w14:paraId="14761F85" w14:textId="77777777" w:rsidR="00E7013B" w:rsidRPr="00B33BE6" w:rsidRDefault="00E7013B" w:rsidP="001440AA">
            <w:pPr>
              <w:numPr>
                <w:ilvl w:val="0"/>
                <w:numId w:val="15"/>
              </w:numPr>
              <w:spacing w:before="40" w:after="40"/>
              <w:rPr>
                <w:rFonts w:asciiTheme="minorHAnsi" w:hAnsiTheme="minorHAnsi" w:cstheme="minorHAnsi"/>
                <w:sz w:val="21"/>
                <w:szCs w:val="21"/>
              </w:rPr>
            </w:pPr>
            <w:r w:rsidRPr="00B33BE6">
              <w:rPr>
                <w:rFonts w:asciiTheme="minorHAnsi" w:hAnsiTheme="minorHAnsi" w:cstheme="minorHAnsi"/>
                <w:sz w:val="21"/>
                <w:szCs w:val="21"/>
              </w:rPr>
              <w:t>Adhesive Coupling</w:t>
            </w:r>
          </w:p>
        </w:tc>
      </w:tr>
      <w:tr w:rsidR="00E7013B" w:rsidRPr="00B33BE6" w14:paraId="5277335D" w14:textId="77777777" w:rsidTr="001440AA">
        <w:tc>
          <w:tcPr>
            <w:tcW w:w="941" w:type="pct"/>
            <w:tcBorders>
              <w:top w:val="single" w:sz="4" w:space="0" w:color="auto"/>
              <w:left w:val="single" w:sz="4" w:space="0" w:color="auto"/>
              <w:bottom w:val="single" w:sz="4" w:space="0" w:color="auto"/>
              <w:right w:val="single" w:sz="4" w:space="0" w:color="auto"/>
            </w:tcBorders>
            <w:hideMark/>
          </w:tcPr>
          <w:p w14:paraId="33A15C06" w14:textId="77777777" w:rsidR="00E7013B" w:rsidRPr="00B33BE6" w:rsidRDefault="00E7013B" w:rsidP="001440AA">
            <w:pPr>
              <w:spacing w:before="40" w:after="40"/>
              <w:jc w:val="center"/>
              <w:rPr>
                <w:rFonts w:asciiTheme="minorHAnsi" w:hAnsiTheme="minorHAnsi" w:cstheme="minorHAnsi"/>
                <w:b/>
                <w:sz w:val="21"/>
                <w:szCs w:val="21"/>
              </w:rPr>
            </w:pPr>
            <w:r w:rsidRPr="00B33BE6">
              <w:rPr>
                <w:rFonts w:asciiTheme="minorHAnsi" w:hAnsiTheme="minorHAnsi" w:cstheme="minorHAnsi"/>
                <w:b/>
                <w:sz w:val="21"/>
                <w:szCs w:val="21"/>
              </w:rPr>
              <w:t>8</w:t>
            </w:r>
          </w:p>
        </w:tc>
        <w:tc>
          <w:tcPr>
            <w:tcW w:w="1491" w:type="pct"/>
            <w:tcBorders>
              <w:top w:val="single" w:sz="4" w:space="0" w:color="auto"/>
              <w:left w:val="single" w:sz="4" w:space="0" w:color="auto"/>
              <w:bottom w:val="single" w:sz="4" w:space="0" w:color="auto"/>
              <w:right w:val="single" w:sz="4" w:space="0" w:color="auto"/>
            </w:tcBorders>
            <w:hideMark/>
          </w:tcPr>
          <w:p w14:paraId="5054243A" w14:textId="77777777" w:rsidR="00E7013B" w:rsidRPr="00B33BE6" w:rsidRDefault="00E7013B" w:rsidP="001440AA">
            <w:pPr>
              <w:spacing w:before="40" w:after="40"/>
              <w:rPr>
                <w:rFonts w:asciiTheme="minorHAnsi" w:hAnsiTheme="minorHAnsi" w:cstheme="minorHAnsi"/>
                <w:sz w:val="21"/>
                <w:szCs w:val="21"/>
              </w:rPr>
            </w:pPr>
            <w:r w:rsidRPr="00B33BE6">
              <w:rPr>
                <w:rFonts w:asciiTheme="minorHAnsi" w:hAnsiTheme="minorHAnsi" w:cstheme="minorHAnsi"/>
                <w:sz w:val="21"/>
                <w:szCs w:val="21"/>
              </w:rPr>
              <w:t>Alternative Systems</w:t>
            </w:r>
          </w:p>
        </w:tc>
        <w:tc>
          <w:tcPr>
            <w:tcW w:w="2568" w:type="pct"/>
            <w:tcBorders>
              <w:top w:val="single" w:sz="4" w:space="0" w:color="auto"/>
              <w:left w:val="single" w:sz="4" w:space="0" w:color="auto"/>
              <w:bottom w:val="single" w:sz="4" w:space="0" w:color="auto"/>
              <w:right w:val="single" w:sz="4" w:space="0" w:color="auto"/>
            </w:tcBorders>
            <w:hideMark/>
          </w:tcPr>
          <w:p w14:paraId="46FE9AF0" w14:textId="77777777" w:rsidR="00E7013B" w:rsidRPr="00B33BE6" w:rsidRDefault="00E7013B" w:rsidP="001440AA">
            <w:pPr>
              <w:numPr>
                <w:ilvl w:val="0"/>
                <w:numId w:val="16"/>
              </w:numPr>
              <w:spacing w:before="40" w:after="40"/>
              <w:rPr>
                <w:rFonts w:asciiTheme="minorHAnsi" w:hAnsiTheme="minorHAnsi" w:cstheme="minorHAnsi"/>
                <w:sz w:val="21"/>
                <w:szCs w:val="21"/>
              </w:rPr>
            </w:pPr>
            <w:r w:rsidRPr="00B33BE6">
              <w:rPr>
                <w:rFonts w:asciiTheme="minorHAnsi" w:hAnsiTheme="minorHAnsi" w:cstheme="minorHAnsi"/>
                <w:sz w:val="21"/>
                <w:szCs w:val="21"/>
              </w:rPr>
              <w:t>Plug Systems</w:t>
            </w:r>
          </w:p>
          <w:p w14:paraId="308AC92C" w14:textId="77777777" w:rsidR="00E7013B" w:rsidRPr="00B33BE6" w:rsidRDefault="00E7013B" w:rsidP="001440AA">
            <w:pPr>
              <w:numPr>
                <w:ilvl w:val="0"/>
                <w:numId w:val="16"/>
              </w:numPr>
              <w:spacing w:before="40" w:after="40"/>
              <w:rPr>
                <w:rFonts w:asciiTheme="minorHAnsi" w:hAnsiTheme="minorHAnsi" w:cstheme="minorHAnsi"/>
                <w:sz w:val="21"/>
                <w:szCs w:val="21"/>
              </w:rPr>
            </w:pPr>
            <w:r w:rsidRPr="00B33BE6">
              <w:rPr>
                <w:rFonts w:asciiTheme="minorHAnsi" w:hAnsiTheme="minorHAnsi" w:cstheme="minorHAnsi"/>
                <w:sz w:val="21"/>
                <w:szCs w:val="21"/>
              </w:rPr>
              <w:t>Irrigation</w:t>
            </w:r>
          </w:p>
          <w:p w14:paraId="57546A9C" w14:textId="77777777" w:rsidR="00E7013B" w:rsidRPr="00B33BE6" w:rsidRDefault="00E7013B" w:rsidP="001440AA">
            <w:pPr>
              <w:numPr>
                <w:ilvl w:val="0"/>
                <w:numId w:val="16"/>
              </w:numPr>
              <w:spacing w:before="40" w:after="40"/>
              <w:rPr>
                <w:rFonts w:asciiTheme="minorHAnsi" w:hAnsiTheme="minorHAnsi" w:cstheme="minorHAnsi"/>
                <w:sz w:val="21"/>
                <w:szCs w:val="21"/>
              </w:rPr>
            </w:pPr>
            <w:r w:rsidRPr="00B33BE6">
              <w:rPr>
                <w:rFonts w:asciiTheme="minorHAnsi" w:hAnsiTheme="minorHAnsi" w:cstheme="minorHAnsi"/>
                <w:sz w:val="21"/>
                <w:szCs w:val="21"/>
              </w:rPr>
              <w:t>Catheters</w:t>
            </w:r>
          </w:p>
          <w:p w14:paraId="5C8AC367" w14:textId="77777777" w:rsidR="00E7013B" w:rsidRPr="00B33BE6" w:rsidRDefault="00E7013B" w:rsidP="001440AA">
            <w:pPr>
              <w:numPr>
                <w:ilvl w:val="0"/>
                <w:numId w:val="16"/>
              </w:numPr>
              <w:spacing w:before="40" w:after="40"/>
              <w:rPr>
                <w:rFonts w:asciiTheme="minorHAnsi" w:hAnsiTheme="minorHAnsi" w:cstheme="minorHAnsi"/>
                <w:sz w:val="21"/>
                <w:szCs w:val="21"/>
              </w:rPr>
            </w:pPr>
            <w:r w:rsidRPr="00B33BE6">
              <w:rPr>
                <w:rFonts w:asciiTheme="minorHAnsi" w:hAnsiTheme="minorHAnsi" w:cstheme="minorHAnsi"/>
                <w:sz w:val="21"/>
                <w:szCs w:val="21"/>
              </w:rPr>
              <w:t>Rubber Appliances</w:t>
            </w:r>
          </w:p>
        </w:tc>
      </w:tr>
      <w:tr w:rsidR="00E7013B" w:rsidRPr="00B33BE6" w14:paraId="63F98A60" w14:textId="77777777" w:rsidTr="001440AA">
        <w:tc>
          <w:tcPr>
            <w:tcW w:w="941" w:type="pct"/>
            <w:tcBorders>
              <w:top w:val="single" w:sz="4" w:space="0" w:color="auto"/>
              <w:left w:val="single" w:sz="4" w:space="0" w:color="auto"/>
              <w:bottom w:val="single" w:sz="4" w:space="0" w:color="auto"/>
              <w:right w:val="single" w:sz="4" w:space="0" w:color="auto"/>
            </w:tcBorders>
            <w:hideMark/>
          </w:tcPr>
          <w:p w14:paraId="41FA54AC" w14:textId="77777777" w:rsidR="00E7013B" w:rsidRPr="00B33BE6" w:rsidRDefault="00E7013B" w:rsidP="001440AA">
            <w:pPr>
              <w:spacing w:before="40" w:after="40"/>
              <w:jc w:val="center"/>
              <w:rPr>
                <w:rFonts w:asciiTheme="minorHAnsi" w:hAnsiTheme="minorHAnsi" w:cstheme="minorHAnsi"/>
                <w:b/>
                <w:sz w:val="21"/>
                <w:szCs w:val="21"/>
              </w:rPr>
            </w:pPr>
            <w:r w:rsidRPr="00B33BE6">
              <w:rPr>
                <w:rFonts w:asciiTheme="minorHAnsi" w:hAnsiTheme="minorHAnsi" w:cstheme="minorHAnsi"/>
                <w:b/>
                <w:sz w:val="21"/>
                <w:szCs w:val="21"/>
              </w:rPr>
              <w:t>9</w:t>
            </w:r>
          </w:p>
        </w:tc>
        <w:tc>
          <w:tcPr>
            <w:tcW w:w="1491" w:type="pct"/>
            <w:tcBorders>
              <w:top w:val="single" w:sz="4" w:space="0" w:color="auto"/>
              <w:left w:val="single" w:sz="4" w:space="0" w:color="auto"/>
              <w:bottom w:val="single" w:sz="4" w:space="0" w:color="auto"/>
              <w:right w:val="single" w:sz="4" w:space="0" w:color="auto"/>
            </w:tcBorders>
            <w:hideMark/>
          </w:tcPr>
          <w:p w14:paraId="3B8F14D0" w14:textId="77777777" w:rsidR="00E7013B" w:rsidRPr="00B33BE6" w:rsidRDefault="00E7013B" w:rsidP="001440AA">
            <w:pPr>
              <w:spacing w:before="40" w:after="40"/>
              <w:rPr>
                <w:rFonts w:asciiTheme="minorHAnsi" w:hAnsiTheme="minorHAnsi" w:cstheme="minorHAnsi"/>
                <w:sz w:val="21"/>
                <w:szCs w:val="21"/>
              </w:rPr>
            </w:pPr>
            <w:r w:rsidRPr="00B33BE6">
              <w:rPr>
                <w:rFonts w:asciiTheme="minorHAnsi" w:hAnsiTheme="minorHAnsi" w:cstheme="minorHAnsi"/>
                <w:sz w:val="21"/>
                <w:szCs w:val="21"/>
              </w:rPr>
              <w:t>Accessories</w:t>
            </w:r>
          </w:p>
        </w:tc>
        <w:tc>
          <w:tcPr>
            <w:tcW w:w="2568" w:type="pct"/>
            <w:tcBorders>
              <w:top w:val="single" w:sz="4" w:space="0" w:color="auto"/>
              <w:left w:val="single" w:sz="4" w:space="0" w:color="auto"/>
              <w:bottom w:val="single" w:sz="4" w:space="0" w:color="auto"/>
              <w:right w:val="single" w:sz="4" w:space="0" w:color="auto"/>
            </w:tcBorders>
            <w:hideMark/>
          </w:tcPr>
          <w:p w14:paraId="7B1E5097" w14:textId="77777777" w:rsidR="00E7013B" w:rsidRPr="00B33BE6" w:rsidRDefault="00E7013B" w:rsidP="001440AA">
            <w:pPr>
              <w:numPr>
                <w:ilvl w:val="0"/>
                <w:numId w:val="17"/>
              </w:numPr>
              <w:spacing w:before="40" w:after="40"/>
              <w:rPr>
                <w:rFonts w:asciiTheme="minorHAnsi" w:hAnsiTheme="minorHAnsi" w:cstheme="minorHAnsi"/>
                <w:sz w:val="21"/>
                <w:szCs w:val="21"/>
              </w:rPr>
            </w:pPr>
            <w:r w:rsidRPr="00B33BE6">
              <w:rPr>
                <w:rFonts w:asciiTheme="minorHAnsi" w:hAnsiTheme="minorHAnsi" w:cstheme="minorHAnsi"/>
                <w:sz w:val="21"/>
                <w:szCs w:val="21"/>
              </w:rPr>
              <w:t>Adhesive Barrier</w:t>
            </w:r>
          </w:p>
          <w:p w14:paraId="5506B9AC" w14:textId="77777777" w:rsidR="00E7013B" w:rsidRPr="00B33BE6" w:rsidRDefault="00E7013B" w:rsidP="001440AA">
            <w:pPr>
              <w:numPr>
                <w:ilvl w:val="0"/>
                <w:numId w:val="17"/>
              </w:numPr>
              <w:spacing w:before="40" w:after="40"/>
              <w:rPr>
                <w:rFonts w:asciiTheme="minorHAnsi" w:hAnsiTheme="minorHAnsi" w:cstheme="minorHAnsi"/>
                <w:sz w:val="21"/>
                <w:szCs w:val="21"/>
              </w:rPr>
            </w:pPr>
            <w:r w:rsidRPr="00B33BE6">
              <w:rPr>
                <w:rFonts w:asciiTheme="minorHAnsi" w:hAnsiTheme="minorHAnsi" w:cstheme="minorHAnsi"/>
                <w:sz w:val="21"/>
                <w:szCs w:val="21"/>
              </w:rPr>
              <w:t>Belts</w:t>
            </w:r>
          </w:p>
          <w:p w14:paraId="7E0DEF65" w14:textId="77777777" w:rsidR="00E7013B" w:rsidRPr="00B33BE6" w:rsidRDefault="00E7013B" w:rsidP="001440AA">
            <w:pPr>
              <w:numPr>
                <w:ilvl w:val="0"/>
                <w:numId w:val="17"/>
              </w:numPr>
              <w:spacing w:before="40" w:after="40"/>
              <w:rPr>
                <w:rFonts w:asciiTheme="minorHAnsi" w:hAnsiTheme="minorHAnsi" w:cstheme="minorHAnsi"/>
                <w:sz w:val="21"/>
                <w:szCs w:val="21"/>
              </w:rPr>
            </w:pPr>
            <w:r w:rsidRPr="00B33BE6">
              <w:rPr>
                <w:rFonts w:asciiTheme="minorHAnsi" w:hAnsiTheme="minorHAnsi" w:cstheme="minorHAnsi"/>
                <w:sz w:val="21"/>
                <w:szCs w:val="21"/>
              </w:rPr>
              <w:t>Clamps and Clips</w:t>
            </w:r>
          </w:p>
          <w:p w14:paraId="77A5F5D1" w14:textId="77777777" w:rsidR="00E7013B" w:rsidRPr="00B33BE6" w:rsidRDefault="00E7013B" w:rsidP="001440AA">
            <w:pPr>
              <w:numPr>
                <w:ilvl w:val="0"/>
                <w:numId w:val="17"/>
              </w:numPr>
              <w:spacing w:before="40" w:after="40"/>
              <w:rPr>
                <w:rFonts w:asciiTheme="minorHAnsi" w:hAnsiTheme="minorHAnsi" w:cstheme="minorHAnsi"/>
                <w:sz w:val="21"/>
                <w:szCs w:val="21"/>
              </w:rPr>
            </w:pPr>
            <w:r w:rsidRPr="00B33BE6">
              <w:rPr>
                <w:rFonts w:asciiTheme="minorHAnsi" w:hAnsiTheme="minorHAnsi" w:cstheme="minorHAnsi"/>
                <w:sz w:val="21"/>
                <w:szCs w:val="21"/>
              </w:rPr>
              <w:t>Cleansers and Solvents</w:t>
            </w:r>
          </w:p>
          <w:p w14:paraId="34D44425" w14:textId="77777777" w:rsidR="00E7013B" w:rsidRPr="00B33BE6" w:rsidRDefault="00E7013B" w:rsidP="001440AA">
            <w:pPr>
              <w:numPr>
                <w:ilvl w:val="0"/>
                <w:numId w:val="17"/>
              </w:numPr>
              <w:spacing w:before="40" w:after="40"/>
              <w:rPr>
                <w:rFonts w:asciiTheme="minorHAnsi" w:hAnsiTheme="minorHAnsi" w:cstheme="minorHAnsi"/>
                <w:sz w:val="21"/>
                <w:szCs w:val="21"/>
              </w:rPr>
            </w:pPr>
            <w:r w:rsidRPr="00B33BE6">
              <w:rPr>
                <w:rFonts w:asciiTheme="minorHAnsi" w:hAnsiTheme="minorHAnsi" w:cstheme="minorHAnsi"/>
                <w:sz w:val="21"/>
                <w:szCs w:val="21"/>
              </w:rPr>
              <w:t>Convexity Inserts</w:t>
            </w:r>
          </w:p>
          <w:p w14:paraId="4E47049A" w14:textId="77777777" w:rsidR="00E7013B" w:rsidRPr="00B33BE6" w:rsidRDefault="00E7013B" w:rsidP="001440AA">
            <w:pPr>
              <w:numPr>
                <w:ilvl w:val="0"/>
                <w:numId w:val="17"/>
              </w:numPr>
              <w:spacing w:before="40" w:after="40"/>
              <w:rPr>
                <w:rFonts w:asciiTheme="minorHAnsi" w:hAnsiTheme="minorHAnsi" w:cstheme="minorHAnsi"/>
                <w:sz w:val="21"/>
                <w:szCs w:val="21"/>
              </w:rPr>
            </w:pPr>
            <w:r w:rsidRPr="00B33BE6">
              <w:rPr>
                <w:rFonts w:asciiTheme="minorHAnsi" w:hAnsiTheme="minorHAnsi" w:cstheme="minorHAnsi"/>
                <w:sz w:val="21"/>
                <w:szCs w:val="21"/>
              </w:rPr>
              <w:t>Creams and Ointments</w:t>
            </w:r>
          </w:p>
          <w:p w14:paraId="15885486" w14:textId="77777777" w:rsidR="00E7013B" w:rsidRPr="00B33BE6" w:rsidRDefault="00E7013B" w:rsidP="001440AA">
            <w:pPr>
              <w:numPr>
                <w:ilvl w:val="0"/>
                <w:numId w:val="17"/>
              </w:numPr>
              <w:spacing w:before="40" w:after="40"/>
              <w:rPr>
                <w:rFonts w:asciiTheme="minorHAnsi" w:hAnsiTheme="minorHAnsi" w:cstheme="minorHAnsi"/>
                <w:sz w:val="21"/>
                <w:szCs w:val="21"/>
              </w:rPr>
            </w:pPr>
            <w:r w:rsidRPr="00B33BE6">
              <w:rPr>
                <w:rFonts w:asciiTheme="minorHAnsi" w:hAnsiTheme="minorHAnsi" w:cstheme="minorHAnsi"/>
                <w:sz w:val="21"/>
                <w:szCs w:val="21"/>
              </w:rPr>
              <w:t>Deodorants</w:t>
            </w:r>
          </w:p>
          <w:p w14:paraId="2A1F6495" w14:textId="77777777" w:rsidR="00E7013B" w:rsidRPr="00B33BE6" w:rsidRDefault="00E7013B" w:rsidP="001440AA">
            <w:pPr>
              <w:numPr>
                <w:ilvl w:val="0"/>
                <w:numId w:val="17"/>
              </w:numPr>
              <w:spacing w:before="40" w:after="40"/>
              <w:rPr>
                <w:rFonts w:asciiTheme="minorHAnsi" w:hAnsiTheme="minorHAnsi" w:cstheme="minorHAnsi"/>
                <w:sz w:val="21"/>
                <w:szCs w:val="21"/>
              </w:rPr>
            </w:pPr>
            <w:r w:rsidRPr="00B33BE6">
              <w:rPr>
                <w:rFonts w:asciiTheme="minorHAnsi" w:hAnsiTheme="minorHAnsi" w:cstheme="minorHAnsi"/>
                <w:sz w:val="21"/>
                <w:szCs w:val="21"/>
              </w:rPr>
              <w:t>Hernia Support Belts and Garments</w:t>
            </w:r>
          </w:p>
          <w:p w14:paraId="1162820C" w14:textId="77777777" w:rsidR="00E7013B" w:rsidRPr="00B33BE6" w:rsidRDefault="00E7013B" w:rsidP="001440AA">
            <w:pPr>
              <w:numPr>
                <w:ilvl w:val="0"/>
                <w:numId w:val="17"/>
              </w:numPr>
              <w:spacing w:before="40" w:after="40"/>
              <w:rPr>
                <w:rFonts w:asciiTheme="minorHAnsi" w:hAnsiTheme="minorHAnsi" w:cstheme="minorHAnsi"/>
                <w:sz w:val="21"/>
                <w:szCs w:val="21"/>
              </w:rPr>
            </w:pPr>
            <w:r w:rsidRPr="00B33BE6">
              <w:rPr>
                <w:rFonts w:asciiTheme="minorHAnsi" w:hAnsiTheme="minorHAnsi" w:cstheme="minorHAnsi"/>
                <w:sz w:val="21"/>
                <w:szCs w:val="21"/>
              </w:rPr>
              <w:t>Night Drainage</w:t>
            </w:r>
          </w:p>
          <w:p w14:paraId="0B23B8A4" w14:textId="77777777" w:rsidR="00E7013B" w:rsidRPr="00B33BE6" w:rsidRDefault="00E7013B" w:rsidP="001440AA">
            <w:pPr>
              <w:numPr>
                <w:ilvl w:val="0"/>
                <w:numId w:val="17"/>
              </w:numPr>
              <w:spacing w:before="40" w:after="40"/>
              <w:rPr>
                <w:rFonts w:asciiTheme="minorHAnsi" w:hAnsiTheme="minorHAnsi" w:cstheme="minorHAnsi"/>
                <w:sz w:val="21"/>
                <w:szCs w:val="21"/>
              </w:rPr>
            </w:pPr>
            <w:r w:rsidRPr="00B33BE6">
              <w:rPr>
                <w:rFonts w:asciiTheme="minorHAnsi" w:hAnsiTheme="minorHAnsi" w:cstheme="minorHAnsi"/>
                <w:sz w:val="21"/>
                <w:szCs w:val="21"/>
              </w:rPr>
              <w:t>Powders and Pastes</w:t>
            </w:r>
          </w:p>
          <w:p w14:paraId="746F1A7B" w14:textId="77777777" w:rsidR="00E7013B" w:rsidRPr="00B33BE6" w:rsidRDefault="00E7013B" w:rsidP="001440AA">
            <w:pPr>
              <w:numPr>
                <w:ilvl w:val="0"/>
                <w:numId w:val="17"/>
              </w:numPr>
              <w:spacing w:before="40" w:after="40"/>
              <w:rPr>
                <w:rFonts w:asciiTheme="minorHAnsi" w:hAnsiTheme="minorHAnsi" w:cstheme="minorHAnsi"/>
                <w:sz w:val="21"/>
                <w:szCs w:val="21"/>
              </w:rPr>
            </w:pPr>
            <w:r w:rsidRPr="00B33BE6">
              <w:rPr>
                <w:rFonts w:asciiTheme="minorHAnsi" w:hAnsiTheme="minorHAnsi" w:cstheme="minorHAnsi"/>
                <w:sz w:val="21"/>
                <w:szCs w:val="21"/>
              </w:rPr>
              <w:t>Protective Films</w:t>
            </w:r>
          </w:p>
          <w:p w14:paraId="6557D5A5" w14:textId="77777777" w:rsidR="00E7013B" w:rsidRPr="00B33BE6" w:rsidRDefault="00E7013B" w:rsidP="001440AA">
            <w:pPr>
              <w:numPr>
                <w:ilvl w:val="0"/>
                <w:numId w:val="17"/>
              </w:numPr>
              <w:spacing w:before="40" w:after="40"/>
              <w:rPr>
                <w:rFonts w:asciiTheme="minorHAnsi" w:hAnsiTheme="minorHAnsi" w:cstheme="minorHAnsi"/>
                <w:sz w:val="21"/>
                <w:szCs w:val="21"/>
              </w:rPr>
            </w:pPr>
            <w:r w:rsidRPr="00B33BE6">
              <w:rPr>
                <w:rFonts w:asciiTheme="minorHAnsi" w:hAnsiTheme="minorHAnsi" w:cstheme="minorHAnsi"/>
                <w:sz w:val="21"/>
                <w:szCs w:val="21"/>
              </w:rPr>
              <w:t>Seals</w:t>
            </w:r>
          </w:p>
          <w:p w14:paraId="75AC099C" w14:textId="77777777" w:rsidR="00E7013B" w:rsidRPr="00B33BE6" w:rsidRDefault="00E7013B" w:rsidP="001440AA">
            <w:pPr>
              <w:numPr>
                <w:ilvl w:val="0"/>
                <w:numId w:val="17"/>
              </w:numPr>
              <w:spacing w:before="40" w:after="40"/>
              <w:rPr>
                <w:rFonts w:asciiTheme="minorHAnsi" w:hAnsiTheme="minorHAnsi" w:cstheme="minorHAnsi"/>
                <w:sz w:val="21"/>
                <w:szCs w:val="21"/>
              </w:rPr>
            </w:pPr>
            <w:r w:rsidRPr="00B33BE6">
              <w:rPr>
                <w:rFonts w:asciiTheme="minorHAnsi" w:hAnsiTheme="minorHAnsi" w:cstheme="minorHAnsi"/>
                <w:sz w:val="21"/>
                <w:szCs w:val="21"/>
              </w:rPr>
              <w:t>Miscellaneous</w:t>
            </w:r>
          </w:p>
        </w:tc>
      </w:tr>
      <w:tr w:rsidR="00E7013B" w:rsidRPr="00B33BE6" w14:paraId="5C52D9E4" w14:textId="77777777" w:rsidTr="001440AA">
        <w:tc>
          <w:tcPr>
            <w:tcW w:w="941" w:type="pct"/>
            <w:tcBorders>
              <w:top w:val="single" w:sz="4" w:space="0" w:color="auto"/>
              <w:left w:val="single" w:sz="4" w:space="0" w:color="auto"/>
              <w:bottom w:val="single" w:sz="4" w:space="0" w:color="auto"/>
              <w:right w:val="single" w:sz="4" w:space="0" w:color="auto"/>
            </w:tcBorders>
            <w:hideMark/>
          </w:tcPr>
          <w:p w14:paraId="773E6382" w14:textId="77777777" w:rsidR="00E7013B" w:rsidRPr="00B33BE6" w:rsidRDefault="00E7013B" w:rsidP="001440AA">
            <w:pPr>
              <w:spacing w:before="40" w:after="40"/>
              <w:jc w:val="center"/>
              <w:rPr>
                <w:rFonts w:asciiTheme="minorHAnsi" w:hAnsiTheme="minorHAnsi" w:cstheme="minorHAnsi"/>
                <w:b/>
                <w:sz w:val="21"/>
                <w:szCs w:val="21"/>
              </w:rPr>
            </w:pPr>
            <w:r w:rsidRPr="00B33BE6">
              <w:rPr>
                <w:rFonts w:asciiTheme="minorHAnsi" w:hAnsiTheme="minorHAnsi" w:cstheme="minorHAnsi"/>
                <w:b/>
                <w:sz w:val="21"/>
                <w:szCs w:val="21"/>
              </w:rPr>
              <w:t>10</w:t>
            </w:r>
          </w:p>
        </w:tc>
        <w:tc>
          <w:tcPr>
            <w:tcW w:w="1491" w:type="pct"/>
            <w:tcBorders>
              <w:top w:val="single" w:sz="4" w:space="0" w:color="auto"/>
              <w:left w:val="single" w:sz="4" w:space="0" w:color="auto"/>
              <w:bottom w:val="single" w:sz="4" w:space="0" w:color="auto"/>
              <w:right w:val="single" w:sz="4" w:space="0" w:color="auto"/>
            </w:tcBorders>
            <w:hideMark/>
          </w:tcPr>
          <w:p w14:paraId="2F7C5BE0" w14:textId="77777777" w:rsidR="00E7013B" w:rsidRPr="00B33BE6" w:rsidRDefault="00E7013B" w:rsidP="001440AA">
            <w:pPr>
              <w:spacing w:before="40" w:after="40"/>
              <w:rPr>
                <w:rFonts w:asciiTheme="minorHAnsi" w:hAnsiTheme="minorHAnsi" w:cstheme="minorHAnsi"/>
                <w:sz w:val="21"/>
                <w:szCs w:val="21"/>
              </w:rPr>
            </w:pPr>
            <w:r w:rsidRPr="00B33BE6">
              <w:rPr>
                <w:rFonts w:asciiTheme="minorHAnsi" w:hAnsiTheme="minorHAnsi" w:cstheme="minorHAnsi"/>
                <w:sz w:val="21"/>
                <w:szCs w:val="21"/>
              </w:rPr>
              <w:t>Paediatric</w:t>
            </w:r>
          </w:p>
        </w:tc>
        <w:tc>
          <w:tcPr>
            <w:tcW w:w="2568" w:type="pct"/>
            <w:tcBorders>
              <w:top w:val="single" w:sz="4" w:space="0" w:color="auto"/>
              <w:left w:val="single" w:sz="4" w:space="0" w:color="auto"/>
              <w:bottom w:val="single" w:sz="4" w:space="0" w:color="auto"/>
              <w:right w:val="single" w:sz="4" w:space="0" w:color="auto"/>
            </w:tcBorders>
            <w:hideMark/>
          </w:tcPr>
          <w:p w14:paraId="50DD7EB6" w14:textId="77777777" w:rsidR="00E7013B" w:rsidRPr="00B33BE6" w:rsidRDefault="00E7013B" w:rsidP="001440AA">
            <w:pPr>
              <w:tabs>
                <w:tab w:val="left" w:pos="747"/>
              </w:tabs>
              <w:spacing w:before="40" w:after="40"/>
              <w:ind w:left="360"/>
              <w:rPr>
                <w:rFonts w:asciiTheme="minorHAnsi" w:hAnsiTheme="minorHAnsi" w:cstheme="minorHAnsi"/>
                <w:sz w:val="21"/>
                <w:szCs w:val="21"/>
              </w:rPr>
            </w:pPr>
            <w:r w:rsidRPr="00B33BE6">
              <w:rPr>
                <w:rFonts w:asciiTheme="minorHAnsi" w:hAnsiTheme="minorHAnsi" w:cstheme="minorHAnsi"/>
                <w:sz w:val="21"/>
                <w:szCs w:val="21"/>
              </w:rPr>
              <w:t>(a)</w:t>
            </w:r>
            <w:r w:rsidRPr="00B33BE6">
              <w:rPr>
                <w:rFonts w:asciiTheme="minorHAnsi" w:hAnsiTheme="minorHAnsi" w:cstheme="minorHAnsi"/>
                <w:sz w:val="21"/>
                <w:szCs w:val="21"/>
              </w:rPr>
              <w:tab/>
              <w:t>All</w:t>
            </w:r>
          </w:p>
        </w:tc>
      </w:tr>
      <w:tr w:rsidR="00E7013B" w:rsidRPr="00B33BE6" w14:paraId="60802C4F" w14:textId="77777777" w:rsidTr="001440AA">
        <w:tc>
          <w:tcPr>
            <w:tcW w:w="941" w:type="pct"/>
            <w:tcBorders>
              <w:top w:val="single" w:sz="4" w:space="0" w:color="auto"/>
              <w:left w:val="single" w:sz="4" w:space="0" w:color="auto"/>
              <w:bottom w:val="single" w:sz="4" w:space="0" w:color="auto"/>
              <w:right w:val="single" w:sz="4" w:space="0" w:color="auto"/>
            </w:tcBorders>
            <w:hideMark/>
          </w:tcPr>
          <w:p w14:paraId="717DEE7F" w14:textId="77777777" w:rsidR="00E7013B" w:rsidRPr="00B33BE6" w:rsidRDefault="00E7013B" w:rsidP="001440AA">
            <w:pPr>
              <w:spacing w:before="40" w:after="40"/>
              <w:jc w:val="center"/>
              <w:rPr>
                <w:rFonts w:asciiTheme="minorHAnsi" w:hAnsiTheme="minorHAnsi" w:cstheme="minorHAnsi"/>
                <w:b/>
                <w:sz w:val="21"/>
                <w:szCs w:val="21"/>
              </w:rPr>
            </w:pPr>
            <w:r w:rsidRPr="00B33BE6">
              <w:rPr>
                <w:rFonts w:asciiTheme="minorHAnsi" w:hAnsiTheme="minorHAnsi" w:cstheme="minorHAnsi"/>
                <w:b/>
                <w:sz w:val="21"/>
                <w:szCs w:val="21"/>
              </w:rPr>
              <w:t>11</w:t>
            </w:r>
          </w:p>
        </w:tc>
        <w:tc>
          <w:tcPr>
            <w:tcW w:w="1491" w:type="pct"/>
            <w:tcBorders>
              <w:top w:val="single" w:sz="4" w:space="0" w:color="auto"/>
              <w:left w:val="single" w:sz="4" w:space="0" w:color="auto"/>
              <w:bottom w:val="single" w:sz="4" w:space="0" w:color="auto"/>
              <w:right w:val="single" w:sz="4" w:space="0" w:color="auto"/>
            </w:tcBorders>
            <w:hideMark/>
          </w:tcPr>
          <w:p w14:paraId="073362D8" w14:textId="77777777" w:rsidR="00E7013B" w:rsidRPr="00B33BE6" w:rsidRDefault="00E7013B" w:rsidP="001440AA">
            <w:pPr>
              <w:spacing w:before="40" w:after="40"/>
              <w:rPr>
                <w:rFonts w:asciiTheme="minorHAnsi" w:hAnsiTheme="minorHAnsi" w:cstheme="minorHAnsi"/>
                <w:sz w:val="21"/>
                <w:szCs w:val="21"/>
              </w:rPr>
            </w:pPr>
            <w:r w:rsidRPr="00B33BE6">
              <w:rPr>
                <w:rFonts w:asciiTheme="minorHAnsi" w:hAnsiTheme="minorHAnsi" w:cstheme="minorHAnsi"/>
                <w:sz w:val="21"/>
                <w:szCs w:val="21"/>
              </w:rPr>
              <w:t>Fistulae</w:t>
            </w:r>
          </w:p>
        </w:tc>
        <w:tc>
          <w:tcPr>
            <w:tcW w:w="2568" w:type="pct"/>
            <w:tcBorders>
              <w:top w:val="single" w:sz="4" w:space="0" w:color="auto"/>
              <w:left w:val="single" w:sz="4" w:space="0" w:color="auto"/>
              <w:bottom w:val="single" w:sz="4" w:space="0" w:color="auto"/>
              <w:right w:val="single" w:sz="4" w:space="0" w:color="auto"/>
            </w:tcBorders>
            <w:hideMark/>
          </w:tcPr>
          <w:p w14:paraId="5963B0BD" w14:textId="77777777" w:rsidR="00E7013B" w:rsidRPr="00B33BE6" w:rsidRDefault="00E7013B" w:rsidP="001440AA">
            <w:pPr>
              <w:tabs>
                <w:tab w:val="left" w:pos="747"/>
              </w:tabs>
              <w:spacing w:before="40" w:after="40"/>
              <w:ind w:left="360"/>
              <w:rPr>
                <w:rFonts w:asciiTheme="minorHAnsi" w:hAnsiTheme="minorHAnsi" w:cstheme="minorHAnsi"/>
                <w:sz w:val="21"/>
                <w:szCs w:val="21"/>
              </w:rPr>
            </w:pPr>
            <w:r w:rsidRPr="00B33BE6">
              <w:rPr>
                <w:rFonts w:asciiTheme="minorHAnsi" w:hAnsiTheme="minorHAnsi" w:cstheme="minorHAnsi"/>
                <w:sz w:val="21"/>
                <w:szCs w:val="21"/>
              </w:rPr>
              <w:t>(a)</w:t>
            </w:r>
            <w:r w:rsidRPr="00B33BE6">
              <w:rPr>
                <w:rFonts w:asciiTheme="minorHAnsi" w:hAnsiTheme="minorHAnsi" w:cstheme="minorHAnsi"/>
                <w:sz w:val="21"/>
                <w:szCs w:val="21"/>
              </w:rPr>
              <w:tab/>
              <w:t>All</w:t>
            </w:r>
          </w:p>
        </w:tc>
      </w:tr>
    </w:tbl>
    <w:p w14:paraId="3030B0E3" w14:textId="77777777" w:rsidR="00E7013B" w:rsidRDefault="00E7013B" w:rsidP="00E7013B">
      <w:pPr>
        <w:pStyle w:val="Heading3"/>
      </w:pPr>
      <w:bookmarkStart w:id="5" w:name="_Toc175909175"/>
      <w:r>
        <w:lastRenderedPageBreak/>
        <w:t>Product p</w:t>
      </w:r>
      <w:r w:rsidRPr="00134ED0">
        <w:t>ricing</w:t>
      </w:r>
      <w:r>
        <w:t>,</w:t>
      </w:r>
      <w:r w:rsidRPr="00134ED0">
        <w:t xml:space="preserve"> maximum quantities</w:t>
      </w:r>
      <w:r>
        <w:t>, and restrictions</w:t>
      </w:r>
      <w:bookmarkEnd w:id="5"/>
      <w:r w:rsidRPr="00134ED0">
        <w:t xml:space="preserve"> </w:t>
      </w:r>
    </w:p>
    <w:p w14:paraId="56FEB44D" w14:textId="77777777" w:rsidR="00E7013B" w:rsidRPr="00702D99" w:rsidRDefault="00E7013B" w:rsidP="00702D99">
      <w:pPr>
        <w:pStyle w:val="Heading4"/>
      </w:pPr>
      <w:r w:rsidRPr="00702D99">
        <w:t>Product Pricing</w:t>
      </w:r>
    </w:p>
    <w:p w14:paraId="0457E4E3" w14:textId="77777777" w:rsidR="00E7013B" w:rsidRDefault="00E7013B" w:rsidP="00E7013B">
      <w:bookmarkStart w:id="6" w:name="_Hlk170374953"/>
      <w:r w:rsidRPr="00097863">
        <w:t xml:space="preserve">Product prices on the SAS Schedule are set by the </w:t>
      </w:r>
      <w:r>
        <w:t xml:space="preserve">Government </w:t>
      </w:r>
      <w:r w:rsidRPr="00097863">
        <w:t xml:space="preserve">following advice from the SPAP. </w:t>
      </w:r>
      <w:r w:rsidRPr="00260C7E">
        <w:t>Products in Groups 1</w:t>
      </w:r>
      <w:r>
        <w:t xml:space="preserve"> to </w:t>
      </w:r>
      <w:r w:rsidRPr="00260C7E">
        <w:t xml:space="preserve">7 are priced according to a benchmark price or a price premium. </w:t>
      </w:r>
      <w:r w:rsidRPr="00097863">
        <w:t xml:space="preserve">The </w:t>
      </w:r>
      <w:r>
        <w:t>Government</w:t>
      </w:r>
      <w:r w:rsidRPr="00097863">
        <w:t xml:space="preserve"> has defined a benchmark price for each subgroup in Groups 1</w:t>
      </w:r>
      <w:r>
        <w:t xml:space="preserve"> to </w:t>
      </w:r>
      <w:r w:rsidRPr="00097863">
        <w:t>7</w:t>
      </w:r>
      <w:r>
        <w:t>,</w:t>
      </w:r>
      <w:r w:rsidRPr="00097863">
        <w:t xml:space="preserve"> which allows products to be priced consistently and appropriately. </w:t>
      </w:r>
      <w:r w:rsidRPr="00260C7E">
        <w:t xml:space="preserve">Products that are equivalent </w:t>
      </w:r>
      <w:r w:rsidRPr="00097863">
        <w:t xml:space="preserve">in terms of features, safety and clinical effectiveness </w:t>
      </w:r>
      <w:r w:rsidRPr="00260C7E">
        <w:t>to a benchmark product already listed on the SAS Schedule are listed at the benchmark price. If</w:t>
      </w:r>
      <w:r>
        <w:t xml:space="preserve"> a</w:t>
      </w:r>
      <w:r w:rsidRPr="00097863">
        <w:t xml:space="preserve"> </w:t>
      </w:r>
      <w:r w:rsidRPr="00260C7E">
        <w:t xml:space="preserve">product has </w:t>
      </w:r>
      <w:r>
        <w:t>features providing an additional clinical benefit</w:t>
      </w:r>
      <w:r w:rsidRPr="00260C7E">
        <w:t xml:space="preserve">, the product </w:t>
      </w:r>
      <w:r w:rsidRPr="00097863">
        <w:t xml:space="preserve">may be eligible to be listed at a higher price than the benchmark price. The SPAP will recommend a price premium where evidence supports that the product offers an improved outcome over the benchmark product. The price premium </w:t>
      </w:r>
      <w:r w:rsidRPr="00260C7E">
        <w:t>reflect</w:t>
      </w:r>
      <w:r>
        <w:t>s</w:t>
      </w:r>
      <w:r w:rsidRPr="00260C7E">
        <w:t xml:space="preserve"> the additional benefit(s) the product offers</w:t>
      </w:r>
      <w:r w:rsidRPr="00097863">
        <w:t xml:space="preserve"> in relation to clinical effectiveness and/or safety. </w:t>
      </w:r>
    </w:p>
    <w:p w14:paraId="3AF4960E" w14:textId="77777777" w:rsidR="00E7013B" w:rsidRDefault="00E7013B" w:rsidP="00E7013B">
      <w:pPr>
        <w:spacing w:line="240" w:lineRule="auto"/>
        <w:rPr>
          <w:rFonts w:cs="Arial"/>
        </w:rPr>
      </w:pPr>
      <w:r w:rsidRPr="00260C7E">
        <w:rPr>
          <w:rFonts w:cs="Arial"/>
        </w:rPr>
        <w:t>Products in Groups 8</w:t>
      </w:r>
      <w:r>
        <w:rPr>
          <w:rFonts w:cs="Arial"/>
        </w:rPr>
        <w:t xml:space="preserve"> to </w:t>
      </w:r>
      <w:r w:rsidRPr="00260C7E">
        <w:rPr>
          <w:rFonts w:cs="Arial"/>
        </w:rPr>
        <w:t xml:space="preserve">11 do not have set benchmark prices. Prices </w:t>
      </w:r>
      <w:r>
        <w:rPr>
          <w:rFonts w:cs="Arial"/>
        </w:rPr>
        <w:t>for</w:t>
      </w:r>
      <w:r w:rsidRPr="00260C7E">
        <w:rPr>
          <w:rFonts w:cs="Arial"/>
        </w:rPr>
        <w:t xml:space="preserve"> these products are </w:t>
      </w:r>
      <w:r>
        <w:rPr>
          <w:rFonts w:cs="Arial"/>
        </w:rPr>
        <w:t>based on recommendations</w:t>
      </w:r>
      <w:r w:rsidRPr="00260C7E">
        <w:rPr>
          <w:rFonts w:cs="Arial"/>
        </w:rPr>
        <w:t xml:space="preserve"> by the SPAP </w:t>
      </w:r>
      <w:r w:rsidRPr="00B23F8D">
        <w:t>after consideration of the strength and quality of the evidence provided by the product sponsor in their application</w:t>
      </w:r>
      <w:r w:rsidRPr="00260C7E">
        <w:rPr>
          <w:rFonts w:cs="Arial"/>
        </w:rPr>
        <w:t>.</w:t>
      </w:r>
      <w:r>
        <w:rPr>
          <w:rFonts w:cs="Arial"/>
        </w:rPr>
        <w:t xml:space="preserve"> Pricing may be informed by the price of other similar products already listed on the SAS Schedule. </w:t>
      </w:r>
    </w:p>
    <w:p w14:paraId="542D7CC3" w14:textId="77777777" w:rsidR="00E7013B" w:rsidRPr="003C1B32" w:rsidRDefault="00E7013B" w:rsidP="00702D99">
      <w:pPr>
        <w:pStyle w:val="Heading4"/>
        <w:rPr>
          <w:i/>
        </w:rPr>
      </w:pPr>
      <w:r w:rsidRPr="003C1B32">
        <w:rPr>
          <w:i/>
        </w:rPr>
        <w:t>Maximum Quantities</w:t>
      </w:r>
    </w:p>
    <w:p w14:paraId="70183155" w14:textId="77777777" w:rsidR="00E7013B" w:rsidRDefault="00E7013B" w:rsidP="00E7013B">
      <w:pPr>
        <w:autoSpaceDE w:val="0"/>
        <w:autoSpaceDN w:val="0"/>
        <w:rPr>
          <w:rFonts w:cs="Arial"/>
        </w:rPr>
      </w:pPr>
      <w:r w:rsidRPr="00260C7E">
        <w:rPr>
          <w:rFonts w:cs="Arial"/>
        </w:rPr>
        <w:t>Each product on the SAS Schedule has a maximum quantity</w:t>
      </w:r>
      <w:r>
        <w:rPr>
          <w:rFonts w:cs="Arial"/>
        </w:rPr>
        <w:t>,</w:t>
      </w:r>
      <w:r w:rsidRPr="00260C7E">
        <w:rPr>
          <w:rFonts w:cs="Arial"/>
        </w:rPr>
        <w:t xml:space="preserve"> </w:t>
      </w:r>
      <w:r>
        <w:rPr>
          <w:rFonts w:cs="Arial"/>
        </w:rPr>
        <w:t>which is recommended</w:t>
      </w:r>
      <w:r w:rsidRPr="00260C7E">
        <w:rPr>
          <w:rFonts w:cs="Arial"/>
        </w:rPr>
        <w:t xml:space="preserve"> by the SPAP </w:t>
      </w:r>
      <w:r w:rsidRPr="00B23F8D">
        <w:t>to reflect clinically appropriate usage.</w:t>
      </w:r>
      <w:r w:rsidRPr="00260C7E">
        <w:t xml:space="preserve"> </w:t>
      </w:r>
      <w:r w:rsidRPr="00260C7E">
        <w:rPr>
          <w:rFonts w:cs="Arial"/>
        </w:rPr>
        <w:t xml:space="preserve">This can be </w:t>
      </w:r>
      <w:r>
        <w:rPr>
          <w:rFonts w:cs="Arial"/>
        </w:rPr>
        <w:t>a</w:t>
      </w:r>
      <w:r w:rsidRPr="00260C7E">
        <w:rPr>
          <w:rFonts w:cs="Arial"/>
        </w:rPr>
        <w:t xml:space="preserve"> month</w:t>
      </w:r>
      <w:r>
        <w:rPr>
          <w:rFonts w:cs="Arial"/>
        </w:rPr>
        <w:t>ly</w:t>
      </w:r>
      <w:r w:rsidRPr="00260C7E">
        <w:rPr>
          <w:rFonts w:cs="Arial"/>
        </w:rPr>
        <w:t xml:space="preserve"> or an annual maximum. If an ostomate needs </w:t>
      </w:r>
      <w:r>
        <w:rPr>
          <w:rFonts w:cs="Arial"/>
        </w:rPr>
        <w:t>more</w:t>
      </w:r>
      <w:r w:rsidRPr="00260C7E">
        <w:rPr>
          <w:rFonts w:cs="Arial"/>
        </w:rPr>
        <w:t xml:space="preserve"> than the maximum quantity </w:t>
      </w:r>
      <w:r>
        <w:rPr>
          <w:rFonts w:cs="Arial"/>
        </w:rPr>
        <w:t xml:space="preserve">of a product to manage their stoma, </w:t>
      </w:r>
      <w:r w:rsidRPr="00260C7E">
        <w:rPr>
          <w:rFonts w:cs="Arial"/>
        </w:rPr>
        <w:t xml:space="preserve">the ostomate can apply to their stoma association </w:t>
      </w:r>
      <w:r>
        <w:rPr>
          <w:rFonts w:cs="Arial"/>
        </w:rPr>
        <w:t>to order additional supplies</w:t>
      </w:r>
      <w:r w:rsidRPr="00260C7E">
        <w:rPr>
          <w:rFonts w:cs="Arial"/>
        </w:rPr>
        <w:t xml:space="preserve">, </w:t>
      </w:r>
      <w:r w:rsidRPr="00B23F8D">
        <w:t>after consultation with their authorised health professional</w:t>
      </w:r>
      <w:r w:rsidRPr="00B23F8D">
        <w:rPr>
          <w:rStyle w:val="FootnoteReference"/>
        </w:rPr>
        <w:footnoteReference w:id="1"/>
      </w:r>
      <w:r w:rsidRPr="00260C7E">
        <w:rPr>
          <w:rFonts w:cs="Arial"/>
        </w:rPr>
        <w:t xml:space="preserve">. </w:t>
      </w:r>
      <w:r>
        <w:rPr>
          <w:rFonts w:cs="Arial"/>
        </w:rPr>
        <w:t>When multiple products that serve the same purpose are requested, the maximum amount supplied of each product must be reduced to ensure supply limits are not exceeded. For example, if 2 functionally equivalent adhesive removers are requested, the maximum quantity of each would be reduced by 50%.</w:t>
      </w:r>
    </w:p>
    <w:p w14:paraId="6B298AAE" w14:textId="77777777" w:rsidR="00E7013B" w:rsidRDefault="00E7013B" w:rsidP="00E7013B">
      <w:pPr>
        <w:spacing w:line="240" w:lineRule="auto"/>
        <w:rPr>
          <w:rFonts w:cs="Arial"/>
        </w:rPr>
      </w:pPr>
      <w:r>
        <w:rPr>
          <w:rFonts w:cs="Arial"/>
        </w:rPr>
        <w:t>Some products have a restriction that means only the maximum quantity can be ordered, with no additional supplies.</w:t>
      </w:r>
    </w:p>
    <w:p w14:paraId="33BA1858" w14:textId="77777777" w:rsidR="00E7013B" w:rsidRPr="003C1B32" w:rsidRDefault="00E7013B" w:rsidP="00702D99">
      <w:pPr>
        <w:pStyle w:val="Heading4"/>
        <w:rPr>
          <w:i/>
          <w:iCs/>
        </w:rPr>
      </w:pPr>
      <w:r w:rsidRPr="003C1B32">
        <w:rPr>
          <w:i/>
          <w:iCs/>
        </w:rPr>
        <w:t>Restrictions</w:t>
      </w:r>
    </w:p>
    <w:p w14:paraId="0544A770" w14:textId="77777777" w:rsidR="00E7013B" w:rsidRDefault="00E7013B" w:rsidP="00E7013B">
      <w:pPr>
        <w:spacing w:line="240" w:lineRule="auto"/>
        <w:rPr>
          <w:rFonts w:cs="Arial"/>
        </w:rPr>
      </w:pPr>
      <w:r>
        <w:t>Certain products on the SAS Schedule are also subject to access restrictions. The SPAP recommends whether an access restriction should be applied to a product. Where a product is subject to a restriction, this will be identified as part of the product description on the SAS Schedule. The 4 types of restriction are detailed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showing what each restriction group means"/>
      </w:tblPr>
      <w:tblGrid>
        <w:gridCol w:w="1969"/>
        <w:gridCol w:w="6820"/>
      </w:tblGrid>
      <w:tr w:rsidR="00E7013B" w:rsidRPr="00DF5CC5" w14:paraId="109D7546" w14:textId="77777777" w:rsidTr="001440AA">
        <w:trPr>
          <w:tblHeader/>
        </w:trPr>
        <w:tc>
          <w:tcPr>
            <w:tcW w:w="1969" w:type="dxa"/>
            <w:hideMark/>
          </w:tcPr>
          <w:p w14:paraId="35D82165" w14:textId="77777777" w:rsidR="00E7013B" w:rsidRPr="00DF5CC5" w:rsidRDefault="00E7013B" w:rsidP="001440AA">
            <w:pPr>
              <w:spacing w:after="0" w:line="240" w:lineRule="auto"/>
              <w:rPr>
                <w:rFonts w:cs="Arial"/>
                <w:b/>
                <w:lang w:val="en-US"/>
              </w:rPr>
            </w:pPr>
            <w:r w:rsidRPr="00DF5CC5">
              <w:rPr>
                <w:rFonts w:cs="Arial"/>
                <w:b/>
                <w:lang w:val="en-US"/>
              </w:rPr>
              <w:t xml:space="preserve">Restriction </w:t>
            </w:r>
          </w:p>
        </w:tc>
        <w:tc>
          <w:tcPr>
            <w:tcW w:w="6820" w:type="dxa"/>
            <w:hideMark/>
          </w:tcPr>
          <w:p w14:paraId="3F85F1E3" w14:textId="77777777" w:rsidR="00E7013B" w:rsidRPr="00DF5CC5" w:rsidRDefault="00E7013B" w:rsidP="001440AA">
            <w:pPr>
              <w:spacing w:after="0" w:line="240" w:lineRule="auto"/>
              <w:rPr>
                <w:rFonts w:cs="Arial"/>
                <w:b/>
                <w:lang w:val="en-US"/>
              </w:rPr>
            </w:pPr>
            <w:r w:rsidRPr="00DF5CC5">
              <w:rPr>
                <w:rFonts w:cs="Arial"/>
                <w:b/>
                <w:lang w:val="en-US"/>
              </w:rPr>
              <w:t>Definition</w:t>
            </w:r>
          </w:p>
        </w:tc>
      </w:tr>
      <w:tr w:rsidR="00E7013B" w:rsidRPr="00DF5CC5" w14:paraId="7504EF17" w14:textId="77777777" w:rsidTr="001440AA">
        <w:tc>
          <w:tcPr>
            <w:tcW w:w="1969" w:type="dxa"/>
            <w:hideMark/>
          </w:tcPr>
          <w:p w14:paraId="03A8AFD0" w14:textId="77777777" w:rsidR="00E7013B" w:rsidRPr="00DF5CC5" w:rsidRDefault="00E7013B" w:rsidP="001440AA">
            <w:pPr>
              <w:spacing w:after="0" w:line="240" w:lineRule="auto"/>
              <w:rPr>
                <w:rFonts w:cs="Arial"/>
              </w:rPr>
            </w:pPr>
            <w:r w:rsidRPr="00DF5CC5">
              <w:rPr>
                <w:rFonts w:cs="Arial"/>
              </w:rPr>
              <w:t>R1</w:t>
            </w:r>
          </w:p>
        </w:tc>
        <w:tc>
          <w:tcPr>
            <w:tcW w:w="6820" w:type="dxa"/>
            <w:hideMark/>
          </w:tcPr>
          <w:p w14:paraId="796D6692" w14:textId="77777777" w:rsidR="00E7013B" w:rsidRPr="00DF5CC5" w:rsidRDefault="00E7013B" w:rsidP="001440AA">
            <w:pPr>
              <w:spacing w:after="0" w:line="240" w:lineRule="auto"/>
              <w:rPr>
                <w:rFonts w:cs="Arial"/>
              </w:rPr>
            </w:pPr>
            <w:r w:rsidRPr="00DF5CC5">
              <w:rPr>
                <w:rFonts w:cs="Arial"/>
              </w:rPr>
              <w:t>Requires authorisation by a</w:t>
            </w:r>
            <w:r>
              <w:rPr>
                <w:rFonts w:cs="Arial"/>
              </w:rPr>
              <w:t xml:space="preserve"> Stomal Therapy Nurse</w:t>
            </w:r>
            <w:r w:rsidRPr="00DF5CC5">
              <w:rPr>
                <w:rFonts w:cs="Arial"/>
              </w:rPr>
              <w:t xml:space="preserve"> </w:t>
            </w:r>
            <w:r>
              <w:rPr>
                <w:rFonts w:cs="Arial"/>
              </w:rPr>
              <w:t>(</w:t>
            </w:r>
            <w:r w:rsidRPr="00DF5CC5">
              <w:rPr>
                <w:rFonts w:cs="Arial"/>
              </w:rPr>
              <w:t>STN</w:t>
            </w:r>
            <w:r>
              <w:rPr>
                <w:rFonts w:cs="Arial"/>
              </w:rPr>
              <w:t>)</w:t>
            </w:r>
            <w:r w:rsidRPr="00DF5CC5">
              <w:rPr>
                <w:rFonts w:cs="Arial"/>
              </w:rPr>
              <w:t>, nurse practitioner, registered nurse or registered medical practitioner.</w:t>
            </w:r>
          </w:p>
        </w:tc>
      </w:tr>
      <w:tr w:rsidR="00E7013B" w:rsidRPr="00DF5CC5" w14:paraId="79F9012A" w14:textId="77777777" w:rsidTr="001440AA">
        <w:tc>
          <w:tcPr>
            <w:tcW w:w="1969" w:type="dxa"/>
            <w:hideMark/>
          </w:tcPr>
          <w:p w14:paraId="59552F87" w14:textId="77777777" w:rsidR="00E7013B" w:rsidRPr="00DF5CC5" w:rsidRDefault="00E7013B" w:rsidP="001440AA">
            <w:pPr>
              <w:spacing w:after="0" w:line="240" w:lineRule="auto"/>
              <w:rPr>
                <w:rFonts w:cs="Arial"/>
              </w:rPr>
            </w:pPr>
            <w:r w:rsidRPr="00DF5CC5">
              <w:rPr>
                <w:rFonts w:cs="Arial"/>
              </w:rPr>
              <w:t>R2</w:t>
            </w:r>
          </w:p>
        </w:tc>
        <w:tc>
          <w:tcPr>
            <w:tcW w:w="6820" w:type="dxa"/>
            <w:hideMark/>
          </w:tcPr>
          <w:p w14:paraId="340D36B8" w14:textId="77777777" w:rsidR="00E7013B" w:rsidRPr="00DF5CC5" w:rsidRDefault="00E7013B" w:rsidP="001440AA">
            <w:pPr>
              <w:spacing w:after="0" w:line="240" w:lineRule="auto"/>
              <w:rPr>
                <w:rFonts w:cs="Arial"/>
              </w:rPr>
            </w:pPr>
            <w:r w:rsidRPr="00DF5CC5">
              <w:rPr>
                <w:rFonts w:cs="Arial"/>
              </w:rPr>
              <w:t>No authority for an increase in the yearly allocation can be granted.</w:t>
            </w:r>
          </w:p>
        </w:tc>
      </w:tr>
      <w:tr w:rsidR="00E7013B" w:rsidRPr="00DF5CC5" w14:paraId="27C73F24" w14:textId="77777777" w:rsidTr="001440AA">
        <w:tc>
          <w:tcPr>
            <w:tcW w:w="1969" w:type="dxa"/>
            <w:hideMark/>
          </w:tcPr>
          <w:p w14:paraId="60AE9DAB" w14:textId="77777777" w:rsidR="00E7013B" w:rsidRPr="00DF5CC5" w:rsidRDefault="00E7013B" w:rsidP="001440AA">
            <w:pPr>
              <w:spacing w:after="0" w:line="240" w:lineRule="auto"/>
              <w:rPr>
                <w:rFonts w:cs="Arial"/>
              </w:rPr>
            </w:pPr>
            <w:r w:rsidRPr="00DF5CC5">
              <w:rPr>
                <w:rFonts w:cs="Arial"/>
              </w:rPr>
              <w:t>R3</w:t>
            </w:r>
          </w:p>
        </w:tc>
        <w:tc>
          <w:tcPr>
            <w:tcW w:w="6820" w:type="dxa"/>
            <w:hideMark/>
          </w:tcPr>
          <w:p w14:paraId="25E39B3D" w14:textId="77777777" w:rsidR="00E7013B" w:rsidRPr="00DF5CC5" w:rsidRDefault="00E7013B" w:rsidP="001440AA">
            <w:pPr>
              <w:spacing w:after="0" w:line="240" w:lineRule="auto"/>
              <w:rPr>
                <w:rFonts w:cs="Arial"/>
              </w:rPr>
            </w:pPr>
            <w:r w:rsidRPr="00DF5CC5">
              <w:rPr>
                <w:rFonts w:cs="Arial"/>
              </w:rPr>
              <w:t>Strict Usage Restriction – Requires authorisation by an STN, nurse practitioner, registered nurse or registered medical practitioner including clinical justification.</w:t>
            </w:r>
          </w:p>
        </w:tc>
      </w:tr>
      <w:tr w:rsidR="00E7013B" w:rsidRPr="00DF5CC5" w14:paraId="6613C716" w14:textId="77777777" w:rsidTr="001440AA">
        <w:tc>
          <w:tcPr>
            <w:tcW w:w="1969" w:type="dxa"/>
            <w:hideMark/>
          </w:tcPr>
          <w:p w14:paraId="21CE0299" w14:textId="77777777" w:rsidR="00E7013B" w:rsidRPr="00DF5CC5" w:rsidRDefault="00E7013B" w:rsidP="001440AA">
            <w:pPr>
              <w:spacing w:after="0" w:line="240" w:lineRule="auto"/>
              <w:rPr>
                <w:rFonts w:cs="Arial"/>
              </w:rPr>
            </w:pPr>
            <w:r w:rsidRPr="00DF5CC5">
              <w:rPr>
                <w:rFonts w:cs="Arial"/>
              </w:rPr>
              <w:t>R4</w:t>
            </w:r>
          </w:p>
        </w:tc>
        <w:tc>
          <w:tcPr>
            <w:tcW w:w="6820" w:type="dxa"/>
            <w:hideMark/>
          </w:tcPr>
          <w:p w14:paraId="77467C19" w14:textId="77777777" w:rsidR="00E7013B" w:rsidRPr="00DF5CC5" w:rsidRDefault="00E7013B" w:rsidP="001440AA">
            <w:pPr>
              <w:spacing w:after="0" w:line="240" w:lineRule="auto"/>
              <w:rPr>
                <w:rFonts w:cs="Arial"/>
              </w:rPr>
            </w:pPr>
            <w:r w:rsidRPr="00DF5CC5">
              <w:rPr>
                <w:rFonts w:cs="Arial"/>
              </w:rPr>
              <w:t>Strict Usage Restriction – Requires authorisation by a colorectal or general surgeon.</w:t>
            </w:r>
          </w:p>
        </w:tc>
      </w:tr>
    </w:tbl>
    <w:p w14:paraId="1FC98883" w14:textId="77777777" w:rsidR="00E7013B" w:rsidRDefault="00E7013B" w:rsidP="00E7013B">
      <w:pPr>
        <w:spacing w:line="240" w:lineRule="auto"/>
        <w:rPr>
          <w:rFonts w:cs="Arial"/>
        </w:rPr>
      </w:pPr>
      <w:r>
        <w:rPr>
          <w:rFonts w:cs="Arial"/>
        </w:rPr>
        <w:lastRenderedPageBreak/>
        <w:t xml:space="preserve">Maximum quantities and restrictions aim to </w:t>
      </w:r>
      <w:r w:rsidRPr="00B23F8D">
        <w:t xml:space="preserve">ensure </w:t>
      </w:r>
      <w:r>
        <w:t xml:space="preserve">ostomates are using </w:t>
      </w:r>
      <w:r w:rsidRPr="00B23F8D">
        <w:t>the most appropriate product for the management of their stoma</w:t>
      </w:r>
      <w:r>
        <w:t>, and to</w:t>
      </w:r>
      <w:r>
        <w:rPr>
          <w:rFonts w:cs="Arial"/>
        </w:rPr>
        <w:t xml:space="preserve"> reduce </w:t>
      </w:r>
      <w:r w:rsidRPr="00260C7E">
        <w:rPr>
          <w:rFonts w:cs="Arial"/>
        </w:rPr>
        <w:t xml:space="preserve">over-ordering and </w:t>
      </w:r>
      <w:r>
        <w:rPr>
          <w:rFonts w:cs="Arial"/>
        </w:rPr>
        <w:t xml:space="preserve">potential product </w:t>
      </w:r>
      <w:r w:rsidRPr="00260C7E">
        <w:rPr>
          <w:rFonts w:cs="Arial"/>
        </w:rPr>
        <w:t>wast</w:t>
      </w:r>
      <w:r>
        <w:rPr>
          <w:rFonts w:cs="Arial"/>
        </w:rPr>
        <w:t>age</w:t>
      </w:r>
      <w:r w:rsidRPr="00260C7E">
        <w:rPr>
          <w:rFonts w:cs="Arial"/>
        </w:rPr>
        <w:t>.</w:t>
      </w:r>
      <w:r>
        <w:rPr>
          <w:rFonts w:cs="Arial"/>
        </w:rPr>
        <w:t xml:space="preserve"> </w:t>
      </w:r>
    </w:p>
    <w:p w14:paraId="4FB83CFC" w14:textId="77777777" w:rsidR="003D600E" w:rsidRPr="00260C7E" w:rsidRDefault="003D600E" w:rsidP="00E7013B">
      <w:pPr>
        <w:spacing w:line="240" w:lineRule="auto"/>
        <w:rPr>
          <w:rFonts w:cs="Arial"/>
        </w:rPr>
      </w:pPr>
    </w:p>
    <w:p w14:paraId="1186C430" w14:textId="77777777" w:rsidR="00E7013B" w:rsidRPr="00134ED0" w:rsidRDefault="00E7013B" w:rsidP="00E7013B">
      <w:pPr>
        <w:pStyle w:val="Heading1"/>
        <w:rPr>
          <w:b/>
          <w:bCs w:val="0"/>
        </w:rPr>
      </w:pPr>
      <w:bookmarkStart w:id="7" w:name="_Toc175909176"/>
      <w:bookmarkEnd w:id="6"/>
      <w:r w:rsidRPr="00134ED0">
        <w:rPr>
          <w:bCs w:val="0"/>
        </w:rPr>
        <w:t>The Review</w:t>
      </w:r>
      <w:bookmarkEnd w:id="7"/>
    </w:p>
    <w:p w14:paraId="7A211A8F" w14:textId="2AD57864" w:rsidR="00E7013B" w:rsidRPr="00C80221" w:rsidRDefault="00103434" w:rsidP="00E7013B">
      <w:pPr>
        <w:rPr>
          <w:rFonts w:eastAsia="Times New Roman"/>
        </w:rPr>
      </w:pPr>
      <w:r>
        <w:t>Review work completed to date</w:t>
      </w:r>
      <w:r w:rsidR="00E7013B" w:rsidRPr="00C80221">
        <w:t xml:space="preserve"> has included a report by an external consultant (</w:t>
      </w:r>
      <w:proofErr w:type="spellStart"/>
      <w:r w:rsidR="00E7013B" w:rsidRPr="00C80221">
        <w:t>HealthConsult</w:t>
      </w:r>
      <w:proofErr w:type="spellEnd"/>
      <w:r w:rsidR="00E7013B" w:rsidRPr="00C80221">
        <w:t xml:space="preserve">). The </w:t>
      </w:r>
      <w:hyperlink r:id="rId14" w:history="1">
        <w:proofErr w:type="spellStart"/>
        <w:r w:rsidR="00E7013B" w:rsidRPr="00A80E74">
          <w:rPr>
            <w:rStyle w:val="Hyperlink"/>
          </w:rPr>
          <w:t>HealthConsult</w:t>
        </w:r>
        <w:proofErr w:type="spellEnd"/>
        <w:r w:rsidR="00E7013B" w:rsidRPr="00A80E74">
          <w:rPr>
            <w:rStyle w:val="Hyperlink"/>
          </w:rPr>
          <w:t xml:space="preserve"> report</w:t>
        </w:r>
      </w:hyperlink>
      <w:r w:rsidR="00E7013B" w:rsidRPr="00C80221">
        <w:t xml:space="preserve"> was prepared to inform </w:t>
      </w:r>
      <w:r w:rsidR="00E7013B">
        <w:t xml:space="preserve">the </w:t>
      </w:r>
      <w:r w:rsidR="00E7013B" w:rsidRPr="00C80221">
        <w:t>SPAP</w:t>
      </w:r>
      <w:r w:rsidR="00E7013B">
        <w:t>’s</w:t>
      </w:r>
      <w:r w:rsidR="00E7013B" w:rsidRPr="00C80221">
        <w:t xml:space="preserve"> </w:t>
      </w:r>
      <w:r w:rsidR="00E7013B">
        <w:t xml:space="preserve">consideration and recommendations </w:t>
      </w:r>
      <w:r w:rsidR="00E7013B" w:rsidRPr="00C80221">
        <w:t>and government decision making. This report:</w:t>
      </w:r>
    </w:p>
    <w:p w14:paraId="6304D7D5" w14:textId="77777777" w:rsidR="00E7013B" w:rsidRPr="00C80221" w:rsidRDefault="00E7013B" w:rsidP="00E7013B">
      <w:pPr>
        <w:pStyle w:val="ListParagraph"/>
        <w:numPr>
          <w:ilvl w:val="0"/>
          <w:numId w:val="30"/>
        </w:numPr>
        <w:rPr>
          <w:rFonts w:asciiTheme="minorHAnsi" w:eastAsiaTheme="minorHAnsi" w:hAnsiTheme="minorHAnsi"/>
          <w:sz w:val="22"/>
          <w:szCs w:val="22"/>
        </w:rPr>
      </w:pPr>
      <w:r w:rsidRPr="00C80221">
        <w:rPr>
          <w:rFonts w:asciiTheme="minorHAnsi" w:eastAsiaTheme="minorHAnsi" w:hAnsiTheme="minorHAnsi"/>
          <w:sz w:val="22"/>
          <w:szCs w:val="22"/>
        </w:rPr>
        <w:t>assessed the current clinical eligibility to ensure it reflects the principles and intent of the SAS</w:t>
      </w:r>
    </w:p>
    <w:p w14:paraId="4BD8F832" w14:textId="5C2A898E" w:rsidR="00E7013B" w:rsidRPr="00C80221" w:rsidRDefault="00E7013B" w:rsidP="00E7013B">
      <w:pPr>
        <w:pStyle w:val="ListParagraph"/>
        <w:numPr>
          <w:ilvl w:val="0"/>
          <w:numId w:val="30"/>
        </w:numPr>
        <w:rPr>
          <w:rFonts w:asciiTheme="minorHAnsi" w:eastAsiaTheme="minorHAnsi" w:hAnsiTheme="minorHAnsi"/>
          <w:sz w:val="22"/>
          <w:szCs w:val="22"/>
        </w:rPr>
      </w:pPr>
      <w:r w:rsidRPr="00C80221">
        <w:rPr>
          <w:rFonts w:asciiTheme="minorHAnsi" w:eastAsiaTheme="minorHAnsi" w:hAnsiTheme="minorHAnsi"/>
          <w:sz w:val="22"/>
          <w:szCs w:val="22"/>
        </w:rPr>
        <w:t>investigated possible inclusion of stomas that occur outside the gastrointestinal tract, and/or stomas that do not facilitate the removal of waste products</w:t>
      </w:r>
    </w:p>
    <w:p w14:paraId="5DB66CA1" w14:textId="77777777" w:rsidR="00E7013B" w:rsidRPr="00C80221" w:rsidRDefault="00E7013B" w:rsidP="00E7013B">
      <w:pPr>
        <w:pStyle w:val="ListParagraph"/>
        <w:numPr>
          <w:ilvl w:val="0"/>
          <w:numId w:val="30"/>
        </w:numPr>
        <w:rPr>
          <w:rFonts w:asciiTheme="minorHAnsi" w:eastAsiaTheme="minorHAnsi" w:hAnsiTheme="minorHAnsi"/>
          <w:sz w:val="22"/>
          <w:szCs w:val="22"/>
        </w:rPr>
      </w:pPr>
      <w:r w:rsidRPr="00C80221">
        <w:rPr>
          <w:rFonts w:asciiTheme="minorHAnsi" w:eastAsiaTheme="minorHAnsi" w:hAnsiTheme="minorHAnsi"/>
          <w:sz w:val="22"/>
          <w:szCs w:val="22"/>
        </w:rPr>
        <w:t>investigated support provided under other government subsidy schemes (national and state/territory) to identify any duplication in current eligibility or potential expanded eligibility, and</w:t>
      </w:r>
    </w:p>
    <w:p w14:paraId="3A724DDB" w14:textId="77777777" w:rsidR="00E7013B" w:rsidRPr="00C80221" w:rsidRDefault="00E7013B" w:rsidP="00103434">
      <w:pPr>
        <w:pStyle w:val="ListParagraph"/>
        <w:numPr>
          <w:ilvl w:val="0"/>
          <w:numId w:val="30"/>
        </w:numPr>
        <w:spacing w:after="120"/>
        <w:ind w:left="714" w:hanging="357"/>
        <w:rPr>
          <w:rFonts w:eastAsiaTheme="minorHAnsi"/>
          <w:sz w:val="22"/>
          <w:szCs w:val="22"/>
        </w:rPr>
      </w:pPr>
      <w:r w:rsidRPr="00C80221">
        <w:rPr>
          <w:rFonts w:asciiTheme="minorHAnsi" w:eastAsiaTheme="minorHAnsi" w:hAnsiTheme="minorHAnsi"/>
          <w:sz w:val="22"/>
          <w:szCs w:val="22"/>
        </w:rPr>
        <w:t xml:space="preserve">assessed methodology for pricing of products and cost models and considered periodic reviews </w:t>
      </w:r>
      <w:r w:rsidRPr="00103434">
        <w:rPr>
          <w:rFonts w:asciiTheme="minorHAnsi" w:eastAsiaTheme="minorHAnsi" w:hAnsiTheme="minorHAnsi" w:cs="Arial"/>
          <w:sz w:val="22"/>
          <w:szCs w:val="22"/>
        </w:rPr>
        <w:t>to</w:t>
      </w:r>
      <w:r w:rsidRPr="00C80221">
        <w:rPr>
          <w:rFonts w:asciiTheme="minorHAnsi" w:eastAsiaTheme="minorHAnsi" w:hAnsiTheme="minorHAnsi"/>
          <w:sz w:val="22"/>
          <w:szCs w:val="22"/>
        </w:rPr>
        <w:t xml:space="preserve"> align with other health technology assessment methods and subsidy schemes</w:t>
      </w:r>
      <w:r w:rsidRPr="00C80221">
        <w:rPr>
          <w:rFonts w:eastAsiaTheme="minorHAnsi"/>
          <w:sz w:val="22"/>
          <w:szCs w:val="22"/>
        </w:rPr>
        <w:t>.</w:t>
      </w:r>
    </w:p>
    <w:p w14:paraId="4E219D94" w14:textId="01A7945D" w:rsidR="00E7013B" w:rsidRPr="00C80221" w:rsidRDefault="00E7013B" w:rsidP="00E7013B">
      <w:pPr>
        <w:rPr>
          <w:rFonts w:cs="Arial"/>
        </w:rPr>
      </w:pPr>
      <w:r w:rsidRPr="00C80221">
        <w:rPr>
          <w:rFonts w:cs="Arial"/>
        </w:rPr>
        <w:t xml:space="preserve">This consultation paper has been informed by the </w:t>
      </w:r>
      <w:proofErr w:type="spellStart"/>
      <w:r w:rsidRPr="00C80221">
        <w:rPr>
          <w:rFonts w:cs="Arial"/>
        </w:rPr>
        <w:t>HealthConsult</w:t>
      </w:r>
      <w:proofErr w:type="spellEnd"/>
      <w:r w:rsidRPr="00C80221">
        <w:rPr>
          <w:rFonts w:cs="Arial"/>
        </w:rPr>
        <w:t xml:space="preserve"> report and recommendations from the SPAP</w:t>
      </w:r>
      <w:r w:rsidRPr="00C80221">
        <w:t>.</w:t>
      </w:r>
      <w:r w:rsidRPr="00C80221">
        <w:rPr>
          <w:rFonts w:cs="Arial"/>
        </w:rPr>
        <w:t xml:space="preserve"> Further information on these recommendations is below. </w:t>
      </w:r>
    </w:p>
    <w:p w14:paraId="7AA71A7E" w14:textId="77777777" w:rsidR="00E7013B" w:rsidRPr="007A5662" w:rsidRDefault="00E7013B" w:rsidP="00702D99">
      <w:pPr>
        <w:pStyle w:val="Heading2"/>
      </w:pPr>
      <w:bookmarkStart w:id="8" w:name="_Toc175909177"/>
      <w:r w:rsidRPr="007A5662">
        <w:t xml:space="preserve">Recommendations </w:t>
      </w:r>
      <w:r>
        <w:t>for reform</w:t>
      </w:r>
      <w:bookmarkEnd w:id="8"/>
    </w:p>
    <w:p w14:paraId="77B04AE8" w14:textId="77777777" w:rsidR="00E7013B" w:rsidRDefault="00E7013B" w:rsidP="00E7013B">
      <w:r w:rsidRPr="006471FD">
        <w:rPr>
          <w:rFonts w:cstheme="minorHAnsi"/>
        </w:rPr>
        <w:t xml:space="preserve">The SPAP considered current issues with the SAS Schedule, drawing on their knowledge of the </w:t>
      </w:r>
      <w:r>
        <w:rPr>
          <w:rFonts w:cstheme="minorHAnsi"/>
        </w:rPr>
        <w:t>SAS</w:t>
      </w:r>
      <w:r w:rsidRPr="006471FD">
        <w:rPr>
          <w:rFonts w:cstheme="minorHAnsi"/>
        </w:rPr>
        <w:t xml:space="preserve">, </w:t>
      </w:r>
      <w:r>
        <w:rPr>
          <w:rFonts w:cstheme="minorHAnsi"/>
        </w:rPr>
        <w:t xml:space="preserve">stakeholder feedback on the SAS Schedule, </w:t>
      </w:r>
      <w:r w:rsidRPr="006471FD">
        <w:rPr>
          <w:rFonts w:cstheme="minorHAnsi"/>
        </w:rPr>
        <w:t xml:space="preserve">the </w:t>
      </w:r>
      <w:proofErr w:type="spellStart"/>
      <w:r w:rsidRPr="006471FD">
        <w:rPr>
          <w:rFonts w:cstheme="minorHAnsi"/>
        </w:rPr>
        <w:t>HealthConsult</w:t>
      </w:r>
      <w:proofErr w:type="spellEnd"/>
      <w:r w:rsidRPr="006471FD">
        <w:rPr>
          <w:rFonts w:cstheme="minorHAnsi"/>
        </w:rPr>
        <w:t xml:space="preserve"> report and advice from the Department</w:t>
      </w:r>
      <w:r>
        <w:rPr>
          <w:rFonts w:cstheme="minorHAnsi"/>
        </w:rPr>
        <w:t xml:space="preserve">. The </w:t>
      </w:r>
      <w:r w:rsidRPr="006471FD">
        <w:rPr>
          <w:rFonts w:cstheme="minorHAnsi"/>
        </w:rPr>
        <w:t xml:space="preserve">SPAP agreed the SAS should continue to support ostomates by providing fully subsidised access to stoma related products, including access to products that are clinically necessary for the management of a stoma </w:t>
      </w:r>
      <w:r>
        <w:rPr>
          <w:rFonts w:cstheme="minorHAnsi"/>
        </w:rPr>
        <w:t>incorporating</w:t>
      </w:r>
      <w:r w:rsidRPr="006471FD">
        <w:rPr>
          <w:rFonts w:cstheme="minorHAnsi"/>
        </w:rPr>
        <w:t xml:space="preserve"> those that improve ostomates’ quality of life</w:t>
      </w:r>
      <w:r>
        <w:rPr>
          <w:rFonts w:cstheme="minorHAnsi"/>
        </w:rPr>
        <w:t xml:space="preserve">. </w:t>
      </w:r>
      <w:r>
        <w:t xml:space="preserve">The SPAP noted findings in the </w:t>
      </w:r>
      <w:proofErr w:type="spellStart"/>
      <w:r>
        <w:t>HealthConsult</w:t>
      </w:r>
      <w:proofErr w:type="spellEnd"/>
      <w:r>
        <w:t xml:space="preserve"> report that the SAS</w:t>
      </w:r>
      <w:r w:rsidRPr="006218D3">
        <w:t xml:space="preserve"> </w:t>
      </w:r>
      <w:r w:rsidRPr="001B663B">
        <w:t>has adapted well to advancements in surgical techniques and medical conditions</w:t>
      </w:r>
      <w:r>
        <w:t xml:space="preserve"> and does not duplicate or overlap with any other national or state/territory funded medical appliance or equipment schemes.</w:t>
      </w:r>
    </w:p>
    <w:p w14:paraId="41369F4A" w14:textId="3BAC46BC" w:rsidR="00E7013B" w:rsidRPr="009C260C" w:rsidRDefault="00E7013B" w:rsidP="00E7013B">
      <w:pPr>
        <w:pStyle w:val="ListParagraph"/>
        <w:ind w:left="0"/>
        <w:rPr>
          <w:rFonts w:asciiTheme="minorHAnsi" w:hAnsiTheme="minorHAnsi" w:cstheme="minorHAnsi"/>
          <w:sz w:val="22"/>
          <w:szCs w:val="22"/>
        </w:rPr>
      </w:pPr>
      <w:r>
        <w:rPr>
          <w:rFonts w:asciiTheme="minorHAnsi" w:hAnsiTheme="minorHAnsi" w:cstheme="minorHAnsi"/>
          <w:sz w:val="22"/>
          <w:szCs w:val="22"/>
        </w:rPr>
        <w:t xml:space="preserve">To ensure all products listed on the SAS Schedule are </w:t>
      </w:r>
      <w:r w:rsidRPr="006471FD">
        <w:rPr>
          <w:rFonts w:asciiTheme="minorHAnsi" w:hAnsiTheme="minorHAnsi" w:cstheme="minorHAnsi"/>
          <w:sz w:val="22"/>
          <w:szCs w:val="22"/>
        </w:rPr>
        <w:t xml:space="preserve">clinically effective, </w:t>
      </w:r>
      <w:r>
        <w:rPr>
          <w:rFonts w:asciiTheme="minorHAnsi" w:hAnsiTheme="minorHAnsi" w:cstheme="minorHAnsi"/>
          <w:sz w:val="22"/>
          <w:szCs w:val="22"/>
        </w:rPr>
        <w:t>cost-effective, and</w:t>
      </w:r>
      <w:r w:rsidRPr="006471FD">
        <w:rPr>
          <w:rFonts w:asciiTheme="minorHAnsi" w:hAnsiTheme="minorHAnsi" w:cstheme="minorHAnsi"/>
          <w:sz w:val="22"/>
          <w:szCs w:val="22"/>
        </w:rPr>
        <w:t xml:space="preserve"> priced</w:t>
      </w:r>
      <w:r>
        <w:rPr>
          <w:rFonts w:asciiTheme="minorHAnsi" w:hAnsiTheme="minorHAnsi" w:cstheme="minorHAnsi"/>
          <w:sz w:val="22"/>
          <w:szCs w:val="22"/>
        </w:rPr>
        <w:t xml:space="preserve"> appropriately, </w:t>
      </w:r>
      <w:r w:rsidRPr="009C260C">
        <w:rPr>
          <w:rFonts w:asciiTheme="minorHAnsi" w:hAnsiTheme="minorHAnsi" w:cstheme="minorHAnsi"/>
          <w:sz w:val="22"/>
          <w:szCs w:val="22"/>
        </w:rPr>
        <w:t xml:space="preserve">the SPAP </w:t>
      </w:r>
      <w:r>
        <w:rPr>
          <w:rFonts w:asciiTheme="minorHAnsi" w:hAnsiTheme="minorHAnsi" w:cstheme="minorHAnsi"/>
          <w:sz w:val="22"/>
          <w:szCs w:val="22"/>
        </w:rPr>
        <w:t>and the Department have</w:t>
      </w:r>
      <w:r w:rsidRPr="009C260C">
        <w:rPr>
          <w:rFonts w:asciiTheme="minorHAnsi" w:hAnsiTheme="minorHAnsi" w:cstheme="minorHAnsi"/>
          <w:sz w:val="22"/>
          <w:szCs w:val="22"/>
        </w:rPr>
        <w:t xml:space="preserve"> developed the </w:t>
      </w:r>
      <w:r w:rsidRPr="00E84F94">
        <w:rPr>
          <w:rFonts w:asciiTheme="minorHAnsi" w:hAnsiTheme="minorHAnsi" w:cstheme="minorHAnsi"/>
          <w:sz w:val="22"/>
          <w:szCs w:val="22"/>
        </w:rPr>
        <w:t xml:space="preserve">following </w:t>
      </w:r>
      <w:r w:rsidR="00436807">
        <w:rPr>
          <w:rFonts w:asciiTheme="minorHAnsi" w:hAnsiTheme="minorHAnsi" w:cstheme="minorHAnsi"/>
          <w:sz w:val="22"/>
          <w:szCs w:val="22"/>
        </w:rPr>
        <w:t>4</w:t>
      </w:r>
      <w:r>
        <w:rPr>
          <w:rFonts w:asciiTheme="minorHAnsi" w:hAnsiTheme="minorHAnsi" w:cstheme="minorHAnsi"/>
          <w:sz w:val="22"/>
          <w:szCs w:val="22"/>
        </w:rPr>
        <w:t xml:space="preserve"> </w:t>
      </w:r>
      <w:r w:rsidRPr="00E84F94">
        <w:rPr>
          <w:rFonts w:asciiTheme="minorHAnsi" w:hAnsiTheme="minorHAnsi" w:cstheme="minorHAnsi"/>
          <w:sz w:val="22"/>
          <w:szCs w:val="22"/>
        </w:rPr>
        <w:t xml:space="preserve">recommendations </w:t>
      </w:r>
      <w:r w:rsidRPr="009C260C">
        <w:rPr>
          <w:rFonts w:asciiTheme="minorHAnsi" w:hAnsiTheme="minorHAnsi" w:cstheme="minorHAnsi"/>
          <w:sz w:val="22"/>
          <w:szCs w:val="22"/>
        </w:rPr>
        <w:t>for public consultation</w:t>
      </w:r>
      <w:r>
        <w:rPr>
          <w:rFonts w:asciiTheme="minorHAnsi" w:hAnsiTheme="minorHAnsi" w:cstheme="minorHAnsi"/>
          <w:sz w:val="22"/>
          <w:szCs w:val="22"/>
        </w:rPr>
        <w:t>.</w:t>
      </w:r>
    </w:p>
    <w:p w14:paraId="7A955EC6" w14:textId="77777777" w:rsidR="006903E2" w:rsidRPr="00702D99" w:rsidRDefault="006903E2" w:rsidP="00702D99">
      <w:r w:rsidRPr="00702D99">
        <w:br w:type="page"/>
      </w:r>
    </w:p>
    <w:p w14:paraId="6789C135" w14:textId="5585F390" w:rsidR="00E7013B" w:rsidRPr="00805FFA" w:rsidRDefault="00E7013B" w:rsidP="00E7013B">
      <w:pPr>
        <w:pStyle w:val="Heading3"/>
      </w:pPr>
      <w:bookmarkStart w:id="9" w:name="_Toc175909178"/>
      <w:r w:rsidRPr="00805FFA">
        <w:lastRenderedPageBreak/>
        <w:t xml:space="preserve">Recommendation 1: </w:t>
      </w:r>
      <w:r>
        <w:t>E</w:t>
      </w:r>
      <w:r w:rsidRPr="00805FFA">
        <w:t>ligibility</w:t>
      </w:r>
      <w:bookmarkEnd w:id="9"/>
    </w:p>
    <w:p w14:paraId="2AC5FA9A" w14:textId="3E9240C5" w:rsidR="00E7013B" w:rsidRPr="00702D99" w:rsidRDefault="00E7013B" w:rsidP="00702D99">
      <w:pPr>
        <w:rPr>
          <w:rStyle w:val="Strong"/>
        </w:rPr>
      </w:pPr>
      <w:r w:rsidRPr="00702D99">
        <w:rPr>
          <w:rStyle w:val="Strong"/>
        </w:rPr>
        <w:t xml:space="preserve">The SAS should maintain its focus on stomas originating from the </w:t>
      </w:r>
      <w:r w:rsidR="00CA1C92" w:rsidRPr="00702D99">
        <w:rPr>
          <w:rStyle w:val="Strong"/>
        </w:rPr>
        <w:t xml:space="preserve">urinary and </w:t>
      </w:r>
      <w:r w:rsidRPr="00702D99">
        <w:rPr>
          <w:rStyle w:val="Strong"/>
        </w:rPr>
        <w:t xml:space="preserve">gastrointestinal tract for the removal of waste. The current eligibility criteria should not expand to cover non-gastrointestinal stomas and stomas not for the removal of waste. </w:t>
      </w:r>
    </w:p>
    <w:p w14:paraId="082BB273" w14:textId="77777777" w:rsidR="00E7013B" w:rsidRPr="00702D99" w:rsidRDefault="00E7013B" w:rsidP="00702D99">
      <w:pPr>
        <w:pStyle w:val="Heading4"/>
      </w:pPr>
      <w:r w:rsidRPr="00702D99">
        <w:t>Rationale</w:t>
      </w:r>
    </w:p>
    <w:p w14:paraId="0F69AAB7" w14:textId="77777777" w:rsidR="00E7013B" w:rsidRPr="00C80221" w:rsidRDefault="00E7013B" w:rsidP="00E7013B">
      <w:pPr>
        <w:rPr>
          <w:rFonts w:cstheme="minorHAnsi"/>
        </w:rPr>
      </w:pPr>
      <w:r w:rsidRPr="00C80221">
        <w:rPr>
          <w:rFonts w:cstheme="minorHAnsi"/>
        </w:rPr>
        <w:t xml:space="preserve">The SAS currently supports people with a stoma, defined as: </w:t>
      </w:r>
    </w:p>
    <w:p w14:paraId="63C6E626" w14:textId="77777777" w:rsidR="00E7013B" w:rsidRPr="00C80221" w:rsidRDefault="00E7013B" w:rsidP="00E7013B">
      <w:pPr>
        <w:ind w:left="720"/>
        <w:rPr>
          <w:rFonts w:cstheme="minorHAnsi"/>
        </w:rPr>
      </w:pPr>
      <w:r w:rsidRPr="00C80221">
        <w:rPr>
          <w:rFonts w:cstheme="minorHAnsi"/>
          <w:i/>
          <w:iCs/>
        </w:rPr>
        <w:t>a temporary or permanent artificial body opening (created surgically or otherwise, including a fistula that originates from the urinary or gastrointestinal tract) which facilitates the removal of urine and/or products of the gastrointestinal tract from the body where the person does not have normal gastrointestinal tract or bladder functions</w:t>
      </w:r>
      <w:r w:rsidRPr="00C80221">
        <w:rPr>
          <w:rFonts w:cstheme="minorHAnsi"/>
        </w:rPr>
        <w:t>.</w:t>
      </w:r>
    </w:p>
    <w:p w14:paraId="60783E6F" w14:textId="77777777" w:rsidR="00E7013B" w:rsidRPr="00C80221" w:rsidRDefault="00E7013B" w:rsidP="00E7013B">
      <w:pPr>
        <w:rPr>
          <w:rFonts w:cstheme="minorHAnsi"/>
        </w:rPr>
      </w:pPr>
      <w:r w:rsidRPr="00C80221">
        <w:rPr>
          <w:rFonts w:cstheme="minorHAnsi"/>
        </w:rPr>
        <w:t>Not all stoma types are currently in scope for the SAS. Stoma types not currently in scope include:</w:t>
      </w:r>
    </w:p>
    <w:p w14:paraId="0000011E" w14:textId="77777777" w:rsidR="00E7013B" w:rsidRPr="00C80221" w:rsidRDefault="00E7013B" w:rsidP="00E7013B">
      <w:pPr>
        <w:pStyle w:val="ListParagraph"/>
        <w:numPr>
          <w:ilvl w:val="0"/>
          <w:numId w:val="25"/>
        </w:numPr>
        <w:spacing w:before="120" w:after="120"/>
        <w:rPr>
          <w:rFonts w:asciiTheme="minorHAnsi" w:hAnsiTheme="minorHAnsi" w:cstheme="minorHAnsi"/>
          <w:sz w:val="22"/>
          <w:szCs w:val="22"/>
        </w:rPr>
      </w:pPr>
      <w:r w:rsidRPr="00C80221">
        <w:rPr>
          <w:rFonts w:asciiTheme="minorHAnsi" w:hAnsiTheme="minorHAnsi" w:cstheme="minorHAnsi"/>
          <w:sz w:val="22"/>
          <w:szCs w:val="22"/>
        </w:rPr>
        <w:t>tracheostomy – a hole through the front of the neck and into the windpipe, to help air and oxygen reach the lungs</w:t>
      </w:r>
    </w:p>
    <w:p w14:paraId="1B3798BE" w14:textId="77777777" w:rsidR="00E7013B" w:rsidRPr="00C80221" w:rsidRDefault="00E7013B" w:rsidP="00E7013B">
      <w:pPr>
        <w:pStyle w:val="ListParagraph"/>
        <w:numPr>
          <w:ilvl w:val="0"/>
          <w:numId w:val="25"/>
        </w:numPr>
        <w:spacing w:before="120" w:after="120"/>
        <w:rPr>
          <w:rFonts w:asciiTheme="minorHAnsi" w:hAnsiTheme="minorHAnsi" w:cstheme="minorHAnsi"/>
          <w:sz w:val="22"/>
          <w:szCs w:val="22"/>
        </w:rPr>
      </w:pPr>
      <w:r w:rsidRPr="00C80221">
        <w:rPr>
          <w:rFonts w:asciiTheme="minorHAnsi" w:hAnsiTheme="minorHAnsi" w:cstheme="minorHAnsi"/>
          <w:sz w:val="22"/>
          <w:szCs w:val="22"/>
        </w:rPr>
        <w:t>gastrostomy – an opening into the stomach from the abdominal wall, made surgically for the introduction of food and/or medication, or the release of gastric pressure</w:t>
      </w:r>
    </w:p>
    <w:p w14:paraId="3EEB7762" w14:textId="77777777" w:rsidR="00E7013B" w:rsidRPr="00C80221" w:rsidRDefault="00E7013B" w:rsidP="00E7013B">
      <w:pPr>
        <w:pStyle w:val="ListParagraph"/>
        <w:numPr>
          <w:ilvl w:val="0"/>
          <w:numId w:val="25"/>
        </w:numPr>
        <w:spacing w:before="120" w:after="120"/>
        <w:rPr>
          <w:rFonts w:cstheme="minorHAnsi"/>
          <w:sz w:val="22"/>
          <w:szCs w:val="22"/>
        </w:rPr>
      </w:pPr>
      <w:r w:rsidRPr="00C80221">
        <w:rPr>
          <w:rFonts w:asciiTheme="minorHAnsi" w:hAnsiTheme="minorHAnsi" w:cstheme="minorHAnsi"/>
          <w:sz w:val="22"/>
          <w:szCs w:val="22"/>
        </w:rPr>
        <w:t>thoracostomy – an incision in the chest wall, commonly used for treatment of a pneumothorax</w:t>
      </w:r>
    </w:p>
    <w:p w14:paraId="6A4FC15E" w14:textId="77777777" w:rsidR="00E7013B" w:rsidRPr="00C80221" w:rsidRDefault="00E7013B" w:rsidP="00E7013B">
      <w:pPr>
        <w:pStyle w:val="ListParagraph"/>
        <w:numPr>
          <w:ilvl w:val="0"/>
          <w:numId w:val="25"/>
        </w:numPr>
        <w:spacing w:before="120" w:after="120"/>
        <w:rPr>
          <w:rFonts w:cstheme="minorHAnsi"/>
          <w:sz w:val="22"/>
          <w:szCs w:val="22"/>
        </w:rPr>
      </w:pPr>
      <w:proofErr w:type="spellStart"/>
      <w:r w:rsidRPr="00C80221">
        <w:rPr>
          <w:rFonts w:asciiTheme="minorHAnsi" w:hAnsiTheme="minorHAnsi" w:cstheme="minorHAnsi"/>
          <w:sz w:val="22"/>
          <w:szCs w:val="22"/>
        </w:rPr>
        <w:t>pharyngostomy</w:t>
      </w:r>
      <w:proofErr w:type="spellEnd"/>
      <w:r w:rsidRPr="00C80221">
        <w:rPr>
          <w:rFonts w:asciiTheme="minorHAnsi" w:hAnsiTheme="minorHAnsi" w:cstheme="minorHAnsi"/>
          <w:sz w:val="22"/>
          <w:szCs w:val="22"/>
        </w:rPr>
        <w:t xml:space="preserve"> – a hole or opening in the throat or neck to insert a tube to facilitate feeding when patients cannot eat by mouth for a short period. </w:t>
      </w:r>
    </w:p>
    <w:p w14:paraId="10BA1A07" w14:textId="77777777" w:rsidR="00E7013B" w:rsidRPr="00C80221" w:rsidRDefault="00E7013B" w:rsidP="00E7013B">
      <w:r w:rsidRPr="00C80221">
        <w:rPr>
          <w:rFonts w:cstheme="minorHAnsi"/>
        </w:rPr>
        <w:t xml:space="preserve">The </w:t>
      </w:r>
      <w:proofErr w:type="spellStart"/>
      <w:r w:rsidRPr="00C80221">
        <w:rPr>
          <w:rFonts w:cstheme="minorHAnsi"/>
        </w:rPr>
        <w:t>HealthConsult</w:t>
      </w:r>
      <w:proofErr w:type="spellEnd"/>
      <w:r w:rsidRPr="00C80221">
        <w:rPr>
          <w:rFonts w:cstheme="minorHAnsi"/>
        </w:rPr>
        <w:t xml:space="preserve"> report recommended </w:t>
      </w:r>
      <w:r w:rsidRPr="00C80221">
        <w:t>the SAS should maintain its focus on stomas originating from the</w:t>
      </w:r>
      <w:r>
        <w:t xml:space="preserve"> urinary or</w:t>
      </w:r>
      <w:r w:rsidRPr="00C80221">
        <w:t xml:space="preserve"> </w:t>
      </w:r>
      <w:r w:rsidRPr="00C80221">
        <w:rPr>
          <w:rFonts w:cstheme="minorHAnsi"/>
        </w:rPr>
        <w:t>gastrointestinal</w:t>
      </w:r>
      <w:r w:rsidRPr="00C80221">
        <w:rPr>
          <w:rFonts w:cstheme="minorHAnsi"/>
          <w:b/>
          <w:bCs/>
        </w:rPr>
        <w:t xml:space="preserve"> </w:t>
      </w:r>
      <w:r w:rsidRPr="00C80221">
        <w:t>tract for the removal of waste</w:t>
      </w:r>
      <w:r>
        <w:t>, including fistulas and biliary stomas. The report recommended the SAS</w:t>
      </w:r>
      <w:r w:rsidRPr="00C80221">
        <w:t xml:space="preserve"> should refrain from expanding eligibility to cover non-</w:t>
      </w:r>
      <w:r w:rsidRPr="00C80221">
        <w:rPr>
          <w:rFonts w:cstheme="minorHAnsi"/>
        </w:rPr>
        <w:t>gastrointestinal</w:t>
      </w:r>
      <w:r w:rsidRPr="00C80221">
        <w:rPr>
          <w:rFonts w:cstheme="minorHAnsi"/>
          <w:b/>
          <w:bCs/>
        </w:rPr>
        <w:t xml:space="preserve"> </w:t>
      </w:r>
      <w:r w:rsidRPr="00C80221">
        <w:t xml:space="preserve">stomas </w:t>
      </w:r>
      <w:r w:rsidRPr="00C80221">
        <w:rPr>
          <w:rFonts w:cstheme="minorHAnsi"/>
        </w:rPr>
        <w:t>or where a stoma is not for the removal of waste</w:t>
      </w:r>
      <w:r w:rsidRPr="00C80221">
        <w:t>. In many cases, support is available for other stoma types through state/territory</w:t>
      </w:r>
      <w:r w:rsidRPr="00C80221">
        <w:noBreakHyphen/>
        <w:t>based schemes and/or the National Disability Insurance Scheme</w:t>
      </w:r>
      <w:r>
        <w:t xml:space="preserve"> (NDIS)</w:t>
      </w:r>
      <w:r w:rsidRPr="00C80221">
        <w:t>. Some other stoma types are usually created for short</w:t>
      </w:r>
      <w:r>
        <w:noBreakHyphen/>
      </w:r>
      <w:r w:rsidRPr="00C80221">
        <w:t xml:space="preserve">term condition management and are managed in hospital settings. </w:t>
      </w:r>
    </w:p>
    <w:p w14:paraId="4E854114" w14:textId="5B226154" w:rsidR="00E7013B" w:rsidRDefault="00E7013B" w:rsidP="00E7013B">
      <w:r w:rsidRPr="00C80221">
        <w:t xml:space="preserve">While </w:t>
      </w:r>
      <w:r>
        <w:t xml:space="preserve">management of </w:t>
      </w:r>
      <w:r w:rsidRPr="00C80221">
        <w:t>some other stoma types, and other conditions such as wound</w:t>
      </w:r>
      <w:r>
        <w:t xml:space="preserve">s </w:t>
      </w:r>
      <w:r w:rsidRPr="00C80221">
        <w:t>requiring drainage, may use some products currently listed on the SAS Schedule, the SPAP noted the importance of maintaining the original intent of the SAS to help ensure the long-term sustainability of the program. It noted there are other national and/or state/territory funded programs to support people with non-</w:t>
      </w:r>
      <w:r w:rsidRPr="00C80221">
        <w:rPr>
          <w:rFonts w:cstheme="minorHAnsi"/>
        </w:rPr>
        <w:t>gastrointestinal</w:t>
      </w:r>
      <w:r w:rsidRPr="00C80221">
        <w:rPr>
          <w:rFonts w:cstheme="minorHAnsi"/>
          <w:b/>
          <w:bCs/>
        </w:rPr>
        <w:t xml:space="preserve"> </w:t>
      </w:r>
      <w:r w:rsidRPr="00C80221">
        <w:t>stomas or other conditions requiring similar products.</w:t>
      </w:r>
    </w:p>
    <w:p w14:paraId="0DAAED3E" w14:textId="25BA9B29" w:rsidR="00436807" w:rsidRPr="00436807" w:rsidRDefault="00436807" w:rsidP="00436807">
      <w:pPr>
        <w:spacing w:before="120" w:after="120"/>
        <w:rPr>
          <w:rFonts w:cstheme="minorHAnsi"/>
        </w:rPr>
      </w:pPr>
      <w:r>
        <w:rPr>
          <w:rFonts w:cstheme="minorHAnsi"/>
        </w:rPr>
        <w:t>The SPAP specifically considered the inclusion of neo-anus openings in the eligibility criteria. Since</w:t>
      </w:r>
      <w:r w:rsidRPr="00835F0C">
        <w:rPr>
          <w:rFonts w:cstheme="minorHAnsi"/>
        </w:rPr>
        <w:t xml:space="preserve"> 2021</w:t>
      </w:r>
      <w:r w:rsidRPr="00A650F3">
        <w:rPr>
          <w:rFonts w:cstheme="minorHAnsi"/>
        </w:rPr>
        <w:t>, the</w:t>
      </w:r>
      <w:r>
        <w:rPr>
          <w:rFonts w:cstheme="minorHAnsi"/>
        </w:rPr>
        <w:t xml:space="preserve">re has been agreement </w:t>
      </w:r>
      <w:r w:rsidRPr="00A650F3">
        <w:rPr>
          <w:rFonts w:cstheme="minorHAnsi"/>
        </w:rPr>
        <w:t xml:space="preserve">that patients with a neo-anus opening created due to </w:t>
      </w:r>
      <w:r w:rsidRPr="00022F68">
        <w:t>anorectal malformation</w:t>
      </w:r>
      <w:r w:rsidDel="003B1D52">
        <w:rPr>
          <w:rFonts w:cstheme="minorHAnsi"/>
        </w:rPr>
        <w:t xml:space="preserve"> </w:t>
      </w:r>
      <w:r>
        <w:rPr>
          <w:rFonts w:cstheme="minorHAnsi"/>
        </w:rPr>
        <w:t xml:space="preserve">or </w:t>
      </w:r>
      <w:r w:rsidRPr="00A650F3">
        <w:rPr>
          <w:rFonts w:cstheme="minorHAnsi"/>
        </w:rPr>
        <w:t>imperforate anus</w:t>
      </w:r>
      <w:r w:rsidDel="003B1D52">
        <w:rPr>
          <w:rFonts w:cstheme="minorHAnsi"/>
        </w:rPr>
        <w:t xml:space="preserve"> </w:t>
      </w:r>
      <w:r w:rsidRPr="00A650F3">
        <w:rPr>
          <w:rFonts w:cstheme="minorHAnsi"/>
        </w:rPr>
        <w:t xml:space="preserve">meet the eligibility requirements for the </w:t>
      </w:r>
      <w:r>
        <w:rPr>
          <w:rFonts w:cstheme="minorHAnsi"/>
        </w:rPr>
        <w:t>SAS</w:t>
      </w:r>
      <w:r w:rsidRPr="00A650F3">
        <w:rPr>
          <w:rFonts w:cstheme="minorHAnsi"/>
        </w:rPr>
        <w:t xml:space="preserve">. </w:t>
      </w:r>
      <w:r w:rsidRPr="005E5E87">
        <w:rPr>
          <w:rFonts w:cstheme="minorHAnsi"/>
        </w:rPr>
        <w:t>The SAS Schedule currently includes</w:t>
      </w:r>
      <w:r>
        <w:rPr>
          <w:rFonts w:cstheme="minorHAnsi"/>
        </w:rPr>
        <w:t xml:space="preserve"> </w:t>
      </w:r>
      <w:proofErr w:type="spellStart"/>
      <w:r>
        <w:rPr>
          <w:rFonts w:cstheme="minorHAnsi"/>
        </w:rPr>
        <w:t>transanal</w:t>
      </w:r>
      <w:proofErr w:type="spellEnd"/>
      <w:r w:rsidRPr="005E5E87">
        <w:rPr>
          <w:rFonts w:cstheme="minorHAnsi"/>
        </w:rPr>
        <w:t xml:space="preserve"> irrigation products</w:t>
      </w:r>
      <w:r>
        <w:rPr>
          <w:rFonts w:cstheme="minorHAnsi"/>
        </w:rPr>
        <w:t xml:space="preserve"> for children aged 3-17 years old who have </w:t>
      </w:r>
      <w:r w:rsidRPr="00A650F3">
        <w:rPr>
          <w:rFonts w:cstheme="minorHAnsi"/>
        </w:rPr>
        <w:t xml:space="preserve">a neo-anus opening created due to </w:t>
      </w:r>
      <w:r w:rsidRPr="00022F68">
        <w:t>anorectal malformation</w:t>
      </w:r>
      <w:r w:rsidRPr="00A650F3" w:rsidDel="003B1D52">
        <w:rPr>
          <w:rFonts w:cstheme="minorHAnsi"/>
        </w:rPr>
        <w:t xml:space="preserve"> </w:t>
      </w:r>
      <w:r w:rsidRPr="00A650F3">
        <w:rPr>
          <w:rFonts w:cstheme="minorHAnsi"/>
        </w:rPr>
        <w:t>or imperforate anus</w:t>
      </w:r>
      <w:r>
        <w:rPr>
          <w:rFonts w:cstheme="minorHAnsi"/>
        </w:rPr>
        <w:t>.</w:t>
      </w:r>
      <w:r w:rsidRPr="005E5E87">
        <w:rPr>
          <w:rFonts w:cstheme="minorHAnsi"/>
        </w:rPr>
        <w:t xml:space="preserve">  </w:t>
      </w:r>
    </w:p>
    <w:p w14:paraId="736FBDBD" w14:textId="2FB55FD7" w:rsidR="00436807" w:rsidRDefault="00436807" w:rsidP="00436807">
      <w:pPr>
        <w:spacing w:before="120" w:after="120"/>
      </w:pPr>
      <w:r>
        <w:rPr>
          <w:rFonts w:cstheme="minorHAnsi"/>
        </w:rPr>
        <w:t xml:space="preserve">The </w:t>
      </w:r>
      <w:proofErr w:type="spellStart"/>
      <w:r>
        <w:rPr>
          <w:rFonts w:cstheme="minorHAnsi"/>
        </w:rPr>
        <w:t>HealthConsult</w:t>
      </w:r>
      <w:proofErr w:type="spellEnd"/>
      <w:r>
        <w:rPr>
          <w:rFonts w:cstheme="minorHAnsi"/>
        </w:rPr>
        <w:t xml:space="preserve"> report recommended retaining neo-anus openings in the SAS eligibility. However, t</w:t>
      </w:r>
      <w:r w:rsidRPr="005E5E87">
        <w:rPr>
          <w:rFonts w:cstheme="minorHAnsi"/>
        </w:rPr>
        <w:t xml:space="preserve">he </w:t>
      </w:r>
      <w:r>
        <w:rPr>
          <w:rFonts w:cstheme="minorHAnsi"/>
        </w:rPr>
        <w:t xml:space="preserve">SPAP noted that having a </w:t>
      </w:r>
      <w:r w:rsidRPr="00A650F3">
        <w:rPr>
          <w:rFonts w:cstheme="minorHAnsi"/>
        </w:rPr>
        <w:t xml:space="preserve">neo-anus opening created due to </w:t>
      </w:r>
      <w:r w:rsidRPr="00022F68">
        <w:t>anorectal malformation</w:t>
      </w:r>
      <w:r w:rsidDel="003B1D52">
        <w:rPr>
          <w:rFonts w:cstheme="minorHAnsi"/>
        </w:rPr>
        <w:t xml:space="preserve"> </w:t>
      </w:r>
      <w:r>
        <w:rPr>
          <w:rFonts w:cstheme="minorHAnsi"/>
        </w:rPr>
        <w:t xml:space="preserve">or </w:t>
      </w:r>
      <w:r w:rsidRPr="00A650F3">
        <w:rPr>
          <w:rFonts w:cstheme="minorHAnsi"/>
        </w:rPr>
        <w:t>imperforate anus</w:t>
      </w:r>
      <w:r w:rsidDel="003B1D52">
        <w:rPr>
          <w:rFonts w:cstheme="minorHAnsi"/>
        </w:rPr>
        <w:t xml:space="preserve"> </w:t>
      </w:r>
      <w:r>
        <w:rPr>
          <w:rFonts w:cstheme="minorHAnsi"/>
        </w:rPr>
        <w:t>does not meet</w:t>
      </w:r>
      <w:r w:rsidRPr="005E5E87">
        <w:rPr>
          <w:rFonts w:cstheme="minorHAnsi"/>
        </w:rPr>
        <w:t xml:space="preserve"> </w:t>
      </w:r>
      <w:r>
        <w:rPr>
          <w:rFonts w:cstheme="minorHAnsi"/>
        </w:rPr>
        <w:t xml:space="preserve">the current eligibility criteria of the SAS. People with </w:t>
      </w:r>
      <w:r w:rsidRPr="00022F68">
        <w:t>anorectal malformation</w:t>
      </w:r>
      <w:r w:rsidDel="003B1D52">
        <w:rPr>
          <w:rFonts w:cstheme="minorHAnsi"/>
        </w:rPr>
        <w:t xml:space="preserve"> </w:t>
      </w:r>
      <w:r>
        <w:rPr>
          <w:rFonts w:cstheme="minorHAnsi"/>
        </w:rPr>
        <w:t xml:space="preserve">or </w:t>
      </w:r>
      <w:r w:rsidRPr="00A650F3">
        <w:rPr>
          <w:rFonts w:cstheme="minorHAnsi"/>
        </w:rPr>
        <w:t>imperforate anus</w:t>
      </w:r>
      <w:r w:rsidDel="003B1D52">
        <w:rPr>
          <w:rFonts w:cstheme="minorHAnsi"/>
        </w:rPr>
        <w:t xml:space="preserve"> </w:t>
      </w:r>
      <w:r>
        <w:t xml:space="preserve">may have a colostomy while awaiting or recovering from surgery to correct the malformation and are eligible to access the SAS for products to manage their stoma. However, it may not be appropriate to continue to include products on the SAS Schedule for managing continence once the colostomy is reversed and stools can be expelled through the anus. </w:t>
      </w:r>
    </w:p>
    <w:p w14:paraId="20CF0275" w14:textId="77777777" w:rsidR="00436807" w:rsidRDefault="00436807" w:rsidP="00436807">
      <w:pPr>
        <w:spacing w:before="120" w:after="120"/>
        <w:rPr>
          <w:rFonts w:cstheme="minorHAnsi"/>
        </w:rPr>
      </w:pPr>
      <w:proofErr w:type="spellStart"/>
      <w:r>
        <w:rPr>
          <w:rFonts w:cstheme="minorHAnsi"/>
        </w:rPr>
        <w:lastRenderedPageBreak/>
        <w:t>Transanal</w:t>
      </w:r>
      <w:proofErr w:type="spellEnd"/>
      <w:r>
        <w:rPr>
          <w:rFonts w:cstheme="minorHAnsi"/>
        </w:rPr>
        <w:t xml:space="preserve"> irrigation products are not available on the SAS for people with other conditions such as</w:t>
      </w:r>
      <w:r w:rsidRPr="00F051D8">
        <w:rPr>
          <w:rFonts w:cstheme="minorHAnsi"/>
        </w:rPr>
        <w:t> neurogenic bowel dysfunction who suffer from f</w:t>
      </w:r>
      <w:r>
        <w:rPr>
          <w:rFonts w:cstheme="minorHAnsi"/>
        </w:rPr>
        <w:t>a</w:t>
      </w:r>
      <w:r w:rsidRPr="00F051D8">
        <w:rPr>
          <w:rFonts w:cstheme="minorHAnsi"/>
        </w:rPr>
        <w:t>ecal incontinence, chronic constipation, and/or time-consuming bowel management procedures</w:t>
      </w:r>
      <w:r>
        <w:rPr>
          <w:rFonts w:cstheme="minorHAnsi"/>
        </w:rPr>
        <w:t xml:space="preserve">, who may benefit from these products. There is no suggestion that SAS eligibility should be expanded for people with these conditions. </w:t>
      </w:r>
    </w:p>
    <w:p w14:paraId="409E13A7" w14:textId="77777777" w:rsidR="00436807" w:rsidRDefault="00436807" w:rsidP="00436807">
      <w:pPr>
        <w:spacing w:before="120" w:after="120"/>
      </w:pPr>
      <w:r>
        <w:rPr>
          <w:rFonts w:cstheme="minorHAnsi"/>
        </w:rPr>
        <w:t xml:space="preserve">Access to </w:t>
      </w:r>
      <w:proofErr w:type="spellStart"/>
      <w:r>
        <w:rPr>
          <w:rFonts w:cstheme="minorHAnsi"/>
        </w:rPr>
        <w:t>transanal</w:t>
      </w:r>
      <w:proofErr w:type="spellEnd"/>
      <w:r>
        <w:rPr>
          <w:rFonts w:cstheme="minorHAnsi"/>
        </w:rPr>
        <w:t xml:space="preserve"> irrigation products may be better supported through other schemes, including the NDIS for eligible participants, the Continence Aids Payments Scheme, and state/territory equipment schemes. </w:t>
      </w:r>
    </w:p>
    <w:p w14:paraId="691E817E" w14:textId="78F26A7B" w:rsidR="00E7013B" w:rsidRPr="00702D99" w:rsidRDefault="00E7013B" w:rsidP="00702D99">
      <w:pPr>
        <w:spacing w:before="120" w:after="120"/>
        <w:rPr>
          <w:rFonts w:cstheme="minorHAnsi"/>
        </w:rPr>
      </w:pPr>
      <w:r w:rsidRPr="00C80221">
        <w:rPr>
          <w:rFonts w:cstheme="minorHAnsi"/>
        </w:rPr>
        <w:t xml:space="preserve">The </w:t>
      </w:r>
      <w:proofErr w:type="spellStart"/>
      <w:r w:rsidRPr="00C80221">
        <w:rPr>
          <w:rFonts w:cstheme="minorHAnsi"/>
        </w:rPr>
        <w:t>HealthConsult</w:t>
      </w:r>
      <w:proofErr w:type="spellEnd"/>
      <w:r w:rsidRPr="00C80221">
        <w:rPr>
          <w:rFonts w:cstheme="minorHAnsi"/>
        </w:rPr>
        <w:t xml:space="preserve"> report noted there are sometimes </w:t>
      </w:r>
      <w:r w:rsidRPr="00C80221">
        <w:t>differences in interpretation and application of the SAS eligibility criteria</w:t>
      </w:r>
      <w:r w:rsidRPr="00C80221">
        <w:rPr>
          <w:rFonts w:cstheme="minorHAnsi"/>
        </w:rPr>
        <w:t>. The SPAP agreed it would be appropriate to publish a list of stoma types meeting SAS eligibility requirements, to support health professionals and stoma associations to understand the scope of the SAS and ensure consistency in access.</w:t>
      </w:r>
    </w:p>
    <w:p w14:paraId="525AA7D2" w14:textId="77777777" w:rsidR="00E7013B" w:rsidRPr="00702D99" w:rsidRDefault="00E7013B" w:rsidP="00702D99">
      <w:pPr>
        <w:pStyle w:val="VisionBox"/>
      </w:pPr>
      <w:r w:rsidRPr="00702D99">
        <w:t>Questions:</w:t>
      </w:r>
    </w:p>
    <w:p w14:paraId="7AE51673" w14:textId="77777777" w:rsidR="00E7013B" w:rsidRPr="00702D99" w:rsidRDefault="00E7013B" w:rsidP="00702D99">
      <w:pPr>
        <w:pStyle w:val="VisionBox"/>
      </w:pPr>
      <w:r w:rsidRPr="00702D99">
        <w:t>Do you agree the SAS should maintain its focus on stomas originating from the urinary or gastrointestinal tract for the removal of waste? Why?</w:t>
      </w:r>
    </w:p>
    <w:p w14:paraId="419B40F3" w14:textId="77777777" w:rsidR="00E7013B" w:rsidRPr="00702D99" w:rsidRDefault="00E7013B" w:rsidP="00702D99">
      <w:pPr>
        <w:pStyle w:val="VisionBox"/>
      </w:pPr>
      <w:r w:rsidRPr="00702D99">
        <w:t>If you consider that the scope of the SAS should be expanded, what other stoma types or conditions do you think should be included? Why?</w:t>
      </w:r>
    </w:p>
    <w:p w14:paraId="7C1777D3" w14:textId="77777777" w:rsidR="00E7013B" w:rsidRPr="00702D99" w:rsidRDefault="00E7013B" w:rsidP="00702D99">
      <w:pPr>
        <w:pStyle w:val="VisionBox"/>
      </w:pPr>
      <w:r w:rsidRPr="00702D99">
        <w:t xml:space="preserve">If the scope of the SAS is expanded, what measures would you suggest putting in place to ensure the SAS remains sustainable? </w:t>
      </w:r>
    </w:p>
    <w:p w14:paraId="28683F19" w14:textId="4A766BD6" w:rsidR="00436807" w:rsidRPr="00702D99" w:rsidRDefault="00436807" w:rsidP="00702D99">
      <w:pPr>
        <w:pStyle w:val="VisionBox"/>
      </w:pPr>
      <w:r w:rsidRPr="00702D99">
        <w:t>Should neo-anus openings following corrective surgery for anorectal malformation</w:t>
      </w:r>
      <w:r w:rsidRPr="00702D99" w:rsidDel="003B1D52">
        <w:t xml:space="preserve"> </w:t>
      </w:r>
      <w:r w:rsidRPr="00702D99">
        <w:t>or imperforate anus</w:t>
      </w:r>
      <w:r w:rsidRPr="00702D99" w:rsidDel="003B1D52">
        <w:t xml:space="preserve"> </w:t>
      </w:r>
      <w:r w:rsidRPr="00702D99">
        <w:t>be included in the SAS clinical eligibility? Why?</w:t>
      </w:r>
    </w:p>
    <w:p w14:paraId="4B1A755A" w14:textId="77777777" w:rsidR="006903E2" w:rsidRPr="00702D99" w:rsidRDefault="006903E2" w:rsidP="00702D99">
      <w:r>
        <w:br w:type="page"/>
      </w:r>
    </w:p>
    <w:p w14:paraId="500FC69B" w14:textId="67628F25" w:rsidR="00E7013B" w:rsidRPr="00805FFA" w:rsidRDefault="00E7013B" w:rsidP="00E7013B">
      <w:pPr>
        <w:pStyle w:val="Heading3"/>
      </w:pPr>
      <w:bookmarkStart w:id="10" w:name="_Toc175909179"/>
      <w:r w:rsidRPr="001D6A71">
        <w:lastRenderedPageBreak/>
        <w:t xml:space="preserve">Recommendation </w:t>
      </w:r>
      <w:r w:rsidR="00436807">
        <w:t>2</w:t>
      </w:r>
      <w:r w:rsidRPr="001D6A71">
        <w:t>: Maximum quantities</w:t>
      </w:r>
      <w:bookmarkEnd w:id="10"/>
    </w:p>
    <w:p w14:paraId="084301B4" w14:textId="77777777" w:rsidR="00E7013B" w:rsidRPr="00702D99" w:rsidRDefault="00E7013B" w:rsidP="00702D99">
      <w:pPr>
        <w:rPr>
          <w:rStyle w:val="Strong"/>
        </w:rPr>
      </w:pPr>
      <w:r w:rsidRPr="00702D99">
        <w:rPr>
          <w:rStyle w:val="Strong"/>
        </w:rPr>
        <w:t>Review the current maximum quantity restrictions on all products to ensure these are in line with clinical requirements.</w:t>
      </w:r>
    </w:p>
    <w:p w14:paraId="0DA4FE42" w14:textId="77777777" w:rsidR="00E7013B" w:rsidRPr="00702D99" w:rsidRDefault="00E7013B" w:rsidP="00702D99">
      <w:pPr>
        <w:pStyle w:val="Heading4"/>
      </w:pPr>
      <w:r w:rsidRPr="00702D99">
        <w:t>Rationale</w:t>
      </w:r>
    </w:p>
    <w:p w14:paraId="0DBACF5F" w14:textId="77777777" w:rsidR="00E7013B" w:rsidRDefault="00E7013B" w:rsidP="00E7013B">
      <w:pPr>
        <w:spacing w:before="120" w:after="120"/>
        <w:rPr>
          <w:rFonts w:cstheme="minorHAnsi"/>
        </w:rPr>
      </w:pPr>
      <w:r w:rsidRPr="005E5E87">
        <w:rPr>
          <w:rFonts w:cstheme="minorHAnsi"/>
        </w:rPr>
        <w:t>Each product listed on the SAS Schedule</w:t>
      </w:r>
      <w:r>
        <w:rPr>
          <w:rFonts w:cstheme="minorHAnsi"/>
        </w:rPr>
        <w:t xml:space="preserve"> has a listed monthly or annual maximum quantity. These maximum quantities are recommended by the SPAP taking into account what an ostomate would normally require </w:t>
      </w:r>
      <w:proofErr w:type="gramStart"/>
      <w:r>
        <w:rPr>
          <w:rFonts w:cstheme="minorHAnsi"/>
        </w:rPr>
        <w:t>to manage</w:t>
      </w:r>
      <w:proofErr w:type="gramEnd"/>
      <w:r>
        <w:rPr>
          <w:rFonts w:cstheme="minorHAnsi"/>
        </w:rPr>
        <w:t xml:space="preserve"> their stoma. </w:t>
      </w:r>
    </w:p>
    <w:p w14:paraId="52B21520" w14:textId="77777777" w:rsidR="00E7013B" w:rsidRDefault="00E7013B" w:rsidP="00E7013B">
      <w:pPr>
        <w:spacing w:before="120" w:after="120"/>
        <w:rPr>
          <w:rFonts w:cstheme="minorHAnsi"/>
        </w:rPr>
      </w:pPr>
      <w:r>
        <w:rPr>
          <w:rFonts w:cstheme="minorHAnsi"/>
        </w:rPr>
        <w:t xml:space="preserve">The </w:t>
      </w:r>
      <w:proofErr w:type="spellStart"/>
      <w:r>
        <w:rPr>
          <w:rFonts w:cstheme="minorHAnsi"/>
        </w:rPr>
        <w:t>HealthConsult</w:t>
      </w:r>
      <w:proofErr w:type="spellEnd"/>
      <w:r>
        <w:rPr>
          <w:rFonts w:cstheme="minorHAnsi"/>
        </w:rPr>
        <w:t xml:space="preserve"> report identified that t</w:t>
      </w:r>
      <w:r w:rsidRPr="002575B1">
        <w:rPr>
          <w:rFonts w:cstheme="minorHAnsi"/>
        </w:rPr>
        <w:t xml:space="preserve">here are </w:t>
      </w:r>
      <w:r>
        <w:rPr>
          <w:rFonts w:cstheme="minorHAnsi"/>
        </w:rPr>
        <w:t xml:space="preserve">currently </w:t>
      </w:r>
      <w:r w:rsidRPr="002575B1">
        <w:rPr>
          <w:rFonts w:cstheme="minorHAnsi"/>
        </w:rPr>
        <w:t xml:space="preserve">anomalies in maximum </w:t>
      </w:r>
      <w:r>
        <w:rPr>
          <w:rFonts w:cstheme="minorHAnsi"/>
        </w:rPr>
        <w:t>quantities</w:t>
      </w:r>
      <w:r w:rsidRPr="002575B1">
        <w:rPr>
          <w:rFonts w:cstheme="minorHAnsi"/>
        </w:rPr>
        <w:t xml:space="preserve"> for </w:t>
      </w:r>
      <w:r>
        <w:rPr>
          <w:rFonts w:cstheme="minorHAnsi"/>
        </w:rPr>
        <w:t xml:space="preserve">some </w:t>
      </w:r>
      <w:r w:rsidRPr="002575B1">
        <w:rPr>
          <w:rFonts w:cstheme="minorHAnsi"/>
        </w:rPr>
        <w:t>listed products</w:t>
      </w:r>
      <w:r>
        <w:rPr>
          <w:rFonts w:cstheme="minorHAnsi"/>
        </w:rPr>
        <w:t xml:space="preserve">, where SAS Schedule maximum quantities do not align with clinically recommended use of some products. </w:t>
      </w:r>
      <w:r w:rsidRPr="003F6A4E">
        <w:rPr>
          <w:rFonts w:cstheme="minorHAnsi"/>
        </w:rPr>
        <w:t>For example</w:t>
      </w:r>
      <w:r>
        <w:rPr>
          <w:rFonts w:cstheme="minorHAnsi"/>
        </w:rPr>
        <w:t xml:space="preserve">, for </w:t>
      </w:r>
      <w:r w:rsidRPr="00C522E4">
        <w:rPr>
          <w:rFonts w:cstheme="minorHAnsi"/>
        </w:rPr>
        <w:t>products listed in subgroup 1c</w:t>
      </w:r>
      <w:r>
        <w:rPr>
          <w:rFonts w:cstheme="minorHAnsi"/>
        </w:rPr>
        <w:t xml:space="preserve"> </w:t>
      </w:r>
      <w:r w:rsidRPr="00E349A9">
        <w:rPr>
          <w:rFonts w:cstheme="minorHAnsi"/>
        </w:rPr>
        <w:t>(Convex Baseplates),</w:t>
      </w:r>
      <w:r w:rsidRPr="00C522E4">
        <w:rPr>
          <w:rFonts w:cstheme="minorHAnsi"/>
        </w:rPr>
        <w:t xml:space="preserve"> it is recommended </w:t>
      </w:r>
      <w:r>
        <w:rPr>
          <w:rFonts w:cstheme="minorHAnsi"/>
        </w:rPr>
        <w:t>the bag could require changing up to 3</w:t>
      </w:r>
      <w:r w:rsidRPr="00C522E4">
        <w:rPr>
          <w:rFonts w:cstheme="minorHAnsi"/>
        </w:rPr>
        <w:t xml:space="preserve"> times per day</w:t>
      </w:r>
      <w:r>
        <w:rPr>
          <w:rFonts w:cstheme="minorHAnsi"/>
        </w:rPr>
        <w:t>,</w:t>
      </w:r>
      <w:r w:rsidRPr="00C522E4">
        <w:rPr>
          <w:rFonts w:cstheme="minorHAnsi"/>
        </w:rPr>
        <w:t xml:space="preserve"> </w:t>
      </w:r>
      <w:r>
        <w:rPr>
          <w:rFonts w:cstheme="minorHAnsi"/>
        </w:rPr>
        <w:t>but</w:t>
      </w:r>
      <w:r w:rsidRPr="00C522E4">
        <w:rPr>
          <w:rFonts w:cstheme="minorHAnsi"/>
        </w:rPr>
        <w:t xml:space="preserve"> the current maximum quantity for most products</w:t>
      </w:r>
      <w:r>
        <w:rPr>
          <w:rFonts w:cstheme="minorHAnsi"/>
        </w:rPr>
        <w:t xml:space="preserve"> in this subgroup</w:t>
      </w:r>
      <w:r w:rsidRPr="00C522E4">
        <w:rPr>
          <w:rFonts w:cstheme="minorHAnsi"/>
        </w:rPr>
        <w:t xml:space="preserve"> is 60</w:t>
      </w:r>
      <w:r>
        <w:rPr>
          <w:rFonts w:cstheme="minorHAnsi"/>
        </w:rPr>
        <w:t xml:space="preserve"> per month. A more appropriate maximum quantity would be 90 per month so ostomates who use this product can change the bag 3 times a day without requesting additional supplies</w:t>
      </w:r>
      <w:r w:rsidRPr="00C522E4">
        <w:rPr>
          <w:rFonts w:cstheme="minorHAnsi"/>
        </w:rPr>
        <w:t xml:space="preserve">. </w:t>
      </w:r>
    </w:p>
    <w:p w14:paraId="14E14D83" w14:textId="77777777" w:rsidR="00E7013B" w:rsidRPr="00C522E4" w:rsidRDefault="00E7013B" w:rsidP="00E7013B">
      <w:pPr>
        <w:spacing w:before="120" w:after="120"/>
        <w:rPr>
          <w:rFonts w:cstheme="minorHAnsi"/>
        </w:rPr>
      </w:pPr>
      <w:r>
        <w:rPr>
          <w:rFonts w:cstheme="minorHAnsi"/>
        </w:rPr>
        <w:t>Conversely, for some SAS Schedule products, the maximum quantity may be too high, which may lead to over-ordering and product wastage.</w:t>
      </w:r>
    </w:p>
    <w:p w14:paraId="226748BF" w14:textId="77777777" w:rsidR="00E7013B" w:rsidRDefault="00E7013B" w:rsidP="00E7013B">
      <w:pPr>
        <w:spacing w:before="120" w:after="120"/>
        <w:rPr>
          <w:rFonts w:cstheme="minorHAnsi"/>
        </w:rPr>
      </w:pPr>
      <w:r>
        <w:rPr>
          <w:rFonts w:cstheme="minorHAnsi"/>
        </w:rPr>
        <w:t xml:space="preserve">The SPAP recommended that current maximum quantity restrictions for all products should be reviewed to ensure these reflect clinical requirements. This is likely to mean that some products will have a change to their maximum quantities. The aim of these changes would be to ensure the maximum quantities reflect the quantity needed by most ostomates to manage their stoma. In some cases, this would be higher than the current maximum quantity, but for other products it may be lower. If an ostomate needs more than the maximum quantity after the changes, they would still be able to apply through their stoma association to access additional supplies for most products, </w:t>
      </w:r>
      <w:proofErr w:type="gramStart"/>
      <w:r>
        <w:rPr>
          <w:rFonts w:cstheme="minorHAnsi"/>
        </w:rPr>
        <w:t>similar to</w:t>
      </w:r>
      <w:proofErr w:type="gramEnd"/>
      <w:r>
        <w:rPr>
          <w:rFonts w:cstheme="minorHAnsi"/>
        </w:rPr>
        <w:t xml:space="preserve"> the current process.</w:t>
      </w:r>
    </w:p>
    <w:p w14:paraId="6F5E9D07" w14:textId="77777777" w:rsidR="00E7013B" w:rsidRPr="00702D99" w:rsidRDefault="00E7013B" w:rsidP="00702D99">
      <w:pPr>
        <w:pStyle w:val="VisionBox"/>
      </w:pPr>
      <w:r w:rsidRPr="00702D99">
        <w:t>Question:</w:t>
      </w:r>
    </w:p>
    <w:p w14:paraId="1BBB06FD" w14:textId="2F48EAB5" w:rsidR="00E7013B" w:rsidRPr="00702D99" w:rsidRDefault="00E7013B" w:rsidP="00702D99">
      <w:pPr>
        <w:pStyle w:val="VisionBox"/>
      </w:pPr>
      <w:r w:rsidRPr="00702D99">
        <w:t xml:space="preserve">Are </w:t>
      </w:r>
      <w:r w:rsidR="00A80E74" w:rsidRPr="00702D99">
        <w:t xml:space="preserve">you aware of any products </w:t>
      </w:r>
      <w:r w:rsidRPr="00702D99">
        <w:t>on the SAS Schedule where the maximum quantity restrictions do not align with the amount required for clinically recommended use of the product? If yes, please list the products or types of products, their maximum quantities and an explanation for your answer. (Note: this could include maximum quantities that are too low, with not enough products provided, or too high, with too many products available each month/year.)</w:t>
      </w:r>
    </w:p>
    <w:p w14:paraId="292182FC" w14:textId="77777777" w:rsidR="006903E2" w:rsidRPr="00702D99" w:rsidRDefault="006903E2" w:rsidP="00702D99">
      <w:r w:rsidRPr="00702D99">
        <w:br w:type="page"/>
      </w:r>
    </w:p>
    <w:p w14:paraId="7107CBAF" w14:textId="5114E1A6" w:rsidR="00E7013B" w:rsidRPr="001D6A71" w:rsidRDefault="00E7013B" w:rsidP="00E7013B">
      <w:pPr>
        <w:pStyle w:val="Heading3"/>
      </w:pPr>
      <w:bookmarkStart w:id="11" w:name="_Toc175909180"/>
      <w:r w:rsidRPr="001D6A71">
        <w:lastRenderedPageBreak/>
        <w:t xml:space="preserve">Recommendation </w:t>
      </w:r>
      <w:r w:rsidR="00436807">
        <w:t>3</w:t>
      </w:r>
      <w:r w:rsidRPr="001D6A71">
        <w:t>: Group 9 products</w:t>
      </w:r>
      <w:bookmarkEnd w:id="11"/>
      <w:r w:rsidRPr="001D6A71">
        <w:t xml:space="preserve"> </w:t>
      </w:r>
    </w:p>
    <w:p w14:paraId="531DE61E" w14:textId="77777777" w:rsidR="00E7013B" w:rsidRPr="00702D99" w:rsidRDefault="00E7013B" w:rsidP="00702D99">
      <w:pPr>
        <w:rPr>
          <w:rStyle w:val="Strong"/>
        </w:rPr>
      </w:pPr>
      <w:r w:rsidRPr="00702D99">
        <w:rPr>
          <w:rStyle w:val="Strong"/>
        </w:rPr>
        <w:t>Group 9 (accessory products) should be split into 2 groups to differentiate between products that are necessary to manage a stoma and those that are discretionary. Products considered to be discretionary should have higher evidence requirements for listing and stricter maximum quantities and restrictions.</w:t>
      </w:r>
    </w:p>
    <w:p w14:paraId="3D11FC51" w14:textId="77777777" w:rsidR="00E7013B" w:rsidRPr="00702D99" w:rsidRDefault="00E7013B" w:rsidP="00702D99">
      <w:pPr>
        <w:pStyle w:val="Heading4"/>
      </w:pPr>
      <w:r w:rsidRPr="00702D99">
        <w:t>Rationale</w:t>
      </w:r>
    </w:p>
    <w:p w14:paraId="76098D15" w14:textId="77777777" w:rsidR="00E7013B" w:rsidRDefault="00E7013B" w:rsidP="00E7013B">
      <w:pPr>
        <w:rPr>
          <w:rFonts w:cstheme="minorHAnsi"/>
        </w:rPr>
      </w:pPr>
      <w:r>
        <w:rPr>
          <w:rFonts w:cstheme="minorHAnsi"/>
        </w:rPr>
        <w:t>Group 9 (accessory products) includes a</w:t>
      </w:r>
      <w:r w:rsidRPr="00A261DA">
        <w:rPr>
          <w:rFonts w:cstheme="minorHAnsi"/>
        </w:rPr>
        <w:t xml:space="preserve">dhesive </w:t>
      </w:r>
      <w:r>
        <w:rPr>
          <w:rFonts w:cstheme="minorHAnsi"/>
        </w:rPr>
        <w:t>b</w:t>
      </w:r>
      <w:r w:rsidRPr="00A261DA">
        <w:rPr>
          <w:rFonts w:cstheme="minorHAnsi"/>
        </w:rPr>
        <w:t>arrier</w:t>
      </w:r>
      <w:r>
        <w:rPr>
          <w:rFonts w:cstheme="minorHAnsi"/>
        </w:rPr>
        <w:t>s, b</w:t>
      </w:r>
      <w:r w:rsidRPr="00A261DA">
        <w:rPr>
          <w:rFonts w:cstheme="minorHAnsi"/>
        </w:rPr>
        <w:t>elts</w:t>
      </w:r>
      <w:r>
        <w:rPr>
          <w:rFonts w:cstheme="minorHAnsi"/>
        </w:rPr>
        <w:t>, c</w:t>
      </w:r>
      <w:r w:rsidRPr="00A261DA">
        <w:rPr>
          <w:rFonts w:cstheme="minorHAnsi"/>
        </w:rPr>
        <w:t>lips</w:t>
      </w:r>
      <w:r>
        <w:rPr>
          <w:rFonts w:cstheme="minorHAnsi"/>
        </w:rPr>
        <w:t>, c</w:t>
      </w:r>
      <w:r w:rsidRPr="00A261DA">
        <w:rPr>
          <w:rFonts w:cstheme="minorHAnsi"/>
        </w:rPr>
        <w:t xml:space="preserve">leansers and </w:t>
      </w:r>
      <w:r>
        <w:rPr>
          <w:rFonts w:cstheme="minorHAnsi"/>
        </w:rPr>
        <w:t>s</w:t>
      </w:r>
      <w:r w:rsidRPr="00A261DA">
        <w:rPr>
          <w:rFonts w:cstheme="minorHAnsi"/>
        </w:rPr>
        <w:t>olvents</w:t>
      </w:r>
      <w:r>
        <w:rPr>
          <w:rFonts w:cstheme="minorHAnsi"/>
        </w:rPr>
        <w:t>, c</w:t>
      </w:r>
      <w:r w:rsidRPr="00A261DA">
        <w:rPr>
          <w:rFonts w:cstheme="minorHAnsi"/>
        </w:rPr>
        <w:t xml:space="preserve">onvexity </w:t>
      </w:r>
      <w:r>
        <w:rPr>
          <w:rFonts w:cstheme="minorHAnsi"/>
        </w:rPr>
        <w:t>i</w:t>
      </w:r>
      <w:r w:rsidRPr="00A261DA">
        <w:rPr>
          <w:rFonts w:cstheme="minorHAnsi"/>
        </w:rPr>
        <w:t>nserts</w:t>
      </w:r>
      <w:r>
        <w:rPr>
          <w:rFonts w:cstheme="minorHAnsi"/>
        </w:rPr>
        <w:t>, c</w:t>
      </w:r>
      <w:r w:rsidRPr="00A261DA">
        <w:rPr>
          <w:rFonts w:cstheme="minorHAnsi"/>
        </w:rPr>
        <w:t xml:space="preserve">reams and </w:t>
      </w:r>
      <w:r>
        <w:rPr>
          <w:rFonts w:cstheme="minorHAnsi"/>
        </w:rPr>
        <w:t>o</w:t>
      </w:r>
      <w:r w:rsidRPr="00A261DA">
        <w:rPr>
          <w:rFonts w:cstheme="minorHAnsi"/>
        </w:rPr>
        <w:t>intments</w:t>
      </w:r>
      <w:r>
        <w:rPr>
          <w:rFonts w:cstheme="minorHAnsi"/>
        </w:rPr>
        <w:t>, d</w:t>
      </w:r>
      <w:r w:rsidRPr="00A261DA">
        <w:rPr>
          <w:rFonts w:cstheme="minorHAnsi"/>
        </w:rPr>
        <w:t>eodorants</w:t>
      </w:r>
      <w:r>
        <w:rPr>
          <w:rFonts w:cstheme="minorHAnsi"/>
        </w:rPr>
        <w:t>, stoma</w:t>
      </w:r>
      <w:r w:rsidRPr="00A261DA">
        <w:rPr>
          <w:rFonts w:cstheme="minorHAnsi"/>
        </w:rPr>
        <w:t xml:space="preserve"> </w:t>
      </w:r>
      <w:r>
        <w:rPr>
          <w:rFonts w:cstheme="minorHAnsi"/>
        </w:rPr>
        <w:t>s</w:t>
      </w:r>
      <w:r w:rsidRPr="00A261DA">
        <w:rPr>
          <w:rFonts w:cstheme="minorHAnsi"/>
        </w:rPr>
        <w:t xml:space="preserve">upport </w:t>
      </w:r>
      <w:r>
        <w:rPr>
          <w:rFonts w:cstheme="minorHAnsi"/>
        </w:rPr>
        <w:t>b</w:t>
      </w:r>
      <w:r w:rsidRPr="00A261DA">
        <w:rPr>
          <w:rFonts w:cstheme="minorHAnsi"/>
        </w:rPr>
        <w:t xml:space="preserve">elts and </w:t>
      </w:r>
      <w:r>
        <w:rPr>
          <w:rFonts w:cstheme="minorHAnsi"/>
        </w:rPr>
        <w:t>g</w:t>
      </w:r>
      <w:r w:rsidRPr="00A261DA">
        <w:rPr>
          <w:rFonts w:cstheme="minorHAnsi"/>
        </w:rPr>
        <w:t>arments</w:t>
      </w:r>
      <w:r>
        <w:rPr>
          <w:rFonts w:cstheme="minorHAnsi"/>
        </w:rPr>
        <w:t>, n</w:t>
      </w:r>
      <w:r w:rsidRPr="00A261DA">
        <w:rPr>
          <w:rFonts w:cstheme="minorHAnsi"/>
        </w:rPr>
        <w:t xml:space="preserve">ight </w:t>
      </w:r>
      <w:r>
        <w:rPr>
          <w:rFonts w:cstheme="minorHAnsi"/>
        </w:rPr>
        <w:t>d</w:t>
      </w:r>
      <w:r w:rsidRPr="00A261DA">
        <w:rPr>
          <w:rFonts w:cstheme="minorHAnsi"/>
        </w:rPr>
        <w:t>rainage</w:t>
      </w:r>
      <w:r>
        <w:rPr>
          <w:rFonts w:cstheme="minorHAnsi"/>
        </w:rPr>
        <w:t>, p</w:t>
      </w:r>
      <w:r w:rsidRPr="00A261DA">
        <w:rPr>
          <w:rFonts w:cstheme="minorHAnsi"/>
        </w:rPr>
        <w:t xml:space="preserve">owders and </w:t>
      </w:r>
      <w:r>
        <w:rPr>
          <w:rFonts w:cstheme="minorHAnsi"/>
        </w:rPr>
        <w:t>p</w:t>
      </w:r>
      <w:r w:rsidRPr="00A261DA">
        <w:rPr>
          <w:rFonts w:cstheme="minorHAnsi"/>
        </w:rPr>
        <w:t>astes</w:t>
      </w:r>
      <w:r>
        <w:rPr>
          <w:rFonts w:cstheme="minorHAnsi"/>
        </w:rPr>
        <w:t>, p</w:t>
      </w:r>
      <w:r w:rsidRPr="00A261DA">
        <w:rPr>
          <w:rFonts w:cstheme="minorHAnsi"/>
        </w:rPr>
        <w:t xml:space="preserve">rotective </w:t>
      </w:r>
      <w:r>
        <w:rPr>
          <w:rFonts w:cstheme="minorHAnsi"/>
        </w:rPr>
        <w:t>f</w:t>
      </w:r>
      <w:r w:rsidRPr="00A261DA">
        <w:rPr>
          <w:rFonts w:cstheme="minorHAnsi"/>
        </w:rPr>
        <w:t>ilms</w:t>
      </w:r>
      <w:r>
        <w:rPr>
          <w:rFonts w:cstheme="minorHAnsi"/>
        </w:rPr>
        <w:t>, s</w:t>
      </w:r>
      <w:r w:rsidRPr="00A261DA">
        <w:rPr>
          <w:rFonts w:cstheme="minorHAnsi"/>
        </w:rPr>
        <w:t>eals</w:t>
      </w:r>
      <w:r>
        <w:rPr>
          <w:rFonts w:cstheme="minorHAnsi"/>
        </w:rPr>
        <w:t>, and other m</w:t>
      </w:r>
      <w:r w:rsidRPr="00A261DA">
        <w:rPr>
          <w:rFonts w:cstheme="minorHAnsi"/>
        </w:rPr>
        <w:t>iscellaneous</w:t>
      </w:r>
      <w:r>
        <w:rPr>
          <w:rFonts w:cstheme="minorHAnsi"/>
        </w:rPr>
        <w:t xml:space="preserve"> accessory products. Group 9 has the largest number of dispensed products by group, accounting for 52.5% of the total volume of products dispensed in 2023-24. </w:t>
      </w:r>
    </w:p>
    <w:p w14:paraId="677660C7" w14:textId="77777777" w:rsidR="00E7013B" w:rsidRDefault="00E7013B" w:rsidP="00E7013B">
      <w:pPr>
        <w:rPr>
          <w:rFonts w:cstheme="minorHAnsi"/>
        </w:rPr>
      </w:pPr>
      <w:r>
        <w:rPr>
          <w:rFonts w:cstheme="minorHAnsi"/>
        </w:rPr>
        <w:t xml:space="preserve">The </w:t>
      </w:r>
      <w:proofErr w:type="spellStart"/>
      <w:r>
        <w:rPr>
          <w:rFonts w:cstheme="minorHAnsi"/>
        </w:rPr>
        <w:t>HealthConsult</w:t>
      </w:r>
      <w:proofErr w:type="spellEnd"/>
      <w:r>
        <w:rPr>
          <w:rFonts w:cstheme="minorHAnsi"/>
        </w:rPr>
        <w:t xml:space="preserve"> report noted that rationalising products on the SAS Schedule would help to minimise wastage and optimise expenditure. The </w:t>
      </w:r>
      <w:proofErr w:type="spellStart"/>
      <w:r>
        <w:rPr>
          <w:rFonts w:cstheme="minorHAnsi"/>
        </w:rPr>
        <w:t>HealthConsult</w:t>
      </w:r>
      <w:proofErr w:type="spellEnd"/>
      <w:r>
        <w:rPr>
          <w:rFonts w:cstheme="minorHAnsi"/>
        </w:rPr>
        <w:t xml:space="preserve"> report suggested removing products that may not be </w:t>
      </w:r>
      <w:r w:rsidRPr="0035020A">
        <w:rPr>
          <w:rFonts w:cstheme="minorHAnsi"/>
        </w:rPr>
        <w:t>clinically necessary</w:t>
      </w:r>
      <w:r>
        <w:rPr>
          <w:rFonts w:cstheme="minorHAnsi"/>
        </w:rPr>
        <w:t>,</w:t>
      </w:r>
      <w:r w:rsidRPr="0035020A">
        <w:rPr>
          <w:rFonts w:cstheme="minorHAnsi"/>
        </w:rPr>
        <w:t xml:space="preserve"> such as cleanser wipes, deodorants, and creams and ointments</w:t>
      </w:r>
      <w:r>
        <w:rPr>
          <w:rFonts w:cstheme="minorHAnsi"/>
        </w:rPr>
        <w:t>.</w:t>
      </w:r>
    </w:p>
    <w:p w14:paraId="12DCE425" w14:textId="35FE300B" w:rsidR="00E7013B" w:rsidRDefault="00E7013B" w:rsidP="00E7013B">
      <w:pPr>
        <w:rPr>
          <w:rFonts w:cstheme="minorHAnsi"/>
        </w:rPr>
      </w:pPr>
      <w:r>
        <w:rPr>
          <w:rFonts w:cstheme="minorHAnsi"/>
        </w:rPr>
        <w:t>The SPAP’s view was that, while all products in Group 9 are relevant to stoma management and may assist ostomates in the management of their stoma, some products are not clinically necessary for stoma management and/or are not being used in a clinically appropriate manner, which could contribute to stoma management problems.</w:t>
      </w:r>
      <w:r w:rsidRPr="005E5E87">
        <w:rPr>
          <w:rFonts w:cstheme="minorHAnsi"/>
          <w:i/>
          <w:iCs/>
        </w:rPr>
        <w:t xml:space="preserve"> </w:t>
      </w:r>
    </w:p>
    <w:p w14:paraId="3F290CEC" w14:textId="77777777" w:rsidR="00E7013B" w:rsidRDefault="00E7013B" w:rsidP="00E7013B">
      <w:pPr>
        <w:rPr>
          <w:rFonts w:cstheme="minorHAnsi"/>
        </w:rPr>
      </w:pPr>
      <w:r>
        <w:rPr>
          <w:rFonts w:cstheme="minorHAnsi"/>
        </w:rPr>
        <w:t>The SPAP has therefore proposed Group 9 products be split into 2 groups:</w:t>
      </w:r>
    </w:p>
    <w:p w14:paraId="24E19D64" w14:textId="77777777" w:rsidR="00E7013B" w:rsidRPr="005E5E87" w:rsidRDefault="00E7013B" w:rsidP="00E7013B">
      <w:pPr>
        <w:pStyle w:val="ListParagraph"/>
        <w:numPr>
          <w:ilvl w:val="0"/>
          <w:numId w:val="33"/>
        </w:numPr>
        <w:rPr>
          <w:rFonts w:asciiTheme="minorHAnsi" w:eastAsiaTheme="minorHAnsi" w:hAnsiTheme="minorHAnsi" w:cstheme="minorHAnsi"/>
          <w:sz w:val="22"/>
          <w:szCs w:val="22"/>
        </w:rPr>
      </w:pPr>
      <w:r>
        <w:rPr>
          <w:rFonts w:asciiTheme="minorHAnsi" w:eastAsiaTheme="minorHAnsi" w:hAnsiTheme="minorHAnsi" w:cstheme="minorHAnsi"/>
          <w:sz w:val="22"/>
          <w:szCs w:val="22"/>
        </w:rPr>
        <w:t>Products that are clinically n</w:t>
      </w:r>
      <w:r w:rsidRPr="005E5E87">
        <w:rPr>
          <w:rFonts w:asciiTheme="minorHAnsi" w:eastAsiaTheme="minorHAnsi" w:hAnsiTheme="minorHAnsi" w:cstheme="minorHAnsi"/>
          <w:sz w:val="22"/>
          <w:szCs w:val="22"/>
        </w:rPr>
        <w:t>ecessary for stoma management</w:t>
      </w:r>
      <w:r>
        <w:rPr>
          <w:rFonts w:asciiTheme="minorHAnsi" w:eastAsiaTheme="minorHAnsi" w:hAnsiTheme="minorHAnsi" w:cstheme="minorHAnsi"/>
          <w:sz w:val="22"/>
          <w:szCs w:val="22"/>
        </w:rPr>
        <w:t>, based on accepted clinical practice in stoma management.</w:t>
      </w:r>
      <w:r w:rsidRPr="005E5E87">
        <w:rPr>
          <w:rFonts w:asciiTheme="minorHAnsi" w:eastAsiaTheme="minorHAnsi" w:hAnsiTheme="minorHAnsi" w:cstheme="minorHAnsi"/>
          <w:sz w:val="22"/>
          <w:szCs w:val="22"/>
        </w:rPr>
        <w:t xml:space="preserve"> </w:t>
      </w:r>
    </w:p>
    <w:p w14:paraId="7E5FCF21" w14:textId="77777777" w:rsidR="00E7013B" w:rsidRPr="00FD21C9" w:rsidRDefault="00E7013B" w:rsidP="00E7013B">
      <w:pPr>
        <w:pStyle w:val="ListParagraph"/>
        <w:numPr>
          <w:ilvl w:val="0"/>
          <w:numId w:val="33"/>
        </w:numPr>
        <w:rPr>
          <w:rFonts w:asciiTheme="minorHAnsi" w:eastAsiaTheme="minorHAnsi" w:hAnsiTheme="minorHAnsi" w:cstheme="minorHAnsi"/>
          <w:sz w:val="22"/>
          <w:szCs w:val="22"/>
        </w:rPr>
      </w:pPr>
      <w:r>
        <w:rPr>
          <w:rFonts w:asciiTheme="minorHAnsi" w:eastAsiaTheme="minorHAnsi" w:hAnsiTheme="minorHAnsi" w:cstheme="minorHAnsi"/>
          <w:sz w:val="22"/>
          <w:szCs w:val="22"/>
        </w:rPr>
        <w:t>D</w:t>
      </w:r>
      <w:r w:rsidRPr="005E5E87">
        <w:rPr>
          <w:rFonts w:asciiTheme="minorHAnsi" w:eastAsiaTheme="minorHAnsi" w:hAnsiTheme="minorHAnsi" w:cstheme="minorHAnsi"/>
          <w:sz w:val="22"/>
          <w:szCs w:val="22"/>
        </w:rPr>
        <w:t>iscretionary products that are used by ostomates as a preference</w:t>
      </w:r>
      <w:r>
        <w:rPr>
          <w:rFonts w:asciiTheme="minorHAnsi" w:eastAsiaTheme="minorHAnsi" w:hAnsiTheme="minorHAnsi" w:cstheme="minorHAnsi"/>
          <w:sz w:val="22"/>
          <w:szCs w:val="22"/>
        </w:rPr>
        <w:t>, but which are not</w:t>
      </w:r>
      <w:r w:rsidRPr="005E5E87">
        <w:rPr>
          <w:rFonts w:asciiTheme="minorHAnsi" w:eastAsiaTheme="minorHAnsi" w:hAnsiTheme="minorHAnsi" w:cstheme="minorHAnsi"/>
          <w:sz w:val="22"/>
          <w:szCs w:val="22"/>
        </w:rPr>
        <w:t xml:space="preserve"> clinical</w:t>
      </w:r>
      <w:r>
        <w:rPr>
          <w:rFonts w:asciiTheme="minorHAnsi" w:eastAsiaTheme="minorHAnsi" w:hAnsiTheme="minorHAnsi" w:cstheme="minorHAnsi"/>
          <w:sz w:val="22"/>
          <w:szCs w:val="22"/>
        </w:rPr>
        <w:t>ly</w:t>
      </w:r>
      <w:r w:rsidRPr="005E5E87">
        <w:rPr>
          <w:rFonts w:asciiTheme="minorHAnsi" w:eastAsiaTheme="minorHAnsi" w:hAnsiTheme="minorHAnsi" w:cstheme="minorHAnsi"/>
          <w:sz w:val="22"/>
          <w:szCs w:val="22"/>
        </w:rPr>
        <w:t xml:space="preserve"> necess</w:t>
      </w:r>
      <w:r>
        <w:rPr>
          <w:rFonts w:asciiTheme="minorHAnsi" w:eastAsiaTheme="minorHAnsi" w:hAnsiTheme="minorHAnsi" w:cstheme="minorHAnsi"/>
          <w:sz w:val="22"/>
          <w:szCs w:val="22"/>
        </w:rPr>
        <w:t>ary</w:t>
      </w:r>
      <w:r w:rsidRPr="005E5E87">
        <w:rPr>
          <w:rFonts w:asciiTheme="minorHAnsi" w:eastAsiaTheme="minorHAnsi" w:hAnsiTheme="minorHAnsi" w:cstheme="minorHAnsi"/>
          <w:sz w:val="22"/>
          <w:szCs w:val="22"/>
        </w:rPr>
        <w:t xml:space="preserve">. Products in this group will have higher </w:t>
      </w:r>
      <w:r>
        <w:rPr>
          <w:rFonts w:asciiTheme="minorHAnsi" w:eastAsiaTheme="minorHAnsi" w:hAnsiTheme="minorHAnsi" w:cstheme="minorHAnsi"/>
          <w:sz w:val="22"/>
          <w:szCs w:val="22"/>
        </w:rPr>
        <w:t>evidence</w:t>
      </w:r>
      <w:r w:rsidRPr="005E5E87">
        <w:rPr>
          <w:rFonts w:asciiTheme="minorHAnsi" w:eastAsiaTheme="minorHAnsi" w:hAnsiTheme="minorHAnsi" w:cstheme="minorHAnsi"/>
          <w:sz w:val="22"/>
          <w:szCs w:val="22"/>
        </w:rPr>
        <w:t xml:space="preserve"> requirements for listing</w:t>
      </w:r>
      <w:r>
        <w:rPr>
          <w:rFonts w:asciiTheme="minorHAnsi" w:eastAsiaTheme="minorHAnsi" w:hAnsiTheme="minorHAnsi" w:cstheme="minorHAnsi"/>
          <w:sz w:val="22"/>
          <w:szCs w:val="22"/>
        </w:rPr>
        <w:t xml:space="preserve"> on the SAS Schedule</w:t>
      </w:r>
      <w:r w:rsidRPr="005E5E87">
        <w:rPr>
          <w:rFonts w:asciiTheme="minorHAnsi" w:eastAsiaTheme="minorHAnsi" w:hAnsiTheme="minorHAnsi" w:cstheme="minorHAnsi"/>
          <w:sz w:val="22"/>
          <w:szCs w:val="22"/>
        </w:rPr>
        <w:t xml:space="preserve"> and stricter maximum quantities and restrictions</w:t>
      </w:r>
      <w:r>
        <w:rPr>
          <w:rFonts w:asciiTheme="minorHAnsi" w:eastAsiaTheme="minorHAnsi" w:hAnsiTheme="minorHAnsi" w:cstheme="minorHAnsi"/>
          <w:sz w:val="22"/>
          <w:szCs w:val="22"/>
        </w:rPr>
        <w:t>.</w:t>
      </w:r>
    </w:p>
    <w:p w14:paraId="3C9A21F8" w14:textId="77777777" w:rsidR="00E7013B" w:rsidRDefault="00E7013B" w:rsidP="00E7013B">
      <w:pPr>
        <w:pStyle w:val="ListParagraph"/>
        <w:spacing w:before="120" w:after="120"/>
        <w:ind w:left="0"/>
        <w:contextualSpacing w:val="0"/>
        <w:rPr>
          <w:rFonts w:asciiTheme="minorHAnsi" w:hAnsiTheme="minorHAnsi" w:cstheme="minorHAnsi"/>
          <w:sz w:val="22"/>
          <w:szCs w:val="22"/>
        </w:rPr>
      </w:pPr>
      <w:r>
        <w:rPr>
          <w:rFonts w:asciiTheme="minorHAnsi" w:hAnsiTheme="minorHAnsi" w:cstheme="minorHAnsi"/>
          <w:sz w:val="22"/>
          <w:szCs w:val="22"/>
        </w:rPr>
        <w:t>Under this proposal</w:t>
      </w:r>
      <w:r w:rsidRPr="00811E8D">
        <w:rPr>
          <w:rFonts w:asciiTheme="minorHAnsi" w:hAnsiTheme="minorHAnsi" w:cstheme="minorHAnsi"/>
          <w:sz w:val="22"/>
          <w:szCs w:val="22"/>
        </w:rPr>
        <w:t>,</w:t>
      </w:r>
      <w:r w:rsidRPr="005E5E87">
        <w:rPr>
          <w:rFonts w:asciiTheme="minorHAnsi" w:hAnsiTheme="minorHAnsi" w:cstheme="minorHAnsi"/>
          <w:sz w:val="22"/>
          <w:szCs w:val="22"/>
        </w:rPr>
        <w:t xml:space="preserve"> </w:t>
      </w:r>
      <w:r w:rsidRPr="00D0115C">
        <w:rPr>
          <w:rFonts w:asciiTheme="minorHAnsi" w:hAnsiTheme="minorHAnsi" w:cstheme="minorHAnsi"/>
          <w:i/>
          <w:iCs/>
          <w:sz w:val="22"/>
          <w:szCs w:val="22"/>
        </w:rPr>
        <w:t>‘</w:t>
      </w:r>
      <w:r>
        <w:rPr>
          <w:rFonts w:asciiTheme="minorHAnsi" w:hAnsiTheme="minorHAnsi" w:cstheme="minorHAnsi"/>
          <w:i/>
          <w:iCs/>
          <w:sz w:val="22"/>
          <w:szCs w:val="22"/>
        </w:rPr>
        <w:t xml:space="preserve">Discretionary </w:t>
      </w:r>
      <w:r w:rsidRPr="009F52BA">
        <w:rPr>
          <w:rFonts w:asciiTheme="minorHAnsi" w:hAnsiTheme="minorHAnsi" w:cstheme="minorHAnsi"/>
          <w:i/>
          <w:iCs/>
          <w:sz w:val="22"/>
          <w:szCs w:val="22"/>
        </w:rPr>
        <w:t>Products’</w:t>
      </w:r>
      <w:r w:rsidRPr="005E5E87">
        <w:rPr>
          <w:rFonts w:asciiTheme="minorHAnsi" w:hAnsiTheme="minorHAnsi" w:cstheme="minorHAnsi"/>
          <w:sz w:val="22"/>
          <w:szCs w:val="22"/>
        </w:rPr>
        <w:t xml:space="preserve"> </w:t>
      </w:r>
      <w:r>
        <w:rPr>
          <w:rFonts w:asciiTheme="minorHAnsi" w:hAnsiTheme="minorHAnsi" w:cstheme="minorHAnsi"/>
          <w:sz w:val="22"/>
          <w:szCs w:val="22"/>
        </w:rPr>
        <w:t>would</w:t>
      </w:r>
      <w:r w:rsidRPr="005E5E87">
        <w:rPr>
          <w:rFonts w:asciiTheme="minorHAnsi" w:hAnsiTheme="minorHAnsi" w:cstheme="minorHAnsi"/>
          <w:sz w:val="22"/>
          <w:szCs w:val="22"/>
        </w:rPr>
        <w:t xml:space="preserve"> still be available on the SAS Schedule</w:t>
      </w:r>
      <w:r>
        <w:rPr>
          <w:rFonts w:asciiTheme="minorHAnsi" w:hAnsiTheme="minorHAnsi" w:cstheme="minorHAnsi"/>
          <w:sz w:val="22"/>
          <w:szCs w:val="22"/>
        </w:rPr>
        <w:t xml:space="preserve"> but may have lower maximum quantities and further restrictions on ordering. For example, an ostomate may need an authorised health professional</w:t>
      </w:r>
      <w:r>
        <w:rPr>
          <w:rStyle w:val="FootnoteReference"/>
          <w:rFonts w:asciiTheme="minorHAnsi" w:hAnsiTheme="minorHAnsi" w:cstheme="minorHAnsi"/>
          <w:sz w:val="22"/>
          <w:szCs w:val="22"/>
        </w:rPr>
        <w:footnoteReference w:id="2"/>
      </w:r>
      <w:r>
        <w:rPr>
          <w:rFonts w:asciiTheme="minorHAnsi" w:hAnsiTheme="minorHAnsi" w:cstheme="minorHAnsi"/>
          <w:sz w:val="22"/>
          <w:szCs w:val="22"/>
        </w:rPr>
        <w:t xml:space="preserve"> to approve the use of a product in this category. In addition, sponsor applications to list new products in this category would require additional evidence to support the benefit of these products to ostomates, and pricing may reflect the discretionary nature of these products. It is important to note ostomates would still be able to purchase these products privately. </w:t>
      </w:r>
    </w:p>
    <w:p w14:paraId="62CE7FD4" w14:textId="77777777" w:rsidR="006903E2" w:rsidRDefault="006903E2">
      <w:pPr>
        <w:rPr>
          <w:rFonts w:eastAsia="Times New Roman" w:cstheme="minorHAnsi"/>
        </w:rPr>
      </w:pPr>
      <w:r>
        <w:rPr>
          <w:rFonts w:cstheme="minorHAnsi"/>
        </w:rPr>
        <w:br w:type="page"/>
      </w:r>
    </w:p>
    <w:p w14:paraId="0016000A" w14:textId="7B3F4EDF" w:rsidR="00E7013B" w:rsidRDefault="00E7013B" w:rsidP="00E7013B">
      <w:pPr>
        <w:pStyle w:val="ListParagraph"/>
        <w:spacing w:before="120" w:after="120"/>
        <w:ind w:left="0"/>
        <w:contextualSpacing w:val="0"/>
        <w:rPr>
          <w:rFonts w:asciiTheme="minorHAnsi" w:hAnsiTheme="minorHAnsi" w:cstheme="minorHAnsi"/>
          <w:sz w:val="22"/>
          <w:szCs w:val="22"/>
        </w:rPr>
      </w:pPr>
      <w:r>
        <w:rPr>
          <w:rFonts w:asciiTheme="minorHAnsi" w:hAnsiTheme="minorHAnsi" w:cstheme="minorHAnsi"/>
          <w:sz w:val="22"/>
          <w:szCs w:val="22"/>
        </w:rPr>
        <w:lastRenderedPageBreak/>
        <w:t>The following split of Group 9 products has been proposed</w:t>
      </w:r>
      <w:r w:rsidR="004A6460">
        <w:rPr>
          <w:rFonts w:asciiTheme="minorHAnsi" w:hAnsiTheme="minorHAnsi" w:cstheme="minorHAnsi"/>
          <w:sz w:val="22"/>
          <w:szCs w:val="22"/>
        </w:rPr>
        <w:t xml:space="preserve"> by the SPAP</w:t>
      </w:r>
      <w:r>
        <w:rPr>
          <w:rFonts w:asciiTheme="minorHAnsi" w:hAnsiTheme="minorHAnsi" w:cstheme="minorHAnsi"/>
          <w:sz w:val="22"/>
          <w:szCs w:val="22"/>
        </w:rPr>
        <w:t xml:space="preserve"> (current product group is listed in brackets):</w:t>
      </w:r>
    </w:p>
    <w:tbl>
      <w:tblPr>
        <w:tblStyle w:val="TableGrid"/>
        <w:tblW w:w="0" w:type="auto"/>
        <w:tblInd w:w="137" w:type="dxa"/>
        <w:tblLook w:val="04A0" w:firstRow="1" w:lastRow="0" w:firstColumn="1" w:lastColumn="0" w:noHBand="0" w:noVBand="1"/>
      </w:tblPr>
      <w:tblGrid>
        <w:gridCol w:w="3957"/>
        <w:gridCol w:w="4922"/>
      </w:tblGrid>
      <w:tr w:rsidR="00E7013B" w:rsidRPr="007411E0" w14:paraId="58BF4378" w14:textId="77777777" w:rsidTr="00702D99">
        <w:trPr>
          <w:tblHeader/>
        </w:trPr>
        <w:tc>
          <w:tcPr>
            <w:tcW w:w="0" w:type="auto"/>
          </w:tcPr>
          <w:p w14:paraId="670C240C" w14:textId="77777777" w:rsidR="00E7013B" w:rsidRPr="007411E0" w:rsidRDefault="00E7013B" w:rsidP="001440AA">
            <w:pPr>
              <w:spacing w:before="120" w:after="120"/>
              <w:rPr>
                <w:rFonts w:asciiTheme="minorHAnsi" w:hAnsiTheme="minorHAnsi" w:cstheme="minorHAnsi"/>
                <w:b/>
                <w:bCs/>
                <w:sz w:val="22"/>
                <w:szCs w:val="22"/>
              </w:rPr>
            </w:pPr>
            <w:r w:rsidRPr="007411E0">
              <w:rPr>
                <w:rFonts w:asciiTheme="minorHAnsi" w:hAnsiTheme="minorHAnsi" w:cstheme="minorHAnsi"/>
                <w:b/>
                <w:bCs/>
                <w:sz w:val="22"/>
                <w:szCs w:val="22"/>
              </w:rPr>
              <w:t>Clinically Necessary Products</w:t>
            </w:r>
          </w:p>
        </w:tc>
        <w:tc>
          <w:tcPr>
            <w:tcW w:w="0" w:type="auto"/>
          </w:tcPr>
          <w:p w14:paraId="57CFC4D7" w14:textId="77777777" w:rsidR="00E7013B" w:rsidRPr="007411E0" w:rsidRDefault="00E7013B" w:rsidP="001440AA">
            <w:pPr>
              <w:spacing w:before="120" w:after="120"/>
              <w:rPr>
                <w:rFonts w:asciiTheme="minorHAnsi" w:hAnsiTheme="minorHAnsi" w:cstheme="minorHAnsi"/>
                <w:b/>
                <w:bCs/>
                <w:sz w:val="22"/>
                <w:szCs w:val="22"/>
              </w:rPr>
            </w:pPr>
            <w:r w:rsidRPr="007411E0">
              <w:rPr>
                <w:rFonts w:asciiTheme="minorHAnsi" w:hAnsiTheme="minorHAnsi" w:cstheme="minorHAnsi"/>
                <w:b/>
                <w:bCs/>
                <w:sz w:val="22"/>
                <w:szCs w:val="22"/>
              </w:rPr>
              <w:t>Discretionary Products</w:t>
            </w:r>
          </w:p>
        </w:tc>
      </w:tr>
      <w:tr w:rsidR="00E7013B" w:rsidRPr="007411E0" w14:paraId="122E52A3" w14:textId="77777777" w:rsidTr="001440AA">
        <w:tc>
          <w:tcPr>
            <w:tcW w:w="0" w:type="auto"/>
          </w:tcPr>
          <w:p w14:paraId="3C8C4ADB" w14:textId="77777777" w:rsidR="00E7013B" w:rsidRPr="007411E0" w:rsidRDefault="00E7013B" w:rsidP="001440AA">
            <w:pPr>
              <w:spacing w:before="120" w:after="120"/>
              <w:rPr>
                <w:rFonts w:asciiTheme="minorHAnsi" w:hAnsiTheme="minorHAnsi" w:cstheme="minorHAnsi"/>
                <w:b/>
                <w:bCs/>
                <w:sz w:val="22"/>
                <w:szCs w:val="22"/>
              </w:rPr>
            </w:pPr>
            <w:r>
              <w:rPr>
                <w:rFonts w:asciiTheme="minorHAnsi" w:hAnsiTheme="minorHAnsi" w:cstheme="minorHAnsi"/>
                <w:sz w:val="22"/>
                <w:szCs w:val="22"/>
              </w:rPr>
              <w:t>T</w:t>
            </w:r>
            <w:r w:rsidRPr="007411E0">
              <w:rPr>
                <w:rFonts w:asciiTheme="minorHAnsi" w:hAnsiTheme="minorHAnsi" w:cstheme="minorHAnsi"/>
                <w:sz w:val="22"/>
                <w:szCs w:val="22"/>
              </w:rPr>
              <w:t>ape, flange extenders, strips</w:t>
            </w:r>
            <w:r>
              <w:rPr>
                <w:rFonts w:asciiTheme="minorHAnsi" w:hAnsiTheme="minorHAnsi" w:cstheme="minorHAnsi"/>
                <w:sz w:val="22"/>
                <w:szCs w:val="22"/>
              </w:rPr>
              <w:t xml:space="preserve"> (subgroup 9a)</w:t>
            </w:r>
          </w:p>
        </w:tc>
        <w:tc>
          <w:tcPr>
            <w:tcW w:w="0" w:type="auto"/>
          </w:tcPr>
          <w:p w14:paraId="6D207B7D" w14:textId="77777777" w:rsidR="00E7013B" w:rsidRPr="007411E0" w:rsidRDefault="00E7013B" w:rsidP="001440AA">
            <w:pPr>
              <w:spacing w:before="120" w:after="120"/>
              <w:rPr>
                <w:rFonts w:asciiTheme="minorHAnsi" w:hAnsiTheme="minorHAnsi" w:cstheme="minorHAnsi"/>
                <w:b/>
                <w:bCs/>
                <w:sz w:val="22"/>
                <w:szCs w:val="22"/>
              </w:rPr>
            </w:pPr>
            <w:r>
              <w:rPr>
                <w:rFonts w:asciiTheme="minorHAnsi" w:hAnsiTheme="minorHAnsi" w:cstheme="minorHAnsi"/>
                <w:sz w:val="22"/>
                <w:szCs w:val="22"/>
              </w:rPr>
              <w:t>P</w:t>
            </w:r>
            <w:r w:rsidRPr="007411E0">
              <w:rPr>
                <w:rFonts w:asciiTheme="minorHAnsi" w:hAnsiTheme="minorHAnsi" w:cstheme="minorHAnsi"/>
                <w:sz w:val="22"/>
                <w:szCs w:val="22"/>
              </w:rPr>
              <w:t>rotective sheets</w:t>
            </w:r>
            <w:r>
              <w:rPr>
                <w:rFonts w:asciiTheme="minorHAnsi" w:hAnsiTheme="minorHAnsi" w:cstheme="minorHAnsi"/>
                <w:sz w:val="22"/>
                <w:szCs w:val="22"/>
              </w:rPr>
              <w:t xml:space="preserve"> (subgroup 9a)</w:t>
            </w:r>
          </w:p>
        </w:tc>
      </w:tr>
      <w:tr w:rsidR="00E7013B" w:rsidRPr="007411E0" w14:paraId="7EA921AB" w14:textId="77777777" w:rsidTr="001440AA">
        <w:tc>
          <w:tcPr>
            <w:tcW w:w="0" w:type="auto"/>
          </w:tcPr>
          <w:p w14:paraId="1625042B" w14:textId="77777777" w:rsidR="00E7013B" w:rsidRPr="007411E0" w:rsidRDefault="00E7013B" w:rsidP="001440AA">
            <w:pPr>
              <w:spacing w:before="120" w:after="120"/>
              <w:rPr>
                <w:rFonts w:asciiTheme="minorHAnsi" w:hAnsiTheme="minorHAnsi" w:cstheme="minorHAnsi"/>
                <w:sz w:val="22"/>
                <w:szCs w:val="22"/>
              </w:rPr>
            </w:pPr>
            <w:r>
              <w:rPr>
                <w:rFonts w:asciiTheme="minorHAnsi" w:hAnsiTheme="minorHAnsi" w:cstheme="minorHAnsi"/>
                <w:sz w:val="22"/>
                <w:szCs w:val="22"/>
              </w:rPr>
              <w:t>Pouch b</w:t>
            </w:r>
            <w:r w:rsidRPr="007411E0">
              <w:rPr>
                <w:rFonts w:asciiTheme="minorHAnsi" w:hAnsiTheme="minorHAnsi" w:cstheme="minorHAnsi"/>
                <w:sz w:val="22"/>
                <w:szCs w:val="22"/>
              </w:rPr>
              <w:t>elts</w:t>
            </w:r>
            <w:r>
              <w:rPr>
                <w:rFonts w:asciiTheme="minorHAnsi" w:hAnsiTheme="minorHAnsi" w:cstheme="minorHAnsi"/>
                <w:sz w:val="22"/>
                <w:szCs w:val="22"/>
              </w:rPr>
              <w:t xml:space="preserve"> (subgroup 9b)</w:t>
            </w:r>
          </w:p>
        </w:tc>
        <w:tc>
          <w:tcPr>
            <w:tcW w:w="0" w:type="auto"/>
          </w:tcPr>
          <w:p w14:paraId="251DAE01" w14:textId="77777777" w:rsidR="00E7013B" w:rsidRPr="007411E0" w:rsidRDefault="00E7013B" w:rsidP="001440AA">
            <w:pPr>
              <w:spacing w:before="120" w:after="120"/>
              <w:rPr>
                <w:rFonts w:asciiTheme="minorHAnsi" w:hAnsiTheme="minorHAnsi" w:cstheme="minorHAnsi"/>
                <w:sz w:val="22"/>
                <w:szCs w:val="22"/>
              </w:rPr>
            </w:pPr>
            <w:r>
              <w:rPr>
                <w:rFonts w:asciiTheme="minorHAnsi" w:hAnsiTheme="minorHAnsi" w:cstheme="minorHAnsi"/>
                <w:sz w:val="22"/>
                <w:szCs w:val="22"/>
              </w:rPr>
              <w:t>L</w:t>
            </w:r>
            <w:r w:rsidRPr="007411E0">
              <w:rPr>
                <w:rFonts w:asciiTheme="minorHAnsi" w:hAnsiTheme="minorHAnsi" w:cstheme="minorHAnsi"/>
                <w:sz w:val="22"/>
                <w:szCs w:val="22"/>
              </w:rPr>
              <w:t>otions</w:t>
            </w:r>
            <w:r>
              <w:rPr>
                <w:rFonts w:asciiTheme="minorHAnsi" w:hAnsiTheme="minorHAnsi" w:cstheme="minorHAnsi"/>
                <w:sz w:val="22"/>
                <w:szCs w:val="22"/>
              </w:rPr>
              <w:t xml:space="preserve"> (subgroup 9d)</w:t>
            </w:r>
          </w:p>
        </w:tc>
      </w:tr>
      <w:tr w:rsidR="00E7013B" w:rsidRPr="007411E0" w14:paraId="17021310" w14:textId="77777777" w:rsidTr="001440AA">
        <w:tc>
          <w:tcPr>
            <w:tcW w:w="0" w:type="auto"/>
          </w:tcPr>
          <w:p w14:paraId="397D9E00" w14:textId="77777777" w:rsidR="00E7013B" w:rsidRPr="007411E0" w:rsidRDefault="00E7013B" w:rsidP="001440AA">
            <w:pPr>
              <w:spacing w:before="120" w:after="120"/>
              <w:rPr>
                <w:rFonts w:asciiTheme="minorHAnsi" w:hAnsiTheme="minorHAnsi" w:cstheme="minorHAnsi"/>
                <w:sz w:val="22"/>
                <w:szCs w:val="22"/>
              </w:rPr>
            </w:pPr>
            <w:r>
              <w:rPr>
                <w:rFonts w:asciiTheme="minorHAnsi" w:hAnsiTheme="minorHAnsi" w:cstheme="minorHAnsi"/>
                <w:sz w:val="22"/>
                <w:szCs w:val="22"/>
              </w:rPr>
              <w:t>C</w:t>
            </w:r>
            <w:r w:rsidRPr="007411E0">
              <w:rPr>
                <w:rFonts w:asciiTheme="minorHAnsi" w:hAnsiTheme="minorHAnsi" w:cstheme="minorHAnsi"/>
                <w:sz w:val="22"/>
                <w:szCs w:val="22"/>
              </w:rPr>
              <w:t xml:space="preserve">lips </w:t>
            </w:r>
            <w:r>
              <w:rPr>
                <w:rFonts w:asciiTheme="minorHAnsi" w:hAnsiTheme="minorHAnsi" w:cstheme="minorHAnsi"/>
                <w:sz w:val="22"/>
                <w:szCs w:val="22"/>
              </w:rPr>
              <w:t>(subgroup 9c)</w:t>
            </w:r>
            <w:r w:rsidRPr="007411E0">
              <w:rPr>
                <w:rFonts w:asciiTheme="minorHAnsi" w:hAnsiTheme="minorHAnsi" w:cstheme="minorHAnsi"/>
                <w:sz w:val="22"/>
                <w:szCs w:val="22"/>
              </w:rPr>
              <w:t xml:space="preserve"> *</w:t>
            </w:r>
          </w:p>
        </w:tc>
        <w:tc>
          <w:tcPr>
            <w:tcW w:w="0" w:type="auto"/>
          </w:tcPr>
          <w:p w14:paraId="232329AA" w14:textId="77777777" w:rsidR="00E7013B" w:rsidRPr="007411E0" w:rsidRDefault="00E7013B" w:rsidP="001440AA">
            <w:pPr>
              <w:spacing w:before="120" w:after="120"/>
              <w:rPr>
                <w:rFonts w:asciiTheme="minorHAnsi" w:hAnsiTheme="minorHAnsi" w:cstheme="minorHAnsi"/>
                <w:sz w:val="22"/>
                <w:szCs w:val="22"/>
              </w:rPr>
            </w:pPr>
            <w:r>
              <w:rPr>
                <w:rFonts w:asciiTheme="minorHAnsi" w:hAnsiTheme="minorHAnsi" w:cstheme="minorHAnsi"/>
                <w:sz w:val="22"/>
                <w:szCs w:val="22"/>
              </w:rPr>
              <w:t>C</w:t>
            </w:r>
            <w:r w:rsidRPr="007411E0">
              <w:rPr>
                <w:rFonts w:asciiTheme="minorHAnsi" w:hAnsiTheme="minorHAnsi" w:cstheme="minorHAnsi"/>
                <w:sz w:val="22"/>
                <w:szCs w:val="22"/>
              </w:rPr>
              <w:t>leanser wipes</w:t>
            </w:r>
            <w:r>
              <w:rPr>
                <w:rFonts w:asciiTheme="minorHAnsi" w:hAnsiTheme="minorHAnsi" w:cstheme="minorHAnsi"/>
                <w:sz w:val="22"/>
                <w:szCs w:val="22"/>
              </w:rPr>
              <w:t xml:space="preserve"> (subgroup 9d)</w:t>
            </w:r>
          </w:p>
        </w:tc>
      </w:tr>
      <w:tr w:rsidR="00E7013B" w:rsidRPr="007411E0" w14:paraId="6331E900" w14:textId="77777777" w:rsidTr="001440AA">
        <w:tc>
          <w:tcPr>
            <w:tcW w:w="0" w:type="auto"/>
          </w:tcPr>
          <w:p w14:paraId="45A1F80C" w14:textId="77777777" w:rsidR="00E7013B" w:rsidRPr="007411E0" w:rsidRDefault="00E7013B" w:rsidP="001440AA">
            <w:pPr>
              <w:spacing w:before="120" w:after="120"/>
              <w:rPr>
                <w:rFonts w:asciiTheme="minorHAnsi" w:hAnsiTheme="minorHAnsi" w:cstheme="minorHAnsi"/>
                <w:sz w:val="22"/>
                <w:szCs w:val="22"/>
              </w:rPr>
            </w:pPr>
            <w:r>
              <w:rPr>
                <w:rFonts w:asciiTheme="minorHAnsi" w:hAnsiTheme="minorHAnsi" w:cstheme="minorHAnsi"/>
                <w:sz w:val="22"/>
                <w:szCs w:val="22"/>
              </w:rPr>
              <w:t>A</w:t>
            </w:r>
            <w:r w:rsidRPr="007411E0">
              <w:rPr>
                <w:rFonts w:asciiTheme="minorHAnsi" w:hAnsiTheme="minorHAnsi" w:cstheme="minorHAnsi"/>
                <w:sz w:val="22"/>
                <w:szCs w:val="22"/>
              </w:rPr>
              <w:t>dhesive remover sprays and wipes</w:t>
            </w:r>
            <w:r>
              <w:rPr>
                <w:rFonts w:asciiTheme="minorHAnsi" w:hAnsiTheme="minorHAnsi" w:cstheme="minorHAnsi"/>
                <w:sz w:val="22"/>
                <w:szCs w:val="22"/>
              </w:rPr>
              <w:t xml:space="preserve"> (subgroup 9d)</w:t>
            </w:r>
          </w:p>
        </w:tc>
        <w:tc>
          <w:tcPr>
            <w:tcW w:w="0" w:type="auto"/>
          </w:tcPr>
          <w:p w14:paraId="71B5B6C7" w14:textId="77777777" w:rsidR="00E7013B" w:rsidRPr="007411E0" w:rsidRDefault="00E7013B" w:rsidP="001440AA">
            <w:pPr>
              <w:spacing w:before="120" w:after="120"/>
              <w:rPr>
                <w:rFonts w:asciiTheme="minorHAnsi" w:hAnsiTheme="minorHAnsi" w:cstheme="minorHAnsi"/>
                <w:sz w:val="22"/>
                <w:szCs w:val="22"/>
              </w:rPr>
            </w:pPr>
            <w:r>
              <w:rPr>
                <w:rFonts w:asciiTheme="minorHAnsi" w:hAnsiTheme="minorHAnsi" w:cstheme="minorHAnsi"/>
                <w:sz w:val="22"/>
                <w:szCs w:val="22"/>
              </w:rPr>
              <w:t>C</w:t>
            </w:r>
            <w:r w:rsidRPr="007411E0">
              <w:rPr>
                <w:rFonts w:asciiTheme="minorHAnsi" w:hAnsiTheme="minorHAnsi" w:cstheme="minorHAnsi"/>
                <w:sz w:val="22"/>
                <w:szCs w:val="22"/>
              </w:rPr>
              <w:t xml:space="preserve">reams and </w:t>
            </w:r>
            <w:r>
              <w:rPr>
                <w:rFonts w:asciiTheme="minorHAnsi" w:hAnsiTheme="minorHAnsi" w:cstheme="minorHAnsi"/>
                <w:sz w:val="22"/>
                <w:szCs w:val="22"/>
              </w:rPr>
              <w:t>o</w:t>
            </w:r>
            <w:r w:rsidRPr="007411E0">
              <w:rPr>
                <w:rFonts w:asciiTheme="minorHAnsi" w:hAnsiTheme="minorHAnsi" w:cstheme="minorHAnsi"/>
                <w:sz w:val="22"/>
                <w:szCs w:val="22"/>
              </w:rPr>
              <w:t>intments</w:t>
            </w:r>
            <w:r>
              <w:rPr>
                <w:rFonts w:asciiTheme="minorHAnsi" w:hAnsiTheme="minorHAnsi" w:cstheme="minorHAnsi"/>
                <w:sz w:val="22"/>
                <w:szCs w:val="22"/>
              </w:rPr>
              <w:t xml:space="preserve"> (subgroup 9f)</w:t>
            </w:r>
          </w:p>
        </w:tc>
      </w:tr>
      <w:tr w:rsidR="00E7013B" w:rsidRPr="007411E0" w14:paraId="1B2E3BB2" w14:textId="77777777" w:rsidTr="001440AA">
        <w:tc>
          <w:tcPr>
            <w:tcW w:w="0" w:type="auto"/>
          </w:tcPr>
          <w:p w14:paraId="0CC496D2" w14:textId="77777777" w:rsidR="00E7013B" w:rsidRPr="007411E0" w:rsidRDefault="00E7013B" w:rsidP="001440AA">
            <w:pPr>
              <w:spacing w:before="120" w:after="120"/>
              <w:rPr>
                <w:rFonts w:asciiTheme="minorHAnsi" w:hAnsiTheme="minorHAnsi" w:cstheme="minorHAnsi"/>
                <w:sz w:val="22"/>
                <w:szCs w:val="22"/>
              </w:rPr>
            </w:pPr>
            <w:r>
              <w:rPr>
                <w:rFonts w:asciiTheme="minorHAnsi" w:hAnsiTheme="minorHAnsi" w:cstheme="minorHAnsi"/>
                <w:sz w:val="22"/>
                <w:szCs w:val="22"/>
              </w:rPr>
              <w:t>C</w:t>
            </w:r>
            <w:r w:rsidRPr="007411E0">
              <w:rPr>
                <w:rFonts w:asciiTheme="minorHAnsi" w:hAnsiTheme="minorHAnsi" w:cstheme="minorHAnsi"/>
                <w:sz w:val="22"/>
                <w:szCs w:val="22"/>
              </w:rPr>
              <w:t xml:space="preserve">onvex </w:t>
            </w:r>
            <w:r>
              <w:rPr>
                <w:rFonts w:asciiTheme="minorHAnsi" w:hAnsiTheme="minorHAnsi" w:cstheme="minorHAnsi"/>
                <w:sz w:val="22"/>
                <w:szCs w:val="22"/>
              </w:rPr>
              <w:t>i</w:t>
            </w:r>
            <w:r w:rsidRPr="007411E0">
              <w:rPr>
                <w:rFonts w:asciiTheme="minorHAnsi" w:hAnsiTheme="minorHAnsi" w:cstheme="minorHAnsi"/>
                <w:sz w:val="22"/>
                <w:szCs w:val="22"/>
              </w:rPr>
              <w:t>nserts</w:t>
            </w:r>
            <w:r>
              <w:rPr>
                <w:rFonts w:asciiTheme="minorHAnsi" w:hAnsiTheme="minorHAnsi" w:cstheme="minorHAnsi"/>
                <w:sz w:val="22"/>
                <w:szCs w:val="22"/>
              </w:rPr>
              <w:t xml:space="preserve"> (subgroup 9e)</w:t>
            </w:r>
          </w:p>
        </w:tc>
        <w:tc>
          <w:tcPr>
            <w:tcW w:w="0" w:type="auto"/>
          </w:tcPr>
          <w:p w14:paraId="6CDAA664" w14:textId="77777777" w:rsidR="00E7013B" w:rsidRPr="007411E0" w:rsidRDefault="00E7013B" w:rsidP="001440AA">
            <w:pPr>
              <w:spacing w:before="120" w:after="120"/>
              <w:rPr>
                <w:rFonts w:asciiTheme="minorHAnsi" w:hAnsiTheme="minorHAnsi" w:cstheme="minorHAnsi"/>
                <w:sz w:val="22"/>
                <w:szCs w:val="22"/>
              </w:rPr>
            </w:pPr>
            <w:r>
              <w:rPr>
                <w:rFonts w:asciiTheme="minorHAnsi" w:hAnsiTheme="minorHAnsi" w:cstheme="minorHAnsi"/>
                <w:sz w:val="22"/>
                <w:szCs w:val="22"/>
              </w:rPr>
              <w:t>D</w:t>
            </w:r>
            <w:r w:rsidRPr="007411E0">
              <w:rPr>
                <w:rFonts w:asciiTheme="minorHAnsi" w:hAnsiTheme="minorHAnsi" w:cstheme="minorHAnsi"/>
                <w:sz w:val="22"/>
                <w:szCs w:val="22"/>
              </w:rPr>
              <w:t>eodorants</w:t>
            </w:r>
            <w:r>
              <w:rPr>
                <w:rFonts w:asciiTheme="minorHAnsi" w:hAnsiTheme="minorHAnsi" w:cstheme="minorHAnsi"/>
                <w:sz w:val="22"/>
                <w:szCs w:val="22"/>
              </w:rPr>
              <w:t xml:space="preserve"> (not including deodorants that are also lubricants) (subgroup 9g)</w:t>
            </w:r>
          </w:p>
        </w:tc>
      </w:tr>
      <w:tr w:rsidR="00E7013B" w:rsidRPr="007411E0" w14:paraId="37A75200" w14:textId="77777777" w:rsidTr="001440AA">
        <w:tc>
          <w:tcPr>
            <w:tcW w:w="0" w:type="auto"/>
          </w:tcPr>
          <w:p w14:paraId="57B4EEC2" w14:textId="77777777" w:rsidR="00E7013B" w:rsidRPr="007411E0" w:rsidRDefault="00E7013B" w:rsidP="001440AA">
            <w:pPr>
              <w:spacing w:before="120" w:after="120"/>
              <w:rPr>
                <w:rFonts w:asciiTheme="minorHAnsi" w:hAnsiTheme="minorHAnsi" w:cstheme="minorHAnsi"/>
                <w:sz w:val="22"/>
                <w:szCs w:val="22"/>
              </w:rPr>
            </w:pPr>
            <w:r>
              <w:rPr>
                <w:rFonts w:asciiTheme="minorHAnsi" w:hAnsiTheme="minorHAnsi" w:cstheme="minorHAnsi"/>
                <w:sz w:val="22"/>
                <w:szCs w:val="22"/>
              </w:rPr>
              <w:t>L</w:t>
            </w:r>
            <w:r w:rsidRPr="007411E0">
              <w:rPr>
                <w:rFonts w:asciiTheme="minorHAnsi" w:hAnsiTheme="minorHAnsi" w:cstheme="minorHAnsi"/>
                <w:sz w:val="22"/>
                <w:szCs w:val="22"/>
              </w:rPr>
              <w:t>ubricants</w:t>
            </w:r>
            <w:r>
              <w:rPr>
                <w:rFonts w:asciiTheme="minorHAnsi" w:hAnsiTheme="minorHAnsi" w:cstheme="minorHAnsi"/>
                <w:sz w:val="22"/>
                <w:szCs w:val="22"/>
              </w:rPr>
              <w:t xml:space="preserve"> (including lubricating deodorants) (subgroup 9g)</w:t>
            </w:r>
          </w:p>
        </w:tc>
        <w:tc>
          <w:tcPr>
            <w:tcW w:w="0" w:type="auto"/>
          </w:tcPr>
          <w:p w14:paraId="5338732C" w14:textId="77777777" w:rsidR="00E7013B" w:rsidRPr="007411E0" w:rsidRDefault="00E7013B" w:rsidP="001440AA">
            <w:pPr>
              <w:spacing w:before="120" w:after="120"/>
              <w:rPr>
                <w:rFonts w:asciiTheme="minorHAnsi" w:hAnsiTheme="minorHAnsi" w:cstheme="minorHAnsi"/>
                <w:sz w:val="22"/>
                <w:szCs w:val="22"/>
              </w:rPr>
            </w:pPr>
            <w:r>
              <w:rPr>
                <w:rFonts w:asciiTheme="minorHAnsi" w:hAnsiTheme="minorHAnsi" w:cstheme="minorHAnsi"/>
                <w:sz w:val="22"/>
                <w:szCs w:val="22"/>
              </w:rPr>
              <w:t>Stoma support garments (subgroup 9h)</w:t>
            </w:r>
          </w:p>
        </w:tc>
      </w:tr>
      <w:tr w:rsidR="00E7013B" w:rsidRPr="007411E0" w14:paraId="1EE873DA" w14:textId="77777777" w:rsidTr="001440AA">
        <w:tc>
          <w:tcPr>
            <w:tcW w:w="0" w:type="auto"/>
          </w:tcPr>
          <w:p w14:paraId="29019CDF" w14:textId="77777777" w:rsidR="00E7013B" w:rsidRPr="007411E0" w:rsidRDefault="00E7013B" w:rsidP="001440AA">
            <w:pPr>
              <w:spacing w:before="120" w:after="120"/>
              <w:rPr>
                <w:rFonts w:asciiTheme="minorHAnsi" w:hAnsiTheme="minorHAnsi" w:cstheme="minorHAnsi"/>
                <w:sz w:val="22"/>
                <w:szCs w:val="22"/>
              </w:rPr>
            </w:pPr>
            <w:r>
              <w:rPr>
                <w:rFonts w:asciiTheme="minorHAnsi" w:hAnsiTheme="minorHAnsi" w:cstheme="minorHAnsi"/>
                <w:sz w:val="22"/>
                <w:szCs w:val="22"/>
              </w:rPr>
              <w:t>N</w:t>
            </w:r>
            <w:r w:rsidRPr="007411E0">
              <w:rPr>
                <w:rFonts w:asciiTheme="minorHAnsi" w:hAnsiTheme="minorHAnsi" w:cstheme="minorHAnsi"/>
                <w:sz w:val="22"/>
                <w:szCs w:val="22"/>
              </w:rPr>
              <w:t xml:space="preserve">ight </w:t>
            </w:r>
            <w:r>
              <w:rPr>
                <w:rFonts w:asciiTheme="minorHAnsi" w:hAnsiTheme="minorHAnsi" w:cstheme="minorHAnsi"/>
                <w:sz w:val="22"/>
                <w:szCs w:val="22"/>
              </w:rPr>
              <w:t>d</w:t>
            </w:r>
            <w:r w:rsidRPr="007411E0">
              <w:rPr>
                <w:rFonts w:asciiTheme="minorHAnsi" w:hAnsiTheme="minorHAnsi" w:cstheme="minorHAnsi"/>
                <w:sz w:val="22"/>
                <w:szCs w:val="22"/>
              </w:rPr>
              <w:t>rainage</w:t>
            </w:r>
            <w:r>
              <w:rPr>
                <w:rFonts w:asciiTheme="minorHAnsi" w:hAnsiTheme="minorHAnsi" w:cstheme="minorHAnsi"/>
                <w:sz w:val="22"/>
                <w:szCs w:val="22"/>
              </w:rPr>
              <w:t xml:space="preserve"> (subgroup 9i)</w:t>
            </w:r>
          </w:p>
        </w:tc>
        <w:tc>
          <w:tcPr>
            <w:tcW w:w="0" w:type="auto"/>
          </w:tcPr>
          <w:p w14:paraId="3DEBECCE" w14:textId="77777777" w:rsidR="00E7013B" w:rsidRPr="007411E0" w:rsidRDefault="00E7013B" w:rsidP="001440AA">
            <w:pPr>
              <w:spacing w:before="120" w:after="120"/>
              <w:rPr>
                <w:rFonts w:asciiTheme="minorHAnsi" w:hAnsiTheme="minorHAnsi" w:cstheme="minorHAnsi"/>
                <w:sz w:val="22"/>
                <w:szCs w:val="22"/>
              </w:rPr>
            </w:pPr>
            <w:r>
              <w:rPr>
                <w:rFonts w:asciiTheme="minorHAnsi" w:hAnsiTheme="minorHAnsi" w:cstheme="minorHAnsi"/>
                <w:sz w:val="22"/>
                <w:szCs w:val="22"/>
              </w:rPr>
              <w:t>F</w:t>
            </w:r>
            <w:r w:rsidRPr="007411E0">
              <w:rPr>
                <w:rFonts w:asciiTheme="minorHAnsi" w:hAnsiTheme="minorHAnsi" w:cstheme="minorHAnsi"/>
                <w:sz w:val="22"/>
                <w:szCs w:val="22"/>
              </w:rPr>
              <w:t>ilters</w:t>
            </w:r>
            <w:r>
              <w:rPr>
                <w:rFonts w:asciiTheme="minorHAnsi" w:hAnsiTheme="minorHAnsi" w:cstheme="minorHAnsi"/>
                <w:sz w:val="22"/>
                <w:szCs w:val="22"/>
              </w:rPr>
              <w:t xml:space="preserve"> (subgroup 9m)</w:t>
            </w:r>
          </w:p>
        </w:tc>
      </w:tr>
      <w:tr w:rsidR="00E7013B" w:rsidRPr="007411E0" w14:paraId="2E2E38C0" w14:textId="77777777" w:rsidTr="001440AA">
        <w:tc>
          <w:tcPr>
            <w:tcW w:w="0" w:type="auto"/>
          </w:tcPr>
          <w:p w14:paraId="56B143F1" w14:textId="77777777" w:rsidR="00E7013B" w:rsidRPr="007411E0" w:rsidRDefault="00E7013B" w:rsidP="001440AA">
            <w:pPr>
              <w:spacing w:before="120" w:after="120"/>
              <w:rPr>
                <w:rFonts w:asciiTheme="minorHAnsi" w:hAnsiTheme="minorHAnsi" w:cstheme="minorHAnsi"/>
                <w:sz w:val="22"/>
                <w:szCs w:val="22"/>
              </w:rPr>
            </w:pPr>
            <w:r>
              <w:rPr>
                <w:rFonts w:asciiTheme="minorHAnsi" w:hAnsiTheme="minorHAnsi" w:cstheme="minorHAnsi"/>
                <w:sz w:val="22"/>
                <w:szCs w:val="22"/>
              </w:rPr>
              <w:t>P</w:t>
            </w:r>
            <w:r w:rsidRPr="007411E0">
              <w:rPr>
                <w:rFonts w:asciiTheme="minorHAnsi" w:hAnsiTheme="minorHAnsi" w:cstheme="minorHAnsi"/>
                <w:sz w:val="22"/>
                <w:szCs w:val="22"/>
              </w:rPr>
              <w:t>owders and pastes</w:t>
            </w:r>
            <w:r>
              <w:rPr>
                <w:rFonts w:asciiTheme="minorHAnsi" w:hAnsiTheme="minorHAnsi" w:cstheme="minorHAnsi"/>
                <w:sz w:val="22"/>
                <w:szCs w:val="22"/>
              </w:rPr>
              <w:t xml:space="preserve"> (subgroup 9j)</w:t>
            </w:r>
          </w:p>
        </w:tc>
        <w:tc>
          <w:tcPr>
            <w:tcW w:w="0" w:type="auto"/>
          </w:tcPr>
          <w:p w14:paraId="698854E8" w14:textId="77777777" w:rsidR="00E7013B" w:rsidRPr="007411E0" w:rsidRDefault="00E7013B" w:rsidP="001440AA">
            <w:pPr>
              <w:spacing w:before="120" w:after="120"/>
              <w:rPr>
                <w:rFonts w:asciiTheme="minorHAnsi" w:hAnsiTheme="minorHAnsi" w:cstheme="minorHAnsi"/>
                <w:sz w:val="22"/>
                <w:szCs w:val="22"/>
              </w:rPr>
            </w:pPr>
            <w:r>
              <w:rPr>
                <w:rFonts w:asciiTheme="minorHAnsi" w:hAnsiTheme="minorHAnsi" w:cstheme="minorHAnsi"/>
                <w:sz w:val="22"/>
                <w:szCs w:val="22"/>
              </w:rPr>
              <w:t>C</w:t>
            </w:r>
            <w:r w:rsidRPr="007411E0">
              <w:rPr>
                <w:rFonts w:asciiTheme="minorHAnsi" w:hAnsiTheme="minorHAnsi" w:cstheme="minorHAnsi"/>
                <w:sz w:val="22"/>
                <w:szCs w:val="22"/>
              </w:rPr>
              <w:t>atheter straps</w:t>
            </w:r>
            <w:r>
              <w:rPr>
                <w:rFonts w:asciiTheme="minorHAnsi" w:hAnsiTheme="minorHAnsi" w:cstheme="minorHAnsi"/>
                <w:sz w:val="22"/>
                <w:szCs w:val="22"/>
              </w:rPr>
              <w:t xml:space="preserve"> (subgroup 9m)</w:t>
            </w:r>
          </w:p>
        </w:tc>
      </w:tr>
      <w:tr w:rsidR="00E7013B" w:rsidRPr="007411E0" w14:paraId="3F4FBB71" w14:textId="77777777" w:rsidTr="001440AA">
        <w:tc>
          <w:tcPr>
            <w:tcW w:w="0" w:type="auto"/>
          </w:tcPr>
          <w:p w14:paraId="3E43E9E1" w14:textId="77777777" w:rsidR="00E7013B" w:rsidRPr="007411E0" w:rsidRDefault="00E7013B" w:rsidP="001440AA">
            <w:pPr>
              <w:spacing w:before="120" w:after="120"/>
              <w:rPr>
                <w:rFonts w:asciiTheme="minorHAnsi" w:hAnsiTheme="minorHAnsi" w:cstheme="minorHAnsi"/>
                <w:sz w:val="22"/>
                <w:szCs w:val="22"/>
              </w:rPr>
            </w:pPr>
            <w:r>
              <w:rPr>
                <w:rFonts w:asciiTheme="minorHAnsi" w:hAnsiTheme="minorHAnsi" w:cstheme="minorHAnsi"/>
                <w:sz w:val="22"/>
                <w:szCs w:val="22"/>
              </w:rPr>
              <w:t>P</w:t>
            </w:r>
            <w:r w:rsidRPr="007411E0">
              <w:rPr>
                <w:rFonts w:asciiTheme="minorHAnsi" w:hAnsiTheme="minorHAnsi" w:cstheme="minorHAnsi"/>
                <w:sz w:val="22"/>
                <w:szCs w:val="22"/>
              </w:rPr>
              <w:t>rotective films</w:t>
            </w:r>
            <w:r>
              <w:rPr>
                <w:rFonts w:asciiTheme="minorHAnsi" w:hAnsiTheme="minorHAnsi" w:cstheme="minorHAnsi"/>
                <w:sz w:val="22"/>
                <w:szCs w:val="22"/>
              </w:rPr>
              <w:t xml:space="preserve"> (subgroup 9k)</w:t>
            </w:r>
          </w:p>
        </w:tc>
        <w:tc>
          <w:tcPr>
            <w:tcW w:w="0" w:type="auto"/>
          </w:tcPr>
          <w:p w14:paraId="4E702532" w14:textId="77777777" w:rsidR="00E7013B" w:rsidRPr="007411E0" w:rsidRDefault="00E7013B" w:rsidP="001440AA">
            <w:pPr>
              <w:spacing w:before="120" w:after="120"/>
              <w:rPr>
                <w:rFonts w:asciiTheme="minorHAnsi" w:hAnsiTheme="minorHAnsi" w:cstheme="minorHAnsi"/>
                <w:sz w:val="22"/>
                <w:szCs w:val="22"/>
              </w:rPr>
            </w:pPr>
          </w:p>
        </w:tc>
      </w:tr>
      <w:tr w:rsidR="00E7013B" w:rsidRPr="007411E0" w14:paraId="4AA33BEB" w14:textId="77777777" w:rsidTr="001440AA">
        <w:tc>
          <w:tcPr>
            <w:tcW w:w="0" w:type="auto"/>
          </w:tcPr>
          <w:p w14:paraId="70D6B471" w14:textId="77777777" w:rsidR="00E7013B" w:rsidRPr="001E5D8F" w:rsidRDefault="00E7013B" w:rsidP="001440AA">
            <w:pPr>
              <w:spacing w:before="120" w:after="120"/>
              <w:rPr>
                <w:rFonts w:asciiTheme="minorHAnsi" w:hAnsiTheme="minorHAnsi" w:cstheme="minorHAnsi"/>
                <w:b/>
                <w:bCs/>
                <w:sz w:val="22"/>
                <w:szCs w:val="22"/>
              </w:rPr>
            </w:pPr>
            <w:r>
              <w:rPr>
                <w:rFonts w:asciiTheme="minorHAnsi" w:hAnsiTheme="minorHAnsi" w:cstheme="minorHAnsi"/>
                <w:sz w:val="22"/>
                <w:szCs w:val="22"/>
              </w:rPr>
              <w:t>S</w:t>
            </w:r>
            <w:r w:rsidRPr="007411E0">
              <w:rPr>
                <w:rFonts w:asciiTheme="minorHAnsi" w:hAnsiTheme="minorHAnsi" w:cstheme="minorHAnsi"/>
                <w:sz w:val="22"/>
                <w:szCs w:val="22"/>
              </w:rPr>
              <w:t>eals</w:t>
            </w:r>
            <w:r>
              <w:rPr>
                <w:rFonts w:asciiTheme="minorHAnsi" w:hAnsiTheme="minorHAnsi" w:cstheme="minorHAnsi"/>
                <w:sz w:val="22"/>
                <w:szCs w:val="22"/>
              </w:rPr>
              <w:t xml:space="preserve"> (subgroup 9l)</w:t>
            </w:r>
          </w:p>
        </w:tc>
        <w:tc>
          <w:tcPr>
            <w:tcW w:w="0" w:type="auto"/>
          </w:tcPr>
          <w:p w14:paraId="77D53D72" w14:textId="77777777" w:rsidR="00E7013B" w:rsidRPr="007411E0" w:rsidRDefault="00E7013B" w:rsidP="001440AA">
            <w:pPr>
              <w:spacing w:before="120" w:after="120"/>
              <w:rPr>
                <w:rFonts w:asciiTheme="minorHAnsi" w:hAnsiTheme="minorHAnsi" w:cstheme="minorHAnsi"/>
                <w:sz w:val="22"/>
                <w:szCs w:val="22"/>
              </w:rPr>
            </w:pPr>
          </w:p>
        </w:tc>
      </w:tr>
      <w:tr w:rsidR="00E7013B" w:rsidRPr="007411E0" w14:paraId="500E076D" w14:textId="77777777" w:rsidTr="001440AA">
        <w:tc>
          <w:tcPr>
            <w:tcW w:w="0" w:type="auto"/>
          </w:tcPr>
          <w:p w14:paraId="733E89CC" w14:textId="77777777" w:rsidR="00E7013B" w:rsidRPr="007411E0" w:rsidRDefault="00E7013B" w:rsidP="001440AA">
            <w:pPr>
              <w:spacing w:before="120" w:after="120"/>
              <w:rPr>
                <w:rFonts w:asciiTheme="minorHAnsi" w:hAnsiTheme="minorHAnsi" w:cstheme="minorHAnsi"/>
                <w:sz w:val="22"/>
                <w:szCs w:val="22"/>
              </w:rPr>
            </w:pPr>
            <w:r>
              <w:rPr>
                <w:rFonts w:asciiTheme="minorHAnsi" w:hAnsiTheme="minorHAnsi" w:cstheme="minorHAnsi"/>
                <w:sz w:val="22"/>
                <w:szCs w:val="22"/>
              </w:rPr>
              <w:t>A</w:t>
            </w:r>
            <w:r w:rsidRPr="007411E0">
              <w:rPr>
                <w:rFonts w:asciiTheme="minorHAnsi" w:hAnsiTheme="minorHAnsi" w:cstheme="minorHAnsi"/>
                <w:sz w:val="22"/>
                <w:szCs w:val="22"/>
              </w:rPr>
              <w:t>bsorbent powder</w:t>
            </w:r>
            <w:r>
              <w:rPr>
                <w:rFonts w:asciiTheme="minorHAnsi" w:hAnsiTheme="minorHAnsi" w:cstheme="minorHAnsi"/>
                <w:sz w:val="22"/>
                <w:szCs w:val="22"/>
              </w:rPr>
              <w:t>s</w:t>
            </w:r>
            <w:r w:rsidRPr="007411E0">
              <w:rPr>
                <w:rFonts w:asciiTheme="minorHAnsi" w:hAnsiTheme="minorHAnsi" w:cstheme="minorHAnsi"/>
                <w:sz w:val="22"/>
                <w:szCs w:val="22"/>
              </w:rPr>
              <w:t>/gel</w:t>
            </w:r>
            <w:r>
              <w:rPr>
                <w:rFonts w:asciiTheme="minorHAnsi" w:hAnsiTheme="minorHAnsi" w:cstheme="minorHAnsi"/>
                <w:sz w:val="22"/>
                <w:szCs w:val="22"/>
              </w:rPr>
              <w:t>s (subgroup 9m)</w:t>
            </w:r>
          </w:p>
        </w:tc>
        <w:tc>
          <w:tcPr>
            <w:tcW w:w="0" w:type="auto"/>
          </w:tcPr>
          <w:p w14:paraId="413958BC" w14:textId="77777777" w:rsidR="00E7013B" w:rsidRPr="007411E0" w:rsidRDefault="00E7013B" w:rsidP="001440AA">
            <w:pPr>
              <w:spacing w:before="120" w:after="120"/>
              <w:rPr>
                <w:rFonts w:asciiTheme="minorHAnsi" w:hAnsiTheme="minorHAnsi" w:cstheme="minorHAnsi"/>
                <w:sz w:val="22"/>
                <w:szCs w:val="22"/>
              </w:rPr>
            </w:pPr>
          </w:p>
        </w:tc>
      </w:tr>
    </w:tbl>
    <w:p w14:paraId="444BB5DA" w14:textId="40CA5A61" w:rsidR="003D600E" w:rsidRPr="00702D99" w:rsidRDefault="00E7013B" w:rsidP="00702D99">
      <w:pPr>
        <w:pStyle w:val="ListParagraph"/>
        <w:spacing w:before="120" w:after="120"/>
        <w:ind w:left="0"/>
        <w:contextualSpacing w:val="0"/>
        <w:rPr>
          <w:rFonts w:asciiTheme="minorHAnsi" w:hAnsiTheme="minorHAnsi" w:cstheme="minorHAnsi"/>
          <w:sz w:val="22"/>
          <w:szCs w:val="22"/>
        </w:rPr>
      </w:pPr>
      <w:r>
        <w:rPr>
          <w:rFonts w:asciiTheme="minorHAnsi" w:hAnsiTheme="minorHAnsi" w:cstheme="minorHAnsi"/>
          <w:sz w:val="22"/>
          <w:szCs w:val="22"/>
        </w:rPr>
        <w:t xml:space="preserve">   * Only</w:t>
      </w:r>
      <w:r w:rsidRPr="00500329">
        <w:rPr>
          <w:rFonts w:asciiTheme="minorHAnsi" w:hAnsiTheme="minorHAnsi" w:cstheme="minorHAnsi"/>
          <w:sz w:val="22"/>
          <w:szCs w:val="22"/>
        </w:rPr>
        <w:t xml:space="preserve"> necessary </w:t>
      </w:r>
      <w:r>
        <w:rPr>
          <w:rFonts w:asciiTheme="minorHAnsi" w:hAnsiTheme="minorHAnsi" w:cstheme="minorHAnsi"/>
          <w:sz w:val="22"/>
          <w:szCs w:val="22"/>
        </w:rPr>
        <w:t>for use with</w:t>
      </w:r>
      <w:r w:rsidRPr="00500329">
        <w:rPr>
          <w:rFonts w:asciiTheme="minorHAnsi" w:hAnsiTheme="minorHAnsi" w:cstheme="minorHAnsi"/>
          <w:sz w:val="22"/>
          <w:szCs w:val="22"/>
        </w:rPr>
        <w:t xml:space="preserve"> bags </w:t>
      </w:r>
      <w:r>
        <w:rPr>
          <w:rFonts w:asciiTheme="minorHAnsi" w:hAnsiTheme="minorHAnsi" w:cstheme="minorHAnsi"/>
          <w:sz w:val="22"/>
          <w:szCs w:val="22"/>
        </w:rPr>
        <w:t>that do not have</w:t>
      </w:r>
      <w:r w:rsidRPr="00500329">
        <w:rPr>
          <w:rFonts w:asciiTheme="minorHAnsi" w:hAnsiTheme="minorHAnsi" w:cstheme="minorHAnsi"/>
          <w:sz w:val="22"/>
          <w:szCs w:val="22"/>
        </w:rPr>
        <w:t xml:space="preserve"> integrated closures</w:t>
      </w:r>
      <w:r>
        <w:rPr>
          <w:rFonts w:asciiTheme="minorHAnsi" w:hAnsiTheme="minorHAnsi" w:cstheme="minorHAnsi"/>
          <w:sz w:val="22"/>
          <w:szCs w:val="22"/>
        </w:rPr>
        <w:t>.</w:t>
      </w:r>
    </w:p>
    <w:p w14:paraId="3AA937CC" w14:textId="77777777" w:rsidR="00E7013B" w:rsidRPr="00702D99" w:rsidRDefault="00E7013B" w:rsidP="00702D99">
      <w:pPr>
        <w:pStyle w:val="VisionBox"/>
      </w:pPr>
      <w:r w:rsidRPr="00702D99">
        <w:t>Questions:</w:t>
      </w:r>
    </w:p>
    <w:p w14:paraId="08CE636E" w14:textId="35E27BC8" w:rsidR="00E7013B" w:rsidRPr="00702D99" w:rsidRDefault="00E7013B" w:rsidP="00702D99">
      <w:pPr>
        <w:pStyle w:val="VisionBox"/>
      </w:pPr>
      <w:r w:rsidRPr="00702D99">
        <w:t xml:space="preserve">Do you agree with the proposal to split </w:t>
      </w:r>
      <w:r w:rsidR="002827BB" w:rsidRPr="00702D99">
        <w:t>G</w:t>
      </w:r>
      <w:r w:rsidRPr="00702D99">
        <w:t>roup 9 products as described above</w:t>
      </w:r>
      <w:r w:rsidR="002827BB" w:rsidRPr="00702D99">
        <w:t>? W</w:t>
      </w:r>
      <w:r w:rsidRPr="00702D99">
        <w:t xml:space="preserve">hy? </w:t>
      </w:r>
    </w:p>
    <w:p w14:paraId="70C93006" w14:textId="77777777" w:rsidR="00E7013B" w:rsidRPr="00702D99" w:rsidRDefault="00E7013B" w:rsidP="00702D99">
      <w:pPr>
        <w:pStyle w:val="VisionBox"/>
      </w:pPr>
      <w:r w:rsidRPr="00702D99">
        <w:t>Do you have any comments regarding the proposed allocation of products to each category?</w:t>
      </w:r>
    </w:p>
    <w:p w14:paraId="0321C4A7" w14:textId="77777777" w:rsidR="006903E2" w:rsidRPr="00702D99" w:rsidRDefault="006903E2" w:rsidP="00702D99">
      <w:r w:rsidRPr="00702D99">
        <w:br w:type="page"/>
      </w:r>
    </w:p>
    <w:p w14:paraId="714457CE" w14:textId="05AAC3AF" w:rsidR="00E7013B" w:rsidRPr="00805FFA" w:rsidRDefault="00E7013B" w:rsidP="00E7013B">
      <w:pPr>
        <w:pStyle w:val="Heading3"/>
      </w:pPr>
      <w:bookmarkStart w:id="12" w:name="_Toc175909181"/>
      <w:r w:rsidRPr="001D6A71">
        <w:lastRenderedPageBreak/>
        <w:t xml:space="preserve">Recommendation </w:t>
      </w:r>
      <w:r w:rsidR="00436807">
        <w:t>4</w:t>
      </w:r>
      <w:r w:rsidRPr="00805FFA">
        <w:t>: Product pricing</w:t>
      </w:r>
      <w:bookmarkEnd w:id="12"/>
      <w:r w:rsidRPr="00805FFA">
        <w:tab/>
      </w:r>
    </w:p>
    <w:p w14:paraId="65E95CF7" w14:textId="77777777" w:rsidR="00E7013B" w:rsidRPr="001200C5" w:rsidRDefault="00E7013B" w:rsidP="001200C5">
      <w:pPr>
        <w:rPr>
          <w:rStyle w:val="Strong"/>
        </w:rPr>
      </w:pPr>
      <w:r w:rsidRPr="001200C5">
        <w:rPr>
          <w:rStyle w:val="Strong"/>
        </w:rPr>
        <w:t>Maintain the current benchmark and premium pricing model for most products on the SAS Schedule and consider a price increase for products as well as regular pricing reviews.</w:t>
      </w:r>
    </w:p>
    <w:p w14:paraId="44A0558F" w14:textId="77777777" w:rsidR="00E7013B" w:rsidRPr="001200C5" w:rsidRDefault="00E7013B" w:rsidP="001200C5">
      <w:pPr>
        <w:pStyle w:val="Heading4"/>
      </w:pPr>
      <w:r w:rsidRPr="001200C5">
        <w:t>Rationale</w:t>
      </w:r>
    </w:p>
    <w:p w14:paraId="55FF2305" w14:textId="77777777" w:rsidR="00E7013B" w:rsidRDefault="00E7013B" w:rsidP="00E7013B">
      <w:pPr>
        <w:spacing w:before="120" w:after="120"/>
        <w:rPr>
          <w:rFonts w:cstheme="minorHAnsi"/>
        </w:rPr>
      </w:pPr>
      <w:r>
        <w:rPr>
          <w:rFonts w:cstheme="minorHAnsi"/>
        </w:rPr>
        <w:t xml:space="preserve">The current pricing model for the SAS uses benchmark and premium pricing to set product prices. </w:t>
      </w:r>
    </w:p>
    <w:p w14:paraId="37EF4903" w14:textId="77777777" w:rsidR="00E7013B" w:rsidRPr="00C80221" w:rsidRDefault="00E7013B" w:rsidP="00E7013B">
      <w:pPr>
        <w:spacing w:before="120" w:after="120"/>
      </w:pPr>
      <w:r w:rsidRPr="00C80221">
        <w:rPr>
          <w:rFonts w:cstheme="minorHAnsi"/>
          <w:i/>
          <w:iCs/>
        </w:rPr>
        <w:t>Benchmark</w:t>
      </w:r>
      <w:r w:rsidRPr="00C80221">
        <w:rPr>
          <w:rFonts w:cstheme="minorHAnsi"/>
        </w:rPr>
        <w:t xml:space="preserve"> </w:t>
      </w:r>
      <w:r w:rsidRPr="002827BB">
        <w:rPr>
          <w:rFonts w:cstheme="minorHAnsi"/>
          <w:i/>
          <w:iCs/>
        </w:rPr>
        <w:t>pricing</w:t>
      </w:r>
      <w:r w:rsidRPr="00C80221">
        <w:rPr>
          <w:rFonts w:cstheme="minorHAnsi"/>
        </w:rPr>
        <w:t xml:space="preserve"> </w:t>
      </w:r>
      <w:r w:rsidRPr="00C80221">
        <w:t xml:space="preserve">applies where the pricing for products considered to have similar features, safety and clinical effectiveness for pricing purposes is linked. The lowest priced product sets a benchmark price for equivalent products within the same subgroup. It allows new products to be listed on the SAS Schedule to be priced consistently and transparently in relation to existing products. </w:t>
      </w:r>
    </w:p>
    <w:p w14:paraId="71D0DBE4" w14:textId="77777777" w:rsidR="00E7013B" w:rsidRPr="00C80221" w:rsidRDefault="00E7013B" w:rsidP="00E7013B">
      <w:pPr>
        <w:spacing w:before="120" w:after="120"/>
      </w:pPr>
      <w:r w:rsidRPr="00C80221">
        <w:rPr>
          <w:i/>
          <w:iCs/>
        </w:rPr>
        <w:t>Premium</w:t>
      </w:r>
      <w:r w:rsidRPr="00C80221">
        <w:t xml:space="preserve"> </w:t>
      </w:r>
      <w:r w:rsidRPr="00C80221">
        <w:rPr>
          <w:i/>
          <w:iCs/>
        </w:rPr>
        <w:t>pricing</w:t>
      </w:r>
      <w:r w:rsidRPr="00C80221">
        <w:t xml:space="preserve"> is a component of benchmark pricing. It provides flexibility for higher prices that have been justified for key features that provide improved outcomes, additional to those provided by the benchmark product. It also allows for access to a wider range of products.</w:t>
      </w:r>
    </w:p>
    <w:p w14:paraId="7490B7EE" w14:textId="77777777" w:rsidR="00E7013B" w:rsidRDefault="00E7013B" w:rsidP="00E7013B">
      <w:pPr>
        <w:spacing w:before="120" w:after="120"/>
      </w:pPr>
      <w:r w:rsidRPr="00C80221">
        <w:rPr>
          <w:rFonts w:cstheme="minorHAnsi"/>
        </w:rPr>
        <w:t xml:space="preserve">The </w:t>
      </w:r>
      <w:proofErr w:type="spellStart"/>
      <w:r w:rsidRPr="00C80221">
        <w:rPr>
          <w:rFonts w:cstheme="minorHAnsi"/>
        </w:rPr>
        <w:t>HealthConsult</w:t>
      </w:r>
      <w:proofErr w:type="spellEnd"/>
      <w:r w:rsidRPr="00C80221">
        <w:rPr>
          <w:rFonts w:cstheme="minorHAnsi"/>
        </w:rPr>
        <w:t xml:space="preserve"> report considered the existing pricing model (benchmark </w:t>
      </w:r>
      <w:r>
        <w:rPr>
          <w:rFonts w:cstheme="minorHAnsi"/>
        </w:rPr>
        <w:t xml:space="preserve">and premium </w:t>
      </w:r>
      <w:r w:rsidRPr="00C80221">
        <w:rPr>
          <w:rFonts w:cstheme="minorHAnsi"/>
        </w:rPr>
        <w:t>pricing) for stoma products alongside other pricing options such as tendering, negotiating and cost-based pricing. It found benchmark</w:t>
      </w:r>
      <w:r>
        <w:rPr>
          <w:rFonts w:cstheme="minorHAnsi"/>
        </w:rPr>
        <w:t xml:space="preserve"> and premium</w:t>
      </w:r>
      <w:r w:rsidRPr="00C80221">
        <w:rPr>
          <w:rFonts w:cstheme="minorHAnsi"/>
        </w:rPr>
        <w:t xml:space="preserve"> pricing remains the most appropriate for </w:t>
      </w:r>
      <w:proofErr w:type="gramStart"/>
      <w:r w:rsidRPr="00C80221">
        <w:rPr>
          <w:rFonts w:cstheme="minorHAnsi"/>
        </w:rPr>
        <w:t>the majority of</w:t>
      </w:r>
      <w:proofErr w:type="gramEnd"/>
      <w:r w:rsidRPr="00C80221">
        <w:rPr>
          <w:rFonts w:cstheme="minorHAnsi"/>
        </w:rPr>
        <w:t xml:space="preserve"> products on the SAS. </w:t>
      </w:r>
      <w:r>
        <w:t xml:space="preserve">The report identified </w:t>
      </w:r>
      <w:r w:rsidRPr="00C80221">
        <w:t>benefits of benchmark and premium pricing</w:t>
      </w:r>
      <w:r>
        <w:t>,</w:t>
      </w:r>
      <w:r w:rsidRPr="00C80221">
        <w:t xml:space="preserve"> includ</w:t>
      </w:r>
      <w:r>
        <w:t>ing that it:</w:t>
      </w:r>
      <w:r w:rsidRPr="00C80221">
        <w:t xml:space="preserve"> </w:t>
      </w:r>
    </w:p>
    <w:p w14:paraId="6EED1A46" w14:textId="77777777" w:rsidR="00E7013B" w:rsidRPr="002556F5" w:rsidRDefault="00E7013B" w:rsidP="00E7013B">
      <w:pPr>
        <w:pStyle w:val="ListParagraph"/>
        <w:numPr>
          <w:ilvl w:val="0"/>
          <w:numId w:val="44"/>
        </w:numPr>
        <w:spacing w:before="120" w:after="120"/>
        <w:rPr>
          <w:rFonts w:asciiTheme="minorHAnsi" w:eastAsiaTheme="minorHAnsi" w:hAnsiTheme="minorHAnsi"/>
          <w:sz w:val="22"/>
          <w:szCs w:val="22"/>
        </w:rPr>
      </w:pPr>
      <w:r w:rsidRPr="002556F5">
        <w:rPr>
          <w:rFonts w:asciiTheme="minorHAnsi" w:eastAsiaTheme="minorHAnsi" w:hAnsiTheme="minorHAnsi"/>
          <w:sz w:val="22"/>
          <w:szCs w:val="22"/>
        </w:rPr>
        <w:t xml:space="preserve">is a well-established method of minimising costs </w:t>
      </w:r>
    </w:p>
    <w:p w14:paraId="1915D02A" w14:textId="77777777" w:rsidR="00E7013B" w:rsidRPr="002556F5" w:rsidRDefault="00E7013B" w:rsidP="00E7013B">
      <w:pPr>
        <w:pStyle w:val="ListParagraph"/>
        <w:numPr>
          <w:ilvl w:val="0"/>
          <w:numId w:val="44"/>
        </w:numPr>
        <w:spacing w:before="120" w:after="120"/>
        <w:rPr>
          <w:rFonts w:asciiTheme="minorHAnsi" w:eastAsiaTheme="minorHAnsi" w:hAnsiTheme="minorHAnsi"/>
          <w:sz w:val="22"/>
          <w:szCs w:val="22"/>
        </w:rPr>
      </w:pPr>
      <w:r w:rsidRPr="002556F5">
        <w:rPr>
          <w:rFonts w:asciiTheme="minorHAnsi" w:eastAsiaTheme="minorHAnsi" w:hAnsiTheme="minorHAnsi"/>
          <w:sz w:val="22"/>
          <w:szCs w:val="22"/>
        </w:rPr>
        <w:t>is transparent</w:t>
      </w:r>
      <w:r>
        <w:rPr>
          <w:rFonts w:asciiTheme="minorHAnsi" w:eastAsiaTheme="minorHAnsi" w:hAnsiTheme="minorHAnsi"/>
          <w:sz w:val="22"/>
          <w:szCs w:val="22"/>
        </w:rPr>
        <w:t>,</w:t>
      </w:r>
      <w:r w:rsidRPr="002556F5">
        <w:rPr>
          <w:rFonts w:asciiTheme="minorHAnsi" w:eastAsiaTheme="minorHAnsi" w:hAnsiTheme="minorHAnsi"/>
          <w:sz w:val="22"/>
          <w:szCs w:val="22"/>
        </w:rPr>
        <w:t xml:space="preserve"> and </w:t>
      </w:r>
    </w:p>
    <w:p w14:paraId="74DFA1EA" w14:textId="77777777" w:rsidR="00E7013B" w:rsidRPr="002556F5" w:rsidRDefault="00E7013B" w:rsidP="00E7013B">
      <w:pPr>
        <w:pStyle w:val="ListParagraph"/>
        <w:numPr>
          <w:ilvl w:val="0"/>
          <w:numId w:val="44"/>
        </w:numPr>
        <w:spacing w:before="120" w:after="120"/>
        <w:rPr>
          <w:rFonts w:asciiTheme="minorHAnsi" w:eastAsiaTheme="minorHAnsi" w:hAnsiTheme="minorHAnsi"/>
          <w:sz w:val="22"/>
          <w:szCs w:val="22"/>
        </w:rPr>
      </w:pPr>
      <w:r w:rsidRPr="002556F5">
        <w:rPr>
          <w:rFonts w:asciiTheme="minorHAnsi" w:eastAsiaTheme="minorHAnsi" w:hAnsiTheme="minorHAnsi"/>
          <w:sz w:val="22"/>
          <w:szCs w:val="22"/>
        </w:rPr>
        <w:t>supports a wide range of product choices.</w:t>
      </w:r>
    </w:p>
    <w:p w14:paraId="425372DD" w14:textId="77777777" w:rsidR="00E7013B" w:rsidRPr="000D1639" w:rsidRDefault="00E7013B" w:rsidP="00E7013B">
      <w:pPr>
        <w:spacing w:before="120" w:after="120"/>
        <w:rPr>
          <w:rFonts w:cstheme="minorHAnsi"/>
        </w:rPr>
      </w:pPr>
      <w:r>
        <w:rPr>
          <w:rFonts w:cstheme="minorHAnsi"/>
        </w:rPr>
        <w:t xml:space="preserve">The report identified that other pricing options would be less suitable for the SAS. </w:t>
      </w:r>
    </w:p>
    <w:p w14:paraId="166A4EA5" w14:textId="77777777" w:rsidR="00E7013B" w:rsidRPr="00C80221" w:rsidRDefault="00E7013B" w:rsidP="00E7013B">
      <w:pPr>
        <w:spacing w:before="120" w:after="120"/>
        <w:rPr>
          <w:i/>
          <w:iCs/>
        </w:rPr>
      </w:pPr>
      <w:r w:rsidRPr="001200C5">
        <w:rPr>
          <w:rStyle w:val="Emphasis"/>
        </w:rPr>
        <w:t>Negotiation</w:t>
      </w:r>
      <w:r w:rsidRPr="00C80221">
        <w:rPr>
          <w:rFonts w:cstheme="minorHAnsi"/>
        </w:rPr>
        <w:t xml:space="preserve"> is a common approach to set prices where products are supplied from private sector providers. It provides price flexibility in response to factors such base cost and clinical benefits</w:t>
      </w:r>
      <w:r>
        <w:rPr>
          <w:rFonts w:cstheme="minorHAnsi"/>
        </w:rPr>
        <w:t>.</w:t>
      </w:r>
      <w:r w:rsidRPr="00C80221">
        <w:t xml:space="preserve"> However, it is time consuming.</w:t>
      </w:r>
      <w:r w:rsidRPr="00C80221">
        <w:rPr>
          <w:i/>
          <w:iCs/>
        </w:rPr>
        <w:t xml:space="preserve"> </w:t>
      </w:r>
    </w:p>
    <w:p w14:paraId="0757D8ED" w14:textId="77777777" w:rsidR="00E7013B" w:rsidRPr="00C80221" w:rsidRDefault="00E7013B" w:rsidP="00E7013B">
      <w:pPr>
        <w:spacing w:before="120" w:after="120"/>
      </w:pPr>
      <w:r w:rsidRPr="001200C5">
        <w:rPr>
          <w:rStyle w:val="Emphasis"/>
        </w:rPr>
        <w:t xml:space="preserve">Cost-based pricing </w:t>
      </w:r>
      <w:r w:rsidRPr="00C80221">
        <w:t>relies on identifying and measuring the costs associated with the development of products. It relies on the submission of cost data by suppliers, which can be challenging in competitive markets such as those involving the suppliers of products listed on the SAS Schedule.</w:t>
      </w:r>
    </w:p>
    <w:p w14:paraId="5029AC6D" w14:textId="77777777" w:rsidR="00E7013B" w:rsidRPr="00C80221" w:rsidRDefault="00E7013B" w:rsidP="00E7013B">
      <w:pPr>
        <w:spacing w:before="120" w:after="120"/>
      </w:pPr>
      <w:r w:rsidRPr="00C80221">
        <w:t>Both negotiation and cost-based pricing were deemed un</w:t>
      </w:r>
      <w:r w:rsidRPr="00C80221">
        <w:rPr>
          <w:rFonts w:cstheme="minorHAnsi"/>
        </w:rPr>
        <w:t>suitable</w:t>
      </w:r>
      <w:r>
        <w:rPr>
          <w:rFonts w:cstheme="minorHAnsi"/>
        </w:rPr>
        <w:t xml:space="preserve"> by </w:t>
      </w:r>
      <w:proofErr w:type="spellStart"/>
      <w:r>
        <w:rPr>
          <w:rFonts w:cstheme="minorHAnsi"/>
        </w:rPr>
        <w:t>HealthConsult</w:t>
      </w:r>
      <w:proofErr w:type="spellEnd"/>
      <w:r w:rsidRPr="00C80221">
        <w:rPr>
          <w:rFonts w:cstheme="minorHAnsi"/>
        </w:rPr>
        <w:t xml:space="preserve"> for use on the SAS Schedule due to the administrative complexities involved in individual pricing of the extensive product range on the SAS Schedule.</w:t>
      </w:r>
    </w:p>
    <w:p w14:paraId="69C8B181" w14:textId="77777777" w:rsidR="00E7013B" w:rsidRDefault="00E7013B" w:rsidP="00E7013B">
      <w:r w:rsidRPr="001200C5">
        <w:rPr>
          <w:rStyle w:val="Emphasis"/>
        </w:rPr>
        <w:t>Tendering</w:t>
      </w:r>
      <w:r w:rsidRPr="00C80221">
        <w:t xml:space="preserve"> involves specifying a range of products and inviting responses from the market</w:t>
      </w:r>
      <w:r>
        <w:t xml:space="preserve"> to supply those products</w:t>
      </w:r>
      <w:r w:rsidRPr="00C80221">
        <w:t xml:space="preserve">. Tenders may be evaluated on price only, or a combination of factors that lead to an overall ranking of suppliers that determines which will be offered supply contracts. Tendering is well suited to small groups of homogenous products. Stakeholders </w:t>
      </w:r>
      <w:r>
        <w:t xml:space="preserve">to the Review </w:t>
      </w:r>
      <w:r w:rsidRPr="00C80221">
        <w:t xml:space="preserve">considered that </w:t>
      </w:r>
      <w:r>
        <w:t>tendering</w:t>
      </w:r>
      <w:r w:rsidRPr="00C80221">
        <w:t xml:space="preserve"> is </w:t>
      </w:r>
      <w:r w:rsidRPr="00C80221">
        <w:rPr>
          <w:rFonts w:cstheme="minorHAnsi"/>
        </w:rPr>
        <w:t xml:space="preserve">not suitable for </w:t>
      </w:r>
      <w:proofErr w:type="gramStart"/>
      <w:r w:rsidRPr="00C80221">
        <w:rPr>
          <w:rFonts w:cstheme="minorHAnsi"/>
        </w:rPr>
        <w:t>the majority of</w:t>
      </w:r>
      <w:proofErr w:type="gramEnd"/>
      <w:r w:rsidRPr="00C80221">
        <w:rPr>
          <w:rFonts w:cstheme="minorHAnsi"/>
        </w:rPr>
        <w:t xml:space="preserve"> products on the SAS</w:t>
      </w:r>
      <w:r>
        <w:rPr>
          <w:rFonts w:cstheme="minorHAnsi"/>
        </w:rPr>
        <w:t xml:space="preserve"> Schedule</w:t>
      </w:r>
      <w:r w:rsidRPr="00C80221">
        <w:rPr>
          <w:rFonts w:cstheme="minorHAnsi"/>
        </w:rPr>
        <w:t xml:space="preserve"> due to the need to maintain a broad range of products on the SAS Schedule to meet different ostomate needs, including type of stoma, body shape, stoma shape and size, stoma output amount, activity level, hand dexterity, and ostomate preferences</w:t>
      </w:r>
      <w:r w:rsidRPr="00C80221">
        <w:t xml:space="preserve">. </w:t>
      </w:r>
    </w:p>
    <w:p w14:paraId="534E8EE2" w14:textId="77777777" w:rsidR="00E7013B" w:rsidRDefault="00E7013B" w:rsidP="00E7013B">
      <w:pPr>
        <w:rPr>
          <w:rFonts w:cstheme="minorHAnsi"/>
        </w:rPr>
      </w:pPr>
      <w:r w:rsidRPr="00C80221">
        <w:rPr>
          <w:rFonts w:cstheme="minorHAnsi"/>
        </w:rPr>
        <w:t xml:space="preserve">The </w:t>
      </w:r>
      <w:proofErr w:type="spellStart"/>
      <w:r>
        <w:rPr>
          <w:rFonts w:cstheme="minorHAnsi"/>
        </w:rPr>
        <w:t>HealthConsult</w:t>
      </w:r>
      <w:proofErr w:type="spellEnd"/>
      <w:r>
        <w:rPr>
          <w:rFonts w:cstheme="minorHAnsi"/>
        </w:rPr>
        <w:t xml:space="preserve"> </w:t>
      </w:r>
      <w:r w:rsidRPr="00C80221">
        <w:rPr>
          <w:rFonts w:cstheme="minorHAnsi"/>
        </w:rPr>
        <w:t>report also noted there have been no price increases since 2013</w:t>
      </w:r>
      <w:r>
        <w:rPr>
          <w:rFonts w:cstheme="minorHAnsi"/>
        </w:rPr>
        <w:t>,</w:t>
      </w:r>
      <w:r w:rsidRPr="00C80221">
        <w:rPr>
          <w:rFonts w:cstheme="minorHAnsi"/>
        </w:rPr>
        <w:t xml:space="preserve"> </w:t>
      </w:r>
      <w:r>
        <w:rPr>
          <w:rFonts w:cstheme="minorHAnsi"/>
        </w:rPr>
        <w:t>which</w:t>
      </w:r>
      <w:r w:rsidRPr="00C80221">
        <w:rPr>
          <w:rFonts w:cstheme="minorHAnsi"/>
        </w:rPr>
        <w:t xml:space="preserve"> is a significant concern for product suppliers. </w:t>
      </w:r>
    </w:p>
    <w:p w14:paraId="07CC58F5" w14:textId="77777777" w:rsidR="00E7013B" w:rsidRDefault="00E7013B" w:rsidP="00E7013B">
      <w:pPr>
        <w:rPr>
          <w:rFonts w:cstheme="minorHAnsi"/>
        </w:rPr>
      </w:pPr>
      <w:r w:rsidRPr="00C80221">
        <w:rPr>
          <w:rFonts w:cstheme="minorHAnsi"/>
        </w:rPr>
        <w:t xml:space="preserve">The SPAP considered a price increase for some or all products on the SAS Schedule may be appropriate, alongside the introduction of regular pricing reviews. </w:t>
      </w:r>
    </w:p>
    <w:p w14:paraId="457D7536" w14:textId="77777777" w:rsidR="00E7013B" w:rsidRDefault="00E7013B" w:rsidP="00E7013B">
      <w:r>
        <w:rPr>
          <w:rFonts w:cstheme="minorHAnsi"/>
        </w:rPr>
        <w:lastRenderedPageBreak/>
        <w:t xml:space="preserve">While the benchmark/price premium approach appears to be the most suitable for </w:t>
      </w:r>
      <w:proofErr w:type="gramStart"/>
      <w:r>
        <w:rPr>
          <w:rFonts w:cstheme="minorHAnsi"/>
        </w:rPr>
        <w:t>the majority of</w:t>
      </w:r>
      <w:proofErr w:type="gramEnd"/>
      <w:r>
        <w:rPr>
          <w:rFonts w:cstheme="minorHAnsi"/>
        </w:rPr>
        <w:t xml:space="preserve"> the products on the SAS Schedule, </w:t>
      </w:r>
      <w:r>
        <w:t>t</w:t>
      </w:r>
      <w:r w:rsidRPr="00C80221">
        <w:t>here may be benefits in further exploration of a tendering approach for some or all the accessory products in Group 9</w:t>
      </w:r>
      <w:r>
        <w:t>,</w:t>
      </w:r>
      <w:r w:rsidRPr="00C80221">
        <w:t xml:space="preserve"> as there is less variation within the subgroups. This would mean a smaller range of available products in these categories, but greater efficiency in administration including streamlined product ordering</w:t>
      </w:r>
      <w:r>
        <w:t xml:space="preserve"> for ostomates</w:t>
      </w:r>
      <w:r w:rsidRPr="00C80221">
        <w:t xml:space="preserve">. </w:t>
      </w:r>
      <w:r>
        <w:t>There</w:t>
      </w:r>
      <w:r w:rsidRPr="00C80221">
        <w:t xml:space="preserve"> would be regular approaches to market for </w:t>
      </w:r>
      <w:r>
        <w:t>the relevant</w:t>
      </w:r>
      <w:r w:rsidRPr="00C80221">
        <w:t xml:space="preserve"> products</w:t>
      </w:r>
      <w:r>
        <w:t xml:space="preserve"> to identify suppliers</w:t>
      </w:r>
      <w:r w:rsidRPr="00C80221">
        <w:t xml:space="preserve">. </w:t>
      </w:r>
    </w:p>
    <w:p w14:paraId="79067A05" w14:textId="77777777" w:rsidR="00E7013B" w:rsidRPr="001200C5" w:rsidRDefault="00E7013B" w:rsidP="001200C5">
      <w:pPr>
        <w:pStyle w:val="VisionBox"/>
      </w:pPr>
      <w:r w:rsidRPr="001200C5">
        <w:t>Questions:</w:t>
      </w:r>
    </w:p>
    <w:p w14:paraId="0884171E" w14:textId="77777777" w:rsidR="00E7013B" w:rsidRPr="001200C5" w:rsidRDefault="00E7013B" w:rsidP="001200C5">
      <w:pPr>
        <w:pStyle w:val="VisionBox"/>
      </w:pPr>
      <w:r w:rsidRPr="001200C5">
        <w:t>Do you have any comments on the proposed approach to pricing of products on the SAS Schedule?</w:t>
      </w:r>
    </w:p>
    <w:p w14:paraId="4E7792C5" w14:textId="77777777" w:rsidR="00E7013B" w:rsidRPr="001200C5" w:rsidRDefault="00E7013B" w:rsidP="001200C5">
      <w:pPr>
        <w:pStyle w:val="VisionBox"/>
      </w:pPr>
      <w:r w:rsidRPr="001200C5">
        <w:t>Do you have any comments about using a tendering approach for some or all products in Group 9?</w:t>
      </w:r>
    </w:p>
    <w:p w14:paraId="31FB6336" w14:textId="77777777" w:rsidR="006903E2" w:rsidRPr="001200C5" w:rsidRDefault="006903E2" w:rsidP="001200C5">
      <w:r w:rsidRPr="001200C5">
        <w:br w:type="page"/>
      </w:r>
    </w:p>
    <w:p w14:paraId="5C46643C" w14:textId="4181F75C" w:rsidR="00E7013B" w:rsidRPr="00805FFA" w:rsidRDefault="00E7013B" w:rsidP="00E7013B">
      <w:pPr>
        <w:pStyle w:val="Heading3"/>
      </w:pPr>
      <w:bookmarkStart w:id="13" w:name="_Toc175909182"/>
      <w:r w:rsidRPr="00805FFA">
        <w:lastRenderedPageBreak/>
        <w:t>Other comments</w:t>
      </w:r>
      <w:bookmarkEnd w:id="13"/>
    </w:p>
    <w:p w14:paraId="13803561" w14:textId="54148103" w:rsidR="00E7013B" w:rsidRDefault="00E7013B" w:rsidP="00E7013B">
      <w:pPr>
        <w:rPr>
          <w:rFonts w:cstheme="minorHAnsi"/>
        </w:rPr>
      </w:pPr>
      <w:r w:rsidRPr="00C80221">
        <w:rPr>
          <w:rFonts w:cstheme="minorHAnsi"/>
        </w:rPr>
        <w:t>Thank you for your interest in the SAS and for taking the time to provide feedback on the proposed changes to the SAS Schedule.</w:t>
      </w:r>
      <w:r>
        <w:rPr>
          <w:rFonts w:cstheme="minorHAnsi"/>
        </w:rPr>
        <w:t xml:space="preserve"> In addition to responses to the questions above, the Department would welcome any additional feedback in relation to the matters addressed in this paper, including clinical eligibility for the SAS, product availability, maximum quantities, restrictions or product pricing.</w:t>
      </w:r>
    </w:p>
    <w:p w14:paraId="388C8D13" w14:textId="77777777" w:rsidR="00E7013B" w:rsidRPr="001200C5" w:rsidRDefault="00E7013B" w:rsidP="001200C5">
      <w:pPr>
        <w:pStyle w:val="VisionBox"/>
      </w:pPr>
      <w:r w:rsidRPr="001200C5">
        <w:t>Question:</w:t>
      </w:r>
    </w:p>
    <w:p w14:paraId="030CECA5" w14:textId="77777777" w:rsidR="00E7013B" w:rsidRPr="001200C5" w:rsidRDefault="00E7013B" w:rsidP="001200C5">
      <w:pPr>
        <w:pStyle w:val="VisionBox"/>
      </w:pPr>
      <w:r w:rsidRPr="001200C5">
        <w:t xml:space="preserve">Do you have any other comments on the SAS Schedule, including in relation to clinical eligibility, available products, maximum quantities, restrictions, or product pricing? </w:t>
      </w:r>
    </w:p>
    <w:p w14:paraId="21DF2825" w14:textId="273B6BD1" w:rsidR="00E7013B" w:rsidRPr="007F0B86" w:rsidRDefault="00E7013B" w:rsidP="00EF594D">
      <w:pPr>
        <w:pStyle w:val="Heading1"/>
      </w:pPr>
      <w:bookmarkStart w:id="14" w:name="_Toc175909183"/>
      <w:r w:rsidRPr="007F0B86">
        <w:t>Next steps</w:t>
      </w:r>
      <w:bookmarkEnd w:id="14"/>
    </w:p>
    <w:p w14:paraId="24D3CE3B" w14:textId="50BA0914" w:rsidR="009A1941" w:rsidRPr="00702D99" w:rsidRDefault="00E7013B" w:rsidP="00702D99">
      <w:pPr>
        <w:rPr>
          <w:rFonts w:cstheme="minorHAnsi"/>
          <w:b/>
          <w:bCs/>
        </w:rPr>
      </w:pPr>
      <w:r>
        <w:rPr>
          <w:rFonts w:cstheme="minorHAnsi"/>
        </w:rPr>
        <w:t>The outcomes of this consultation will inform the next phase of work on the Review. The outcomes will be considered by the SPAP and will inform its recommended changes to the SAS Schedule. Following Government consideration of the SPAP recommendations, any changes to the SAS Schedule would be communicated to stakeholders and the Department would work with stakeholders on the implementation of any changes.</w:t>
      </w:r>
    </w:p>
    <w:sectPr w:rsidR="009A1941" w:rsidRPr="00702D99" w:rsidSect="001D6A71">
      <w:footerReference w:type="default" r:id="rId15"/>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9EE847" w14:textId="77777777" w:rsidR="00D4607A" w:rsidRDefault="00D4607A">
      <w:pPr>
        <w:spacing w:after="0" w:line="240" w:lineRule="auto"/>
      </w:pPr>
      <w:r>
        <w:separator/>
      </w:r>
    </w:p>
  </w:endnote>
  <w:endnote w:type="continuationSeparator" w:id="0">
    <w:p w14:paraId="148358C5" w14:textId="77777777" w:rsidR="00D4607A" w:rsidRDefault="00D46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5859617"/>
      <w:docPartObj>
        <w:docPartGallery w:val="Page Numbers (Bottom of Page)"/>
        <w:docPartUnique/>
      </w:docPartObj>
    </w:sdtPr>
    <w:sdtEndPr>
      <w:rPr>
        <w:noProof/>
      </w:rPr>
    </w:sdtEndPr>
    <w:sdtContent>
      <w:p w14:paraId="73BB0C8D" w14:textId="77777777" w:rsidR="00E7013B" w:rsidRDefault="00E7013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9DD6CA4" w14:textId="77777777" w:rsidR="00E7013B" w:rsidRDefault="00E701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E3F2B" w14:textId="77777777" w:rsidR="00E7013B" w:rsidRDefault="00E701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26FB5" w14:textId="2BC74BF9" w:rsidR="00805FFA" w:rsidRDefault="00805FFA" w:rsidP="00805FFA">
    <w:pPr>
      <w:pStyle w:val="Footer"/>
    </w:pPr>
    <w:r w:rsidRPr="00DF1FB6">
      <w:rPr>
        <w:bCs/>
      </w:rPr>
      <w:t xml:space="preserve">Stoma Appliance Scheme Schedule Review – Consultation Paper – </w:t>
    </w:r>
    <w:r w:rsidR="00E7013B">
      <w:rPr>
        <w:bCs/>
      </w:rPr>
      <w:t>September</w:t>
    </w:r>
    <w:r>
      <w:rPr>
        <w:bCs/>
      </w:rPr>
      <w:t xml:space="preserve"> 2024</w:t>
    </w:r>
    <w:r>
      <w:rPr>
        <w:bCs/>
      </w:rPr>
      <w:tab/>
    </w:r>
    <w:sdt>
      <w:sdtPr>
        <w:id w:val="-48546743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8DEC83" w14:textId="77777777" w:rsidR="00D4607A" w:rsidRDefault="00D4607A">
      <w:pPr>
        <w:spacing w:after="0" w:line="240" w:lineRule="auto"/>
      </w:pPr>
      <w:r>
        <w:separator/>
      </w:r>
    </w:p>
  </w:footnote>
  <w:footnote w:type="continuationSeparator" w:id="0">
    <w:p w14:paraId="19402165" w14:textId="77777777" w:rsidR="00D4607A" w:rsidRDefault="00D4607A">
      <w:pPr>
        <w:spacing w:after="0" w:line="240" w:lineRule="auto"/>
      </w:pPr>
      <w:r>
        <w:continuationSeparator/>
      </w:r>
    </w:p>
  </w:footnote>
  <w:footnote w:id="1">
    <w:p w14:paraId="467DA05F" w14:textId="77777777" w:rsidR="00E7013B" w:rsidRDefault="00E7013B" w:rsidP="00E7013B">
      <w:pPr>
        <w:pStyle w:val="FootnoteText"/>
      </w:pPr>
      <w:r>
        <w:rPr>
          <w:rStyle w:val="FootnoteReference"/>
        </w:rPr>
        <w:footnoteRef/>
      </w:r>
      <w:r>
        <w:t xml:space="preserve"> An authorised health professional in the SAS is a STN</w:t>
      </w:r>
      <w:r w:rsidRPr="000074B5">
        <w:t>, nurse practitioner, registered nurse or registered medical practitioner</w:t>
      </w:r>
      <w:r>
        <w:t>.</w:t>
      </w:r>
    </w:p>
  </w:footnote>
  <w:footnote w:id="2">
    <w:p w14:paraId="5C7E48C8" w14:textId="77777777" w:rsidR="00E7013B" w:rsidRDefault="00E7013B" w:rsidP="00E7013B">
      <w:pPr>
        <w:pStyle w:val="FootnoteText"/>
      </w:pPr>
      <w:r>
        <w:rPr>
          <w:rStyle w:val="FootnoteReference"/>
        </w:rPr>
        <w:footnoteRef/>
      </w:r>
      <w:r>
        <w:t xml:space="preserve"> An authorised health professional in the SAS is a STN</w:t>
      </w:r>
      <w:r w:rsidRPr="000074B5">
        <w:t>, nurse practitioner, registered nurse or registered medical practitioner</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EB8D2" w14:textId="77777777" w:rsidR="00E7013B" w:rsidRDefault="00E7013B" w:rsidP="00934368">
    <w:pPr>
      <w:pStyle w:val="Header"/>
    </w:pPr>
    <w:r>
      <w:rPr>
        <w:noProof/>
        <w:lang w:eastAsia="en-AU"/>
      </w:rPr>
      <w:drawing>
        <wp:anchor distT="0" distB="0" distL="114300" distR="114300" simplePos="0" relativeHeight="251659264" behindDoc="1" locked="0" layoutInCell="1" allowOverlap="1" wp14:anchorId="457EEE31" wp14:editId="3184A82A">
          <wp:simplePos x="0" y="0"/>
          <wp:positionH relativeFrom="page">
            <wp:align>center</wp:align>
          </wp:positionH>
          <wp:positionV relativeFrom="page">
            <wp:align>center</wp:align>
          </wp:positionV>
          <wp:extent cx="7559245" cy="10692675"/>
          <wp:effectExtent l="0" t="0" r="0" b="1270"/>
          <wp:wrapNone/>
          <wp:docPr id="272459945" name="Picture 2724599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245" cy="106926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4AD8A020"/>
    <w:lvl w:ilvl="0">
      <w:start w:val="1"/>
      <w:numFmt w:val="decimal"/>
      <w:pStyle w:val="ListNumber"/>
      <w:lvlText w:val="%1."/>
      <w:lvlJc w:val="left"/>
      <w:pPr>
        <w:tabs>
          <w:tab w:val="num" w:pos="360"/>
        </w:tabs>
        <w:ind w:left="360" w:hanging="360"/>
      </w:pPr>
    </w:lvl>
  </w:abstractNum>
  <w:abstractNum w:abstractNumId="1" w15:restartNumberingAfterBreak="0">
    <w:nsid w:val="04FB332D"/>
    <w:multiLevelType w:val="hybridMultilevel"/>
    <w:tmpl w:val="D9C29582"/>
    <w:lvl w:ilvl="0" w:tplc="DD8A936C">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55E2746"/>
    <w:multiLevelType w:val="hybridMultilevel"/>
    <w:tmpl w:val="D3807C5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086095E"/>
    <w:multiLevelType w:val="hybridMultilevel"/>
    <w:tmpl w:val="B4A4A992"/>
    <w:lvl w:ilvl="0" w:tplc="4F980086">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597EC4"/>
    <w:multiLevelType w:val="hybridMultilevel"/>
    <w:tmpl w:val="E6AAAEA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7B11495"/>
    <w:multiLevelType w:val="hybridMultilevel"/>
    <w:tmpl w:val="9CFCE1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8424892"/>
    <w:multiLevelType w:val="hybridMultilevel"/>
    <w:tmpl w:val="1004BA34"/>
    <w:lvl w:ilvl="0" w:tplc="9FFADFB0">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2125457F"/>
    <w:multiLevelType w:val="hybridMultilevel"/>
    <w:tmpl w:val="CC1CF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F715E5"/>
    <w:multiLevelType w:val="hybridMultilevel"/>
    <w:tmpl w:val="A2DE954A"/>
    <w:lvl w:ilvl="0" w:tplc="FFFFFFFF">
      <w:start w:val="5"/>
      <w:numFmt w:val="decimal"/>
      <w:lvlText w:val="%1."/>
      <w:lvlJc w:val="left"/>
      <w:pPr>
        <w:ind w:left="720" w:hanging="360"/>
      </w:pPr>
      <w:rPr>
        <w:rFonts w:hint="default"/>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B202ED1"/>
    <w:multiLevelType w:val="hybridMultilevel"/>
    <w:tmpl w:val="7B30585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2C520B9A"/>
    <w:multiLevelType w:val="hybridMultilevel"/>
    <w:tmpl w:val="E2DA8078"/>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DD62D99"/>
    <w:multiLevelType w:val="hybridMultilevel"/>
    <w:tmpl w:val="FB103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9041AD"/>
    <w:multiLevelType w:val="hybridMultilevel"/>
    <w:tmpl w:val="A9AA53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232682B"/>
    <w:multiLevelType w:val="hybridMultilevel"/>
    <w:tmpl w:val="F62A6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020B43"/>
    <w:multiLevelType w:val="hybridMultilevel"/>
    <w:tmpl w:val="90187904"/>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17"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34F96D34"/>
    <w:multiLevelType w:val="hybridMultilevel"/>
    <w:tmpl w:val="A2DE954A"/>
    <w:lvl w:ilvl="0" w:tplc="F3E89038">
      <w:start w:val="5"/>
      <w:numFmt w:val="decimal"/>
      <w:lvlText w:val="%1."/>
      <w:lvlJc w:val="left"/>
      <w:pPr>
        <w:ind w:left="720" w:hanging="360"/>
      </w:pPr>
      <w:rPr>
        <w:rFonts w:hint="default"/>
      </w:rPr>
    </w:lvl>
    <w:lvl w:ilvl="1" w:tplc="0C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7D822EE"/>
    <w:multiLevelType w:val="hybridMultilevel"/>
    <w:tmpl w:val="5B8A1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891486B"/>
    <w:multiLevelType w:val="hybridMultilevel"/>
    <w:tmpl w:val="0A166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12260A"/>
    <w:multiLevelType w:val="multilevel"/>
    <w:tmpl w:val="266C4792"/>
    <w:styleLink w:val="Bullets"/>
    <w:lvl w:ilvl="0">
      <w:start w:val="1"/>
      <w:numFmt w:val="decimal"/>
      <w:lvlText w:val="%1."/>
      <w:lvlJc w:val="left"/>
      <w:pPr>
        <w:ind w:left="284" w:hanging="284"/>
      </w:pPr>
      <w:rPr>
        <w:rFonts w:hint="default"/>
        <w:b/>
        <w:i w:val="0"/>
        <w:color w:val="4472C4" w:themeColor="accent1"/>
      </w:rPr>
    </w:lvl>
    <w:lvl w:ilvl="1">
      <w:start w:val="1"/>
      <w:numFmt w:val="bullet"/>
      <w:lvlText w:val=""/>
      <w:lvlJc w:val="left"/>
      <w:pPr>
        <w:ind w:left="568" w:hanging="284"/>
      </w:pPr>
      <w:rPr>
        <w:rFonts w:ascii="Symbol" w:hAnsi="Symbol" w:hint="default"/>
        <w:color w:val="4472C4" w:themeColor="accent1"/>
      </w:rPr>
    </w:lvl>
    <w:lvl w:ilvl="2">
      <w:start w:val="1"/>
      <w:numFmt w:val="bullet"/>
      <w:lvlText w:val="o"/>
      <w:lvlJc w:val="left"/>
      <w:pPr>
        <w:ind w:left="852" w:hanging="284"/>
      </w:pPr>
      <w:rPr>
        <w:rFonts w:ascii="Courier New" w:hAnsi="Courier New" w:hint="default"/>
        <w:b/>
        <w:i w:val="0"/>
        <w:color w:val="4472C4" w:themeColor="accent1"/>
        <w:sz w:val="14"/>
      </w:rPr>
    </w:lvl>
    <w:lvl w:ilvl="3">
      <w:start w:val="1"/>
      <w:numFmt w:val="bullet"/>
      <w:lvlText w:val="-"/>
      <w:lvlJc w:val="left"/>
      <w:pPr>
        <w:ind w:left="1136" w:hanging="284"/>
      </w:pPr>
      <w:rPr>
        <w:rFonts w:ascii="Poppins" w:hAnsi="Poppins" w:hint="default"/>
        <w:b/>
        <w:i w:val="0"/>
        <w:color w:val="4472C4" w:themeColor="accent1"/>
      </w:rPr>
    </w:lvl>
    <w:lvl w:ilvl="4">
      <w:start w:val="1"/>
      <w:numFmt w:val="bullet"/>
      <w:lvlText w:val=""/>
      <w:lvlJc w:val="left"/>
      <w:pPr>
        <w:ind w:left="1420" w:hanging="284"/>
      </w:pPr>
      <w:rPr>
        <w:rFonts w:ascii="Wingdings" w:hAnsi="Wingdings" w:hint="default"/>
        <w:color w:val="4472C4" w:themeColor="accent1"/>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22" w15:restartNumberingAfterBreak="0">
    <w:nsid w:val="3A825AE0"/>
    <w:multiLevelType w:val="hybridMultilevel"/>
    <w:tmpl w:val="FC8AC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F752E0"/>
    <w:multiLevelType w:val="hybridMultilevel"/>
    <w:tmpl w:val="7B0AC4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4B9A0ECB"/>
    <w:multiLevelType w:val="hybridMultilevel"/>
    <w:tmpl w:val="8D8EFAD0"/>
    <w:lvl w:ilvl="0" w:tplc="632ADC42">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D1909B5"/>
    <w:multiLevelType w:val="hybridMultilevel"/>
    <w:tmpl w:val="3D52E00C"/>
    <w:lvl w:ilvl="0" w:tplc="9662A99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19C1543"/>
    <w:multiLevelType w:val="hybridMultilevel"/>
    <w:tmpl w:val="B5E6EC6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85C7C03"/>
    <w:multiLevelType w:val="hybridMultilevel"/>
    <w:tmpl w:val="B7DCF3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AA40AAA"/>
    <w:multiLevelType w:val="hybridMultilevel"/>
    <w:tmpl w:val="B2A616A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5C2132BF"/>
    <w:multiLevelType w:val="hybridMultilevel"/>
    <w:tmpl w:val="D892F21C"/>
    <w:lvl w:ilvl="0" w:tplc="E60AB73C">
      <w:start w:val="1"/>
      <w:numFmt w:val="decimal"/>
      <w:lvlText w:val="%1."/>
      <w:lvlJc w:val="left"/>
      <w:pPr>
        <w:ind w:left="360" w:hanging="360"/>
      </w:pPr>
      <w:rPr>
        <w:rFonts w:asciiTheme="minorHAnsi" w:hAnsiTheme="minorHAnsi" w:cstheme="minorHAnsi" w:hint="default"/>
        <w:sz w:val="22"/>
        <w:szCs w:val="22"/>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0321DA2"/>
    <w:multiLevelType w:val="hybridMultilevel"/>
    <w:tmpl w:val="D47652BE"/>
    <w:lvl w:ilvl="0" w:tplc="9AF2A368">
      <w:start w:val="1"/>
      <w:numFmt w:val="lowerLetter"/>
      <w:lvlText w:val="(%1)"/>
      <w:lvlJc w:val="left"/>
      <w:pPr>
        <w:tabs>
          <w:tab w:val="num" w:pos="702"/>
        </w:tabs>
        <w:ind w:left="702"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15:restartNumberingAfterBreak="0">
    <w:nsid w:val="611709A3"/>
    <w:multiLevelType w:val="hybridMultilevel"/>
    <w:tmpl w:val="0E0EB218"/>
    <w:lvl w:ilvl="0" w:tplc="C3C8650E">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15:restartNumberingAfterBreak="0">
    <w:nsid w:val="6B1A1750"/>
    <w:multiLevelType w:val="hybridMultilevel"/>
    <w:tmpl w:val="FDCE513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C2F1551"/>
    <w:multiLevelType w:val="hybridMultilevel"/>
    <w:tmpl w:val="CD2E17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E2C6620"/>
    <w:multiLevelType w:val="hybridMultilevel"/>
    <w:tmpl w:val="4C1C5C84"/>
    <w:lvl w:ilvl="0" w:tplc="7832AC16">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6" w15:restartNumberingAfterBreak="0">
    <w:nsid w:val="704B38D1"/>
    <w:multiLevelType w:val="hybridMultilevel"/>
    <w:tmpl w:val="4DC639B2"/>
    <w:lvl w:ilvl="0" w:tplc="C3C8650E">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15:restartNumberingAfterBreak="0">
    <w:nsid w:val="74786BDE"/>
    <w:multiLevelType w:val="hybridMultilevel"/>
    <w:tmpl w:val="2BFCD61C"/>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5DC4291"/>
    <w:multiLevelType w:val="hybridMultilevel"/>
    <w:tmpl w:val="0B02D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66547B0"/>
    <w:multiLevelType w:val="hybridMultilevel"/>
    <w:tmpl w:val="EFB6D910"/>
    <w:lvl w:ilvl="0" w:tplc="C3C8650E">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15:restartNumberingAfterBreak="0">
    <w:nsid w:val="7C535CDC"/>
    <w:multiLevelType w:val="hybridMultilevel"/>
    <w:tmpl w:val="1F1CE3CC"/>
    <w:lvl w:ilvl="0" w:tplc="9662A99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C995A03"/>
    <w:multiLevelType w:val="hybridMultilevel"/>
    <w:tmpl w:val="004819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03384056">
    <w:abstractNumId w:val="16"/>
  </w:num>
  <w:num w:numId="2" w16cid:durableId="1651708002">
    <w:abstractNumId w:val="15"/>
  </w:num>
  <w:num w:numId="3" w16cid:durableId="1446466120">
    <w:abstractNumId w:val="4"/>
  </w:num>
  <w:num w:numId="4" w16cid:durableId="1238518015">
    <w:abstractNumId w:val="17"/>
  </w:num>
  <w:num w:numId="5" w16cid:durableId="275455444">
    <w:abstractNumId w:val="26"/>
  </w:num>
  <w:num w:numId="6" w16cid:durableId="445002703">
    <w:abstractNumId w:val="19"/>
  </w:num>
  <w:num w:numId="7" w16cid:durableId="928807564">
    <w:abstractNumId w:val="34"/>
  </w:num>
  <w:num w:numId="8" w16cid:durableId="726031423">
    <w:abstractNumId w:val="10"/>
  </w:num>
  <w:num w:numId="9" w16cid:durableId="3379282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840871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246100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923108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3603990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82520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4657655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3220197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7525675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07559152">
    <w:abstractNumId w:val="8"/>
  </w:num>
  <w:num w:numId="19" w16cid:durableId="1694767833">
    <w:abstractNumId w:val="0"/>
  </w:num>
  <w:num w:numId="20" w16cid:durableId="544148261">
    <w:abstractNumId w:val="23"/>
  </w:num>
  <w:num w:numId="21" w16cid:durableId="1613129848">
    <w:abstractNumId w:val="6"/>
  </w:num>
  <w:num w:numId="22" w16cid:durableId="331686856">
    <w:abstractNumId w:val="28"/>
  </w:num>
  <w:num w:numId="23" w16cid:durableId="1029990563">
    <w:abstractNumId w:val="14"/>
  </w:num>
  <w:num w:numId="24" w16cid:durableId="1915165389">
    <w:abstractNumId w:val="30"/>
  </w:num>
  <w:num w:numId="25" w16cid:durableId="1093472913">
    <w:abstractNumId w:val="38"/>
  </w:num>
  <w:num w:numId="26" w16cid:durableId="1379933620">
    <w:abstractNumId w:val="22"/>
  </w:num>
  <w:num w:numId="27" w16cid:durableId="1949727974">
    <w:abstractNumId w:val="29"/>
  </w:num>
  <w:num w:numId="28" w16cid:durableId="1079668573">
    <w:abstractNumId w:val="2"/>
  </w:num>
  <w:num w:numId="29" w16cid:durableId="923418137">
    <w:abstractNumId w:val="5"/>
  </w:num>
  <w:num w:numId="30" w16cid:durableId="967860119">
    <w:abstractNumId w:val="11"/>
  </w:num>
  <w:num w:numId="31" w16cid:durableId="1726365809">
    <w:abstractNumId w:val="32"/>
  </w:num>
  <w:num w:numId="32" w16cid:durableId="696270951">
    <w:abstractNumId w:val="41"/>
  </w:num>
  <w:num w:numId="33" w16cid:durableId="1690568731">
    <w:abstractNumId w:val="37"/>
  </w:num>
  <w:num w:numId="34" w16cid:durableId="253519843">
    <w:abstractNumId w:val="13"/>
  </w:num>
  <w:num w:numId="35" w16cid:durableId="1745452161">
    <w:abstractNumId w:val="12"/>
  </w:num>
  <w:num w:numId="36" w16cid:durableId="803306009">
    <w:abstractNumId w:val="33"/>
  </w:num>
  <w:num w:numId="37" w16cid:durableId="830607659">
    <w:abstractNumId w:val="18"/>
  </w:num>
  <w:num w:numId="38" w16cid:durableId="605190471">
    <w:abstractNumId w:val="9"/>
  </w:num>
  <w:num w:numId="39" w16cid:durableId="8323786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51563557">
    <w:abstractNumId w:val="21"/>
  </w:num>
  <w:num w:numId="41" w16cid:durableId="1328945052">
    <w:abstractNumId w:val="27"/>
  </w:num>
  <w:num w:numId="42" w16cid:durableId="699354996">
    <w:abstractNumId w:val="40"/>
  </w:num>
  <w:num w:numId="43" w16cid:durableId="521824207">
    <w:abstractNumId w:val="25"/>
  </w:num>
  <w:num w:numId="44" w16cid:durableId="208911145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593"/>
    <w:rsid w:val="000074B5"/>
    <w:rsid w:val="00012168"/>
    <w:rsid w:val="00016345"/>
    <w:rsid w:val="000201F8"/>
    <w:rsid w:val="00022F68"/>
    <w:rsid w:val="000301B0"/>
    <w:rsid w:val="000423DF"/>
    <w:rsid w:val="000444C0"/>
    <w:rsid w:val="00063A7C"/>
    <w:rsid w:val="00081EC8"/>
    <w:rsid w:val="00086714"/>
    <w:rsid w:val="00087422"/>
    <w:rsid w:val="000A733B"/>
    <w:rsid w:val="000A743A"/>
    <w:rsid w:val="000B2AD1"/>
    <w:rsid w:val="000C5913"/>
    <w:rsid w:val="000C70C0"/>
    <w:rsid w:val="000D08E2"/>
    <w:rsid w:val="000D5789"/>
    <w:rsid w:val="000E18B0"/>
    <w:rsid w:val="000E7487"/>
    <w:rsid w:val="00103434"/>
    <w:rsid w:val="00104343"/>
    <w:rsid w:val="001100FF"/>
    <w:rsid w:val="001103ED"/>
    <w:rsid w:val="00111CA3"/>
    <w:rsid w:val="001200C5"/>
    <w:rsid w:val="001220A7"/>
    <w:rsid w:val="001229FF"/>
    <w:rsid w:val="0013078D"/>
    <w:rsid w:val="00132491"/>
    <w:rsid w:val="00134ED0"/>
    <w:rsid w:val="00140463"/>
    <w:rsid w:val="001469DB"/>
    <w:rsid w:val="001565AB"/>
    <w:rsid w:val="00166357"/>
    <w:rsid w:val="00166A9C"/>
    <w:rsid w:val="00166E23"/>
    <w:rsid w:val="00172E22"/>
    <w:rsid w:val="001768A5"/>
    <w:rsid w:val="001769D3"/>
    <w:rsid w:val="001810FB"/>
    <w:rsid w:val="00181369"/>
    <w:rsid w:val="00181D4C"/>
    <w:rsid w:val="00183D9A"/>
    <w:rsid w:val="001851C4"/>
    <w:rsid w:val="00185905"/>
    <w:rsid w:val="00190109"/>
    <w:rsid w:val="00192A85"/>
    <w:rsid w:val="001A36AF"/>
    <w:rsid w:val="001B663B"/>
    <w:rsid w:val="001C3132"/>
    <w:rsid w:val="001D5FD0"/>
    <w:rsid w:val="001D6A71"/>
    <w:rsid w:val="001D7342"/>
    <w:rsid w:val="001E5D8F"/>
    <w:rsid w:val="001F3687"/>
    <w:rsid w:val="00210120"/>
    <w:rsid w:val="002164A0"/>
    <w:rsid w:val="00220525"/>
    <w:rsid w:val="00222E03"/>
    <w:rsid w:val="00226160"/>
    <w:rsid w:val="00232609"/>
    <w:rsid w:val="00236A81"/>
    <w:rsid w:val="002371B3"/>
    <w:rsid w:val="00242B2B"/>
    <w:rsid w:val="002556F5"/>
    <w:rsid w:val="002575B1"/>
    <w:rsid w:val="00260C7E"/>
    <w:rsid w:val="00271A2D"/>
    <w:rsid w:val="002827BB"/>
    <w:rsid w:val="00285657"/>
    <w:rsid w:val="00290EDE"/>
    <w:rsid w:val="00293E94"/>
    <w:rsid w:val="002A3FC1"/>
    <w:rsid w:val="002A6974"/>
    <w:rsid w:val="002C1297"/>
    <w:rsid w:val="002D18F4"/>
    <w:rsid w:val="002D6A15"/>
    <w:rsid w:val="002F0FEC"/>
    <w:rsid w:val="002F33A5"/>
    <w:rsid w:val="002F40FC"/>
    <w:rsid w:val="003006BC"/>
    <w:rsid w:val="00303CDA"/>
    <w:rsid w:val="00304E31"/>
    <w:rsid w:val="00305A0F"/>
    <w:rsid w:val="00306F05"/>
    <w:rsid w:val="0031196E"/>
    <w:rsid w:val="003120F4"/>
    <w:rsid w:val="003146D0"/>
    <w:rsid w:val="00316BFA"/>
    <w:rsid w:val="00320634"/>
    <w:rsid w:val="00323EF8"/>
    <w:rsid w:val="003266D3"/>
    <w:rsid w:val="003361DA"/>
    <w:rsid w:val="003376BF"/>
    <w:rsid w:val="0034361E"/>
    <w:rsid w:val="00350096"/>
    <w:rsid w:val="0035020A"/>
    <w:rsid w:val="00362B18"/>
    <w:rsid w:val="00363B79"/>
    <w:rsid w:val="003647E6"/>
    <w:rsid w:val="00366371"/>
    <w:rsid w:val="003665E2"/>
    <w:rsid w:val="00366AA2"/>
    <w:rsid w:val="00367BFC"/>
    <w:rsid w:val="0037080C"/>
    <w:rsid w:val="0038579A"/>
    <w:rsid w:val="00387A92"/>
    <w:rsid w:val="00397B3A"/>
    <w:rsid w:val="003A1BA6"/>
    <w:rsid w:val="003A1E26"/>
    <w:rsid w:val="003A551A"/>
    <w:rsid w:val="003B0455"/>
    <w:rsid w:val="003B0810"/>
    <w:rsid w:val="003B1D52"/>
    <w:rsid w:val="003B34C1"/>
    <w:rsid w:val="003B354C"/>
    <w:rsid w:val="003B3C2F"/>
    <w:rsid w:val="003B40D8"/>
    <w:rsid w:val="003B50C3"/>
    <w:rsid w:val="003B51EF"/>
    <w:rsid w:val="003C1B32"/>
    <w:rsid w:val="003D600E"/>
    <w:rsid w:val="003D6744"/>
    <w:rsid w:val="003E4052"/>
    <w:rsid w:val="003E6AEE"/>
    <w:rsid w:val="003F575B"/>
    <w:rsid w:val="003F66BC"/>
    <w:rsid w:val="003F6A4E"/>
    <w:rsid w:val="00405271"/>
    <w:rsid w:val="00407EEC"/>
    <w:rsid w:val="004226EE"/>
    <w:rsid w:val="00434FA6"/>
    <w:rsid w:val="00436807"/>
    <w:rsid w:val="0044453A"/>
    <w:rsid w:val="00447B42"/>
    <w:rsid w:val="0046538E"/>
    <w:rsid w:val="0046677C"/>
    <w:rsid w:val="00467AE8"/>
    <w:rsid w:val="00474593"/>
    <w:rsid w:val="00476A64"/>
    <w:rsid w:val="00480126"/>
    <w:rsid w:val="004844A1"/>
    <w:rsid w:val="00485E7B"/>
    <w:rsid w:val="004879DF"/>
    <w:rsid w:val="00497071"/>
    <w:rsid w:val="004A09FA"/>
    <w:rsid w:val="004A2287"/>
    <w:rsid w:val="004A5A95"/>
    <w:rsid w:val="004A5E0B"/>
    <w:rsid w:val="004A6460"/>
    <w:rsid w:val="004A7BA2"/>
    <w:rsid w:val="004B486F"/>
    <w:rsid w:val="004C1E9E"/>
    <w:rsid w:val="004D1B54"/>
    <w:rsid w:val="004D289B"/>
    <w:rsid w:val="004D49CB"/>
    <w:rsid w:val="004D573D"/>
    <w:rsid w:val="004F12DE"/>
    <w:rsid w:val="004F25F5"/>
    <w:rsid w:val="004F7993"/>
    <w:rsid w:val="00500329"/>
    <w:rsid w:val="00500ED4"/>
    <w:rsid w:val="005043D7"/>
    <w:rsid w:val="005128F0"/>
    <w:rsid w:val="00516DF6"/>
    <w:rsid w:val="00521521"/>
    <w:rsid w:val="00534C26"/>
    <w:rsid w:val="00542906"/>
    <w:rsid w:val="00571D66"/>
    <w:rsid w:val="00575086"/>
    <w:rsid w:val="00580C33"/>
    <w:rsid w:val="00580D7E"/>
    <w:rsid w:val="00582626"/>
    <w:rsid w:val="00582F7F"/>
    <w:rsid w:val="00584A33"/>
    <w:rsid w:val="00584D06"/>
    <w:rsid w:val="005867C3"/>
    <w:rsid w:val="00592E59"/>
    <w:rsid w:val="00595985"/>
    <w:rsid w:val="005A2A7B"/>
    <w:rsid w:val="005A7A0C"/>
    <w:rsid w:val="005B4329"/>
    <w:rsid w:val="005B6837"/>
    <w:rsid w:val="005C214D"/>
    <w:rsid w:val="005C73AB"/>
    <w:rsid w:val="005E1481"/>
    <w:rsid w:val="005E5E87"/>
    <w:rsid w:val="005E5F58"/>
    <w:rsid w:val="005F0CA2"/>
    <w:rsid w:val="005F5F04"/>
    <w:rsid w:val="006019B8"/>
    <w:rsid w:val="00602CD7"/>
    <w:rsid w:val="0060553C"/>
    <w:rsid w:val="006119A3"/>
    <w:rsid w:val="006218D3"/>
    <w:rsid w:val="00627706"/>
    <w:rsid w:val="00631DA7"/>
    <w:rsid w:val="006337B0"/>
    <w:rsid w:val="0064691B"/>
    <w:rsid w:val="00646D6C"/>
    <w:rsid w:val="006471FD"/>
    <w:rsid w:val="00651B18"/>
    <w:rsid w:val="00651DA7"/>
    <w:rsid w:val="006633EF"/>
    <w:rsid w:val="00665BF8"/>
    <w:rsid w:val="00677477"/>
    <w:rsid w:val="0068255A"/>
    <w:rsid w:val="00685580"/>
    <w:rsid w:val="00690034"/>
    <w:rsid w:val="006903E2"/>
    <w:rsid w:val="006A1E3C"/>
    <w:rsid w:val="006A76CC"/>
    <w:rsid w:val="006B4309"/>
    <w:rsid w:val="006B43C7"/>
    <w:rsid w:val="006B559B"/>
    <w:rsid w:val="006C02F8"/>
    <w:rsid w:val="006D021D"/>
    <w:rsid w:val="006D5A12"/>
    <w:rsid w:val="006E1B0E"/>
    <w:rsid w:val="006E32AF"/>
    <w:rsid w:val="006F4515"/>
    <w:rsid w:val="006F63C6"/>
    <w:rsid w:val="006F7A9C"/>
    <w:rsid w:val="00702D99"/>
    <w:rsid w:val="00703B3A"/>
    <w:rsid w:val="0070624D"/>
    <w:rsid w:val="007163F2"/>
    <w:rsid w:val="00720045"/>
    <w:rsid w:val="00720DB7"/>
    <w:rsid w:val="0072268C"/>
    <w:rsid w:val="0073590A"/>
    <w:rsid w:val="007411E0"/>
    <w:rsid w:val="00742279"/>
    <w:rsid w:val="00747E95"/>
    <w:rsid w:val="00752F8D"/>
    <w:rsid w:val="00763CA9"/>
    <w:rsid w:val="00773413"/>
    <w:rsid w:val="007755E7"/>
    <w:rsid w:val="007832DE"/>
    <w:rsid w:val="00785442"/>
    <w:rsid w:val="00797877"/>
    <w:rsid w:val="007A0B6E"/>
    <w:rsid w:val="007A5662"/>
    <w:rsid w:val="007D5AD6"/>
    <w:rsid w:val="007E20B2"/>
    <w:rsid w:val="007F0B86"/>
    <w:rsid w:val="007F3901"/>
    <w:rsid w:val="00805FFA"/>
    <w:rsid w:val="00811889"/>
    <w:rsid w:val="00811E8D"/>
    <w:rsid w:val="00824558"/>
    <w:rsid w:val="00827CD2"/>
    <w:rsid w:val="00830973"/>
    <w:rsid w:val="00834BBB"/>
    <w:rsid w:val="00835F0C"/>
    <w:rsid w:val="0084159E"/>
    <w:rsid w:val="00844898"/>
    <w:rsid w:val="00846CDA"/>
    <w:rsid w:val="00851561"/>
    <w:rsid w:val="00852E0D"/>
    <w:rsid w:val="00855B46"/>
    <w:rsid w:val="008560D0"/>
    <w:rsid w:val="008576DA"/>
    <w:rsid w:val="008777EF"/>
    <w:rsid w:val="008778EF"/>
    <w:rsid w:val="0089453F"/>
    <w:rsid w:val="008A02A0"/>
    <w:rsid w:val="008A1774"/>
    <w:rsid w:val="008A2D39"/>
    <w:rsid w:val="008A651C"/>
    <w:rsid w:val="008A7768"/>
    <w:rsid w:val="008B132B"/>
    <w:rsid w:val="008B477B"/>
    <w:rsid w:val="008B78C1"/>
    <w:rsid w:val="008C469D"/>
    <w:rsid w:val="008C5C0B"/>
    <w:rsid w:val="008D22C6"/>
    <w:rsid w:val="008F3086"/>
    <w:rsid w:val="008F36B5"/>
    <w:rsid w:val="0090213D"/>
    <w:rsid w:val="00904FC9"/>
    <w:rsid w:val="009063FE"/>
    <w:rsid w:val="00921117"/>
    <w:rsid w:val="00922061"/>
    <w:rsid w:val="00923261"/>
    <w:rsid w:val="009234E0"/>
    <w:rsid w:val="00931DBA"/>
    <w:rsid w:val="00934039"/>
    <w:rsid w:val="009528B0"/>
    <w:rsid w:val="009620A4"/>
    <w:rsid w:val="00964132"/>
    <w:rsid w:val="009714FB"/>
    <w:rsid w:val="00973234"/>
    <w:rsid w:val="00993371"/>
    <w:rsid w:val="009A1941"/>
    <w:rsid w:val="009C260C"/>
    <w:rsid w:val="009C4B8D"/>
    <w:rsid w:val="009D31A8"/>
    <w:rsid w:val="009D4ADA"/>
    <w:rsid w:val="009E1AE0"/>
    <w:rsid w:val="009E41FF"/>
    <w:rsid w:val="009E56EC"/>
    <w:rsid w:val="009F4459"/>
    <w:rsid w:val="009F52BA"/>
    <w:rsid w:val="00A00510"/>
    <w:rsid w:val="00A062D3"/>
    <w:rsid w:val="00A170D5"/>
    <w:rsid w:val="00A21E41"/>
    <w:rsid w:val="00A261DA"/>
    <w:rsid w:val="00A26534"/>
    <w:rsid w:val="00A34276"/>
    <w:rsid w:val="00A52620"/>
    <w:rsid w:val="00A5292C"/>
    <w:rsid w:val="00A53A73"/>
    <w:rsid w:val="00A63B7C"/>
    <w:rsid w:val="00A650F3"/>
    <w:rsid w:val="00A72070"/>
    <w:rsid w:val="00A80E74"/>
    <w:rsid w:val="00A84A4D"/>
    <w:rsid w:val="00A96D4E"/>
    <w:rsid w:val="00AA0391"/>
    <w:rsid w:val="00AA7EA9"/>
    <w:rsid w:val="00AB6C69"/>
    <w:rsid w:val="00AC0244"/>
    <w:rsid w:val="00AC2AB8"/>
    <w:rsid w:val="00AC5E6D"/>
    <w:rsid w:val="00AD7F00"/>
    <w:rsid w:val="00AE0771"/>
    <w:rsid w:val="00AF5FEC"/>
    <w:rsid w:val="00AF6003"/>
    <w:rsid w:val="00B11514"/>
    <w:rsid w:val="00B11715"/>
    <w:rsid w:val="00B13545"/>
    <w:rsid w:val="00B22166"/>
    <w:rsid w:val="00B23F8D"/>
    <w:rsid w:val="00B25432"/>
    <w:rsid w:val="00B26103"/>
    <w:rsid w:val="00B33BE6"/>
    <w:rsid w:val="00B35364"/>
    <w:rsid w:val="00B360D0"/>
    <w:rsid w:val="00B36BFC"/>
    <w:rsid w:val="00B40A59"/>
    <w:rsid w:val="00B4188A"/>
    <w:rsid w:val="00B43E53"/>
    <w:rsid w:val="00B5173F"/>
    <w:rsid w:val="00B5238C"/>
    <w:rsid w:val="00B542E0"/>
    <w:rsid w:val="00B548D2"/>
    <w:rsid w:val="00B558FB"/>
    <w:rsid w:val="00B63E6A"/>
    <w:rsid w:val="00B6719F"/>
    <w:rsid w:val="00B72AD9"/>
    <w:rsid w:val="00B733D6"/>
    <w:rsid w:val="00BA3354"/>
    <w:rsid w:val="00BB5D53"/>
    <w:rsid w:val="00BC5E7F"/>
    <w:rsid w:val="00BD09D2"/>
    <w:rsid w:val="00BD24BD"/>
    <w:rsid w:val="00BF3AB6"/>
    <w:rsid w:val="00BF7375"/>
    <w:rsid w:val="00C05F21"/>
    <w:rsid w:val="00C06362"/>
    <w:rsid w:val="00C068B0"/>
    <w:rsid w:val="00C107E5"/>
    <w:rsid w:val="00C43B72"/>
    <w:rsid w:val="00C522E4"/>
    <w:rsid w:val="00C52DEF"/>
    <w:rsid w:val="00C54202"/>
    <w:rsid w:val="00C561AF"/>
    <w:rsid w:val="00C57DAC"/>
    <w:rsid w:val="00C75C48"/>
    <w:rsid w:val="00C76EEB"/>
    <w:rsid w:val="00C80221"/>
    <w:rsid w:val="00C82EB2"/>
    <w:rsid w:val="00C834F9"/>
    <w:rsid w:val="00C87DE3"/>
    <w:rsid w:val="00C90EFC"/>
    <w:rsid w:val="00C947CC"/>
    <w:rsid w:val="00CA1C92"/>
    <w:rsid w:val="00CA7908"/>
    <w:rsid w:val="00CB3A93"/>
    <w:rsid w:val="00CB5E00"/>
    <w:rsid w:val="00CB70BF"/>
    <w:rsid w:val="00CC08F5"/>
    <w:rsid w:val="00CC25C6"/>
    <w:rsid w:val="00CC75D3"/>
    <w:rsid w:val="00CC7F6B"/>
    <w:rsid w:val="00CD51F2"/>
    <w:rsid w:val="00CE0783"/>
    <w:rsid w:val="00CF0758"/>
    <w:rsid w:val="00CF38EA"/>
    <w:rsid w:val="00CF7D09"/>
    <w:rsid w:val="00D0115C"/>
    <w:rsid w:val="00D031DE"/>
    <w:rsid w:val="00D03DAC"/>
    <w:rsid w:val="00D07B1C"/>
    <w:rsid w:val="00D105FC"/>
    <w:rsid w:val="00D206BB"/>
    <w:rsid w:val="00D35BBA"/>
    <w:rsid w:val="00D45A45"/>
    <w:rsid w:val="00D4607A"/>
    <w:rsid w:val="00D70C3C"/>
    <w:rsid w:val="00D715BC"/>
    <w:rsid w:val="00D76273"/>
    <w:rsid w:val="00D8054E"/>
    <w:rsid w:val="00D8618F"/>
    <w:rsid w:val="00D90073"/>
    <w:rsid w:val="00D97B87"/>
    <w:rsid w:val="00DA4787"/>
    <w:rsid w:val="00DC05EB"/>
    <w:rsid w:val="00DC60BC"/>
    <w:rsid w:val="00DD30D9"/>
    <w:rsid w:val="00DE6AD2"/>
    <w:rsid w:val="00DE6E65"/>
    <w:rsid w:val="00DE79AE"/>
    <w:rsid w:val="00DF1FB6"/>
    <w:rsid w:val="00DF5CC5"/>
    <w:rsid w:val="00E22258"/>
    <w:rsid w:val="00E2553D"/>
    <w:rsid w:val="00E26C28"/>
    <w:rsid w:val="00E2733B"/>
    <w:rsid w:val="00E309DA"/>
    <w:rsid w:val="00E349A9"/>
    <w:rsid w:val="00E63305"/>
    <w:rsid w:val="00E6762D"/>
    <w:rsid w:val="00E7013B"/>
    <w:rsid w:val="00E71064"/>
    <w:rsid w:val="00E71BF6"/>
    <w:rsid w:val="00E75E71"/>
    <w:rsid w:val="00E7720B"/>
    <w:rsid w:val="00E800AE"/>
    <w:rsid w:val="00E84F94"/>
    <w:rsid w:val="00E85F04"/>
    <w:rsid w:val="00E9183F"/>
    <w:rsid w:val="00E93443"/>
    <w:rsid w:val="00E971D2"/>
    <w:rsid w:val="00EA03BE"/>
    <w:rsid w:val="00EB4960"/>
    <w:rsid w:val="00EC376F"/>
    <w:rsid w:val="00ED19C8"/>
    <w:rsid w:val="00ED5BF8"/>
    <w:rsid w:val="00ED6FC1"/>
    <w:rsid w:val="00EE24A6"/>
    <w:rsid w:val="00EE3B66"/>
    <w:rsid w:val="00EF241A"/>
    <w:rsid w:val="00EF594D"/>
    <w:rsid w:val="00F051D8"/>
    <w:rsid w:val="00F05D50"/>
    <w:rsid w:val="00F164AF"/>
    <w:rsid w:val="00F26F42"/>
    <w:rsid w:val="00F40D95"/>
    <w:rsid w:val="00F434E6"/>
    <w:rsid w:val="00F43EEC"/>
    <w:rsid w:val="00F500A4"/>
    <w:rsid w:val="00F7308A"/>
    <w:rsid w:val="00F738C9"/>
    <w:rsid w:val="00F87823"/>
    <w:rsid w:val="00F901BC"/>
    <w:rsid w:val="00FA07A4"/>
    <w:rsid w:val="00FD21C9"/>
    <w:rsid w:val="00FD612D"/>
    <w:rsid w:val="00FE0924"/>
    <w:rsid w:val="00FE7394"/>
    <w:rsid w:val="00FF0F7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747164"/>
  <w15:chartTrackingRefBased/>
  <w15:docId w15:val="{24AB7AC3-9C98-4EBA-8D0C-0D84EDF54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086"/>
  </w:style>
  <w:style w:type="paragraph" w:styleId="Heading1">
    <w:name w:val="heading 1"/>
    <w:next w:val="Normal"/>
    <w:link w:val="Heading1Char"/>
    <w:qFormat/>
    <w:rsid w:val="00702D99"/>
    <w:pPr>
      <w:keepNext/>
      <w:spacing w:before="240" w:after="60" w:line="240" w:lineRule="auto"/>
      <w:outlineLvl w:val="0"/>
    </w:pPr>
    <w:rPr>
      <w:rFonts w:ascii="Arial" w:eastAsia="Times New Roman" w:hAnsi="Arial" w:cs="Arial"/>
      <w:bCs/>
      <w:color w:val="3F4A75"/>
      <w:kern w:val="28"/>
      <w:sz w:val="44"/>
      <w:szCs w:val="36"/>
      <w14:ligatures w14:val="none"/>
    </w:rPr>
  </w:style>
  <w:style w:type="paragraph" w:styleId="Heading2">
    <w:name w:val="heading 2"/>
    <w:next w:val="Normal"/>
    <w:link w:val="Heading2Char"/>
    <w:qFormat/>
    <w:rsid w:val="00702D99"/>
    <w:pPr>
      <w:keepNext/>
      <w:spacing w:before="240" w:after="60" w:line="240" w:lineRule="auto"/>
      <w:outlineLvl w:val="1"/>
    </w:pPr>
    <w:rPr>
      <w:rFonts w:ascii="Arial" w:eastAsia="Times New Roman" w:hAnsi="Arial" w:cs="Arial"/>
      <w:b/>
      <w:bCs/>
      <w:iCs/>
      <w:color w:val="358189"/>
      <w:kern w:val="0"/>
      <w:sz w:val="36"/>
      <w:szCs w:val="28"/>
      <w14:ligatures w14:val="none"/>
    </w:rPr>
  </w:style>
  <w:style w:type="paragraph" w:styleId="Heading3">
    <w:name w:val="heading 3"/>
    <w:next w:val="Normal"/>
    <w:link w:val="Heading3Char"/>
    <w:qFormat/>
    <w:rsid w:val="00AC2AB8"/>
    <w:pPr>
      <w:keepNext/>
      <w:spacing w:before="180" w:after="60" w:line="240" w:lineRule="auto"/>
      <w:outlineLvl w:val="2"/>
    </w:pPr>
    <w:rPr>
      <w:rFonts w:ascii="Arial" w:eastAsia="Times New Roman" w:hAnsi="Arial" w:cs="Arial"/>
      <w:b/>
      <w:bCs/>
      <w:color w:val="358189"/>
      <w:kern w:val="0"/>
      <w:sz w:val="32"/>
      <w:szCs w:val="26"/>
      <w14:ligatures w14:val="none"/>
    </w:rPr>
  </w:style>
  <w:style w:type="paragraph" w:styleId="Heading4">
    <w:name w:val="heading 4"/>
    <w:next w:val="Normal"/>
    <w:link w:val="Heading4Char"/>
    <w:qFormat/>
    <w:rsid w:val="00702D99"/>
    <w:pPr>
      <w:keepNext/>
      <w:spacing w:before="240" w:after="60" w:line="240" w:lineRule="auto"/>
      <w:outlineLvl w:val="3"/>
    </w:pPr>
    <w:rPr>
      <w:rFonts w:ascii="Arial" w:eastAsia="Times New Roman" w:hAnsi="Arial" w:cs="Times New Roman"/>
      <w:bCs/>
      <w:color w:val="44546A" w:themeColor="text2"/>
      <w:kern w:val="0"/>
      <w:sz w:val="21"/>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List Paragraph1 Char,Recommendation Char,Bullet point Char,List Paragraph11 Char,L Char,CV text Char,Table text Char,F5 List Paragraph Char,Dot pt Char,Colorful List - Accent 11 Char,No Spacing1 Char,Indicator Text Char,Bullet 1 Char"/>
    <w:link w:val="ListParagraph"/>
    <w:uiPriority w:val="34"/>
    <w:qFormat/>
    <w:locked/>
    <w:rsid w:val="002D18F4"/>
    <w:rPr>
      <w:rFonts w:ascii="Times New Roman" w:eastAsia="Times New Roman" w:hAnsi="Times New Roman"/>
      <w:sz w:val="24"/>
      <w:szCs w:val="24"/>
    </w:rPr>
  </w:style>
  <w:style w:type="paragraph" w:styleId="ListParagraph">
    <w:name w:val="List Paragraph"/>
    <w:aliases w:val="List Paragraph1,Recommendation,Bullet point,List Paragraph11,L,CV text,Table text,F5 List Paragraph,Dot pt,Colorful List - Accent 11,No Spacing1,List Paragraph Char Char Char,Indicator Text,Numbered Para 1,Bullet 1,Bullet Points,1 heading"/>
    <w:basedOn w:val="Normal"/>
    <w:link w:val="ListParagraphChar"/>
    <w:uiPriority w:val="34"/>
    <w:qFormat/>
    <w:rsid w:val="002D18F4"/>
    <w:pPr>
      <w:spacing w:after="0" w:line="240" w:lineRule="auto"/>
      <w:ind w:left="720"/>
      <w:contextualSpacing/>
    </w:pPr>
    <w:rPr>
      <w:rFonts w:ascii="Times New Roman" w:eastAsia="Times New Roman" w:hAnsi="Times New Roman"/>
      <w:sz w:val="24"/>
      <w:szCs w:val="24"/>
    </w:rPr>
  </w:style>
  <w:style w:type="character" w:customStyle="1" w:styleId="Heading1Char">
    <w:name w:val="Heading 1 Char"/>
    <w:basedOn w:val="DefaultParagraphFont"/>
    <w:link w:val="Heading1"/>
    <w:rsid w:val="00702D99"/>
    <w:rPr>
      <w:rFonts w:ascii="Arial" w:eastAsia="Times New Roman" w:hAnsi="Arial" w:cs="Arial"/>
      <w:bCs/>
      <w:color w:val="3F4A75"/>
      <w:kern w:val="28"/>
      <w:sz w:val="44"/>
      <w:szCs w:val="36"/>
      <w14:ligatures w14:val="none"/>
    </w:rPr>
  </w:style>
  <w:style w:type="character" w:customStyle="1" w:styleId="Heading2Char">
    <w:name w:val="Heading 2 Char"/>
    <w:basedOn w:val="DefaultParagraphFont"/>
    <w:link w:val="Heading2"/>
    <w:rsid w:val="00702D99"/>
    <w:rPr>
      <w:rFonts w:ascii="Arial" w:eastAsia="Times New Roman" w:hAnsi="Arial" w:cs="Arial"/>
      <w:b/>
      <w:bCs/>
      <w:iCs/>
      <w:color w:val="358189"/>
      <w:kern w:val="0"/>
      <w:sz w:val="36"/>
      <w:szCs w:val="28"/>
      <w14:ligatures w14:val="none"/>
    </w:rPr>
  </w:style>
  <w:style w:type="character" w:customStyle="1" w:styleId="Heading3Char">
    <w:name w:val="Heading 3 Char"/>
    <w:basedOn w:val="DefaultParagraphFont"/>
    <w:link w:val="Heading3"/>
    <w:rsid w:val="00AC2AB8"/>
    <w:rPr>
      <w:rFonts w:ascii="Arial" w:eastAsia="Times New Roman" w:hAnsi="Arial" w:cs="Arial"/>
      <w:b/>
      <w:bCs/>
      <w:color w:val="358189"/>
      <w:kern w:val="0"/>
      <w:sz w:val="32"/>
      <w:szCs w:val="26"/>
      <w14:ligatures w14:val="none"/>
    </w:rPr>
  </w:style>
  <w:style w:type="character" w:customStyle="1" w:styleId="Heading4Char">
    <w:name w:val="Heading 4 Char"/>
    <w:basedOn w:val="DefaultParagraphFont"/>
    <w:link w:val="Heading4"/>
    <w:rsid w:val="00702D99"/>
    <w:rPr>
      <w:rFonts w:ascii="Arial" w:eastAsia="Times New Roman" w:hAnsi="Arial" w:cs="Times New Roman"/>
      <w:bCs/>
      <w:color w:val="44546A" w:themeColor="text2"/>
      <w:kern w:val="0"/>
      <w:sz w:val="21"/>
      <w:szCs w:val="28"/>
      <w14:ligatures w14:val="none"/>
    </w:rPr>
  </w:style>
  <w:style w:type="paragraph" w:styleId="Subtitle">
    <w:name w:val="Subtitle"/>
    <w:next w:val="Normal"/>
    <w:link w:val="SubtitleChar"/>
    <w:qFormat/>
    <w:rsid w:val="00AC2AB8"/>
    <w:pPr>
      <w:numPr>
        <w:ilvl w:val="1"/>
      </w:numPr>
      <w:spacing w:before="120" w:after="60" w:line="240" w:lineRule="auto"/>
    </w:pPr>
    <w:rPr>
      <w:rFonts w:ascii="Arial" w:eastAsiaTheme="majorEastAsia" w:hAnsi="Arial" w:cstheme="majorBidi"/>
      <w:iCs/>
      <w:color w:val="3F4A75"/>
      <w:spacing w:val="15"/>
      <w:kern w:val="0"/>
      <w:sz w:val="40"/>
      <w:szCs w:val="24"/>
      <w14:ligatures w14:val="none"/>
    </w:rPr>
  </w:style>
  <w:style w:type="character" w:customStyle="1" w:styleId="SubtitleChar">
    <w:name w:val="Subtitle Char"/>
    <w:basedOn w:val="DefaultParagraphFont"/>
    <w:link w:val="Subtitle"/>
    <w:rsid w:val="00AC2AB8"/>
    <w:rPr>
      <w:rFonts w:ascii="Arial" w:eastAsiaTheme="majorEastAsia" w:hAnsi="Arial" w:cstheme="majorBidi"/>
      <w:iCs/>
      <w:color w:val="3F4A75"/>
      <w:spacing w:val="15"/>
      <w:kern w:val="0"/>
      <w:sz w:val="40"/>
      <w:szCs w:val="24"/>
      <w14:ligatures w14:val="none"/>
    </w:rPr>
  </w:style>
  <w:style w:type="paragraph" w:styleId="Title">
    <w:name w:val="Title"/>
    <w:next w:val="Normal"/>
    <w:link w:val="TitleChar"/>
    <w:qFormat/>
    <w:rsid w:val="001200C5"/>
    <w:pPr>
      <w:spacing w:before="840" w:after="120" w:line="240" w:lineRule="auto"/>
      <w:contextualSpacing/>
    </w:pPr>
    <w:rPr>
      <w:rFonts w:ascii="Arial" w:eastAsiaTheme="majorEastAsia" w:hAnsi="Arial" w:cstheme="majorBidi"/>
      <w:b/>
      <w:color w:val="3F4A75"/>
      <w:kern w:val="28"/>
      <w:sz w:val="48"/>
      <w:szCs w:val="52"/>
      <w14:ligatures w14:val="none"/>
    </w:rPr>
  </w:style>
  <w:style w:type="character" w:customStyle="1" w:styleId="TitleChar">
    <w:name w:val="Title Char"/>
    <w:basedOn w:val="DefaultParagraphFont"/>
    <w:link w:val="Title"/>
    <w:rsid w:val="001200C5"/>
    <w:rPr>
      <w:rFonts w:ascii="Arial" w:eastAsiaTheme="majorEastAsia" w:hAnsi="Arial" w:cstheme="majorBidi"/>
      <w:b/>
      <w:color w:val="3F4A75"/>
      <w:kern w:val="28"/>
      <w:sz w:val="48"/>
      <w:szCs w:val="52"/>
      <w14:ligatures w14:val="none"/>
    </w:rPr>
  </w:style>
  <w:style w:type="paragraph" w:styleId="ListNumber2">
    <w:name w:val="List Number 2"/>
    <w:basedOn w:val="ListBullet"/>
    <w:qFormat/>
    <w:rsid w:val="00AC2AB8"/>
    <w:pPr>
      <w:numPr>
        <w:numId w:val="4"/>
      </w:numPr>
    </w:pPr>
  </w:style>
  <w:style w:type="paragraph" w:styleId="ListBullet">
    <w:name w:val="List Bullet"/>
    <w:basedOn w:val="Normal"/>
    <w:qFormat/>
    <w:rsid w:val="00AC2AB8"/>
    <w:pPr>
      <w:numPr>
        <w:numId w:val="3"/>
      </w:numPr>
      <w:tabs>
        <w:tab w:val="left" w:pos="340"/>
        <w:tab w:val="left" w:pos="680"/>
      </w:tabs>
      <w:spacing w:before="60" w:after="60" w:line="276" w:lineRule="auto"/>
    </w:pPr>
    <w:rPr>
      <w:rFonts w:ascii="Arial" w:eastAsia="Times New Roman" w:hAnsi="Arial" w:cs="Times New Roman"/>
      <w:color w:val="000000" w:themeColor="text1"/>
      <w:kern w:val="0"/>
      <w:szCs w:val="24"/>
      <w14:ligatures w14:val="none"/>
    </w:rPr>
  </w:style>
  <w:style w:type="paragraph" w:customStyle="1" w:styleId="Tabletextleft">
    <w:name w:val="Table text left"/>
    <w:autoRedefine/>
    <w:qFormat/>
    <w:locked/>
    <w:rsid w:val="00AC2AB8"/>
    <w:pPr>
      <w:spacing w:before="60" w:after="60" w:line="240" w:lineRule="auto"/>
    </w:pPr>
    <w:rPr>
      <w:rFonts w:ascii="Arial" w:eastAsia="Times New Roman" w:hAnsi="Arial" w:cs="Times New Roman"/>
      <w:color w:val="000000" w:themeColor="text1"/>
      <w:kern w:val="0"/>
      <w:sz w:val="21"/>
      <w:szCs w:val="24"/>
      <w14:ligatures w14:val="none"/>
    </w:rPr>
  </w:style>
  <w:style w:type="paragraph" w:customStyle="1" w:styleId="TableTitle">
    <w:name w:val="Table Title"/>
    <w:link w:val="TableTitleChar"/>
    <w:qFormat/>
    <w:locked/>
    <w:rsid w:val="00AC2AB8"/>
    <w:pPr>
      <w:spacing w:before="120" w:after="120" w:line="240" w:lineRule="auto"/>
    </w:pPr>
    <w:rPr>
      <w:rFonts w:ascii="Arial" w:eastAsia="Times New Roman" w:hAnsi="Arial" w:cs="Times New Roman"/>
      <w:b/>
      <w:color w:val="000000" w:themeColor="text1"/>
      <w:kern w:val="0"/>
      <w:szCs w:val="24"/>
      <w:lang w:val="en-US"/>
      <w14:ligatures w14:val="none"/>
    </w:rPr>
  </w:style>
  <w:style w:type="paragraph" w:styleId="Header">
    <w:name w:val="header"/>
    <w:link w:val="HeaderChar"/>
    <w:qFormat/>
    <w:rsid w:val="00AC2AB8"/>
    <w:pPr>
      <w:tabs>
        <w:tab w:val="center" w:pos="4513"/>
        <w:tab w:val="right" w:pos="9026"/>
      </w:tabs>
      <w:spacing w:after="0" w:line="240" w:lineRule="auto"/>
    </w:pPr>
    <w:rPr>
      <w:rFonts w:ascii="Arial" w:eastAsia="Times New Roman" w:hAnsi="Arial" w:cs="Times New Roman"/>
      <w:kern w:val="0"/>
      <w:szCs w:val="24"/>
      <w14:ligatures w14:val="none"/>
    </w:rPr>
  </w:style>
  <w:style w:type="character" w:customStyle="1" w:styleId="HeaderChar">
    <w:name w:val="Header Char"/>
    <w:basedOn w:val="DefaultParagraphFont"/>
    <w:link w:val="Header"/>
    <w:rsid w:val="00AC2AB8"/>
    <w:rPr>
      <w:rFonts w:ascii="Arial" w:eastAsia="Times New Roman" w:hAnsi="Arial" w:cs="Times New Roman"/>
      <w:kern w:val="0"/>
      <w:szCs w:val="24"/>
      <w14:ligatures w14:val="none"/>
    </w:rPr>
  </w:style>
  <w:style w:type="paragraph" w:customStyle="1" w:styleId="TableHeaderWhite">
    <w:name w:val="Table Header White"/>
    <w:basedOn w:val="Normal"/>
    <w:next w:val="Tabletextleft"/>
    <w:qFormat/>
    <w:rsid w:val="00AC2AB8"/>
    <w:pPr>
      <w:spacing w:before="80" w:after="80" w:line="276" w:lineRule="auto"/>
    </w:pPr>
    <w:rPr>
      <w:rFonts w:ascii="Arial" w:eastAsia="Cambria" w:hAnsi="Arial" w:cs="Times New Roman"/>
      <w:b/>
      <w:color w:val="FFFFFF" w:themeColor="background1"/>
      <w:kern w:val="0"/>
      <w:lang w:val="en-US"/>
      <w14:ligatures w14:val="none"/>
    </w:rPr>
  </w:style>
  <w:style w:type="paragraph" w:customStyle="1" w:styleId="TableHeader">
    <w:name w:val="Table Header"/>
    <w:basedOn w:val="Normal"/>
    <w:next w:val="Tabletextleft"/>
    <w:qFormat/>
    <w:rsid w:val="00AC2AB8"/>
    <w:pPr>
      <w:spacing w:before="80" w:after="80" w:line="276" w:lineRule="auto"/>
    </w:pPr>
    <w:rPr>
      <w:rFonts w:ascii="Arial" w:eastAsia="Cambria" w:hAnsi="Arial" w:cs="Times New Roman"/>
      <w:b/>
      <w:color w:val="FFFFFF" w:themeColor="background1"/>
      <w:kern w:val="0"/>
      <w:lang w:val="en-US"/>
      <w14:ligatures w14:val="none"/>
    </w:rPr>
  </w:style>
  <w:style w:type="paragraph" w:customStyle="1" w:styleId="VisionBox">
    <w:name w:val="VisionBox"/>
    <w:basedOn w:val="Normal"/>
    <w:qFormat/>
    <w:rsid w:val="001200C5"/>
    <w:pPr>
      <w:pBdr>
        <w:top w:val="single" w:sz="4" w:space="15" w:color="358189"/>
        <w:bottom w:val="single" w:sz="4" w:space="10" w:color="358189"/>
      </w:pBdr>
      <w:spacing w:before="120" w:after="120" w:line="260" w:lineRule="exact"/>
    </w:pPr>
    <w:rPr>
      <w:rFonts w:ascii="Calibri" w:hAnsi="Calibri" w:cs="Times New Roman"/>
      <w:b/>
      <w:kern w:val="0"/>
      <w:szCs w:val="24"/>
      <w14:ligatures w14:val="none"/>
    </w:rPr>
  </w:style>
  <w:style w:type="character" w:styleId="Emphasis">
    <w:name w:val="Emphasis"/>
    <w:basedOn w:val="DefaultParagraphFont"/>
    <w:uiPriority w:val="20"/>
    <w:qFormat/>
    <w:rsid w:val="001200C5"/>
    <w:rPr>
      <w:i/>
      <w:iCs/>
    </w:rPr>
  </w:style>
  <w:style w:type="paragraph" w:customStyle="1" w:styleId="PolicyStatement">
    <w:name w:val="PolicyStatement"/>
    <w:basedOn w:val="Normal"/>
    <w:qFormat/>
    <w:rsid w:val="00AC2AB8"/>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after="120" w:line="260" w:lineRule="auto"/>
      <w:ind w:left="227" w:right="227"/>
    </w:pPr>
    <w:rPr>
      <w:rFonts w:ascii="Arial" w:eastAsia="Times New Roman" w:hAnsi="Arial" w:cs="Times New Roman"/>
      <w:color w:val="000000" w:themeColor="text1"/>
      <w:kern w:val="0"/>
      <w:szCs w:val="24"/>
      <w14:ligatures w14:val="none"/>
    </w:rPr>
  </w:style>
  <w:style w:type="table" w:customStyle="1" w:styleId="DepartmentofHealthtable">
    <w:name w:val="Department of Health table"/>
    <w:basedOn w:val="TableNormal"/>
    <w:uiPriority w:val="99"/>
    <w:rsid w:val="00AC2AB8"/>
    <w:pPr>
      <w:spacing w:after="0" w:line="240" w:lineRule="auto"/>
    </w:pPr>
    <w:rPr>
      <w:rFonts w:ascii="Arial" w:eastAsia="Times New Roman" w:hAnsi="Arial" w:cs="Times New Roman"/>
      <w:color w:val="000000" w:themeColor="text1"/>
      <w:kern w:val="0"/>
      <w:sz w:val="21"/>
      <w:szCs w:val="20"/>
      <w:lang w:eastAsia="en-AU"/>
      <w14:ligatures w14:val="none"/>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AC2AB8"/>
    <w:rPr>
      <w:rFonts w:ascii="Arial" w:eastAsia="Times New Roman" w:hAnsi="Arial" w:cs="Times New Roman"/>
      <w:b/>
      <w:color w:val="000000" w:themeColor="text1"/>
      <w:kern w:val="0"/>
      <w:szCs w:val="24"/>
      <w:lang w:val="en-US"/>
      <w14:ligatures w14:val="none"/>
    </w:rPr>
  </w:style>
  <w:style w:type="paragraph" w:customStyle="1" w:styleId="IntroPara">
    <w:name w:val="Intro Para"/>
    <w:basedOn w:val="Normal"/>
    <w:next w:val="Normal"/>
    <w:qFormat/>
    <w:rsid w:val="00AC2AB8"/>
    <w:pPr>
      <w:spacing w:before="480" w:after="120" w:line="400" w:lineRule="exact"/>
    </w:pPr>
    <w:rPr>
      <w:rFonts w:ascii="Arial" w:eastAsia="Times New Roman" w:hAnsi="Arial" w:cs="Times New Roman"/>
      <w:color w:val="358189"/>
      <w:kern w:val="0"/>
      <w:sz w:val="28"/>
      <w:szCs w:val="24"/>
      <w14:ligatures w14:val="none"/>
    </w:rPr>
  </w:style>
  <w:style w:type="paragraph" w:customStyle="1" w:styleId="Tabletextright">
    <w:name w:val="Table text right"/>
    <w:basedOn w:val="Tabletextleft"/>
    <w:rsid w:val="00AC2AB8"/>
    <w:pPr>
      <w:jc w:val="right"/>
    </w:pPr>
  </w:style>
  <w:style w:type="paragraph" w:customStyle="1" w:styleId="Tabletextcentre">
    <w:name w:val="Table text centre"/>
    <w:basedOn w:val="Tabletextleft"/>
    <w:rsid w:val="00AC2AB8"/>
    <w:pPr>
      <w:jc w:val="center"/>
    </w:pPr>
  </w:style>
  <w:style w:type="paragraph" w:customStyle="1" w:styleId="Boxheading">
    <w:name w:val="Box heading"/>
    <w:basedOn w:val="Boxtype"/>
    <w:qFormat/>
    <w:rsid w:val="00AC2AB8"/>
    <w:pPr>
      <w:spacing w:before="240"/>
    </w:pPr>
    <w:rPr>
      <w:rFonts w:cs="Times New Roman"/>
      <w:b w:val="0"/>
      <w:bCs/>
      <w:caps/>
      <w:color w:val="358189"/>
      <w:szCs w:val="20"/>
    </w:rPr>
  </w:style>
  <w:style w:type="paragraph" w:customStyle="1" w:styleId="Boxtype">
    <w:name w:val="Box type"/>
    <w:next w:val="Normal"/>
    <w:qFormat/>
    <w:rsid w:val="001200C5"/>
    <w:pPr>
      <w:pBdr>
        <w:top w:val="single" w:sz="24" w:space="20" w:color="auto"/>
        <w:left w:val="single" w:sz="24" w:space="10" w:color="auto"/>
        <w:bottom w:val="single" w:sz="24" w:space="10" w:color="auto"/>
        <w:right w:val="single" w:sz="24" w:space="10" w:color="auto"/>
      </w:pBdr>
      <w:spacing w:after="240" w:line="276" w:lineRule="auto"/>
      <w:ind w:left="227" w:right="227"/>
      <w:jc w:val="center"/>
    </w:pPr>
    <w:rPr>
      <w:rFonts w:ascii="Arial" w:eastAsia="Times New Roman" w:hAnsi="Arial" w:cs="Arial"/>
      <w:b/>
      <w:color w:val="000000" w:themeColor="text1"/>
      <w:kern w:val="0"/>
      <w:sz w:val="24"/>
      <w:szCs w:val="24"/>
      <w:lang w:val="en"/>
      <w14:ligatures w14:val="none"/>
    </w:rPr>
  </w:style>
  <w:style w:type="character" w:styleId="Hyperlink">
    <w:name w:val="Hyperlink"/>
    <w:basedOn w:val="DefaultParagraphFont"/>
    <w:uiPriority w:val="99"/>
    <w:qFormat/>
    <w:rsid w:val="001769D3"/>
    <w:rPr>
      <w:color w:val="0563C1" w:themeColor="hyperlink"/>
      <w:u w:val="single"/>
    </w:rPr>
  </w:style>
  <w:style w:type="character" w:styleId="FollowedHyperlink">
    <w:name w:val="FollowedHyperlink"/>
    <w:basedOn w:val="DefaultParagraphFont"/>
    <w:uiPriority w:val="99"/>
    <w:semiHidden/>
    <w:unhideWhenUsed/>
    <w:rsid w:val="001769D3"/>
    <w:rPr>
      <w:color w:val="954F72" w:themeColor="followedHyperlink"/>
      <w:u w:val="single"/>
    </w:rPr>
  </w:style>
  <w:style w:type="table" w:styleId="TableGrid">
    <w:name w:val="Table Grid"/>
    <w:basedOn w:val="TableNormal"/>
    <w:rsid w:val="00904FC9"/>
    <w:pPr>
      <w:spacing w:after="0" w:line="240" w:lineRule="auto"/>
    </w:pPr>
    <w:rPr>
      <w:rFonts w:ascii="Times New Roman" w:eastAsia="Times New Roman" w:hAnsi="Times New Roman"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semiHidden/>
    <w:unhideWhenUsed/>
    <w:rsid w:val="00B26103"/>
    <w:pPr>
      <w:numPr>
        <w:numId w:val="19"/>
      </w:numPr>
      <w:contextualSpacing/>
    </w:pPr>
  </w:style>
  <w:style w:type="character" w:styleId="CommentReference">
    <w:name w:val="annotation reference"/>
    <w:basedOn w:val="DefaultParagraphFont"/>
    <w:uiPriority w:val="99"/>
    <w:semiHidden/>
    <w:unhideWhenUsed/>
    <w:rsid w:val="008A1774"/>
    <w:rPr>
      <w:sz w:val="16"/>
      <w:szCs w:val="16"/>
    </w:rPr>
  </w:style>
  <w:style w:type="paragraph" w:styleId="CommentText">
    <w:name w:val="annotation text"/>
    <w:basedOn w:val="Normal"/>
    <w:link w:val="CommentTextChar"/>
    <w:uiPriority w:val="99"/>
    <w:unhideWhenUsed/>
    <w:rsid w:val="008A1774"/>
    <w:pPr>
      <w:spacing w:line="240" w:lineRule="auto"/>
    </w:pPr>
    <w:rPr>
      <w:sz w:val="20"/>
      <w:szCs w:val="20"/>
    </w:rPr>
  </w:style>
  <w:style w:type="character" w:customStyle="1" w:styleId="CommentTextChar">
    <w:name w:val="Comment Text Char"/>
    <w:basedOn w:val="DefaultParagraphFont"/>
    <w:link w:val="CommentText"/>
    <w:uiPriority w:val="99"/>
    <w:rsid w:val="008A1774"/>
    <w:rPr>
      <w:sz w:val="20"/>
      <w:szCs w:val="20"/>
    </w:rPr>
  </w:style>
  <w:style w:type="paragraph" w:styleId="CommentSubject">
    <w:name w:val="annotation subject"/>
    <w:basedOn w:val="CommentText"/>
    <w:next w:val="CommentText"/>
    <w:link w:val="CommentSubjectChar"/>
    <w:uiPriority w:val="99"/>
    <w:semiHidden/>
    <w:unhideWhenUsed/>
    <w:rsid w:val="008A1774"/>
    <w:rPr>
      <w:b/>
      <w:bCs/>
    </w:rPr>
  </w:style>
  <w:style w:type="character" w:customStyle="1" w:styleId="CommentSubjectChar">
    <w:name w:val="Comment Subject Char"/>
    <w:basedOn w:val="CommentTextChar"/>
    <w:link w:val="CommentSubject"/>
    <w:uiPriority w:val="99"/>
    <w:semiHidden/>
    <w:rsid w:val="008A1774"/>
    <w:rPr>
      <w:b/>
      <w:bCs/>
      <w:sz w:val="20"/>
      <w:szCs w:val="20"/>
    </w:rPr>
  </w:style>
  <w:style w:type="paragraph" w:styleId="TOCHeading">
    <w:name w:val="TOC Heading"/>
    <w:basedOn w:val="Heading1"/>
    <w:next w:val="Normal"/>
    <w:uiPriority w:val="39"/>
    <w:unhideWhenUsed/>
    <w:qFormat/>
    <w:rsid w:val="00D76273"/>
    <w:pPr>
      <w:keepLines/>
      <w:spacing w:after="0" w:line="259" w:lineRule="auto"/>
      <w:outlineLvl w:val="9"/>
    </w:pPr>
    <w:rPr>
      <w:rFonts w:asciiTheme="majorHAnsi" w:eastAsiaTheme="majorEastAsia" w:hAnsiTheme="majorHAnsi" w:cstheme="majorBidi"/>
      <w:b/>
      <w:bCs w:val="0"/>
      <w:color w:val="2F5496" w:themeColor="accent1" w:themeShade="BF"/>
      <w:kern w:val="0"/>
      <w:sz w:val="32"/>
      <w:szCs w:val="32"/>
      <w:lang w:val="en-US"/>
    </w:rPr>
  </w:style>
  <w:style w:type="paragraph" w:styleId="TOC1">
    <w:name w:val="toc 1"/>
    <w:basedOn w:val="Normal"/>
    <w:next w:val="Normal"/>
    <w:autoRedefine/>
    <w:uiPriority w:val="39"/>
    <w:unhideWhenUsed/>
    <w:rsid w:val="00B72AD9"/>
    <w:pPr>
      <w:tabs>
        <w:tab w:val="right" w:leader="dot" w:pos="9016"/>
      </w:tabs>
      <w:spacing w:after="100"/>
    </w:pPr>
  </w:style>
  <w:style w:type="paragraph" w:styleId="TOC2">
    <w:name w:val="toc 2"/>
    <w:basedOn w:val="Normal"/>
    <w:next w:val="Normal"/>
    <w:autoRedefine/>
    <w:uiPriority w:val="39"/>
    <w:unhideWhenUsed/>
    <w:rsid w:val="00EE3B66"/>
    <w:pPr>
      <w:tabs>
        <w:tab w:val="right" w:leader="dot" w:pos="9016"/>
      </w:tabs>
      <w:spacing w:after="100"/>
      <w:ind w:left="220"/>
    </w:pPr>
  </w:style>
  <w:style w:type="paragraph" w:styleId="TOC3">
    <w:name w:val="toc 3"/>
    <w:basedOn w:val="Normal"/>
    <w:next w:val="Normal"/>
    <w:autoRedefine/>
    <w:uiPriority w:val="39"/>
    <w:unhideWhenUsed/>
    <w:rsid w:val="001100FF"/>
    <w:pPr>
      <w:tabs>
        <w:tab w:val="right" w:leader="dot" w:pos="9016"/>
      </w:tabs>
      <w:spacing w:after="100"/>
      <w:ind w:left="440"/>
    </w:pPr>
  </w:style>
  <w:style w:type="paragraph" w:styleId="Revision">
    <w:name w:val="Revision"/>
    <w:hidden/>
    <w:uiPriority w:val="99"/>
    <w:semiHidden/>
    <w:rsid w:val="005B4329"/>
    <w:pPr>
      <w:spacing w:after="0" w:line="240" w:lineRule="auto"/>
    </w:pPr>
  </w:style>
  <w:style w:type="paragraph" w:styleId="FootnoteText">
    <w:name w:val="footnote text"/>
    <w:basedOn w:val="Normal"/>
    <w:link w:val="FootnoteTextChar"/>
    <w:uiPriority w:val="99"/>
    <w:semiHidden/>
    <w:unhideWhenUsed/>
    <w:rsid w:val="000074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74B5"/>
    <w:rPr>
      <w:sz w:val="20"/>
      <w:szCs w:val="20"/>
    </w:rPr>
  </w:style>
  <w:style w:type="character" w:styleId="FootnoteReference">
    <w:name w:val="footnote reference"/>
    <w:basedOn w:val="DefaultParagraphFont"/>
    <w:uiPriority w:val="99"/>
    <w:semiHidden/>
    <w:unhideWhenUsed/>
    <w:rsid w:val="000074B5"/>
    <w:rPr>
      <w:vertAlign w:val="superscript"/>
    </w:rPr>
  </w:style>
  <w:style w:type="character" w:styleId="UnresolvedMention">
    <w:name w:val="Unresolved Mention"/>
    <w:basedOn w:val="DefaultParagraphFont"/>
    <w:uiPriority w:val="99"/>
    <w:semiHidden/>
    <w:unhideWhenUsed/>
    <w:rsid w:val="000444C0"/>
    <w:rPr>
      <w:color w:val="605E5C"/>
      <w:shd w:val="clear" w:color="auto" w:fill="E1DFDD"/>
    </w:rPr>
  </w:style>
  <w:style w:type="paragraph" w:styleId="NormalWeb">
    <w:name w:val="Normal (Web)"/>
    <w:basedOn w:val="Normal"/>
    <w:uiPriority w:val="99"/>
    <w:semiHidden/>
    <w:unhideWhenUsed/>
    <w:rsid w:val="00C522E4"/>
    <w:rPr>
      <w:rFonts w:ascii="Times New Roman" w:hAnsi="Times New Roman" w:cs="Times New Roman"/>
      <w:sz w:val="24"/>
      <w:szCs w:val="24"/>
    </w:rPr>
  </w:style>
  <w:style w:type="numbering" w:customStyle="1" w:styleId="Bullets">
    <w:name w:val="Bullets"/>
    <w:uiPriority w:val="99"/>
    <w:rsid w:val="00172E22"/>
    <w:pPr>
      <w:numPr>
        <w:numId w:val="40"/>
      </w:numPr>
    </w:pPr>
  </w:style>
  <w:style w:type="paragraph" w:styleId="Footer">
    <w:name w:val="footer"/>
    <w:basedOn w:val="Normal"/>
    <w:link w:val="FooterChar"/>
    <w:uiPriority w:val="99"/>
    <w:unhideWhenUsed/>
    <w:rsid w:val="00805F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5FFA"/>
  </w:style>
  <w:style w:type="character" w:customStyle="1" w:styleId="cf01">
    <w:name w:val="cf01"/>
    <w:basedOn w:val="DefaultParagraphFont"/>
    <w:rsid w:val="008C5C0B"/>
    <w:rPr>
      <w:rFonts w:ascii="Segoe UI" w:hAnsi="Segoe UI" w:cs="Segoe UI" w:hint="default"/>
      <w:sz w:val="18"/>
      <w:szCs w:val="18"/>
    </w:rPr>
  </w:style>
  <w:style w:type="character" w:styleId="Strong">
    <w:name w:val="Strong"/>
    <w:basedOn w:val="DefaultParagraphFont"/>
    <w:uiPriority w:val="22"/>
    <w:qFormat/>
    <w:rsid w:val="00702D99"/>
    <w:rPr>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769780">
      <w:bodyDiv w:val="1"/>
      <w:marLeft w:val="0"/>
      <w:marRight w:val="0"/>
      <w:marTop w:val="0"/>
      <w:marBottom w:val="0"/>
      <w:divBdr>
        <w:top w:val="none" w:sz="0" w:space="0" w:color="auto"/>
        <w:left w:val="none" w:sz="0" w:space="0" w:color="auto"/>
        <w:bottom w:val="none" w:sz="0" w:space="0" w:color="auto"/>
        <w:right w:val="none" w:sz="0" w:space="0" w:color="auto"/>
      </w:divBdr>
    </w:div>
    <w:div w:id="987173111">
      <w:bodyDiv w:val="1"/>
      <w:marLeft w:val="0"/>
      <w:marRight w:val="0"/>
      <w:marTop w:val="0"/>
      <w:marBottom w:val="0"/>
      <w:divBdr>
        <w:top w:val="none" w:sz="0" w:space="0" w:color="auto"/>
        <w:left w:val="none" w:sz="0" w:space="0" w:color="auto"/>
        <w:bottom w:val="none" w:sz="0" w:space="0" w:color="auto"/>
        <w:right w:val="none" w:sz="0" w:space="0" w:color="auto"/>
      </w:divBdr>
    </w:div>
    <w:div w:id="1181774850">
      <w:bodyDiv w:val="1"/>
      <w:marLeft w:val="0"/>
      <w:marRight w:val="0"/>
      <w:marTop w:val="0"/>
      <w:marBottom w:val="0"/>
      <w:divBdr>
        <w:top w:val="none" w:sz="0" w:space="0" w:color="auto"/>
        <w:left w:val="none" w:sz="0" w:space="0" w:color="auto"/>
        <w:bottom w:val="none" w:sz="0" w:space="0" w:color="auto"/>
        <w:right w:val="none" w:sz="0" w:space="0" w:color="auto"/>
      </w:divBdr>
    </w:div>
    <w:div w:id="1352949231">
      <w:bodyDiv w:val="1"/>
      <w:marLeft w:val="0"/>
      <w:marRight w:val="0"/>
      <w:marTop w:val="0"/>
      <w:marBottom w:val="0"/>
      <w:divBdr>
        <w:top w:val="none" w:sz="0" w:space="0" w:color="auto"/>
        <w:left w:val="none" w:sz="0" w:space="0" w:color="auto"/>
        <w:bottom w:val="none" w:sz="0" w:space="0" w:color="auto"/>
        <w:right w:val="none" w:sz="0" w:space="0" w:color="auto"/>
      </w:divBdr>
    </w:div>
    <w:div w:id="156017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health.gov.au/resources/publications/stoma-appliance-scheme-schedul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ealth.gov.au/committees-and-groups/stoma-product-assessment-pane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gov.au/resources/publications/stoma-appliance-scheme-application-and-assessment-guidelines?language=en"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health.gov.au/resources/publications/healthconsult-report-stoma-appliance-scheme-schedule-revie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F9C59-319A-49D0-A905-73CE616BB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4022</Words>
  <Characters>22927</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Stoma Appliance Scheme Schedule Review Consultation Paper 2024</vt:lpstr>
    </vt:vector>
  </TitlesOfParts>
  <Company/>
  <LinksUpToDate>false</LinksUpToDate>
  <CharactersWithSpaces>26896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Stoma Appliance Scheme Schedule Review Consultation Paper 2024</dc:title>
  <dc:subject>Stoma Appliance Scheme</dc:subject>
  <dc:creator>Australian Government Department of Health and Aged Care</dc:creator>
  <cp:keywords>Bladder and Bowel</cp:keywords>
  <dc:description/>
  <cp:lastModifiedBy>MASCHKE, Elvia</cp:lastModifiedBy>
  <cp:revision>2</cp:revision>
  <dcterms:created xsi:type="dcterms:W3CDTF">2024-12-10T04:14:00Z</dcterms:created>
  <dcterms:modified xsi:type="dcterms:W3CDTF">2024-12-10T04:14:00Z</dcterms:modified>
</cp:coreProperties>
</file>