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E155E" w14:textId="480DBB01" w:rsidR="009252CE" w:rsidRPr="00145BDC" w:rsidRDefault="00D15F1E" w:rsidP="009252CE">
      <w:pPr>
        <w:pStyle w:val="Title"/>
        <w:rPr>
          <w:rFonts w:ascii="Arial" w:hAnsi="Arial" w:cs="Arial"/>
        </w:rPr>
      </w:pPr>
      <w:r>
        <w:rPr>
          <w:rFonts w:ascii="Arial" w:hAnsi="Arial" w:cs="Arial"/>
          <w:color w:val="1E1544" w:themeColor="text1"/>
        </w:rPr>
        <w:t xml:space="preserve">Residential aged care funding </w:t>
      </w:r>
      <w:r w:rsidR="009252CE" w:rsidRPr="00145BDC">
        <w:rPr>
          <w:rFonts w:ascii="Arial" w:hAnsi="Arial" w:cs="Arial"/>
          <w:color w:val="1E1544" w:themeColor="text1"/>
        </w:rPr>
        <w:t>assessment pathways</w:t>
      </w:r>
    </w:p>
    <w:p w14:paraId="231F886A" w14:textId="51CBE469" w:rsidR="009252CE" w:rsidRDefault="009252CE" w:rsidP="009E24FC">
      <w:pPr>
        <w:pStyle w:val="Introduction"/>
        <w:spacing w:before="240"/>
      </w:pPr>
      <w:r w:rsidRPr="009252CE">
        <w:t xml:space="preserve">There are three </w:t>
      </w:r>
      <w:r w:rsidR="08B1A7BA">
        <w:t xml:space="preserve">funding </w:t>
      </w:r>
      <w:r w:rsidRPr="009252CE">
        <w:t xml:space="preserve">assessment pathways for assessing and classifying </w:t>
      </w:r>
      <w:r w:rsidR="009B5E07" w:rsidRPr="009252CE">
        <w:t>a</w:t>
      </w:r>
      <w:r w:rsidR="009B5E07">
        <w:t xml:space="preserve"> </w:t>
      </w:r>
      <w:r w:rsidR="009B5E07" w:rsidRPr="009252CE">
        <w:t>resident</w:t>
      </w:r>
      <w:r w:rsidR="00F50616">
        <w:t xml:space="preserve"> in permanent</w:t>
      </w:r>
      <w:r w:rsidR="002C695E">
        <w:t xml:space="preserve"> </w:t>
      </w:r>
      <w:r w:rsidR="005A623A">
        <w:t xml:space="preserve">residential </w:t>
      </w:r>
      <w:r w:rsidR="002C695E">
        <w:t>aged care</w:t>
      </w:r>
      <w:r w:rsidRPr="009252CE">
        <w:t xml:space="preserve"> (</w:t>
      </w:r>
      <w:r w:rsidR="00A73693">
        <w:t xml:space="preserve">excluding </w:t>
      </w:r>
      <w:r w:rsidRPr="009252CE">
        <w:t>respite care).</w:t>
      </w:r>
    </w:p>
    <w:tbl>
      <w:tblPr>
        <w:tblStyle w:val="ListTable4"/>
        <w:tblW w:w="0" w:type="auto"/>
        <w:tblLook w:val="04A0" w:firstRow="1" w:lastRow="0" w:firstColumn="1" w:lastColumn="0" w:noHBand="0" w:noVBand="1"/>
        <w:tblDescription w:val="Table of resident pathways "/>
      </w:tblPr>
      <w:tblGrid>
        <w:gridCol w:w="3348"/>
        <w:gridCol w:w="3310"/>
        <w:gridCol w:w="3536"/>
      </w:tblGrid>
      <w:tr w:rsidR="009252CE" w:rsidRPr="00126220" w14:paraId="52950D5B" w14:textId="77777777" w:rsidTr="00F3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1E44FCD1" w14:textId="798E15AC" w:rsidR="009252CE" w:rsidRPr="00486F7A" w:rsidRDefault="009252CE" w:rsidP="00126220">
            <w:pPr>
              <w:rPr>
                <w:szCs w:val="20"/>
              </w:rPr>
            </w:pPr>
            <w:r w:rsidRPr="00486F7A">
              <w:rPr>
                <w:szCs w:val="20"/>
              </w:rPr>
              <w:t xml:space="preserve">New resident entering residential aged care </w:t>
            </w:r>
            <w:r w:rsidR="00B17F10">
              <w:rPr>
                <w:szCs w:val="20"/>
              </w:rPr>
              <w:t>to receive</w:t>
            </w:r>
            <w:r w:rsidRPr="00486F7A">
              <w:rPr>
                <w:szCs w:val="20"/>
              </w:rPr>
              <w:t xml:space="preserve"> palliative care</w:t>
            </w:r>
          </w:p>
        </w:tc>
        <w:tc>
          <w:tcPr>
            <w:tcW w:w="3310" w:type="dxa"/>
          </w:tcPr>
          <w:p w14:paraId="57A39885" w14:textId="2C4080E6" w:rsidR="009252CE" w:rsidRPr="00486F7A" w:rsidRDefault="009252CE" w:rsidP="001262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86F7A">
              <w:rPr>
                <w:szCs w:val="20"/>
              </w:rPr>
              <w:t>Current resident approaching end</w:t>
            </w:r>
            <w:r w:rsidR="00F32346">
              <w:rPr>
                <w:szCs w:val="20"/>
              </w:rPr>
              <w:t> </w:t>
            </w:r>
            <w:r w:rsidRPr="00486F7A">
              <w:rPr>
                <w:szCs w:val="20"/>
              </w:rPr>
              <w:t>of</w:t>
            </w:r>
            <w:r w:rsidR="00F32346">
              <w:rPr>
                <w:szCs w:val="20"/>
              </w:rPr>
              <w:t> </w:t>
            </w:r>
            <w:r w:rsidRPr="00486F7A">
              <w:rPr>
                <w:szCs w:val="20"/>
              </w:rPr>
              <w:t>life</w:t>
            </w:r>
          </w:p>
        </w:tc>
        <w:tc>
          <w:tcPr>
            <w:tcW w:w="3536" w:type="dxa"/>
          </w:tcPr>
          <w:p w14:paraId="3A1F01CE" w14:textId="3421D7A4" w:rsidR="009252CE" w:rsidRPr="00486F7A" w:rsidRDefault="009252CE" w:rsidP="5010F7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resident experiencing natural decline over time</w:t>
            </w:r>
          </w:p>
        </w:tc>
      </w:tr>
      <w:tr w:rsidR="007C62E3" w:rsidRPr="00126220" w14:paraId="6C263A0D" w14:textId="77777777" w:rsidTr="00F32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2F40B373" w14:textId="12BD3073" w:rsidR="00FE0FC7" w:rsidRPr="00074C26" w:rsidRDefault="00FE0FC7" w:rsidP="7EDCE4E2">
            <w:pPr>
              <w:spacing w:before="180" w:after="240" w:line="264" w:lineRule="auto"/>
              <w:rPr>
                <w:i/>
                <w:iCs/>
              </w:rPr>
            </w:pPr>
            <w:r w:rsidRPr="7EDCE4E2">
              <w:rPr>
                <w:i/>
                <w:iCs/>
              </w:rPr>
              <w:t>This pathway is for a new resident who enters an</w:t>
            </w:r>
            <w:r w:rsidR="009252CE" w:rsidRPr="7EDCE4E2">
              <w:rPr>
                <w:i/>
                <w:iCs/>
              </w:rPr>
              <w:t xml:space="preserve"> aged care home </w:t>
            </w:r>
            <w:r w:rsidRPr="7EDCE4E2">
              <w:rPr>
                <w:i/>
                <w:iCs/>
              </w:rPr>
              <w:t>for the purpose of receiving planned palliative care.</w:t>
            </w:r>
            <w:r w:rsidR="00FB4373" w:rsidRPr="7EDCE4E2">
              <w:rPr>
                <w:i/>
                <w:iCs/>
              </w:rPr>
              <w:t xml:space="preserve"> A resident approved for palliative care entry does not require a </w:t>
            </w:r>
            <w:r w:rsidR="4F4156E4" w:rsidRPr="7EDCE4E2">
              <w:rPr>
                <w:i/>
                <w:iCs/>
              </w:rPr>
              <w:t>funding</w:t>
            </w:r>
            <w:r w:rsidR="00FB4373" w:rsidRPr="7EDCE4E2">
              <w:rPr>
                <w:i/>
                <w:iCs/>
              </w:rPr>
              <w:t xml:space="preserve"> assessment.</w:t>
            </w:r>
          </w:p>
          <w:p w14:paraId="4DDCDB22" w14:textId="50B07036" w:rsidR="001A082D" w:rsidRPr="00486F7A" w:rsidRDefault="009252CE" w:rsidP="00A73693">
            <w:pPr>
              <w:rPr>
                <w:szCs w:val="20"/>
              </w:rPr>
            </w:pPr>
            <w:r w:rsidRPr="00486F7A">
              <w:rPr>
                <w:szCs w:val="20"/>
              </w:rPr>
              <w:t xml:space="preserve">If the new resident agrees to enter </w:t>
            </w:r>
            <w:r w:rsidR="00AB13B4" w:rsidRPr="00486F7A">
              <w:rPr>
                <w:szCs w:val="20"/>
              </w:rPr>
              <w:t xml:space="preserve">an </w:t>
            </w:r>
            <w:r w:rsidRPr="00486F7A">
              <w:rPr>
                <w:szCs w:val="20"/>
              </w:rPr>
              <w:t xml:space="preserve">aged care home for palliative care, </w:t>
            </w:r>
            <w:r w:rsidR="00B15D3B" w:rsidRPr="00486F7A">
              <w:rPr>
                <w:szCs w:val="20"/>
              </w:rPr>
              <w:t xml:space="preserve">their palliative care status </w:t>
            </w:r>
            <w:r w:rsidR="00B15D3B" w:rsidRPr="00A73693">
              <w:rPr>
                <w:b/>
                <w:bCs w:val="0"/>
                <w:szCs w:val="20"/>
              </w:rPr>
              <w:t>must be determined by a medical or nurse practitioner</w:t>
            </w:r>
            <w:r w:rsidR="00794234" w:rsidRPr="00A73693">
              <w:rPr>
                <w:b/>
                <w:bCs w:val="0"/>
                <w:szCs w:val="20"/>
              </w:rPr>
              <w:t xml:space="preserve"> </w:t>
            </w:r>
            <w:r w:rsidR="00AB13B4" w:rsidRPr="00A73693">
              <w:rPr>
                <w:b/>
                <w:bCs w:val="0"/>
                <w:szCs w:val="20"/>
              </w:rPr>
              <w:t>no more than 14</w:t>
            </w:r>
            <w:r w:rsidR="00794234" w:rsidRPr="00A73693">
              <w:rPr>
                <w:b/>
                <w:bCs w:val="0"/>
                <w:szCs w:val="20"/>
              </w:rPr>
              <w:t> </w:t>
            </w:r>
            <w:r w:rsidR="00AB13B4" w:rsidRPr="00A73693">
              <w:rPr>
                <w:b/>
                <w:bCs w:val="0"/>
                <w:szCs w:val="20"/>
              </w:rPr>
              <w:t xml:space="preserve">days </w:t>
            </w:r>
            <w:r w:rsidR="00B17F10">
              <w:rPr>
                <w:b/>
                <w:bCs w:val="0"/>
                <w:szCs w:val="20"/>
              </w:rPr>
              <w:t>from</w:t>
            </w:r>
            <w:r w:rsidR="00AB13B4" w:rsidRPr="00A73693">
              <w:rPr>
                <w:b/>
                <w:bCs w:val="0"/>
                <w:szCs w:val="20"/>
              </w:rPr>
              <w:t xml:space="preserve"> the </w:t>
            </w:r>
            <w:r w:rsidR="00B17F10">
              <w:rPr>
                <w:b/>
                <w:bCs w:val="0"/>
                <w:szCs w:val="20"/>
              </w:rPr>
              <w:t xml:space="preserve">date of the </w:t>
            </w:r>
            <w:r w:rsidR="00794234" w:rsidRPr="00A73693">
              <w:rPr>
                <w:b/>
                <w:bCs w:val="0"/>
                <w:szCs w:val="20"/>
              </w:rPr>
              <w:t xml:space="preserve">resident’s </w:t>
            </w:r>
            <w:r w:rsidR="00B17F10">
              <w:rPr>
                <w:b/>
                <w:bCs w:val="0"/>
                <w:szCs w:val="20"/>
              </w:rPr>
              <w:t xml:space="preserve">permanent </w:t>
            </w:r>
            <w:r w:rsidR="00794234" w:rsidRPr="00A73693">
              <w:rPr>
                <w:b/>
                <w:bCs w:val="0"/>
                <w:szCs w:val="20"/>
              </w:rPr>
              <w:t>entry</w:t>
            </w:r>
            <w:r w:rsidR="0004546C" w:rsidRPr="00A73693">
              <w:rPr>
                <w:szCs w:val="20"/>
              </w:rPr>
              <w:t>,</w:t>
            </w:r>
            <w:r w:rsidR="00B15D3B" w:rsidRPr="00486F7A">
              <w:rPr>
                <w:szCs w:val="20"/>
              </w:rPr>
              <w:t xml:space="preserve"> and recorded on the </w:t>
            </w:r>
            <w:hyperlink r:id="rId8" w:history="1">
              <w:r w:rsidR="00B17F10">
                <w:rPr>
                  <w:rStyle w:val="Hyperlink"/>
                  <w:bCs w:val="0"/>
                  <w:szCs w:val="20"/>
                </w:rPr>
                <w:t>p</w:t>
              </w:r>
              <w:r w:rsidR="00B15D3B" w:rsidRPr="0004546C">
                <w:rPr>
                  <w:rStyle w:val="Hyperlink"/>
                  <w:bCs w:val="0"/>
                  <w:szCs w:val="20"/>
                </w:rPr>
                <w:t>alliative care status form</w:t>
              </w:r>
            </w:hyperlink>
            <w:r w:rsidR="00B15D3B" w:rsidRPr="00486F7A">
              <w:rPr>
                <w:szCs w:val="20"/>
              </w:rPr>
              <w:t xml:space="preserve">. </w:t>
            </w:r>
          </w:p>
          <w:p w14:paraId="1060B192" w14:textId="798936D5" w:rsidR="001A082D" w:rsidRPr="00486F7A" w:rsidRDefault="009252CE" w:rsidP="00126220">
            <w:pPr>
              <w:rPr>
                <w:szCs w:val="20"/>
              </w:rPr>
            </w:pPr>
            <w:r w:rsidRPr="00486F7A">
              <w:rPr>
                <w:szCs w:val="20"/>
              </w:rPr>
              <w:t xml:space="preserve">The aged care home ticks the palliative care box when submitting the resident’s Aged Care Entry Record (ACER), and </w:t>
            </w:r>
            <w:r w:rsidRPr="00A73693">
              <w:rPr>
                <w:b/>
                <w:bCs w:val="0"/>
                <w:szCs w:val="20"/>
              </w:rPr>
              <w:t xml:space="preserve">uploads the completed palliative care status form </w:t>
            </w:r>
            <w:r w:rsidRPr="00486F7A">
              <w:rPr>
                <w:b/>
                <w:bCs w:val="0"/>
                <w:szCs w:val="20"/>
              </w:rPr>
              <w:t>within 14 days</w:t>
            </w:r>
            <w:r w:rsidRPr="00A73693">
              <w:rPr>
                <w:b/>
                <w:bCs w:val="0"/>
                <w:szCs w:val="20"/>
              </w:rPr>
              <w:t xml:space="preserve"> of submitting the ACER</w:t>
            </w:r>
            <w:r w:rsidRPr="00486F7A">
              <w:rPr>
                <w:szCs w:val="20"/>
              </w:rPr>
              <w:t xml:space="preserve"> into the </w:t>
            </w:r>
            <w:hyperlink r:id="rId9" w:history="1">
              <w:r w:rsidRPr="00486F7A">
                <w:rPr>
                  <w:rStyle w:val="Hyperlink"/>
                  <w:szCs w:val="20"/>
                </w:rPr>
                <w:t>My Aged Care Service and Support Portal</w:t>
              </w:r>
            </w:hyperlink>
            <w:r w:rsidRPr="00486F7A">
              <w:rPr>
                <w:szCs w:val="20"/>
              </w:rPr>
              <w:t xml:space="preserve">. </w:t>
            </w:r>
          </w:p>
          <w:p w14:paraId="64FE651C" w14:textId="1B175F05" w:rsidR="001A082D" w:rsidRPr="00486F7A" w:rsidRDefault="009252CE" w:rsidP="00126220">
            <w:r>
              <w:t xml:space="preserve">The Department of Health and Aged Care reviews the palliative care status form. If the criteria are met, the resident </w:t>
            </w:r>
            <w:r w:rsidR="00794234">
              <w:t xml:space="preserve">will </w:t>
            </w:r>
            <w:r>
              <w:t xml:space="preserve">receive an allocation of </w:t>
            </w:r>
            <w:hyperlink r:id="rId10">
              <w:r w:rsidRPr="7EDCE4E2">
                <w:rPr>
                  <w:rStyle w:val="Hyperlink"/>
                </w:rPr>
                <w:t>AN-ACC Class 1</w:t>
              </w:r>
            </w:hyperlink>
            <w:r>
              <w:t xml:space="preserve">, and </w:t>
            </w:r>
            <w:r w:rsidR="00C301C1">
              <w:t xml:space="preserve">a </w:t>
            </w:r>
            <w:r w:rsidR="273E3F7D" w:rsidRPr="7EDCE4E2">
              <w:rPr>
                <w:b/>
              </w:rPr>
              <w:t xml:space="preserve">funding </w:t>
            </w:r>
            <w:r w:rsidRPr="7EDCE4E2">
              <w:rPr>
                <w:b/>
              </w:rPr>
              <w:t xml:space="preserve">assessment </w:t>
            </w:r>
            <w:r w:rsidR="00C301C1" w:rsidRPr="7EDCE4E2">
              <w:rPr>
                <w:b/>
              </w:rPr>
              <w:t xml:space="preserve">will not be </w:t>
            </w:r>
            <w:r w:rsidRPr="7EDCE4E2">
              <w:rPr>
                <w:b/>
              </w:rPr>
              <w:t>required</w:t>
            </w:r>
            <w:r>
              <w:t>.</w:t>
            </w:r>
          </w:p>
          <w:p w14:paraId="3B2E4DE0" w14:textId="3FEEAE34" w:rsidR="009252CE" w:rsidRPr="00486F7A" w:rsidRDefault="009252CE" w:rsidP="00126220">
            <w:pPr>
              <w:rPr>
                <w:szCs w:val="20"/>
              </w:rPr>
            </w:pPr>
            <w:r w:rsidRPr="00486F7A">
              <w:rPr>
                <w:szCs w:val="20"/>
              </w:rPr>
              <w:t xml:space="preserve">For more information visit </w:t>
            </w:r>
            <w:hyperlink r:id="rId11" w:history="1">
              <w:r w:rsidRPr="00486F7A">
                <w:rPr>
                  <w:rStyle w:val="Hyperlink"/>
                  <w:szCs w:val="20"/>
                </w:rPr>
                <w:t>AN-ACC Class 1 – admit for palliative care</w:t>
              </w:r>
            </w:hyperlink>
            <w:r w:rsidRPr="00486F7A">
              <w:rPr>
                <w:szCs w:val="20"/>
              </w:rPr>
              <w:t>.</w:t>
            </w:r>
          </w:p>
        </w:tc>
        <w:tc>
          <w:tcPr>
            <w:tcW w:w="3310" w:type="dxa"/>
          </w:tcPr>
          <w:p w14:paraId="76F24E22" w14:textId="0A1C8F70" w:rsidR="001A082D" w:rsidRPr="00A73693" w:rsidRDefault="00DC1FB8" w:rsidP="00074C26">
            <w:pPr>
              <w:spacing w:before="180" w:after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0"/>
              </w:rPr>
            </w:pPr>
            <w:r w:rsidRPr="00A73693">
              <w:rPr>
                <w:i/>
                <w:iCs/>
                <w:szCs w:val="20"/>
              </w:rPr>
              <w:t xml:space="preserve">This is an urgent assessment pathway for </w:t>
            </w:r>
            <w:r w:rsidR="00680941" w:rsidRPr="00A73693">
              <w:rPr>
                <w:i/>
                <w:iCs/>
                <w:szCs w:val="20"/>
              </w:rPr>
              <w:t>a</w:t>
            </w:r>
            <w:r w:rsidR="001E3F78">
              <w:rPr>
                <w:i/>
                <w:iCs/>
                <w:szCs w:val="20"/>
              </w:rPr>
              <w:t>n existing</w:t>
            </w:r>
            <w:r w:rsidR="00680941" w:rsidRPr="00A73693">
              <w:rPr>
                <w:i/>
                <w:iCs/>
                <w:szCs w:val="20"/>
              </w:rPr>
              <w:t xml:space="preserve"> </w:t>
            </w:r>
            <w:r w:rsidR="009252CE" w:rsidRPr="00A73693">
              <w:rPr>
                <w:i/>
                <w:iCs/>
                <w:szCs w:val="20"/>
              </w:rPr>
              <w:t>resident</w:t>
            </w:r>
            <w:r w:rsidRPr="00A73693">
              <w:rPr>
                <w:i/>
                <w:iCs/>
                <w:szCs w:val="20"/>
              </w:rPr>
              <w:t xml:space="preserve"> who</w:t>
            </w:r>
            <w:r w:rsidR="00F32346">
              <w:rPr>
                <w:i/>
                <w:iCs/>
                <w:szCs w:val="20"/>
              </w:rPr>
              <w:t xml:space="preserve">se care needs have changed due to </w:t>
            </w:r>
            <w:r w:rsidR="00D7191C">
              <w:rPr>
                <w:i/>
                <w:iCs/>
              </w:rPr>
              <w:t>approaching</w:t>
            </w:r>
            <w:r w:rsidR="00B17F10">
              <w:rPr>
                <w:i/>
                <w:iCs/>
              </w:rPr>
              <w:t xml:space="preserve"> </w:t>
            </w:r>
            <w:r w:rsidR="009252CE" w:rsidRPr="00A73693">
              <w:rPr>
                <w:i/>
                <w:iCs/>
                <w:szCs w:val="20"/>
              </w:rPr>
              <w:t xml:space="preserve">end of life. </w:t>
            </w:r>
          </w:p>
          <w:p w14:paraId="586E4EA1" w14:textId="1E98A278" w:rsidR="00680941" w:rsidRPr="00486F7A" w:rsidRDefault="009252CE" w:rsidP="00680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86F7A">
              <w:rPr>
                <w:szCs w:val="20"/>
              </w:rPr>
              <w:t>The aged care home submits a reclassif</w:t>
            </w:r>
            <w:r w:rsidR="0024067C" w:rsidRPr="00486F7A">
              <w:rPr>
                <w:szCs w:val="20"/>
              </w:rPr>
              <w:t>i</w:t>
            </w:r>
            <w:r w:rsidRPr="00486F7A">
              <w:rPr>
                <w:szCs w:val="20"/>
              </w:rPr>
              <w:t xml:space="preserve">cation request for the resident through the </w:t>
            </w:r>
            <w:hyperlink r:id="rId12" w:history="1">
              <w:r w:rsidR="0004546C" w:rsidRPr="00486F7A">
                <w:rPr>
                  <w:rStyle w:val="Hyperlink"/>
                  <w:szCs w:val="20"/>
                </w:rPr>
                <w:t>My Aged Care Service and Support Portal</w:t>
              </w:r>
            </w:hyperlink>
            <w:r w:rsidR="00680941" w:rsidRPr="00486F7A">
              <w:rPr>
                <w:szCs w:val="20"/>
              </w:rPr>
              <w:t xml:space="preserve">, </w:t>
            </w:r>
            <w:r w:rsidR="00F32346">
              <w:rPr>
                <w:szCs w:val="20"/>
              </w:rPr>
              <w:t>noting that the resident is approaching end of life and requires an urgent assessment</w:t>
            </w:r>
            <w:r w:rsidR="00680941" w:rsidRPr="00486F7A">
              <w:rPr>
                <w:szCs w:val="20"/>
              </w:rPr>
              <w:t>.</w:t>
            </w:r>
          </w:p>
          <w:p w14:paraId="5C09330A" w14:textId="0E4CED8D" w:rsidR="00680941" w:rsidRPr="00A73693" w:rsidRDefault="00680941" w:rsidP="00680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86F7A">
              <w:rPr>
                <w:szCs w:val="20"/>
              </w:rPr>
              <w:t xml:space="preserve">Note: </w:t>
            </w:r>
            <w:r w:rsidR="00A73693">
              <w:rPr>
                <w:szCs w:val="20"/>
              </w:rPr>
              <w:t xml:space="preserve">As part of the urgent reclassification request process, the provider must acknowledge that the resident has an </w:t>
            </w:r>
            <w:proofErr w:type="gramStart"/>
            <w:r w:rsidR="00A73693">
              <w:rPr>
                <w:szCs w:val="20"/>
              </w:rPr>
              <w:t>end of life</w:t>
            </w:r>
            <w:proofErr w:type="gramEnd"/>
            <w:r w:rsidR="00A73693">
              <w:rPr>
                <w:szCs w:val="20"/>
              </w:rPr>
              <w:t xml:space="preserve"> care plan in place, and that this has been communicated with the resident, their family and/or carers. </w:t>
            </w:r>
          </w:p>
          <w:p w14:paraId="47532B2F" w14:textId="0EDF5F36" w:rsidR="00D7191C" w:rsidRDefault="00D7191C" w:rsidP="00D71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resident is referred for a</w:t>
            </w:r>
            <w:r w:rsidR="00F32346">
              <w:t>n urgent</w:t>
            </w:r>
            <w:r>
              <w:t xml:space="preserve"> funding assessment </w:t>
            </w:r>
            <w:r w:rsidR="00F32346">
              <w:t xml:space="preserve">which will typically occur </w:t>
            </w:r>
            <w:r w:rsidRPr="7EDCE4E2">
              <w:rPr>
                <w:b/>
                <w:bCs/>
              </w:rPr>
              <w:t xml:space="preserve">within </w:t>
            </w:r>
            <w:r>
              <w:rPr>
                <w:b/>
                <w:bCs/>
              </w:rPr>
              <w:t>14</w:t>
            </w:r>
            <w:r w:rsidRPr="7EDCE4E2">
              <w:rPr>
                <w:b/>
                <w:bCs/>
              </w:rPr>
              <w:t xml:space="preserve"> days</w:t>
            </w:r>
            <w:r>
              <w:t>.</w:t>
            </w:r>
          </w:p>
          <w:p w14:paraId="11AE4290" w14:textId="06ED683C" w:rsidR="00680941" w:rsidRPr="00486F7A" w:rsidRDefault="00680941" w:rsidP="00126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86F7A">
              <w:rPr>
                <w:szCs w:val="20"/>
              </w:rPr>
              <w:t xml:space="preserve">The </w:t>
            </w:r>
            <w:r w:rsidR="00130E46">
              <w:rPr>
                <w:szCs w:val="20"/>
              </w:rPr>
              <w:t>classification determined by the assessment will apply from the date of the reclassification request.</w:t>
            </w:r>
            <w:r w:rsidRPr="00486F7A">
              <w:rPr>
                <w:szCs w:val="20"/>
              </w:rPr>
              <w:t xml:space="preserve"> </w:t>
            </w:r>
          </w:p>
          <w:p w14:paraId="7A6E60D7" w14:textId="03AFDBE4" w:rsidR="009252CE" w:rsidRPr="00074C26" w:rsidRDefault="00680941" w:rsidP="00074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A73693">
              <w:rPr>
                <w:b/>
                <w:bCs/>
                <w:szCs w:val="20"/>
              </w:rPr>
              <w:t>As end of life can happen quickly, not all requests for an urgent assessment will be able to be completed.</w:t>
            </w:r>
            <w:r w:rsidR="009252CE" w:rsidRPr="00A73693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3536" w:type="dxa"/>
            <w:shd w:val="clear" w:color="auto" w:fill="F2FCFC"/>
          </w:tcPr>
          <w:p w14:paraId="49B74491" w14:textId="753A4484" w:rsidR="00FB4373" w:rsidRPr="00434761" w:rsidRDefault="00680941" w:rsidP="00074C26">
            <w:pPr>
              <w:spacing w:before="180" w:after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0"/>
              </w:rPr>
            </w:pPr>
            <w:r w:rsidRPr="00A73693">
              <w:rPr>
                <w:i/>
                <w:iCs/>
                <w:szCs w:val="20"/>
              </w:rPr>
              <w:t xml:space="preserve">This assessment pathway is for </w:t>
            </w:r>
            <w:r w:rsidR="00130E46">
              <w:rPr>
                <w:i/>
                <w:iCs/>
                <w:szCs w:val="20"/>
              </w:rPr>
              <w:t>an existing</w:t>
            </w:r>
            <w:r w:rsidRPr="00A73693">
              <w:rPr>
                <w:i/>
                <w:iCs/>
                <w:szCs w:val="20"/>
              </w:rPr>
              <w:t xml:space="preserve"> </w:t>
            </w:r>
            <w:r w:rsidR="009252CE" w:rsidRPr="00A73693">
              <w:rPr>
                <w:i/>
                <w:iCs/>
                <w:szCs w:val="20"/>
              </w:rPr>
              <w:t xml:space="preserve">resident </w:t>
            </w:r>
            <w:r w:rsidR="00794234" w:rsidRPr="00486F7A">
              <w:rPr>
                <w:i/>
                <w:iCs/>
                <w:szCs w:val="20"/>
              </w:rPr>
              <w:t>whose care needs have changed significantly</w:t>
            </w:r>
            <w:r w:rsidR="00434761">
              <w:rPr>
                <w:i/>
                <w:iCs/>
                <w:szCs w:val="20"/>
              </w:rPr>
              <w:t xml:space="preserve"> since their </w:t>
            </w:r>
            <w:r w:rsidR="00130E46">
              <w:rPr>
                <w:i/>
                <w:iCs/>
                <w:szCs w:val="20"/>
              </w:rPr>
              <w:t>last assessment</w:t>
            </w:r>
            <w:r w:rsidR="00434761">
              <w:rPr>
                <w:i/>
                <w:iCs/>
                <w:szCs w:val="20"/>
              </w:rPr>
              <w:t xml:space="preserve"> took </w:t>
            </w:r>
            <w:r w:rsidR="00130E46">
              <w:rPr>
                <w:i/>
                <w:iCs/>
                <w:szCs w:val="20"/>
              </w:rPr>
              <w:t>place</w:t>
            </w:r>
            <w:r w:rsidR="00434761">
              <w:rPr>
                <w:i/>
                <w:iCs/>
                <w:szCs w:val="20"/>
              </w:rPr>
              <w:t xml:space="preserve">, </w:t>
            </w:r>
            <w:r w:rsidR="00794234" w:rsidRPr="00486F7A">
              <w:rPr>
                <w:i/>
                <w:iCs/>
                <w:szCs w:val="20"/>
              </w:rPr>
              <w:t xml:space="preserve">including where a resident’s condition has declined </w:t>
            </w:r>
            <w:r w:rsidR="009252CE" w:rsidRPr="00260800">
              <w:rPr>
                <w:i/>
                <w:iCs/>
                <w:szCs w:val="20"/>
              </w:rPr>
              <w:t>over time</w:t>
            </w:r>
            <w:r w:rsidR="00FE0FC7" w:rsidRPr="00260800">
              <w:rPr>
                <w:i/>
                <w:iCs/>
                <w:szCs w:val="20"/>
              </w:rPr>
              <w:t xml:space="preserve">. </w:t>
            </w:r>
          </w:p>
          <w:p w14:paraId="3CA43AF2" w14:textId="342862B6" w:rsidR="00794234" w:rsidRPr="00486F7A" w:rsidRDefault="00FB4373" w:rsidP="00A736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86F7A">
              <w:rPr>
                <w:szCs w:val="20"/>
              </w:rPr>
              <w:t xml:space="preserve">An approved provider can request that the </w:t>
            </w:r>
            <w:r w:rsidR="00870182">
              <w:rPr>
                <w:szCs w:val="20"/>
              </w:rPr>
              <w:t>D</w:t>
            </w:r>
            <w:r w:rsidRPr="00486F7A">
              <w:rPr>
                <w:szCs w:val="20"/>
              </w:rPr>
              <w:t>epartment</w:t>
            </w:r>
            <w:r w:rsidR="00870182">
              <w:rPr>
                <w:szCs w:val="20"/>
              </w:rPr>
              <w:t xml:space="preserve"> of Health and Aged Care</w:t>
            </w:r>
            <w:r w:rsidRPr="00486F7A">
              <w:rPr>
                <w:szCs w:val="20"/>
              </w:rPr>
              <w:t xml:space="preserve"> </w:t>
            </w:r>
            <w:r w:rsidR="00953AE1">
              <w:rPr>
                <w:szCs w:val="20"/>
              </w:rPr>
              <w:t>reassess</w:t>
            </w:r>
            <w:r w:rsidRPr="00486F7A">
              <w:rPr>
                <w:szCs w:val="20"/>
              </w:rPr>
              <w:t xml:space="preserve"> a permanent resident if, since their existing classification took effect, any of the following criteria are met:</w:t>
            </w:r>
          </w:p>
          <w:p w14:paraId="35872378" w14:textId="73E30E11" w:rsidR="00FB4373" w:rsidRPr="00486F7A" w:rsidRDefault="00FB4373" w:rsidP="00A73693">
            <w:pPr>
              <w:pStyle w:val="ListParagraph"/>
              <w:numPr>
                <w:ilvl w:val="0"/>
                <w:numId w:val="26"/>
              </w:numPr>
              <w:spacing w:after="240"/>
              <w:ind w:left="321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86F7A">
              <w:rPr>
                <w:szCs w:val="20"/>
              </w:rPr>
              <w:t xml:space="preserve">there has been a change in </w:t>
            </w:r>
            <w:r w:rsidR="00AB13B4" w:rsidRPr="00486F7A">
              <w:rPr>
                <w:szCs w:val="20"/>
              </w:rPr>
              <w:t>the resident’s c</w:t>
            </w:r>
            <w:r w:rsidRPr="00486F7A">
              <w:rPr>
                <w:szCs w:val="20"/>
              </w:rPr>
              <w:t>ognitive ability, compounding factors, function, mobility, or pressure sore risk</w:t>
            </w:r>
          </w:p>
          <w:p w14:paraId="5469CD62" w14:textId="154D26BB" w:rsidR="00FB4373" w:rsidRPr="00486F7A" w:rsidRDefault="00AB13B4" w:rsidP="00A73693">
            <w:pPr>
              <w:pStyle w:val="ListParagraph"/>
              <w:numPr>
                <w:ilvl w:val="0"/>
                <w:numId w:val="26"/>
              </w:numPr>
              <w:spacing w:after="240"/>
              <w:ind w:left="321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86F7A">
              <w:rPr>
                <w:szCs w:val="20"/>
              </w:rPr>
              <w:t>the resident</w:t>
            </w:r>
            <w:r w:rsidR="00FB4373" w:rsidRPr="00486F7A">
              <w:rPr>
                <w:szCs w:val="20"/>
              </w:rPr>
              <w:t xml:space="preserve"> has been a</w:t>
            </w:r>
            <w:r w:rsidRPr="00486F7A">
              <w:rPr>
                <w:szCs w:val="20"/>
              </w:rPr>
              <w:t xml:space="preserve"> hospital</w:t>
            </w:r>
            <w:r w:rsidR="00FB4373" w:rsidRPr="00486F7A">
              <w:rPr>
                <w:szCs w:val="20"/>
              </w:rPr>
              <w:t xml:space="preserve"> inpatient at least 5 days</w:t>
            </w:r>
            <w:r w:rsidRPr="00486F7A">
              <w:rPr>
                <w:szCs w:val="20"/>
              </w:rPr>
              <w:t xml:space="preserve"> (</w:t>
            </w:r>
            <w:r w:rsidR="00FB4373" w:rsidRPr="00486F7A">
              <w:rPr>
                <w:szCs w:val="20"/>
              </w:rPr>
              <w:t>or 2</w:t>
            </w:r>
            <w:r w:rsidR="00D65520">
              <w:rPr>
                <w:szCs w:val="20"/>
              </w:rPr>
              <w:t> </w:t>
            </w:r>
            <w:r w:rsidR="00FB4373" w:rsidRPr="00486F7A">
              <w:rPr>
                <w:szCs w:val="20"/>
              </w:rPr>
              <w:t xml:space="preserve">days </w:t>
            </w:r>
            <w:r w:rsidRPr="00486F7A">
              <w:rPr>
                <w:szCs w:val="20"/>
              </w:rPr>
              <w:t xml:space="preserve">if </w:t>
            </w:r>
            <w:r w:rsidR="00FB4373" w:rsidRPr="00486F7A">
              <w:rPr>
                <w:szCs w:val="20"/>
              </w:rPr>
              <w:t xml:space="preserve">administered </w:t>
            </w:r>
            <w:r w:rsidRPr="00486F7A">
              <w:rPr>
                <w:szCs w:val="20"/>
              </w:rPr>
              <w:t xml:space="preserve">a </w:t>
            </w:r>
            <w:r w:rsidR="00FB4373" w:rsidRPr="00486F7A">
              <w:rPr>
                <w:szCs w:val="20"/>
              </w:rPr>
              <w:t>general anaesthetic</w:t>
            </w:r>
            <w:r w:rsidRPr="00486F7A">
              <w:rPr>
                <w:szCs w:val="20"/>
              </w:rPr>
              <w:t>)</w:t>
            </w:r>
          </w:p>
          <w:p w14:paraId="4FFFDB8B" w14:textId="77777777" w:rsidR="00FB4373" w:rsidRPr="00486F7A" w:rsidRDefault="00FB4373" w:rsidP="00A73693">
            <w:pPr>
              <w:pStyle w:val="ListParagraph"/>
              <w:numPr>
                <w:ilvl w:val="0"/>
                <w:numId w:val="26"/>
              </w:numPr>
              <w:ind w:left="317" w:hanging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86F7A">
              <w:rPr>
                <w:szCs w:val="20"/>
              </w:rPr>
              <w:t xml:space="preserve">at least 6 months (for Classes </w:t>
            </w:r>
            <w:r w:rsidR="00AB13B4" w:rsidRPr="00486F7A">
              <w:rPr>
                <w:szCs w:val="20"/>
              </w:rPr>
              <w:t xml:space="preserve">9-12) or 12 months (for Classes 2-8) </w:t>
            </w:r>
            <w:r w:rsidRPr="00486F7A">
              <w:rPr>
                <w:szCs w:val="20"/>
              </w:rPr>
              <w:t>have passed.</w:t>
            </w:r>
          </w:p>
          <w:p w14:paraId="6FA4294F" w14:textId="77777777" w:rsidR="00AB13B4" w:rsidRPr="00486F7A" w:rsidRDefault="00AB13B4" w:rsidP="00AB1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86F7A">
              <w:rPr>
                <w:szCs w:val="20"/>
              </w:rPr>
              <w:t xml:space="preserve">The aged care home submits a reclassification request for the resident through the </w:t>
            </w:r>
            <w:hyperlink r:id="rId13" w:history="1">
              <w:r w:rsidRPr="00486F7A">
                <w:rPr>
                  <w:rStyle w:val="Hyperlink"/>
                  <w:szCs w:val="20"/>
                </w:rPr>
                <w:t>My Aged Care Service and Support Portal</w:t>
              </w:r>
            </w:hyperlink>
            <w:r w:rsidRPr="00486F7A">
              <w:rPr>
                <w:szCs w:val="20"/>
              </w:rPr>
              <w:t xml:space="preserve">. </w:t>
            </w:r>
          </w:p>
          <w:p w14:paraId="07D1BFCD" w14:textId="7E5D0455" w:rsidR="00AB13B4" w:rsidRDefault="00AB13B4" w:rsidP="00AB1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resident is referred for a </w:t>
            </w:r>
            <w:r w:rsidR="29AE5FAB">
              <w:t>funding</w:t>
            </w:r>
            <w:r>
              <w:t xml:space="preserve"> assessment </w:t>
            </w:r>
            <w:r w:rsidRPr="7EDCE4E2">
              <w:rPr>
                <w:b/>
                <w:bCs/>
              </w:rPr>
              <w:t>within the standard timeframe of 28 days</w:t>
            </w:r>
            <w:r>
              <w:t>.</w:t>
            </w:r>
          </w:p>
          <w:p w14:paraId="40BFA7C9" w14:textId="77777777" w:rsidR="00D7191C" w:rsidRPr="00486F7A" w:rsidRDefault="00D7191C" w:rsidP="00D71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86F7A">
              <w:rPr>
                <w:szCs w:val="20"/>
              </w:rPr>
              <w:t xml:space="preserve">The </w:t>
            </w:r>
            <w:r>
              <w:rPr>
                <w:szCs w:val="20"/>
              </w:rPr>
              <w:t>classification determined by the assessment will apply from the date of the reclassification request.</w:t>
            </w:r>
            <w:r w:rsidRPr="00486F7A">
              <w:rPr>
                <w:szCs w:val="20"/>
              </w:rPr>
              <w:t xml:space="preserve"> </w:t>
            </w:r>
          </w:p>
          <w:p w14:paraId="77860978" w14:textId="27654FD0" w:rsidR="00AB13B4" w:rsidRPr="00486F7A" w:rsidRDefault="00D65520" w:rsidP="00D65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more information visit the </w:t>
            </w:r>
            <w:hyperlink r:id="rId14" w:history="1">
              <w:r w:rsidRPr="0965E7FB">
                <w:rPr>
                  <w:rStyle w:val="Hyperlink"/>
                </w:rPr>
                <w:t>AN</w:t>
              </w:r>
              <w:r w:rsidR="2C5A9945" w:rsidRPr="0965E7FB">
                <w:rPr>
                  <w:rStyle w:val="Hyperlink"/>
                </w:rPr>
                <w:t>-</w:t>
              </w:r>
              <w:r w:rsidRPr="0965E7FB">
                <w:rPr>
                  <w:rStyle w:val="Hyperlink"/>
                </w:rPr>
                <w:t>ACC Funding Guide</w:t>
              </w:r>
            </w:hyperlink>
            <w:r>
              <w:t>.</w:t>
            </w:r>
          </w:p>
        </w:tc>
      </w:tr>
    </w:tbl>
    <w:p w14:paraId="553BE873" w14:textId="508668FF" w:rsidR="00D04590" w:rsidRDefault="009E24FC" w:rsidP="003619F4">
      <w:r>
        <w:rPr>
          <w:noProof/>
        </w:rPr>
        <w:drawing>
          <wp:anchor distT="0" distB="0" distL="114300" distR="114300" simplePos="0" relativeHeight="251658241" behindDoc="0" locked="0" layoutInCell="1" allowOverlap="1" wp14:anchorId="7BDB1291" wp14:editId="701B1C84">
            <wp:simplePos x="0" y="0"/>
            <wp:positionH relativeFrom="column">
              <wp:posOffset>1300480</wp:posOffset>
            </wp:positionH>
            <wp:positionV relativeFrom="paragraph">
              <wp:posOffset>442595</wp:posOffset>
            </wp:positionV>
            <wp:extent cx="431800" cy="405765"/>
            <wp:effectExtent l="0" t="0" r="635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0CD49F" wp14:editId="12A47DC9">
                <wp:simplePos x="0" y="0"/>
                <wp:positionH relativeFrom="margin">
                  <wp:posOffset>1240790</wp:posOffset>
                </wp:positionH>
                <wp:positionV relativeFrom="paragraph">
                  <wp:posOffset>193675</wp:posOffset>
                </wp:positionV>
                <wp:extent cx="5770245" cy="874395"/>
                <wp:effectExtent l="0" t="0" r="1905" b="1905"/>
                <wp:wrapNone/>
                <wp:docPr id="15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245" cy="874395"/>
                          <a:chOff x="0" y="641904"/>
                          <a:chExt cx="6981825" cy="812184"/>
                        </a:xfrm>
                      </wpg:grpSpPr>
                      <wps:wsp>
                        <wps:cNvPr id="17" name="Rectangle: Single Corner Rounded 17"/>
                        <wps:cNvSpPr/>
                        <wps:spPr>
                          <a:xfrm flipH="1">
                            <a:off x="0" y="641904"/>
                            <a:ext cx="6981825" cy="812184"/>
                          </a:xfrm>
                          <a:prstGeom prst="round1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/>
                        <wps:spPr>
                          <a:xfrm>
                            <a:off x="88734" y="740676"/>
                            <a:ext cx="6709706" cy="613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92EACC" w14:textId="02CB0542" w:rsidR="009252CE" w:rsidRPr="00F45B7B" w:rsidRDefault="00821C44" w:rsidP="00DB11A2">
                              <w:pPr>
                                <w:ind w:left="567"/>
                                <w:rPr>
                                  <w:rFonts w:cs="Arial"/>
                                  <w:color w:val="171919" w:themeColor="background1" w:themeShade="1A"/>
                                  <w:sz w:val="22"/>
                                  <w:szCs w:val="22"/>
                                </w:rPr>
                              </w:pPr>
                              <w:r>
                                <w:t>C</w:t>
                              </w:r>
                              <w:r w:rsidR="00074C26">
                                <w:t>ontact the AN-ACC Operations Team for any</w:t>
                              </w:r>
                              <w:r w:rsidR="009252CE">
                                <w:t xml:space="preserve"> </w:t>
                              </w:r>
                              <w:r w:rsidR="00074C26">
                                <w:t xml:space="preserve">questions regarding </w:t>
                              </w:r>
                              <w:r w:rsidR="00F35009">
                                <w:t>funding</w:t>
                              </w:r>
                              <w:r w:rsidR="009252CE">
                                <w:t xml:space="preserve"> assessment pathways</w:t>
                              </w:r>
                              <w:r>
                                <w:t>:</w:t>
                              </w:r>
                              <w:r w:rsidR="009252CE">
                                <w:t xml:space="preserve"> </w:t>
                              </w:r>
                              <w:hyperlink r:id="rId16" w:history="1">
                                <w:r w:rsidR="009252CE" w:rsidRPr="000C0A7C">
                                  <w:rPr>
                                    <w:rStyle w:val="Hyperlink"/>
                                  </w:rPr>
                                  <w:t>ANACCoperations@health.gov.au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0CD49F" id="Group 15" o:spid="_x0000_s1026" alt="&quot;&quot;" style="position:absolute;margin-left:97.7pt;margin-top:15.25pt;width:454.35pt;height:68.85pt;z-index:251658240;mso-position-horizontal-relative:margin;mso-width-relative:margin;mso-height-relative:margin" coordorigin=",6419" coordsize="69818,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">
                <v:shape id="Rectangle: Single Corner Rounded 17" o:spid="_x0000_s1027" style="position:absolute;top:6419;width:69818;height:8121;flip:x;visibility:visible;mso-wrap-style:square;v-text-anchor:middle" coordsize="6981825,81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" path="m,l6846458,v74761,,135367,60606,135367,135367l6981825,812184,,812184,,xe" fillcolor="#f1f2f2 [3214]" stroked="f" strokeweight="1pt">
                  <v:stroke joinstyle="miter"/>
                  <v:path arrowok="t" o:connecttype="custom" o:connectlocs="0,0;6846458,0;6981825,135367;6981825,812184;0,812184;0,0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alt="&quot;&quot;" style="position:absolute;left:887;top:7406;width:67097;height:6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4F92EACC" w14:textId="02CB0542" w:rsidR="009252CE" w:rsidRPr="00F45B7B" w:rsidRDefault="00821C44" w:rsidP="00DB11A2">
                        <w:pPr>
                          <w:ind w:left="567"/>
                          <w:rPr>
                            <w:rFonts w:cs="Arial"/>
                            <w:color w:val="171919" w:themeColor="background1" w:themeShade="1A"/>
                            <w:sz w:val="22"/>
                            <w:szCs w:val="22"/>
                          </w:rPr>
                        </w:pPr>
                        <w:r>
                          <w:t>C</w:t>
                        </w:r>
                        <w:r w:rsidR="00074C26">
                          <w:t>ontact the AN-ACC Operations Team for any</w:t>
                        </w:r>
                        <w:r w:rsidR="009252CE">
                          <w:t xml:space="preserve"> </w:t>
                        </w:r>
                        <w:r w:rsidR="00074C26">
                          <w:t xml:space="preserve">questions regarding </w:t>
                        </w:r>
                        <w:r w:rsidR="00F35009">
                          <w:t>funding</w:t>
                        </w:r>
                        <w:r w:rsidR="009252CE">
                          <w:t xml:space="preserve"> assessment pathways</w:t>
                        </w:r>
                        <w:r>
                          <w:t>:</w:t>
                        </w:r>
                        <w:r w:rsidR="009252CE">
                          <w:t xml:space="preserve"> </w:t>
                        </w:r>
                        <w:hyperlink r:id="rId17" w:history="1">
                          <w:r w:rsidR="009252CE" w:rsidRPr="000C0A7C">
                            <w:rPr>
                              <w:rStyle w:val="Hyperlink"/>
                            </w:rPr>
                            <w:t>ANACCoperations@health.gov.au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D04590" w:rsidSect="00074C26">
      <w:headerReference w:type="first" r:id="rId18"/>
      <w:pgSz w:w="11906" w:h="16838"/>
      <w:pgMar w:top="1440" w:right="851" w:bottom="851" w:left="851" w:header="147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E3E5A" w14:textId="77777777" w:rsidR="0097460B" w:rsidRDefault="0097460B" w:rsidP="0076491B">
      <w:pPr>
        <w:spacing w:before="0" w:after="0" w:line="240" w:lineRule="auto"/>
      </w:pPr>
      <w:r>
        <w:separator/>
      </w:r>
    </w:p>
  </w:endnote>
  <w:endnote w:type="continuationSeparator" w:id="0">
    <w:p w14:paraId="7C158172" w14:textId="77777777" w:rsidR="0097460B" w:rsidRDefault="0097460B" w:rsidP="0076491B">
      <w:pPr>
        <w:spacing w:before="0" w:after="0" w:line="240" w:lineRule="auto"/>
      </w:pPr>
      <w:r>
        <w:continuationSeparator/>
      </w:r>
    </w:p>
  </w:endnote>
  <w:endnote w:type="continuationNotice" w:id="1">
    <w:p w14:paraId="77583444" w14:textId="77777777" w:rsidR="0097460B" w:rsidRDefault="0097460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0E77" w14:textId="77777777" w:rsidR="0097460B" w:rsidRDefault="0097460B" w:rsidP="0076491B">
      <w:pPr>
        <w:spacing w:before="0" w:after="0" w:line="240" w:lineRule="auto"/>
      </w:pPr>
      <w:r>
        <w:separator/>
      </w:r>
    </w:p>
  </w:footnote>
  <w:footnote w:type="continuationSeparator" w:id="0">
    <w:p w14:paraId="5FB1E590" w14:textId="77777777" w:rsidR="0097460B" w:rsidRDefault="0097460B" w:rsidP="0076491B">
      <w:pPr>
        <w:spacing w:before="0" w:after="0" w:line="240" w:lineRule="auto"/>
      </w:pPr>
      <w:r>
        <w:continuationSeparator/>
      </w:r>
    </w:p>
  </w:footnote>
  <w:footnote w:type="continuationNotice" w:id="1">
    <w:p w14:paraId="66980D7C" w14:textId="77777777" w:rsidR="0097460B" w:rsidRDefault="0097460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D9DB7" w14:textId="54FA4012" w:rsidR="0076491B" w:rsidRDefault="00592E0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5D0A82" wp14:editId="7B8BC59B">
          <wp:simplePos x="0" y="0"/>
          <wp:positionH relativeFrom="page">
            <wp:posOffset>10160</wp:posOffset>
          </wp:positionH>
          <wp:positionV relativeFrom="page">
            <wp:posOffset>-12700</wp:posOffset>
          </wp:positionV>
          <wp:extent cx="7531100" cy="1985749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985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25F6"/>
    <w:multiLevelType w:val="hybridMultilevel"/>
    <w:tmpl w:val="75FA7438"/>
    <w:lvl w:ilvl="0" w:tplc="E4D69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A53ABA"/>
    <w:multiLevelType w:val="hybridMultilevel"/>
    <w:tmpl w:val="3176FA10"/>
    <w:lvl w:ilvl="0" w:tplc="FB268A42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/>
        <w:bCs/>
        <w:color w:val="1F848B" w:themeColor="accent1" w:themeShade="BF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33706"/>
    <w:multiLevelType w:val="hybridMultilevel"/>
    <w:tmpl w:val="F7AAFA7A"/>
    <w:lvl w:ilvl="0" w:tplc="0D165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25D12"/>
    <w:multiLevelType w:val="hybridMultilevel"/>
    <w:tmpl w:val="13760F64"/>
    <w:lvl w:ilvl="0" w:tplc="F17E0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02210"/>
    <w:multiLevelType w:val="hybridMultilevel"/>
    <w:tmpl w:val="EAFE8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04A51"/>
    <w:multiLevelType w:val="hybridMultilevel"/>
    <w:tmpl w:val="75FA7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82B45"/>
    <w:multiLevelType w:val="hybridMultilevel"/>
    <w:tmpl w:val="8886EC90"/>
    <w:lvl w:ilvl="0" w:tplc="D00268D2">
      <w:numFmt w:val="bullet"/>
      <w:pStyle w:val="Dotpoints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B5475C"/>
    <w:multiLevelType w:val="hybridMultilevel"/>
    <w:tmpl w:val="2820CE56"/>
    <w:lvl w:ilvl="0" w:tplc="F48EA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321701">
    <w:abstractNumId w:val="25"/>
  </w:num>
  <w:num w:numId="2" w16cid:durableId="331683371">
    <w:abstractNumId w:val="5"/>
  </w:num>
  <w:num w:numId="3" w16cid:durableId="1255477571">
    <w:abstractNumId w:val="22"/>
  </w:num>
  <w:num w:numId="4" w16cid:durableId="242109149">
    <w:abstractNumId w:val="23"/>
  </w:num>
  <w:num w:numId="5" w16cid:durableId="1855873883">
    <w:abstractNumId w:val="11"/>
  </w:num>
  <w:num w:numId="6" w16cid:durableId="1305041851">
    <w:abstractNumId w:val="3"/>
  </w:num>
  <w:num w:numId="7" w16cid:durableId="853887504">
    <w:abstractNumId w:val="19"/>
  </w:num>
  <w:num w:numId="8" w16cid:durableId="1791821930">
    <w:abstractNumId w:val="16"/>
  </w:num>
  <w:num w:numId="9" w16cid:durableId="1767769138">
    <w:abstractNumId w:val="21"/>
  </w:num>
  <w:num w:numId="10" w16cid:durableId="838619023">
    <w:abstractNumId w:val="0"/>
  </w:num>
  <w:num w:numId="11" w16cid:durableId="937978741">
    <w:abstractNumId w:val="26"/>
  </w:num>
  <w:num w:numId="12" w16cid:durableId="719787420">
    <w:abstractNumId w:val="7"/>
  </w:num>
  <w:num w:numId="13" w16cid:durableId="1183472726">
    <w:abstractNumId w:val="15"/>
  </w:num>
  <w:num w:numId="14" w16cid:durableId="217592545">
    <w:abstractNumId w:val="1"/>
  </w:num>
  <w:num w:numId="15" w16cid:durableId="1969700609">
    <w:abstractNumId w:val="10"/>
  </w:num>
  <w:num w:numId="16" w16cid:durableId="1333071663">
    <w:abstractNumId w:val="13"/>
  </w:num>
  <w:num w:numId="17" w16cid:durableId="2061052662">
    <w:abstractNumId w:val="20"/>
  </w:num>
  <w:num w:numId="18" w16cid:durableId="958679195">
    <w:abstractNumId w:val="14"/>
  </w:num>
  <w:num w:numId="19" w16cid:durableId="1922055834">
    <w:abstractNumId w:val="6"/>
  </w:num>
  <w:num w:numId="20" w16cid:durableId="1464427150">
    <w:abstractNumId w:val="8"/>
  </w:num>
  <w:num w:numId="21" w16cid:durableId="808864422">
    <w:abstractNumId w:val="9"/>
  </w:num>
  <w:num w:numId="22" w16cid:durableId="596713950">
    <w:abstractNumId w:val="2"/>
  </w:num>
  <w:num w:numId="23" w16cid:durableId="1990741246">
    <w:abstractNumId w:val="24"/>
  </w:num>
  <w:num w:numId="24" w16cid:durableId="253562558">
    <w:abstractNumId w:val="17"/>
  </w:num>
  <w:num w:numId="25" w16cid:durableId="1448351239">
    <w:abstractNumId w:val="18"/>
  </w:num>
  <w:num w:numId="26" w16cid:durableId="757870492">
    <w:abstractNumId w:val="12"/>
  </w:num>
  <w:num w:numId="27" w16cid:durableId="2042316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8C"/>
    <w:rsid w:val="00027FAD"/>
    <w:rsid w:val="000346E2"/>
    <w:rsid w:val="0003698B"/>
    <w:rsid w:val="0004546C"/>
    <w:rsid w:val="00074C26"/>
    <w:rsid w:val="00093127"/>
    <w:rsid w:val="00096000"/>
    <w:rsid w:val="000B3154"/>
    <w:rsid w:val="000C33EA"/>
    <w:rsid w:val="000D1BEF"/>
    <w:rsid w:val="000E7930"/>
    <w:rsid w:val="001140C6"/>
    <w:rsid w:val="00126220"/>
    <w:rsid w:val="00130E46"/>
    <w:rsid w:val="00137FF2"/>
    <w:rsid w:val="00145BDC"/>
    <w:rsid w:val="0015039C"/>
    <w:rsid w:val="0018537B"/>
    <w:rsid w:val="001A082D"/>
    <w:rsid w:val="001A5A39"/>
    <w:rsid w:val="001B3179"/>
    <w:rsid w:val="001E26AB"/>
    <w:rsid w:val="001E3F78"/>
    <w:rsid w:val="00226D21"/>
    <w:rsid w:val="0024067C"/>
    <w:rsid w:val="002414BF"/>
    <w:rsid w:val="00260800"/>
    <w:rsid w:val="00281528"/>
    <w:rsid w:val="002A3AF6"/>
    <w:rsid w:val="002B15E4"/>
    <w:rsid w:val="002C2D46"/>
    <w:rsid w:val="002C695E"/>
    <w:rsid w:val="002D4443"/>
    <w:rsid w:val="002F36CF"/>
    <w:rsid w:val="00310EB5"/>
    <w:rsid w:val="003153BA"/>
    <w:rsid w:val="0033420E"/>
    <w:rsid w:val="00340254"/>
    <w:rsid w:val="00360B34"/>
    <w:rsid w:val="003619F4"/>
    <w:rsid w:val="003F5048"/>
    <w:rsid w:val="003F59ED"/>
    <w:rsid w:val="004109B8"/>
    <w:rsid w:val="00422631"/>
    <w:rsid w:val="00434761"/>
    <w:rsid w:val="0044621D"/>
    <w:rsid w:val="004557A0"/>
    <w:rsid w:val="00461B91"/>
    <w:rsid w:val="00486876"/>
    <w:rsid w:val="00486F7A"/>
    <w:rsid w:val="004C11EB"/>
    <w:rsid w:val="004D2BF4"/>
    <w:rsid w:val="004D7975"/>
    <w:rsid w:val="004F7E50"/>
    <w:rsid w:val="005035B6"/>
    <w:rsid w:val="005527A0"/>
    <w:rsid w:val="00575273"/>
    <w:rsid w:val="00577BBA"/>
    <w:rsid w:val="00592E07"/>
    <w:rsid w:val="005A623A"/>
    <w:rsid w:val="005F0E67"/>
    <w:rsid w:val="00624980"/>
    <w:rsid w:val="00633C05"/>
    <w:rsid w:val="00633DB4"/>
    <w:rsid w:val="0064285A"/>
    <w:rsid w:val="00644AC3"/>
    <w:rsid w:val="006503D4"/>
    <w:rsid w:val="0065167C"/>
    <w:rsid w:val="006675F3"/>
    <w:rsid w:val="00680941"/>
    <w:rsid w:val="006A0FCB"/>
    <w:rsid w:val="006C07D3"/>
    <w:rsid w:val="006E4483"/>
    <w:rsid w:val="00726939"/>
    <w:rsid w:val="00740326"/>
    <w:rsid w:val="0074239F"/>
    <w:rsid w:val="00757238"/>
    <w:rsid w:val="0076491B"/>
    <w:rsid w:val="00770A42"/>
    <w:rsid w:val="00794234"/>
    <w:rsid w:val="007B0DB9"/>
    <w:rsid w:val="007C62E3"/>
    <w:rsid w:val="007E444A"/>
    <w:rsid w:val="00821C44"/>
    <w:rsid w:val="00833B02"/>
    <w:rsid w:val="00856B90"/>
    <w:rsid w:val="00870182"/>
    <w:rsid w:val="00893D17"/>
    <w:rsid w:val="008A1938"/>
    <w:rsid w:val="008E630B"/>
    <w:rsid w:val="008F467F"/>
    <w:rsid w:val="008F53D9"/>
    <w:rsid w:val="008F796F"/>
    <w:rsid w:val="00917514"/>
    <w:rsid w:val="009252CE"/>
    <w:rsid w:val="009346B6"/>
    <w:rsid w:val="00953AE1"/>
    <w:rsid w:val="00961070"/>
    <w:rsid w:val="0097460B"/>
    <w:rsid w:val="009A33E1"/>
    <w:rsid w:val="009A757F"/>
    <w:rsid w:val="009B2828"/>
    <w:rsid w:val="009B5E07"/>
    <w:rsid w:val="009E24FC"/>
    <w:rsid w:val="00A23DF7"/>
    <w:rsid w:val="00A47FCF"/>
    <w:rsid w:val="00A57BC9"/>
    <w:rsid w:val="00A635C3"/>
    <w:rsid w:val="00A73693"/>
    <w:rsid w:val="00AB13B4"/>
    <w:rsid w:val="00AC04A6"/>
    <w:rsid w:val="00AF3EEB"/>
    <w:rsid w:val="00B15D3B"/>
    <w:rsid w:val="00B17F10"/>
    <w:rsid w:val="00B23C8D"/>
    <w:rsid w:val="00B418B1"/>
    <w:rsid w:val="00B72CB9"/>
    <w:rsid w:val="00B875D1"/>
    <w:rsid w:val="00BC7848"/>
    <w:rsid w:val="00BD577C"/>
    <w:rsid w:val="00BF3173"/>
    <w:rsid w:val="00C074CB"/>
    <w:rsid w:val="00C301C1"/>
    <w:rsid w:val="00C46331"/>
    <w:rsid w:val="00C54BC2"/>
    <w:rsid w:val="00C6238C"/>
    <w:rsid w:val="00C736EB"/>
    <w:rsid w:val="00C76B54"/>
    <w:rsid w:val="00C82726"/>
    <w:rsid w:val="00C9187A"/>
    <w:rsid w:val="00CA0CFC"/>
    <w:rsid w:val="00CC3B42"/>
    <w:rsid w:val="00D04590"/>
    <w:rsid w:val="00D14060"/>
    <w:rsid w:val="00D14C70"/>
    <w:rsid w:val="00D15F1E"/>
    <w:rsid w:val="00D24EA5"/>
    <w:rsid w:val="00D47450"/>
    <w:rsid w:val="00D62A84"/>
    <w:rsid w:val="00D65520"/>
    <w:rsid w:val="00D7191C"/>
    <w:rsid w:val="00D86551"/>
    <w:rsid w:val="00D9002B"/>
    <w:rsid w:val="00DB11A2"/>
    <w:rsid w:val="00DC1FB8"/>
    <w:rsid w:val="00DC7AC5"/>
    <w:rsid w:val="00DF5CC8"/>
    <w:rsid w:val="00E62089"/>
    <w:rsid w:val="00E91CEE"/>
    <w:rsid w:val="00E97919"/>
    <w:rsid w:val="00EB121E"/>
    <w:rsid w:val="00EB353F"/>
    <w:rsid w:val="00EC4031"/>
    <w:rsid w:val="00F32346"/>
    <w:rsid w:val="00F35009"/>
    <w:rsid w:val="00F50616"/>
    <w:rsid w:val="00F90C6D"/>
    <w:rsid w:val="00FB4373"/>
    <w:rsid w:val="00FE0FC7"/>
    <w:rsid w:val="00FE78C1"/>
    <w:rsid w:val="08B1A7BA"/>
    <w:rsid w:val="0965E7FB"/>
    <w:rsid w:val="273E3F7D"/>
    <w:rsid w:val="29AE5FAB"/>
    <w:rsid w:val="2C5A9945"/>
    <w:rsid w:val="4EE4F15D"/>
    <w:rsid w:val="4F4156E4"/>
    <w:rsid w:val="5010F798"/>
    <w:rsid w:val="61EBBD2A"/>
    <w:rsid w:val="7EDCE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CEB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91C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9F4"/>
    <w:pPr>
      <w:keepNext/>
      <w:keepLines/>
      <w:spacing w:before="144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9F4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422631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1A082D"/>
    <w:pPr>
      <w:spacing w:before="0"/>
    </w:pPr>
    <w:rPr>
      <w:color w:val="1E1544" w:themeColor="text1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E91CEE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4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590"/>
    <w:pPr>
      <w:spacing w:before="0" w:after="16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59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D17"/>
    <w:pPr>
      <w:spacing w:before="120" w:after="120"/>
    </w:pPr>
    <w:rPr>
      <w:rFonts w:ascii="Arial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D17"/>
    <w:rPr>
      <w:rFonts w:ascii="Arial" w:hAnsi="Arial" w:cs="Times New Roman"/>
      <w:b/>
      <w:bCs/>
      <w:sz w:val="20"/>
      <w:szCs w:val="20"/>
    </w:rPr>
  </w:style>
  <w:style w:type="character" w:customStyle="1" w:styleId="eop">
    <w:name w:val="eop"/>
    <w:basedOn w:val="DefaultParagraphFont"/>
    <w:rsid w:val="003F5048"/>
  </w:style>
  <w:style w:type="character" w:customStyle="1" w:styleId="normaltextrun">
    <w:name w:val="normaltextrun"/>
    <w:basedOn w:val="DefaultParagraphFont"/>
    <w:rsid w:val="003F5048"/>
  </w:style>
  <w:style w:type="character" w:styleId="FollowedHyperlink">
    <w:name w:val="FollowedHyperlink"/>
    <w:basedOn w:val="DefaultParagraphFont"/>
    <w:uiPriority w:val="99"/>
    <w:semiHidden/>
    <w:unhideWhenUsed/>
    <w:rsid w:val="00310EB5"/>
    <w:rPr>
      <w:color w:val="6D6D7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A082D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82D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table" w:styleId="PlainTable1">
    <w:name w:val="Plain Table 1"/>
    <w:basedOn w:val="TableNormal"/>
    <w:uiPriority w:val="41"/>
    <w:rsid w:val="00126220"/>
    <w:rPr>
      <w:sz w:val="22"/>
    </w:rPr>
    <w:tblPr>
      <w:tblStyleRowBandSize w:val="1"/>
      <w:tblStyleColBandSize w:val="1"/>
      <w:tblBorders>
        <w:top w:val="single" w:sz="4" w:space="0" w:color="B2B7B7" w:themeColor="background1" w:themeShade="BF"/>
        <w:left w:val="single" w:sz="4" w:space="0" w:color="B2B7B7" w:themeColor="background1" w:themeShade="BF"/>
        <w:bottom w:val="single" w:sz="4" w:space="0" w:color="B2B7B7" w:themeColor="background1" w:themeShade="BF"/>
        <w:right w:val="single" w:sz="4" w:space="0" w:color="B2B7B7" w:themeColor="background1" w:themeShade="BF"/>
        <w:insideH w:val="single" w:sz="4" w:space="0" w:color="B2B7B7" w:themeColor="background1" w:themeShade="BF"/>
        <w:insideV w:val="single" w:sz="4" w:space="0" w:color="B2B7B7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2B7B7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6E6" w:themeFill="background1" w:themeFillShade="F2"/>
      </w:tcPr>
    </w:tblStylePr>
    <w:tblStylePr w:type="band1Horz">
      <w:tblPr/>
      <w:tcPr>
        <w:shd w:val="clear" w:color="auto" w:fill="E4E6E6" w:themeFill="background1" w:themeFillShade="F2"/>
      </w:tcPr>
    </w:tblStylePr>
  </w:style>
  <w:style w:type="table" w:styleId="TableGridLight">
    <w:name w:val="Grid Table Light"/>
    <w:basedOn w:val="TableSimple1"/>
    <w:uiPriority w:val="40"/>
    <w:rsid w:val="001A082D"/>
    <w:rPr>
      <w:sz w:val="22"/>
      <w:szCs w:val="20"/>
      <w:lang w:val="en-US" w:eastAsia="en-AU"/>
    </w:rPr>
    <w:tblPr>
      <w:tblBorders>
        <w:top w:val="single" w:sz="4" w:space="0" w:color="B2B7B7" w:themeColor="background1" w:themeShade="BF"/>
        <w:left w:val="single" w:sz="4" w:space="0" w:color="B2B7B7" w:themeColor="background1" w:themeShade="BF"/>
        <w:bottom w:val="single" w:sz="4" w:space="0" w:color="B2B7B7" w:themeColor="background1" w:themeShade="BF"/>
        <w:right w:val="single" w:sz="4" w:space="0" w:color="B2B7B7" w:themeColor="background1" w:themeShade="BF"/>
        <w:insideH w:val="single" w:sz="4" w:space="0" w:color="B2B7B7" w:themeColor="background1" w:themeShade="BF"/>
        <w:insideV w:val="single" w:sz="4" w:space="0" w:color="B2B7B7" w:themeColor="background1" w:themeShade="BF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otpoints">
    <w:name w:val="Dot points"/>
    <w:basedOn w:val="ListParagraph"/>
    <w:qFormat/>
    <w:rsid w:val="001A082D"/>
    <w:pPr>
      <w:numPr>
        <w:numId w:val="25"/>
      </w:numPr>
    </w:pPr>
  </w:style>
  <w:style w:type="table" w:styleId="GridTable4">
    <w:name w:val="Grid Table 4"/>
    <w:basedOn w:val="TableNormal"/>
    <w:uiPriority w:val="49"/>
    <w:rsid w:val="001A082D"/>
    <w:tblPr>
      <w:tblStyleRowBandSize w:val="1"/>
      <w:tblStyleColBandSize w:val="1"/>
      <w:tblBorders>
        <w:top w:val="single" w:sz="4" w:space="0" w:color="573EC3" w:themeColor="text1" w:themeTint="99"/>
        <w:left w:val="single" w:sz="4" w:space="0" w:color="573EC3" w:themeColor="text1" w:themeTint="99"/>
        <w:bottom w:val="single" w:sz="4" w:space="0" w:color="573EC3" w:themeColor="text1" w:themeTint="99"/>
        <w:right w:val="single" w:sz="4" w:space="0" w:color="573EC3" w:themeColor="text1" w:themeTint="99"/>
        <w:insideH w:val="single" w:sz="4" w:space="0" w:color="573EC3" w:themeColor="text1" w:themeTint="99"/>
        <w:insideV w:val="single" w:sz="4" w:space="0" w:color="573EC3" w:themeColor="text1" w:themeTint="99"/>
      </w:tblBorders>
    </w:tblPr>
    <w:tblStylePr w:type="firstRow">
      <w:rPr>
        <w:b/>
        <w:bCs/>
        <w:color w:val="F1F2F2" w:themeColor="background1"/>
      </w:rPr>
      <w:tblPr/>
      <w:tcPr>
        <w:tcBorders>
          <w:top w:val="single" w:sz="4" w:space="0" w:color="1E1544" w:themeColor="text1"/>
          <w:left w:val="single" w:sz="4" w:space="0" w:color="1E1544" w:themeColor="text1"/>
          <w:bottom w:val="single" w:sz="4" w:space="0" w:color="1E1544" w:themeColor="text1"/>
          <w:right w:val="single" w:sz="4" w:space="0" w:color="1E1544" w:themeColor="text1"/>
          <w:insideH w:val="nil"/>
          <w:insideV w:val="nil"/>
        </w:tcBorders>
        <w:shd w:val="clear" w:color="auto" w:fill="1E1544" w:themeFill="text1"/>
      </w:tcPr>
    </w:tblStylePr>
    <w:tblStylePr w:type="lastRow">
      <w:rPr>
        <w:b/>
        <w:bCs/>
      </w:rPr>
      <w:tblPr/>
      <w:tcPr>
        <w:tcBorders>
          <w:top w:val="double" w:sz="4" w:space="0" w:color="1E15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EEB" w:themeFill="text1" w:themeFillTint="33"/>
      </w:tcPr>
    </w:tblStylePr>
    <w:tblStylePr w:type="band1Horz">
      <w:tblPr/>
      <w:tcPr>
        <w:shd w:val="clear" w:color="auto" w:fill="C6BEEB" w:themeFill="text1" w:themeFillTint="33"/>
      </w:tcPr>
    </w:tblStylePr>
  </w:style>
  <w:style w:type="table" w:styleId="TableSimple1">
    <w:name w:val="Table Simple 1"/>
    <w:basedOn w:val="TableNormal"/>
    <w:uiPriority w:val="99"/>
    <w:semiHidden/>
    <w:unhideWhenUsed/>
    <w:rsid w:val="001A082D"/>
    <w:pPr>
      <w:spacing w:before="120" w:after="12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stTable4">
    <w:name w:val="List Table 4"/>
    <w:basedOn w:val="TableNormal"/>
    <w:uiPriority w:val="49"/>
    <w:rsid w:val="00B23C8D"/>
    <w:rPr>
      <w:rFonts w:ascii="Arial" w:hAnsi="Arial"/>
      <w:sz w:val="20"/>
    </w:rPr>
    <w:tblPr>
      <w:tblStyleRowBandSize w:val="1"/>
      <w:tblStyleColBandSize w:val="1"/>
    </w:tblPr>
    <w:tblStylePr w:type="firstRow">
      <w:rPr>
        <w:b w:val="0"/>
        <w:bCs/>
        <w:color w:val="F1F2F2" w:themeColor="background1"/>
      </w:rPr>
      <w:tblPr/>
      <w:tcPr>
        <w:tcBorders>
          <w:top w:val="single" w:sz="4" w:space="0" w:color="F1F2F2" w:themeColor="background2"/>
          <w:left w:val="single" w:sz="4" w:space="0" w:color="F1F2F2" w:themeColor="background2"/>
          <w:bottom w:val="single" w:sz="4" w:space="0" w:color="F1F2F2" w:themeColor="background2"/>
          <w:right w:val="single" w:sz="4" w:space="0" w:color="F1F2F2" w:themeColor="background2"/>
          <w:insideH w:val="nil"/>
        </w:tcBorders>
        <w:shd w:val="clear" w:color="auto" w:fill="1E1544" w:themeFill="text1"/>
      </w:tcPr>
    </w:tblStylePr>
    <w:tblStylePr w:type="lastRow">
      <w:rPr>
        <w:b/>
        <w:bCs/>
      </w:rPr>
    </w:tblStylePr>
    <w:tblStylePr w:type="firstCol">
      <w:rPr>
        <w:b w:val="0"/>
        <w:bCs/>
      </w:rPr>
      <w:tblPr/>
      <w:tcPr>
        <w:shd w:val="clear" w:color="auto" w:fill="F2FCFC"/>
      </w:tc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DC1FB8"/>
    <w:rPr>
      <w:rFonts w:ascii="Arial" w:hAnsi="Arial"/>
    </w:rPr>
  </w:style>
  <w:style w:type="paragraph" w:styleId="ListNumber">
    <w:name w:val="List Number"/>
    <w:basedOn w:val="Normal"/>
    <w:uiPriority w:val="99"/>
    <w:unhideWhenUsed/>
    <w:qFormat/>
    <w:rsid w:val="00D7191C"/>
    <w:pPr>
      <w:keepNext/>
      <w:numPr>
        <w:numId w:val="27"/>
      </w:numPr>
      <w:spacing w:line="240" w:lineRule="auto"/>
      <w:ind w:left="714" w:hanging="357"/>
    </w:pPr>
    <w:rPr>
      <w:rFonts w:eastAsia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publications/palliative-care-status-form" TargetMode="External"/><Relationship Id="rId13" Type="http://schemas.openxmlformats.org/officeDocument/2006/relationships/hyperlink" Target="https://www.health.gov.au/resources/apps-and-tools/my-aged-care-service-and-support-portal?msclkid=da02d540d11311ecbc13306f034f4c7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alth.gov.au/resources/apps-and-tools/my-aged-care-service-and-support-portal?msclkid=da02d540d11311ecbc13306f034f4c73" TargetMode="External"/><Relationship Id="rId17" Type="http://schemas.openxmlformats.org/officeDocument/2006/relationships/hyperlink" Target="mailto:ANACCoperations@health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ACCoperations@health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our-work/AN-ACC/providers/palliative-car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health.gov.au/our-work/AN-ACC/providers/palliative-car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apps-and-tools/my-aged-care-service-and-support-portal?msclkid=da02d540d11311ecbc13306f034f4c73" TargetMode="External"/><Relationship Id="rId14" Type="http://schemas.openxmlformats.org/officeDocument/2006/relationships/hyperlink" Target="https://www.health.gov.au/resources/publications/australian-national-aged-care-classification-an-acc-assessment-pathways-for-an-aged-care-resident?language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2024-12-13T04:55:00Z</dcterms:created>
  <dcterms:modified xsi:type="dcterms:W3CDTF">2024-12-13T04:55:00Z</dcterms:modified>
</cp:coreProperties>
</file>