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F252" w14:textId="77777777" w:rsidR="007E38CE" w:rsidRPr="007D2D8A" w:rsidRDefault="00C83518" w:rsidP="00751A23">
      <w:pPr>
        <w:pStyle w:val="Title"/>
        <w:rPr>
          <w:sz w:val="44"/>
          <w:szCs w:val="48"/>
        </w:rPr>
      </w:pPr>
      <w:bookmarkStart w:id="0" w:name="_Hlk152335839"/>
      <w:r w:rsidRPr="007D2D8A">
        <w:rPr>
          <w:sz w:val="44"/>
          <w:szCs w:val="48"/>
        </w:rPr>
        <w:t xml:space="preserve">Reforms to the Prescribed List </w:t>
      </w:r>
    </w:p>
    <w:p w14:paraId="1583F284" w14:textId="5A9E723B" w:rsidR="00751A23" w:rsidRPr="007D2D8A" w:rsidRDefault="00C83518" w:rsidP="00751A23">
      <w:pPr>
        <w:pStyle w:val="Title"/>
        <w:rPr>
          <w:sz w:val="44"/>
          <w:szCs w:val="48"/>
        </w:rPr>
      </w:pPr>
      <w:r w:rsidRPr="007D2D8A">
        <w:rPr>
          <w:sz w:val="44"/>
          <w:szCs w:val="48"/>
        </w:rPr>
        <w:t>Part B</w:t>
      </w:r>
      <w:r w:rsidR="007E38CE" w:rsidRPr="007D2D8A">
        <w:rPr>
          <w:sz w:val="44"/>
          <w:szCs w:val="48"/>
        </w:rPr>
        <w:t>:</w:t>
      </w:r>
      <w:r w:rsidR="00BB3CE2" w:rsidRPr="007D2D8A">
        <w:rPr>
          <w:sz w:val="44"/>
          <w:szCs w:val="48"/>
        </w:rPr>
        <w:t xml:space="preserve"> </w:t>
      </w:r>
      <w:bookmarkEnd w:id="0"/>
      <w:r w:rsidR="00C14A63" w:rsidRPr="007D2D8A">
        <w:rPr>
          <w:sz w:val="44"/>
          <w:szCs w:val="48"/>
        </w:rPr>
        <w:t xml:space="preserve">Analysis of </w:t>
      </w:r>
      <w:r w:rsidR="007D2D8A">
        <w:rPr>
          <w:sz w:val="44"/>
          <w:szCs w:val="48"/>
        </w:rPr>
        <w:t>s</w:t>
      </w:r>
      <w:r w:rsidRPr="007D2D8A">
        <w:rPr>
          <w:sz w:val="44"/>
          <w:szCs w:val="48"/>
        </w:rPr>
        <w:t xml:space="preserve">takeholder feedback </w:t>
      </w:r>
    </w:p>
    <w:p w14:paraId="01FB5FF7" w14:textId="22F824A4" w:rsidR="00896B41" w:rsidRDefault="006237AE" w:rsidP="00751A23">
      <w:pPr>
        <w:pStyle w:val="Subtitle"/>
      </w:pPr>
      <w:r>
        <w:t xml:space="preserve">October </w:t>
      </w:r>
      <w:r w:rsidR="00187773">
        <w:t>202</w:t>
      </w:r>
      <w:r w:rsidR="007E5188">
        <w:t>4</w:t>
      </w:r>
    </w:p>
    <w:p w14:paraId="2776E588" w14:textId="77777777" w:rsidR="00896B41" w:rsidRDefault="00896B41">
      <w:pPr>
        <w:rPr>
          <w:rFonts w:eastAsiaTheme="majorEastAsia" w:cstheme="majorBidi"/>
          <w:iCs/>
          <w:color w:val="3F4A75"/>
          <w:spacing w:val="15"/>
          <w:sz w:val="40"/>
        </w:rPr>
      </w:pPr>
      <w:r>
        <w:br w:type="page"/>
      </w:r>
    </w:p>
    <w:p w14:paraId="4A6B0DA3" w14:textId="77777777" w:rsidR="00751A23" w:rsidRDefault="00751A23"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p>
    <w:p w14:paraId="6B2A8245" w14:textId="15501A69" w:rsidR="00820C89" w:rsidRDefault="00820C89" w:rsidP="00E05066">
      <w:pPr>
        <w:pStyle w:val="Heading1"/>
        <w:spacing w:after="360"/>
      </w:pPr>
      <w:r>
        <w:lastRenderedPageBreak/>
        <w:t>Abbreviations</w:t>
      </w:r>
    </w:p>
    <w:p w14:paraId="73678A5E" w14:textId="6BF94588" w:rsidR="00CF1E33" w:rsidRDefault="00101BE0" w:rsidP="00E05066">
      <w:pPr>
        <w:tabs>
          <w:tab w:val="left" w:pos="1418"/>
        </w:tabs>
        <w:spacing w:after="240"/>
      </w:pPr>
      <w:r>
        <w:t>ARTG</w:t>
      </w:r>
      <w:r w:rsidR="002460A7">
        <w:tab/>
      </w:r>
      <w:r w:rsidR="002460A7" w:rsidRPr="00027F31">
        <w:rPr>
          <w:szCs w:val="22"/>
        </w:rPr>
        <w:t>Australian Register of Therapeutic Goods</w:t>
      </w:r>
    </w:p>
    <w:p w14:paraId="32CCFB21" w14:textId="54ED5E27" w:rsidR="007E38CE" w:rsidRDefault="007E38CE" w:rsidP="00E05066">
      <w:pPr>
        <w:tabs>
          <w:tab w:val="left" w:pos="1418"/>
        </w:tabs>
        <w:spacing w:after="240"/>
      </w:pPr>
      <w:r>
        <w:t>ATO</w:t>
      </w:r>
      <w:r>
        <w:tab/>
        <w:t>Australian Taxation Office</w:t>
      </w:r>
    </w:p>
    <w:p w14:paraId="061F65E3" w14:textId="26477DFE" w:rsidR="001929DA" w:rsidRDefault="001929DA" w:rsidP="00E05066">
      <w:pPr>
        <w:tabs>
          <w:tab w:val="left" w:pos="1418"/>
        </w:tabs>
        <w:spacing w:after="240"/>
      </w:pPr>
      <w:r>
        <w:t>Department</w:t>
      </w:r>
      <w:r>
        <w:tab/>
      </w:r>
      <w:proofErr w:type="spellStart"/>
      <w:r>
        <w:t>Department</w:t>
      </w:r>
      <w:proofErr w:type="spellEnd"/>
      <w:r>
        <w:t xml:space="preserve"> of Health and Aged Care</w:t>
      </w:r>
    </w:p>
    <w:p w14:paraId="30488ED8" w14:textId="3141DFCD" w:rsidR="00FA11FA" w:rsidRDefault="00FA11FA" w:rsidP="00E05066">
      <w:pPr>
        <w:tabs>
          <w:tab w:val="left" w:pos="1418"/>
        </w:tabs>
        <w:spacing w:after="240"/>
      </w:pPr>
      <w:r>
        <w:t>FP</w:t>
      </w:r>
      <w:r>
        <w:tab/>
        <w:t>For-profit</w:t>
      </w:r>
    </w:p>
    <w:p w14:paraId="30968CEC" w14:textId="473388F3" w:rsidR="000E0EF1" w:rsidRDefault="000E0EF1" w:rsidP="00E05066">
      <w:pPr>
        <w:tabs>
          <w:tab w:val="left" w:pos="1418"/>
        </w:tabs>
        <w:spacing w:after="240"/>
      </w:pPr>
      <w:r>
        <w:t>HPP</w:t>
      </w:r>
      <w:r w:rsidR="002460A7">
        <w:tab/>
        <w:t>Health Products Portal</w:t>
      </w:r>
    </w:p>
    <w:p w14:paraId="65C3F1BF" w14:textId="1F19A513" w:rsidR="00101BE0" w:rsidRDefault="00101BE0" w:rsidP="00E05066">
      <w:pPr>
        <w:tabs>
          <w:tab w:val="left" w:pos="1418"/>
        </w:tabs>
        <w:spacing w:after="240"/>
      </w:pPr>
      <w:r>
        <w:t>HTA</w:t>
      </w:r>
      <w:r w:rsidR="002460A7">
        <w:tab/>
        <w:t>Health Technology Assessment</w:t>
      </w:r>
    </w:p>
    <w:p w14:paraId="386D7265" w14:textId="19DF23D3" w:rsidR="0047044F" w:rsidRDefault="0047044F" w:rsidP="00E05066">
      <w:pPr>
        <w:tabs>
          <w:tab w:val="left" w:pos="1418"/>
        </w:tabs>
        <w:spacing w:after="240"/>
      </w:pPr>
      <w:r w:rsidRPr="0029687C">
        <w:rPr>
          <w:szCs w:val="22"/>
        </w:rPr>
        <w:t xml:space="preserve">JOTSC </w:t>
      </w:r>
      <w:r>
        <w:rPr>
          <w:szCs w:val="22"/>
        </w:rPr>
        <w:tab/>
      </w:r>
      <w:r w:rsidRPr="0029687C">
        <w:rPr>
          <w:szCs w:val="22"/>
        </w:rPr>
        <w:t>Jurisdictional Organ and Tissue Steering Committee</w:t>
      </w:r>
    </w:p>
    <w:p w14:paraId="1D545917" w14:textId="35DE98BA" w:rsidR="000E0EF1" w:rsidRDefault="000E0EF1" w:rsidP="00E05066">
      <w:pPr>
        <w:tabs>
          <w:tab w:val="left" w:pos="1418"/>
        </w:tabs>
        <w:spacing w:after="240"/>
      </w:pPr>
      <w:r>
        <w:t>PLRT</w:t>
      </w:r>
      <w:r w:rsidR="002460A7">
        <w:tab/>
        <w:t>Prescribed List Reform Taskforce</w:t>
      </w:r>
    </w:p>
    <w:p w14:paraId="75281F9A" w14:textId="3795F4B5" w:rsidR="004A594A" w:rsidRDefault="004A594A" w:rsidP="00E05066">
      <w:pPr>
        <w:tabs>
          <w:tab w:val="left" w:pos="1418"/>
        </w:tabs>
        <w:spacing w:after="240"/>
      </w:pPr>
      <w:r>
        <w:t>MBS</w:t>
      </w:r>
      <w:r>
        <w:tab/>
        <w:t xml:space="preserve">Medicare Benefits Schedule </w:t>
      </w:r>
    </w:p>
    <w:p w14:paraId="1ED1F678" w14:textId="0ED99521" w:rsidR="00820C89" w:rsidRDefault="00820C89" w:rsidP="00E05066">
      <w:pPr>
        <w:tabs>
          <w:tab w:val="left" w:pos="1418"/>
        </w:tabs>
        <w:spacing w:after="240"/>
      </w:pPr>
      <w:r>
        <w:t>MSAC</w:t>
      </w:r>
      <w:r w:rsidR="002460A7">
        <w:tab/>
        <w:t>Medical Ser</w:t>
      </w:r>
      <w:r w:rsidR="000B62BD">
        <w:t>vices Advisory Committee</w:t>
      </w:r>
    </w:p>
    <w:p w14:paraId="5DECD542" w14:textId="4C3AD081" w:rsidR="000E0EF1" w:rsidRDefault="000E0EF1" w:rsidP="00E05066">
      <w:pPr>
        <w:tabs>
          <w:tab w:val="left" w:pos="1418"/>
        </w:tabs>
        <w:spacing w:after="240"/>
      </w:pPr>
      <w:commentRangeStart w:id="1"/>
      <w:commentRangeStart w:id="2"/>
      <w:r>
        <w:t>NFP</w:t>
      </w:r>
      <w:r w:rsidR="000B62BD">
        <w:tab/>
        <w:t>Not-</w:t>
      </w:r>
      <w:r w:rsidR="003E58E3">
        <w:t>For-Profit</w:t>
      </w:r>
      <w:commentRangeEnd w:id="1"/>
      <w:r w:rsidR="00E83D9C">
        <w:rPr>
          <w:rStyle w:val="CommentReference"/>
        </w:rPr>
        <w:commentReference w:id="1"/>
      </w:r>
      <w:commentRangeEnd w:id="2"/>
      <w:r w:rsidR="008B5A61">
        <w:rPr>
          <w:rStyle w:val="CommentReference"/>
        </w:rPr>
        <w:commentReference w:id="2"/>
      </w:r>
    </w:p>
    <w:p w14:paraId="14F55BAF" w14:textId="71C51D5D" w:rsidR="00820C89" w:rsidRDefault="00820C89" w:rsidP="00E05066">
      <w:pPr>
        <w:tabs>
          <w:tab w:val="left" w:pos="1418"/>
        </w:tabs>
        <w:spacing w:after="240"/>
      </w:pPr>
      <w:r>
        <w:t>NHMRC</w:t>
      </w:r>
      <w:r w:rsidR="000E3663">
        <w:tab/>
      </w:r>
      <w:r w:rsidR="000E3663" w:rsidRPr="000E3663">
        <w:t>National Health and Medical Research Council</w:t>
      </w:r>
    </w:p>
    <w:p w14:paraId="4206CD81" w14:textId="075DC394" w:rsidR="00E97C3E" w:rsidRDefault="00E97C3E" w:rsidP="00E05066">
      <w:pPr>
        <w:tabs>
          <w:tab w:val="left" w:pos="1418"/>
        </w:tabs>
        <w:spacing w:after="240"/>
      </w:pPr>
      <w:r>
        <w:t>OBPR</w:t>
      </w:r>
      <w:r>
        <w:tab/>
      </w:r>
      <w:r w:rsidRPr="00E97C3E">
        <w:t>Office of Best Practice Regulation</w:t>
      </w:r>
    </w:p>
    <w:p w14:paraId="63548EAA" w14:textId="3324A8A8" w:rsidR="009C5BDC" w:rsidRDefault="009C5BDC" w:rsidP="00E05066">
      <w:pPr>
        <w:tabs>
          <w:tab w:val="left" w:pos="1418"/>
        </w:tabs>
        <w:spacing w:after="240"/>
      </w:pPr>
      <w:r>
        <w:t>PHI</w:t>
      </w:r>
      <w:r>
        <w:tab/>
        <w:t>Private Health Insurance</w:t>
      </w:r>
    </w:p>
    <w:p w14:paraId="3F889FEF" w14:textId="20670F19" w:rsidR="005244A9" w:rsidRDefault="005244A9" w:rsidP="00E05066">
      <w:pPr>
        <w:tabs>
          <w:tab w:val="left" w:pos="1418"/>
        </w:tabs>
        <w:spacing w:after="240"/>
      </w:pPr>
      <w:r>
        <w:t>PL</w:t>
      </w:r>
      <w:r>
        <w:tab/>
      </w:r>
      <w:r w:rsidRPr="005244A9">
        <w:t>Prescribed List of Benefits for Medical Devices and Human Tissue Products</w:t>
      </w:r>
    </w:p>
    <w:p w14:paraId="70C5061C" w14:textId="2CBAF24C" w:rsidR="000E0EF1" w:rsidRDefault="000E0EF1" w:rsidP="00E05066">
      <w:pPr>
        <w:tabs>
          <w:tab w:val="left" w:pos="1418"/>
        </w:tabs>
        <w:spacing w:after="240"/>
      </w:pPr>
      <w:r>
        <w:t>PwC</w:t>
      </w:r>
      <w:r w:rsidR="000E3663">
        <w:tab/>
      </w:r>
      <w:r w:rsidR="00374143">
        <w:t>Pricewaterhouse</w:t>
      </w:r>
      <w:r w:rsidR="004A0433">
        <w:t>Coopers</w:t>
      </w:r>
    </w:p>
    <w:p w14:paraId="7F9DAE09" w14:textId="1AEE1AA3" w:rsidR="00820C89" w:rsidRDefault="00820C89" w:rsidP="00E05066">
      <w:pPr>
        <w:tabs>
          <w:tab w:val="left" w:pos="1418"/>
        </w:tabs>
        <w:spacing w:after="240"/>
      </w:pPr>
      <w:r>
        <w:t>TGA</w:t>
      </w:r>
      <w:r w:rsidR="004A0433">
        <w:tab/>
        <w:t>Therapeutics Goods Administration</w:t>
      </w:r>
    </w:p>
    <w:p w14:paraId="2F22AB61" w14:textId="7E2C2BEA" w:rsidR="00820C89" w:rsidRDefault="00820C89">
      <w:pPr>
        <w:rPr>
          <w:rFonts w:cs="Arial"/>
          <w:bCs/>
          <w:color w:val="3F4A75"/>
          <w:kern w:val="28"/>
          <w:sz w:val="36"/>
          <w:szCs w:val="36"/>
        </w:rPr>
      </w:pPr>
      <w:r>
        <w:br w:type="page"/>
      </w:r>
    </w:p>
    <w:p w14:paraId="3031FDA4" w14:textId="0F32E909" w:rsidR="00187773" w:rsidRDefault="00187773" w:rsidP="00187773">
      <w:pPr>
        <w:pStyle w:val="Heading1"/>
      </w:pPr>
      <w:r>
        <w:lastRenderedPageBreak/>
        <w:t>Introdu</w:t>
      </w:r>
      <w:r w:rsidRPr="002342A0">
        <w:t>ct</w:t>
      </w:r>
      <w:r>
        <w:t>ion</w:t>
      </w:r>
    </w:p>
    <w:p w14:paraId="4E1222BB" w14:textId="3B4DDDE0" w:rsidR="00187773" w:rsidRPr="00027F31" w:rsidRDefault="00187773" w:rsidP="00027F31">
      <w:pPr>
        <w:pStyle w:val="Paragraphtext"/>
        <w:spacing w:after="120"/>
        <w:rPr>
          <w:sz w:val="22"/>
          <w:szCs w:val="22"/>
        </w:rPr>
      </w:pPr>
      <w:r w:rsidRPr="00027F31">
        <w:rPr>
          <w:sz w:val="22"/>
          <w:szCs w:val="22"/>
        </w:rPr>
        <w:t xml:space="preserve">The purpose of this report is to provide an analysis of stakeholder </w:t>
      </w:r>
      <w:hyperlink r:id="rId16" w:history="1">
        <w:r w:rsidRPr="00D2385C">
          <w:rPr>
            <w:rStyle w:val="Hyperlink"/>
            <w:sz w:val="22"/>
            <w:szCs w:val="22"/>
          </w:rPr>
          <w:t>feedback</w:t>
        </w:r>
      </w:hyperlink>
      <w:r w:rsidR="00E24FAC">
        <w:rPr>
          <w:rStyle w:val="FootnoteReference"/>
          <w:sz w:val="22"/>
          <w:szCs w:val="22"/>
        </w:rPr>
        <w:footnoteReference w:id="2"/>
      </w:r>
      <w:r w:rsidRPr="00027F31">
        <w:rPr>
          <w:sz w:val="22"/>
          <w:szCs w:val="22"/>
        </w:rPr>
        <w:t xml:space="preserve"> </w:t>
      </w:r>
      <w:r w:rsidR="0080492A">
        <w:rPr>
          <w:sz w:val="22"/>
          <w:szCs w:val="22"/>
        </w:rPr>
        <w:t xml:space="preserve">received </w:t>
      </w:r>
      <w:r w:rsidR="00C853FE">
        <w:rPr>
          <w:sz w:val="22"/>
          <w:szCs w:val="22"/>
        </w:rPr>
        <w:t xml:space="preserve">in relation to </w:t>
      </w:r>
      <w:r w:rsidRPr="00027F31">
        <w:rPr>
          <w:sz w:val="22"/>
          <w:szCs w:val="22"/>
        </w:rPr>
        <w:t xml:space="preserve">the </w:t>
      </w:r>
      <w:hyperlink r:id="rId17" w:history="1">
        <w:r w:rsidRPr="00027F31">
          <w:rPr>
            <w:rStyle w:val="Hyperlink"/>
            <w:sz w:val="22"/>
            <w:szCs w:val="22"/>
          </w:rPr>
          <w:t>P</w:t>
        </w:r>
        <w:r w:rsidR="003741DF">
          <w:rPr>
            <w:rStyle w:val="Hyperlink"/>
            <w:sz w:val="22"/>
            <w:szCs w:val="22"/>
          </w:rPr>
          <w:t>rice</w:t>
        </w:r>
        <w:r w:rsidRPr="00027F31">
          <w:rPr>
            <w:rStyle w:val="Hyperlink"/>
            <w:sz w:val="22"/>
            <w:szCs w:val="22"/>
          </w:rPr>
          <w:t>w</w:t>
        </w:r>
        <w:r w:rsidR="003741DF">
          <w:rPr>
            <w:rStyle w:val="Hyperlink"/>
            <w:sz w:val="22"/>
            <w:szCs w:val="22"/>
          </w:rPr>
          <w:t>aterhouse</w:t>
        </w:r>
        <w:r w:rsidRPr="00027F31">
          <w:rPr>
            <w:rStyle w:val="Hyperlink"/>
            <w:sz w:val="22"/>
            <w:szCs w:val="22"/>
          </w:rPr>
          <w:t>C</w:t>
        </w:r>
        <w:r w:rsidR="003741DF">
          <w:rPr>
            <w:rStyle w:val="Hyperlink"/>
            <w:sz w:val="22"/>
            <w:szCs w:val="22"/>
          </w:rPr>
          <w:t>oopers (PwC)</w:t>
        </w:r>
        <w:r w:rsidRPr="00027F31">
          <w:rPr>
            <w:rStyle w:val="Hyperlink"/>
            <w:sz w:val="22"/>
            <w:szCs w:val="22"/>
          </w:rPr>
          <w:t xml:space="preserve"> </w:t>
        </w:r>
        <w:r w:rsidR="00E82357">
          <w:rPr>
            <w:rStyle w:val="Hyperlink"/>
            <w:sz w:val="22"/>
            <w:szCs w:val="22"/>
          </w:rPr>
          <w:t xml:space="preserve">- </w:t>
        </w:r>
        <w:r w:rsidRPr="00027F31">
          <w:rPr>
            <w:rStyle w:val="Hyperlink"/>
            <w:sz w:val="22"/>
            <w:szCs w:val="22"/>
          </w:rPr>
          <w:t xml:space="preserve">Report </w:t>
        </w:r>
        <w:r w:rsidR="003741DF">
          <w:rPr>
            <w:rStyle w:val="Hyperlink"/>
            <w:sz w:val="22"/>
            <w:szCs w:val="22"/>
          </w:rPr>
          <w:t>and re</w:t>
        </w:r>
        <w:r w:rsidR="00592C0D">
          <w:rPr>
            <w:rStyle w:val="Hyperlink"/>
            <w:sz w:val="22"/>
            <w:szCs w:val="22"/>
          </w:rPr>
          <w:t xml:space="preserve">commendations </w:t>
        </w:r>
        <w:r w:rsidRPr="00027F31">
          <w:rPr>
            <w:rStyle w:val="Hyperlink"/>
            <w:sz w:val="22"/>
            <w:szCs w:val="22"/>
          </w:rPr>
          <w:t>on</w:t>
        </w:r>
        <w:r w:rsidR="00592C0D">
          <w:rPr>
            <w:rStyle w:val="Hyperlink"/>
            <w:sz w:val="22"/>
            <w:szCs w:val="22"/>
          </w:rPr>
          <w:t xml:space="preserve"> the proposed</w:t>
        </w:r>
        <w:r w:rsidRPr="00027F31">
          <w:rPr>
            <w:rStyle w:val="Hyperlink"/>
            <w:sz w:val="22"/>
            <w:szCs w:val="22"/>
          </w:rPr>
          <w:t xml:space="preserve"> </w:t>
        </w:r>
        <w:r w:rsidR="00592C0D">
          <w:rPr>
            <w:rStyle w:val="Hyperlink"/>
            <w:sz w:val="22"/>
            <w:szCs w:val="22"/>
          </w:rPr>
          <w:t>r</w:t>
        </w:r>
        <w:r w:rsidRPr="00027F31">
          <w:rPr>
            <w:rStyle w:val="Hyperlink"/>
            <w:sz w:val="22"/>
            <w:szCs w:val="22"/>
          </w:rPr>
          <w:t xml:space="preserve">eforms to </w:t>
        </w:r>
        <w:r w:rsidR="00592C0D">
          <w:rPr>
            <w:rStyle w:val="Hyperlink"/>
            <w:sz w:val="22"/>
            <w:szCs w:val="22"/>
          </w:rPr>
          <w:t xml:space="preserve">Part B of the Prescribed </w:t>
        </w:r>
        <w:r w:rsidR="00EE4C69">
          <w:rPr>
            <w:rStyle w:val="Hyperlink"/>
            <w:sz w:val="22"/>
            <w:szCs w:val="22"/>
          </w:rPr>
          <w:t>List of Benefits for Medical Devices and Human Tissue Products (the PL)</w:t>
        </w:r>
        <w:r w:rsidR="00032301">
          <w:rPr>
            <w:rStyle w:val="Hyperlink"/>
            <w:sz w:val="22"/>
            <w:szCs w:val="22"/>
          </w:rPr>
          <w:t xml:space="preserve">, and the proposed restructure of </w:t>
        </w:r>
        <w:r w:rsidRPr="00027F31">
          <w:rPr>
            <w:rStyle w:val="Hyperlink"/>
            <w:sz w:val="22"/>
            <w:szCs w:val="22"/>
          </w:rPr>
          <w:t>Part B – May 2023</w:t>
        </w:r>
      </w:hyperlink>
      <w:r w:rsidRPr="00027F31">
        <w:rPr>
          <w:sz w:val="22"/>
          <w:szCs w:val="22"/>
        </w:rPr>
        <w:t xml:space="preserve"> (the </w:t>
      </w:r>
      <w:r w:rsidR="00C33A08">
        <w:rPr>
          <w:sz w:val="22"/>
          <w:szCs w:val="22"/>
        </w:rPr>
        <w:t>R</w:t>
      </w:r>
      <w:r w:rsidR="00C33A08" w:rsidRPr="00027F31">
        <w:rPr>
          <w:sz w:val="22"/>
          <w:szCs w:val="22"/>
        </w:rPr>
        <w:t>eport</w:t>
      </w:r>
      <w:r w:rsidRPr="00027F31">
        <w:rPr>
          <w:sz w:val="22"/>
          <w:szCs w:val="22"/>
        </w:rPr>
        <w:t>).</w:t>
      </w:r>
    </w:p>
    <w:p w14:paraId="73088858" w14:textId="4D2482EC" w:rsidR="00187773" w:rsidRPr="00027F31" w:rsidRDefault="00187773" w:rsidP="00027F31">
      <w:pPr>
        <w:pStyle w:val="Paragraphtext"/>
        <w:spacing w:after="120"/>
        <w:rPr>
          <w:sz w:val="22"/>
          <w:szCs w:val="22"/>
        </w:rPr>
      </w:pPr>
      <w:r w:rsidRPr="00027F31">
        <w:rPr>
          <w:sz w:val="22"/>
          <w:szCs w:val="22"/>
        </w:rPr>
        <w:t xml:space="preserve">The </w:t>
      </w:r>
      <w:r w:rsidR="00C33A08">
        <w:rPr>
          <w:sz w:val="22"/>
          <w:szCs w:val="22"/>
        </w:rPr>
        <w:t>R</w:t>
      </w:r>
      <w:r w:rsidRPr="00027F31">
        <w:rPr>
          <w:sz w:val="22"/>
          <w:szCs w:val="22"/>
        </w:rPr>
        <w:t>eport was available for consultation between 23 August and 6 October 2023.</w:t>
      </w:r>
    </w:p>
    <w:p w14:paraId="472A81CE" w14:textId="3417EB5E" w:rsidR="00EA4778" w:rsidRDefault="00187773" w:rsidP="00027F31">
      <w:pPr>
        <w:pStyle w:val="Paragraphtext"/>
        <w:spacing w:after="120"/>
        <w:rPr>
          <w:sz w:val="22"/>
          <w:szCs w:val="22"/>
        </w:rPr>
      </w:pPr>
      <w:r w:rsidRPr="00027F31">
        <w:rPr>
          <w:sz w:val="22"/>
          <w:szCs w:val="22"/>
        </w:rPr>
        <w:t xml:space="preserve">The </w:t>
      </w:r>
      <w:r w:rsidR="00A45AC1">
        <w:rPr>
          <w:sz w:val="22"/>
          <w:szCs w:val="22"/>
        </w:rPr>
        <w:t xml:space="preserve">Prescribed List Reform Taskforce (PLRT) in the </w:t>
      </w:r>
      <w:r w:rsidR="00185E02" w:rsidRPr="00027F31">
        <w:rPr>
          <w:sz w:val="22"/>
          <w:szCs w:val="22"/>
        </w:rPr>
        <w:t>Department</w:t>
      </w:r>
      <w:r w:rsidR="00BB0A9C" w:rsidRPr="00027F31">
        <w:rPr>
          <w:sz w:val="22"/>
          <w:szCs w:val="22"/>
        </w:rPr>
        <w:t xml:space="preserve"> of Health and Aged Care (the </w:t>
      </w:r>
      <w:r w:rsidR="00724C74" w:rsidRPr="00027F31">
        <w:rPr>
          <w:sz w:val="22"/>
          <w:szCs w:val="22"/>
        </w:rPr>
        <w:t>d</w:t>
      </w:r>
      <w:r w:rsidR="00185E02" w:rsidRPr="00F96F51">
        <w:rPr>
          <w:sz w:val="22"/>
          <w:szCs w:val="22"/>
        </w:rPr>
        <w:t>epartment</w:t>
      </w:r>
      <w:r w:rsidR="00BB0A9C" w:rsidRPr="00F96F51">
        <w:rPr>
          <w:sz w:val="22"/>
          <w:szCs w:val="22"/>
        </w:rPr>
        <w:t xml:space="preserve">) </w:t>
      </w:r>
      <w:r w:rsidRPr="00F96F51">
        <w:rPr>
          <w:sz w:val="22"/>
          <w:szCs w:val="22"/>
        </w:rPr>
        <w:t>received 20 submissions</w:t>
      </w:r>
      <w:r w:rsidR="009A49D4" w:rsidRPr="00F96F51">
        <w:rPr>
          <w:sz w:val="22"/>
          <w:szCs w:val="22"/>
        </w:rPr>
        <w:t xml:space="preserve"> from </w:t>
      </w:r>
      <w:r w:rsidR="00090FA2" w:rsidRPr="00F96F51">
        <w:rPr>
          <w:sz w:val="22"/>
          <w:szCs w:val="22"/>
        </w:rPr>
        <w:t>6</w:t>
      </w:r>
      <w:r w:rsidR="009A49D4" w:rsidRPr="00F96F51">
        <w:rPr>
          <w:sz w:val="22"/>
          <w:szCs w:val="22"/>
        </w:rPr>
        <w:t xml:space="preserve"> stakeholder groups</w:t>
      </w:r>
      <w:r w:rsidR="00867856" w:rsidRPr="00F96F51">
        <w:rPr>
          <w:sz w:val="22"/>
          <w:szCs w:val="22"/>
        </w:rPr>
        <w:t xml:space="preserve"> during the consultation period. </w:t>
      </w:r>
    </w:p>
    <w:p w14:paraId="6840084F" w14:textId="77777777" w:rsidR="007E38CE" w:rsidRPr="007E38CE" w:rsidRDefault="007E38CE" w:rsidP="007E38CE">
      <w:pPr>
        <w:pStyle w:val="Paragraphtext"/>
        <w:numPr>
          <w:ilvl w:val="0"/>
          <w:numId w:val="47"/>
        </w:numPr>
        <w:rPr>
          <w:sz w:val="22"/>
          <w:szCs w:val="28"/>
        </w:rPr>
      </w:pPr>
      <w:r w:rsidRPr="007E38CE">
        <w:rPr>
          <w:sz w:val="22"/>
          <w:szCs w:val="28"/>
        </w:rPr>
        <w:t>Insurers (2/20) – 10%</w:t>
      </w:r>
    </w:p>
    <w:p w14:paraId="7B8BBA41" w14:textId="77777777" w:rsidR="007E38CE" w:rsidRPr="007E38CE" w:rsidRDefault="007E38CE" w:rsidP="007E38CE">
      <w:pPr>
        <w:pStyle w:val="Paragraphtext"/>
        <w:numPr>
          <w:ilvl w:val="0"/>
          <w:numId w:val="47"/>
        </w:numPr>
        <w:rPr>
          <w:sz w:val="22"/>
          <w:szCs w:val="28"/>
        </w:rPr>
      </w:pPr>
      <w:r w:rsidRPr="007E38CE">
        <w:rPr>
          <w:sz w:val="22"/>
          <w:szCs w:val="28"/>
        </w:rPr>
        <w:t>Eye and Tissue Banks (10/20) – 50%</w:t>
      </w:r>
    </w:p>
    <w:p w14:paraId="3A753D9C" w14:textId="2286DBA6" w:rsidR="007E38CE" w:rsidRPr="007E38CE" w:rsidRDefault="00120ADC" w:rsidP="007E38CE">
      <w:pPr>
        <w:pStyle w:val="Paragraphtext"/>
        <w:numPr>
          <w:ilvl w:val="0"/>
          <w:numId w:val="47"/>
        </w:numPr>
        <w:rPr>
          <w:sz w:val="22"/>
          <w:szCs w:val="28"/>
        </w:rPr>
      </w:pPr>
      <w:r w:rsidRPr="007E38CE">
        <w:rPr>
          <w:sz w:val="22"/>
          <w:szCs w:val="28"/>
        </w:rPr>
        <w:t>MedTech</w:t>
      </w:r>
      <w:r w:rsidR="007E38CE" w:rsidRPr="007E38CE">
        <w:rPr>
          <w:sz w:val="22"/>
          <w:szCs w:val="28"/>
        </w:rPr>
        <w:t xml:space="preserve"> companies (2/20) – 10%</w:t>
      </w:r>
    </w:p>
    <w:p w14:paraId="3EC95606" w14:textId="77777777" w:rsidR="007E38CE" w:rsidRPr="007E38CE" w:rsidRDefault="007E38CE" w:rsidP="007E38CE">
      <w:pPr>
        <w:pStyle w:val="Paragraphtext"/>
        <w:numPr>
          <w:ilvl w:val="0"/>
          <w:numId w:val="47"/>
        </w:numPr>
        <w:rPr>
          <w:sz w:val="22"/>
          <w:szCs w:val="28"/>
        </w:rPr>
      </w:pPr>
      <w:r w:rsidRPr="007E38CE">
        <w:rPr>
          <w:sz w:val="22"/>
          <w:szCs w:val="28"/>
        </w:rPr>
        <w:t>Hospitals (1/20) – 5%</w:t>
      </w:r>
    </w:p>
    <w:p w14:paraId="4CF6018A" w14:textId="77777777" w:rsidR="007E38CE" w:rsidRPr="007E38CE" w:rsidRDefault="007E38CE" w:rsidP="007E38CE">
      <w:pPr>
        <w:pStyle w:val="Paragraphtext"/>
        <w:numPr>
          <w:ilvl w:val="0"/>
          <w:numId w:val="47"/>
        </w:numPr>
        <w:rPr>
          <w:sz w:val="22"/>
          <w:szCs w:val="28"/>
        </w:rPr>
      </w:pPr>
      <w:r w:rsidRPr="007E38CE">
        <w:rPr>
          <w:sz w:val="22"/>
          <w:szCs w:val="28"/>
        </w:rPr>
        <w:t>State and Territory Governments (2/20) – 10%</w:t>
      </w:r>
    </w:p>
    <w:p w14:paraId="14A5F16A" w14:textId="77777777" w:rsidR="007E38CE" w:rsidRPr="007E38CE" w:rsidRDefault="007E38CE" w:rsidP="007E38CE">
      <w:pPr>
        <w:pStyle w:val="Paragraphtext"/>
        <w:numPr>
          <w:ilvl w:val="0"/>
          <w:numId w:val="47"/>
        </w:numPr>
        <w:rPr>
          <w:sz w:val="22"/>
          <w:szCs w:val="28"/>
        </w:rPr>
      </w:pPr>
      <w:r w:rsidRPr="007E38CE">
        <w:rPr>
          <w:sz w:val="22"/>
          <w:szCs w:val="28"/>
        </w:rPr>
        <w:t>Others (3/20) – 15%</w:t>
      </w:r>
    </w:p>
    <w:p w14:paraId="5F173439" w14:textId="28344007" w:rsidR="00CA4BE3" w:rsidRDefault="00CA4BE3" w:rsidP="00CA4BE3">
      <w:pPr>
        <w:pStyle w:val="Paragraphtext"/>
      </w:pPr>
    </w:p>
    <w:p w14:paraId="730C0E16" w14:textId="747E69D5" w:rsidR="00187773" w:rsidRDefault="00187773" w:rsidP="002342A0">
      <w:pPr>
        <w:pStyle w:val="Heading1"/>
      </w:pPr>
      <w:bookmarkStart w:id="3" w:name="_Background"/>
      <w:bookmarkEnd w:id="3"/>
      <w:r>
        <w:t>Background</w:t>
      </w:r>
    </w:p>
    <w:p w14:paraId="3DD612BE" w14:textId="09988B0B" w:rsidR="00295564" w:rsidRDefault="00C64D88" w:rsidP="00027F31">
      <w:pPr>
        <w:pStyle w:val="Paragraphtext"/>
        <w:spacing w:after="120"/>
        <w:rPr>
          <w:sz w:val="22"/>
          <w:szCs w:val="22"/>
        </w:rPr>
      </w:pPr>
      <w:r>
        <w:rPr>
          <w:sz w:val="22"/>
          <w:szCs w:val="22"/>
        </w:rPr>
        <w:t xml:space="preserve">Part B of the </w:t>
      </w:r>
      <w:r w:rsidR="00414D7C">
        <w:rPr>
          <w:sz w:val="22"/>
          <w:szCs w:val="22"/>
        </w:rPr>
        <w:t xml:space="preserve">PL </w:t>
      </w:r>
      <w:r w:rsidR="004A3F43">
        <w:rPr>
          <w:sz w:val="22"/>
          <w:szCs w:val="22"/>
        </w:rPr>
        <w:t>consists of</w:t>
      </w:r>
      <w:r w:rsidR="00AA58B0">
        <w:rPr>
          <w:sz w:val="22"/>
          <w:szCs w:val="22"/>
        </w:rPr>
        <w:t xml:space="preserve"> </w:t>
      </w:r>
      <w:r w:rsidR="004A3F43">
        <w:rPr>
          <w:sz w:val="22"/>
          <w:szCs w:val="22"/>
        </w:rPr>
        <w:t xml:space="preserve">human tissue products </w:t>
      </w:r>
      <w:r w:rsidR="007B13DA">
        <w:rPr>
          <w:sz w:val="22"/>
          <w:szCs w:val="22"/>
        </w:rPr>
        <w:t>only.</w:t>
      </w:r>
    </w:p>
    <w:p w14:paraId="05FE12E8" w14:textId="2732C98C" w:rsidR="00A558DD" w:rsidRDefault="00187773" w:rsidP="00027F31">
      <w:pPr>
        <w:pStyle w:val="Paragraphtext"/>
        <w:spacing w:after="120"/>
        <w:rPr>
          <w:sz w:val="22"/>
          <w:szCs w:val="22"/>
        </w:rPr>
      </w:pPr>
      <w:r w:rsidRPr="00027F31">
        <w:rPr>
          <w:sz w:val="22"/>
          <w:szCs w:val="22"/>
        </w:rPr>
        <w:t>In January</w:t>
      </w:r>
      <w:r w:rsidR="00C26E7D" w:rsidRPr="00027F31">
        <w:rPr>
          <w:sz w:val="22"/>
          <w:szCs w:val="22"/>
        </w:rPr>
        <w:t> </w:t>
      </w:r>
      <w:r w:rsidRPr="00027F31">
        <w:rPr>
          <w:sz w:val="22"/>
          <w:szCs w:val="22"/>
        </w:rPr>
        <w:t xml:space="preserve">2022, the </w:t>
      </w:r>
      <w:r w:rsidR="004A3E45">
        <w:rPr>
          <w:sz w:val="22"/>
          <w:szCs w:val="22"/>
        </w:rPr>
        <w:t>department</w:t>
      </w:r>
      <w:r w:rsidRPr="00027F31">
        <w:rPr>
          <w:sz w:val="22"/>
          <w:szCs w:val="22"/>
        </w:rPr>
        <w:t xml:space="preserve"> released </w:t>
      </w:r>
      <w:hyperlink r:id="rId18" w:history="1">
        <w:r w:rsidRPr="00027F31">
          <w:rPr>
            <w:rStyle w:val="Hyperlink"/>
            <w:sz w:val="22"/>
            <w:szCs w:val="22"/>
          </w:rPr>
          <w:t>Consultation Paper 2(a) – Modernisation of Part B of the Prostheses List</w:t>
        </w:r>
      </w:hyperlink>
      <w:r w:rsidRPr="00027F31">
        <w:rPr>
          <w:sz w:val="22"/>
          <w:szCs w:val="22"/>
        </w:rPr>
        <w:t xml:space="preserve"> (the </w:t>
      </w:r>
      <w:r w:rsidR="00C84267">
        <w:rPr>
          <w:sz w:val="22"/>
          <w:szCs w:val="22"/>
        </w:rPr>
        <w:t>P</w:t>
      </w:r>
      <w:r w:rsidRPr="00027F31">
        <w:rPr>
          <w:sz w:val="22"/>
          <w:szCs w:val="22"/>
        </w:rPr>
        <w:t xml:space="preserve">aper). The </w:t>
      </w:r>
      <w:r w:rsidR="007E38CE">
        <w:rPr>
          <w:sz w:val="22"/>
          <w:szCs w:val="22"/>
        </w:rPr>
        <w:t>P</w:t>
      </w:r>
      <w:r w:rsidRPr="00027F31">
        <w:rPr>
          <w:sz w:val="22"/>
          <w:szCs w:val="22"/>
        </w:rPr>
        <w:t xml:space="preserve">aper put forward ideas to improve Part B in line with the changes to the rest of the PL </w:t>
      </w:r>
      <w:r w:rsidR="00F25990">
        <w:rPr>
          <w:sz w:val="22"/>
          <w:szCs w:val="22"/>
        </w:rPr>
        <w:t>(</w:t>
      </w:r>
      <w:r w:rsidRPr="00027F31">
        <w:rPr>
          <w:sz w:val="22"/>
          <w:szCs w:val="22"/>
        </w:rPr>
        <w:t>formerly know</w:t>
      </w:r>
      <w:r w:rsidR="00541483" w:rsidRPr="00027F31">
        <w:rPr>
          <w:sz w:val="22"/>
          <w:szCs w:val="22"/>
        </w:rPr>
        <w:t>n</w:t>
      </w:r>
      <w:r w:rsidRPr="00027F31">
        <w:rPr>
          <w:sz w:val="22"/>
          <w:szCs w:val="22"/>
        </w:rPr>
        <w:t xml:space="preserve"> as the Prostheses List</w:t>
      </w:r>
      <w:r w:rsidR="00F25990">
        <w:rPr>
          <w:sz w:val="22"/>
          <w:szCs w:val="22"/>
        </w:rPr>
        <w:t>)</w:t>
      </w:r>
      <w:r w:rsidRPr="00027F31">
        <w:rPr>
          <w:sz w:val="22"/>
          <w:szCs w:val="22"/>
        </w:rPr>
        <w:t>.</w:t>
      </w:r>
      <w:r w:rsidR="00A51ECE" w:rsidRPr="00027F31">
        <w:rPr>
          <w:sz w:val="22"/>
          <w:szCs w:val="22"/>
        </w:rPr>
        <w:t xml:space="preserve"> </w:t>
      </w:r>
    </w:p>
    <w:p w14:paraId="78466852" w14:textId="54DC6F68" w:rsidR="00CA4BE3" w:rsidRPr="00027F31" w:rsidRDefault="00541483" w:rsidP="00027F31">
      <w:pPr>
        <w:pStyle w:val="Paragraphtext"/>
        <w:spacing w:after="120"/>
        <w:rPr>
          <w:sz w:val="22"/>
          <w:szCs w:val="22"/>
        </w:rPr>
      </w:pPr>
      <w:r w:rsidRPr="00027F31">
        <w:rPr>
          <w:sz w:val="22"/>
          <w:szCs w:val="22"/>
        </w:rPr>
        <w:t xml:space="preserve">The </w:t>
      </w:r>
      <w:r w:rsidR="00C33A08">
        <w:rPr>
          <w:sz w:val="22"/>
          <w:szCs w:val="22"/>
        </w:rPr>
        <w:t>P</w:t>
      </w:r>
      <w:r w:rsidR="00C33A08" w:rsidRPr="00027F31">
        <w:rPr>
          <w:sz w:val="22"/>
          <w:szCs w:val="22"/>
        </w:rPr>
        <w:t xml:space="preserve">aper </w:t>
      </w:r>
      <w:r w:rsidR="00187773" w:rsidRPr="00027F31">
        <w:rPr>
          <w:sz w:val="22"/>
          <w:szCs w:val="22"/>
        </w:rPr>
        <w:t>proposed two initiatives to modernise Part B:</w:t>
      </w:r>
    </w:p>
    <w:p w14:paraId="57C6037F" w14:textId="5DB3C119" w:rsidR="00187773" w:rsidRPr="00027F31" w:rsidRDefault="00187773" w:rsidP="00027F31">
      <w:pPr>
        <w:pStyle w:val="ListBullet"/>
        <w:numPr>
          <w:ilvl w:val="0"/>
          <w:numId w:val="27"/>
        </w:numPr>
        <w:spacing w:before="120" w:after="120"/>
        <w:rPr>
          <w:sz w:val="22"/>
          <w:szCs w:val="22"/>
        </w:rPr>
      </w:pPr>
      <w:r w:rsidRPr="00027F31">
        <w:rPr>
          <w:sz w:val="22"/>
          <w:szCs w:val="22"/>
        </w:rPr>
        <w:t>a revised classification structure, and</w:t>
      </w:r>
    </w:p>
    <w:p w14:paraId="6281118D" w14:textId="3060AE23" w:rsidR="00187773" w:rsidRPr="00027F31" w:rsidRDefault="00187773" w:rsidP="00027F31">
      <w:pPr>
        <w:pStyle w:val="ListBullet"/>
        <w:numPr>
          <w:ilvl w:val="0"/>
          <w:numId w:val="27"/>
        </w:numPr>
        <w:spacing w:before="120" w:after="120"/>
        <w:rPr>
          <w:sz w:val="22"/>
          <w:szCs w:val="22"/>
        </w:rPr>
      </w:pPr>
      <w:r w:rsidRPr="00027F31">
        <w:rPr>
          <w:sz w:val="22"/>
          <w:szCs w:val="22"/>
        </w:rPr>
        <w:t>introduction of a health technology assessment for human tissue products.</w:t>
      </w:r>
    </w:p>
    <w:p w14:paraId="0C6AC230" w14:textId="722C1CF3" w:rsidR="00187773" w:rsidRPr="00027F31" w:rsidRDefault="00430E53" w:rsidP="00027F31">
      <w:pPr>
        <w:pStyle w:val="Paragraphtext"/>
        <w:spacing w:after="120"/>
        <w:rPr>
          <w:sz w:val="22"/>
          <w:szCs w:val="22"/>
        </w:rPr>
      </w:pPr>
      <w:r w:rsidRPr="00027F31">
        <w:rPr>
          <w:sz w:val="22"/>
          <w:szCs w:val="22"/>
        </w:rPr>
        <w:t xml:space="preserve">From </w:t>
      </w:r>
      <w:r w:rsidR="00A558DD">
        <w:rPr>
          <w:sz w:val="22"/>
          <w:szCs w:val="22"/>
        </w:rPr>
        <w:t>feedback received</w:t>
      </w:r>
      <w:r w:rsidRPr="00027F31">
        <w:rPr>
          <w:sz w:val="22"/>
          <w:szCs w:val="22"/>
        </w:rPr>
        <w:t>, t</w:t>
      </w:r>
      <w:r w:rsidR="00187773" w:rsidRPr="00027F31">
        <w:rPr>
          <w:sz w:val="22"/>
          <w:szCs w:val="22"/>
        </w:rPr>
        <w:t xml:space="preserve">he </w:t>
      </w:r>
      <w:r w:rsidR="004A3E45">
        <w:rPr>
          <w:sz w:val="22"/>
          <w:szCs w:val="22"/>
        </w:rPr>
        <w:t>department</w:t>
      </w:r>
      <w:r w:rsidR="00187773" w:rsidRPr="00027F31">
        <w:rPr>
          <w:sz w:val="22"/>
          <w:szCs w:val="22"/>
        </w:rPr>
        <w:t xml:space="preserve"> determined that further consultation was required to better communicate the details of the proposals</w:t>
      </w:r>
      <w:r w:rsidR="00541483" w:rsidRPr="00027F31">
        <w:rPr>
          <w:sz w:val="22"/>
          <w:szCs w:val="22"/>
        </w:rPr>
        <w:t>;</w:t>
      </w:r>
      <w:r w:rsidR="00187773" w:rsidRPr="00027F31">
        <w:rPr>
          <w:sz w:val="22"/>
          <w:szCs w:val="22"/>
        </w:rPr>
        <w:t xml:space="preserve"> and </w:t>
      </w:r>
      <w:r w:rsidR="00541483" w:rsidRPr="00027F31">
        <w:rPr>
          <w:sz w:val="22"/>
          <w:szCs w:val="22"/>
        </w:rPr>
        <w:t xml:space="preserve">to </w:t>
      </w:r>
      <w:r w:rsidR="00187773" w:rsidRPr="00027F31">
        <w:rPr>
          <w:sz w:val="22"/>
          <w:szCs w:val="22"/>
        </w:rPr>
        <w:t>address stakeholder concerns.</w:t>
      </w:r>
    </w:p>
    <w:p w14:paraId="18B35A40" w14:textId="03739080" w:rsidR="00D60E25" w:rsidRPr="00027F31" w:rsidRDefault="00187773" w:rsidP="00027F31">
      <w:pPr>
        <w:pStyle w:val="Paragraphtext"/>
        <w:spacing w:after="120"/>
        <w:rPr>
          <w:sz w:val="22"/>
          <w:szCs w:val="22"/>
        </w:rPr>
      </w:pPr>
      <w:r w:rsidRPr="00027F31">
        <w:rPr>
          <w:sz w:val="22"/>
          <w:szCs w:val="22"/>
        </w:rPr>
        <w:t xml:space="preserve">In December 2022, the </w:t>
      </w:r>
      <w:r w:rsidR="004A3E45">
        <w:rPr>
          <w:sz w:val="22"/>
          <w:szCs w:val="22"/>
        </w:rPr>
        <w:t>department</w:t>
      </w:r>
      <w:r w:rsidRPr="00027F31">
        <w:rPr>
          <w:sz w:val="22"/>
          <w:szCs w:val="22"/>
        </w:rPr>
        <w:t xml:space="preserve"> engaged PricewaterhouseCoopers (PwC) to</w:t>
      </w:r>
      <w:r w:rsidR="00245AD6" w:rsidRPr="00027F31">
        <w:rPr>
          <w:sz w:val="22"/>
          <w:szCs w:val="22"/>
        </w:rPr>
        <w:t>:</w:t>
      </w:r>
    </w:p>
    <w:p w14:paraId="76473751" w14:textId="51E5D57A" w:rsidR="00187773" w:rsidRPr="00027F31" w:rsidRDefault="00245AD6" w:rsidP="00027F31">
      <w:pPr>
        <w:pStyle w:val="ListBullet"/>
        <w:spacing w:before="120" w:after="120"/>
        <w:rPr>
          <w:sz w:val="22"/>
          <w:szCs w:val="22"/>
        </w:rPr>
      </w:pPr>
      <w:r w:rsidRPr="00027F31">
        <w:rPr>
          <w:sz w:val="22"/>
          <w:szCs w:val="22"/>
        </w:rPr>
        <w:t>r</w:t>
      </w:r>
      <w:r w:rsidR="00187773" w:rsidRPr="00027F31">
        <w:rPr>
          <w:sz w:val="22"/>
          <w:szCs w:val="22"/>
        </w:rPr>
        <w:t xml:space="preserve">eview </w:t>
      </w:r>
      <w:r w:rsidR="00090FA2" w:rsidRPr="00027F31">
        <w:rPr>
          <w:sz w:val="22"/>
          <w:szCs w:val="22"/>
        </w:rPr>
        <w:t xml:space="preserve">the </w:t>
      </w:r>
      <w:r w:rsidR="00C84267">
        <w:rPr>
          <w:sz w:val="22"/>
          <w:szCs w:val="22"/>
        </w:rPr>
        <w:t>P</w:t>
      </w:r>
      <w:r w:rsidR="00090FA2" w:rsidRPr="00027F31">
        <w:rPr>
          <w:sz w:val="22"/>
          <w:szCs w:val="22"/>
        </w:rPr>
        <w:t>aper</w:t>
      </w:r>
      <w:r w:rsidR="00187773" w:rsidRPr="00027F31">
        <w:rPr>
          <w:sz w:val="22"/>
          <w:szCs w:val="22"/>
        </w:rPr>
        <w:t xml:space="preserve">, including the 22 </w:t>
      </w:r>
      <w:r w:rsidR="00A16239" w:rsidRPr="00027F31">
        <w:rPr>
          <w:sz w:val="22"/>
          <w:szCs w:val="22"/>
        </w:rPr>
        <w:t xml:space="preserve">stakeholder </w:t>
      </w:r>
      <w:r w:rsidR="00187773" w:rsidRPr="00027F31">
        <w:rPr>
          <w:sz w:val="22"/>
          <w:szCs w:val="22"/>
        </w:rPr>
        <w:t>submission</w:t>
      </w:r>
      <w:r w:rsidR="00A16239" w:rsidRPr="00027F31">
        <w:rPr>
          <w:sz w:val="22"/>
          <w:szCs w:val="22"/>
        </w:rPr>
        <w:t>s</w:t>
      </w:r>
      <w:r w:rsidR="00C84267">
        <w:rPr>
          <w:sz w:val="22"/>
          <w:szCs w:val="22"/>
        </w:rPr>
        <w:t xml:space="preserve"> related to the Paper</w:t>
      </w:r>
      <w:r w:rsidR="00187773" w:rsidRPr="00027F31">
        <w:rPr>
          <w:sz w:val="22"/>
          <w:szCs w:val="22"/>
        </w:rPr>
        <w:t>.</w:t>
      </w:r>
    </w:p>
    <w:p w14:paraId="26435797" w14:textId="793B9A76" w:rsidR="00187773" w:rsidRPr="00F87A9A" w:rsidRDefault="00A05B07" w:rsidP="00027F31">
      <w:pPr>
        <w:pStyle w:val="ListBullet"/>
        <w:spacing w:before="120" w:after="120"/>
        <w:rPr>
          <w:sz w:val="22"/>
          <w:szCs w:val="22"/>
        </w:rPr>
      </w:pPr>
      <w:r w:rsidRPr="00631268">
        <w:rPr>
          <w:sz w:val="22"/>
          <w:szCs w:val="22"/>
        </w:rPr>
        <w:t>c</w:t>
      </w:r>
      <w:r w:rsidR="00187773" w:rsidRPr="00631268">
        <w:rPr>
          <w:sz w:val="22"/>
          <w:szCs w:val="22"/>
        </w:rPr>
        <w:t xml:space="preserve">onduct </w:t>
      </w:r>
      <w:r w:rsidR="00187773" w:rsidRPr="00F87A9A">
        <w:rPr>
          <w:sz w:val="22"/>
          <w:szCs w:val="22"/>
        </w:rPr>
        <w:t xml:space="preserve">targeted consultation </w:t>
      </w:r>
      <w:r w:rsidR="00505794" w:rsidRPr="00F87A9A">
        <w:rPr>
          <w:sz w:val="22"/>
          <w:szCs w:val="22"/>
        </w:rPr>
        <w:t xml:space="preserve">(via workshops) </w:t>
      </w:r>
      <w:r w:rsidR="00187773" w:rsidRPr="00F87A9A">
        <w:rPr>
          <w:sz w:val="22"/>
          <w:szCs w:val="22"/>
        </w:rPr>
        <w:t xml:space="preserve">with key stakeholders </w:t>
      </w:r>
      <w:r w:rsidR="004D4268" w:rsidRPr="00F87A9A">
        <w:rPr>
          <w:sz w:val="22"/>
          <w:szCs w:val="22"/>
        </w:rPr>
        <w:t xml:space="preserve">on </w:t>
      </w:r>
      <w:r w:rsidR="00187773" w:rsidRPr="00F87A9A">
        <w:rPr>
          <w:sz w:val="22"/>
          <w:szCs w:val="22"/>
        </w:rPr>
        <w:t>the feasibility of the proposed new group</w:t>
      </w:r>
      <w:r w:rsidR="00F47183" w:rsidRPr="00F87A9A">
        <w:rPr>
          <w:sz w:val="22"/>
          <w:szCs w:val="22"/>
        </w:rPr>
        <w:t>ing</w:t>
      </w:r>
      <w:r w:rsidR="00187773" w:rsidRPr="00F87A9A">
        <w:rPr>
          <w:sz w:val="22"/>
          <w:szCs w:val="22"/>
        </w:rPr>
        <w:t xml:space="preserve"> structure and listing pathways as detailed in the </w:t>
      </w:r>
      <w:r w:rsidR="00BE7271">
        <w:rPr>
          <w:sz w:val="22"/>
          <w:szCs w:val="22"/>
        </w:rPr>
        <w:t>P</w:t>
      </w:r>
      <w:r w:rsidR="00187773" w:rsidRPr="00F87A9A">
        <w:rPr>
          <w:sz w:val="22"/>
          <w:szCs w:val="22"/>
        </w:rPr>
        <w:t>aper.</w:t>
      </w:r>
    </w:p>
    <w:p w14:paraId="0083F2DB" w14:textId="0C6FB676" w:rsidR="00187773" w:rsidRPr="00027F31" w:rsidRDefault="00AC0A7B" w:rsidP="00027F31">
      <w:pPr>
        <w:pStyle w:val="ListBullet"/>
        <w:spacing w:before="120" w:after="120"/>
        <w:rPr>
          <w:sz w:val="22"/>
          <w:szCs w:val="22"/>
        </w:rPr>
      </w:pPr>
      <w:r w:rsidRPr="00F87A9A">
        <w:rPr>
          <w:sz w:val="22"/>
          <w:szCs w:val="22"/>
        </w:rPr>
        <w:t>d</w:t>
      </w:r>
      <w:r w:rsidR="00187773" w:rsidRPr="00F87A9A">
        <w:rPr>
          <w:sz w:val="22"/>
          <w:szCs w:val="22"/>
        </w:rPr>
        <w:t xml:space="preserve">evelop </w:t>
      </w:r>
      <w:r w:rsidR="00CD3621" w:rsidRPr="004D36EB">
        <w:rPr>
          <w:sz w:val="22"/>
          <w:szCs w:val="22"/>
        </w:rPr>
        <w:t xml:space="preserve">summaries </w:t>
      </w:r>
      <w:r w:rsidR="00CD3621" w:rsidRPr="00027F31">
        <w:rPr>
          <w:sz w:val="22"/>
          <w:szCs w:val="22"/>
        </w:rPr>
        <w:t>of each workshop, including objectives, issues discusse</w:t>
      </w:r>
      <w:r w:rsidR="0093388C" w:rsidRPr="00027F31">
        <w:rPr>
          <w:sz w:val="22"/>
          <w:szCs w:val="22"/>
        </w:rPr>
        <w:t>d</w:t>
      </w:r>
      <w:r w:rsidR="00CD3621" w:rsidRPr="00027F31">
        <w:rPr>
          <w:sz w:val="22"/>
          <w:szCs w:val="22"/>
        </w:rPr>
        <w:t xml:space="preserve"> and outcomes (including any </w:t>
      </w:r>
      <w:r w:rsidR="00187773" w:rsidRPr="00027F31">
        <w:rPr>
          <w:sz w:val="22"/>
          <w:szCs w:val="22"/>
        </w:rPr>
        <w:t>recommended</w:t>
      </w:r>
      <w:r w:rsidR="00876EFD" w:rsidRPr="00027F31">
        <w:rPr>
          <w:sz w:val="22"/>
          <w:szCs w:val="22"/>
        </w:rPr>
        <w:t xml:space="preserve"> </w:t>
      </w:r>
      <w:r w:rsidR="00187773" w:rsidRPr="00027F31">
        <w:rPr>
          <w:sz w:val="22"/>
          <w:szCs w:val="22"/>
        </w:rPr>
        <w:t xml:space="preserve">amendments to the proposed </w:t>
      </w:r>
      <w:r w:rsidR="00505794" w:rsidRPr="00027F31">
        <w:rPr>
          <w:sz w:val="22"/>
          <w:szCs w:val="22"/>
        </w:rPr>
        <w:t>new group structure and</w:t>
      </w:r>
      <w:r w:rsidR="00187773" w:rsidRPr="00027F31">
        <w:rPr>
          <w:sz w:val="22"/>
          <w:szCs w:val="22"/>
        </w:rPr>
        <w:t xml:space="preserve"> listing pathways).</w:t>
      </w:r>
    </w:p>
    <w:p w14:paraId="1B8028A0" w14:textId="129B6936" w:rsidR="00187773" w:rsidRPr="00027F31" w:rsidRDefault="00245AD6" w:rsidP="00027F31">
      <w:pPr>
        <w:pStyle w:val="ListBullet"/>
        <w:spacing w:before="120" w:after="120"/>
        <w:rPr>
          <w:sz w:val="22"/>
          <w:szCs w:val="22"/>
        </w:rPr>
      </w:pPr>
      <w:r w:rsidRPr="00027F31">
        <w:rPr>
          <w:sz w:val="22"/>
          <w:szCs w:val="22"/>
        </w:rPr>
        <w:t>i</w:t>
      </w:r>
      <w:r w:rsidR="00187773" w:rsidRPr="00027F31">
        <w:rPr>
          <w:sz w:val="22"/>
          <w:szCs w:val="22"/>
        </w:rPr>
        <w:t>nvestigat</w:t>
      </w:r>
      <w:r w:rsidR="007F02B1" w:rsidRPr="00027F31">
        <w:rPr>
          <w:sz w:val="22"/>
          <w:szCs w:val="22"/>
        </w:rPr>
        <w:t>e</w:t>
      </w:r>
      <w:r w:rsidR="00187773" w:rsidRPr="00027F31">
        <w:rPr>
          <w:sz w:val="22"/>
          <w:szCs w:val="22"/>
        </w:rPr>
        <w:t xml:space="preserve"> the impact of cost-recovery </w:t>
      </w:r>
      <w:r w:rsidR="00876EFD" w:rsidRPr="00027F31">
        <w:rPr>
          <w:sz w:val="22"/>
          <w:szCs w:val="22"/>
        </w:rPr>
        <w:t xml:space="preserve">arrangements </w:t>
      </w:r>
      <w:r w:rsidR="00187773" w:rsidRPr="00027F31">
        <w:rPr>
          <w:sz w:val="22"/>
          <w:szCs w:val="22"/>
        </w:rPr>
        <w:t xml:space="preserve">on </w:t>
      </w:r>
      <w:r w:rsidR="003F7718">
        <w:rPr>
          <w:sz w:val="22"/>
          <w:szCs w:val="22"/>
        </w:rPr>
        <w:t>sponsors</w:t>
      </w:r>
      <w:r w:rsidR="003F7718" w:rsidRPr="00027F31">
        <w:rPr>
          <w:sz w:val="22"/>
          <w:szCs w:val="22"/>
        </w:rPr>
        <w:t xml:space="preserve"> </w:t>
      </w:r>
      <w:r w:rsidR="003F7718">
        <w:rPr>
          <w:sz w:val="22"/>
          <w:szCs w:val="22"/>
        </w:rPr>
        <w:t>for</w:t>
      </w:r>
      <w:r w:rsidR="00187773" w:rsidRPr="00027F31">
        <w:rPr>
          <w:sz w:val="22"/>
          <w:szCs w:val="22"/>
        </w:rPr>
        <w:t xml:space="preserve"> Part B applications</w:t>
      </w:r>
      <w:r w:rsidR="007F02B1" w:rsidRPr="00027F31">
        <w:rPr>
          <w:sz w:val="22"/>
          <w:szCs w:val="22"/>
        </w:rPr>
        <w:t xml:space="preserve"> (</w:t>
      </w:r>
      <w:r w:rsidR="00187773" w:rsidRPr="00027F31">
        <w:rPr>
          <w:sz w:val="22"/>
          <w:szCs w:val="22"/>
        </w:rPr>
        <w:t>including not-for-profit</w:t>
      </w:r>
      <w:r w:rsidR="003B4532" w:rsidRPr="00027F31">
        <w:rPr>
          <w:sz w:val="22"/>
          <w:szCs w:val="22"/>
        </w:rPr>
        <w:t xml:space="preserve"> </w:t>
      </w:r>
      <w:r w:rsidR="00351DDA">
        <w:rPr>
          <w:sz w:val="22"/>
          <w:szCs w:val="22"/>
        </w:rPr>
        <w:t xml:space="preserve">(NFP) </w:t>
      </w:r>
      <w:r w:rsidR="00112EF7">
        <w:rPr>
          <w:sz w:val="22"/>
          <w:szCs w:val="22"/>
        </w:rPr>
        <w:t xml:space="preserve">public </w:t>
      </w:r>
      <w:r w:rsidR="00713409">
        <w:rPr>
          <w:sz w:val="22"/>
          <w:szCs w:val="22"/>
        </w:rPr>
        <w:t xml:space="preserve">and private </w:t>
      </w:r>
      <w:r w:rsidR="00112EF7">
        <w:rPr>
          <w:sz w:val="22"/>
          <w:szCs w:val="22"/>
        </w:rPr>
        <w:t>banks</w:t>
      </w:r>
      <w:r w:rsidR="00713409">
        <w:rPr>
          <w:sz w:val="22"/>
          <w:szCs w:val="22"/>
        </w:rPr>
        <w:t xml:space="preserve">, </w:t>
      </w:r>
      <w:r w:rsidR="000B3ACD">
        <w:rPr>
          <w:sz w:val="22"/>
          <w:szCs w:val="22"/>
        </w:rPr>
        <w:t xml:space="preserve">NFP </w:t>
      </w:r>
      <w:r w:rsidR="00187773" w:rsidRPr="00027F31">
        <w:rPr>
          <w:sz w:val="22"/>
          <w:szCs w:val="22"/>
        </w:rPr>
        <w:t xml:space="preserve">organisations and commercial </w:t>
      </w:r>
      <w:r w:rsidR="00FA11FA">
        <w:rPr>
          <w:sz w:val="22"/>
          <w:szCs w:val="22"/>
        </w:rPr>
        <w:t>for-profit</w:t>
      </w:r>
      <w:r w:rsidR="000B3ACD">
        <w:rPr>
          <w:sz w:val="22"/>
          <w:szCs w:val="22"/>
        </w:rPr>
        <w:t xml:space="preserve"> (FP)</w:t>
      </w:r>
      <w:r w:rsidR="00FA11FA">
        <w:rPr>
          <w:sz w:val="22"/>
          <w:szCs w:val="22"/>
        </w:rPr>
        <w:t xml:space="preserve"> </w:t>
      </w:r>
      <w:r w:rsidR="003F7718">
        <w:rPr>
          <w:sz w:val="22"/>
          <w:szCs w:val="22"/>
        </w:rPr>
        <w:t>entities</w:t>
      </w:r>
      <w:r w:rsidR="007F02B1" w:rsidRPr="00027F31">
        <w:rPr>
          <w:sz w:val="22"/>
          <w:szCs w:val="22"/>
        </w:rPr>
        <w:t>)</w:t>
      </w:r>
      <w:r w:rsidR="00187773" w:rsidRPr="00027F31">
        <w:rPr>
          <w:sz w:val="22"/>
          <w:szCs w:val="22"/>
        </w:rPr>
        <w:t>.</w:t>
      </w:r>
    </w:p>
    <w:p w14:paraId="24FAE5CE" w14:textId="7312514B" w:rsidR="004726EB" w:rsidRPr="00027F31" w:rsidRDefault="003C6034" w:rsidP="00027F31">
      <w:pPr>
        <w:pStyle w:val="Paragraphtext"/>
        <w:spacing w:after="120"/>
        <w:rPr>
          <w:sz w:val="22"/>
          <w:szCs w:val="22"/>
        </w:rPr>
      </w:pPr>
      <w:r w:rsidRPr="00027F31">
        <w:rPr>
          <w:sz w:val="22"/>
          <w:szCs w:val="22"/>
        </w:rPr>
        <w:t xml:space="preserve">In May 2023, the </w:t>
      </w:r>
      <w:r w:rsidR="00E149DD">
        <w:rPr>
          <w:sz w:val="22"/>
          <w:szCs w:val="22"/>
        </w:rPr>
        <w:t>department</w:t>
      </w:r>
      <w:r w:rsidRPr="00027F31">
        <w:rPr>
          <w:sz w:val="22"/>
          <w:szCs w:val="22"/>
        </w:rPr>
        <w:t xml:space="preserve"> accepted delivery of PwC’s final report, which included 10 key recommendations and outlined practical and tangible steps to support the proposed reforms to Part B of the PL.</w:t>
      </w:r>
    </w:p>
    <w:p w14:paraId="1C5CBB3E" w14:textId="6F200A17" w:rsidR="007E38CE" w:rsidRDefault="004726EB" w:rsidP="00955999">
      <w:pPr>
        <w:pStyle w:val="Paragraphtext"/>
        <w:spacing w:after="120"/>
        <w:rPr>
          <w:sz w:val="22"/>
          <w:szCs w:val="22"/>
        </w:rPr>
      </w:pPr>
      <w:r w:rsidRPr="007E38CE">
        <w:rPr>
          <w:sz w:val="22"/>
          <w:szCs w:val="22"/>
        </w:rPr>
        <w:lastRenderedPageBreak/>
        <w:t>T</w:t>
      </w:r>
      <w:r w:rsidR="00FD315E" w:rsidRPr="007E38CE">
        <w:rPr>
          <w:sz w:val="22"/>
          <w:szCs w:val="22"/>
        </w:rPr>
        <w:t xml:space="preserve">he </w:t>
      </w:r>
      <w:r w:rsidR="00DD53C4">
        <w:rPr>
          <w:sz w:val="22"/>
          <w:szCs w:val="22"/>
        </w:rPr>
        <w:t>department</w:t>
      </w:r>
      <w:r w:rsidR="00FD315E" w:rsidRPr="007E38CE">
        <w:rPr>
          <w:sz w:val="22"/>
          <w:szCs w:val="22"/>
        </w:rPr>
        <w:t xml:space="preserve"> has accepted</w:t>
      </w:r>
      <w:r w:rsidR="004540B9" w:rsidRPr="007E38CE">
        <w:rPr>
          <w:sz w:val="22"/>
          <w:szCs w:val="22"/>
        </w:rPr>
        <w:t xml:space="preserve"> in-principle</w:t>
      </w:r>
      <w:r w:rsidR="00FD315E" w:rsidRPr="007E38CE">
        <w:rPr>
          <w:sz w:val="22"/>
          <w:szCs w:val="22"/>
        </w:rPr>
        <w:t xml:space="preserve"> all the </w:t>
      </w:r>
      <w:r w:rsidR="00D41957" w:rsidRPr="007E38CE">
        <w:rPr>
          <w:sz w:val="22"/>
          <w:szCs w:val="22"/>
        </w:rPr>
        <w:t>r</w:t>
      </w:r>
      <w:r w:rsidR="00FD315E" w:rsidRPr="007E38CE">
        <w:rPr>
          <w:sz w:val="22"/>
          <w:szCs w:val="22"/>
        </w:rPr>
        <w:t xml:space="preserve">ecommendations put forward, </w:t>
      </w:r>
      <w:r w:rsidR="0054525F" w:rsidRPr="007E38CE">
        <w:rPr>
          <w:sz w:val="22"/>
          <w:szCs w:val="22"/>
        </w:rPr>
        <w:t xml:space="preserve">with the exception of </w:t>
      </w:r>
      <w:r w:rsidR="00FD315E" w:rsidRPr="007E38CE">
        <w:rPr>
          <w:sz w:val="22"/>
          <w:szCs w:val="22"/>
        </w:rPr>
        <w:t xml:space="preserve">Recommendation </w:t>
      </w:r>
      <w:r w:rsidR="00185E02" w:rsidRPr="007E38CE">
        <w:rPr>
          <w:sz w:val="22"/>
          <w:szCs w:val="22"/>
        </w:rPr>
        <w:t xml:space="preserve">2 </w:t>
      </w:r>
      <w:r w:rsidR="00FD315E" w:rsidRPr="007E38CE">
        <w:rPr>
          <w:sz w:val="22"/>
          <w:szCs w:val="22"/>
        </w:rPr>
        <w:t xml:space="preserve">which </w:t>
      </w:r>
      <w:r w:rsidR="00185E02" w:rsidRPr="007E38CE">
        <w:rPr>
          <w:sz w:val="22"/>
          <w:szCs w:val="22"/>
        </w:rPr>
        <w:t>requires further consideration</w:t>
      </w:r>
      <w:r w:rsidR="00FD315E" w:rsidRPr="007E38CE">
        <w:rPr>
          <w:sz w:val="22"/>
          <w:szCs w:val="22"/>
        </w:rPr>
        <w:t>.</w:t>
      </w:r>
      <w:r w:rsidR="003B4532" w:rsidRPr="007E38CE">
        <w:rPr>
          <w:sz w:val="22"/>
          <w:szCs w:val="22"/>
        </w:rPr>
        <w:t xml:space="preserve"> </w:t>
      </w:r>
      <w:r w:rsidR="007E38CE">
        <w:rPr>
          <w:sz w:val="22"/>
          <w:szCs w:val="22"/>
        </w:rPr>
        <w:t xml:space="preserve">The </w:t>
      </w:r>
      <w:r w:rsidR="004A3E45">
        <w:rPr>
          <w:sz w:val="22"/>
          <w:szCs w:val="22"/>
        </w:rPr>
        <w:t>department is working</w:t>
      </w:r>
      <w:r w:rsidR="007E38CE">
        <w:rPr>
          <w:sz w:val="22"/>
          <w:szCs w:val="22"/>
        </w:rPr>
        <w:t xml:space="preserve"> towards implementation of the recommendations.</w:t>
      </w:r>
    </w:p>
    <w:p w14:paraId="37A5797C" w14:textId="19F1AA32" w:rsidR="007E38CE" w:rsidRPr="00955999" w:rsidRDefault="003B4532" w:rsidP="00955999">
      <w:pPr>
        <w:pStyle w:val="Paragraphtext"/>
        <w:spacing w:after="120"/>
        <w:rPr>
          <w:sz w:val="22"/>
          <w:szCs w:val="22"/>
        </w:rPr>
      </w:pPr>
      <w:r w:rsidRPr="007E38CE">
        <w:rPr>
          <w:sz w:val="22"/>
          <w:szCs w:val="22"/>
        </w:rPr>
        <w:t>The feedback</w:t>
      </w:r>
      <w:r w:rsidRPr="00027F31">
        <w:rPr>
          <w:sz w:val="22"/>
          <w:szCs w:val="22"/>
        </w:rPr>
        <w:t xml:space="preserve"> received on these </w:t>
      </w:r>
      <w:r w:rsidR="000C1B71" w:rsidRPr="00027F31">
        <w:rPr>
          <w:sz w:val="22"/>
          <w:szCs w:val="22"/>
        </w:rPr>
        <w:t>recommendations</w:t>
      </w:r>
      <w:r w:rsidR="00673FE3" w:rsidRPr="00027F31">
        <w:rPr>
          <w:sz w:val="22"/>
          <w:szCs w:val="22"/>
        </w:rPr>
        <w:t>, and the department’s re</w:t>
      </w:r>
      <w:r w:rsidR="001022E3" w:rsidRPr="00027F31">
        <w:rPr>
          <w:sz w:val="22"/>
          <w:szCs w:val="22"/>
        </w:rPr>
        <w:t>s</w:t>
      </w:r>
      <w:r w:rsidR="00673FE3" w:rsidRPr="00027F31">
        <w:rPr>
          <w:sz w:val="22"/>
          <w:szCs w:val="22"/>
        </w:rPr>
        <w:t>ponse</w:t>
      </w:r>
      <w:r w:rsidR="000C1B71" w:rsidRPr="00027F31">
        <w:rPr>
          <w:sz w:val="22"/>
          <w:szCs w:val="22"/>
        </w:rPr>
        <w:t xml:space="preserve"> </w:t>
      </w:r>
      <w:r w:rsidR="00F96F51">
        <w:rPr>
          <w:sz w:val="22"/>
          <w:szCs w:val="22"/>
        </w:rPr>
        <w:t>are</w:t>
      </w:r>
      <w:r w:rsidR="000C1B71" w:rsidRPr="00027F31">
        <w:rPr>
          <w:sz w:val="22"/>
          <w:szCs w:val="22"/>
        </w:rPr>
        <w:t xml:space="preserve"> explored </w:t>
      </w:r>
      <w:r w:rsidR="007E38CE">
        <w:rPr>
          <w:sz w:val="22"/>
          <w:szCs w:val="22"/>
        </w:rPr>
        <w:t>in the following</w:t>
      </w:r>
      <w:r w:rsidR="000C1B71" w:rsidRPr="00027F31">
        <w:rPr>
          <w:sz w:val="22"/>
          <w:szCs w:val="22"/>
        </w:rPr>
        <w:t xml:space="preserve">. </w:t>
      </w:r>
    </w:p>
    <w:p w14:paraId="070FA8DE" w14:textId="52DFD9A6" w:rsidR="00CE6502" w:rsidRDefault="002342A0" w:rsidP="002342A0">
      <w:pPr>
        <w:pStyle w:val="Heading1"/>
      </w:pPr>
      <w:r>
        <w:t>Stakeholder feedback a</w:t>
      </w:r>
      <w:r w:rsidR="002F258D">
        <w:t>nalys</w:t>
      </w:r>
      <w:r w:rsidR="007E38CE">
        <w:t>e</w:t>
      </w:r>
      <w:r w:rsidR="002F258D">
        <w:t>s</w:t>
      </w:r>
    </w:p>
    <w:p w14:paraId="53C0213E" w14:textId="6A7D92CA" w:rsidR="00C8415E" w:rsidRDefault="008F6269" w:rsidP="002342A0">
      <w:pPr>
        <w:pStyle w:val="Heading2"/>
      </w:pPr>
      <w:r>
        <w:t xml:space="preserve">Recommendation 1 </w:t>
      </w:r>
      <w:r w:rsidR="00C8415E">
        <w:t>–</w:t>
      </w:r>
      <w:r w:rsidR="007E38CE">
        <w:t xml:space="preserve"> </w:t>
      </w:r>
      <w:r w:rsidR="004E4D40" w:rsidRPr="007E38CE">
        <w:t xml:space="preserve">the </w:t>
      </w:r>
      <w:r w:rsidR="000C1B71" w:rsidRPr="007E38CE">
        <w:t>d</w:t>
      </w:r>
      <w:r w:rsidR="00185E02" w:rsidRPr="007E38CE">
        <w:t>epartment</w:t>
      </w:r>
      <w:r w:rsidR="004E4D40" w:rsidRPr="007E38CE">
        <w:t xml:space="preserve"> offer stakeholders the opportunity to provide feedback on </w:t>
      </w:r>
      <w:r w:rsidR="007E38CE">
        <w:t>a</w:t>
      </w:r>
      <w:r w:rsidR="004E4D40" w:rsidRPr="007E38CE">
        <w:t xml:space="preserve"> proposed definition for Part B products</w:t>
      </w:r>
    </w:p>
    <w:p w14:paraId="73ED0DEB" w14:textId="49B6C2F2" w:rsidR="00670350" w:rsidRPr="00027F31" w:rsidRDefault="00670350" w:rsidP="00027F31">
      <w:pPr>
        <w:pStyle w:val="Paragraphtext"/>
        <w:spacing w:after="120"/>
        <w:rPr>
          <w:sz w:val="22"/>
          <w:szCs w:val="22"/>
        </w:rPr>
      </w:pPr>
      <w:r w:rsidRPr="00027F31">
        <w:rPr>
          <w:sz w:val="22"/>
          <w:szCs w:val="22"/>
        </w:rPr>
        <w:t xml:space="preserve">In line with the </w:t>
      </w:r>
      <w:r w:rsidR="004E4D40" w:rsidRPr="00027F31">
        <w:rPr>
          <w:sz w:val="22"/>
          <w:szCs w:val="22"/>
        </w:rPr>
        <w:t xml:space="preserve">Therapeutics </w:t>
      </w:r>
      <w:r w:rsidRPr="00027F31">
        <w:rPr>
          <w:sz w:val="22"/>
          <w:szCs w:val="22"/>
        </w:rPr>
        <w:t>G</w:t>
      </w:r>
      <w:r w:rsidR="004E4D40" w:rsidRPr="00027F31">
        <w:rPr>
          <w:sz w:val="22"/>
          <w:szCs w:val="22"/>
        </w:rPr>
        <w:t xml:space="preserve">oods </w:t>
      </w:r>
      <w:r w:rsidRPr="00027F31">
        <w:rPr>
          <w:sz w:val="22"/>
          <w:szCs w:val="22"/>
        </w:rPr>
        <w:t>A</w:t>
      </w:r>
      <w:r w:rsidR="004E4D40" w:rsidRPr="00027F31">
        <w:rPr>
          <w:sz w:val="22"/>
          <w:szCs w:val="22"/>
        </w:rPr>
        <w:t>dministration</w:t>
      </w:r>
      <w:r w:rsidRPr="00027F31">
        <w:rPr>
          <w:sz w:val="22"/>
          <w:szCs w:val="22"/>
        </w:rPr>
        <w:t xml:space="preserve"> </w:t>
      </w:r>
      <w:r w:rsidR="00D923E0" w:rsidRPr="00027F31">
        <w:rPr>
          <w:sz w:val="22"/>
          <w:szCs w:val="22"/>
        </w:rPr>
        <w:t xml:space="preserve">(TGA) </w:t>
      </w:r>
      <w:r w:rsidRPr="00027F31">
        <w:rPr>
          <w:sz w:val="22"/>
          <w:szCs w:val="22"/>
        </w:rPr>
        <w:t xml:space="preserve">and the Office of Best Practice </w:t>
      </w:r>
      <w:r w:rsidR="005F69B9">
        <w:rPr>
          <w:sz w:val="22"/>
          <w:szCs w:val="22"/>
        </w:rPr>
        <w:t>Regulation</w:t>
      </w:r>
      <w:r w:rsidR="0091758F">
        <w:rPr>
          <w:sz w:val="22"/>
          <w:szCs w:val="22"/>
        </w:rPr>
        <w:t xml:space="preserve"> (OBPR)</w:t>
      </w:r>
      <w:r w:rsidRPr="00027F31">
        <w:rPr>
          <w:sz w:val="22"/>
          <w:szCs w:val="22"/>
        </w:rPr>
        <w:t xml:space="preserve">, the proposed definition of </w:t>
      </w:r>
      <w:r w:rsidR="006240B6">
        <w:rPr>
          <w:sz w:val="22"/>
          <w:szCs w:val="22"/>
        </w:rPr>
        <w:t xml:space="preserve">a </w:t>
      </w:r>
      <w:r w:rsidRPr="00027F31">
        <w:rPr>
          <w:sz w:val="22"/>
          <w:szCs w:val="22"/>
        </w:rPr>
        <w:t>Part B product is:</w:t>
      </w:r>
    </w:p>
    <w:p w14:paraId="395353A9" w14:textId="683BF046" w:rsidR="008F6269" w:rsidRPr="0043227E" w:rsidRDefault="00670350" w:rsidP="00A558DD">
      <w:pPr>
        <w:pStyle w:val="Quote"/>
        <w:spacing w:before="120" w:after="120"/>
        <w:ind w:left="357"/>
        <w:rPr>
          <w:szCs w:val="22"/>
        </w:rPr>
      </w:pPr>
      <w:r w:rsidRPr="0043227E">
        <w:rPr>
          <w:szCs w:val="22"/>
        </w:rPr>
        <w:t>Human tissue (includes products that are substantially derived from human tissue where the tissue has been subject to processing or treatments, and whose supply [however described, including trade, sell, give or gift] is governed by state or territory law).</w:t>
      </w:r>
    </w:p>
    <w:p w14:paraId="7C7A0A76" w14:textId="23AA3D8D" w:rsidR="00597E0E" w:rsidRPr="00027F31" w:rsidRDefault="00597E0E" w:rsidP="00027F31">
      <w:pPr>
        <w:pStyle w:val="Paragraphtext"/>
        <w:spacing w:after="120"/>
        <w:rPr>
          <w:sz w:val="22"/>
          <w:szCs w:val="22"/>
        </w:rPr>
      </w:pPr>
      <w:r w:rsidRPr="00027F31">
        <w:rPr>
          <w:sz w:val="22"/>
          <w:szCs w:val="22"/>
        </w:rPr>
        <w:t xml:space="preserve">Overall, </w:t>
      </w:r>
      <w:r w:rsidR="00BC159C">
        <w:rPr>
          <w:sz w:val="22"/>
          <w:szCs w:val="22"/>
        </w:rPr>
        <w:t>65% of respondents</w:t>
      </w:r>
      <w:r w:rsidRPr="00027F31">
        <w:rPr>
          <w:sz w:val="22"/>
          <w:szCs w:val="22"/>
        </w:rPr>
        <w:t xml:space="preserve"> were supportive of the proposed definition</w:t>
      </w:r>
      <w:r w:rsidR="00BC159C">
        <w:rPr>
          <w:sz w:val="22"/>
          <w:szCs w:val="22"/>
        </w:rPr>
        <w:t>.</w:t>
      </w:r>
    </w:p>
    <w:p w14:paraId="7ECDF8C7" w14:textId="1C9D3BBE" w:rsidR="00CE6502" w:rsidRDefault="007E38CE" w:rsidP="003D2D88">
      <w:pPr>
        <w:pStyle w:val="Paragraphtext"/>
      </w:pPr>
      <w:r>
        <w:rPr>
          <w:noProof/>
        </w:rPr>
        <w:drawing>
          <wp:anchor distT="0" distB="0" distL="114300" distR="114300" simplePos="0" relativeHeight="251657216" behindDoc="0" locked="0" layoutInCell="1" allowOverlap="1" wp14:anchorId="683F4C6E" wp14:editId="6CF2D7FB">
            <wp:simplePos x="0" y="0"/>
            <wp:positionH relativeFrom="column">
              <wp:posOffset>4355161</wp:posOffset>
            </wp:positionH>
            <wp:positionV relativeFrom="paragraph">
              <wp:posOffset>1193551</wp:posOffset>
            </wp:positionV>
            <wp:extent cx="808355" cy="365760"/>
            <wp:effectExtent l="0" t="0" r="0" b="0"/>
            <wp:wrapNone/>
            <wp:docPr id="12482587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58797"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808355" cy="365760"/>
                    </a:xfrm>
                    <a:prstGeom prst="rect">
                      <a:avLst/>
                    </a:prstGeom>
                  </pic:spPr>
                </pic:pic>
              </a:graphicData>
            </a:graphic>
            <wp14:sizeRelH relativeFrom="page">
              <wp14:pctWidth>0</wp14:pctWidth>
            </wp14:sizeRelH>
            <wp14:sizeRelV relativeFrom="page">
              <wp14:pctHeight>0</wp14:pctHeight>
            </wp14:sizeRelV>
          </wp:anchor>
        </w:drawing>
      </w:r>
      <w:r w:rsidR="008A1B36">
        <w:rPr>
          <w:noProof/>
        </w:rPr>
        <w:drawing>
          <wp:inline distT="0" distB="0" distL="0" distR="0" wp14:anchorId="50C3C5AE" wp14:editId="793B791F">
            <wp:extent cx="5486400" cy="2520000"/>
            <wp:effectExtent l="0" t="0" r="0" b="13970"/>
            <wp:docPr id="3" name="Chart 3" descr="Stakeholder support to recommendati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2F1543" w14:textId="0773B3AC" w:rsidR="004B5E27" w:rsidRDefault="00D819C7" w:rsidP="00D819C7">
      <w:pPr>
        <w:pStyle w:val="Heading4"/>
      </w:pPr>
      <w:r>
        <w:t xml:space="preserve">Feedback in support </w:t>
      </w:r>
      <w:r w:rsidR="00F5709A">
        <w:t>of Recommendation 1</w:t>
      </w:r>
    </w:p>
    <w:p w14:paraId="700DF384" w14:textId="5DBD1D17" w:rsidR="004B5E27" w:rsidRPr="00A558DD" w:rsidRDefault="00A558DD" w:rsidP="00027F31">
      <w:pPr>
        <w:pStyle w:val="ListBullet"/>
        <w:spacing w:before="120" w:after="120"/>
        <w:ind w:left="357" w:hanging="357"/>
        <w:rPr>
          <w:sz w:val="22"/>
          <w:szCs w:val="22"/>
        </w:rPr>
      </w:pPr>
      <w:r>
        <w:rPr>
          <w:sz w:val="22"/>
          <w:szCs w:val="22"/>
        </w:rPr>
        <w:t>A</w:t>
      </w:r>
      <w:r w:rsidR="00CE5A6D" w:rsidRPr="00027F31">
        <w:rPr>
          <w:sz w:val="22"/>
          <w:szCs w:val="22"/>
        </w:rPr>
        <w:t xml:space="preserve">ll </w:t>
      </w:r>
      <w:r w:rsidR="0031624F" w:rsidRPr="00304D61">
        <w:rPr>
          <w:sz w:val="22"/>
          <w:szCs w:val="22"/>
        </w:rPr>
        <w:t>spo</w:t>
      </w:r>
      <w:r w:rsidR="00813103" w:rsidRPr="00304D61">
        <w:rPr>
          <w:sz w:val="22"/>
          <w:szCs w:val="22"/>
        </w:rPr>
        <w:t>n</w:t>
      </w:r>
      <w:r w:rsidR="0031624F" w:rsidRPr="00304D61">
        <w:rPr>
          <w:sz w:val="22"/>
          <w:szCs w:val="22"/>
        </w:rPr>
        <w:t xml:space="preserve">sors </w:t>
      </w:r>
      <w:r w:rsidR="00CE5A6D" w:rsidRPr="00A66C4D">
        <w:rPr>
          <w:sz w:val="22"/>
          <w:szCs w:val="22"/>
        </w:rPr>
        <w:t>of human tissue products</w:t>
      </w:r>
      <w:r>
        <w:rPr>
          <w:sz w:val="22"/>
          <w:szCs w:val="22"/>
        </w:rPr>
        <w:t xml:space="preserve">, </w:t>
      </w:r>
      <w:r w:rsidRPr="00D378D2">
        <w:rPr>
          <w:sz w:val="22"/>
          <w:szCs w:val="22"/>
        </w:rPr>
        <w:t xml:space="preserve">whether </w:t>
      </w:r>
      <w:r>
        <w:rPr>
          <w:sz w:val="22"/>
          <w:szCs w:val="22"/>
        </w:rPr>
        <w:t xml:space="preserve">they </w:t>
      </w:r>
      <w:r w:rsidR="00F4422B">
        <w:rPr>
          <w:sz w:val="22"/>
          <w:szCs w:val="22"/>
        </w:rPr>
        <w:t xml:space="preserve">are </w:t>
      </w:r>
      <w:bookmarkStart w:id="4" w:name="_Hlk177973682"/>
      <w:bookmarkStart w:id="5" w:name="_Hlk177973736"/>
      <w:r w:rsidR="0042586A">
        <w:rPr>
          <w:sz w:val="22"/>
          <w:szCs w:val="22"/>
        </w:rPr>
        <w:t xml:space="preserve">NFP, </w:t>
      </w:r>
      <w:r w:rsidR="00975EE2">
        <w:rPr>
          <w:sz w:val="22"/>
          <w:szCs w:val="22"/>
        </w:rPr>
        <w:t>or FP</w:t>
      </w:r>
      <w:r w:rsidR="0089086D">
        <w:rPr>
          <w:sz w:val="22"/>
          <w:szCs w:val="22"/>
        </w:rPr>
        <w:t xml:space="preserve"> </w:t>
      </w:r>
      <w:bookmarkEnd w:id="4"/>
      <w:bookmarkEnd w:id="5"/>
      <w:r w:rsidR="00CE5A6D" w:rsidRPr="00A558DD">
        <w:rPr>
          <w:sz w:val="22"/>
          <w:szCs w:val="22"/>
        </w:rPr>
        <w:t>must abide by the same laws.</w:t>
      </w:r>
    </w:p>
    <w:p w14:paraId="245B89EE" w14:textId="0A6C84AE" w:rsidR="00811BA9" w:rsidRDefault="00CE5A6D" w:rsidP="00027F31">
      <w:pPr>
        <w:pStyle w:val="ListBullet"/>
        <w:spacing w:before="120" w:after="120"/>
        <w:ind w:left="357" w:hanging="357"/>
        <w:rPr>
          <w:sz w:val="22"/>
          <w:szCs w:val="22"/>
        </w:rPr>
      </w:pPr>
      <w:r w:rsidRPr="00A558DD">
        <w:rPr>
          <w:sz w:val="22"/>
          <w:szCs w:val="22"/>
        </w:rPr>
        <w:t xml:space="preserve">All products listed on Part B </w:t>
      </w:r>
      <w:r w:rsidR="00A558DD">
        <w:rPr>
          <w:sz w:val="22"/>
          <w:szCs w:val="22"/>
        </w:rPr>
        <w:t>require</w:t>
      </w:r>
      <w:r w:rsidRPr="00A558DD">
        <w:rPr>
          <w:sz w:val="22"/>
          <w:szCs w:val="22"/>
        </w:rPr>
        <w:t xml:space="preserve"> a cost recovery method for pricing and</w:t>
      </w:r>
      <w:r w:rsidR="00F4422B">
        <w:rPr>
          <w:sz w:val="22"/>
          <w:szCs w:val="22"/>
        </w:rPr>
        <w:t>,</w:t>
      </w:r>
      <w:r w:rsidRPr="00A558DD">
        <w:rPr>
          <w:sz w:val="22"/>
          <w:szCs w:val="22"/>
        </w:rPr>
        <w:t xml:space="preserve"> therefore</w:t>
      </w:r>
      <w:r w:rsidR="00F4422B">
        <w:rPr>
          <w:sz w:val="22"/>
          <w:szCs w:val="22"/>
        </w:rPr>
        <w:t>,</w:t>
      </w:r>
      <w:r w:rsidRPr="00A558DD">
        <w:rPr>
          <w:sz w:val="22"/>
          <w:szCs w:val="22"/>
        </w:rPr>
        <w:t xml:space="preserve"> </w:t>
      </w:r>
      <w:r w:rsidR="00F4422B">
        <w:rPr>
          <w:sz w:val="22"/>
          <w:szCs w:val="22"/>
        </w:rPr>
        <w:t>any</w:t>
      </w:r>
      <w:r w:rsidR="00F4422B" w:rsidRPr="00A558DD">
        <w:rPr>
          <w:sz w:val="22"/>
          <w:szCs w:val="22"/>
        </w:rPr>
        <w:t xml:space="preserve"> </w:t>
      </w:r>
      <w:r w:rsidRPr="00A558DD">
        <w:rPr>
          <w:sz w:val="22"/>
          <w:szCs w:val="22"/>
        </w:rPr>
        <w:t xml:space="preserve">definition </w:t>
      </w:r>
      <w:r w:rsidR="00F4422B">
        <w:rPr>
          <w:sz w:val="22"/>
          <w:szCs w:val="22"/>
        </w:rPr>
        <w:t xml:space="preserve">of Part B products </w:t>
      </w:r>
      <w:r w:rsidRPr="00A558DD">
        <w:rPr>
          <w:sz w:val="22"/>
          <w:szCs w:val="22"/>
        </w:rPr>
        <w:t xml:space="preserve">should be </w:t>
      </w:r>
      <w:r w:rsidR="006F7575" w:rsidRPr="00A558DD">
        <w:rPr>
          <w:sz w:val="22"/>
          <w:szCs w:val="22"/>
        </w:rPr>
        <w:t xml:space="preserve">focused on </w:t>
      </w:r>
      <w:r w:rsidRPr="00A558DD">
        <w:rPr>
          <w:sz w:val="22"/>
          <w:szCs w:val="22"/>
        </w:rPr>
        <w:t xml:space="preserve">whether </w:t>
      </w:r>
      <w:r w:rsidR="006F7575" w:rsidRPr="00A558DD">
        <w:rPr>
          <w:sz w:val="22"/>
          <w:szCs w:val="22"/>
        </w:rPr>
        <w:t xml:space="preserve">the product itself </w:t>
      </w:r>
      <w:r w:rsidRPr="00A558DD">
        <w:rPr>
          <w:sz w:val="22"/>
          <w:szCs w:val="22"/>
        </w:rPr>
        <w:t>is made from human tissue.</w:t>
      </w:r>
    </w:p>
    <w:p w14:paraId="1DF49028" w14:textId="77777777" w:rsidR="00120ADC" w:rsidRDefault="00120ADC">
      <w:pPr>
        <w:rPr>
          <w:b/>
          <w:bCs/>
          <w:i/>
          <w:color w:val="414141"/>
          <w:sz w:val="24"/>
          <w:szCs w:val="28"/>
        </w:rPr>
      </w:pPr>
      <w:r>
        <w:br w:type="page"/>
      </w:r>
    </w:p>
    <w:p w14:paraId="75B4B267" w14:textId="2AA52E79" w:rsidR="00101BFC" w:rsidRDefault="00F5709A" w:rsidP="00F5709A">
      <w:pPr>
        <w:pStyle w:val="Heading4"/>
      </w:pPr>
      <w:r>
        <w:lastRenderedPageBreak/>
        <w:t>Feedback against Recommendation 1</w:t>
      </w:r>
    </w:p>
    <w:p w14:paraId="7EF22EEC" w14:textId="23E15882" w:rsidR="006B780D" w:rsidRPr="006B780D" w:rsidRDefault="006B780D" w:rsidP="00027F31">
      <w:pPr>
        <w:spacing w:before="120" w:after="120"/>
      </w:pPr>
      <w:r>
        <w:t>Ethical concerns</w:t>
      </w:r>
    </w:p>
    <w:p w14:paraId="4A0B61DB" w14:textId="0900B859" w:rsidR="00A558DD" w:rsidRDefault="00A558DD" w:rsidP="00027F31">
      <w:pPr>
        <w:pStyle w:val="ListBullet"/>
        <w:spacing w:before="120" w:after="120"/>
        <w:rPr>
          <w:sz w:val="22"/>
          <w:szCs w:val="22"/>
        </w:rPr>
      </w:pPr>
      <w:r>
        <w:rPr>
          <w:sz w:val="22"/>
          <w:szCs w:val="22"/>
        </w:rPr>
        <w:t>T</w:t>
      </w:r>
      <w:r w:rsidRPr="00027F31" w:rsidDel="00061F31">
        <w:rPr>
          <w:sz w:val="22"/>
          <w:szCs w:val="22"/>
        </w:rPr>
        <w:t xml:space="preserve">he primary purpose of the </w:t>
      </w:r>
      <w:r w:rsidRPr="00027F31" w:rsidDel="00061F31">
        <w:rPr>
          <w:i/>
          <w:iCs/>
          <w:sz w:val="22"/>
          <w:szCs w:val="22"/>
        </w:rPr>
        <w:t>Private Health Insurance Act 2007</w:t>
      </w:r>
      <w:r w:rsidRPr="00027F31" w:rsidDel="00061F31">
        <w:rPr>
          <w:sz w:val="22"/>
          <w:szCs w:val="22"/>
        </w:rPr>
        <w:t xml:space="preserve"> is to address benefit and price-setting.</w:t>
      </w:r>
    </w:p>
    <w:p w14:paraId="53FDF17F" w14:textId="3B11F6B0" w:rsidR="00101BFC" w:rsidRDefault="00112EF7" w:rsidP="00A558DD">
      <w:pPr>
        <w:pStyle w:val="ListBullet"/>
        <w:spacing w:before="120" w:after="120"/>
      </w:pPr>
      <w:r>
        <w:rPr>
          <w:sz w:val="22"/>
          <w:szCs w:val="22"/>
        </w:rPr>
        <w:t>I</w:t>
      </w:r>
      <w:r w:rsidR="00101BFC" w:rsidRPr="00027F31">
        <w:rPr>
          <w:sz w:val="22"/>
          <w:szCs w:val="22"/>
        </w:rPr>
        <w:t xml:space="preserve">mported tissue products should </w:t>
      </w:r>
      <w:r w:rsidR="00F4422B">
        <w:rPr>
          <w:sz w:val="22"/>
          <w:szCs w:val="22"/>
        </w:rPr>
        <w:t xml:space="preserve">be sourced ethically in line with </w:t>
      </w:r>
      <w:r w:rsidR="00101BFC" w:rsidRPr="00027F31">
        <w:rPr>
          <w:sz w:val="22"/>
          <w:szCs w:val="22"/>
        </w:rPr>
        <w:t xml:space="preserve">Australia’s </w:t>
      </w:r>
      <w:r w:rsidR="00F4422B">
        <w:rPr>
          <w:sz w:val="22"/>
          <w:szCs w:val="22"/>
        </w:rPr>
        <w:t xml:space="preserve">stated </w:t>
      </w:r>
      <w:r w:rsidR="00101BFC" w:rsidRPr="00027F31">
        <w:rPr>
          <w:sz w:val="22"/>
          <w:szCs w:val="22"/>
        </w:rPr>
        <w:t xml:space="preserve">position </w:t>
      </w:r>
      <w:r w:rsidR="00F4422B">
        <w:rPr>
          <w:sz w:val="22"/>
          <w:szCs w:val="22"/>
        </w:rPr>
        <w:t>on</w:t>
      </w:r>
      <w:r w:rsidR="00F4422B" w:rsidRPr="00027F31">
        <w:rPr>
          <w:sz w:val="22"/>
          <w:szCs w:val="22"/>
        </w:rPr>
        <w:t xml:space="preserve"> </w:t>
      </w:r>
      <w:r w:rsidR="00101BFC" w:rsidRPr="00027F31">
        <w:rPr>
          <w:sz w:val="22"/>
          <w:szCs w:val="22"/>
        </w:rPr>
        <w:t>altruistic donation</w:t>
      </w:r>
      <w:r w:rsidR="00F4422B">
        <w:rPr>
          <w:sz w:val="22"/>
          <w:szCs w:val="22"/>
        </w:rPr>
        <w:t xml:space="preserve">. This requirement should be </w:t>
      </w:r>
      <w:r w:rsidR="00101BFC" w:rsidRPr="00027F31">
        <w:rPr>
          <w:sz w:val="22"/>
          <w:szCs w:val="22"/>
        </w:rPr>
        <w:t>embedd</w:t>
      </w:r>
      <w:r w:rsidR="00F4422B">
        <w:rPr>
          <w:sz w:val="22"/>
          <w:szCs w:val="22"/>
        </w:rPr>
        <w:t>ed</w:t>
      </w:r>
      <w:r w:rsidR="000A1F56" w:rsidRPr="00027F31">
        <w:rPr>
          <w:sz w:val="22"/>
          <w:szCs w:val="22"/>
        </w:rPr>
        <w:t xml:space="preserve"> </w:t>
      </w:r>
      <w:r w:rsidR="00101BFC" w:rsidRPr="00027F31">
        <w:rPr>
          <w:sz w:val="22"/>
          <w:szCs w:val="22"/>
        </w:rPr>
        <w:t>in</w:t>
      </w:r>
      <w:r w:rsidR="00F4422B">
        <w:rPr>
          <w:sz w:val="22"/>
          <w:szCs w:val="22"/>
        </w:rPr>
        <w:t>to</w:t>
      </w:r>
      <w:r w:rsidR="00101BFC" w:rsidRPr="00027F31">
        <w:rPr>
          <w:sz w:val="22"/>
          <w:szCs w:val="22"/>
        </w:rPr>
        <w:t xml:space="preserve"> the definition </w:t>
      </w:r>
      <w:r w:rsidR="00F4422B">
        <w:rPr>
          <w:sz w:val="22"/>
          <w:szCs w:val="22"/>
        </w:rPr>
        <w:t>to</w:t>
      </w:r>
      <w:r w:rsidR="00F4422B" w:rsidRPr="00027F31">
        <w:rPr>
          <w:sz w:val="22"/>
          <w:szCs w:val="22"/>
        </w:rPr>
        <w:t xml:space="preserve"> </w:t>
      </w:r>
      <w:r w:rsidR="00101BFC" w:rsidRPr="00027F31">
        <w:rPr>
          <w:sz w:val="22"/>
          <w:szCs w:val="22"/>
        </w:rPr>
        <w:t>ensure</w:t>
      </w:r>
      <w:r w:rsidR="00F4422B">
        <w:rPr>
          <w:sz w:val="22"/>
          <w:szCs w:val="22"/>
        </w:rPr>
        <w:t>, as far as possible,</w:t>
      </w:r>
      <w:r w:rsidR="00101BFC" w:rsidRPr="00027F31">
        <w:rPr>
          <w:sz w:val="22"/>
          <w:szCs w:val="22"/>
        </w:rPr>
        <w:t xml:space="preserve"> </w:t>
      </w:r>
      <w:r w:rsidR="00475C4E" w:rsidRPr="00027F31">
        <w:rPr>
          <w:sz w:val="22"/>
          <w:szCs w:val="22"/>
        </w:rPr>
        <w:t>visibility and adherence to the policy</w:t>
      </w:r>
      <w:r w:rsidR="00101BFC" w:rsidRPr="00027F31">
        <w:rPr>
          <w:sz w:val="22"/>
          <w:szCs w:val="22"/>
        </w:rPr>
        <w:t>.</w:t>
      </w:r>
    </w:p>
    <w:p w14:paraId="3516D87E" w14:textId="4A3D69DA" w:rsidR="006B780D" w:rsidRDefault="00F408A3" w:rsidP="00027F31">
      <w:pPr>
        <w:spacing w:before="120" w:after="120"/>
      </w:pPr>
      <w:r>
        <w:t>Future proofing</w:t>
      </w:r>
    </w:p>
    <w:p w14:paraId="4874D1A4" w14:textId="05573A45" w:rsidR="00F4422B" w:rsidRDefault="00F4422B" w:rsidP="00027F31">
      <w:pPr>
        <w:pStyle w:val="ListBullet"/>
        <w:spacing w:before="120" w:after="120"/>
        <w:rPr>
          <w:sz w:val="22"/>
          <w:szCs w:val="22"/>
        </w:rPr>
      </w:pPr>
      <w:r w:rsidRPr="00027F31">
        <w:rPr>
          <w:sz w:val="22"/>
          <w:szCs w:val="22"/>
        </w:rPr>
        <w:t xml:space="preserve">It is important the definition is fit-for-purpose </w:t>
      </w:r>
      <w:r>
        <w:rPr>
          <w:sz w:val="22"/>
          <w:szCs w:val="22"/>
        </w:rPr>
        <w:t>and</w:t>
      </w:r>
      <w:r w:rsidRPr="00027F31">
        <w:rPr>
          <w:sz w:val="22"/>
          <w:szCs w:val="22"/>
        </w:rPr>
        <w:t xml:space="preserve"> broad enough to enable innovation and the introduction of new technologies into the Australian market.</w:t>
      </w:r>
    </w:p>
    <w:p w14:paraId="1FDA0825" w14:textId="77777777" w:rsidR="007E38CE" w:rsidRDefault="007E38CE" w:rsidP="007E38CE">
      <w:pPr>
        <w:pStyle w:val="ListBullet"/>
        <w:numPr>
          <w:ilvl w:val="0"/>
          <w:numId w:val="0"/>
        </w:numPr>
        <w:spacing w:before="120" w:after="120"/>
        <w:ind w:left="360"/>
        <w:rPr>
          <w:sz w:val="22"/>
          <w:szCs w:val="22"/>
        </w:rPr>
      </w:pPr>
    </w:p>
    <w:p w14:paraId="62D9964B" w14:textId="4B095DED" w:rsidR="00F408A3" w:rsidRDefault="00FC6EAC" w:rsidP="00027F31">
      <w:pPr>
        <w:spacing w:before="120" w:after="120"/>
      </w:pPr>
      <w:r>
        <w:t>Further refinement</w:t>
      </w:r>
    </w:p>
    <w:p w14:paraId="1B91BBEF" w14:textId="082E8983" w:rsidR="00452999" w:rsidRPr="00027F31" w:rsidRDefault="00452999" w:rsidP="00027F31">
      <w:pPr>
        <w:pStyle w:val="ListBullet"/>
        <w:spacing w:before="120" w:after="120"/>
        <w:rPr>
          <w:sz w:val="22"/>
          <w:szCs w:val="22"/>
        </w:rPr>
      </w:pPr>
      <w:r w:rsidRPr="00027F31">
        <w:rPr>
          <w:sz w:val="22"/>
          <w:szCs w:val="22"/>
        </w:rPr>
        <w:t xml:space="preserve">The definition requires further refinement </w:t>
      </w:r>
      <w:r w:rsidR="00F4422B">
        <w:rPr>
          <w:sz w:val="22"/>
          <w:szCs w:val="22"/>
        </w:rPr>
        <w:t xml:space="preserve">to provide clarity for different stakeholder groups. </w:t>
      </w:r>
    </w:p>
    <w:p w14:paraId="726F9EE8" w14:textId="1BD6FABF" w:rsidR="00B94118" w:rsidRPr="00027F31" w:rsidRDefault="00700FAB" w:rsidP="00027F31">
      <w:pPr>
        <w:pStyle w:val="ListBullet"/>
        <w:spacing w:before="120" w:after="120"/>
        <w:rPr>
          <w:sz w:val="22"/>
          <w:szCs w:val="22"/>
        </w:rPr>
      </w:pPr>
      <w:r w:rsidRPr="00027F31">
        <w:rPr>
          <w:sz w:val="22"/>
          <w:szCs w:val="22"/>
        </w:rPr>
        <w:t>The definition d</w:t>
      </w:r>
      <w:r w:rsidR="00B94118" w:rsidRPr="00027F31">
        <w:rPr>
          <w:sz w:val="22"/>
          <w:szCs w:val="22"/>
        </w:rPr>
        <w:t>oes not acknowledge that highly processed tissue, such as some allografts, is different to minimally processed tissue by a local</w:t>
      </w:r>
      <w:r w:rsidR="00112EF7">
        <w:rPr>
          <w:sz w:val="22"/>
          <w:szCs w:val="22"/>
        </w:rPr>
        <w:t xml:space="preserve"> </w:t>
      </w:r>
      <w:r w:rsidR="0042586A">
        <w:rPr>
          <w:sz w:val="22"/>
          <w:szCs w:val="22"/>
        </w:rPr>
        <w:t>tissue</w:t>
      </w:r>
      <w:r w:rsidR="00112EF7">
        <w:rPr>
          <w:sz w:val="22"/>
          <w:szCs w:val="22"/>
        </w:rPr>
        <w:t xml:space="preserve"> bank</w:t>
      </w:r>
      <w:r w:rsidR="0042586A">
        <w:rPr>
          <w:sz w:val="22"/>
          <w:szCs w:val="22"/>
        </w:rPr>
        <w:t>.</w:t>
      </w:r>
    </w:p>
    <w:p w14:paraId="560739F9" w14:textId="55200ACB" w:rsidR="00E52C2E" w:rsidRPr="00027F31" w:rsidRDefault="00E52C2E" w:rsidP="00027F31">
      <w:pPr>
        <w:pStyle w:val="ListBullet"/>
        <w:spacing w:before="120" w:after="120"/>
        <w:rPr>
          <w:sz w:val="22"/>
          <w:szCs w:val="22"/>
        </w:rPr>
      </w:pPr>
      <w:r w:rsidRPr="00027F31">
        <w:rPr>
          <w:sz w:val="22"/>
          <w:szCs w:val="22"/>
        </w:rPr>
        <w:t xml:space="preserve">Alternative definitions </w:t>
      </w:r>
      <w:r w:rsidR="00E117D7" w:rsidRPr="00027F31">
        <w:rPr>
          <w:sz w:val="22"/>
          <w:szCs w:val="22"/>
        </w:rPr>
        <w:t>suggested:</w:t>
      </w:r>
    </w:p>
    <w:p w14:paraId="6E30C707" w14:textId="550B9D60" w:rsidR="00391758" w:rsidRPr="0043227E" w:rsidRDefault="00391758" w:rsidP="00027F31">
      <w:pPr>
        <w:pStyle w:val="Quote"/>
        <w:spacing w:before="120" w:after="120"/>
        <w:rPr>
          <w:szCs w:val="22"/>
        </w:rPr>
      </w:pPr>
      <w:r w:rsidRPr="0043227E">
        <w:rPr>
          <w:szCs w:val="22"/>
        </w:rPr>
        <w:t xml:space="preserve">Human tissue products </w:t>
      </w:r>
      <w:r w:rsidR="006240B6">
        <w:rPr>
          <w:szCs w:val="22"/>
        </w:rPr>
        <w:t xml:space="preserve">are </w:t>
      </w:r>
      <w:r w:rsidRPr="0043227E">
        <w:rPr>
          <w:szCs w:val="22"/>
        </w:rPr>
        <w:t xml:space="preserve">regulated under Part 3-2A of the TGA </w:t>
      </w:r>
      <w:r w:rsidR="006240B6">
        <w:rPr>
          <w:szCs w:val="22"/>
        </w:rPr>
        <w:t>and</w:t>
      </w:r>
      <w:r w:rsidRPr="0043227E">
        <w:rPr>
          <w:szCs w:val="22"/>
        </w:rPr>
        <w:t xml:space="preserve"> are substantially derived from altruistically donated human tissue where the tissue has been subject to processing or treatments, and whose supply is governed by state or territory law.</w:t>
      </w:r>
    </w:p>
    <w:p w14:paraId="03DEFF39" w14:textId="7D7D524F" w:rsidR="00E52C2E" w:rsidRPr="0043227E" w:rsidRDefault="00391758" w:rsidP="00027F31">
      <w:pPr>
        <w:pStyle w:val="Quote"/>
        <w:spacing w:before="120" w:after="120"/>
        <w:rPr>
          <w:szCs w:val="22"/>
        </w:rPr>
      </w:pPr>
      <w:r w:rsidRPr="0043227E">
        <w:rPr>
          <w:szCs w:val="22"/>
        </w:rPr>
        <w:t>Human tissue includes products that are substantially derived from human tissue where the tissue has been subject to minimal or more than minimal processing treatments, and whose supply [however described, including trade, sell, distribution at cost, give or gift] is governed by state or territory law.</w:t>
      </w:r>
    </w:p>
    <w:p w14:paraId="6FB0389D" w14:textId="13D2C257" w:rsidR="009556A1" w:rsidRDefault="00E1477A" w:rsidP="00A97045">
      <w:pPr>
        <w:pStyle w:val="PolicyStatement"/>
        <w:spacing w:before="0"/>
        <w:rPr>
          <w:sz w:val="22"/>
          <w:szCs w:val="22"/>
        </w:rPr>
      </w:pPr>
      <w:r w:rsidRPr="00027F31">
        <w:rPr>
          <w:sz w:val="22"/>
          <w:szCs w:val="22"/>
        </w:rPr>
        <w:t xml:space="preserve">The </w:t>
      </w:r>
      <w:r w:rsidR="007E38CE">
        <w:rPr>
          <w:sz w:val="22"/>
          <w:szCs w:val="22"/>
        </w:rPr>
        <w:t>department</w:t>
      </w:r>
      <w:r w:rsidR="007E38CE" w:rsidRPr="00027F31">
        <w:rPr>
          <w:sz w:val="22"/>
          <w:szCs w:val="22"/>
        </w:rPr>
        <w:t xml:space="preserve"> </w:t>
      </w:r>
      <w:r w:rsidR="00AD689B" w:rsidRPr="00027F31">
        <w:rPr>
          <w:sz w:val="22"/>
          <w:szCs w:val="22"/>
        </w:rPr>
        <w:t xml:space="preserve">agrees </w:t>
      </w:r>
      <w:r w:rsidR="005A2126">
        <w:rPr>
          <w:sz w:val="22"/>
          <w:szCs w:val="22"/>
        </w:rPr>
        <w:t xml:space="preserve">in-principle </w:t>
      </w:r>
      <w:r w:rsidR="00AD689B" w:rsidRPr="00027F31">
        <w:rPr>
          <w:sz w:val="22"/>
          <w:szCs w:val="22"/>
        </w:rPr>
        <w:t>with the proposed</w:t>
      </w:r>
      <w:r w:rsidR="00112EF7">
        <w:rPr>
          <w:sz w:val="22"/>
          <w:szCs w:val="22"/>
        </w:rPr>
        <w:t xml:space="preserve"> definition</w:t>
      </w:r>
      <w:r w:rsidR="00AD689B" w:rsidRPr="00027F31">
        <w:rPr>
          <w:sz w:val="22"/>
          <w:szCs w:val="22"/>
        </w:rPr>
        <w:t xml:space="preserve"> </w:t>
      </w:r>
      <w:r w:rsidR="00723256">
        <w:rPr>
          <w:sz w:val="22"/>
          <w:szCs w:val="22"/>
        </w:rPr>
        <w:t>i</w:t>
      </w:r>
      <w:r w:rsidR="00723256" w:rsidRPr="00027F31">
        <w:rPr>
          <w:sz w:val="22"/>
          <w:szCs w:val="22"/>
        </w:rPr>
        <w:t xml:space="preserve">n line with the TGA and the </w:t>
      </w:r>
      <w:r w:rsidR="0091758F">
        <w:rPr>
          <w:sz w:val="22"/>
          <w:szCs w:val="22"/>
        </w:rPr>
        <w:t>OBPR</w:t>
      </w:r>
      <w:r w:rsidR="00112EF7">
        <w:rPr>
          <w:sz w:val="22"/>
          <w:szCs w:val="22"/>
        </w:rPr>
        <w:t xml:space="preserve"> wording</w:t>
      </w:r>
      <w:r w:rsidR="00D666FA">
        <w:rPr>
          <w:sz w:val="22"/>
          <w:szCs w:val="22"/>
        </w:rPr>
        <w:t xml:space="preserve">. </w:t>
      </w:r>
      <w:commentRangeStart w:id="6"/>
      <w:commentRangeStart w:id="7"/>
      <w:r w:rsidR="00D666FA">
        <w:rPr>
          <w:sz w:val="22"/>
          <w:szCs w:val="22"/>
        </w:rPr>
        <w:t xml:space="preserve">The </w:t>
      </w:r>
      <w:r w:rsidR="007E38CE">
        <w:rPr>
          <w:sz w:val="22"/>
          <w:szCs w:val="22"/>
        </w:rPr>
        <w:t>department</w:t>
      </w:r>
      <w:r w:rsidR="00D666FA">
        <w:rPr>
          <w:sz w:val="22"/>
          <w:szCs w:val="22"/>
        </w:rPr>
        <w:t xml:space="preserve"> acknowledges th</w:t>
      </w:r>
      <w:r w:rsidR="00D17E82">
        <w:rPr>
          <w:sz w:val="22"/>
          <w:szCs w:val="22"/>
        </w:rPr>
        <w:t xml:space="preserve">e proposed definition </w:t>
      </w:r>
      <w:r w:rsidR="00613E30">
        <w:rPr>
          <w:sz w:val="22"/>
          <w:szCs w:val="22"/>
        </w:rPr>
        <w:t xml:space="preserve">may </w:t>
      </w:r>
      <w:r w:rsidR="00901C72">
        <w:rPr>
          <w:sz w:val="22"/>
          <w:szCs w:val="22"/>
        </w:rPr>
        <w:t>be subject to</w:t>
      </w:r>
      <w:r w:rsidR="00613E30">
        <w:rPr>
          <w:sz w:val="22"/>
          <w:szCs w:val="22"/>
        </w:rPr>
        <w:t xml:space="preserve"> refinement.</w:t>
      </w:r>
      <w:r w:rsidR="006A0BA0" w:rsidRPr="00027F31">
        <w:rPr>
          <w:sz w:val="22"/>
          <w:szCs w:val="22"/>
        </w:rPr>
        <w:t xml:space="preserve"> </w:t>
      </w:r>
      <w:commentRangeEnd w:id="6"/>
      <w:r w:rsidR="00112EF7">
        <w:rPr>
          <w:rStyle w:val="CommentReference"/>
        </w:rPr>
        <w:commentReference w:id="6"/>
      </w:r>
      <w:commentRangeEnd w:id="7"/>
      <w:r w:rsidR="00FF0AFC">
        <w:rPr>
          <w:rStyle w:val="CommentReference"/>
        </w:rPr>
        <w:commentReference w:id="7"/>
      </w:r>
    </w:p>
    <w:p w14:paraId="75725845" w14:textId="77777777" w:rsidR="00120ADC" w:rsidRDefault="00120ADC" w:rsidP="00A97045">
      <w:pPr>
        <w:pStyle w:val="PolicyStatement"/>
        <w:spacing w:before="0"/>
        <w:rPr>
          <w:sz w:val="22"/>
          <w:szCs w:val="22"/>
        </w:rPr>
      </w:pPr>
    </w:p>
    <w:p w14:paraId="3ECDE9F9" w14:textId="122F96C3" w:rsidR="00CE6502" w:rsidRPr="001571C7" w:rsidRDefault="000D6709" w:rsidP="007E38CE">
      <w:pPr>
        <w:pStyle w:val="Heading2"/>
      </w:pPr>
      <w:r w:rsidRPr="000D6709">
        <w:t>Recommendation 2 –</w:t>
      </w:r>
      <w:r w:rsidR="007E38CE">
        <w:t xml:space="preserve"> </w:t>
      </w:r>
      <w:r w:rsidRPr="000D6709">
        <w:t xml:space="preserve">the </w:t>
      </w:r>
      <w:r>
        <w:t>d</w:t>
      </w:r>
      <w:r w:rsidRPr="000D6709">
        <w:t xml:space="preserve">epartment consider whether the exemption from fees associated with Part B of the PL to be restricted to </w:t>
      </w:r>
      <w:r w:rsidR="00C626D8">
        <w:t>s</w:t>
      </w:r>
      <w:r w:rsidRPr="000D6709">
        <w:t xml:space="preserve">ponsors of Class 2 biologicals or </w:t>
      </w:r>
      <w:r w:rsidR="00C626D8">
        <w:t>s</w:t>
      </w:r>
      <w:r w:rsidRPr="000D6709">
        <w:t>ponsors who are registered as a not-for-profit entity with the Australian Taxation Office</w:t>
      </w:r>
    </w:p>
    <w:p w14:paraId="50BE720C" w14:textId="070C552D" w:rsidR="00E576F3" w:rsidRPr="00027F31" w:rsidRDefault="00AA431C" w:rsidP="00027F31">
      <w:pPr>
        <w:pStyle w:val="Paragraphtext"/>
        <w:spacing w:after="120"/>
        <w:rPr>
          <w:sz w:val="22"/>
          <w:szCs w:val="22"/>
        </w:rPr>
      </w:pPr>
      <w:r w:rsidRPr="00027F31">
        <w:rPr>
          <w:sz w:val="22"/>
          <w:szCs w:val="22"/>
        </w:rPr>
        <w:t xml:space="preserve">All </w:t>
      </w:r>
      <w:r w:rsidR="00902CFD" w:rsidRPr="00027F31">
        <w:rPr>
          <w:sz w:val="22"/>
          <w:szCs w:val="22"/>
        </w:rPr>
        <w:t>s</w:t>
      </w:r>
      <w:r w:rsidRPr="00027F31">
        <w:rPr>
          <w:sz w:val="22"/>
          <w:szCs w:val="22"/>
        </w:rPr>
        <w:t xml:space="preserve">ponsors of Part B products are currently exempt from </w:t>
      </w:r>
      <w:r w:rsidR="00EC7C2E" w:rsidRPr="00027F31">
        <w:rPr>
          <w:sz w:val="22"/>
          <w:szCs w:val="22"/>
        </w:rPr>
        <w:t xml:space="preserve">fees </w:t>
      </w:r>
      <w:r w:rsidR="00567DE3" w:rsidRPr="00027F31">
        <w:rPr>
          <w:sz w:val="22"/>
          <w:szCs w:val="22"/>
        </w:rPr>
        <w:t xml:space="preserve">that apply to other parts of the PL </w:t>
      </w:r>
      <w:r w:rsidR="00EC7C2E" w:rsidRPr="00027F31">
        <w:rPr>
          <w:sz w:val="22"/>
          <w:szCs w:val="22"/>
        </w:rPr>
        <w:t>(</w:t>
      </w:r>
      <w:r w:rsidRPr="00027F31">
        <w:rPr>
          <w:sz w:val="22"/>
          <w:szCs w:val="22"/>
        </w:rPr>
        <w:t>applicat</w:t>
      </w:r>
      <w:r w:rsidR="00EC7C2E" w:rsidRPr="00027F31">
        <w:rPr>
          <w:sz w:val="22"/>
          <w:szCs w:val="22"/>
        </w:rPr>
        <w:t>ion, i</w:t>
      </w:r>
      <w:r w:rsidRPr="00027F31">
        <w:rPr>
          <w:sz w:val="22"/>
          <w:szCs w:val="22"/>
        </w:rPr>
        <w:t xml:space="preserve">nitial </w:t>
      </w:r>
      <w:r w:rsidR="001C4C7F" w:rsidRPr="00027F31">
        <w:rPr>
          <w:sz w:val="22"/>
          <w:szCs w:val="22"/>
        </w:rPr>
        <w:t>listing,</w:t>
      </w:r>
      <w:r w:rsidR="00EC7C2E" w:rsidRPr="00027F31">
        <w:rPr>
          <w:sz w:val="22"/>
          <w:szCs w:val="22"/>
        </w:rPr>
        <w:t xml:space="preserve"> and </w:t>
      </w:r>
      <w:r w:rsidRPr="00027F31">
        <w:rPr>
          <w:sz w:val="22"/>
          <w:szCs w:val="22"/>
        </w:rPr>
        <w:t>ongoing listing fees</w:t>
      </w:r>
      <w:r w:rsidR="00EC7C2E" w:rsidRPr="00027F31">
        <w:rPr>
          <w:sz w:val="22"/>
          <w:szCs w:val="22"/>
        </w:rPr>
        <w:t>)</w:t>
      </w:r>
      <w:r w:rsidRPr="00027F31">
        <w:rPr>
          <w:sz w:val="22"/>
          <w:szCs w:val="22"/>
        </w:rPr>
        <w:t>.</w:t>
      </w:r>
    </w:p>
    <w:p w14:paraId="45B7D491" w14:textId="1CC5B971" w:rsidR="00AA431C" w:rsidRPr="00027F31" w:rsidRDefault="00AA431C" w:rsidP="00027F31">
      <w:pPr>
        <w:pStyle w:val="Paragraphtext"/>
        <w:spacing w:after="120"/>
        <w:rPr>
          <w:sz w:val="22"/>
          <w:szCs w:val="22"/>
        </w:rPr>
      </w:pPr>
      <w:r w:rsidRPr="00027F31">
        <w:rPr>
          <w:sz w:val="22"/>
          <w:szCs w:val="22"/>
        </w:rPr>
        <w:t xml:space="preserve">When Part B of the PL was established, sponsors were </w:t>
      </w:r>
      <w:r w:rsidR="00B94118" w:rsidRPr="00027F31">
        <w:rPr>
          <w:sz w:val="22"/>
          <w:szCs w:val="22"/>
        </w:rPr>
        <w:t>predominantly public</w:t>
      </w:r>
      <w:r w:rsidR="003F7718">
        <w:rPr>
          <w:sz w:val="22"/>
          <w:szCs w:val="22"/>
        </w:rPr>
        <w:t xml:space="preserve"> tissue</w:t>
      </w:r>
      <w:r w:rsidR="00112EF7">
        <w:rPr>
          <w:sz w:val="22"/>
          <w:szCs w:val="22"/>
        </w:rPr>
        <w:t xml:space="preserve"> bank</w:t>
      </w:r>
      <w:r w:rsidR="003F7718">
        <w:rPr>
          <w:sz w:val="22"/>
          <w:szCs w:val="22"/>
        </w:rPr>
        <w:t>s</w:t>
      </w:r>
      <w:r w:rsidR="00B94118" w:rsidRPr="00027F31">
        <w:rPr>
          <w:sz w:val="22"/>
          <w:szCs w:val="22"/>
        </w:rPr>
        <w:t xml:space="preserve"> </w:t>
      </w:r>
      <w:r w:rsidRPr="00027F31">
        <w:rPr>
          <w:sz w:val="22"/>
          <w:szCs w:val="22"/>
        </w:rPr>
        <w:t>supplying low risk tissue products which had minimal manipulat</w:t>
      </w:r>
      <w:r w:rsidR="00017DAA" w:rsidRPr="00027F31">
        <w:rPr>
          <w:sz w:val="22"/>
          <w:szCs w:val="22"/>
        </w:rPr>
        <w:t>ion</w:t>
      </w:r>
      <w:r w:rsidRPr="00027F31">
        <w:rPr>
          <w:sz w:val="22"/>
          <w:szCs w:val="22"/>
        </w:rPr>
        <w:t xml:space="preserve"> (Class 2 biologicals). </w:t>
      </w:r>
      <w:r w:rsidR="00017DAA" w:rsidRPr="00027F31">
        <w:rPr>
          <w:sz w:val="22"/>
          <w:szCs w:val="22"/>
        </w:rPr>
        <w:t>A</w:t>
      </w:r>
      <w:r w:rsidRPr="00027F31">
        <w:rPr>
          <w:sz w:val="22"/>
          <w:szCs w:val="22"/>
        </w:rPr>
        <w:t>s more highly processed tissue</w:t>
      </w:r>
      <w:r w:rsidR="00452999" w:rsidRPr="00027F31">
        <w:rPr>
          <w:sz w:val="22"/>
          <w:szCs w:val="22"/>
        </w:rPr>
        <w:t xml:space="preserve"> products</w:t>
      </w:r>
      <w:r w:rsidRPr="00027F31">
        <w:rPr>
          <w:sz w:val="22"/>
          <w:szCs w:val="22"/>
        </w:rPr>
        <w:t xml:space="preserve"> appear on the PL and involvement by commercial sponsors</w:t>
      </w:r>
      <w:r w:rsidR="00017DAA" w:rsidRPr="00027F31">
        <w:rPr>
          <w:sz w:val="22"/>
          <w:szCs w:val="22"/>
        </w:rPr>
        <w:t xml:space="preserve"> increases</w:t>
      </w:r>
      <w:r w:rsidRPr="00027F31">
        <w:rPr>
          <w:sz w:val="22"/>
          <w:szCs w:val="22"/>
        </w:rPr>
        <w:t xml:space="preserve">, the appropriateness of this exemption </w:t>
      </w:r>
      <w:r w:rsidR="006240B6">
        <w:rPr>
          <w:sz w:val="22"/>
          <w:szCs w:val="22"/>
        </w:rPr>
        <w:t>is being</w:t>
      </w:r>
      <w:r w:rsidRPr="00027F31">
        <w:rPr>
          <w:sz w:val="22"/>
          <w:szCs w:val="22"/>
        </w:rPr>
        <w:t xml:space="preserve"> reconsidered.</w:t>
      </w:r>
    </w:p>
    <w:p w14:paraId="3862AA80" w14:textId="6867E4A3" w:rsidR="00AA431C" w:rsidRPr="00027F31" w:rsidRDefault="00975EE2" w:rsidP="00027F31">
      <w:pPr>
        <w:pStyle w:val="Paragraphtext"/>
        <w:spacing w:after="120"/>
        <w:rPr>
          <w:sz w:val="22"/>
          <w:szCs w:val="22"/>
        </w:rPr>
      </w:pPr>
      <w:r>
        <w:rPr>
          <w:sz w:val="22"/>
          <w:szCs w:val="22"/>
        </w:rPr>
        <w:lastRenderedPageBreak/>
        <w:t xml:space="preserve">Some </w:t>
      </w:r>
      <w:r w:rsidR="00FA11FA">
        <w:rPr>
          <w:sz w:val="22"/>
          <w:szCs w:val="22"/>
        </w:rPr>
        <w:t xml:space="preserve">FP </w:t>
      </w:r>
      <w:r w:rsidR="00112EF7">
        <w:rPr>
          <w:sz w:val="22"/>
          <w:szCs w:val="22"/>
        </w:rPr>
        <w:t>c</w:t>
      </w:r>
      <w:r w:rsidR="00AA431C" w:rsidRPr="00027F31">
        <w:rPr>
          <w:sz w:val="22"/>
          <w:szCs w:val="22"/>
        </w:rPr>
        <w:t>ommercial manufacturers or sponsors have the resources to pay the appropriate listing fees</w:t>
      </w:r>
      <w:r w:rsidR="002F258D" w:rsidRPr="00027F31">
        <w:rPr>
          <w:sz w:val="22"/>
          <w:szCs w:val="22"/>
        </w:rPr>
        <w:t>,</w:t>
      </w:r>
      <w:r w:rsidR="00AA431C" w:rsidRPr="00027F31">
        <w:rPr>
          <w:sz w:val="22"/>
          <w:szCs w:val="22"/>
        </w:rPr>
        <w:t xml:space="preserve"> a</w:t>
      </w:r>
      <w:r w:rsidR="00AF1F42" w:rsidRPr="00027F31">
        <w:rPr>
          <w:sz w:val="22"/>
          <w:szCs w:val="22"/>
        </w:rPr>
        <w:t>s</w:t>
      </w:r>
      <w:r w:rsidR="00AA431C" w:rsidRPr="00027F31">
        <w:rPr>
          <w:sz w:val="22"/>
          <w:szCs w:val="22"/>
        </w:rPr>
        <w:t xml:space="preserve"> assessment of applications for highly processed tissues can be time intensive. If these more highly processed products remain in Part B, a delineation could be made between:</w:t>
      </w:r>
    </w:p>
    <w:p w14:paraId="3C33B296" w14:textId="1D7C3578" w:rsidR="00AA431C" w:rsidRPr="00027F31" w:rsidRDefault="00B23B7D" w:rsidP="00027F31">
      <w:pPr>
        <w:pStyle w:val="ListBullet"/>
        <w:spacing w:before="120" w:after="120"/>
        <w:rPr>
          <w:sz w:val="22"/>
          <w:szCs w:val="22"/>
        </w:rPr>
      </w:pPr>
      <w:r>
        <w:rPr>
          <w:sz w:val="22"/>
          <w:szCs w:val="22"/>
        </w:rPr>
        <w:t>s</w:t>
      </w:r>
      <w:r w:rsidR="00AA431C" w:rsidRPr="00027F31">
        <w:rPr>
          <w:sz w:val="22"/>
          <w:szCs w:val="22"/>
        </w:rPr>
        <w:t xml:space="preserve">ponsors </w:t>
      </w:r>
      <w:r w:rsidR="0042586A">
        <w:rPr>
          <w:sz w:val="22"/>
          <w:szCs w:val="22"/>
        </w:rPr>
        <w:t xml:space="preserve">based on registration status with the </w:t>
      </w:r>
      <w:r w:rsidR="00AA431C" w:rsidRPr="00027F31">
        <w:rPr>
          <w:sz w:val="22"/>
          <w:szCs w:val="22"/>
        </w:rPr>
        <w:t>Australian Taxation Office (ATO); or</w:t>
      </w:r>
    </w:p>
    <w:p w14:paraId="71C3F765" w14:textId="547D2139" w:rsidR="00AA431C" w:rsidRPr="00027F31" w:rsidRDefault="00025CF1" w:rsidP="00027F31">
      <w:pPr>
        <w:pStyle w:val="ListBullet"/>
        <w:spacing w:before="120" w:after="120"/>
        <w:rPr>
          <w:sz w:val="22"/>
          <w:szCs w:val="22"/>
        </w:rPr>
      </w:pPr>
      <w:r w:rsidRPr="00027F31">
        <w:rPr>
          <w:sz w:val="22"/>
          <w:szCs w:val="22"/>
        </w:rPr>
        <w:t>s</w:t>
      </w:r>
      <w:r w:rsidR="00AA431C" w:rsidRPr="00027F31">
        <w:rPr>
          <w:sz w:val="22"/>
          <w:szCs w:val="22"/>
        </w:rPr>
        <w:t xml:space="preserve">ponsors of Class 2 biologicals, and </w:t>
      </w:r>
      <w:r w:rsidRPr="00027F31">
        <w:rPr>
          <w:sz w:val="22"/>
          <w:szCs w:val="22"/>
        </w:rPr>
        <w:t>s</w:t>
      </w:r>
      <w:r w:rsidR="00AA431C" w:rsidRPr="00027F31">
        <w:rPr>
          <w:sz w:val="22"/>
          <w:szCs w:val="22"/>
        </w:rPr>
        <w:t>ponsors of Class 3 and Class 4 biologicals</w:t>
      </w:r>
      <w:r w:rsidR="002F258D" w:rsidRPr="00027F31">
        <w:rPr>
          <w:sz w:val="22"/>
          <w:szCs w:val="22"/>
        </w:rPr>
        <w:t>.</w:t>
      </w:r>
    </w:p>
    <w:p w14:paraId="20DF84D0" w14:textId="10EBD84E" w:rsidR="002C348E" w:rsidRDefault="00F66225" w:rsidP="00027F31">
      <w:pPr>
        <w:pStyle w:val="Paragraphtext"/>
        <w:spacing w:after="120"/>
        <w:rPr>
          <w:sz w:val="22"/>
          <w:szCs w:val="22"/>
        </w:rPr>
      </w:pPr>
      <w:r w:rsidRPr="00027F31">
        <w:rPr>
          <w:sz w:val="22"/>
          <w:szCs w:val="22"/>
        </w:rPr>
        <w:t xml:space="preserve">The </w:t>
      </w:r>
      <w:r w:rsidR="002C348E" w:rsidRPr="00027F31">
        <w:rPr>
          <w:sz w:val="22"/>
          <w:szCs w:val="22"/>
        </w:rPr>
        <w:t>recommendation received general support that commercial sponsors should not be exempt from fees. It may be problematic to determine the appropriate criteria for exemption.</w:t>
      </w:r>
    </w:p>
    <w:p w14:paraId="33C4D59B" w14:textId="77777777" w:rsidR="00120ADC" w:rsidRDefault="00120ADC" w:rsidP="00027F31">
      <w:pPr>
        <w:pStyle w:val="Paragraphtext"/>
        <w:spacing w:after="120"/>
        <w:rPr>
          <w:sz w:val="22"/>
          <w:szCs w:val="22"/>
        </w:rPr>
      </w:pPr>
    </w:p>
    <w:p w14:paraId="34062393" w14:textId="77777777" w:rsidR="00120ADC" w:rsidRDefault="00597E0E" w:rsidP="00BA41A3">
      <w:pPr>
        <w:pStyle w:val="Heading4"/>
      </w:pPr>
      <w:r>
        <w:rPr>
          <w:noProof/>
        </w:rPr>
        <w:drawing>
          <wp:inline distT="0" distB="0" distL="0" distR="0" wp14:anchorId="6B658B83" wp14:editId="38F4147F">
            <wp:extent cx="5486400" cy="2520000"/>
            <wp:effectExtent l="0" t="0" r="0" b="13970"/>
            <wp:docPr id="4" name="Chart 4" descr="Stakeholder apport to recommendati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6C66C4" w14:textId="77777777" w:rsidR="00120ADC" w:rsidRDefault="00120ADC" w:rsidP="00BA41A3">
      <w:pPr>
        <w:pStyle w:val="Heading4"/>
      </w:pPr>
    </w:p>
    <w:p w14:paraId="7E321660" w14:textId="6A8F7AF1" w:rsidR="006A1232" w:rsidRDefault="00BA41A3" w:rsidP="00BA41A3">
      <w:pPr>
        <w:pStyle w:val="Heading4"/>
      </w:pPr>
      <w:r>
        <w:t xml:space="preserve">Feedback in support </w:t>
      </w:r>
      <w:r w:rsidR="002C348E">
        <w:t>of Recommendation 2</w:t>
      </w:r>
    </w:p>
    <w:p w14:paraId="16A43D06" w14:textId="5D756CE2" w:rsidR="00D828D3" w:rsidRPr="00027F31" w:rsidRDefault="00D828D3" w:rsidP="00027F31">
      <w:pPr>
        <w:pStyle w:val="ListBullet"/>
        <w:spacing w:before="120" w:after="120"/>
        <w:ind w:left="357" w:hanging="357"/>
        <w:rPr>
          <w:sz w:val="22"/>
          <w:szCs w:val="22"/>
        </w:rPr>
      </w:pPr>
      <w:r w:rsidRPr="00027F31">
        <w:rPr>
          <w:sz w:val="22"/>
          <w:szCs w:val="22"/>
        </w:rPr>
        <w:t>The exemption will keep prices of allografts lower.</w:t>
      </w:r>
    </w:p>
    <w:p w14:paraId="35C5CF52" w14:textId="66F4E7C2" w:rsidR="00D828D3" w:rsidRDefault="00D828D3" w:rsidP="00027F31">
      <w:pPr>
        <w:pStyle w:val="ListBullet"/>
        <w:spacing w:before="120" w:after="120"/>
        <w:ind w:left="357" w:hanging="357"/>
        <w:rPr>
          <w:sz w:val="22"/>
          <w:szCs w:val="22"/>
        </w:rPr>
      </w:pPr>
      <w:r w:rsidRPr="00027F31">
        <w:rPr>
          <w:sz w:val="22"/>
          <w:szCs w:val="22"/>
        </w:rPr>
        <w:t xml:space="preserve">Potentially the exemption should also include other Australian publicly funded facilities such as government </w:t>
      </w:r>
      <w:r w:rsidR="00690F2D">
        <w:rPr>
          <w:sz w:val="22"/>
          <w:szCs w:val="22"/>
        </w:rPr>
        <w:t>d</w:t>
      </w:r>
      <w:r w:rsidR="00185E02" w:rsidRPr="00027F31">
        <w:rPr>
          <w:sz w:val="22"/>
          <w:szCs w:val="22"/>
        </w:rPr>
        <w:t>epartment</w:t>
      </w:r>
      <w:r w:rsidRPr="00027F31">
        <w:rPr>
          <w:sz w:val="22"/>
          <w:szCs w:val="22"/>
        </w:rPr>
        <w:t>s and public hospitals.</w:t>
      </w:r>
    </w:p>
    <w:p w14:paraId="23B5831C" w14:textId="0486A0A8" w:rsidR="00B92D05" w:rsidRDefault="0030462E" w:rsidP="00B92D05">
      <w:pPr>
        <w:pStyle w:val="Heading4"/>
      </w:pPr>
      <w:r>
        <w:t xml:space="preserve">Stakeholder </w:t>
      </w:r>
      <w:r w:rsidR="00AA571D">
        <w:t>suggestions</w:t>
      </w:r>
      <w:r w:rsidR="00292207">
        <w:t xml:space="preserve"> </w:t>
      </w:r>
      <w:r w:rsidR="009E077A">
        <w:t>for</w:t>
      </w:r>
      <w:r w:rsidR="00292207">
        <w:t xml:space="preserve"> Recommendation </w:t>
      </w:r>
      <w:r w:rsidR="00B92D05">
        <w:t>2</w:t>
      </w:r>
    </w:p>
    <w:p w14:paraId="6385E09A" w14:textId="4DBCCCC5" w:rsidR="00D828D3" w:rsidRPr="00027F31" w:rsidRDefault="007E38CE" w:rsidP="00027F31">
      <w:pPr>
        <w:pStyle w:val="ListBullet"/>
        <w:spacing w:before="120" w:after="120"/>
        <w:ind w:left="357" w:hanging="357"/>
        <w:rPr>
          <w:sz w:val="22"/>
          <w:szCs w:val="22"/>
        </w:rPr>
      </w:pPr>
      <w:r>
        <w:rPr>
          <w:sz w:val="22"/>
          <w:szCs w:val="22"/>
        </w:rPr>
        <w:t xml:space="preserve">Whether specific </w:t>
      </w:r>
      <w:r w:rsidR="006A6C1E" w:rsidRPr="00112EF7">
        <w:rPr>
          <w:sz w:val="22"/>
          <w:szCs w:val="22"/>
        </w:rPr>
        <w:t>NFP</w:t>
      </w:r>
      <w:r w:rsidR="00D828D3" w:rsidRPr="00112EF7">
        <w:rPr>
          <w:sz w:val="22"/>
          <w:szCs w:val="22"/>
        </w:rPr>
        <w:t xml:space="preserve"> tissue banks</w:t>
      </w:r>
      <w:r w:rsidR="00D828D3" w:rsidRPr="00027F31">
        <w:rPr>
          <w:sz w:val="22"/>
          <w:szCs w:val="22"/>
        </w:rPr>
        <w:t xml:space="preserve"> </w:t>
      </w:r>
      <w:r w:rsidR="008C6814" w:rsidRPr="00027F31">
        <w:rPr>
          <w:sz w:val="22"/>
          <w:szCs w:val="22"/>
        </w:rPr>
        <w:t>should be</w:t>
      </w:r>
      <w:r w:rsidR="00D828D3" w:rsidRPr="00027F31">
        <w:rPr>
          <w:sz w:val="22"/>
          <w:szCs w:val="22"/>
        </w:rPr>
        <w:t xml:space="preserve"> exempt and commercial sponsors or sponsors of Class 3 or Class 4 biologicals </w:t>
      </w:r>
      <w:r w:rsidR="00E30AE6" w:rsidRPr="00027F31">
        <w:rPr>
          <w:sz w:val="22"/>
          <w:szCs w:val="22"/>
        </w:rPr>
        <w:t>should not</w:t>
      </w:r>
      <w:r w:rsidR="00524936">
        <w:rPr>
          <w:sz w:val="22"/>
          <w:szCs w:val="22"/>
        </w:rPr>
        <w:t xml:space="preserve"> be exempt</w:t>
      </w:r>
      <w:r w:rsidR="00FA11FA">
        <w:rPr>
          <w:sz w:val="22"/>
          <w:szCs w:val="22"/>
        </w:rPr>
        <w:t>?</w:t>
      </w:r>
    </w:p>
    <w:p w14:paraId="4FE2FB6A" w14:textId="1F9AB5F3" w:rsidR="002A3EC2" w:rsidRDefault="009A4738" w:rsidP="009A4738">
      <w:pPr>
        <w:pStyle w:val="Heading4"/>
      </w:pPr>
      <w:r>
        <w:t>Feedback against Recommendation 2</w:t>
      </w:r>
    </w:p>
    <w:p w14:paraId="0D15940D" w14:textId="084F47B3" w:rsidR="000A6FF4" w:rsidRPr="00027F31" w:rsidRDefault="000A6FF4" w:rsidP="00027F31">
      <w:pPr>
        <w:pStyle w:val="ListBullet"/>
        <w:spacing w:before="120" w:after="120"/>
        <w:rPr>
          <w:sz w:val="22"/>
          <w:szCs w:val="22"/>
        </w:rPr>
      </w:pPr>
      <w:commentRangeStart w:id="8"/>
      <w:commentRangeStart w:id="9"/>
      <w:r w:rsidRPr="00027F31">
        <w:rPr>
          <w:sz w:val="22"/>
          <w:szCs w:val="22"/>
        </w:rPr>
        <w:t xml:space="preserve">All </w:t>
      </w:r>
      <w:r w:rsidR="00690F2D">
        <w:rPr>
          <w:sz w:val="22"/>
          <w:szCs w:val="22"/>
        </w:rPr>
        <w:t xml:space="preserve">tissue </w:t>
      </w:r>
      <w:r w:rsidRPr="00027F31">
        <w:rPr>
          <w:sz w:val="22"/>
          <w:szCs w:val="22"/>
        </w:rPr>
        <w:t>banks should pay fees.</w:t>
      </w:r>
      <w:commentRangeEnd w:id="8"/>
      <w:r w:rsidR="00112EF7">
        <w:rPr>
          <w:rStyle w:val="CommentReference"/>
          <w:color w:val="auto"/>
        </w:rPr>
        <w:commentReference w:id="8"/>
      </w:r>
      <w:commentRangeEnd w:id="9"/>
      <w:r w:rsidR="00FA11FA">
        <w:rPr>
          <w:rStyle w:val="CommentReference"/>
          <w:color w:val="auto"/>
        </w:rPr>
        <w:commentReference w:id="9"/>
      </w:r>
    </w:p>
    <w:p w14:paraId="6FEC2E7F" w14:textId="1273C262" w:rsidR="002469EF" w:rsidRPr="00027F31" w:rsidRDefault="002469EF" w:rsidP="00027F31">
      <w:pPr>
        <w:pStyle w:val="ListBullet"/>
        <w:spacing w:before="120" w:after="120"/>
        <w:rPr>
          <w:sz w:val="22"/>
          <w:szCs w:val="22"/>
        </w:rPr>
      </w:pPr>
      <w:r w:rsidRPr="00027F31">
        <w:rPr>
          <w:sz w:val="22"/>
          <w:szCs w:val="22"/>
        </w:rPr>
        <w:t xml:space="preserve">Fee structures should be uniform across Part B </w:t>
      </w:r>
      <w:r w:rsidR="00690F2D">
        <w:rPr>
          <w:sz w:val="22"/>
          <w:szCs w:val="22"/>
        </w:rPr>
        <w:t>with a</w:t>
      </w:r>
      <w:r w:rsidRPr="00027F31">
        <w:rPr>
          <w:sz w:val="22"/>
          <w:szCs w:val="22"/>
        </w:rPr>
        <w:t xml:space="preserve"> standardised costing model</w:t>
      </w:r>
      <w:r w:rsidR="000A6FF4" w:rsidRPr="00027F31">
        <w:rPr>
          <w:sz w:val="22"/>
          <w:szCs w:val="22"/>
        </w:rPr>
        <w:t xml:space="preserve"> </w:t>
      </w:r>
      <w:r w:rsidR="00690F2D">
        <w:rPr>
          <w:sz w:val="22"/>
          <w:szCs w:val="22"/>
        </w:rPr>
        <w:t>applied to all tissue</w:t>
      </w:r>
      <w:r w:rsidR="000A6FF4" w:rsidRPr="00027F31">
        <w:rPr>
          <w:sz w:val="22"/>
          <w:szCs w:val="22"/>
        </w:rPr>
        <w:t xml:space="preserve"> banks</w:t>
      </w:r>
      <w:r w:rsidRPr="00027F31">
        <w:rPr>
          <w:sz w:val="22"/>
          <w:szCs w:val="22"/>
        </w:rPr>
        <w:t>.</w:t>
      </w:r>
    </w:p>
    <w:p w14:paraId="43B26B0D" w14:textId="02385369" w:rsidR="002469EF" w:rsidRPr="00027F31" w:rsidRDefault="002469EF" w:rsidP="00027F31">
      <w:pPr>
        <w:pStyle w:val="ListBullet"/>
        <w:spacing w:before="120" w:after="120"/>
        <w:rPr>
          <w:sz w:val="22"/>
          <w:szCs w:val="22"/>
        </w:rPr>
      </w:pPr>
      <w:r w:rsidRPr="00027F31">
        <w:rPr>
          <w:sz w:val="22"/>
          <w:szCs w:val="22"/>
        </w:rPr>
        <w:t xml:space="preserve">Primary funding </w:t>
      </w:r>
      <w:r w:rsidR="000A6FF4" w:rsidRPr="00027F31">
        <w:rPr>
          <w:sz w:val="22"/>
          <w:szCs w:val="22"/>
        </w:rPr>
        <w:t xml:space="preserve">source </w:t>
      </w:r>
      <w:r w:rsidRPr="00027F31">
        <w:rPr>
          <w:sz w:val="22"/>
          <w:szCs w:val="22"/>
        </w:rPr>
        <w:t>needs to be considered – however Class 2 only banks will only have a few listings and need to be separated from tissue banks with multiple listing and larger activity.</w:t>
      </w:r>
    </w:p>
    <w:p w14:paraId="2EC19F80" w14:textId="04917335" w:rsidR="001D549F" w:rsidRDefault="002469EF" w:rsidP="00027F31">
      <w:pPr>
        <w:pStyle w:val="ListBullet"/>
        <w:spacing w:before="120" w:after="120"/>
        <w:rPr>
          <w:sz w:val="22"/>
          <w:szCs w:val="22"/>
        </w:rPr>
      </w:pPr>
      <w:r w:rsidRPr="00027F31">
        <w:rPr>
          <w:sz w:val="22"/>
          <w:szCs w:val="22"/>
        </w:rPr>
        <w:t xml:space="preserve">Implementation of </w:t>
      </w:r>
      <w:r w:rsidR="00690F2D">
        <w:rPr>
          <w:sz w:val="22"/>
          <w:szCs w:val="22"/>
        </w:rPr>
        <w:t>fees is</w:t>
      </w:r>
      <w:r w:rsidRPr="00027F31">
        <w:rPr>
          <w:sz w:val="22"/>
          <w:szCs w:val="22"/>
        </w:rPr>
        <w:t xml:space="preserve"> inappropriate for Part B listings as it is based on the 'cost of supply' principle and will increase the PL benefit</w:t>
      </w:r>
      <w:r w:rsidR="00BA5986" w:rsidRPr="00027F31">
        <w:rPr>
          <w:sz w:val="22"/>
          <w:szCs w:val="22"/>
        </w:rPr>
        <w:t>, p</w:t>
      </w:r>
      <w:r w:rsidRPr="00027F31">
        <w:rPr>
          <w:sz w:val="22"/>
          <w:szCs w:val="22"/>
        </w:rPr>
        <w:t>otentially being passed on to payors.</w:t>
      </w:r>
    </w:p>
    <w:p w14:paraId="193B6CE0" w14:textId="47E9FBCA" w:rsidR="00DE573F" w:rsidRDefault="002C6994" w:rsidP="00120ADC">
      <w:pPr>
        <w:pStyle w:val="PolicyStatement"/>
        <w:spacing w:before="120" w:after="120"/>
        <w:ind w:left="0"/>
        <w:rPr>
          <w:sz w:val="22"/>
          <w:szCs w:val="22"/>
        </w:rPr>
      </w:pPr>
      <w:r w:rsidRPr="00027F31">
        <w:rPr>
          <w:sz w:val="22"/>
          <w:szCs w:val="22"/>
        </w:rPr>
        <w:lastRenderedPageBreak/>
        <w:t xml:space="preserve">The </w:t>
      </w:r>
      <w:r w:rsidR="0058405C" w:rsidRPr="00027F31">
        <w:rPr>
          <w:sz w:val="22"/>
          <w:szCs w:val="22"/>
        </w:rPr>
        <w:t xml:space="preserve">PLRT </w:t>
      </w:r>
      <w:r w:rsidRPr="00027F31">
        <w:rPr>
          <w:sz w:val="22"/>
          <w:szCs w:val="22"/>
        </w:rPr>
        <w:t xml:space="preserve">will consult </w:t>
      </w:r>
      <w:r w:rsidR="00690F2D">
        <w:rPr>
          <w:sz w:val="22"/>
          <w:szCs w:val="22"/>
        </w:rPr>
        <w:t>with the department’s</w:t>
      </w:r>
      <w:r w:rsidRPr="00027F31">
        <w:rPr>
          <w:sz w:val="22"/>
          <w:szCs w:val="22"/>
        </w:rPr>
        <w:t xml:space="preserve"> cost recovery and legal </w:t>
      </w:r>
      <w:r w:rsidR="00B16F24">
        <w:rPr>
          <w:sz w:val="22"/>
          <w:szCs w:val="22"/>
        </w:rPr>
        <w:t>areas</w:t>
      </w:r>
      <w:r w:rsidRPr="00027F31">
        <w:rPr>
          <w:sz w:val="22"/>
          <w:szCs w:val="22"/>
        </w:rPr>
        <w:t xml:space="preserve">, to ascertain if/how this </w:t>
      </w:r>
      <w:r w:rsidR="007D0151" w:rsidRPr="00027F31">
        <w:rPr>
          <w:sz w:val="22"/>
          <w:szCs w:val="22"/>
        </w:rPr>
        <w:t>recommendation</w:t>
      </w:r>
      <w:r w:rsidRPr="00027F31">
        <w:rPr>
          <w:sz w:val="22"/>
          <w:szCs w:val="22"/>
        </w:rPr>
        <w:t xml:space="preserve"> can be </w:t>
      </w:r>
      <w:r w:rsidR="007D0151" w:rsidRPr="00027F31">
        <w:rPr>
          <w:sz w:val="22"/>
          <w:szCs w:val="22"/>
        </w:rPr>
        <w:t>i</w:t>
      </w:r>
      <w:r w:rsidRPr="00027F31">
        <w:rPr>
          <w:sz w:val="22"/>
          <w:szCs w:val="22"/>
        </w:rPr>
        <w:t>mplemented</w:t>
      </w:r>
      <w:r w:rsidR="007D0151" w:rsidRPr="00027F31">
        <w:rPr>
          <w:sz w:val="22"/>
          <w:szCs w:val="22"/>
        </w:rPr>
        <w:t xml:space="preserve">, including any subsequent improvements identified as part of this consultation process. This work is in the early stages and the sector will be </w:t>
      </w:r>
      <w:r w:rsidR="00593E75" w:rsidRPr="00027F31">
        <w:rPr>
          <w:sz w:val="22"/>
          <w:szCs w:val="22"/>
        </w:rPr>
        <w:t>informed of any developments</w:t>
      </w:r>
      <w:r w:rsidR="00E745C2" w:rsidRPr="00027F31">
        <w:rPr>
          <w:sz w:val="22"/>
          <w:szCs w:val="22"/>
        </w:rPr>
        <w:t>.</w:t>
      </w:r>
    </w:p>
    <w:p w14:paraId="14E88244" w14:textId="40D57267" w:rsidR="00955944" w:rsidRDefault="00955944" w:rsidP="00955944">
      <w:pPr>
        <w:pStyle w:val="Heading2"/>
      </w:pPr>
      <w:r w:rsidRPr="00955944">
        <w:t xml:space="preserve">Recommendation 3 – </w:t>
      </w:r>
      <w:r w:rsidR="00146F6E">
        <w:t xml:space="preserve">the </w:t>
      </w:r>
      <w:r w:rsidR="00B5197F">
        <w:t>d</w:t>
      </w:r>
      <w:r w:rsidR="00185E02">
        <w:t>epartment</w:t>
      </w:r>
      <w:r w:rsidRPr="00955944">
        <w:t xml:space="preserve"> update</w:t>
      </w:r>
      <w:r w:rsidR="00146F6E">
        <w:t xml:space="preserve"> and refine the</w:t>
      </w:r>
      <w:r w:rsidR="00870B5A">
        <w:t xml:space="preserve"> </w:t>
      </w:r>
      <w:r w:rsidR="00802A74">
        <w:t xml:space="preserve">groupings </w:t>
      </w:r>
      <w:r w:rsidR="00C87732">
        <w:t xml:space="preserve">proposed by </w:t>
      </w:r>
      <w:r w:rsidR="007E38CE">
        <w:t>h</w:t>
      </w:r>
      <w:r w:rsidR="00C87732">
        <w:t>ereco, incorporating the stakeholder feedback</w:t>
      </w:r>
      <w:r w:rsidR="00062C91">
        <w:t xml:space="preserve"> on </w:t>
      </w:r>
      <w:r w:rsidR="007E38CE">
        <w:t>‘</w:t>
      </w:r>
      <w:r w:rsidR="00062C91">
        <w:t>Groupings</w:t>
      </w:r>
      <w:r w:rsidR="007E38CE">
        <w:t>’.</w:t>
      </w:r>
    </w:p>
    <w:p w14:paraId="7C95BCB6" w14:textId="6791CABE" w:rsidR="00CE6502" w:rsidRPr="00D61CDD" w:rsidRDefault="001B0F74" w:rsidP="00027F31">
      <w:pPr>
        <w:pStyle w:val="Paragraphtext"/>
        <w:spacing w:after="120"/>
        <w:rPr>
          <w:sz w:val="22"/>
          <w:szCs w:val="22"/>
        </w:rPr>
      </w:pPr>
      <w:r w:rsidRPr="00027F31">
        <w:rPr>
          <w:sz w:val="22"/>
          <w:szCs w:val="22"/>
        </w:rPr>
        <w:t>The</w:t>
      </w:r>
      <w:r w:rsidR="0053395D" w:rsidRPr="00027F31">
        <w:rPr>
          <w:sz w:val="22"/>
          <w:szCs w:val="22"/>
        </w:rPr>
        <w:t xml:space="preserve"> </w:t>
      </w:r>
      <w:hyperlink r:id="rId22" w:history="1">
        <w:r w:rsidR="0053395D" w:rsidRPr="00027F31">
          <w:rPr>
            <w:rStyle w:val="Hyperlink"/>
            <w:sz w:val="22"/>
            <w:szCs w:val="22"/>
          </w:rPr>
          <w:t>Analysis of the Australian Tissue Sector</w:t>
        </w:r>
      </w:hyperlink>
      <w:r w:rsidR="0021771F">
        <w:rPr>
          <w:rStyle w:val="FootnoteReference"/>
          <w:sz w:val="22"/>
          <w:szCs w:val="22"/>
        </w:rPr>
        <w:footnoteReference w:id="3"/>
      </w:r>
      <w:r w:rsidR="007E38CE">
        <w:rPr>
          <w:sz w:val="22"/>
          <w:szCs w:val="22"/>
        </w:rPr>
        <w:t xml:space="preserve"> </w:t>
      </w:r>
      <w:r w:rsidR="0053395D" w:rsidRPr="00027F31">
        <w:rPr>
          <w:sz w:val="22"/>
          <w:szCs w:val="22"/>
        </w:rPr>
        <w:t>con</w:t>
      </w:r>
      <w:r w:rsidR="0078605B" w:rsidRPr="00A518E0">
        <w:rPr>
          <w:sz w:val="22"/>
          <w:szCs w:val="22"/>
        </w:rPr>
        <w:t>ducted by PwC in the 2016 for the Organ and Tissue Authority, as well as consultations with stakeholders outlined that Part B</w:t>
      </w:r>
      <w:r w:rsidR="00690F2D">
        <w:rPr>
          <w:sz w:val="22"/>
          <w:szCs w:val="22"/>
        </w:rPr>
        <w:t>, propose</w:t>
      </w:r>
      <w:r w:rsidR="0078605B" w:rsidRPr="007E38CE">
        <w:rPr>
          <w:sz w:val="22"/>
          <w:szCs w:val="22"/>
        </w:rPr>
        <w:t xml:space="preserve"> significant reforms</w:t>
      </w:r>
      <w:r w:rsidR="00690F2D">
        <w:rPr>
          <w:sz w:val="22"/>
          <w:szCs w:val="22"/>
        </w:rPr>
        <w:t>. These reforms are</w:t>
      </w:r>
      <w:r w:rsidR="0078605B" w:rsidRPr="001204B0">
        <w:rPr>
          <w:sz w:val="22"/>
          <w:szCs w:val="22"/>
        </w:rPr>
        <w:t xml:space="preserve"> to acknowledge the changes in use, supply, and clinical utilisation of </w:t>
      </w:r>
      <w:r w:rsidR="00690F2D">
        <w:rPr>
          <w:sz w:val="22"/>
          <w:szCs w:val="22"/>
        </w:rPr>
        <w:t xml:space="preserve">human tissue </w:t>
      </w:r>
      <w:r w:rsidR="0078605B" w:rsidRPr="00D61CDD">
        <w:rPr>
          <w:sz w:val="22"/>
          <w:szCs w:val="22"/>
        </w:rPr>
        <w:t xml:space="preserve">products over time. The </w:t>
      </w:r>
      <w:r w:rsidR="009B6D7C">
        <w:rPr>
          <w:sz w:val="22"/>
          <w:szCs w:val="22"/>
        </w:rPr>
        <w:t>department</w:t>
      </w:r>
      <w:r w:rsidR="0078605B" w:rsidRPr="00D61CDD">
        <w:rPr>
          <w:sz w:val="22"/>
          <w:szCs w:val="22"/>
        </w:rPr>
        <w:t xml:space="preserve"> proposed a revised </w:t>
      </w:r>
      <w:r w:rsidR="005F2A41" w:rsidRPr="00D61CDD">
        <w:rPr>
          <w:sz w:val="22"/>
          <w:szCs w:val="22"/>
        </w:rPr>
        <w:t>grouping</w:t>
      </w:r>
      <w:r w:rsidR="0078605B" w:rsidRPr="00D61CDD">
        <w:rPr>
          <w:sz w:val="22"/>
          <w:szCs w:val="22"/>
        </w:rPr>
        <w:t xml:space="preserve"> structure </w:t>
      </w:r>
      <w:r w:rsidR="007475A0" w:rsidRPr="00D61CDD">
        <w:rPr>
          <w:sz w:val="22"/>
          <w:szCs w:val="22"/>
        </w:rPr>
        <w:t>to:</w:t>
      </w:r>
    </w:p>
    <w:p w14:paraId="362C837D" w14:textId="61A06AE9" w:rsidR="00A13848" w:rsidRPr="00D61CDD" w:rsidRDefault="00A13848" w:rsidP="00027F31">
      <w:pPr>
        <w:pStyle w:val="ListBullet"/>
        <w:spacing w:before="120" w:after="120"/>
        <w:rPr>
          <w:sz w:val="22"/>
          <w:szCs w:val="22"/>
        </w:rPr>
      </w:pPr>
      <w:r w:rsidRPr="00D61CDD">
        <w:rPr>
          <w:sz w:val="22"/>
          <w:szCs w:val="22"/>
        </w:rPr>
        <w:t xml:space="preserve">extend </w:t>
      </w:r>
      <w:r w:rsidR="00690F2D">
        <w:rPr>
          <w:sz w:val="22"/>
          <w:szCs w:val="22"/>
        </w:rPr>
        <w:t>the amendments to Part A groupings</w:t>
      </w:r>
      <w:r w:rsidRPr="00D61CDD">
        <w:rPr>
          <w:sz w:val="22"/>
          <w:szCs w:val="22"/>
        </w:rPr>
        <w:t xml:space="preserve"> and bring appropriate and rationalised clinical logic to groupings across the entire PL</w:t>
      </w:r>
      <w:r w:rsidR="00662D7A" w:rsidRPr="00D61CDD">
        <w:rPr>
          <w:sz w:val="22"/>
          <w:szCs w:val="22"/>
        </w:rPr>
        <w:t>;</w:t>
      </w:r>
    </w:p>
    <w:p w14:paraId="64BD1731" w14:textId="258D73EA" w:rsidR="00A13848" w:rsidRPr="00D61CDD" w:rsidRDefault="00690F2D" w:rsidP="00027F31">
      <w:pPr>
        <w:pStyle w:val="ListBullet"/>
        <w:spacing w:before="120" w:after="120"/>
        <w:rPr>
          <w:sz w:val="22"/>
          <w:szCs w:val="22"/>
        </w:rPr>
      </w:pPr>
      <w:r>
        <w:rPr>
          <w:sz w:val="22"/>
          <w:szCs w:val="22"/>
        </w:rPr>
        <w:t>clarify</w:t>
      </w:r>
      <w:r w:rsidR="00A13848" w:rsidRPr="00D61CDD">
        <w:rPr>
          <w:sz w:val="22"/>
          <w:szCs w:val="22"/>
        </w:rPr>
        <w:t xml:space="preserve"> where Part B products belong</w:t>
      </w:r>
      <w:r w:rsidR="00662D7A" w:rsidRPr="00D61CDD">
        <w:rPr>
          <w:sz w:val="22"/>
          <w:szCs w:val="22"/>
        </w:rPr>
        <w:t>;</w:t>
      </w:r>
    </w:p>
    <w:p w14:paraId="452FA943" w14:textId="06A183A7" w:rsidR="00A13848" w:rsidRPr="00D61CDD" w:rsidRDefault="00A13848" w:rsidP="00027F31">
      <w:pPr>
        <w:pStyle w:val="ListBullet"/>
        <w:spacing w:before="120" w:after="120"/>
        <w:rPr>
          <w:sz w:val="22"/>
          <w:szCs w:val="22"/>
        </w:rPr>
      </w:pPr>
      <w:r w:rsidRPr="00D61CDD">
        <w:rPr>
          <w:sz w:val="22"/>
          <w:szCs w:val="22"/>
        </w:rPr>
        <w:t>determine the appropriate assessment pathway of products and track substantially similar products</w:t>
      </w:r>
      <w:r w:rsidR="00662D7A" w:rsidRPr="00D61CDD">
        <w:rPr>
          <w:sz w:val="22"/>
          <w:szCs w:val="22"/>
        </w:rPr>
        <w:t>;</w:t>
      </w:r>
      <w:r w:rsidR="007E38CE">
        <w:rPr>
          <w:sz w:val="22"/>
          <w:szCs w:val="22"/>
        </w:rPr>
        <w:t xml:space="preserve"> and</w:t>
      </w:r>
    </w:p>
    <w:p w14:paraId="507D4FD9" w14:textId="1DC74C3A" w:rsidR="00A13848" w:rsidRPr="00D61CDD" w:rsidRDefault="00A13848" w:rsidP="00027F31">
      <w:pPr>
        <w:pStyle w:val="ListBullet"/>
        <w:spacing w:before="120" w:after="120"/>
        <w:rPr>
          <w:sz w:val="22"/>
          <w:szCs w:val="22"/>
        </w:rPr>
      </w:pPr>
      <w:r w:rsidRPr="00D61CDD">
        <w:rPr>
          <w:sz w:val="22"/>
          <w:szCs w:val="22"/>
        </w:rPr>
        <w:t>use as a reference point for future work on determining benefits</w:t>
      </w:r>
      <w:r w:rsidR="007E38CE">
        <w:rPr>
          <w:sz w:val="22"/>
          <w:szCs w:val="22"/>
        </w:rPr>
        <w:t>.</w:t>
      </w:r>
    </w:p>
    <w:p w14:paraId="2031D8AA" w14:textId="77777777" w:rsidR="007D61FE" w:rsidRPr="00D61CDD" w:rsidRDefault="00DC594C" w:rsidP="00027F31">
      <w:pPr>
        <w:pStyle w:val="Paragraphtext"/>
        <w:spacing w:after="120"/>
        <w:rPr>
          <w:sz w:val="22"/>
          <w:szCs w:val="22"/>
        </w:rPr>
      </w:pPr>
      <w:r w:rsidRPr="00D61CDD">
        <w:rPr>
          <w:sz w:val="22"/>
          <w:szCs w:val="22"/>
        </w:rPr>
        <w:t xml:space="preserve">In 2019, an external contractor was commissioned to propose a new grouping structure for Part B, </w:t>
      </w:r>
      <w:r w:rsidR="007D61FE" w:rsidRPr="00D61CDD">
        <w:rPr>
          <w:sz w:val="22"/>
          <w:szCs w:val="22"/>
        </w:rPr>
        <w:t>including a</w:t>
      </w:r>
      <w:r w:rsidRPr="00D61CDD">
        <w:rPr>
          <w:sz w:val="22"/>
          <w:szCs w:val="22"/>
        </w:rPr>
        <w:t xml:space="preserve"> rationale to support the </w:t>
      </w:r>
      <w:r w:rsidR="00510D93" w:rsidRPr="00D61CDD">
        <w:rPr>
          <w:sz w:val="22"/>
          <w:szCs w:val="22"/>
        </w:rPr>
        <w:t>proposed</w:t>
      </w:r>
      <w:r w:rsidRPr="00D61CDD">
        <w:rPr>
          <w:sz w:val="22"/>
          <w:szCs w:val="22"/>
        </w:rPr>
        <w:t xml:space="preserve"> categori</w:t>
      </w:r>
      <w:r w:rsidR="00510D93" w:rsidRPr="00D61CDD">
        <w:rPr>
          <w:sz w:val="22"/>
          <w:szCs w:val="22"/>
        </w:rPr>
        <w:t>es</w:t>
      </w:r>
      <w:r w:rsidRPr="00D61CDD">
        <w:rPr>
          <w:sz w:val="22"/>
          <w:szCs w:val="22"/>
        </w:rPr>
        <w:t>.</w:t>
      </w:r>
    </w:p>
    <w:p w14:paraId="2FFA0A2E" w14:textId="77777777" w:rsidR="004938E1" w:rsidRDefault="00594686" w:rsidP="00027F31">
      <w:pPr>
        <w:pStyle w:val="Paragraphtext"/>
        <w:spacing w:after="120"/>
        <w:rPr>
          <w:sz w:val="22"/>
          <w:szCs w:val="22"/>
        </w:rPr>
      </w:pPr>
      <w:r w:rsidRPr="00D61CDD">
        <w:rPr>
          <w:sz w:val="22"/>
          <w:szCs w:val="22"/>
        </w:rPr>
        <w:t>The proposed new grouping structure retains t</w:t>
      </w:r>
      <w:r w:rsidR="00DC594C" w:rsidRPr="00D61CDD">
        <w:rPr>
          <w:sz w:val="22"/>
          <w:szCs w:val="22"/>
        </w:rPr>
        <w:t xml:space="preserve">he four existing categories </w:t>
      </w:r>
      <w:r w:rsidRPr="00D61CDD">
        <w:rPr>
          <w:sz w:val="22"/>
          <w:szCs w:val="22"/>
        </w:rPr>
        <w:t>on</w:t>
      </w:r>
      <w:r w:rsidR="00DC594C" w:rsidRPr="00D61CDD">
        <w:rPr>
          <w:sz w:val="22"/>
          <w:szCs w:val="22"/>
        </w:rPr>
        <w:t xml:space="preserve"> Part B (Cardiothoracic, Ophthalmic, Orthopaedic and Dermatologic)</w:t>
      </w:r>
      <w:r w:rsidRPr="00D61CDD">
        <w:rPr>
          <w:sz w:val="22"/>
          <w:szCs w:val="22"/>
        </w:rPr>
        <w:t xml:space="preserve">. </w:t>
      </w:r>
    </w:p>
    <w:p w14:paraId="1B1CA73F" w14:textId="6CE2FA0F" w:rsidR="004938E1" w:rsidRDefault="004938E1" w:rsidP="00027F31">
      <w:pPr>
        <w:pStyle w:val="Paragraphtext"/>
        <w:spacing w:after="120"/>
        <w:rPr>
          <w:sz w:val="22"/>
          <w:szCs w:val="22"/>
        </w:rPr>
      </w:pPr>
      <w:r>
        <w:rPr>
          <w:sz w:val="22"/>
          <w:szCs w:val="22"/>
        </w:rPr>
        <w:t xml:space="preserve">It is </w:t>
      </w:r>
      <w:r w:rsidR="007E38CE">
        <w:rPr>
          <w:sz w:val="22"/>
          <w:szCs w:val="22"/>
        </w:rPr>
        <w:t xml:space="preserve">also </w:t>
      </w:r>
      <w:r>
        <w:rPr>
          <w:sz w:val="22"/>
          <w:szCs w:val="22"/>
        </w:rPr>
        <w:t>recommended that t</w:t>
      </w:r>
      <w:r w:rsidR="00594686" w:rsidRPr="007E38CE">
        <w:rPr>
          <w:sz w:val="22"/>
          <w:szCs w:val="22"/>
        </w:rPr>
        <w:t>he</w:t>
      </w:r>
      <w:r w:rsidR="00DC594C" w:rsidRPr="007E38CE">
        <w:rPr>
          <w:sz w:val="22"/>
          <w:szCs w:val="22"/>
        </w:rPr>
        <w:t xml:space="preserve"> Dermatologic Category </w:t>
      </w:r>
      <w:r w:rsidR="00235F4F" w:rsidRPr="007E38CE">
        <w:rPr>
          <w:sz w:val="22"/>
          <w:szCs w:val="22"/>
        </w:rPr>
        <w:t xml:space="preserve">be </w:t>
      </w:r>
      <w:r w:rsidR="00DC594C" w:rsidRPr="007E38CE">
        <w:rPr>
          <w:sz w:val="22"/>
          <w:szCs w:val="22"/>
        </w:rPr>
        <w:t xml:space="preserve">renamed to Plastic and Reconstructive. </w:t>
      </w:r>
    </w:p>
    <w:p w14:paraId="0DA20823" w14:textId="77777777" w:rsidR="007E38CE" w:rsidRDefault="0043581F" w:rsidP="007E38CE">
      <w:pPr>
        <w:pStyle w:val="TableTitle"/>
      </w:pPr>
      <w:r>
        <w:rPr>
          <w:noProof/>
        </w:rPr>
        <w:drawing>
          <wp:inline distT="0" distB="0" distL="0" distR="0" wp14:anchorId="3F0F91D3" wp14:editId="4F6B374A">
            <wp:extent cx="5486400" cy="2520000"/>
            <wp:effectExtent l="0" t="0" r="0" b="13970"/>
            <wp:docPr id="6" name="Chart 6" descr="Stakeholder support to recommendation 3 25% not in support 75%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765A96" w14:textId="77777777" w:rsidR="00120ADC" w:rsidRDefault="00120ADC">
      <w:pPr>
        <w:rPr>
          <w:b/>
          <w:bCs/>
          <w:i/>
          <w:color w:val="414141"/>
          <w:sz w:val="24"/>
          <w:szCs w:val="28"/>
        </w:rPr>
      </w:pPr>
      <w:r>
        <w:br w:type="page"/>
      </w:r>
    </w:p>
    <w:p w14:paraId="0D91493D" w14:textId="7D1C29A3" w:rsidR="00C11CBF" w:rsidRPr="007E38CE" w:rsidRDefault="0046308A" w:rsidP="0046308A">
      <w:pPr>
        <w:pStyle w:val="Heading4"/>
      </w:pPr>
      <w:r w:rsidRPr="007E38CE">
        <w:lastRenderedPageBreak/>
        <w:t>Feedback in support of Recommendation 3</w:t>
      </w:r>
    </w:p>
    <w:p w14:paraId="6B64ED7E" w14:textId="77777777" w:rsidR="001D1224" w:rsidRPr="00027F31" w:rsidRDefault="00C11CBF" w:rsidP="00027F31">
      <w:pPr>
        <w:pStyle w:val="ListBullet"/>
        <w:spacing w:before="120" w:after="120"/>
        <w:ind w:left="357" w:hanging="357"/>
        <w:rPr>
          <w:sz w:val="22"/>
          <w:szCs w:val="22"/>
        </w:rPr>
      </w:pPr>
      <w:r w:rsidRPr="00027F31">
        <w:rPr>
          <w:sz w:val="22"/>
          <w:szCs w:val="22"/>
        </w:rPr>
        <w:t>The Part B listing has been substantially reworked following feedback from clinicians in the consultation process to better suit the sector.</w:t>
      </w:r>
    </w:p>
    <w:p w14:paraId="68F31ADE" w14:textId="77777777" w:rsidR="001D1224" w:rsidRPr="00027F31" w:rsidRDefault="00C11CBF" w:rsidP="00027F31">
      <w:pPr>
        <w:pStyle w:val="ListBullet"/>
        <w:spacing w:before="120" w:after="120"/>
        <w:ind w:left="357" w:hanging="357"/>
        <w:rPr>
          <w:sz w:val="22"/>
          <w:szCs w:val="22"/>
        </w:rPr>
      </w:pPr>
      <w:r w:rsidRPr="00027F31">
        <w:rPr>
          <w:sz w:val="22"/>
          <w:szCs w:val="22"/>
        </w:rPr>
        <w:t>Respondents recommended that regular reviews should be undertaken.</w:t>
      </w:r>
    </w:p>
    <w:p w14:paraId="25BD7446" w14:textId="57C57CD5" w:rsidR="001D1224" w:rsidRDefault="00AC61ED" w:rsidP="00AC61ED">
      <w:pPr>
        <w:pStyle w:val="Heading4"/>
      </w:pPr>
      <w:r>
        <w:t>Feedback against Recommendation 3</w:t>
      </w:r>
    </w:p>
    <w:p w14:paraId="1DA655E1" w14:textId="54C0054D" w:rsidR="00F01D2E" w:rsidRPr="00027F31" w:rsidRDefault="00F01D2E" w:rsidP="00027F31">
      <w:pPr>
        <w:pStyle w:val="ListBullet"/>
        <w:spacing w:before="120" w:after="120"/>
        <w:rPr>
          <w:sz w:val="22"/>
          <w:szCs w:val="22"/>
        </w:rPr>
      </w:pPr>
      <w:r w:rsidRPr="00027F31">
        <w:rPr>
          <w:sz w:val="22"/>
          <w:szCs w:val="22"/>
        </w:rPr>
        <w:t xml:space="preserve">The new grouping has been designed to replicate Part A and fit into the listing process on </w:t>
      </w:r>
      <w:r w:rsidR="007E38CE">
        <w:rPr>
          <w:sz w:val="22"/>
          <w:szCs w:val="22"/>
        </w:rPr>
        <w:t xml:space="preserve">the </w:t>
      </w:r>
      <w:r w:rsidRPr="00027F31">
        <w:rPr>
          <w:sz w:val="22"/>
          <w:szCs w:val="22"/>
        </w:rPr>
        <w:t>H</w:t>
      </w:r>
      <w:r w:rsidR="007E38CE">
        <w:rPr>
          <w:sz w:val="22"/>
          <w:szCs w:val="22"/>
        </w:rPr>
        <w:t xml:space="preserve">ealth </w:t>
      </w:r>
      <w:r w:rsidRPr="00027F31">
        <w:rPr>
          <w:sz w:val="22"/>
          <w:szCs w:val="22"/>
        </w:rPr>
        <w:t>P</w:t>
      </w:r>
      <w:r w:rsidR="007E38CE">
        <w:rPr>
          <w:sz w:val="22"/>
          <w:szCs w:val="22"/>
        </w:rPr>
        <w:t xml:space="preserve">roducts </w:t>
      </w:r>
      <w:r w:rsidRPr="00027F31">
        <w:rPr>
          <w:sz w:val="22"/>
          <w:szCs w:val="22"/>
        </w:rPr>
        <w:t>P</w:t>
      </w:r>
      <w:r w:rsidR="007E38CE">
        <w:rPr>
          <w:sz w:val="22"/>
          <w:szCs w:val="22"/>
        </w:rPr>
        <w:t>ortal (HPP)</w:t>
      </w:r>
      <w:r w:rsidRPr="00027F31">
        <w:rPr>
          <w:sz w:val="22"/>
          <w:szCs w:val="22"/>
        </w:rPr>
        <w:t>, without consideration of the nuances of Part B.</w:t>
      </w:r>
    </w:p>
    <w:p w14:paraId="113967F1" w14:textId="4F74D489" w:rsidR="00F01D2E" w:rsidRPr="00027F31" w:rsidRDefault="00F01D2E" w:rsidP="00027F31">
      <w:pPr>
        <w:pStyle w:val="ListBullet"/>
        <w:spacing w:before="120" w:after="120"/>
        <w:rPr>
          <w:sz w:val="22"/>
          <w:szCs w:val="22"/>
        </w:rPr>
      </w:pPr>
      <w:r w:rsidRPr="00027F31">
        <w:rPr>
          <w:sz w:val="22"/>
          <w:szCs w:val="22"/>
        </w:rPr>
        <w:t>An alternative option is to reconsider using tissue type - musculoskeletal, skin, ocular etc.</w:t>
      </w:r>
    </w:p>
    <w:p w14:paraId="613FA321" w14:textId="55687150" w:rsidR="00F01D2E" w:rsidRPr="00027F31" w:rsidRDefault="001C509B" w:rsidP="00C705FA">
      <w:pPr>
        <w:pStyle w:val="PolicyStatement"/>
        <w:spacing w:before="120"/>
        <w:rPr>
          <w:sz w:val="22"/>
          <w:szCs w:val="22"/>
        </w:rPr>
      </w:pPr>
      <w:r w:rsidRPr="00027F31">
        <w:rPr>
          <w:sz w:val="22"/>
          <w:szCs w:val="22"/>
        </w:rPr>
        <w:t xml:space="preserve">The </w:t>
      </w:r>
      <w:r w:rsidR="007E38CE">
        <w:rPr>
          <w:sz w:val="22"/>
          <w:szCs w:val="22"/>
        </w:rPr>
        <w:t>department</w:t>
      </w:r>
      <w:r w:rsidRPr="00027F31">
        <w:rPr>
          <w:sz w:val="22"/>
          <w:szCs w:val="22"/>
        </w:rPr>
        <w:t xml:space="preserve"> </w:t>
      </w:r>
      <w:r w:rsidR="00F75B50" w:rsidRPr="00027F31">
        <w:rPr>
          <w:sz w:val="22"/>
          <w:szCs w:val="22"/>
        </w:rPr>
        <w:t xml:space="preserve">agrees with the recommendation and </w:t>
      </w:r>
      <w:r w:rsidRPr="00027F31">
        <w:rPr>
          <w:sz w:val="22"/>
          <w:szCs w:val="22"/>
        </w:rPr>
        <w:t xml:space="preserve">will finalise the proposed Part B structure </w:t>
      </w:r>
      <w:r w:rsidR="000A6F45" w:rsidRPr="00027F31">
        <w:rPr>
          <w:sz w:val="22"/>
          <w:szCs w:val="22"/>
        </w:rPr>
        <w:t>to reflect the feedback received</w:t>
      </w:r>
      <w:r w:rsidR="004938E1">
        <w:rPr>
          <w:sz w:val="22"/>
          <w:szCs w:val="22"/>
        </w:rPr>
        <w:t xml:space="preserve">. Any changes will be shared with stakeholders and consulted on </w:t>
      </w:r>
      <w:r w:rsidR="006268A8">
        <w:rPr>
          <w:sz w:val="22"/>
          <w:szCs w:val="22"/>
        </w:rPr>
        <w:t>after implementation to ensure there are no unintended consequences</w:t>
      </w:r>
      <w:r w:rsidR="004938E1">
        <w:rPr>
          <w:sz w:val="22"/>
          <w:szCs w:val="22"/>
        </w:rPr>
        <w:t xml:space="preserve">. </w:t>
      </w:r>
    </w:p>
    <w:p w14:paraId="1D8BB2A0" w14:textId="0157A22B" w:rsidR="007E38CE" w:rsidRDefault="0021547D" w:rsidP="007E38CE">
      <w:pPr>
        <w:pStyle w:val="Heading2"/>
      </w:pPr>
      <w:r w:rsidRPr="007E38CE">
        <w:t>Recommendation 4 –</w:t>
      </w:r>
      <w:r w:rsidR="007E38CE">
        <w:t xml:space="preserve"> </w:t>
      </w:r>
      <w:r w:rsidRPr="007E38CE">
        <w:t xml:space="preserve">the </w:t>
      </w:r>
      <w:r w:rsidR="00CC5538" w:rsidRPr="007E38CE">
        <w:t>d</w:t>
      </w:r>
      <w:r w:rsidR="00185E02" w:rsidRPr="007E38CE">
        <w:t>epartment</w:t>
      </w:r>
      <w:r w:rsidRPr="007E38CE">
        <w:t xml:space="preserve"> establish a regular review process on the Part B groupings</w:t>
      </w:r>
      <w:r w:rsidR="000A6F45" w:rsidRPr="007E38CE">
        <w:t>.</w:t>
      </w:r>
    </w:p>
    <w:p w14:paraId="66BED209" w14:textId="142532D6" w:rsidR="0021547D" w:rsidRPr="007E38CE" w:rsidRDefault="0078760D" w:rsidP="007E38CE">
      <w:pPr>
        <w:pStyle w:val="Paragraphtext"/>
        <w:spacing w:after="120"/>
        <w:rPr>
          <w:sz w:val="22"/>
          <w:szCs w:val="22"/>
        </w:rPr>
      </w:pPr>
      <w:r w:rsidRPr="007E38CE">
        <w:rPr>
          <w:sz w:val="22"/>
          <w:szCs w:val="22"/>
        </w:rPr>
        <w:t xml:space="preserve">There is an opportunity for the </w:t>
      </w:r>
      <w:r w:rsidR="00507D9D" w:rsidRPr="007E38CE">
        <w:rPr>
          <w:sz w:val="22"/>
          <w:szCs w:val="22"/>
        </w:rPr>
        <w:t xml:space="preserve">department </w:t>
      </w:r>
      <w:r w:rsidRPr="007E38CE">
        <w:rPr>
          <w:sz w:val="22"/>
          <w:szCs w:val="22"/>
        </w:rPr>
        <w:t xml:space="preserve">to </w:t>
      </w:r>
      <w:r w:rsidR="00366013" w:rsidRPr="007E38CE">
        <w:rPr>
          <w:sz w:val="22"/>
          <w:szCs w:val="22"/>
        </w:rPr>
        <w:t>establish a regular review process on</w:t>
      </w:r>
      <w:r w:rsidR="00366013" w:rsidRPr="00027F31">
        <w:rPr>
          <w:sz w:val="22"/>
          <w:szCs w:val="22"/>
        </w:rPr>
        <w:t xml:space="preserve"> Part B </w:t>
      </w:r>
      <w:r w:rsidR="00E31AC0" w:rsidRPr="00027F31">
        <w:rPr>
          <w:sz w:val="22"/>
          <w:szCs w:val="22"/>
        </w:rPr>
        <w:t>g</w:t>
      </w:r>
      <w:r w:rsidR="00366013" w:rsidRPr="00027F31">
        <w:rPr>
          <w:sz w:val="22"/>
          <w:szCs w:val="22"/>
        </w:rPr>
        <w:t xml:space="preserve">rouping which would ensure continued engagement with the sector and provide the </w:t>
      </w:r>
      <w:r w:rsidR="00366013" w:rsidRPr="007E38CE">
        <w:rPr>
          <w:sz w:val="22"/>
          <w:szCs w:val="22"/>
        </w:rPr>
        <w:t xml:space="preserve">opportunity to </w:t>
      </w:r>
      <w:r w:rsidR="00A0317C" w:rsidRPr="007E38CE">
        <w:rPr>
          <w:sz w:val="22"/>
          <w:szCs w:val="22"/>
        </w:rPr>
        <w:t xml:space="preserve">gather views and feedback as the reform process continues. </w:t>
      </w:r>
    </w:p>
    <w:p w14:paraId="5B65AE21" w14:textId="76694F18" w:rsidR="00714B91" w:rsidRPr="00027F31" w:rsidRDefault="00DA0D50" w:rsidP="00027F31">
      <w:pPr>
        <w:pStyle w:val="Paragraphtext"/>
        <w:spacing w:after="120"/>
        <w:rPr>
          <w:sz w:val="22"/>
          <w:szCs w:val="22"/>
        </w:rPr>
      </w:pPr>
      <w:r w:rsidRPr="00027F31">
        <w:rPr>
          <w:sz w:val="22"/>
          <w:szCs w:val="22"/>
        </w:rPr>
        <w:t>Most stakeholders were in support of this recommendation.</w:t>
      </w:r>
    </w:p>
    <w:p w14:paraId="6D5D61A4" w14:textId="36B73B41" w:rsidR="00B3474D" w:rsidRPr="00B3474D" w:rsidRDefault="00B3474D" w:rsidP="00B3474D">
      <w:r>
        <w:rPr>
          <w:noProof/>
        </w:rPr>
        <w:drawing>
          <wp:inline distT="0" distB="0" distL="0" distR="0" wp14:anchorId="2E68F18C" wp14:editId="0372E1A2">
            <wp:extent cx="5486400" cy="2520000"/>
            <wp:effectExtent l="0" t="0" r="0" b="13970"/>
            <wp:docPr id="8" name="Chart 8" descr="Stakeholder support to recommendation 4. 10% not in support. 90%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6C22ED" w14:textId="45EB3381" w:rsidR="00EA053F" w:rsidRDefault="00DA0D50" w:rsidP="00DA0D50">
      <w:pPr>
        <w:pStyle w:val="Heading4"/>
      </w:pPr>
      <w:r>
        <w:t>Feedback in support of Recommendation 4</w:t>
      </w:r>
    </w:p>
    <w:p w14:paraId="1AD4C40A" w14:textId="160FDB4C" w:rsidR="00FB6C4C" w:rsidRPr="00027F31" w:rsidRDefault="00FB6C4C" w:rsidP="00027F31">
      <w:pPr>
        <w:pStyle w:val="ListBullet"/>
        <w:spacing w:before="120" w:after="120"/>
        <w:ind w:left="357" w:hanging="357"/>
        <w:rPr>
          <w:sz w:val="22"/>
          <w:szCs w:val="22"/>
        </w:rPr>
      </w:pPr>
      <w:r w:rsidRPr="00027F31">
        <w:rPr>
          <w:sz w:val="22"/>
          <w:szCs w:val="22"/>
        </w:rPr>
        <w:t xml:space="preserve">Regular reviews are essential to ensure the new </w:t>
      </w:r>
      <w:r w:rsidR="00321B30" w:rsidRPr="00027F31">
        <w:rPr>
          <w:sz w:val="22"/>
          <w:szCs w:val="22"/>
        </w:rPr>
        <w:t xml:space="preserve">grouping </w:t>
      </w:r>
      <w:r w:rsidRPr="00027F31">
        <w:rPr>
          <w:sz w:val="22"/>
          <w:szCs w:val="22"/>
        </w:rPr>
        <w:t>structure does not result in any unintended or adverse impacts on patient outcomes</w:t>
      </w:r>
      <w:r w:rsidR="002D13C8" w:rsidRPr="00027F31">
        <w:rPr>
          <w:sz w:val="22"/>
          <w:szCs w:val="22"/>
        </w:rPr>
        <w:t xml:space="preserve">, </w:t>
      </w:r>
      <w:r w:rsidRPr="00027F31">
        <w:rPr>
          <w:sz w:val="22"/>
          <w:szCs w:val="22"/>
        </w:rPr>
        <w:t>clinical choice</w:t>
      </w:r>
      <w:r w:rsidR="002D13C8" w:rsidRPr="00027F31">
        <w:rPr>
          <w:sz w:val="22"/>
          <w:szCs w:val="22"/>
        </w:rPr>
        <w:t>,</w:t>
      </w:r>
      <w:r w:rsidRPr="00027F31">
        <w:rPr>
          <w:sz w:val="22"/>
          <w:szCs w:val="22"/>
        </w:rPr>
        <w:t xml:space="preserve"> or services offered by private hospitals.</w:t>
      </w:r>
      <w:r w:rsidR="00B829EF" w:rsidRPr="00027F31">
        <w:rPr>
          <w:sz w:val="22"/>
          <w:szCs w:val="22"/>
        </w:rPr>
        <w:t xml:space="preserve"> </w:t>
      </w:r>
      <w:r w:rsidR="00321B30" w:rsidRPr="00027F31">
        <w:rPr>
          <w:sz w:val="22"/>
          <w:szCs w:val="22"/>
        </w:rPr>
        <w:t>Additionally,</w:t>
      </w:r>
      <w:r w:rsidRPr="00027F31">
        <w:rPr>
          <w:sz w:val="22"/>
          <w:szCs w:val="22"/>
        </w:rPr>
        <w:t xml:space="preserve"> </w:t>
      </w:r>
      <w:r w:rsidR="00496937" w:rsidRPr="00027F31">
        <w:rPr>
          <w:sz w:val="22"/>
          <w:szCs w:val="22"/>
        </w:rPr>
        <w:t>regular revie</w:t>
      </w:r>
      <w:r w:rsidR="004B2E84" w:rsidRPr="00027F31">
        <w:rPr>
          <w:sz w:val="22"/>
          <w:szCs w:val="22"/>
        </w:rPr>
        <w:t>w</w:t>
      </w:r>
      <w:r w:rsidR="00496937" w:rsidRPr="00027F31">
        <w:rPr>
          <w:sz w:val="22"/>
          <w:szCs w:val="22"/>
        </w:rPr>
        <w:t xml:space="preserve">s </w:t>
      </w:r>
      <w:r w:rsidRPr="00027F31">
        <w:rPr>
          <w:sz w:val="22"/>
          <w:szCs w:val="22"/>
        </w:rPr>
        <w:t>will ensure any changes align and achieve intended outcomes and that Part B remains fit-for-purpose as technology and clinical practice evolve.</w:t>
      </w:r>
    </w:p>
    <w:p w14:paraId="445C0B8D" w14:textId="75368AD0" w:rsidR="00EA053F" w:rsidRPr="0047044F" w:rsidRDefault="00405B5F" w:rsidP="00027F31">
      <w:pPr>
        <w:pStyle w:val="ListBullet"/>
        <w:spacing w:before="120" w:after="120"/>
        <w:ind w:left="357" w:hanging="357"/>
        <w:rPr>
          <w:sz w:val="22"/>
          <w:szCs w:val="22"/>
        </w:rPr>
      </w:pPr>
      <w:r w:rsidRPr="00304D61">
        <w:rPr>
          <w:sz w:val="22"/>
          <w:szCs w:val="22"/>
        </w:rPr>
        <w:t xml:space="preserve">Reviews </w:t>
      </w:r>
      <w:r w:rsidR="00FB6C4C" w:rsidRPr="00304D61">
        <w:rPr>
          <w:sz w:val="22"/>
          <w:szCs w:val="22"/>
        </w:rPr>
        <w:t xml:space="preserve">may </w:t>
      </w:r>
      <w:r w:rsidR="00FB6C4C" w:rsidRPr="0047044F">
        <w:rPr>
          <w:sz w:val="22"/>
          <w:szCs w:val="22"/>
        </w:rPr>
        <w:t>need to be more frequent in the early establishments of the groupings, as this can help to resolve any inconsistencies in the product listings.</w:t>
      </w:r>
    </w:p>
    <w:p w14:paraId="09277201" w14:textId="0EAE4C4C" w:rsidR="00964F88" w:rsidRDefault="00934DDD" w:rsidP="00934DDD">
      <w:pPr>
        <w:pStyle w:val="Heading4"/>
      </w:pPr>
      <w:r>
        <w:lastRenderedPageBreak/>
        <w:t>Feedback against Recommendation 4</w:t>
      </w:r>
    </w:p>
    <w:p w14:paraId="3501EA36" w14:textId="6EDA2292" w:rsidR="00841D74" w:rsidRPr="00027F31" w:rsidRDefault="00841D74" w:rsidP="00027F31">
      <w:pPr>
        <w:pStyle w:val="ListBullet"/>
        <w:spacing w:before="120" w:after="120"/>
        <w:rPr>
          <w:sz w:val="22"/>
          <w:szCs w:val="22"/>
        </w:rPr>
      </w:pPr>
      <w:r w:rsidRPr="00027F31">
        <w:rPr>
          <w:sz w:val="22"/>
          <w:szCs w:val="22"/>
        </w:rPr>
        <w:t>The current review of the PL has been ongoing since 2020 and most issues around the listing of Part B products will be resolved when completed</w:t>
      </w:r>
      <w:r w:rsidR="00766691" w:rsidRPr="00027F31">
        <w:rPr>
          <w:sz w:val="22"/>
          <w:szCs w:val="22"/>
        </w:rPr>
        <w:t xml:space="preserve"> so there will be no need for regular review in this format</w:t>
      </w:r>
      <w:r w:rsidRPr="00027F31">
        <w:rPr>
          <w:sz w:val="22"/>
          <w:szCs w:val="22"/>
        </w:rPr>
        <w:t>.</w:t>
      </w:r>
    </w:p>
    <w:p w14:paraId="2582EDD7" w14:textId="0077C06C" w:rsidR="00841D74" w:rsidRPr="00027F31" w:rsidRDefault="00841D74" w:rsidP="00027F31">
      <w:pPr>
        <w:pStyle w:val="ListBullet"/>
        <w:spacing w:before="120" w:after="120"/>
        <w:rPr>
          <w:sz w:val="22"/>
          <w:szCs w:val="22"/>
        </w:rPr>
      </w:pPr>
      <w:r w:rsidRPr="00027F31">
        <w:rPr>
          <w:sz w:val="22"/>
          <w:szCs w:val="22"/>
        </w:rPr>
        <w:t>Regular reviews impose an addition</w:t>
      </w:r>
      <w:r w:rsidR="00F970AA">
        <w:rPr>
          <w:sz w:val="22"/>
          <w:szCs w:val="22"/>
        </w:rPr>
        <w:t>al</w:t>
      </w:r>
      <w:r w:rsidRPr="00027F31">
        <w:rPr>
          <w:sz w:val="22"/>
          <w:szCs w:val="22"/>
        </w:rPr>
        <w:t xml:space="preserve"> burden on sponsors.</w:t>
      </w:r>
    </w:p>
    <w:p w14:paraId="2AEB0AE0" w14:textId="3EBEA2C4" w:rsidR="00841D74" w:rsidRPr="00027F31" w:rsidRDefault="00841D74" w:rsidP="00027F31">
      <w:pPr>
        <w:pStyle w:val="ListBullet"/>
        <w:spacing w:before="120" w:after="120"/>
        <w:rPr>
          <w:sz w:val="22"/>
          <w:szCs w:val="22"/>
        </w:rPr>
      </w:pPr>
      <w:r w:rsidRPr="00027F31">
        <w:rPr>
          <w:sz w:val="22"/>
          <w:szCs w:val="22"/>
        </w:rPr>
        <w:t>Reviews should be confined to instances where a specific issue requires attention.</w:t>
      </w:r>
    </w:p>
    <w:p w14:paraId="25FCC239" w14:textId="23F688AB" w:rsidR="00964F88" w:rsidRPr="00027F31" w:rsidRDefault="00841D74" w:rsidP="00027F31">
      <w:pPr>
        <w:pStyle w:val="ListBullet"/>
        <w:spacing w:before="120" w:after="120"/>
        <w:rPr>
          <w:sz w:val="22"/>
          <w:szCs w:val="22"/>
        </w:rPr>
      </w:pPr>
      <w:r w:rsidRPr="00027F31">
        <w:rPr>
          <w:sz w:val="22"/>
          <w:szCs w:val="22"/>
        </w:rPr>
        <w:t>Further consultation would be needed to understand what kind of process is required and any implications it may have.</w:t>
      </w:r>
    </w:p>
    <w:p w14:paraId="66AC953C" w14:textId="22CFE600" w:rsidR="0075785B" w:rsidRPr="00027F31" w:rsidRDefault="008C7A23" w:rsidP="00027F31">
      <w:pPr>
        <w:pStyle w:val="PolicyStatement"/>
        <w:spacing w:before="120" w:after="120"/>
        <w:rPr>
          <w:sz w:val="22"/>
          <w:szCs w:val="22"/>
        </w:rPr>
      </w:pPr>
      <w:r w:rsidRPr="00027F31">
        <w:rPr>
          <w:sz w:val="22"/>
          <w:szCs w:val="22"/>
        </w:rPr>
        <w:t xml:space="preserve">The </w:t>
      </w:r>
      <w:r w:rsidR="007E38CE">
        <w:rPr>
          <w:sz w:val="22"/>
          <w:szCs w:val="22"/>
        </w:rPr>
        <w:t>department</w:t>
      </w:r>
      <w:r w:rsidRPr="00027F31">
        <w:rPr>
          <w:sz w:val="22"/>
          <w:szCs w:val="22"/>
        </w:rPr>
        <w:t xml:space="preserve"> </w:t>
      </w:r>
      <w:r w:rsidR="006268A8">
        <w:rPr>
          <w:sz w:val="22"/>
          <w:szCs w:val="22"/>
        </w:rPr>
        <w:t>agrees</w:t>
      </w:r>
      <w:r w:rsidR="009252BA" w:rsidRPr="00027F31">
        <w:rPr>
          <w:sz w:val="22"/>
          <w:szCs w:val="22"/>
        </w:rPr>
        <w:t xml:space="preserve"> to this recommendation. </w:t>
      </w:r>
      <w:r w:rsidR="007E38CE">
        <w:rPr>
          <w:sz w:val="22"/>
          <w:szCs w:val="22"/>
        </w:rPr>
        <w:t>T</w:t>
      </w:r>
      <w:r w:rsidR="007E38CE" w:rsidRPr="007E38CE">
        <w:rPr>
          <w:sz w:val="22"/>
          <w:szCs w:val="22"/>
        </w:rPr>
        <w:t>he department will advise stakeholders of the intended changes before implementation to ensure there is an opportunity to identify unintended consequences</w:t>
      </w:r>
      <w:r w:rsidR="007E38CE">
        <w:rPr>
          <w:sz w:val="22"/>
          <w:szCs w:val="22"/>
        </w:rPr>
        <w:t>.</w:t>
      </w:r>
    </w:p>
    <w:p w14:paraId="56650F39" w14:textId="2B7379BE" w:rsidR="00D0754B" w:rsidRDefault="003A0BA0" w:rsidP="002C343D">
      <w:pPr>
        <w:pStyle w:val="Heading2"/>
      </w:pPr>
      <w:r w:rsidRPr="003A0BA0">
        <w:t>Recommendation 5 –</w:t>
      </w:r>
      <w:r w:rsidR="007E38CE">
        <w:t xml:space="preserve"> </w:t>
      </w:r>
      <w:r w:rsidRPr="003A0BA0">
        <w:t xml:space="preserve">the </w:t>
      </w:r>
      <w:r>
        <w:t>d</w:t>
      </w:r>
      <w:r w:rsidRPr="003A0BA0">
        <w:t>epartment proceed with implementing the three assessment pathways which mirror the pathways for Parts A and C of the PL.</w:t>
      </w:r>
    </w:p>
    <w:p w14:paraId="16073D48" w14:textId="1F95D8E5" w:rsidR="00BE43A6" w:rsidRPr="00027F31" w:rsidRDefault="00E16A7B" w:rsidP="00027F31">
      <w:pPr>
        <w:pStyle w:val="Paragraphtext"/>
        <w:spacing w:after="120"/>
        <w:rPr>
          <w:sz w:val="22"/>
          <w:szCs w:val="22"/>
        </w:rPr>
      </w:pPr>
      <w:r w:rsidRPr="00027F31">
        <w:rPr>
          <w:sz w:val="22"/>
          <w:szCs w:val="22"/>
        </w:rPr>
        <w:t xml:space="preserve">The </w:t>
      </w:r>
      <w:r w:rsidR="00A03A47" w:rsidRPr="00027F31">
        <w:rPr>
          <w:sz w:val="22"/>
          <w:szCs w:val="22"/>
        </w:rPr>
        <w:t>d</w:t>
      </w:r>
      <w:r w:rsidRPr="00027F31">
        <w:rPr>
          <w:sz w:val="22"/>
          <w:szCs w:val="22"/>
        </w:rPr>
        <w:t xml:space="preserve">epartment’s original proposal was that the assessment pathways for Part B should mirror </w:t>
      </w:r>
      <w:r w:rsidR="00BE43A6" w:rsidRPr="00027F31">
        <w:rPr>
          <w:sz w:val="22"/>
          <w:szCs w:val="22"/>
        </w:rPr>
        <w:t>those</w:t>
      </w:r>
      <w:r w:rsidRPr="00027F31">
        <w:rPr>
          <w:sz w:val="22"/>
          <w:szCs w:val="22"/>
        </w:rPr>
        <w:t xml:space="preserve"> for Part A and C. These pathways include</w:t>
      </w:r>
      <w:r w:rsidR="00BE43A6" w:rsidRPr="00027F31">
        <w:rPr>
          <w:sz w:val="22"/>
          <w:szCs w:val="22"/>
        </w:rPr>
        <w:t>:</w:t>
      </w:r>
    </w:p>
    <w:p w14:paraId="00762087" w14:textId="218560F7" w:rsidR="00BE43A6" w:rsidRPr="00027F31" w:rsidRDefault="00CF2285" w:rsidP="00027F31">
      <w:pPr>
        <w:pStyle w:val="ListBullet"/>
        <w:spacing w:before="120" w:after="120"/>
        <w:rPr>
          <w:sz w:val="22"/>
          <w:szCs w:val="22"/>
        </w:rPr>
      </w:pPr>
      <w:r w:rsidRPr="00027F31">
        <w:rPr>
          <w:sz w:val="22"/>
          <w:szCs w:val="22"/>
        </w:rPr>
        <w:t xml:space="preserve">Tier 1: </w:t>
      </w:r>
      <w:r w:rsidR="00185E02" w:rsidRPr="00027F31">
        <w:rPr>
          <w:sz w:val="22"/>
          <w:szCs w:val="22"/>
        </w:rPr>
        <w:t>Department</w:t>
      </w:r>
      <w:r w:rsidR="00E16A7B" w:rsidRPr="00027F31">
        <w:rPr>
          <w:sz w:val="22"/>
          <w:szCs w:val="22"/>
        </w:rPr>
        <w:t>al Assessment Pathway</w:t>
      </w:r>
    </w:p>
    <w:p w14:paraId="3B4881F5" w14:textId="0BE8C735" w:rsidR="00BE43A6" w:rsidRPr="00027F31" w:rsidRDefault="00CF2285" w:rsidP="00027F31">
      <w:pPr>
        <w:pStyle w:val="ListBullet"/>
        <w:spacing w:before="120" w:after="120"/>
        <w:rPr>
          <w:sz w:val="22"/>
          <w:szCs w:val="22"/>
        </w:rPr>
      </w:pPr>
      <w:r w:rsidRPr="00027F31">
        <w:rPr>
          <w:sz w:val="22"/>
          <w:szCs w:val="22"/>
        </w:rPr>
        <w:t xml:space="preserve">Tier 2: </w:t>
      </w:r>
      <w:r w:rsidR="00E16A7B" w:rsidRPr="00027F31">
        <w:rPr>
          <w:sz w:val="22"/>
          <w:szCs w:val="22"/>
        </w:rPr>
        <w:t xml:space="preserve">Clinical/Focused </w:t>
      </w:r>
      <w:r w:rsidR="007E38CE">
        <w:rPr>
          <w:sz w:val="22"/>
          <w:szCs w:val="22"/>
        </w:rPr>
        <w:t>Health Technology Assessment (HTA)</w:t>
      </w:r>
      <w:r w:rsidR="00E16A7B" w:rsidRPr="00027F31">
        <w:rPr>
          <w:sz w:val="22"/>
          <w:szCs w:val="22"/>
        </w:rPr>
        <w:t xml:space="preserve"> </w:t>
      </w:r>
      <w:r w:rsidR="00BE43A6" w:rsidRPr="00027F31">
        <w:rPr>
          <w:sz w:val="22"/>
          <w:szCs w:val="22"/>
        </w:rPr>
        <w:t xml:space="preserve">Assessment </w:t>
      </w:r>
      <w:r w:rsidR="00E16A7B" w:rsidRPr="00027F31">
        <w:rPr>
          <w:sz w:val="22"/>
          <w:szCs w:val="22"/>
        </w:rPr>
        <w:t>Pathway</w:t>
      </w:r>
    </w:p>
    <w:p w14:paraId="128A3E88" w14:textId="081C6E22" w:rsidR="00E16A7B" w:rsidRPr="00027F31" w:rsidRDefault="00CF2285" w:rsidP="00027F31">
      <w:pPr>
        <w:pStyle w:val="ListBullet"/>
        <w:spacing w:before="120" w:after="120"/>
        <w:rPr>
          <w:sz w:val="22"/>
          <w:szCs w:val="22"/>
        </w:rPr>
      </w:pPr>
      <w:r w:rsidRPr="00027F31">
        <w:rPr>
          <w:sz w:val="22"/>
          <w:szCs w:val="22"/>
        </w:rPr>
        <w:t xml:space="preserve">Tier 3: </w:t>
      </w:r>
      <w:r w:rsidR="00E16A7B" w:rsidRPr="00027F31">
        <w:rPr>
          <w:sz w:val="22"/>
          <w:szCs w:val="22"/>
        </w:rPr>
        <w:t xml:space="preserve">Full HTA </w:t>
      </w:r>
      <w:r w:rsidR="00BE43A6" w:rsidRPr="00027F31">
        <w:rPr>
          <w:sz w:val="22"/>
          <w:szCs w:val="22"/>
        </w:rPr>
        <w:t>Assessment Pathway</w:t>
      </w:r>
      <w:r w:rsidR="007E38CE">
        <w:rPr>
          <w:sz w:val="22"/>
          <w:szCs w:val="22"/>
        </w:rPr>
        <w:t xml:space="preserve"> (Medical Services Advisory Committee - MSAC)</w:t>
      </w:r>
    </w:p>
    <w:p w14:paraId="47427E4E" w14:textId="3D403C44" w:rsidR="00C62B9A" w:rsidRPr="00027F31" w:rsidRDefault="00F14191" w:rsidP="00027F31">
      <w:pPr>
        <w:pStyle w:val="Paragraphtext"/>
        <w:spacing w:after="120"/>
        <w:rPr>
          <w:sz w:val="22"/>
          <w:szCs w:val="22"/>
        </w:rPr>
      </w:pPr>
      <w:r>
        <w:rPr>
          <w:sz w:val="22"/>
          <w:szCs w:val="22"/>
        </w:rPr>
        <w:t>S</w:t>
      </w:r>
      <w:r w:rsidR="00E16A7B" w:rsidRPr="00027F31">
        <w:rPr>
          <w:sz w:val="22"/>
          <w:szCs w:val="22"/>
        </w:rPr>
        <w:t xml:space="preserve">takeholders who manufacture Class 2 biologicals will use Tier </w:t>
      </w:r>
      <w:r w:rsidR="00A26544" w:rsidRPr="00027F31">
        <w:rPr>
          <w:sz w:val="22"/>
          <w:szCs w:val="22"/>
        </w:rPr>
        <w:t>1 and</w:t>
      </w:r>
      <w:r w:rsidR="00C62B9A" w:rsidRPr="00027F31">
        <w:rPr>
          <w:sz w:val="22"/>
          <w:szCs w:val="22"/>
        </w:rPr>
        <w:t xml:space="preserve"> </w:t>
      </w:r>
      <w:r w:rsidR="00164577" w:rsidRPr="00027F31">
        <w:rPr>
          <w:sz w:val="22"/>
          <w:szCs w:val="22"/>
        </w:rPr>
        <w:t xml:space="preserve">may use </w:t>
      </w:r>
      <w:r w:rsidR="00C62B9A" w:rsidRPr="00027F31">
        <w:rPr>
          <w:sz w:val="22"/>
          <w:szCs w:val="22"/>
        </w:rPr>
        <w:t>T</w:t>
      </w:r>
      <w:r w:rsidR="00E16A7B" w:rsidRPr="00027F31">
        <w:rPr>
          <w:sz w:val="22"/>
          <w:szCs w:val="22"/>
        </w:rPr>
        <w:t>ier 3 pathway</w:t>
      </w:r>
      <w:r w:rsidR="00164577" w:rsidRPr="00027F31">
        <w:rPr>
          <w:sz w:val="22"/>
          <w:szCs w:val="22"/>
        </w:rPr>
        <w:t xml:space="preserve"> on occasion.</w:t>
      </w:r>
    </w:p>
    <w:p w14:paraId="5C8DAC7D" w14:textId="2B1B6379" w:rsidR="00E16A7B" w:rsidRPr="00027F31" w:rsidRDefault="00E16A7B" w:rsidP="00027F31">
      <w:pPr>
        <w:pStyle w:val="Paragraphtext"/>
        <w:spacing w:after="120"/>
        <w:rPr>
          <w:sz w:val="22"/>
          <w:szCs w:val="22"/>
        </w:rPr>
      </w:pPr>
      <w:r w:rsidRPr="00027F31">
        <w:rPr>
          <w:sz w:val="22"/>
          <w:szCs w:val="22"/>
        </w:rPr>
        <w:t xml:space="preserve">For Class 3 and Class 4 biologicals, which are highly processed, sponsors </w:t>
      </w:r>
      <w:r w:rsidR="00773C23" w:rsidRPr="00027F31">
        <w:rPr>
          <w:sz w:val="22"/>
          <w:szCs w:val="22"/>
        </w:rPr>
        <w:t>should be able to provide</w:t>
      </w:r>
      <w:r w:rsidRPr="00027F31">
        <w:rPr>
          <w:sz w:val="22"/>
          <w:szCs w:val="22"/>
        </w:rPr>
        <w:t xml:space="preserve"> </w:t>
      </w:r>
      <w:r w:rsidR="00AF5C65" w:rsidRPr="00027F31">
        <w:rPr>
          <w:sz w:val="22"/>
          <w:szCs w:val="22"/>
        </w:rPr>
        <w:t xml:space="preserve">the </w:t>
      </w:r>
      <w:r w:rsidR="0022119E" w:rsidRPr="00027F31">
        <w:rPr>
          <w:sz w:val="22"/>
          <w:szCs w:val="22"/>
        </w:rPr>
        <w:t xml:space="preserve">clinical </w:t>
      </w:r>
      <w:r w:rsidRPr="00027F31">
        <w:rPr>
          <w:sz w:val="22"/>
          <w:szCs w:val="22"/>
        </w:rPr>
        <w:t xml:space="preserve">evidence required for the Tier 2 and Tier </w:t>
      </w:r>
      <w:r w:rsidR="00B00931" w:rsidRPr="00027F31">
        <w:rPr>
          <w:sz w:val="22"/>
          <w:szCs w:val="22"/>
        </w:rPr>
        <w:t xml:space="preserve">3 </w:t>
      </w:r>
      <w:r w:rsidRPr="00027F31">
        <w:rPr>
          <w:sz w:val="22"/>
          <w:szCs w:val="22"/>
        </w:rPr>
        <w:t>pathways</w:t>
      </w:r>
      <w:r w:rsidR="00B00931" w:rsidRPr="00027F31">
        <w:rPr>
          <w:sz w:val="22"/>
          <w:szCs w:val="22"/>
        </w:rPr>
        <w:t xml:space="preserve">, </w:t>
      </w:r>
      <w:r w:rsidR="001F28A4" w:rsidRPr="00027F31">
        <w:rPr>
          <w:sz w:val="22"/>
          <w:szCs w:val="22"/>
        </w:rPr>
        <w:t>as this evidence would have been provided for the</w:t>
      </w:r>
      <w:r w:rsidRPr="00027F31">
        <w:rPr>
          <w:sz w:val="22"/>
          <w:szCs w:val="22"/>
        </w:rPr>
        <w:t xml:space="preserve"> TGA </w:t>
      </w:r>
      <w:r w:rsidR="00860DD6" w:rsidRPr="00027F31">
        <w:rPr>
          <w:sz w:val="22"/>
          <w:szCs w:val="22"/>
        </w:rPr>
        <w:t>application</w:t>
      </w:r>
      <w:r w:rsidRPr="00027F31">
        <w:rPr>
          <w:sz w:val="22"/>
          <w:szCs w:val="22"/>
        </w:rPr>
        <w:t xml:space="preserve"> to support registration of these products</w:t>
      </w:r>
      <w:r w:rsidR="0022119E" w:rsidRPr="00027F31">
        <w:rPr>
          <w:sz w:val="22"/>
          <w:szCs w:val="22"/>
        </w:rPr>
        <w:t xml:space="preserve"> </w:t>
      </w:r>
      <w:r w:rsidR="00B54F87">
        <w:rPr>
          <w:sz w:val="22"/>
          <w:szCs w:val="22"/>
        </w:rPr>
        <w:t>o</w:t>
      </w:r>
      <w:r w:rsidR="0022119E" w:rsidRPr="00027F31">
        <w:rPr>
          <w:sz w:val="22"/>
          <w:szCs w:val="22"/>
        </w:rPr>
        <w:t>n the ARTG</w:t>
      </w:r>
      <w:r w:rsidR="00767B92" w:rsidRPr="00027F31">
        <w:rPr>
          <w:sz w:val="22"/>
          <w:szCs w:val="22"/>
        </w:rPr>
        <w:t xml:space="preserve"> (Australian Register of </w:t>
      </w:r>
      <w:r w:rsidR="00CB0EBE" w:rsidRPr="00027F31">
        <w:rPr>
          <w:sz w:val="22"/>
          <w:szCs w:val="22"/>
        </w:rPr>
        <w:t>Therapeutic Goods)</w:t>
      </w:r>
      <w:r w:rsidR="0022119E" w:rsidRPr="00027F31">
        <w:rPr>
          <w:sz w:val="22"/>
          <w:szCs w:val="22"/>
        </w:rPr>
        <w:t>.</w:t>
      </w:r>
    </w:p>
    <w:p w14:paraId="375EE7C5" w14:textId="304A73FC" w:rsidR="004F6E8B" w:rsidRPr="00027F31" w:rsidRDefault="00E16A7B" w:rsidP="00027F31">
      <w:pPr>
        <w:pStyle w:val="Paragraphtext"/>
        <w:spacing w:after="120"/>
        <w:rPr>
          <w:sz w:val="22"/>
          <w:szCs w:val="22"/>
        </w:rPr>
      </w:pPr>
      <w:r w:rsidRPr="00027F31">
        <w:rPr>
          <w:sz w:val="22"/>
          <w:szCs w:val="22"/>
        </w:rPr>
        <w:t>However, TGA evidence requirements for Class 2 biologicals generally rely only on literature, and in some instances expert clinical opinion. Apart from corneal tissue, which is tracked through the Australian Corneal Graft Registry, most manufacturers of Class 2 biologicals do not collect objective long-term evidence as to the clinical effectiveness of their products including through registries.</w:t>
      </w:r>
      <w:r w:rsidR="00F9381E" w:rsidRPr="00027F31">
        <w:rPr>
          <w:sz w:val="22"/>
          <w:szCs w:val="22"/>
        </w:rPr>
        <w:t xml:space="preserve"> Class </w:t>
      </w:r>
      <w:r w:rsidR="00D632E6" w:rsidRPr="00027F31">
        <w:rPr>
          <w:sz w:val="22"/>
          <w:szCs w:val="22"/>
        </w:rPr>
        <w:t xml:space="preserve">2 biologicals are considered low risk as they have been subject to only minimal manipulation and </w:t>
      </w:r>
      <w:r w:rsidR="00914215" w:rsidRPr="00027F31">
        <w:rPr>
          <w:sz w:val="22"/>
          <w:szCs w:val="22"/>
        </w:rPr>
        <w:t>are only for homologous use.</w:t>
      </w:r>
      <w:r w:rsidR="00D632E6" w:rsidRPr="00027F31">
        <w:rPr>
          <w:sz w:val="22"/>
          <w:szCs w:val="22"/>
        </w:rPr>
        <w:t xml:space="preserve"> </w:t>
      </w:r>
    </w:p>
    <w:p w14:paraId="3D61FAB7" w14:textId="77777777" w:rsidR="005A35D3" w:rsidRDefault="00F014FD" w:rsidP="007E38CE">
      <w:pPr>
        <w:pStyle w:val="Paragraphtext"/>
      </w:pPr>
      <w:r>
        <w:rPr>
          <w:noProof/>
        </w:rPr>
        <w:lastRenderedPageBreak/>
        <w:drawing>
          <wp:inline distT="0" distB="0" distL="0" distR="0" wp14:anchorId="26EF037A" wp14:editId="77EC0549">
            <wp:extent cx="5613991" cy="2562210"/>
            <wp:effectExtent l="0" t="0" r="6350" b="10160"/>
            <wp:docPr id="9" name="Chart 9" descr="Stakeholder support to recommendation 5. 35% not in support. 65%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026EF0" w14:textId="1114C54E" w:rsidR="005A35D3" w:rsidRDefault="00A36B9A" w:rsidP="00A36B9A">
      <w:pPr>
        <w:pStyle w:val="Heading4"/>
      </w:pPr>
      <w:r>
        <w:t xml:space="preserve">Feedback in support of Recommendation </w:t>
      </w:r>
      <w:r w:rsidR="009465D0">
        <w:t>5</w:t>
      </w:r>
    </w:p>
    <w:p w14:paraId="73F19507" w14:textId="7A2478B4" w:rsidR="00DC634F" w:rsidRPr="00027F31" w:rsidRDefault="00DC634F" w:rsidP="00027F31">
      <w:pPr>
        <w:pStyle w:val="ListBullet"/>
        <w:spacing w:before="120" w:after="120"/>
        <w:ind w:left="357" w:hanging="357"/>
        <w:rPr>
          <w:sz w:val="22"/>
          <w:szCs w:val="22"/>
        </w:rPr>
      </w:pPr>
      <w:r w:rsidRPr="00027F31">
        <w:rPr>
          <w:sz w:val="22"/>
          <w:szCs w:val="22"/>
        </w:rPr>
        <w:t>This approach is more user friendly, less complex and avoids duplicative efforts for sponsors.</w:t>
      </w:r>
    </w:p>
    <w:p w14:paraId="74B873BA" w14:textId="22A56C2C" w:rsidR="00D462C8" w:rsidRPr="00027F31" w:rsidRDefault="00D462C8" w:rsidP="00027F31">
      <w:pPr>
        <w:pStyle w:val="ListBullet"/>
        <w:spacing w:before="120" w:after="120"/>
        <w:ind w:left="357" w:hanging="357"/>
        <w:rPr>
          <w:sz w:val="22"/>
          <w:szCs w:val="22"/>
        </w:rPr>
      </w:pPr>
      <w:r w:rsidRPr="00027F31">
        <w:rPr>
          <w:sz w:val="22"/>
          <w:szCs w:val="22"/>
        </w:rPr>
        <w:t>Any claims for superior performance (and therefore high</w:t>
      </w:r>
      <w:r w:rsidR="007E7568" w:rsidRPr="00027F31">
        <w:rPr>
          <w:sz w:val="22"/>
          <w:szCs w:val="22"/>
        </w:rPr>
        <w:t>er</w:t>
      </w:r>
      <w:r w:rsidRPr="00027F31">
        <w:rPr>
          <w:sz w:val="22"/>
          <w:szCs w:val="22"/>
        </w:rPr>
        <w:t xml:space="preserve"> Tier) attributed to specific processing methods must be subjected to rigorous HTA.</w:t>
      </w:r>
    </w:p>
    <w:p w14:paraId="744CB57F" w14:textId="198B0811" w:rsidR="00E10373" w:rsidRDefault="00E10373" w:rsidP="00E10373">
      <w:pPr>
        <w:pStyle w:val="Heading4"/>
      </w:pPr>
      <w:r>
        <w:t xml:space="preserve">Stakeholder suggestions for Recommendation </w:t>
      </w:r>
      <w:r w:rsidR="009465D0">
        <w:t>5</w:t>
      </w:r>
    </w:p>
    <w:p w14:paraId="3C2FAC05" w14:textId="472A43CC" w:rsidR="00942BD2" w:rsidRPr="00027F31" w:rsidRDefault="00942BD2" w:rsidP="00027F31">
      <w:pPr>
        <w:pStyle w:val="ListBullet"/>
        <w:spacing w:before="120" w:after="120"/>
        <w:ind w:left="357" w:hanging="357"/>
        <w:rPr>
          <w:sz w:val="22"/>
          <w:szCs w:val="22"/>
        </w:rPr>
      </w:pPr>
      <w:r w:rsidRPr="00027F31">
        <w:rPr>
          <w:sz w:val="22"/>
          <w:szCs w:val="22"/>
        </w:rPr>
        <w:t xml:space="preserve">Adjustments may be required to </w:t>
      </w:r>
      <w:r w:rsidR="006268A8">
        <w:rPr>
          <w:sz w:val="22"/>
          <w:szCs w:val="22"/>
        </w:rPr>
        <w:t xml:space="preserve">choose between </w:t>
      </w:r>
      <w:r w:rsidRPr="00027F31">
        <w:rPr>
          <w:sz w:val="22"/>
          <w:szCs w:val="22"/>
        </w:rPr>
        <w:t>the three assessment pathways to make them suitable for use by sponsors applying to Part B.</w:t>
      </w:r>
    </w:p>
    <w:p w14:paraId="0BE71030" w14:textId="58101B46" w:rsidR="00942BD2" w:rsidRPr="00027F31" w:rsidRDefault="007F39AC" w:rsidP="00027F31">
      <w:pPr>
        <w:pStyle w:val="ListBullet"/>
        <w:spacing w:before="120" w:after="120"/>
        <w:ind w:left="357" w:hanging="357"/>
        <w:rPr>
          <w:sz w:val="22"/>
          <w:szCs w:val="22"/>
        </w:rPr>
      </w:pPr>
      <w:r>
        <w:rPr>
          <w:sz w:val="22"/>
          <w:szCs w:val="22"/>
        </w:rPr>
        <w:t>A</w:t>
      </w:r>
      <w:r w:rsidR="00EF74BA" w:rsidRPr="00027F31">
        <w:rPr>
          <w:sz w:val="22"/>
          <w:szCs w:val="22"/>
        </w:rPr>
        <w:t xml:space="preserve"> 'note' or 'exception' </w:t>
      </w:r>
      <w:r>
        <w:rPr>
          <w:sz w:val="22"/>
          <w:szCs w:val="22"/>
        </w:rPr>
        <w:t xml:space="preserve">could </w:t>
      </w:r>
      <w:r w:rsidR="00EF74BA" w:rsidRPr="00027F31">
        <w:rPr>
          <w:sz w:val="22"/>
          <w:szCs w:val="22"/>
        </w:rPr>
        <w:t>be added within the pathway requirements, rather than developing a new Part B pathway, t</w:t>
      </w:r>
      <w:r w:rsidR="00942BD2" w:rsidRPr="00027F31">
        <w:rPr>
          <w:sz w:val="22"/>
          <w:szCs w:val="22"/>
        </w:rPr>
        <w:t>o maintain consistency and limit complexity</w:t>
      </w:r>
      <w:r w:rsidR="00EF74BA" w:rsidRPr="00027F31">
        <w:rPr>
          <w:sz w:val="22"/>
          <w:szCs w:val="22"/>
        </w:rPr>
        <w:t>.</w:t>
      </w:r>
    </w:p>
    <w:p w14:paraId="5C18BDA1" w14:textId="70360BBA" w:rsidR="00942BD2" w:rsidRPr="00027F31" w:rsidRDefault="00942BD2" w:rsidP="00027F31">
      <w:pPr>
        <w:pStyle w:val="ListBullet"/>
        <w:spacing w:before="120" w:after="120"/>
        <w:ind w:left="357" w:hanging="357"/>
        <w:rPr>
          <w:sz w:val="22"/>
          <w:szCs w:val="22"/>
        </w:rPr>
      </w:pPr>
      <w:r w:rsidRPr="00027F31">
        <w:rPr>
          <w:sz w:val="22"/>
          <w:szCs w:val="22"/>
        </w:rPr>
        <w:t>The department and TGA should work closely together to review evidence requirements for the proposed assessment pathways and classification of biologicals.</w:t>
      </w:r>
    </w:p>
    <w:p w14:paraId="15EF1266" w14:textId="5601B980" w:rsidR="00DC634F" w:rsidRPr="00027F31" w:rsidRDefault="00005C37" w:rsidP="00027F31">
      <w:pPr>
        <w:pStyle w:val="ListBullet"/>
        <w:spacing w:before="120" w:after="120"/>
        <w:ind w:left="357" w:hanging="357"/>
        <w:rPr>
          <w:sz w:val="22"/>
          <w:szCs w:val="22"/>
        </w:rPr>
      </w:pPr>
      <w:r w:rsidRPr="00027F31">
        <w:rPr>
          <w:sz w:val="22"/>
          <w:szCs w:val="22"/>
        </w:rPr>
        <w:t xml:space="preserve">Tier </w:t>
      </w:r>
      <w:r w:rsidR="00627F06" w:rsidRPr="00027F31">
        <w:rPr>
          <w:sz w:val="22"/>
          <w:szCs w:val="22"/>
        </w:rPr>
        <w:t xml:space="preserve">2 </w:t>
      </w:r>
      <w:r w:rsidR="007F39AC">
        <w:rPr>
          <w:sz w:val="22"/>
          <w:szCs w:val="22"/>
        </w:rPr>
        <w:t>should</w:t>
      </w:r>
      <w:r w:rsidR="00627F06" w:rsidRPr="00027F31">
        <w:rPr>
          <w:sz w:val="22"/>
          <w:szCs w:val="22"/>
        </w:rPr>
        <w:t xml:space="preserve"> be limited to class 2 biologicals with a valid ARTG </w:t>
      </w:r>
      <w:r w:rsidR="007F39AC">
        <w:rPr>
          <w:sz w:val="22"/>
          <w:szCs w:val="22"/>
        </w:rPr>
        <w:t>where the sponsor</w:t>
      </w:r>
      <w:r w:rsidR="00627F06" w:rsidRPr="00027F31">
        <w:rPr>
          <w:sz w:val="22"/>
          <w:szCs w:val="22"/>
        </w:rPr>
        <w:t xml:space="preserve"> request</w:t>
      </w:r>
      <w:r w:rsidR="007F39AC">
        <w:rPr>
          <w:sz w:val="22"/>
          <w:szCs w:val="22"/>
        </w:rPr>
        <w:t>s</w:t>
      </w:r>
      <w:r w:rsidR="00627F06" w:rsidRPr="00027F31">
        <w:rPr>
          <w:sz w:val="22"/>
          <w:szCs w:val="22"/>
        </w:rPr>
        <w:t xml:space="preserve"> a h</w:t>
      </w:r>
      <w:r w:rsidR="00D928FD" w:rsidRPr="00027F31">
        <w:rPr>
          <w:sz w:val="22"/>
          <w:szCs w:val="22"/>
        </w:rPr>
        <w:t>i</w:t>
      </w:r>
      <w:r w:rsidR="00627F06" w:rsidRPr="00027F31">
        <w:rPr>
          <w:sz w:val="22"/>
          <w:szCs w:val="22"/>
        </w:rPr>
        <w:t xml:space="preserve">gher PL benefit based on superior </w:t>
      </w:r>
      <w:r w:rsidR="00D928FD" w:rsidRPr="00027F31">
        <w:rPr>
          <w:sz w:val="22"/>
          <w:szCs w:val="22"/>
        </w:rPr>
        <w:t>clinical performance.</w:t>
      </w:r>
    </w:p>
    <w:p w14:paraId="4587407D" w14:textId="4A7321C8" w:rsidR="00DC634F" w:rsidRPr="00027F31" w:rsidRDefault="00DC634F" w:rsidP="00027F31">
      <w:pPr>
        <w:pStyle w:val="ListBullet"/>
        <w:spacing w:before="120" w:after="120"/>
        <w:ind w:left="357" w:hanging="357"/>
        <w:rPr>
          <w:sz w:val="22"/>
          <w:szCs w:val="22"/>
        </w:rPr>
      </w:pPr>
      <w:r w:rsidRPr="00027F31">
        <w:rPr>
          <w:sz w:val="22"/>
          <w:szCs w:val="22"/>
        </w:rPr>
        <w:t xml:space="preserve">An additional </w:t>
      </w:r>
      <w:r w:rsidR="0093322A">
        <w:rPr>
          <w:sz w:val="22"/>
          <w:szCs w:val="22"/>
        </w:rPr>
        <w:t>fee</w:t>
      </w:r>
      <w:r w:rsidRPr="00027F31">
        <w:rPr>
          <w:sz w:val="22"/>
          <w:szCs w:val="22"/>
        </w:rPr>
        <w:t xml:space="preserve"> is only appropriate where clinically relevant benefits can be demonstrated with evidence of real-world patient/public health outcomes.</w:t>
      </w:r>
      <w:r w:rsidR="002069BC" w:rsidRPr="00027F31">
        <w:rPr>
          <w:sz w:val="22"/>
          <w:szCs w:val="22"/>
        </w:rPr>
        <w:t xml:space="preserve"> </w:t>
      </w:r>
      <w:r w:rsidRPr="00027F31">
        <w:rPr>
          <w:sz w:val="22"/>
          <w:szCs w:val="22"/>
        </w:rPr>
        <w:t xml:space="preserve">As small </w:t>
      </w:r>
      <w:r w:rsidR="0042586A">
        <w:rPr>
          <w:sz w:val="22"/>
          <w:szCs w:val="22"/>
        </w:rPr>
        <w:t>tissue</w:t>
      </w:r>
      <w:r w:rsidRPr="00027F31">
        <w:rPr>
          <w:sz w:val="22"/>
          <w:szCs w:val="22"/>
        </w:rPr>
        <w:t xml:space="preserve"> banks are unlikely to submit items that require substantive analysis, this is where genuine commercial products are treated differently to</w:t>
      </w:r>
      <w:r w:rsidR="006F4957">
        <w:rPr>
          <w:sz w:val="22"/>
          <w:szCs w:val="22"/>
        </w:rPr>
        <w:t xml:space="preserve"> </w:t>
      </w:r>
      <w:r w:rsidR="0042586A">
        <w:rPr>
          <w:sz w:val="22"/>
          <w:szCs w:val="22"/>
        </w:rPr>
        <w:t>tissue</w:t>
      </w:r>
      <w:r w:rsidR="006F4957">
        <w:rPr>
          <w:sz w:val="22"/>
          <w:szCs w:val="22"/>
        </w:rPr>
        <w:t xml:space="preserve"> banks</w:t>
      </w:r>
      <w:r w:rsidRPr="00027F31">
        <w:rPr>
          <w:sz w:val="22"/>
          <w:szCs w:val="22"/>
        </w:rPr>
        <w:t xml:space="preserve"> </w:t>
      </w:r>
      <w:r w:rsidR="007F39AC">
        <w:rPr>
          <w:sz w:val="22"/>
          <w:szCs w:val="22"/>
        </w:rPr>
        <w:t>who</w:t>
      </w:r>
      <w:r w:rsidR="007F39AC" w:rsidRPr="00027F31">
        <w:rPr>
          <w:sz w:val="22"/>
          <w:szCs w:val="22"/>
        </w:rPr>
        <w:t xml:space="preserve"> </w:t>
      </w:r>
      <w:r w:rsidRPr="00027F31">
        <w:rPr>
          <w:sz w:val="22"/>
          <w:szCs w:val="22"/>
        </w:rPr>
        <w:t xml:space="preserve">may not have the competency to </w:t>
      </w:r>
      <w:r w:rsidR="007F39AC">
        <w:rPr>
          <w:sz w:val="22"/>
          <w:szCs w:val="22"/>
        </w:rPr>
        <w:t>draft</w:t>
      </w:r>
      <w:r w:rsidR="007F39AC" w:rsidRPr="00027F31">
        <w:rPr>
          <w:sz w:val="22"/>
          <w:szCs w:val="22"/>
        </w:rPr>
        <w:t xml:space="preserve"> </w:t>
      </w:r>
      <w:r w:rsidRPr="00027F31">
        <w:rPr>
          <w:sz w:val="22"/>
          <w:szCs w:val="22"/>
        </w:rPr>
        <w:t xml:space="preserve">complex submissions </w:t>
      </w:r>
      <w:r w:rsidR="007F39AC">
        <w:rPr>
          <w:sz w:val="22"/>
          <w:szCs w:val="22"/>
        </w:rPr>
        <w:t>to obtain</w:t>
      </w:r>
      <w:r w:rsidR="007F39AC" w:rsidRPr="00027F31">
        <w:rPr>
          <w:sz w:val="22"/>
          <w:szCs w:val="22"/>
        </w:rPr>
        <w:t xml:space="preserve"> </w:t>
      </w:r>
      <w:r w:rsidRPr="00027F31">
        <w:rPr>
          <w:sz w:val="22"/>
          <w:szCs w:val="22"/>
        </w:rPr>
        <w:t>an increased benefit.</w:t>
      </w:r>
    </w:p>
    <w:p w14:paraId="5EB0A0B0" w14:textId="25E2441D" w:rsidR="0019764B" w:rsidRDefault="00740566" w:rsidP="0019764B">
      <w:pPr>
        <w:pStyle w:val="Heading4"/>
      </w:pPr>
      <w:r>
        <w:t>Feedback against Recommendation 5</w:t>
      </w:r>
    </w:p>
    <w:p w14:paraId="2F7A3124" w14:textId="62CAE6E3" w:rsidR="00D462C8" w:rsidRPr="00027F31" w:rsidRDefault="006F4957" w:rsidP="00027F31">
      <w:pPr>
        <w:pStyle w:val="ListBullet"/>
        <w:spacing w:before="120" w:after="120"/>
        <w:rPr>
          <w:sz w:val="22"/>
          <w:szCs w:val="22"/>
        </w:rPr>
      </w:pPr>
      <w:r>
        <w:rPr>
          <w:sz w:val="22"/>
          <w:szCs w:val="22"/>
        </w:rPr>
        <w:t xml:space="preserve">Non-commercial and low volume banks </w:t>
      </w:r>
      <w:r w:rsidR="00D462C8" w:rsidRPr="00027F31">
        <w:rPr>
          <w:sz w:val="22"/>
          <w:szCs w:val="22"/>
        </w:rPr>
        <w:t>are unlikely to be able to deliver the documentation and HTA analysis required to submit adequate evidence for Tier 2 or Tier 3 applications.</w:t>
      </w:r>
    </w:p>
    <w:p w14:paraId="295AA456" w14:textId="05E70F63" w:rsidR="00B526B6" w:rsidRPr="00027F31" w:rsidRDefault="00B526B6" w:rsidP="00027F31">
      <w:pPr>
        <w:pStyle w:val="ListBullet"/>
        <w:spacing w:before="120" w:after="120"/>
        <w:rPr>
          <w:sz w:val="22"/>
          <w:szCs w:val="22"/>
        </w:rPr>
      </w:pPr>
      <w:r w:rsidRPr="00027F31">
        <w:rPr>
          <w:sz w:val="22"/>
          <w:szCs w:val="22"/>
        </w:rPr>
        <w:t xml:space="preserve">There is a concern that if sponsors of tissue products </w:t>
      </w:r>
      <w:commentRangeStart w:id="10"/>
      <w:commentRangeEnd w:id="10"/>
      <w:r w:rsidR="006F4957">
        <w:rPr>
          <w:rStyle w:val="CommentReference"/>
          <w:color w:val="auto"/>
        </w:rPr>
        <w:commentReference w:id="10"/>
      </w:r>
      <w:r w:rsidRPr="00027F31">
        <w:rPr>
          <w:sz w:val="22"/>
          <w:szCs w:val="22"/>
        </w:rPr>
        <w:t>are unable to produce the data, innovation will be stifled and overtaken by international sponsors.</w:t>
      </w:r>
    </w:p>
    <w:p w14:paraId="155F41E0" w14:textId="5D489E43" w:rsidR="00B526B6" w:rsidRPr="00027F31" w:rsidRDefault="00B526B6" w:rsidP="00027F31">
      <w:pPr>
        <w:pStyle w:val="ListBullet"/>
        <w:spacing w:before="120" w:after="120"/>
        <w:rPr>
          <w:sz w:val="22"/>
          <w:szCs w:val="22"/>
        </w:rPr>
      </w:pPr>
      <w:r w:rsidRPr="00027F31">
        <w:rPr>
          <w:sz w:val="22"/>
          <w:szCs w:val="22"/>
        </w:rPr>
        <w:t>The requirements and capability in response from sponsors need</w:t>
      </w:r>
      <w:r w:rsidR="007F39AC">
        <w:rPr>
          <w:sz w:val="22"/>
          <w:szCs w:val="22"/>
        </w:rPr>
        <w:t>s</w:t>
      </w:r>
      <w:r w:rsidRPr="00027F31">
        <w:rPr>
          <w:sz w:val="22"/>
          <w:szCs w:val="22"/>
        </w:rPr>
        <w:t xml:space="preserve"> to be better road</w:t>
      </w:r>
      <w:r w:rsidR="00F17437" w:rsidRPr="00027F31">
        <w:rPr>
          <w:sz w:val="22"/>
          <w:szCs w:val="22"/>
        </w:rPr>
        <w:t>-</w:t>
      </w:r>
      <w:r w:rsidRPr="00027F31">
        <w:rPr>
          <w:sz w:val="22"/>
          <w:szCs w:val="22"/>
        </w:rPr>
        <w:t>tested.</w:t>
      </w:r>
    </w:p>
    <w:p w14:paraId="026EDE8F" w14:textId="690191E9" w:rsidR="00B526B6" w:rsidRPr="00027F31" w:rsidRDefault="00713B5C" w:rsidP="00027F31">
      <w:pPr>
        <w:pStyle w:val="ListBullet"/>
        <w:spacing w:before="120" w:after="120"/>
        <w:rPr>
          <w:sz w:val="22"/>
          <w:szCs w:val="22"/>
        </w:rPr>
      </w:pPr>
      <w:r w:rsidRPr="00027F31">
        <w:rPr>
          <w:sz w:val="22"/>
          <w:szCs w:val="22"/>
        </w:rPr>
        <w:t>T</w:t>
      </w:r>
      <w:r w:rsidR="00B526B6" w:rsidRPr="00027F31">
        <w:rPr>
          <w:sz w:val="22"/>
          <w:szCs w:val="22"/>
        </w:rPr>
        <w:t xml:space="preserve">he three pathways </w:t>
      </w:r>
      <w:r w:rsidRPr="00027F31">
        <w:rPr>
          <w:sz w:val="22"/>
          <w:szCs w:val="22"/>
        </w:rPr>
        <w:t xml:space="preserve">should </w:t>
      </w:r>
      <w:r w:rsidR="00B526B6" w:rsidRPr="00027F31">
        <w:rPr>
          <w:sz w:val="22"/>
          <w:szCs w:val="22"/>
        </w:rPr>
        <w:t xml:space="preserve">be presented in more detail to stakeholders, </w:t>
      </w:r>
      <w:r w:rsidR="007F39AC">
        <w:rPr>
          <w:sz w:val="22"/>
          <w:szCs w:val="22"/>
        </w:rPr>
        <w:t>with</w:t>
      </w:r>
      <w:r w:rsidR="00B526B6" w:rsidRPr="00027F31">
        <w:rPr>
          <w:sz w:val="22"/>
          <w:szCs w:val="22"/>
        </w:rPr>
        <w:t xml:space="preserve"> potential difficulties explored in face-to-face workshops.</w:t>
      </w:r>
    </w:p>
    <w:p w14:paraId="725CBF8E" w14:textId="67693B6B" w:rsidR="00B526B6" w:rsidRPr="00027F31" w:rsidRDefault="007F39AC" w:rsidP="00027F31">
      <w:pPr>
        <w:pStyle w:val="ListBullet"/>
        <w:spacing w:before="120" w:after="120"/>
        <w:rPr>
          <w:sz w:val="22"/>
          <w:szCs w:val="22"/>
        </w:rPr>
      </w:pPr>
      <w:r>
        <w:rPr>
          <w:sz w:val="22"/>
          <w:szCs w:val="22"/>
        </w:rPr>
        <w:lastRenderedPageBreak/>
        <w:t>There is d</w:t>
      </w:r>
      <w:r w:rsidR="00B526B6" w:rsidRPr="00027F31">
        <w:rPr>
          <w:sz w:val="22"/>
          <w:szCs w:val="22"/>
        </w:rPr>
        <w:t xml:space="preserve">isagreement </w:t>
      </w:r>
      <w:r>
        <w:rPr>
          <w:sz w:val="22"/>
          <w:szCs w:val="22"/>
        </w:rPr>
        <w:t>about what</w:t>
      </w:r>
      <w:r w:rsidR="00B526B6" w:rsidRPr="00027F31">
        <w:rPr>
          <w:sz w:val="22"/>
          <w:szCs w:val="22"/>
        </w:rPr>
        <w:t xml:space="preserve"> HTA methodology </w:t>
      </w:r>
      <w:r>
        <w:rPr>
          <w:sz w:val="22"/>
          <w:szCs w:val="22"/>
        </w:rPr>
        <w:t xml:space="preserve">is applicable </w:t>
      </w:r>
      <w:r w:rsidR="00B526B6" w:rsidRPr="00027F31">
        <w:rPr>
          <w:sz w:val="22"/>
          <w:szCs w:val="22"/>
        </w:rPr>
        <w:t xml:space="preserve">to human tissue products, as the cost effectiveness approach to benefit setting is incompatible with legislative requirements for human tissue items. </w:t>
      </w:r>
      <w:r>
        <w:rPr>
          <w:sz w:val="22"/>
          <w:szCs w:val="22"/>
        </w:rPr>
        <w:t xml:space="preserve">However, there is </w:t>
      </w:r>
      <w:r w:rsidR="00B526B6" w:rsidRPr="00027F31">
        <w:rPr>
          <w:sz w:val="22"/>
          <w:szCs w:val="22"/>
        </w:rPr>
        <w:t xml:space="preserve">agreement </w:t>
      </w:r>
      <w:r>
        <w:rPr>
          <w:sz w:val="22"/>
          <w:szCs w:val="22"/>
        </w:rPr>
        <w:t xml:space="preserve">that </w:t>
      </w:r>
      <w:r w:rsidR="00B526B6" w:rsidRPr="00027F31">
        <w:rPr>
          <w:sz w:val="22"/>
          <w:szCs w:val="22"/>
        </w:rPr>
        <w:t xml:space="preserve">the </w:t>
      </w:r>
      <w:r w:rsidR="00D92E64" w:rsidRPr="00027F31">
        <w:rPr>
          <w:sz w:val="22"/>
          <w:szCs w:val="22"/>
        </w:rPr>
        <w:t>tiered</w:t>
      </w:r>
      <w:r w:rsidR="00B526B6" w:rsidRPr="00027F31">
        <w:rPr>
          <w:sz w:val="22"/>
          <w:szCs w:val="22"/>
        </w:rPr>
        <w:t xml:space="preserve"> pathway</w:t>
      </w:r>
      <w:r w:rsidR="00D92E64" w:rsidRPr="00027F31">
        <w:rPr>
          <w:sz w:val="22"/>
          <w:szCs w:val="22"/>
        </w:rPr>
        <w:t>s</w:t>
      </w:r>
      <w:r w:rsidR="00B526B6" w:rsidRPr="00027F31">
        <w:rPr>
          <w:sz w:val="22"/>
          <w:szCs w:val="22"/>
        </w:rPr>
        <w:t xml:space="preserve"> </w:t>
      </w:r>
      <w:r>
        <w:rPr>
          <w:sz w:val="22"/>
          <w:szCs w:val="22"/>
        </w:rPr>
        <w:t>are</w:t>
      </w:r>
      <w:r w:rsidR="00B526B6" w:rsidRPr="00027F31">
        <w:rPr>
          <w:sz w:val="22"/>
          <w:szCs w:val="22"/>
        </w:rPr>
        <w:t xml:space="preserve"> suitable for administrative processing of </w:t>
      </w:r>
      <w:r w:rsidR="001C6250" w:rsidRPr="00027F31">
        <w:rPr>
          <w:sz w:val="22"/>
          <w:szCs w:val="22"/>
        </w:rPr>
        <w:t xml:space="preserve">comparator </w:t>
      </w:r>
      <w:r w:rsidR="00B526B6" w:rsidRPr="00027F31">
        <w:rPr>
          <w:sz w:val="22"/>
          <w:szCs w:val="22"/>
        </w:rPr>
        <w:t>applications.</w:t>
      </w:r>
    </w:p>
    <w:p w14:paraId="1E555700" w14:textId="4F4F736C" w:rsidR="0019764B" w:rsidRPr="00027F31" w:rsidRDefault="00B526B6" w:rsidP="00027F31">
      <w:pPr>
        <w:pStyle w:val="ListBullet"/>
        <w:spacing w:before="120" w:after="120"/>
        <w:rPr>
          <w:sz w:val="22"/>
          <w:szCs w:val="22"/>
        </w:rPr>
      </w:pPr>
      <w:r w:rsidRPr="00027F31">
        <w:rPr>
          <w:sz w:val="22"/>
          <w:szCs w:val="22"/>
        </w:rPr>
        <w:t xml:space="preserve">Concern was expressed </w:t>
      </w:r>
      <w:r w:rsidR="007F39AC">
        <w:rPr>
          <w:sz w:val="22"/>
          <w:szCs w:val="22"/>
        </w:rPr>
        <w:t>about</w:t>
      </w:r>
      <w:r w:rsidR="007F39AC" w:rsidRPr="00027F31">
        <w:rPr>
          <w:sz w:val="22"/>
          <w:szCs w:val="22"/>
        </w:rPr>
        <w:t xml:space="preserve"> </w:t>
      </w:r>
      <w:r w:rsidRPr="00027F31">
        <w:rPr>
          <w:sz w:val="22"/>
          <w:szCs w:val="22"/>
        </w:rPr>
        <w:t xml:space="preserve">the difference between Class 2 and Class 3 products </w:t>
      </w:r>
      <w:r w:rsidR="00C733CC">
        <w:rPr>
          <w:sz w:val="22"/>
          <w:szCs w:val="22"/>
        </w:rPr>
        <w:t>–</w:t>
      </w:r>
      <w:r w:rsidRPr="00027F31">
        <w:rPr>
          <w:sz w:val="22"/>
          <w:szCs w:val="22"/>
        </w:rPr>
        <w:t xml:space="preserve"> </w:t>
      </w:r>
      <w:r w:rsidR="00C733CC">
        <w:rPr>
          <w:sz w:val="22"/>
          <w:szCs w:val="22"/>
        </w:rPr>
        <w:t>a definition</w:t>
      </w:r>
      <w:r w:rsidR="00C733CC" w:rsidRPr="00027F31">
        <w:rPr>
          <w:sz w:val="22"/>
          <w:szCs w:val="22"/>
        </w:rPr>
        <w:t xml:space="preserve"> </w:t>
      </w:r>
      <w:r w:rsidRPr="00027F31">
        <w:rPr>
          <w:sz w:val="22"/>
          <w:szCs w:val="22"/>
        </w:rPr>
        <w:t>about what constitutes being subjected to 'only minimal manipulation'</w:t>
      </w:r>
      <w:r w:rsidR="00C733CC">
        <w:rPr>
          <w:sz w:val="22"/>
          <w:szCs w:val="22"/>
        </w:rPr>
        <w:t xml:space="preserve"> would be useful</w:t>
      </w:r>
      <w:r w:rsidRPr="00027F31">
        <w:rPr>
          <w:sz w:val="22"/>
          <w:szCs w:val="22"/>
        </w:rPr>
        <w:t>.</w:t>
      </w:r>
    </w:p>
    <w:p w14:paraId="6D5D3777" w14:textId="3A4D1CAB" w:rsidR="00F417F9" w:rsidRPr="00027F31" w:rsidRDefault="00C733CC" w:rsidP="00027F31">
      <w:pPr>
        <w:pStyle w:val="ListBullet"/>
        <w:spacing w:before="120" w:after="120"/>
        <w:rPr>
          <w:sz w:val="22"/>
          <w:szCs w:val="22"/>
        </w:rPr>
      </w:pPr>
      <w:r>
        <w:rPr>
          <w:sz w:val="22"/>
          <w:szCs w:val="22"/>
        </w:rPr>
        <w:t>M</w:t>
      </w:r>
      <w:r w:rsidR="00F417F9" w:rsidRPr="00027F31">
        <w:rPr>
          <w:sz w:val="22"/>
          <w:szCs w:val="22"/>
        </w:rPr>
        <w:t xml:space="preserve">anufacturers </w:t>
      </w:r>
      <w:r>
        <w:rPr>
          <w:sz w:val="22"/>
          <w:szCs w:val="22"/>
        </w:rPr>
        <w:t xml:space="preserve">need </w:t>
      </w:r>
      <w:r w:rsidR="00F417F9" w:rsidRPr="00027F31">
        <w:rPr>
          <w:sz w:val="22"/>
          <w:szCs w:val="22"/>
        </w:rPr>
        <w:t xml:space="preserve">to be supported to meet </w:t>
      </w:r>
      <w:r>
        <w:rPr>
          <w:sz w:val="22"/>
          <w:szCs w:val="22"/>
        </w:rPr>
        <w:t>any new requirements to</w:t>
      </w:r>
      <w:r w:rsidR="00F417F9" w:rsidRPr="00027F31">
        <w:rPr>
          <w:sz w:val="22"/>
          <w:szCs w:val="22"/>
        </w:rPr>
        <w:t xml:space="preserve"> avoid reliance on imported allograft, which not only erodes Australian advanced manufacturing and innovation, but also reduces </w:t>
      </w:r>
      <w:r>
        <w:rPr>
          <w:sz w:val="22"/>
          <w:szCs w:val="22"/>
        </w:rPr>
        <w:t xml:space="preserve">the </w:t>
      </w:r>
      <w:r w:rsidR="00F417F9" w:rsidRPr="00027F31">
        <w:rPr>
          <w:sz w:val="22"/>
          <w:szCs w:val="22"/>
        </w:rPr>
        <w:t>opportunity to donate in Australia.</w:t>
      </w:r>
    </w:p>
    <w:p w14:paraId="6970BB24" w14:textId="12E9EE62" w:rsidR="00F417F9" w:rsidRPr="00027F31" w:rsidRDefault="00C733CC" w:rsidP="00120ADC">
      <w:pPr>
        <w:pStyle w:val="ListBullet"/>
        <w:spacing w:before="120" w:after="0"/>
        <w:rPr>
          <w:sz w:val="22"/>
          <w:szCs w:val="22"/>
        </w:rPr>
      </w:pPr>
      <w:r>
        <w:rPr>
          <w:sz w:val="22"/>
          <w:szCs w:val="22"/>
        </w:rPr>
        <w:t>There needs to be c</w:t>
      </w:r>
      <w:r w:rsidR="00F417F9" w:rsidRPr="00027F31">
        <w:rPr>
          <w:sz w:val="22"/>
          <w:szCs w:val="22"/>
        </w:rPr>
        <w:t xml:space="preserve">larity on how </w:t>
      </w:r>
      <w:r>
        <w:rPr>
          <w:sz w:val="22"/>
          <w:szCs w:val="22"/>
        </w:rPr>
        <w:t xml:space="preserve">consistency can be assured to </w:t>
      </w:r>
      <w:r w:rsidR="00F417F9" w:rsidRPr="00027F31">
        <w:rPr>
          <w:sz w:val="22"/>
          <w:szCs w:val="22"/>
        </w:rPr>
        <w:t xml:space="preserve">support </w:t>
      </w:r>
      <w:r w:rsidRPr="00027F31">
        <w:rPr>
          <w:sz w:val="22"/>
          <w:szCs w:val="22"/>
        </w:rPr>
        <w:t>accessib</w:t>
      </w:r>
      <w:r>
        <w:rPr>
          <w:sz w:val="22"/>
          <w:szCs w:val="22"/>
        </w:rPr>
        <w:t>ility</w:t>
      </w:r>
      <w:r w:rsidR="00F417F9" w:rsidRPr="00027F31">
        <w:rPr>
          <w:sz w:val="22"/>
          <w:szCs w:val="22"/>
        </w:rPr>
        <w:t xml:space="preserve"> to </w:t>
      </w:r>
      <w:r w:rsidR="0042586A">
        <w:rPr>
          <w:sz w:val="22"/>
          <w:szCs w:val="22"/>
        </w:rPr>
        <w:t>tissue</w:t>
      </w:r>
      <w:r w:rsidR="006F4957">
        <w:rPr>
          <w:sz w:val="22"/>
          <w:szCs w:val="22"/>
        </w:rPr>
        <w:t xml:space="preserve"> </w:t>
      </w:r>
      <w:r w:rsidR="00F417F9" w:rsidRPr="00027F31">
        <w:rPr>
          <w:sz w:val="22"/>
          <w:szCs w:val="22"/>
        </w:rPr>
        <w:t>bank</w:t>
      </w:r>
      <w:r>
        <w:rPr>
          <w:sz w:val="22"/>
          <w:szCs w:val="22"/>
        </w:rPr>
        <w:t>s</w:t>
      </w:r>
      <w:r w:rsidR="00F417F9" w:rsidRPr="00027F31">
        <w:rPr>
          <w:sz w:val="22"/>
          <w:szCs w:val="22"/>
        </w:rPr>
        <w:t>.</w:t>
      </w:r>
      <w:r>
        <w:rPr>
          <w:sz w:val="22"/>
          <w:szCs w:val="22"/>
        </w:rPr>
        <w:t xml:space="preserve"> Consultation between the department and States/Territories would be useful.</w:t>
      </w:r>
    </w:p>
    <w:p w14:paraId="504C41FC" w14:textId="1CB762F9" w:rsidR="006E00DD" w:rsidRPr="00027F31" w:rsidRDefault="00407DBF" w:rsidP="00120ADC">
      <w:pPr>
        <w:pStyle w:val="PolicyStatement"/>
        <w:spacing w:before="120" w:after="120"/>
        <w:ind w:left="0"/>
        <w:rPr>
          <w:sz w:val="22"/>
          <w:szCs w:val="22"/>
        </w:rPr>
      </w:pPr>
      <w:r w:rsidRPr="00027F31">
        <w:rPr>
          <w:sz w:val="22"/>
          <w:szCs w:val="22"/>
        </w:rPr>
        <w:t xml:space="preserve">The </w:t>
      </w:r>
      <w:r w:rsidR="00A07E72">
        <w:rPr>
          <w:sz w:val="22"/>
          <w:szCs w:val="22"/>
        </w:rPr>
        <w:t xml:space="preserve">department </w:t>
      </w:r>
      <w:r w:rsidR="00490503" w:rsidRPr="00027F31">
        <w:rPr>
          <w:sz w:val="22"/>
          <w:szCs w:val="22"/>
        </w:rPr>
        <w:t xml:space="preserve">notes the </w:t>
      </w:r>
      <w:r w:rsidR="00C733CC">
        <w:rPr>
          <w:sz w:val="22"/>
          <w:szCs w:val="22"/>
        </w:rPr>
        <w:t xml:space="preserve">recommendation and </w:t>
      </w:r>
      <w:r w:rsidR="00FE4E11" w:rsidRPr="00027F31">
        <w:rPr>
          <w:sz w:val="22"/>
          <w:szCs w:val="22"/>
        </w:rPr>
        <w:t>feedback</w:t>
      </w:r>
      <w:r w:rsidR="00C733CC">
        <w:rPr>
          <w:sz w:val="22"/>
          <w:szCs w:val="22"/>
        </w:rPr>
        <w:t>. P</w:t>
      </w:r>
      <w:r w:rsidR="00807FED" w:rsidRPr="00027F31">
        <w:rPr>
          <w:sz w:val="22"/>
          <w:szCs w:val="22"/>
        </w:rPr>
        <w:t xml:space="preserve">rior to </w:t>
      </w:r>
      <w:r w:rsidR="00C733CC">
        <w:rPr>
          <w:sz w:val="22"/>
          <w:szCs w:val="22"/>
        </w:rPr>
        <w:t xml:space="preserve">requiring </w:t>
      </w:r>
      <w:r w:rsidR="00807FED" w:rsidRPr="00027F31">
        <w:rPr>
          <w:sz w:val="22"/>
          <w:szCs w:val="22"/>
        </w:rPr>
        <w:t>Part B products</w:t>
      </w:r>
      <w:r w:rsidR="00FD3F23" w:rsidRPr="00027F31">
        <w:rPr>
          <w:sz w:val="22"/>
          <w:szCs w:val="22"/>
        </w:rPr>
        <w:t xml:space="preserve"> </w:t>
      </w:r>
      <w:r w:rsidR="00C733CC">
        <w:rPr>
          <w:sz w:val="22"/>
          <w:szCs w:val="22"/>
        </w:rPr>
        <w:t xml:space="preserve">to use the three assessment pathways the department will undertake further consultation with relevant stakeholders. Any amendment to </w:t>
      </w:r>
      <w:r w:rsidR="00FB6013" w:rsidRPr="00027F31">
        <w:rPr>
          <w:sz w:val="22"/>
          <w:szCs w:val="22"/>
        </w:rPr>
        <w:t xml:space="preserve">the HPP </w:t>
      </w:r>
      <w:r w:rsidR="00C733CC">
        <w:rPr>
          <w:sz w:val="22"/>
          <w:szCs w:val="22"/>
        </w:rPr>
        <w:t>for</w:t>
      </w:r>
      <w:r w:rsidR="00FB6013" w:rsidRPr="00027F31">
        <w:rPr>
          <w:sz w:val="22"/>
          <w:szCs w:val="22"/>
        </w:rPr>
        <w:t xml:space="preserve"> Part B products</w:t>
      </w:r>
      <w:r w:rsidR="00807FED" w:rsidRPr="00027F31">
        <w:rPr>
          <w:sz w:val="22"/>
          <w:szCs w:val="22"/>
        </w:rPr>
        <w:t xml:space="preserve"> </w:t>
      </w:r>
      <w:r w:rsidR="00C733CC">
        <w:rPr>
          <w:sz w:val="22"/>
          <w:szCs w:val="22"/>
        </w:rPr>
        <w:t>in relation to the three pathways will occur after additional consultation</w:t>
      </w:r>
      <w:r w:rsidR="001116AE">
        <w:rPr>
          <w:sz w:val="22"/>
          <w:szCs w:val="22"/>
        </w:rPr>
        <w:t xml:space="preserve">. </w:t>
      </w:r>
    </w:p>
    <w:p w14:paraId="56974D45" w14:textId="48F784E3" w:rsidR="00A21883" w:rsidRDefault="00E72271" w:rsidP="00E72271">
      <w:pPr>
        <w:pStyle w:val="Heading2"/>
      </w:pPr>
      <w:r w:rsidRPr="00E72271">
        <w:t>Recommendation 6 –</w:t>
      </w:r>
      <w:r w:rsidR="007E38CE">
        <w:t xml:space="preserve"> </w:t>
      </w:r>
      <w:r w:rsidRPr="00E72271">
        <w:t xml:space="preserve">the </w:t>
      </w:r>
      <w:r w:rsidR="009D3017">
        <w:t>d</w:t>
      </w:r>
      <w:r w:rsidR="00185E02">
        <w:t>epartment</w:t>
      </w:r>
      <w:r w:rsidRPr="00E72271">
        <w:t xml:space="preserve"> provide additional support and guidance for sponsors of Class 2 biologicals to navigate </w:t>
      </w:r>
      <w:r w:rsidRPr="007E38CE">
        <w:t>HTA</w:t>
      </w:r>
      <w:r w:rsidRPr="00E72271">
        <w:t xml:space="preserve"> pathways</w:t>
      </w:r>
      <w:r w:rsidR="0098344C">
        <w:t>.</w:t>
      </w:r>
    </w:p>
    <w:p w14:paraId="1305497D" w14:textId="77777777" w:rsidR="007E38CE" w:rsidRDefault="00B717FE" w:rsidP="007E38CE">
      <w:pPr>
        <w:pStyle w:val="Paragraphtext"/>
      </w:pPr>
      <w:r>
        <w:rPr>
          <w:noProof/>
        </w:rPr>
        <w:drawing>
          <wp:inline distT="0" distB="0" distL="0" distR="0" wp14:anchorId="0EC77BBC" wp14:editId="54203A29">
            <wp:extent cx="5486400" cy="2520000"/>
            <wp:effectExtent l="0" t="0" r="0" b="13970"/>
            <wp:docPr id="10" name="Chart 10" descr="Stakeholder support to recommendation 6. 10% not in support. 90%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83CBF35" w14:textId="2CC4BFF8" w:rsidR="00244748" w:rsidRDefault="00343E8B" w:rsidP="00B717FE">
      <w:pPr>
        <w:pStyle w:val="Heading4"/>
      </w:pPr>
      <w:r>
        <w:t>Feedback against Recommendation 6</w:t>
      </w:r>
    </w:p>
    <w:p w14:paraId="272B4BFC" w14:textId="2C93443A" w:rsidR="00EC0185" w:rsidRPr="0029687C" w:rsidRDefault="00EC0185" w:rsidP="0029687C">
      <w:pPr>
        <w:pStyle w:val="ListBullet"/>
        <w:spacing w:before="120" w:after="120"/>
        <w:ind w:left="357" w:hanging="357"/>
        <w:rPr>
          <w:sz w:val="22"/>
          <w:szCs w:val="22"/>
        </w:rPr>
      </w:pPr>
      <w:r w:rsidRPr="0029687C">
        <w:rPr>
          <w:sz w:val="22"/>
          <w:szCs w:val="22"/>
        </w:rPr>
        <w:t xml:space="preserve">Limiting </w:t>
      </w:r>
      <w:r w:rsidR="00BC22E9">
        <w:rPr>
          <w:sz w:val="22"/>
          <w:szCs w:val="22"/>
        </w:rPr>
        <w:t xml:space="preserve">future </w:t>
      </w:r>
      <w:r w:rsidRPr="0029687C">
        <w:rPr>
          <w:sz w:val="22"/>
          <w:szCs w:val="22"/>
        </w:rPr>
        <w:t xml:space="preserve">support to only sponsors of Class 2 biologicals (most likely </w:t>
      </w:r>
      <w:r w:rsidR="00664005">
        <w:rPr>
          <w:sz w:val="22"/>
          <w:szCs w:val="22"/>
        </w:rPr>
        <w:t>NFP</w:t>
      </w:r>
      <w:r w:rsidRPr="0029687C">
        <w:rPr>
          <w:sz w:val="22"/>
          <w:szCs w:val="22"/>
        </w:rPr>
        <w:t xml:space="preserve">) to navigate the </w:t>
      </w:r>
      <w:r w:rsidR="00BC22E9">
        <w:rPr>
          <w:sz w:val="22"/>
          <w:szCs w:val="22"/>
        </w:rPr>
        <w:t xml:space="preserve">three </w:t>
      </w:r>
      <w:r w:rsidRPr="0029687C">
        <w:rPr>
          <w:sz w:val="22"/>
          <w:szCs w:val="22"/>
        </w:rPr>
        <w:t xml:space="preserve">pathways </w:t>
      </w:r>
      <w:r w:rsidR="00BC22E9">
        <w:rPr>
          <w:sz w:val="22"/>
          <w:szCs w:val="22"/>
        </w:rPr>
        <w:t xml:space="preserve">(if Recommendation 5 is implemented) </w:t>
      </w:r>
      <w:r w:rsidRPr="0029687C">
        <w:rPr>
          <w:sz w:val="22"/>
          <w:szCs w:val="22"/>
        </w:rPr>
        <w:t xml:space="preserve">may hinder innovation or competition in the market and that guidance should be provided for all sponsors and for all classes of biologicals. </w:t>
      </w:r>
    </w:p>
    <w:p w14:paraId="67E37DD7" w14:textId="432281BC" w:rsidR="00D61B50" w:rsidRPr="007E38CE" w:rsidRDefault="0007395F" w:rsidP="00D61B50">
      <w:pPr>
        <w:pStyle w:val="ListBullet"/>
        <w:spacing w:before="120" w:after="120"/>
        <w:ind w:left="357" w:hanging="357"/>
        <w:rPr>
          <w:sz w:val="22"/>
          <w:szCs w:val="22"/>
        </w:rPr>
      </w:pPr>
      <w:r w:rsidRPr="007E38CE">
        <w:rPr>
          <w:sz w:val="22"/>
          <w:szCs w:val="22"/>
        </w:rPr>
        <w:t xml:space="preserve">Concern there </w:t>
      </w:r>
      <w:r w:rsidR="00E00BAB" w:rsidRPr="007E38CE">
        <w:rPr>
          <w:sz w:val="22"/>
          <w:szCs w:val="22"/>
        </w:rPr>
        <w:t>will be limitation</w:t>
      </w:r>
      <w:r w:rsidR="005A43F7" w:rsidRPr="007E38CE">
        <w:rPr>
          <w:sz w:val="22"/>
          <w:szCs w:val="22"/>
        </w:rPr>
        <w:t>s</w:t>
      </w:r>
      <w:r w:rsidR="000D76E5" w:rsidRPr="007E38CE">
        <w:rPr>
          <w:sz w:val="22"/>
          <w:szCs w:val="22"/>
        </w:rPr>
        <w:t xml:space="preserve"> in relation to</w:t>
      </w:r>
      <w:r w:rsidR="005A43F7" w:rsidRPr="007E38CE">
        <w:rPr>
          <w:sz w:val="22"/>
          <w:szCs w:val="22"/>
        </w:rPr>
        <w:t xml:space="preserve"> </w:t>
      </w:r>
      <w:r w:rsidR="000D76E5" w:rsidRPr="007E38CE">
        <w:rPr>
          <w:sz w:val="22"/>
          <w:szCs w:val="22"/>
        </w:rPr>
        <w:t xml:space="preserve">the quantity, quality, timeliness to produce data substantiating HTA pathways </w:t>
      </w:r>
      <w:r w:rsidR="005A43F7" w:rsidRPr="007E38CE">
        <w:rPr>
          <w:sz w:val="22"/>
          <w:szCs w:val="22"/>
        </w:rPr>
        <w:t xml:space="preserve">for the national supply sources in comparison </w:t>
      </w:r>
      <w:r w:rsidR="00ED016A" w:rsidRPr="007E38CE">
        <w:rPr>
          <w:sz w:val="22"/>
          <w:szCs w:val="22"/>
        </w:rPr>
        <w:t xml:space="preserve">with </w:t>
      </w:r>
      <w:r w:rsidR="00F138CA" w:rsidRPr="007E38CE">
        <w:rPr>
          <w:sz w:val="22"/>
          <w:szCs w:val="22"/>
        </w:rPr>
        <w:t>international counterparts</w:t>
      </w:r>
      <w:r w:rsidR="007E38CE">
        <w:rPr>
          <w:sz w:val="22"/>
          <w:szCs w:val="22"/>
        </w:rPr>
        <w:t>.</w:t>
      </w:r>
    </w:p>
    <w:p w14:paraId="6BB4DF9D" w14:textId="416F6C0A" w:rsidR="00664254" w:rsidRDefault="00326CEB" w:rsidP="00326CEB">
      <w:pPr>
        <w:pStyle w:val="Heading4"/>
      </w:pPr>
      <w:r>
        <w:lastRenderedPageBreak/>
        <w:t>Stakeholder suggestions</w:t>
      </w:r>
      <w:r w:rsidR="00047BC8">
        <w:t xml:space="preserve"> for Recommendation 6</w:t>
      </w:r>
    </w:p>
    <w:p w14:paraId="020D7D28" w14:textId="77777777" w:rsidR="00BC22E9" w:rsidRPr="00027F31" w:rsidRDefault="00BC22E9" w:rsidP="00BC22E9">
      <w:pPr>
        <w:pStyle w:val="ListBullet"/>
        <w:spacing w:before="120" w:after="120"/>
        <w:rPr>
          <w:sz w:val="22"/>
          <w:szCs w:val="22"/>
        </w:rPr>
      </w:pPr>
      <w:r w:rsidRPr="00027F31">
        <w:rPr>
          <w:sz w:val="22"/>
          <w:szCs w:val="22"/>
        </w:rPr>
        <w:t xml:space="preserve">The three pathways should be presented in more detail to stakeholders, </w:t>
      </w:r>
      <w:r>
        <w:rPr>
          <w:sz w:val="22"/>
          <w:szCs w:val="22"/>
        </w:rPr>
        <w:t>with</w:t>
      </w:r>
      <w:r w:rsidRPr="00027F31">
        <w:rPr>
          <w:sz w:val="22"/>
          <w:szCs w:val="22"/>
        </w:rPr>
        <w:t xml:space="preserve"> potential difficulties explored in face-to-face workshops.</w:t>
      </w:r>
    </w:p>
    <w:p w14:paraId="00BAB944" w14:textId="2863CF61" w:rsidR="003C5DA5" w:rsidRPr="0029687C" w:rsidRDefault="00600E8E" w:rsidP="0029687C">
      <w:pPr>
        <w:pStyle w:val="ListBullet"/>
        <w:spacing w:before="120" w:after="120"/>
        <w:rPr>
          <w:sz w:val="22"/>
          <w:szCs w:val="22"/>
        </w:rPr>
      </w:pPr>
      <w:r w:rsidRPr="0029687C">
        <w:rPr>
          <w:sz w:val="22"/>
          <w:szCs w:val="22"/>
        </w:rPr>
        <w:t>S</w:t>
      </w:r>
      <w:r w:rsidR="003C5DA5" w:rsidRPr="0029687C">
        <w:rPr>
          <w:sz w:val="22"/>
          <w:szCs w:val="22"/>
        </w:rPr>
        <w:t xml:space="preserve">pecific support </w:t>
      </w:r>
      <w:r w:rsidR="00BC22E9">
        <w:rPr>
          <w:sz w:val="22"/>
          <w:szCs w:val="22"/>
        </w:rPr>
        <w:t>should</w:t>
      </w:r>
      <w:r w:rsidR="00BC22E9" w:rsidRPr="0029687C">
        <w:rPr>
          <w:sz w:val="22"/>
          <w:szCs w:val="22"/>
        </w:rPr>
        <w:t xml:space="preserve"> </w:t>
      </w:r>
      <w:r w:rsidR="003C5DA5" w:rsidRPr="0029687C">
        <w:rPr>
          <w:sz w:val="22"/>
          <w:szCs w:val="22"/>
        </w:rPr>
        <w:t>be prioritised for state-owned services.</w:t>
      </w:r>
    </w:p>
    <w:p w14:paraId="7BD3C8B8" w14:textId="552E0D2E" w:rsidR="00326CEB" w:rsidRPr="0029687C" w:rsidRDefault="00BC22E9" w:rsidP="00120ADC">
      <w:pPr>
        <w:pStyle w:val="ListBullet"/>
        <w:spacing w:before="120" w:after="0"/>
        <w:rPr>
          <w:sz w:val="22"/>
          <w:szCs w:val="22"/>
        </w:rPr>
      </w:pPr>
      <w:r>
        <w:rPr>
          <w:sz w:val="22"/>
          <w:szCs w:val="22"/>
        </w:rPr>
        <w:t xml:space="preserve">Clear guidance is required in relation to </w:t>
      </w:r>
      <w:r w:rsidR="003C5DA5" w:rsidRPr="0029687C">
        <w:rPr>
          <w:sz w:val="22"/>
          <w:szCs w:val="22"/>
        </w:rPr>
        <w:t>new technology allografts.</w:t>
      </w:r>
    </w:p>
    <w:p w14:paraId="02B6DDA0" w14:textId="72CF9318" w:rsidR="001D549F" w:rsidRPr="0029687C" w:rsidRDefault="002E79C1" w:rsidP="00120ADC">
      <w:pPr>
        <w:pStyle w:val="PolicyStatement"/>
        <w:spacing w:before="0" w:after="120"/>
        <w:ind w:left="0"/>
        <w:rPr>
          <w:sz w:val="22"/>
          <w:szCs w:val="22"/>
        </w:rPr>
      </w:pPr>
      <w:r w:rsidRPr="0029687C">
        <w:rPr>
          <w:sz w:val="22"/>
          <w:szCs w:val="22"/>
        </w:rPr>
        <w:t xml:space="preserve">The </w:t>
      </w:r>
      <w:r w:rsidR="007E38CE">
        <w:rPr>
          <w:sz w:val="22"/>
          <w:szCs w:val="22"/>
        </w:rPr>
        <w:t>department</w:t>
      </w:r>
      <w:r w:rsidRPr="0029687C">
        <w:rPr>
          <w:sz w:val="22"/>
          <w:szCs w:val="22"/>
        </w:rPr>
        <w:t xml:space="preserve"> </w:t>
      </w:r>
      <w:r w:rsidR="00445395" w:rsidRPr="0029687C">
        <w:rPr>
          <w:sz w:val="22"/>
          <w:szCs w:val="22"/>
        </w:rPr>
        <w:t>agrees in</w:t>
      </w:r>
      <w:r w:rsidR="00FB72B5" w:rsidRPr="0029687C">
        <w:rPr>
          <w:sz w:val="22"/>
          <w:szCs w:val="22"/>
        </w:rPr>
        <w:t>-</w:t>
      </w:r>
      <w:r w:rsidR="00445395" w:rsidRPr="0029687C">
        <w:rPr>
          <w:sz w:val="22"/>
          <w:szCs w:val="22"/>
        </w:rPr>
        <w:t xml:space="preserve">principle to this </w:t>
      </w:r>
      <w:r w:rsidR="00AB2B06" w:rsidRPr="0029687C">
        <w:rPr>
          <w:sz w:val="22"/>
          <w:szCs w:val="22"/>
        </w:rPr>
        <w:t>recommendation</w:t>
      </w:r>
      <w:r w:rsidR="00BC22E9">
        <w:rPr>
          <w:sz w:val="22"/>
          <w:szCs w:val="22"/>
        </w:rPr>
        <w:t>, noting that it is dependent on implementation of Recommendation 5</w:t>
      </w:r>
      <w:r w:rsidR="007E38CE">
        <w:rPr>
          <w:sz w:val="22"/>
          <w:szCs w:val="22"/>
        </w:rPr>
        <w:t>.</w:t>
      </w:r>
    </w:p>
    <w:p w14:paraId="6D64BF75" w14:textId="3B264A52" w:rsidR="00B02DBE" w:rsidRDefault="00B02DBE" w:rsidP="002C343D">
      <w:pPr>
        <w:pStyle w:val="Heading2"/>
      </w:pPr>
      <w:r w:rsidRPr="00B02DBE">
        <w:t>Recommendation 7 –</w:t>
      </w:r>
      <w:r w:rsidRPr="007E38CE">
        <w:t xml:space="preserve"> the department undertake further work on the methodology for pricing including the development of costing standards</w:t>
      </w:r>
    </w:p>
    <w:p w14:paraId="659FDA31" w14:textId="66B1E8B3" w:rsidR="009F79CE" w:rsidRPr="0029687C" w:rsidRDefault="009F79CE" w:rsidP="0029687C">
      <w:pPr>
        <w:pStyle w:val="Paragraphtext"/>
        <w:spacing w:after="120"/>
        <w:rPr>
          <w:sz w:val="22"/>
          <w:szCs w:val="22"/>
        </w:rPr>
      </w:pPr>
      <w:r w:rsidRPr="0029687C">
        <w:rPr>
          <w:sz w:val="22"/>
          <w:szCs w:val="22"/>
        </w:rPr>
        <w:t xml:space="preserve">Part B of the PL currently operates on a cost-recovery basis. </w:t>
      </w:r>
      <w:r w:rsidR="00172EFE" w:rsidRPr="0029687C">
        <w:rPr>
          <w:sz w:val="22"/>
          <w:szCs w:val="22"/>
        </w:rPr>
        <w:t>This</w:t>
      </w:r>
      <w:r w:rsidR="0060005B">
        <w:rPr>
          <w:sz w:val="22"/>
          <w:szCs w:val="22"/>
        </w:rPr>
        <w:t xml:space="preserve"> cost-recovery</w:t>
      </w:r>
      <w:r w:rsidR="00172EFE" w:rsidRPr="0029687C">
        <w:rPr>
          <w:sz w:val="22"/>
          <w:szCs w:val="22"/>
        </w:rPr>
        <w:t xml:space="preserve"> </w:t>
      </w:r>
      <w:r w:rsidR="00B45446">
        <w:rPr>
          <w:sz w:val="22"/>
          <w:szCs w:val="22"/>
        </w:rPr>
        <w:t xml:space="preserve">fee </w:t>
      </w:r>
      <w:r w:rsidR="00121C0C" w:rsidRPr="0029687C">
        <w:rPr>
          <w:sz w:val="22"/>
          <w:szCs w:val="22"/>
        </w:rPr>
        <w:t>includes</w:t>
      </w:r>
      <w:r w:rsidRPr="0029687C">
        <w:rPr>
          <w:sz w:val="22"/>
          <w:szCs w:val="22"/>
        </w:rPr>
        <w:t xml:space="preserve"> costs associated with </w:t>
      </w:r>
      <w:r w:rsidR="0060005B">
        <w:rPr>
          <w:sz w:val="22"/>
          <w:szCs w:val="22"/>
        </w:rPr>
        <w:t>departmental staff processing the</w:t>
      </w:r>
      <w:r w:rsidRPr="0029687C">
        <w:rPr>
          <w:sz w:val="22"/>
          <w:szCs w:val="22"/>
        </w:rPr>
        <w:t xml:space="preserve"> application, </w:t>
      </w:r>
      <w:r w:rsidR="0060005B">
        <w:rPr>
          <w:sz w:val="22"/>
          <w:szCs w:val="22"/>
        </w:rPr>
        <w:t>includin</w:t>
      </w:r>
      <w:r w:rsidR="0060005B" w:rsidRPr="0029687C">
        <w:rPr>
          <w:sz w:val="22"/>
          <w:szCs w:val="22"/>
        </w:rPr>
        <w:t>g</w:t>
      </w:r>
      <w:r w:rsidR="0060005B">
        <w:rPr>
          <w:sz w:val="22"/>
          <w:szCs w:val="22"/>
        </w:rPr>
        <w:t xml:space="preserve"> undertaking </w:t>
      </w:r>
      <w:r w:rsidR="001F0298" w:rsidRPr="0029687C">
        <w:rPr>
          <w:sz w:val="22"/>
          <w:szCs w:val="22"/>
        </w:rPr>
        <w:t>assessment</w:t>
      </w:r>
      <w:r w:rsidR="0060005B">
        <w:rPr>
          <w:sz w:val="22"/>
          <w:szCs w:val="22"/>
        </w:rPr>
        <w:t>s in relation to evidence provided</w:t>
      </w:r>
      <w:r w:rsidR="001F0298" w:rsidRPr="0029687C">
        <w:rPr>
          <w:sz w:val="22"/>
          <w:szCs w:val="22"/>
        </w:rPr>
        <w:t>,</w:t>
      </w:r>
      <w:r w:rsidRPr="0029687C">
        <w:rPr>
          <w:sz w:val="22"/>
          <w:szCs w:val="22"/>
        </w:rPr>
        <w:t xml:space="preserve"> </w:t>
      </w:r>
      <w:r w:rsidR="0060005B">
        <w:rPr>
          <w:sz w:val="22"/>
          <w:szCs w:val="22"/>
        </w:rPr>
        <w:t xml:space="preserve">reviewing current requirements </w:t>
      </w:r>
      <w:r w:rsidRPr="0029687C">
        <w:rPr>
          <w:sz w:val="22"/>
          <w:szCs w:val="22"/>
        </w:rPr>
        <w:t xml:space="preserve">and </w:t>
      </w:r>
      <w:r w:rsidR="0060005B">
        <w:rPr>
          <w:sz w:val="22"/>
          <w:szCs w:val="22"/>
        </w:rPr>
        <w:t>processing invoices</w:t>
      </w:r>
      <w:r w:rsidRPr="0029687C">
        <w:rPr>
          <w:sz w:val="22"/>
          <w:szCs w:val="22"/>
        </w:rPr>
        <w:t>.</w:t>
      </w:r>
    </w:p>
    <w:p w14:paraId="2D03DCBF" w14:textId="2F97D64D" w:rsidR="007050AE" w:rsidRPr="0029687C" w:rsidRDefault="00B352F4" w:rsidP="0029687C">
      <w:pPr>
        <w:pStyle w:val="Paragraphtext"/>
        <w:spacing w:after="120"/>
        <w:rPr>
          <w:sz w:val="22"/>
          <w:szCs w:val="22"/>
        </w:rPr>
      </w:pPr>
      <w:r w:rsidRPr="007E38CE">
        <w:rPr>
          <w:sz w:val="22"/>
          <w:szCs w:val="22"/>
        </w:rPr>
        <w:t>Anecdotally</w:t>
      </w:r>
      <w:r>
        <w:rPr>
          <w:sz w:val="22"/>
          <w:szCs w:val="22"/>
        </w:rPr>
        <w:t xml:space="preserve">, </w:t>
      </w:r>
      <w:r w:rsidR="005C4DE3">
        <w:rPr>
          <w:sz w:val="22"/>
          <w:szCs w:val="22"/>
        </w:rPr>
        <w:t>t</w:t>
      </w:r>
      <w:r w:rsidR="009F79CE" w:rsidRPr="0029687C">
        <w:rPr>
          <w:sz w:val="22"/>
          <w:szCs w:val="22"/>
        </w:rPr>
        <w:t xml:space="preserve">he PL </w:t>
      </w:r>
      <w:r w:rsidR="00171E41" w:rsidRPr="007E38CE">
        <w:rPr>
          <w:sz w:val="22"/>
          <w:szCs w:val="22"/>
        </w:rPr>
        <w:t xml:space="preserve">benefit </w:t>
      </w:r>
      <w:r w:rsidR="009F79CE" w:rsidRPr="007E38CE">
        <w:rPr>
          <w:sz w:val="22"/>
          <w:szCs w:val="22"/>
        </w:rPr>
        <w:t xml:space="preserve">acts as the </w:t>
      </w:r>
      <w:r w:rsidR="009F79CE" w:rsidRPr="007E38CE">
        <w:rPr>
          <w:i/>
          <w:iCs/>
          <w:sz w:val="22"/>
          <w:szCs w:val="22"/>
        </w:rPr>
        <w:t>de facto</w:t>
      </w:r>
      <w:r w:rsidR="009F79CE" w:rsidRPr="007E38CE">
        <w:rPr>
          <w:sz w:val="22"/>
          <w:szCs w:val="22"/>
        </w:rPr>
        <w:t xml:space="preserve"> cost of the product used by the sector to determine the price charged to public hospitals and uninsured individuals. </w:t>
      </w:r>
    </w:p>
    <w:p w14:paraId="288D7318" w14:textId="6A3B4375" w:rsidR="00870716" w:rsidRDefault="00E2153F" w:rsidP="0029687C">
      <w:pPr>
        <w:pStyle w:val="Paragraphtext"/>
        <w:spacing w:after="120"/>
        <w:rPr>
          <w:sz w:val="22"/>
          <w:szCs w:val="22"/>
        </w:rPr>
      </w:pPr>
      <w:r>
        <w:rPr>
          <w:sz w:val="22"/>
          <w:szCs w:val="22"/>
        </w:rPr>
        <w:t>Whil</w:t>
      </w:r>
      <w:r w:rsidR="00E27A9F">
        <w:rPr>
          <w:sz w:val="22"/>
          <w:szCs w:val="22"/>
        </w:rPr>
        <w:t>e costing and benchmarking work was</w:t>
      </w:r>
      <w:r w:rsidR="004B46A5">
        <w:rPr>
          <w:sz w:val="22"/>
          <w:szCs w:val="22"/>
        </w:rPr>
        <w:t xml:space="preserve"> identified</w:t>
      </w:r>
      <w:r w:rsidR="00E27A9F">
        <w:rPr>
          <w:sz w:val="22"/>
          <w:szCs w:val="22"/>
        </w:rPr>
        <w:t xml:space="preserve"> out-of-scope </w:t>
      </w:r>
      <w:r w:rsidR="004B46A5">
        <w:rPr>
          <w:sz w:val="22"/>
          <w:szCs w:val="22"/>
        </w:rPr>
        <w:t xml:space="preserve">for the purposes of the Report, feedback received during the consultation processes highlighted </w:t>
      </w:r>
      <w:r w:rsidR="00181AF6">
        <w:rPr>
          <w:sz w:val="22"/>
          <w:szCs w:val="22"/>
        </w:rPr>
        <w:t>the relationship between the HTA pathways, proposed groupings</w:t>
      </w:r>
      <w:r w:rsidR="00236F56">
        <w:rPr>
          <w:sz w:val="22"/>
          <w:szCs w:val="22"/>
        </w:rPr>
        <w:t xml:space="preserve"> and benefit setting to be inter</w:t>
      </w:r>
      <w:r w:rsidR="009F24E2">
        <w:rPr>
          <w:sz w:val="22"/>
          <w:szCs w:val="22"/>
        </w:rPr>
        <w:t>-dependant.</w:t>
      </w:r>
    </w:p>
    <w:p w14:paraId="44346B93" w14:textId="11A7EE8E" w:rsidR="00D6446C" w:rsidRDefault="00CB4002" w:rsidP="0029687C">
      <w:pPr>
        <w:pStyle w:val="Paragraphtext"/>
        <w:spacing w:after="120"/>
        <w:rPr>
          <w:sz w:val="22"/>
          <w:szCs w:val="22"/>
        </w:rPr>
      </w:pPr>
      <w:r>
        <w:rPr>
          <w:sz w:val="22"/>
          <w:szCs w:val="22"/>
        </w:rPr>
        <w:t xml:space="preserve">The department </w:t>
      </w:r>
      <w:r w:rsidR="00D624DE">
        <w:rPr>
          <w:sz w:val="22"/>
          <w:szCs w:val="22"/>
        </w:rPr>
        <w:t>leads</w:t>
      </w:r>
      <w:r w:rsidR="00FE2CAB">
        <w:rPr>
          <w:sz w:val="22"/>
          <w:szCs w:val="22"/>
        </w:rPr>
        <w:t xml:space="preserve"> policy </w:t>
      </w:r>
      <w:r w:rsidR="00F8305F">
        <w:rPr>
          <w:sz w:val="22"/>
          <w:szCs w:val="22"/>
        </w:rPr>
        <w:t>responsibilities</w:t>
      </w:r>
      <w:r w:rsidR="007D522B">
        <w:rPr>
          <w:sz w:val="22"/>
          <w:szCs w:val="22"/>
        </w:rPr>
        <w:t xml:space="preserve"> to review</w:t>
      </w:r>
      <w:r w:rsidR="00BD2529">
        <w:rPr>
          <w:sz w:val="22"/>
          <w:szCs w:val="22"/>
        </w:rPr>
        <w:t xml:space="preserve"> and investigate the development of a costing methodology</w:t>
      </w:r>
      <w:r w:rsidR="00661232">
        <w:rPr>
          <w:sz w:val="22"/>
          <w:szCs w:val="22"/>
        </w:rPr>
        <w:t xml:space="preserve"> </w:t>
      </w:r>
      <w:commentRangeStart w:id="11"/>
      <w:commentRangeStart w:id="12"/>
      <w:r w:rsidR="00BD2529">
        <w:rPr>
          <w:sz w:val="22"/>
          <w:szCs w:val="22"/>
        </w:rPr>
        <w:t xml:space="preserve">through </w:t>
      </w:r>
      <w:r w:rsidR="00E01371">
        <w:rPr>
          <w:sz w:val="22"/>
          <w:szCs w:val="22"/>
        </w:rPr>
        <w:t xml:space="preserve">the </w:t>
      </w:r>
      <w:r w:rsidR="00F8305F" w:rsidRPr="00F8305F">
        <w:rPr>
          <w:sz w:val="22"/>
          <w:szCs w:val="22"/>
        </w:rPr>
        <w:t>Jurisdictional Organ and Tissue Steering Committee (JOTSC)</w:t>
      </w:r>
      <w:r w:rsidR="006D6ADC">
        <w:rPr>
          <w:sz w:val="22"/>
          <w:szCs w:val="22"/>
        </w:rPr>
        <w:t xml:space="preserve">. </w:t>
      </w:r>
      <w:commentRangeEnd w:id="11"/>
      <w:r w:rsidR="00DC046D">
        <w:rPr>
          <w:rStyle w:val="CommentReference"/>
          <w:color w:val="auto"/>
        </w:rPr>
        <w:commentReference w:id="11"/>
      </w:r>
      <w:commentRangeEnd w:id="12"/>
      <w:r w:rsidR="005D2624">
        <w:rPr>
          <w:rStyle w:val="CommentReference"/>
          <w:color w:val="auto"/>
        </w:rPr>
        <w:commentReference w:id="12"/>
      </w:r>
    </w:p>
    <w:p w14:paraId="15749F76" w14:textId="7C483FB6" w:rsidR="005B0F6E" w:rsidRDefault="005B0F6E" w:rsidP="005B0F6E">
      <w:pPr>
        <w:pStyle w:val="Paragraphtext"/>
        <w:spacing w:after="120"/>
        <w:rPr>
          <w:sz w:val="22"/>
          <w:szCs w:val="22"/>
        </w:rPr>
      </w:pPr>
      <w:r>
        <w:rPr>
          <w:sz w:val="22"/>
          <w:szCs w:val="22"/>
        </w:rPr>
        <w:t>Any form of cost-recovery activity will need to abide by Australian state and territory legislation</w:t>
      </w:r>
      <w:commentRangeStart w:id="13"/>
      <w:commentRangeEnd w:id="13"/>
      <w:r w:rsidR="00DC046D">
        <w:rPr>
          <w:rStyle w:val="CommentReference"/>
          <w:color w:val="auto"/>
        </w:rPr>
        <w:commentReference w:id="13"/>
      </w:r>
      <w:r>
        <w:rPr>
          <w:sz w:val="22"/>
          <w:szCs w:val="22"/>
        </w:rPr>
        <w:t xml:space="preserve">. Further regulation and compliance </w:t>
      </w:r>
      <w:r w:rsidR="00307B0F">
        <w:rPr>
          <w:sz w:val="22"/>
          <w:szCs w:val="22"/>
        </w:rPr>
        <w:t xml:space="preserve">should be </w:t>
      </w:r>
      <w:r w:rsidR="00050E33">
        <w:rPr>
          <w:sz w:val="22"/>
          <w:szCs w:val="22"/>
        </w:rPr>
        <w:t xml:space="preserve">considered in the context of the </w:t>
      </w:r>
      <w:r w:rsidR="00DC046D">
        <w:rPr>
          <w:rFonts w:cs="Arial"/>
          <w:color w:val="050505"/>
          <w:sz w:val="23"/>
          <w:szCs w:val="23"/>
          <w:shd w:val="clear" w:color="auto" w:fill="FFFFFF"/>
        </w:rPr>
        <w:t>NHMRC ethical guidelines on</w:t>
      </w:r>
      <w:r w:rsidR="00975EE2">
        <w:rPr>
          <w:rFonts w:cs="Arial"/>
          <w:color w:val="050505"/>
          <w:sz w:val="23"/>
          <w:szCs w:val="23"/>
          <w:shd w:val="clear" w:color="auto" w:fill="FFFFFF"/>
        </w:rPr>
        <w:t xml:space="preserve"> cell, tissue and</w:t>
      </w:r>
      <w:r w:rsidR="00DC046D">
        <w:rPr>
          <w:rFonts w:cs="Arial"/>
          <w:color w:val="050505"/>
          <w:sz w:val="23"/>
          <w:szCs w:val="23"/>
          <w:shd w:val="clear" w:color="auto" w:fill="FFFFFF"/>
        </w:rPr>
        <w:t xml:space="preserve"> organ donation and transplantation.</w:t>
      </w:r>
    </w:p>
    <w:p w14:paraId="77CC4B11" w14:textId="77777777" w:rsidR="00120ADC" w:rsidRDefault="00D75782" w:rsidP="00436519">
      <w:pPr>
        <w:pStyle w:val="Heading4"/>
      </w:pPr>
      <w:r>
        <w:rPr>
          <w:noProof/>
          <w:color w:val="000000" w:themeColor="text1"/>
          <w:sz w:val="21"/>
        </w:rPr>
        <w:drawing>
          <wp:inline distT="0" distB="0" distL="0" distR="0" wp14:anchorId="48444132" wp14:editId="45503B52">
            <wp:extent cx="5422605" cy="2573079"/>
            <wp:effectExtent l="0" t="0" r="6985" b="17780"/>
            <wp:docPr id="11" name="Chart 11" descr="Stakeholder support to recommendation 7. 100%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1D32B6" w14:textId="77777777" w:rsidR="00120ADC" w:rsidRDefault="00120ADC">
      <w:pPr>
        <w:rPr>
          <w:b/>
          <w:bCs/>
          <w:i/>
          <w:color w:val="414141"/>
          <w:sz w:val="24"/>
          <w:szCs w:val="28"/>
        </w:rPr>
      </w:pPr>
      <w:r>
        <w:br w:type="page"/>
      </w:r>
    </w:p>
    <w:p w14:paraId="7246A8D7" w14:textId="363BBF0D" w:rsidR="00846AD5" w:rsidRDefault="00752799" w:rsidP="00436519">
      <w:pPr>
        <w:pStyle w:val="Heading4"/>
      </w:pPr>
      <w:r>
        <w:lastRenderedPageBreak/>
        <w:t>Stakeholder suggestions for Recommendation 7</w:t>
      </w:r>
    </w:p>
    <w:p w14:paraId="6525D950" w14:textId="35DDA569" w:rsidR="00846AD5" w:rsidRPr="0029687C" w:rsidRDefault="00404619" w:rsidP="0029687C">
      <w:pPr>
        <w:pStyle w:val="ListBullet"/>
        <w:spacing w:before="120" w:after="120"/>
        <w:rPr>
          <w:sz w:val="22"/>
          <w:szCs w:val="22"/>
        </w:rPr>
      </w:pPr>
      <w:r w:rsidRPr="0029687C">
        <w:rPr>
          <w:sz w:val="22"/>
          <w:szCs w:val="22"/>
        </w:rPr>
        <w:t>C</w:t>
      </w:r>
      <w:r w:rsidR="00846AD5" w:rsidRPr="0029687C">
        <w:rPr>
          <w:sz w:val="22"/>
          <w:szCs w:val="22"/>
        </w:rPr>
        <w:t xml:space="preserve">oncerns that the </w:t>
      </w:r>
      <w:commentRangeStart w:id="14"/>
      <w:r w:rsidR="00846AD5" w:rsidRPr="0029687C">
        <w:rPr>
          <w:sz w:val="22"/>
          <w:szCs w:val="22"/>
        </w:rPr>
        <w:t>JOTSC</w:t>
      </w:r>
      <w:commentRangeEnd w:id="14"/>
      <w:r w:rsidR="00207C0A">
        <w:rPr>
          <w:rStyle w:val="CommentReference"/>
          <w:color w:val="auto"/>
        </w:rPr>
        <w:commentReference w:id="14"/>
      </w:r>
      <w:r w:rsidR="00846AD5" w:rsidRPr="0029687C">
        <w:rPr>
          <w:sz w:val="22"/>
          <w:szCs w:val="22"/>
        </w:rPr>
        <w:t xml:space="preserve"> do not have a large enough sample of tissue banks to </w:t>
      </w:r>
      <w:r w:rsidR="001B5C95">
        <w:rPr>
          <w:sz w:val="22"/>
          <w:szCs w:val="22"/>
        </w:rPr>
        <w:t>undertake</w:t>
      </w:r>
      <w:r w:rsidR="00846AD5" w:rsidRPr="0029687C">
        <w:rPr>
          <w:sz w:val="22"/>
          <w:szCs w:val="22"/>
        </w:rPr>
        <w:t xml:space="preserve"> an industry benchmarking exercise. </w:t>
      </w:r>
    </w:p>
    <w:p w14:paraId="697D6534" w14:textId="5FE24BED" w:rsidR="00846AD5" w:rsidRPr="0029687C" w:rsidRDefault="00F3221F" w:rsidP="0029687C">
      <w:pPr>
        <w:pStyle w:val="ListBullet"/>
        <w:spacing w:before="120" w:after="120"/>
        <w:rPr>
          <w:sz w:val="22"/>
          <w:szCs w:val="22"/>
        </w:rPr>
      </w:pPr>
      <w:r w:rsidRPr="0029687C">
        <w:rPr>
          <w:sz w:val="22"/>
          <w:szCs w:val="22"/>
        </w:rPr>
        <w:t>N</w:t>
      </w:r>
      <w:r w:rsidR="00846AD5" w:rsidRPr="0029687C">
        <w:rPr>
          <w:sz w:val="22"/>
          <w:szCs w:val="22"/>
        </w:rPr>
        <w:t>ot all JOTSC members</w:t>
      </w:r>
      <w:r w:rsidR="00473E76">
        <w:rPr>
          <w:sz w:val="22"/>
          <w:szCs w:val="22"/>
        </w:rPr>
        <w:t xml:space="preserve"> </w:t>
      </w:r>
      <w:r w:rsidR="00846AD5" w:rsidRPr="0029687C">
        <w:rPr>
          <w:sz w:val="22"/>
          <w:szCs w:val="22"/>
        </w:rPr>
        <w:t>have been in communication with tissue banks in their area.</w:t>
      </w:r>
      <w:r w:rsidR="00473E76">
        <w:rPr>
          <w:sz w:val="22"/>
          <w:szCs w:val="22"/>
        </w:rPr>
        <w:t xml:space="preserve"> </w:t>
      </w:r>
      <w:r w:rsidR="00846AD5" w:rsidRPr="0029687C">
        <w:rPr>
          <w:sz w:val="22"/>
          <w:szCs w:val="22"/>
        </w:rPr>
        <w:t xml:space="preserve">The </w:t>
      </w:r>
      <w:r w:rsidR="001B5C95">
        <w:rPr>
          <w:sz w:val="22"/>
          <w:szCs w:val="22"/>
        </w:rPr>
        <w:t>d</w:t>
      </w:r>
      <w:r w:rsidR="00185E02" w:rsidRPr="0029687C">
        <w:rPr>
          <w:sz w:val="22"/>
          <w:szCs w:val="22"/>
        </w:rPr>
        <w:t>epartment</w:t>
      </w:r>
      <w:r w:rsidR="00846AD5" w:rsidRPr="0029687C">
        <w:rPr>
          <w:sz w:val="22"/>
          <w:szCs w:val="22"/>
        </w:rPr>
        <w:t xml:space="preserve"> needs to be careful not to threaten the financial viability of regional banks who do not have access to testing</w:t>
      </w:r>
      <w:r w:rsidR="00404619" w:rsidRPr="0029687C">
        <w:rPr>
          <w:sz w:val="22"/>
          <w:szCs w:val="22"/>
        </w:rPr>
        <w:t>,</w:t>
      </w:r>
      <w:r w:rsidR="00846AD5" w:rsidRPr="0029687C">
        <w:rPr>
          <w:sz w:val="22"/>
          <w:szCs w:val="22"/>
        </w:rPr>
        <w:t xml:space="preserve"> as closure reduces the overall capacity to supply across the country.</w:t>
      </w:r>
    </w:p>
    <w:p w14:paraId="0AA06D69" w14:textId="739F2644" w:rsidR="00846AD5" w:rsidRPr="0029687C" w:rsidRDefault="00846AD5" w:rsidP="0029687C">
      <w:pPr>
        <w:pStyle w:val="ListBullet"/>
        <w:spacing w:before="120" w:after="120"/>
        <w:rPr>
          <w:sz w:val="22"/>
          <w:szCs w:val="22"/>
        </w:rPr>
      </w:pPr>
      <w:r w:rsidRPr="0029687C">
        <w:rPr>
          <w:sz w:val="22"/>
          <w:szCs w:val="22"/>
        </w:rPr>
        <w:t>Further activities which could be considered for inclusion:</w:t>
      </w:r>
    </w:p>
    <w:p w14:paraId="47920FBD" w14:textId="7783B8A8" w:rsidR="00846AD5" w:rsidRPr="0029687C" w:rsidRDefault="00846AD5" w:rsidP="0029687C">
      <w:pPr>
        <w:pStyle w:val="ListNumber2"/>
        <w:spacing w:before="120" w:after="120"/>
        <w:rPr>
          <w:sz w:val="22"/>
          <w:szCs w:val="22"/>
        </w:rPr>
      </w:pPr>
      <w:r w:rsidRPr="0029687C">
        <w:rPr>
          <w:sz w:val="22"/>
          <w:szCs w:val="22"/>
        </w:rPr>
        <w:t>Low turnover tissue products that stay on the shelf or expire.</w:t>
      </w:r>
    </w:p>
    <w:p w14:paraId="4972A126" w14:textId="547BE2C8" w:rsidR="00846AD5" w:rsidRPr="0029687C" w:rsidRDefault="001B5C95" w:rsidP="0029687C">
      <w:pPr>
        <w:pStyle w:val="ListNumber2"/>
        <w:spacing w:before="120" w:after="120"/>
        <w:rPr>
          <w:sz w:val="22"/>
          <w:szCs w:val="22"/>
        </w:rPr>
      </w:pPr>
      <w:r>
        <w:rPr>
          <w:sz w:val="22"/>
          <w:szCs w:val="22"/>
        </w:rPr>
        <w:t>Tissue b</w:t>
      </w:r>
      <w:r w:rsidR="00846AD5" w:rsidRPr="0029687C">
        <w:rPr>
          <w:sz w:val="22"/>
          <w:szCs w:val="22"/>
        </w:rPr>
        <w:t xml:space="preserve">anks incurring storage costs and not being reimbursed unless the product is </w:t>
      </w:r>
      <w:r>
        <w:rPr>
          <w:sz w:val="22"/>
          <w:szCs w:val="22"/>
        </w:rPr>
        <w:t>used</w:t>
      </w:r>
      <w:r w:rsidR="00846AD5" w:rsidRPr="0029687C">
        <w:rPr>
          <w:sz w:val="22"/>
          <w:szCs w:val="22"/>
        </w:rPr>
        <w:t>.</w:t>
      </w:r>
    </w:p>
    <w:p w14:paraId="46ACD62B" w14:textId="776C8AAA" w:rsidR="00846AD5" w:rsidRPr="0029687C" w:rsidRDefault="00846AD5" w:rsidP="00120ADC">
      <w:pPr>
        <w:pStyle w:val="ListNumber2"/>
        <w:spacing w:before="120" w:after="0"/>
        <w:rPr>
          <w:sz w:val="22"/>
          <w:szCs w:val="22"/>
        </w:rPr>
      </w:pPr>
      <w:r w:rsidRPr="0029687C">
        <w:rPr>
          <w:sz w:val="22"/>
          <w:szCs w:val="22"/>
        </w:rPr>
        <w:t>Regulatory and licencing costs (could come under administration costs). Operational realities and business models are quite different among the diverse facilities and within jurisdictions.</w:t>
      </w:r>
    </w:p>
    <w:p w14:paraId="6E537376" w14:textId="6A6147FF" w:rsidR="008411E4" w:rsidRPr="0029687C" w:rsidRDefault="00D462C8" w:rsidP="00120ADC">
      <w:pPr>
        <w:pStyle w:val="PolicyStatement"/>
        <w:spacing w:before="120" w:after="120" w:line="240" w:lineRule="auto"/>
        <w:ind w:left="0"/>
        <w:rPr>
          <w:sz w:val="22"/>
          <w:szCs w:val="22"/>
        </w:rPr>
      </w:pPr>
      <w:r w:rsidRPr="0029687C">
        <w:rPr>
          <w:sz w:val="22"/>
          <w:szCs w:val="22"/>
        </w:rPr>
        <w:t xml:space="preserve">The </w:t>
      </w:r>
      <w:r w:rsidR="00C62F77">
        <w:rPr>
          <w:sz w:val="22"/>
          <w:szCs w:val="22"/>
        </w:rPr>
        <w:t xml:space="preserve">department </w:t>
      </w:r>
      <w:r w:rsidRPr="0029687C">
        <w:rPr>
          <w:sz w:val="22"/>
          <w:szCs w:val="22"/>
        </w:rPr>
        <w:t>agrees</w:t>
      </w:r>
      <w:r w:rsidR="006F4957">
        <w:rPr>
          <w:sz w:val="22"/>
          <w:szCs w:val="22"/>
        </w:rPr>
        <w:t xml:space="preserve"> in-principle</w:t>
      </w:r>
      <w:r w:rsidRPr="0029687C">
        <w:rPr>
          <w:sz w:val="22"/>
          <w:szCs w:val="22"/>
        </w:rPr>
        <w:t xml:space="preserve"> </w:t>
      </w:r>
      <w:r w:rsidR="001B5C95">
        <w:rPr>
          <w:sz w:val="22"/>
          <w:szCs w:val="22"/>
        </w:rPr>
        <w:t>to</w:t>
      </w:r>
      <w:r w:rsidR="006F4957">
        <w:rPr>
          <w:sz w:val="22"/>
          <w:szCs w:val="22"/>
        </w:rPr>
        <w:t xml:space="preserve"> the development and implementation of </w:t>
      </w:r>
      <w:commentRangeStart w:id="15"/>
      <w:commentRangeEnd w:id="15"/>
      <w:r w:rsidR="00DC046D">
        <w:rPr>
          <w:rStyle w:val="CommentReference"/>
        </w:rPr>
        <w:commentReference w:id="15"/>
      </w:r>
      <w:r w:rsidR="001B5C95">
        <w:rPr>
          <w:sz w:val="22"/>
          <w:szCs w:val="22"/>
        </w:rPr>
        <w:t>pricing</w:t>
      </w:r>
      <w:r w:rsidRPr="0029687C">
        <w:rPr>
          <w:sz w:val="22"/>
          <w:szCs w:val="22"/>
        </w:rPr>
        <w:t xml:space="preserve"> methodology</w:t>
      </w:r>
      <w:r w:rsidR="00387307" w:rsidRPr="0029687C">
        <w:rPr>
          <w:sz w:val="22"/>
          <w:szCs w:val="22"/>
        </w:rPr>
        <w:t>. This</w:t>
      </w:r>
      <w:r w:rsidRPr="0029687C">
        <w:rPr>
          <w:sz w:val="22"/>
          <w:szCs w:val="22"/>
        </w:rPr>
        <w:t xml:space="preserve"> will require working with state and territory governments to ensure any </w:t>
      </w:r>
      <w:r w:rsidR="006F4957">
        <w:rPr>
          <w:sz w:val="22"/>
          <w:szCs w:val="22"/>
        </w:rPr>
        <w:t xml:space="preserve">pricing </w:t>
      </w:r>
      <w:r w:rsidRPr="0029687C">
        <w:rPr>
          <w:sz w:val="22"/>
          <w:szCs w:val="22"/>
        </w:rPr>
        <w:t xml:space="preserve">standards </w:t>
      </w:r>
      <w:r w:rsidR="00EA2E34" w:rsidRPr="0029687C">
        <w:rPr>
          <w:sz w:val="22"/>
          <w:szCs w:val="22"/>
        </w:rPr>
        <w:t xml:space="preserve">to be used as part of the PL application process, </w:t>
      </w:r>
      <w:r w:rsidRPr="0029687C">
        <w:rPr>
          <w:sz w:val="22"/>
          <w:szCs w:val="22"/>
        </w:rPr>
        <w:t>align</w:t>
      </w:r>
      <w:r w:rsidR="00EA2E34" w:rsidRPr="0029687C">
        <w:rPr>
          <w:sz w:val="22"/>
          <w:szCs w:val="22"/>
        </w:rPr>
        <w:t>s</w:t>
      </w:r>
      <w:r w:rsidRPr="0029687C">
        <w:rPr>
          <w:sz w:val="22"/>
          <w:szCs w:val="22"/>
        </w:rPr>
        <w:t xml:space="preserve"> with state and federal legislati</w:t>
      </w:r>
      <w:r w:rsidR="00EA2E34" w:rsidRPr="0029687C">
        <w:rPr>
          <w:sz w:val="22"/>
          <w:szCs w:val="22"/>
        </w:rPr>
        <w:t>ve requirements and principles of the NHMRC Ethical Guidelines.</w:t>
      </w:r>
      <w:r w:rsidR="006F4957">
        <w:rPr>
          <w:sz w:val="22"/>
          <w:szCs w:val="22"/>
        </w:rPr>
        <w:t xml:space="preserve"> Stakeholders will be consulted on the development and planned implementation of any pricing methodology.</w:t>
      </w:r>
    </w:p>
    <w:p w14:paraId="65AED0DE" w14:textId="5DFFCB2C" w:rsidR="00301F7F" w:rsidRDefault="00477A92" w:rsidP="00477A92">
      <w:pPr>
        <w:pStyle w:val="Heading2"/>
      </w:pPr>
      <w:r w:rsidRPr="00477A92">
        <w:t>Recommendation 8 –</w:t>
      </w:r>
      <w:r w:rsidR="007E38CE">
        <w:t xml:space="preserve"> </w:t>
      </w:r>
      <w:r w:rsidRPr="00477A92">
        <w:t xml:space="preserve">the </w:t>
      </w:r>
      <w:r>
        <w:t>d</w:t>
      </w:r>
      <w:r w:rsidRPr="00477A92">
        <w:t>epartment undertake a review of state and federal legislative requirements which prohibit trading in human tissue and its application to determining benefits for Part B</w:t>
      </w:r>
    </w:p>
    <w:p w14:paraId="421DBDFC" w14:textId="5FF15E2C" w:rsidR="00301F7F" w:rsidRDefault="00301F7F" w:rsidP="00301F7F">
      <w:pPr>
        <w:pStyle w:val="Paragraphtext"/>
      </w:pPr>
      <w:r>
        <w:rPr>
          <w:noProof/>
        </w:rPr>
        <w:drawing>
          <wp:inline distT="0" distB="0" distL="0" distR="0" wp14:anchorId="49B69AD2" wp14:editId="3149F0F8">
            <wp:extent cx="5486400" cy="2520000"/>
            <wp:effectExtent l="0" t="0" r="0" b="13970"/>
            <wp:docPr id="12" name="Chart 12" descr="Stakeholder support to recommendation 8. 10% not in support. 90%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AE434D1" w14:textId="663EEB00" w:rsidR="00921C97" w:rsidRDefault="004146C2" w:rsidP="004237F6">
      <w:pPr>
        <w:pStyle w:val="Heading4"/>
      </w:pPr>
      <w:r>
        <w:t xml:space="preserve">Feedback in support </w:t>
      </w:r>
      <w:r w:rsidR="00233B48">
        <w:t>of</w:t>
      </w:r>
      <w:r w:rsidR="004237F6">
        <w:t xml:space="preserve"> Recommendation 8</w:t>
      </w:r>
    </w:p>
    <w:p w14:paraId="2A89A352" w14:textId="5E5B51D6" w:rsidR="006863CB" w:rsidRPr="0029687C" w:rsidRDefault="006863CB" w:rsidP="0029687C">
      <w:pPr>
        <w:pStyle w:val="ListBullet"/>
        <w:spacing w:before="120" w:after="120"/>
        <w:ind w:left="357" w:hanging="357"/>
        <w:rPr>
          <w:sz w:val="22"/>
          <w:szCs w:val="22"/>
        </w:rPr>
      </w:pPr>
      <w:r w:rsidRPr="0029687C">
        <w:rPr>
          <w:sz w:val="22"/>
          <w:szCs w:val="22"/>
        </w:rPr>
        <w:t xml:space="preserve">There is strong support to maintain ethical and legislative considerations </w:t>
      </w:r>
      <w:r w:rsidR="00A77F70">
        <w:rPr>
          <w:sz w:val="22"/>
          <w:szCs w:val="22"/>
        </w:rPr>
        <w:t xml:space="preserve">in </w:t>
      </w:r>
      <w:r w:rsidR="00A77F70" w:rsidRPr="0029687C">
        <w:rPr>
          <w:sz w:val="22"/>
          <w:szCs w:val="22"/>
        </w:rPr>
        <w:t>regard</w:t>
      </w:r>
      <w:r w:rsidR="00A77F70">
        <w:rPr>
          <w:sz w:val="22"/>
          <w:szCs w:val="22"/>
        </w:rPr>
        <w:t xml:space="preserve"> to</w:t>
      </w:r>
      <w:r w:rsidRPr="0029687C">
        <w:rPr>
          <w:sz w:val="22"/>
          <w:szCs w:val="22"/>
        </w:rPr>
        <w:t xml:space="preserve"> trading and profiting from the sale of human tissue, particularly if </w:t>
      </w:r>
      <w:commentRangeStart w:id="16"/>
      <w:commentRangeEnd w:id="16"/>
      <w:r w:rsidR="00DC046D">
        <w:rPr>
          <w:rStyle w:val="CommentReference"/>
          <w:color w:val="auto"/>
        </w:rPr>
        <w:commentReference w:id="16"/>
      </w:r>
      <w:r w:rsidR="00DC046D">
        <w:rPr>
          <w:sz w:val="22"/>
          <w:szCs w:val="22"/>
        </w:rPr>
        <w:t xml:space="preserve">tissue is sourced </w:t>
      </w:r>
      <w:r w:rsidRPr="0029687C">
        <w:rPr>
          <w:sz w:val="22"/>
          <w:szCs w:val="22"/>
        </w:rPr>
        <w:t>from overseas.</w:t>
      </w:r>
    </w:p>
    <w:p w14:paraId="76BB30D8" w14:textId="44404B3C" w:rsidR="006863CB" w:rsidRPr="006863CB" w:rsidRDefault="006863CB" w:rsidP="006863CB">
      <w:pPr>
        <w:pStyle w:val="Heading4"/>
      </w:pPr>
      <w:r>
        <w:lastRenderedPageBreak/>
        <w:t>Stakeholder suggestions</w:t>
      </w:r>
      <w:r w:rsidR="00047BC8">
        <w:t xml:space="preserve"> </w:t>
      </w:r>
      <w:r w:rsidR="00752799">
        <w:t xml:space="preserve">for </w:t>
      </w:r>
      <w:r w:rsidR="00047BC8">
        <w:t>Recommendation 8</w:t>
      </w:r>
    </w:p>
    <w:p w14:paraId="7F70F1CD" w14:textId="70166A4A" w:rsidR="00921C97" w:rsidRPr="0029687C" w:rsidRDefault="006863CB" w:rsidP="0029687C">
      <w:pPr>
        <w:pStyle w:val="ListBullet"/>
        <w:spacing w:before="120" w:after="120"/>
        <w:ind w:hanging="357"/>
        <w:rPr>
          <w:sz w:val="22"/>
          <w:szCs w:val="22"/>
        </w:rPr>
      </w:pPr>
      <w:r w:rsidRPr="0029687C">
        <w:rPr>
          <w:sz w:val="22"/>
          <w:szCs w:val="22"/>
        </w:rPr>
        <w:t>T</w:t>
      </w:r>
      <w:r w:rsidR="00921C97" w:rsidRPr="0029687C">
        <w:rPr>
          <w:sz w:val="22"/>
          <w:szCs w:val="22"/>
        </w:rPr>
        <w:t xml:space="preserve">he </w:t>
      </w:r>
      <w:r w:rsidR="001D1179" w:rsidRPr="0029687C">
        <w:rPr>
          <w:sz w:val="22"/>
          <w:szCs w:val="22"/>
        </w:rPr>
        <w:t>d</w:t>
      </w:r>
      <w:r w:rsidR="00185E02" w:rsidRPr="0029687C">
        <w:rPr>
          <w:sz w:val="22"/>
          <w:szCs w:val="22"/>
        </w:rPr>
        <w:t>epartment</w:t>
      </w:r>
      <w:r w:rsidR="00921C97" w:rsidRPr="0029687C">
        <w:rPr>
          <w:sz w:val="22"/>
          <w:szCs w:val="22"/>
        </w:rPr>
        <w:t xml:space="preserve"> harmonise and simplify existing legislation and regulations (</w:t>
      </w:r>
      <w:r w:rsidRPr="0029687C">
        <w:rPr>
          <w:sz w:val="22"/>
          <w:szCs w:val="22"/>
        </w:rPr>
        <w:t>c</w:t>
      </w:r>
      <w:r w:rsidR="00921C97" w:rsidRPr="0029687C">
        <w:rPr>
          <w:sz w:val="22"/>
          <w:szCs w:val="22"/>
        </w:rPr>
        <w:t xml:space="preserve">ommonwealth, </w:t>
      </w:r>
      <w:r w:rsidRPr="0029687C">
        <w:rPr>
          <w:sz w:val="22"/>
          <w:szCs w:val="22"/>
        </w:rPr>
        <w:t>s</w:t>
      </w:r>
      <w:r w:rsidR="00921C97" w:rsidRPr="0029687C">
        <w:rPr>
          <w:sz w:val="22"/>
          <w:szCs w:val="22"/>
        </w:rPr>
        <w:t xml:space="preserve">tate and </w:t>
      </w:r>
      <w:r w:rsidRPr="0029687C">
        <w:rPr>
          <w:sz w:val="22"/>
          <w:szCs w:val="22"/>
        </w:rPr>
        <w:t>t</w:t>
      </w:r>
      <w:r w:rsidR="00921C97" w:rsidRPr="0029687C">
        <w:rPr>
          <w:sz w:val="22"/>
          <w:szCs w:val="22"/>
        </w:rPr>
        <w:t>erritory) to ensure a consistent approach. Currently there are different requirements placed on state-based and commercial sponsors.</w:t>
      </w:r>
    </w:p>
    <w:p w14:paraId="37579694" w14:textId="689106B8" w:rsidR="00921C97" w:rsidRPr="0029687C" w:rsidRDefault="001B5C95" w:rsidP="0029687C">
      <w:pPr>
        <w:pStyle w:val="ListBullet"/>
        <w:spacing w:before="120" w:after="120"/>
        <w:ind w:hanging="357"/>
        <w:rPr>
          <w:sz w:val="22"/>
          <w:szCs w:val="22"/>
        </w:rPr>
      </w:pPr>
      <w:r>
        <w:rPr>
          <w:sz w:val="22"/>
          <w:szCs w:val="22"/>
        </w:rPr>
        <w:t>In all states and territories, t</w:t>
      </w:r>
      <w:r w:rsidR="00921C97" w:rsidRPr="0029687C">
        <w:rPr>
          <w:sz w:val="22"/>
          <w:szCs w:val="22"/>
        </w:rPr>
        <w:t xml:space="preserve">issue manufacturing </w:t>
      </w:r>
      <w:r>
        <w:rPr>
          <w:sz w:val="22"/>
          <w:szCs w:val="22"/>
        </w:rPr>
        <w:t>should</w:t>
      </w:r>
      <w:r w:rsidRPr="0029687C">
        <w:rPr>
          <w:sz w:val="22"/>
          <w:szCs w:val="22"/>
        </w:rPr>
        <w:t xml:space="preserve"> </w:t>
      </w:r>
      <w:r w:rsidR="00921C97" w:rsidRPr="0029687C">
        <w:rPr>
          <w:sz w:val="22"/>
          <w:szCs w:val="22"/>
        </w:rPr>
        <w:t xml:space="preserve">be </w:t>
      </w:r>
      <w:r>
        <w:rPr>
          <w:sz w:val="22"/>
          <w:szCs w:val="22"/>
        </w:rPr>
        <w:t>undertaken</w:t>
      </w:r>
      <w:r w:rsidRPr="0029687C">
        <w:rPr>
          <w:sz w:val="22"/>
          <w:szCs w:val="22"/>
        </w:rPr>
        <w:t xml:space="preserve"> </w:t>
      </w:r>
      <w:r w:rsidR="00921C97" w:rsidRPr="0029687C">
        <w:rPr>
          <w:sz w:val="22"/>
          <w:szCs w:val="22"/>
        </w:rPr>
        <w:t>on a cost-recovery basis</w:t>
      </w:r>
      <w:r w:rsidR="001116AE">
        <w:rPr>
          <w:sz w:val="22"/>
          <w:szCs w:val="22"/>
        </w:rPr>
        <w:t xml:space="preserve">. </w:t>
      </w:r>
      <w:r w:rsidR="0017479C">
        <w:rPr>
          <w:sz w:val="22"/>
          <w:szCs w:val="22"/>
        </w:rPr>
        <w:t>However, s</w:t>
      </w:r>
      <w:r w:rsidR="00921C97" w:rsidRPr="0029687C">
        <w:rPr>
          <w:sz w:val="22"/>
          <w:szCs w:val="22"/>
        </w:rPr>
        <w:t xml:space="preserve">ome </w:t>
      </w:r>
      <w:r>
        <w:rPr>
          <w:sz w:val="22"/>
          <w:szCs w:val="22"/>
        </w:rPr>
        <w:t xml:space="preserve">tissue </w:t>
      </w:r>
      <w:r w:rsidR="00921C97" w:rsidRPr="0029687C">
        <w:rPr>
          <w:sz w:val="22"/>
          <w:szCs w:val="22"/>
        </w:rPr>
        <w:t>banks accept returns for distributed allografts that aren’t used by surgeons.</w:t>
      </w:r>
    </w:p>
    <w:p w14:paraId="3EA2A317" w14:textId="48D83AFB" w:rsidR="0017479C" w:rsidRDefault="0017479C" w:rsidP="0029687C">
      <w:pPr>
        <w:pStyle w:val="ListBullet"/>
        <w:spacing w:before="120" w:after="120"/>
        <w:ind w:hanging="357"/>
        <w:rPr>
          <w:sz w:val="22"/>
          <w:szCs w:val="22"/>
        </w:rPr>
      </w:pPr>
      <w:r>
        <w:rPr>
          <w:sz w:val="22"/>
          <w:szCs w:val="22"/>
        </w:rPr>
        <w:t>Any</w:t>
      </w:r>
      <w:r w:rsidR="00921C97" w:rsidRPr="0029687C">
        <w:rPr>
          <w:sz w:val="22"/>
          <w:szCs w:val="22"/>
        </w:rPr>
        <w:t xml:space="preserve"> review </w:t>
      </w:r>
      <w:r>
        <w:rPr>
          <w:sz w:val="22"/>
          <w:szCs w:val="22"/>
        </w:rPr>
        <w:t>should</w:t>
      </w:r>
      <w:r w:rsidR="00921C97" w:rsidRPr="0029687C">
        <w:rPr>
          <w:sz w:val="22"/>
          <w:szCs w:val="22"/>
        </w:rPr>
        <w:t xml:space="preserve"> clari</w:t>
      </w:r>
      <w:r>
        <w:rPr>
          <w:sz w:val="22"/>
          <w:szCs w:val="22"/>
        </w:rPr>
        <w:t>f</w:t>
      </w:r>
      <w:r w:rsidR="00921C97" w:rsidRPr="0029687C">
        <w:rPr>
          <w:sz w:val="22"/>
          <w:szCs w:val="22"/>
        </w:rPr>
        <w:t xml:space="preserve">y </w:t>
      </w:r>
      <w:r>
        <w:rPr>
          <w:sz w:val="22"/>
          <w:szCs w:val="22"/>
        </w:rPr>
        <w:t>how</w:t>
      </w:r>
      <w:r w:rsidR="00921C97" w:rsidRPr="0029687C">
        <w:rPr>
          <w:sz w:val="22"/>
          <w:szCs w:val="22"/>
        </w:rPr>
        <w:t xml:space="preserve"> </w:t>
      </w:r>
      <w:r>
        <w:rPr>
          <w:sz w:val="22"/>
          <w:szCs w:val="22"/>
        </w:rPr>
        <w:t>each state or territory</w:t>
      </w:r>
      <w:r w:rsidRPr="0029687C">
        <w:rPr>
          <w:sz w:val="22"/>
          <w:szCs w:val="22"/>
        </w:rPr>
        <w:t xml:space="preserve"> </w:t>
      </w:r>
      <w:r w:rsidR="00921C97" w:rsidRPr="0029687C">
        <w:rPr>
          <w:sz w:val="22"/>
          <w:szCs w:val="22"/>
        </w:rPr>
        <w:t>legislati</w:t>
      </w:r>
      <w:r>
        <w:rPr>
          <w:sz w:val="22"/>
          <w:szCs w:val="22"/>
        </w:rPr>
        <w:t>on applies</w:t>
      </w:r>
      <w:r w:rsidR="00921C97" w:rsidRPr="0029687C">
        <w:rPr>
          <w:sz w:val="22"/>
          <w:szCs w:val="22"/>
        </w:rPr>
        <w:t xml:space="preserve"> to the supply and benefit</w:t>
      </w:r>
      <w:r w:rsidR="00A07E72">
        <w:rPr>
          <w:sz w:val="22"/>
          <w:szCs w:val="22"/>
        </w:rPr>
        <w:t>s</w:t>
      </w:r>
      <w:r w:rsidR="00921C97" w:rsidRPr="0029687C">
        <w:rPr>
          <w:sz w:val="22"/>
          <w:szCs w:val="22"/>
        </w:rPr>
        <w:t xml:space="preserve"> of highly processed human tissue products. </w:t>
      </w:r>
    </w:p>
    <w:p w14:paraId="313F3EEC" w14:textId="4D7FEBE2" w:rsidR="00921C97" w:rsidRPr="0029687C" w:rsidRDefault="0017479C" w:rsidP="0029687C">
      <w:pPr>
        <w:pStyle w:val="ListBullet"/>
        <w:spacing w:before="120" w:after="120"/>
        <w:ind w:hanging="357"/>
        <w:rPr>
          <w:sz w:val="22"/>
          <w:szCs w:val="22"/>
        </w:rPr>
      </w:pPr>
      <w:r>
        <w:rPr>
          <w:sz w:val="22"/>
          <w:szCs w:val="22"/>
        </w:rPr>
        <w:t>A</w:t>
      </w:r>
      <w:r w:rsidR="00921C97" w:rsidRPr="0029687C">
        <w:rPr>
          <w:sz w:val="22"/>
          <w:szCs w:val="22"/>
        </w:rPr>
        <w:t xml:space="preserve"> review could look at:</w:t>
      </w:r>
    </w:p>
    <w:p w14:paraId="625DAE36" w14:textId="63AFDE90" w:rsidR="00921C97" w:rsidRPr="0029687C" w:rsidRDefault="00921C97" w:rsidP="0047044F">
      <w:pPr>
        <w:pStyle w:val="ListNumber2"/>
        <w:numPr>
          <w:ilvl w:val="0"/>
          <w:numId w:val="29"/>
        </w:numPr>
        <w:spacing w:before="120" w:after="120"/>
        <w:ind w:left="714" w:hanging="357"/>
        <w:rPr>
          <w:sz w:val="22"/>
          <w:szCs w:val="22"/>
        </w:rPr>
      </w:pPr>
      <w:r w:rsidRPr="0029687C">
        <w:rPr>
          <w:sz w:val="22"/>
          <w:szCs w:val="22"/>
        </w:rPr>
        <w:t xml:space="preserve">The business structure </w:t>
      </w:r>
      <w:r w:rsidR="0017479C">
        <w:rPr>
          <w:sz w:val="22"/>
          <w:szCs w:val="22"/>
        </w:rPr>
        <w:t>of</w:t>
      </w:r>
      <w:r w:rsidR="0017479C" w:rsidRPr="0029687C">
        <w:rPr>
          <w:sz w:val="22"/>
          <w:szCs w:val="22"/>
        </w:rPr>
        <w:t xml:space="preserve"> </w:t>
      </w:r>
      <w:r w:rsidRPr="0029687C">
        <w:rPr>
          <w:sz w:val="22"/>
          <w:szCs w:val="22"/>
        </w:rPr>
        <w:t>sponsors</w:t>
      </w:r>
      <w:r w:rsidR="00501887">
        <w:rPr>
          <w:sz w:val="22"/>
          <w:szCs w:val="22"/>
        </w:rPr>
        <w:t xml:space="preserve"> and any </w:t>
      </w:r>
      <w:r w:rsidR="00CB2732">
        <w:rPr>
          <w:sz w:val="22"/>
          <w:szCs w:val="22"/>
        </w:rPr>
        <w:t>manufacturing proxy arrangements</w:t>
      </w:r>
      <w:r w:rsidRPr="0029687C">
        <w:rPr>
          <w:sz w:val="22"/>
          <w:szCs w:val="22"/>
        </w:rPr>
        <w:t>.</w:t>
      </w:r>
      <w:commentRangeStart w:id="17"/>
      <w:commentRangeEnd w:id="17"/>
      <w:r w:rsidR="00CF1939">
        <w:rPr>
          <w:rStyle w:val="CommentReference"/>
          <w:color w:val="auto"/>
        </w:rPr>
        <w:commentReference w:id="17"/>
      </w:r>
    </w:p>
    <w:p w14:paraId="3EF13C96" w14:textId="2B9FC21C" w:rsidR="00921C97" w:rsidRPr="0029687C" w:rsidRDefault="00921C97" w:rsidP="0047044F">
      <w:pPr>
        <w:pStyle w:val="ListNumber2"/>
        <w:numPr>
          <w:ilvl w:val="0"/>
          <w:numId w:val="29"/>
        </w:numPr>
        <w:spacing w:before="120" w:after="120"/>
        <w:ind w:left="714" w:hanging="357"/>
        <w:rPr>
          <w:sz w:val="22"/>
          <w:szCs w:val="22"/>
        </w:rPr>
      </w:pPr>
      <w:r w:rsidRPr="0029687C">
        <w:rPr>
          <w:sz w:val="22"/>
          <w:szCs w:val="22"/>
        </w:rPr>
        <w:t>The full process to determine what is produced locally and what is imported, including multiple layers of processing to increase benefit yield.</w:t>
      </w:r>
    </w:p>
    <w:p w14:paraId="47AE20B5" w14:textId="6745C30E" w:rsidR="00921C97" w:rsidRPr="0029687C" w:rsidRDefault="00921C97" w:rsidP="0047044F">
      <w:pPr>
        <w:pStyle w:val="ListNumber2"/>
        <w:numPr>
          <w:ilvl w:val="0"/>
          <w:numId w:val="29"/>
        </w:numPr>
        <w:spacing w:before="120" w:after="120"/>
        <w:ind w:left="714" w:hanging="357"/>
        <w:rPr>
          <w:sz w:val="22"/>
          <w:szCs w:val="22"/>
        </w:rPr>
      </w:pPr>
      <w:r w:rsidRPr="0029687C">
        <w:rPr>
          <w:sz w:val="22"/>
          <w:szCs w:val="22"/>
        </w:rPr>
        <w:t>The relevant differences between products – particularly whether derived from locally donated tissue or human tissue sourced from overseas – must be accounted for and wastage considered.</w:t>
      </w:r>
    </w:p>
    <w:p w14:paraId="7E298DE7" w14:textId="6CFA3485" w:rsidR="00921C97" w:rsidRPr="0029687C" w:rsidRDefault="00921C97" w:rsidP="0047044F">
      <w:pPr>
        <w:pStyle w:val="ListNumber2"/>
        <w:numPr>
          <w:ilvl w:val="0"/>
          <w:numId w:val="29"/>
        </w:numPr>
        <w:spacing w:before="120" w:after="120"/>
        <w:ind w:left="714" w:hanging="357"/>
        <w:rPr>
          <w:sz w:val="22"/>
          <w:szCs w:val="22"/>
        </w:rPr>
      </w:pPr>
      <w:r w:rsidRPr="0029687C">
        <w:rPr>
          <w:sz w:val="22"/>
          <w:szCs w:val="22"/>
        </w:rPr>
        <w:t>That i</w:t>
      </w:r>
      <w:r w:rsidR="00CF1939">
        <w:rPr>
          <w:sz w:val="22"/>
          <w:szCs w:val="22"/>
        </w:rPr>
        <w:t>t</w:t>
      </w:r>
      <w:r w:rsidRPr="0029687C">
        <w:rPr>
          <w:sz w:val="22"/>
          <w:szCs w:val="22"/>
        </w:rPr>
        <w:t xml:space="preserve"> does not impose ongoing additional burden on sponsors in the form of repetitive consultations.</w:t>
      </w:r>
    </w:p>
    <w:p w14:paraId="58FD677F" w14:textId="77777777" w:rsidR="00B972AD" w:rsidRPr="0029687C" w:rsidRDefault="00921C97" w:rsidP="0047044F">
      <w:pPr>
        <w:pStyle w:val="ListNumber2"/>
        <w:numPr>
          <w:ilvl w:val="0"/>
          <w:numId w:val="29"/>
        </w:numPr>
        <w:spacing w:before="120" w:after="120"/>
        <w:ind w:left="714" w:hanging="357"/>
        <w:rPr>
          <w:sz w:val="22"/>
          <w:szCs w:val="22"/>
        </w:rPr>
      </w:pPr>
      <w:r w:rsidRPr="0029687C">
        <w:rPr>
          <w:sz w:val="22"/>
          <w:szCs w:val="22"/>
        </w:rPr>
        <w:t>A review does not necessarily mean that the prohibition in trading will be removed.</w:t>
      </w:r>
    </w:p>
    <w:p w14:paraId="417FB0C9" w14:textId="03DF380F" w:rsidR="00B972AD" w:rsidRDefault="004146C2" w:rsidP="004237F6">
      <w:pPr>
        <w:pStyle w:val="Heading4"/>
      </w:pPr>
      <w:r>
        <w:t xml:space="preserve">Feedback against </w:t>
      </w:r>
      <w:r w:rsidR="004237F6">
        <w:t>Recommendation 8</w:t>
      </w:r>
    </w:p>
    <w:p w14:paraId="5F55E5E5" w14:textId="405C2474" w:rsidR="0035423E" w:rsidRPr="00390FCF" w:rsidRDefault="00390FCF" w:rsidP="00390FCF">
      <w:pPr>
        <w:pStyle w:val="ListBullet"/>
        <w:spacing w:before="120" w:after="120"/>
        <w:rPr>
          <w:sz w:val="22"/>
          <w:szCs w:val="22"/>
        </w:rPr>
      </w:pPr>
      <w:r>
        <w:rPr>
          <w:sz w:val="22"/>
          <w:szCs w:val="22"/>
        </w:rPr>
        <w:t xml:space="preserve">As the department has no power over state and territory legislation and it is not the role of the PLRT to develop policy or legislation in relation to human tissue products, the review should be clearly </w:t>
      </w:r>
      <w:r w:rsidR="00902551">
        <w:rPr>
          <w:sz w:val="22"/>
          <w:szCs w:val="22"/>
        </w:rPr>
        <w:t>defined,</w:t>
      </w:r>
      <w:r>
        <w:rPr>
          <w:sz w:val="22"/>
          <w:szCs w:val="22"/>
        </w:rPr>
        <w:t xml:space="preserve"> and stakeholders should be clearly advised of the parameters of the review and the PLRT’s powers. </w:t>
      </w:r>
    </w:p>
    <w:p w14:paraId="414E8568" w14:textId="2DB507AA" w:rsidR="00DC046D" w:rsidRDefault="00DA41F8" w:rsidP="0029687C">
      <w:pPr>
        <w:pStyle w:val="PolicyStatement"/>
        <w:spacing w:before="120" w:after="120" w:line="240" w:lineRule="auto"/>
        <w:rPr>
          <w:sz w:val="22"/>
          <w:szCs w:val="22"/>
        </w:rPr>
      </w:pPr>
      <w:r w:rsidRPr="007E38CE">
        <w:rPr>
          <w:sz w:val="22"/>
          <w:szCs w:val="22"/>
        </w:rPr>
        <w:t>The department agrees in-principle to this recommendation</w:t>
      </w:r>
      <w:r w:rsidR="00EF64A0">
        <w:rPr>
          <w:sz w:val="22"/>
          <w:szCs w:val="22"/>
        </w:rPr>
        <w:t>.</w:t>
      </w:r>
    </w:p>
    <w:p w14:paraId="30D0532B" w14:textId="0CF59FD2" w:rsidR="002A5D78" w:rsidRDefault="00DC046D" w:rsidP="0029687C">
      <w:pPr>
        <w:pStyle w:val="PolicyStatement"/>
        <w:spacing w:before="120" w:after="120" w:line="240" w:lineRule="auto"/>
        <w:rPr>
          <w:sz w:val="22"/>
          <w:szCs w:val="22"/>
        </w:rPr>
      </w:pPr>
      <w:r>
        <w:rPr>
          <w:sz w:val="22"/>
          <w:szCs w:val="22"/>
        </w:rPr>
        <w:t>On 15 August</w:t>
      </w:r>
      <w:r w:rsidR="00CB2732">
        <w:rPr>
          <w:sz w:val="22"/>
          <w:szCs w:val="22"/>
        </w:rPr>
        <w:t xml:space="preserve"> </w:t>
      </w:r>
      <w:r w:rsidR="00EF64A0">
        <w:rPr>
          <w:sz w:val="22"/>
          <w:szCs w:val="22"/>
        </w:rPr>
        <w:t>2024</w:t>
      </w:r>
      <w:r>
        <w:rPr>
          <w:sz w:val="22"/>
          <w:szCs w:val="22"/>
        </w:rPr>
        <w:t xml:space="preserve">, an Australian Law Reform Commission inquiry into human tissue laws was announced </w:t>
      </w:r>
      <w:r w:rsidRPr="00DC046D">
        <w:rPr>
          <w:sz w:val="22"/>
          <w:szCs w:val="22"/>
        </w:rPr>
        <w:t>to determine whether legislative reform is required to harmonise laws across the nation.</w:t>
      </w:r>
    </w:p>
    <w:p w14:paraId="7BDA2DE9" w14:textId="58BFCC0E" w:rsidR="002A5D78" w:rsidRDefault="00DC046D" w:rsidP="0029687C">
      <w:pPr>
        <w:pStyle w:val="PolicyStatement"/>
        <w:spacing w:before="120" w:after="120" w:line="240" w:lineRule="auto"/>
        <w:rPr>
          <w:sz w:val="22"/>
          <w:szCs w:val="22"/>
        </w:rPr>
      </w:pPr>
      <w:r>
        <w:rPr>
          <w:sz w:val="22"/>
          <w:szCs w:val="22"/>
        </w:rPr>
        <w:t>The department</w:t>
      </w:r>
      <w:r w:rsidR="00535C5C">
        <w:rPr>
          <w:sz w:val="22"/>
          <w:szCs w:val="22"/>
        </w:rPr>
        <w:t>’</w:t>
      </w:r>
      <w:r>
        <w:rPr>
          <w:sz w:val="22"/>
          <w:szCs w:val="22"/>
        </w:rPr>
        <w:t xml:space="preserve">s response to </w:t>
      </w:r>
      <w:r w:rsidR="00535C5C">
        <w:rPr>
          <w:sz w:val="22"/>
          <w:szCs w:val="22"/>
        </w:rPr>
        <w:t>R</w:t>
      </w:r>
      <w:r>
        <w:rPr>
          <w:sz w:val="22"/>
          <w:szCs w:val="22"/>
        </w:rPr>
        <w:t>ecommendation 7 further addresses this recommendation.</w:t>
      </w:r>
    </w:p>
    <w:p w14:paraId="74B063A7" w14:textId="6519714C" w:rsidR="000C037E" w:rsidRDefault="000C037E" w:rsidP="000C037E">
      <w:pPr>
        <w:pStyle w:val="Heading2"/>
      </w:pPr>
      <w:r w:rsidRPr="000C037E">
        <w:t>Recommendation 9 –</w:t>
      </w:r>
      <w:r w:rsidR="007E38CE">
        <w:t xml:space="preserve"> </w:t>
      </w:r>
      <w:r w:rsidRPr="007E38CE">
        <w:t>the department retain the Prescribed List items for autologous skull flaps and femoral heads</w:t>
      </w:r>
    </w:p>
    <w:p w14:paraId="193B8030" w14:textId="36DA2EE7" w:rsidR="00DF2168" w:rsidRPr="0029687C" w:rsidRDefault="00DF2168" w:rsidP="0029687C">
      <w:pPr>
        <w:pStyle w:val="Paragraphtext"/>
        <w:spacing w:after="120"/>
        <w:rPr>
          <w:sz w:val="22"/>
          <w:szCs w:val="22"/>
        </w:rPr>
      </w:pPr>
      <w:r w:rsidRPr="0029687C">
        <w:rPr>
          <w:sz w:val="22"/>
          <w:szCs w:val="22"/>
        </w:rPr>
        <w:t xml:space="preserve">The PL Guide should </w:t>
      </w:r>
      <w:r w:rsidR="00233CA2">
        <w:rPr>
          <w:sz w:val="22"/>
          <w:szCs w:val="22"/>
        </w:rPr>
        <w:t xml:space="preserve">define and </w:t>
      </w:r>
      <w:r w:rsidRPr="0029687C">
        <w:rPr>
          <w:sz w:val="22"/>
          <w:szCs w:val="22"/>
        </w:rPr>
        <w:t>clarify whether autologous products are eligible for listing and, if ineligible, that</w:t>
      </w:r>
      <w:r w:rsidR="00DC046D">
        <w:rPr>
          <w:sz w:val="22"/>
          <w:szCs w:val="22"/>
        </w:rPr>
        <w:t xml:space="preserve"> autologous</w:t>
      </w:r>
      <w:r w:rsidRPr="0029687C">
        <w:rPr>
          <w:sz w:val="22"/>
          <w:szCs w:val="22"/>
        </w:rPr>
        <w:t xml:space="preserve"> skull flaps and autologous femoral heads are removed from the list.</w:t>
      </w:r>
    </w:p>
    <w:p w14:paraId="229B1C1A" w14:textId="7CA387BA" w:rsidR="008124B5" w:rsidRDefault="008124B5" w:rsidP="00DF2168">
      <w:pPr>
        <w:pStyle w:val="Paragraphtext"/>
      </w:pPr>
      <w:r>
        <w:rPr>
          <w:noProof/>
        </w:rPr>
        <w:lastRenderedPageBreak/>
        <w:drawing>
          <wp:inline distT="0" distB="0" distL="0" distR="0" wp14:anchorId="289AEAC6" wp14:editId="0DEDBB10">
            <wp:extent cx="5699052" cy="2594107"/>
            <wp:effectExtent l="0" t="0" r="16510" b="15875"/>
            <wp:docPr id="13" name="Chart 13" descr="Stakeholder support to recommendation 9. 15% not in support. 85%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2750234" w14:textId="0B0E8711" w:rsidR="00DF2168" w:rsidRDefault="00DF2168" w:rsidP="006E10F2">
      <w:pPr>
        <w:pStyle w:val="Heading4"/>
      </w:pPr>
      <w:r>
        <w:t xml:space="preserve">Feedback in support </w:t>
      </w:r>
      <w:r w:rsidR="006E10F2">
        <w:t>of Recommendation 9</w:t>
      </w:r>
    </w:p>
    <w:p w14:paraId="3E9FDE30" w14:textId="77777777" w:rsidR="00E929C4" w:rsidRPr="0029687C" w:rsidRDefault="008C1AE2" w:rsidP="0029687C">
      <w:pPr>
        <w:pStyle w:val="ListBullet"/>
        <w:spacing w:before="120" w:after="120"/>
        <w:rPr>
          <w:sz w:val="22"/>
          <w:szCs w:val="22"/>
        </w:rPr>
      </w:pPr>
      <w:r w:rsidRPr="0029687C">
        <w:rPr>
          <w:sz w:val="22"/>
          <w:szCs w:val="22"/>
        </w:rPr>
        <w:t>If the products remain clinically safe and effective and there is a clinical use this will ensure there is a set minimum benefit.</w:t>
      </w:r>
    </w:p>
    <w:p w14:paraId="1B0A5693" w14:textId="03450027" w:rsidR="00E929C4" w:rsidRPr="0029687C" w:rsidRDefault="00E929C4" w:rsidP="0029687C">
      <w:pPr>
        <w:pStyle w:val="ListBullet"/>
        <w:spacing w:before="120" w:after="120"/>
        <w:rPr>
          <w:sz w:val="22"/>
          <w:szCs w:val="22"/>
        </w:rPr>
      </w:pPr>
      <w:r w:rsidRPr="0029687C">
        <w:rPr>
          <w:sz w:val="22"/>
          <w:szCs w:val="22"/>
        </w:rPr>
        <w:t>Currently, there are no autologous femoral heads listed.</w:t>
      </w:r>
    </w:p>
    <w:p w14:paraId="42FC1161" w14:textId="5F29B9C3" w:rsidR="008C1AE2" w:rsidRDefault="008C1AE2" w:rsidP="006E10F2">
      <w:pPr>
        <w:pStyle w:val="Heading4"/>
      </w:pPr>
      <w:r>
        <w:t xml:space="preserve">Feedback against </w:t>
      </w:r>
      <w:r w:rsidR="006E10F2">
        <w:t>Recommendation 9</w:t>
      </w:r>
    </w:p>
    <w:p w14:paraId="5086439B" w14:textId="7B761EB0" w:rsidR="00C23200" w:rsidRPr="0029687C" w:rsidRDefault="00C23200" w:rsidP="0029687C">
      <w:pPr>
        <w:pStyle w:val="ListBullet"/>
        <w:spacing w:before="120" w:after="120"/>
        <w:rPr>
          <w:sz w:val="22"/>
          <w:szCs w:val="22"/>
        </w:rPr>
      </w:pPr>
      <w:r w:rsidRPr="0029687C">
        <w:rPr>
          <w:sz w:val="22"/>
          <w:szCs w:val="22"/>
        </w:rPr>
        <w:t>The</w:t>
      </w:r>
      <w:r w:rsidR="004C138D" w:rsidRPr="0029687C">
        <w:rPr>
          <w:sz w:val="22"/>
          <w:szCs w:val="22"/>
        </w:rPr>
        <w:t>se products</w:t>
      </w:r>
      <w:r w:rsidRPr="0029687C">
        <w:rPr>
          <w:sz w:val="22"/>
          <w:szCs w:val="22"/>
        </w:rPr>
        <w:t xml:space="preserve"> are excluded from TGA regulation and therefore not listed on the ARTG</w:t>
      </w:r>
      <w:r w:rsidR="00831384" w:rsidRPr="0029687C">
        <w:rPr>
          <w:sz w:val="22"/>
          <w:szCs w:val="22"/>
        </w:rPr>
        <w:t>,</w:t>
      </w:r>
      <w:r w:rsidRPr="0029687C">
        <w:rPr>
          <w:sz w:val="22"/>
          <w:szCs w:val="22"/>
        </w:rPr>
        <w:t xml:space="preserve"> so they are ineligible for PL listing.</w:t>
      </w:r>
    </w:p>
    <w:p w14:paraId="49DC6CA5" w14:textId="0606D6A4" w:rsidR="00C23200" w:rsidRPr="0029687C" w:rsidRDefault="00C23200" w:rsidP="0029687C">
      <w:pPr>
        <w:pStyle w:val="ListBullet"/>
        <w:spacing w:before="120" w:after="120"/>
        <w:rPr>
          <w:sz w:val="22"/>
          <w:szCs w:val="22"/>
        </w:rPr>
      </w:pPr>
      <w:r w:rsidRPr="0029687C">
        <w:rPr>
          <w:sz w:val="22"/>
          <w:szCs w:val="22"/>
        </w:rPr>
        <w:t>Even though there is a cost in taking an autologous skin flap and retaining it, this is not a prosthes</w:t>
      </w:r>
      <w:r w:rsidR="00831384" w:rsidRPr="0029687C">
        <w:rPr>
          <w:sz w:val="22"/>
          <w:szCs w:val="22"/>
        </w:rPr>
        <w:t>e</w:t>
      </w:r>
      <w:r w:rsidRPr="0029687C">
        <w:rPr>
          <w:sz w:val="22"/>
          <w:szCs w:val="22"/>
        </w:rPr>
        <w:t>s or a third-party tissue item and should be funded outside the PL.</w:t>
      </w:r>
    </w:p>
    <w:p w14:paraId="3D91C327" w14:textId="4DACCD1C" w:rsidR="008C1AE2" w:rsidRPr="0029687C" w:rsidRDefault="00C23200" w:rsidP="00120ADC">
      <w:pPr>
        <w:pStyle w:val="ListBullet"/>
        <w:spacing w:before="120" w:after="0"/>
        <w:rPr>
          <w:sz w:val="22"/>
          <w:szCs w:val="22"/>
        </w:rPr>
      </w:pPr>
      <w:r w:rsidRPr="0029687C">
        <w:rPr>
          <w:sz w:val="22"/>
          <w:szCs w:val="22"/>
        </w:rPr>
        <w:t>There is a very low utilisation so the retention of the items is likely to have no commercial impact to PHI funds, but it may set up a later precedent that will be of concern.</w:t>
      </w:r>
    </w:p>
    <w:p w14:paraId="4DD376B7" w14:textId="4EC4639F" w:rsidR="00EF64A0" w:rsidRDefault="00EF64A0" w:rsidP="00120ADC">
      <w:pPr>
        <w:pStyle w:val="PolicyStatement"/>
        <w:spacing w:before="0" w:after="120" w:line="240" w:lineRule="auto"/>
        <w:ind w:left="0"/>
        <w:rPr>
          <w:sz w:val="22"/>
          <w:szCs w:val="22"/>
        </w:rPr>
      </w:pPr>
      <w:r w:rsidRPr="00EF64A0">
        <w:rPr>
          <w:sz w:val="22"/>
          <w:szCs w:val="22"/>
        </w:rPr>
        <w:t xml:space="preserve">Under the </w:t>
      </w:r>
      <w:r w:rsidRPr="00EF64A0">
        <w:rPr>
          <w:i/>
          <w:iCs/>
          <w:sz w:val="22"/>
          <w:szCs w:val="22"/>
        </w:rPr>
        <w:t>Private Health Insurance (Medical Devices and Human Tissue Products) Rules (No. 1) 2024</w:t>
      </w:r>
      <w:r w:rsidRPr="00EF64A0">
        <w:rPr>
          <w:sz w:val="22"/>
          <w:szCs w:val="22"/>
        </w:rPr>
        <w:t xml:space="preserve">, human tissue products must not be listed in Schedule 1 unless it is included in the Australian Register of Therapeutic Goods maintained under section 9A of the </w:t>
      </w:r>
      <w:r w:rsidRPr="00EF64A0">
        <w:rPr>
          <w:i/>
          <w:iCs/>
          <w:sz w:val="22"/>
          <w:szCs w:val="22"/>
        </w:rPr>
        <w:t>Therapeutic Goods Act 1989</w:t>
      </w:r>
      <w:r w:rsidRPr="00EF64A0">
        <w:rPr>
          <w:sz w:val="22"/>
          <w:szCs w:val="22"/>
        </w:rPr>
        <w:t xml:space="preserve">. As listing of human tissue products in Schedule 1 provides the ability for appropriate benefits to be set, the department will engage in further consultation regarding </w:t>
      </w:r>
      <w:r>
        <w:rPr>
          <w:sz w:val="22"/>
          <w:szCs w:val="22"/>
        </w:rPr>
        <w:t>R</w:t>
      </w:r>
      <w:r w:rsidRPr="00EF64A0">
        <w:rPr>
          <w:sz w:val="22"/>
          <w:szCs w:val="22"/>
        </w:rPr>
        <w:t>ecommendation 9.</w:t>
      </w:r>
    </w:p>
    <w:p w14:paraId="72D0D716" w14:textId="25CB2BAE" w:rsidR="001109A9" w:rsidRDefault="00972252" w:rsidP="00972252">
      <w:pPr>
        <w:pStyle w:val="Heading2"/>
      </w:pPr>
      <w:r w:rsidRPr="00972252">
        <w:t>Recommendation 10 –</w:t>
      </w:r>
      <w:r w:rsidR="007E38CE">
        <w:t xml:space="preserve"> </w:t>
      </w:r>
      <w:r w:rsidRPr="00972252">
        <w:t xml:space="preserve">the </w:t>
      </w:r>
      <w:r>
        <w:t>d</w:t>
      </w:r>
      <w:r w:rsidRPr="00972252">
        <w:t>epartment does not pursue restricting the use of Part B items to specific MBS items at this time</w:t>
      </w:r>
    </w:p>
    <w:p w14:paraId="14358925" w14:textId="7BD78EC8" w:rsidR="00CD60D4" w:rsidRPr="0029687C" w:rsidRDefault="00CD60D4" w:rsidP="0029687C">
      <w:pPr>
        <w:pStyle w:val="Paragraphtext"/>
        <w:spacing w:after="120"/>
        <w:rPr>
          <w:sz w:val="22"/>
          <w:szCs w:val="22"/>
        </w:rPr>
      </w:pPr>
      <w:r w:rsidRPr="0029687C">
        <w:rPr>
          <w:sz w:val="22"/>
          <w:szCs w:val="22"/>
        </w:rPr>
        <w:t xml:space="preserve">That Part B products undergoing HTA assessment have an agreed list of appropriate </w:t>
      </w:r>
      <w:r w:rsidR="009C5BDC">
        <w:rPr>
          <w:sz w:val="22"/>
          <w:szCs w:val="22"/>
        </w:rPr>
        <w:t>Medicare Benefits Schedule (</w:t>
      </w:r>
      <w:r w:rsidRPr="0029687C">
        <w:rPr>
          <w:sz w:val="22"/>
          <w:szCs w:val="22"/>
        </w:rPr>
        <w:t>MBS</w:t>
      </w:r>
      <w:r w:rsidR="009C5BDC">
        <w:rPr>
          <w:sz w:val="22"/>
          <w:szCs w:val="22"/>
        </w:rPr>
        <w:t>)</w:t>
      </w:r>
      <w:r w:rsidRPr="0029687C">
        <w:rPr>
          <w:sz w:val="22"/>
          <w:szCs w:val="22"/>
        </w:rPr>
        <w:t xml:space="preserve"> items assigned to them to enable their use to be restricted to specific clinical indications.</w:t>
      </w:r>
    </w:p>
    <w:p w14:paraId="29E842F4" w14:textId="77777777" w:rsidR="00644B94" w:rsidRPr="0029687C" w:rsidRDefault="00644B94" w:rsidP="0029687C">
      <w:pPr>
        <w:pStyle w:val="Paragraphtext"/>
        <w:spacing w:after="120"/>
        <w:rPr>
          <w:sz w:val="22"/>
          <w:szCs w:val="22"/>
        </w:rPr>
      </w:pPr>
      <w:r w:rsidRPr="0029687C">
        <w:rPr>
          <w:sz w:val="22"/>
          <w:szCs w:val="22"/>
        </w:rPr>
        <w:t>Support has been shown for the mandatory use of appropriate clinical registers to track usage and performance data. This will increase the availability of data on human tissue products and can improve the evidence base on clinical safety and cost-effectiveness when used for specific clinical indications. It would also discourage inappropriate use of human tissue in some settings.</w:t>
      </w:r>
    </w:p>
    <w:p w14:paraId="5BEF29F8" w14:textId="1A10720B" w:rsidR="00CD60D4" w:rsidRPr="00CD60D4" w:rsidRDefault="008E4837" w:rsidP="00CD60D4">
      <w:pPr>
        <w:pStyle w:val="Paragraphtext"/>
      </w:pPr>
      <w:r>
        <w:rPr>
          <w:noProof/>
        </w:rPr>
        <w:lastRenderedPageBreak/>
        <w:drawing>
          <wp:inline distT="0" distB="0" distL="0" distR="0" wp14:anchorId="03F3D2E9" wp14:editId="7E2AD1FC">
            <wp:extent cx="5486400" cy="2520000"/>
            <wp:effectExtent l="0" t="0" r="0" b="13970"/>
            <wp:docPr id="14" name="Chart 14" descr="Stakeholder support to recommendation 10. 20% not in support. 80% in supp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0B3101A" w14:textId="6ACC85D9" w:rsidR="00912BB2" w:rsidRDefault="00912BB2" w:rsidP="006A2543">
      <w:pPr>
        <w:pStyle w:val="Heading4"/>
      </w:pPr>
      <w:r>
        <w:t xml:space="preserve">Feedback in support </w:t>
      </w:r>
      <w:r w:rsidR="006A2543">
        <w:t>of Recommendation 10</w:t>
      </w:r>
    </w:p>
    <w:p w14:paraId="2278AF81" w14:textId="08937B8C" w:rsidR="008D2E8A" w:rsidRPr="0029687C" w:rsidRDefault="008D2E8A" w:rsidP="0029687C">
      <w:pPr>
        <w:pStyle w:val="ListBullet"/>
        <w:spacing w:before="120" w:after="120"/>
        <w:ind w:left="357" w:hanging="357"/>
        <w:rPr>
          <w:sz w:val="22"/>
          <w:szCs w:val="22"/>
        </w:rPr>
      </w:pPr>
      <w:r w:rsidRPr="0029687C">
        <w:rPr>
          <w:sz w:val="22"/>
          <w:szCs w:val="22"/>
        </w:rPr>
        <w:t>The</w:t>
      </w:r>
      <w:r w:rsidR="007E38CE">
        <w:rPr>
          <w:sz w:val="22"/>
          <w:szCs w:val="22"/>
        </w:rPr>
        <w:t xml:space="preserve"> d</w:t>
      </w:r>
      <w:r w:rsidR="00185E02" w:rsidRPr="0029687C">
        <w:rPr>
          <w:sz w:val="22"/>
          <w:szCs w:val="22"/>
        </w:rPr>
        <w:t>epartment</w:t>
      </w:r>
      <w:r w:rsidRPr="0029687C">
        <w:rPr>
          <w:sz w:val="22"/>
          <w:szCs w:val="22"/>
        </w:rPr>
        <w:t xml:space="preserve"> should </w:t>
      </w:r>
      <w:r w:rsidR="00F41D50">
        <w:rPr>
          <w:sz w:val="22"/>
          <w:szCs w:val="22"/>
        </w:rPr>
        <w:t>be</w:t>
      </w:r>
      <w:r w:rsidR="00F41D50" w:rsidRPr="0029687C">
        <w:rPr>
          <w:sz w:val="22"/>
          <w:szCs w:val="22"/>
        </w:rPr>
        <w:t xml:space="preserve"> </w:t>
      </w:r>
      <w:r w:rsidRPr="0029687C">
        <w:rPr>
          <w:sz w:val="22"/>
          <w:szCs w:val="22"/>
        </w:rPr>
        <w:t xml:space="preserve">consistent </w:t>
      </w:r>
      <w:r w:rsidR="006F019F">
        <w:rPr>
          <w:sz w:val="22"/>
          <w:szCs w:val="22"/>
        </w:rPr>
        <w:t xml:space="preserve">in the </w:t>
      </w:r>
      <w:r w:rsidRPr="0029687C">
        <w:rPr>
          <w:sz w:val="22"/>
          <w:szCs w:val="22"/>
        </w:rPr>
        <w:t xml:space="preserve">approach </w:t>
      </w:r>
      <w:r w:rsidR="00F41D50">
        <w:rPr>
          <w:sz w:val="22"/>
          <w:szCs w:val="22"/>
        </w:rPr>
        <w:t xml:space="preserve">to any limitations of use </w:t>
      </w:r>
      <w:r w:rsidRPr="0029687C">
        <w:rPr>
          <w:sz w:val="22"/>
          <w:szCs w:val="22"/>
        </w:rPr>
        <w:t>across the PL.</w:t>
      </w:r>
      <w:r w:rsidR="00382C3A" w:rsidRPr="0029687C">
        <w:rPr>
          <w:sz w:val="22"/>
          <w:szCs w:val="22"/>
        </w:rPr>
        <w:t xml:space="preserve"> </w:t>
      </w:r>
      <w:r w:rsidR="00F41D50">
        <w:rPr>
          <w:sz w:val="22"/>
          <w:szCs w:val="22"/>
        </w:rPr>
        <w:t>As t</w:t>
      </w:r>
      <w:r w:rsidRPr="0029687C">
        <w:rPr>
          <w:sz w:val="22"/>
          <w:szCs w:val="22"/>
        </w:rPr>
        <w:t xml:space="preserve">his is not being </w:t>
      </w:r>
      <w:r w:rsidR="00F41D50">
        <w:rPr>
          <w:sz w:val="22"/>
          <w:szCs w:val="22"/>
        </w:rPr>
        <w:t>applied to</w:t>
      </w:r>
      <w:r w:rsidRPr="0029687C">
        <w:rPr>
          <w:sz w:val="22"/>
          <w:szCs w:val="22"/>
        </w:rPr>
        <w:t xml:space="preserve"> Part A and C</w:t>
      </w:r>
      <w:r w:rsidR="00F41D50">
        <w:rPr>
          <w:sz w:val="22"/>
          <w:szCs w:val="22"/>
        </w:rPr>
        <w:t xml:space="preserve"> products</w:t>
      </w:r>
      <w:r w:rsidRPr="0029687C">
        <w:rPr>
          <w:sz w:val="22"/>
          <w:szCs w:val="22"/>
        </w:rPr>
        <w:t xml:space="preserve">, it should not be </w:t>
      </w:r>
      <w:r w:rsidR="00F41D50">
        <w:rPr>
          <w:sz w:val="22"/>
          <w:szCs w:val="22"/>
        </w:rPr>
        <w:t>applied to</w:t>
      </w:r>
      <w:r w:rsidRPr="0029687C">
        <w:rPr>
          <w:sz w:val="22"/>
          <w:szCs w:val="22"/>
        </w:rPr>
        <w:t xml:space="preserve"> Part </w:t>
      </w:r>
      <w:r w:rsidR="00EF2DCC" w:rsidRPr="0029687C">
        <w:rPr>
          <w:sz w:val="22"/>
          <w:szCs w:val="22"/>
        </w:rPr>
        <w:t>B</w:t>
      </w:r>
      <w:r w:rsidR="00F41D50">
        <w:rPr>
          <w:sz w:val="22"/>
          <w:szCs w:val="22"/>
        </w:rPr>
        <w:t xml:space="preserve"> products</w:t>
      </w:r>
      <w:r w:rsidRPr="0029687C">
        <w:rPr>
          <w:sz w:val="22"/>
          <w:szCs w:val="22"/>
        </w:rPr>
        <w:t>.</w:t>
      </w:r>
    </w:p>
    <w:p w14:paraId="0AF1B618" w14:textId="79A3F71A" w:rsidR="008D2E8A" w:rsidRPr="0029687C" w:rsidRDefault="008D2E8A" w:rsidP="0029687C">
      <w:pPr>
        <w:pStyle w:val="ListBullet"/>
        <w:spacing w:before="120" w:after="120"/>
        <w:ind w:left="357" w:hanging="357"/>
        <w:rPr>
          <w:sz w:val="22"/>
          <w:szCs w:val="22"/>
        </w:rPr>
      </w:pPr>
      <w:r w:rsidRPr="0029687C">
        <w:rPr>
          <w:sz w:val="22"/>
          <w:szCs w:val="22"/>
        </w:rPr>
        <w:t>Many allografts can be used for multiple purposes and</w:t>
      </w:r>
      <w:r w:rsidR="00F41D50">
        <w:rPr>
          <w:sz w:val="22"/>
          <w:szCs w:val="22"/>
        </w:rPr>
        <w:t>, therefore,</w:t>
      </w:r>
      <w:r w:rsidRPr="0029687C">
        <w:rPr>
          <w:sz w:val="22"/>
          <w:szCs w:val="22"/>
        </w:rPr>
        <w:t xml:space="preserve"> should not be limited.</w:t>
      </w:r>
    </w:p>
    <w:p w14:paraId="75E35C1B" w14:textId="143BE197" w:rsidR="008D2E8A" w:rsidRPr="00E634DE" w:rsidRDefault="00F41D50" w:rsidP="0029687C">
      <w:pPr>
        <w:pStyle w:val="ListBullet"/>
        <w:spacing w:before="120" w:after="120"/>
        <w:ind w:left="357" w:hanging="357"/>
        <w:rPr>
          <w:sz w:val="22"/>
          <w:szCs w:val="22"/>
        </w:rPr>
      </w:pPr>
      <w:r>
        <w:rPr>
          <w:sz w:val="22"/>
          <w:szCs w:val="22"/>
        </w:rPr>
        <w:t>H</w:t>
      </w:r>
      <w:r w:rsidR="008D2E8A" w:rsidRPr="0029687C">
        <w:rPr>
          <w:sz w:val="22"/>
          <w:szCs w:val="22"/>
        </w:rPr>
        <w:t>ospitals support maintaining clinical autonomy and</w:t>
      </w:r>
      <w:r w:rsidR="008D2E8A" w:rsidRPr="00E634DE">
        <w:rPr>
          <w:sz w:val="22"/>
          <w:szCs w:val="22"/>
        </w:rPr>
        <w:t xml:space="preserve"> choice.</w:t>
      </w:r>
    </w:p>
    <w:p w14:paraId="796D84E5" w14:textId="5F2E9B28" w:rsidR="00047BC8" w:rsidRDefault="00047BC8" w:rsidP="00047BC8">
      <w:pPr>
        <w:pStyle w:val="Heading4"/>
      </w:pPr>
      <w:r>
        <w:t>Stakeholder suggestions</w:t>
      </w:r>
      <w:r w:rsidR="00087E0E">
        <w:t xml:space="preserve"> </w:t>
      </w:r>
      <w:r w:rsidR="00752799">
        <w:t xml:space="preserve">for </w:t>
      </w:r>
      <w:r w:rsidR="00087E0E">
        <w:t>Recommendation 10</w:t>
      </w:r>
    </w:p>
    <w:p w14:paraId="79904EAE" w14:textId="07116F01" w:rsidR="00047BC8" w:rsidRPr="0029687C" w:rsidRDefault="00F41D50" w:rsidP="0029687C">
      <w:pPr>
        <w:pStyle w:val="ListBullet"/>
        <w:spacing w:before="120" w:after="120"/>
        <w:ind w:left="357" w:hanging="357"/>
        <w:rPr>
          <w:sz w:val="22"/>
          <w:szCs w:val="22"/>
        </w:rPr>
      </w:pPr>
      <w:r>
        <w:rPr>
          <w:sz w:val="22"/>
          <w:szCs w:val="22"/>
        </w:rPr>
        <w:t>The department should c</w:t>
      </w:r>
      <w:r w:rsidR="00047BC8" w:rsidRPr="0029687C">
        <w:rPr>
          <w:sz w:val="22"/>
          <w:szCs w:val="22"/>
        </w:rPr>
        <w:t xml:space="preserve">onduct a HTA review </w:t>
      </w:r>
      <w:r>
        <w:rPr>
          <w:sz w:val="22"/>
          <w:szCs w:val="22"/>
        </w:rPr>
        <w:t>to</w:t>
      </w:r>
      <w:r w:rsidR="00047BC8" w:rsidRPr="0029687C">
        <w:rPr>
          <w:sz w:val="22"/>
          <w:szCs w:val="22"/>
        </w:rPr>
        <w:t xml:space="preserve"> compar</w:t>
      </w:r>
      <w:r>
        <w:rPr>
          <w:sz w:val="22"/>
          <w:szCs w:val="22"/>
        </w:rPr>
        <w:t>e</w:t>
      </w:r>
      <w:r w:rsidR="00047BC8" w:rsidRPr="0029687C">
        <w:rPr>
          <w:sz w:val="22"/>
          <w:szCs w:val="22"/>
        </w:rPr>
        <w:t xml:space="preserve"> patient outcomes </w:t>
      </w:r>
      <w:r>
        <w:rPr>
          <w:sz w:val="22"/>
          <w:szCs w:val="22"/>
        </w:rPr>
        <w:t>after</w:t>
      </w:r>
      <w:r w:rsidR="00047BC8" w:rsidRPr="0029687C">
        <w:rPr>
          <w:sz w:val="22"/>
          <w:szCs w:val="22"/>
        </w:rPr>
        <w:t xml:space="preserve"> </w:t>
      </w:r>
      <w:r>
        <w:rPr>
          <w:sz w:val="22"/>
          <w:szCs w:val="22"/>
        </w:rPr>
        <w:t>comparable</w:t>
      </w:r>
      <w:r w:rsidRPr="0029687C">
        <w:rPr>
          <w:sz w:val="22"/>
          <w:szCs w:val="22"/>
        </w:rPr>
        <w:t xml:space="preserve"> </w:t>
      </w:r>
      <w:r>
        <w:rPr>
          <w:sz w:val="22"/>
          <w:szCs w:val="22"/>
        </w:rPr>
        <w:t xml:space="preserve">spinal </w:t>
      </w:r>
      <w:r w:rsidR="00047BC8" w:rsidRPr="0029687C">
        <w:rPr>
          <w:sz w:val="22"/>
          <w:szCs w:val="22"/>
        </w:rPr>
        <w:t xml:space="preserve">surgeries </w:t>
      </w:r>
      <w:r>
        <w:rPr>
          <w:sz w:val="22"/>
          <w:szCs w:val="22"/>
        </w:rPr>
        <w:t xml:space="preserve">where an allograft is used in one surgery and not the other. This will assist </w:t>
      </w:r>
      <w:r w:rsidR="00047BC8" w:rsidRPr="0029687C">
        <w:rPr>
          <w:sz w:val="22"/>
          <w:szCs w:val="22"/>
        </w:rPr>
        <w:t>to determine the true value of each.</w:t>
      </w:r>
    </w:p>
    <w:p w14:paraId="6BE22507" w14:textId="5840B3C9" w:rsidR="004A6C56" w:rsidRDefault="00180FD7" w:rsidP="00573DBD">
      <w:pPr>
        <w:pStyle w:val="Heading4"/>
      </w:pPr>
      <w:r>
        <w:t xml:space="preserve">Feedback against </w:t>
      </w:r>
      <w:r w:rsidR="00573DBD">
        <w:t>Recommendation 10</w:t>
      </w:r>
    </w:p>
    <w:p w14:paraId="02D15A84" w14:textId="18B20548" w:rsidR="004A6C56" w:rsidRPr="0029687C" w:rsidRDefault="004A6C56" w:rsidP="0029687C">
      <w:pPr>
        <w:pStyle w:val="ListBullet"/>
        <w:spacing w:before="120" w:after="120"/>
        <w:rPr>
          <w:sz w:val="22"/>
          <w:szCs w:val="22"/>
        </w:rPr>
      </w:pPr>
      <w:r w:rsidRPr="0029687C">
        <w:rPr>
          <w:sz w:val="22"/>
          <w:szCs w:val="22"/>
        </w:rPr>
        <w:t xml:space="preserve">There is no policy justification </w:t>
      </w:r>
      <w:r w:rsidR="00F41D50">
        <w:rPr>
          <w:sz w:val="22"/>
          <w:szCs w:val="22"/>
        </w:rPr>
        <w:t>to</w:t>
      </w:r>
      <w:r w:rsidR="00F41D50" w:rsidRPr="0029687C">
        <w:rPr>
          <w:sz w:val="22"/>
          <w:szCs w:val="22"/>
        </w:rPr>
        <w:t xml:space="preserve"> </w:t>
      </w:r>
      <w:r w:rsidRPr="0029687C">
        <w:rPr>
          <w:sz w:val="22"/>
          <w:szCs w:val="22"/>
        </w:rPr>
        <w:t>treat medical devices differently to pharmaceuticals</w:t>
      </w:r>
      <w:r w:rsidR="00F41D50">
        <w:rPr>
          <w:sz w:val="22"/>
          <w:szCs w:val="22"/>
        </w:rPr>
        <w:t xml:space="preserve"> where</w:t>
      </w:r>
      <w:r w:rsidRPr="0029687C">
        <w:rPr>
          <w:sz w:val="22"/>
          <w:szCs w:val="22"/>
        </w:rPr>
        <w:t xml:space="preserve"> the government restricts use to clinically relevant and cost-effective indications.</w:t>
      </w:r>
    </w:p>
    <w:p w14:paraId="348A1E98" w14:textId="3E32EB86" w:rsidR="004A6C56" w:rsidRPr="0029687C" w:rsidRDefault="004A6C56" w:rsidP="0029687C">
      <w:pPr>
        <w:pStyle w:val="ListBullet"/>
        <w:spacing w:before="120" w:after="120"/>
        <w:rPr>
          <w:sz w:val="22"/>
          <w:szCs w:val="22"/>
        </w:rPr>
      </w:pPr>
      <w:r w:rsidRPr="0029687C">
        <w:rPr>
          <w:sz w:val="22"/>
          <w:szCs w:val="22"/>
        </w:rPr>
        <w:t xml:space="preserve">The </w:t>
      </w:r>
      <w:r w:rsidR="004D3F4B" w:rsidRPr="0029687C">
        <w:rPr>
          <w:sz w:val="22"/>
          <w:szCs w:val="22"/>
        </w:rPr>
        <w:t>d</w:t>
      </w:r>
      <w:r w:rsidR="00185E02" w:rsidRPr="0029687C">
        <w:rPr>
          <w:sz w:val="22"/>
          <w:szCs w:val="22"/>
        </w:rPr>
        <w:t>epartment</w:t>
      </w:r>
      <w:r w:rsidRPr="0029687C">
        <w:rPr>
          <w:sz w:val="22"/>
          <w:szCs w:val="22"/>
        </w:rPr>
        <w:t xml:space="preserve"> </w:t>
      </w:r>
      <w:r w:rsidR="00F41D50">
        <w:rPr>
          <w:sz w:val="22"/>
          <w:szCs w:val="22"/>
        </w:rPr>
        <w:t>should</w:t>
      </w:r>
      <w:r w:rsidRPr="0029687C">
        <w:rPr>
          <w:sz w:val="22"/>
          <w:szCs w:val="22"/>
        </w:rPr>
        <w:t xml:space="preserve"> </w:t>
      </w:r>
      <w:r w:rsidR="00A45AC1">
        <w:rPr>
          <w:sz w:val="22"/>
          <w:szCs w:val="22"/>
        </w:rPr>
        <w:t>review</w:t>
      </w:r>
      <w:r w:rsidRPr="0029687C">
        <w:rPr>
          <w:sz w:val="22"/>
          <w:szCs w:val="22"/>
        </w:rPr>
        <w:t xml:space="preserve"> the rapid rise in </w:t>
      </w:r>
      <w:r w:rsidR="00A45AC1">
        <w:rPr>
          <w:sz w:val="22"/>
          <w:szCs w:val="22"/>
        </w:rPr>
        <w:t xml:space="preserve">the </w:t>
      </w:r>
      <w:r w:rsidRPr="0029687C">
        <w:rPr>
          <w:sz w:val="22"/>
          <w:szCs w:val="22"/>
        </w:rPr>
        <w:t>u</w:t>
      </w:r>
      <w:r w:rsidR="00A45AC1">
        <w:rPr>
          <w:sz w:val="22"/>
          <w:szCs w:val="22"/>
        </w:rPr>
        <w:t>se</w:t>
      </w:r>
      <w:r w:rsidRPr="0029687C">
        <w:rPr>
          <w:sz w:val="22"/>
          <w:szCs w:val="22"/>
        </w:rPr>
        <w:t xml:space="preserve"> and consequent billing of human tissue products and </w:t>
      </w:r>
      <w:r w:rsidR="00A45AC1">
        <w:rPr>
          <w:sz w:val="22"/>
          <w:szCs w:val="22"/>
        </w:rPr>
        <w:t>the</w:t>
      </w:r>
      <w:r w:rsidR="00A45AC1" w:rsidRPr="0029687C">
        <w:rPr>
          <w:sz w:val="22"/>
          <w:szCs w:val="22"/>
        </w:rPr>
        <w:t xml:space="preserve"> </w:t>
      </w:r>
      <w:r w:rsidRPr="0029687C">
        <w:rPr>
          <w:sz w:val="22"/>
          <w:szCs w:val="22"/>
        </w:rPr>
        <w:t xml:space="preserve">increase in commercial </w:t>
      </w:r>
      <w:r w:rsidR="00902551" w:rsidRPr="0029687C">
        <w:rPr>
          <w:sz w:val="22"/>
          <w:szCs w:val="22"/>
        </w:rPr>
        <w:t>suppliers</w:t>
      </w:r>
      <w:r w:rsidR="00902551">
        <w:rPr>
          <w:sz w:val="22"/>
          <w:szCs w:val="22"/>
        </w:rPr>
        <w:t xml:space="preserve"> and</w:t>
      </w:r>
      <w:r w:rsidR="00A45AC1">
        <w:rPr>
          <w:sz w:val="22"/>
          <w:szCs w:val="22"/>
        </w:rPr>
        <w:t xml:space="preserve"> take action in relation to this</w:t>
      </w:r>
      <w:r w:rsidRPr="0029687C">
        <w:rPr>
          <w:sz w:val="22"/>
          <w:szCs w:val="22"/>
        </w:rPr>
        <w:t>.</w:t>
      </w:r>
    </w:p>
    <w:p w14:paraId="469EC028" w14:textId="3D2BAC0B" w:rsidR="004A6C56" w:rsidRPr="0029687C" w:rsidRDefault="00A45AC1" w:rsidP="0029687C">
      <w:pPr>
        <w:pStyle w:val="ListBullet"/>
        <w:spacing w:before="120" w:after="120"/>
        <w:rPr>
          <w:sz w:val="22"/>
          <w:szCs w:val="22"/>
        </w:rPr>
      </w:pPr>
      <w:r>
        <w:rPr>
          <w:sz w:val="22"/>
          <w:szCs w:val="22"/>
        </w:rPr>
        <w:t xml:space="preserve">Some stakeholders strongly supported </w:t>
      </w:r>
      <w:r w:rsidR="004A6C56" w:rsidRPr="0029687C">
        <w:rPr>
          <w:sz w:val="22"/>
          <w:szCs w:val="22"/>
        </w:rPr>
        <w:t xml:space="preserve">linking the use of Part B items to specific clinical indications, MBS, </w:t>
      </w:r>
      <w:r w:rsidR="00D64333" w:rsidRPr="00D64333">
        <w:rPr>
          <w:sz w:val="22"/>
          <w:szCs w:val="22"/>
        </w:rPr>
        <w:t xml:space="preserve">Australian Refined Diagnosis Related Groups </w:t>
      </w:r>
      <w:r w:rsidR="00D64333">
        <w:rPr>
          <w:sz w:val="22"/>
          <w:szCs w:val="22"/>
        </w:rPr>
        <w:t>(</w:t>
      </w:r>
      <w:r w:rsidR="004A6C56" w:rsidRPr="0029687C">
        <w:rPr>
          <w:sz w:val="22"/>
          <w:szCs w:val="22"/>
        </w:rPr>
        <w:t>AR-DRG</w:t>
      </w:r>
      <w:r w:rsidR="00D64333">
        <w:rPr>
          <w:sz w:val="22"/>
          <w:szCs w:val="22"/>
        </w:rPr>
        <w:t>)</w:t>
      </w:r>
      <w:r w:rsidR="004A6C56" w:rsidRPr="0029687C">
        <w:rPr>
          <w:sz w:val="22"/>
          <w:szCs w:val="22"/>
        </w:rPr>
        <w:t xml:space="preserve"> and </w:t>
      </w:r>
      <w:r w:rsidR="00CD12C9" w:rsidRPr="00CD12C9">
        <w:rPr>
          <w:sz w:val="22"/>
          <w:szCs w:val="22"/>
        </w:rPr>
        <w:t xml:space="preserve">Australian Classification of Health Intervention </w:t>
      </w:r>
      <w:r w:rsidR="00CD12C9">
        <w:rPr>
          <w:sz w:val="22"/>
          <w:szCs w:val="22"/>
        </w:rPr>
        <w:t>(</w:t>
      </w:r>
      <w:r w:rsidR="004A6C56" w:rsidRPr="0029687C">
        <w:rPr>
          <w:sz w:val="22"/>
          <w:szCs w:val="22"/>
        </w:rPr>
        <w:t>ACHI</w:t>
      </w:r>
      <w:r w:rsidR="00CD12C9">
        <w:rPr>
          <w:sz w:val="22"/>
          <w:szCs w:val="22"/>
        </w:rPr>
        <w:t>)</w:t>
      </w:r>
      <w:r w:rsidR="004A6C56" w:rsidRPr="0029687C">
        <w:rPr>
          <w:sz w:val="22"/>
          <w:szCs w:val="22"/>
        </w:rPr>
        <w:t xml:space="preserve"> codes to actively promote quality use, clinical and cost effectiveness.</w:t>
      </w:r>
    </w:p>
    <w:p w14:paraId="0AB8E011" w14:textId="0A3AAE7D" w:rsidR="009C5E03" w:rsidRDefault="007E38CE" w:rsidP="00120ADC">
      <w:pPr>
        <w:pStyle w:val="PolicyStatement"/>
        <w:spacing w:before="120" w:after="120" w:line="240" w:lineRule="auto"/>
        <w:ind w:left="0"/>
        <w:rPr>
          <w:sz w:val="22"/>
          <w:szCs w:val="22"/>
        </w:rPr>
      </w:pPr>
      <w:r w:rsidRPr="007E38CE">
        <w:rPr>
          <w:sz w:val="22"/>
          <w:szCs w:val="22"/>
        </w:rPr>
        <w:t xml:space="preserve">The </w:t>
      </w:r>
      <w:r w:rsidR="006F019F" w:rsidRPr="007E38CE">
        <w:rPr>
          <w:sz w:val="22"/>
          <w:szCs w:val="22"/>
        </w:rPr>
        <w:t>department</w:t>
      </w:r>
      <w:r w:rsidRPr="007E38CE">
        <w:rPr>
          <w:sz w:val="22"/>
          <w:szCs w:val="22"/>
        </w:rPr>
        <w:t xml:space="preserve"> </w:t>
      </w:r>
      <w:r w:rsidR="006B4C0C" w:rsidRPr="007E38CE">
        <w:rPr>
          <w:sz w:val="22"/>
          <w:szCs w:val="22"/>
        </w:rPr>
        <w:t xml:space="preserve">will confirm if it </w:t>
      </w:r>
      <w:r w:rsidR="00902551" w:rsidRPr="007E38CE">
        <w:rPr>
          <w:sz w:val="22"/>
          <w:szCs w:val="22"/>
        </w:rPr>
        <w:t>does not pursue</w:t>
      </w:r>
      <w:r w:rsidR="006B4C0C" w:rsidRPr="007E38CE">
        <w:rPr>
          <w:sz w:val="22"/>
          <w:szCs w:val="22"/>
        </w:rPr>
        <w:t xml:space="preserve"> restricting the use of Part B items to specific MBS items and inform the sector of the outcome</w:t>
      </w:r>
      <w:r>
        <w:rPr>
          <w:sz w:val="22"/>
          <w:szCs w:val="22"/>
        </w:rPr>
        <w:t>.</w:t>
      </w:r>
    </w:p>
    <w:p w14:paraId="5EBD884D" w14:textId="4703CDC2" w:rsidR="00A42CC2" w:rsidRDefault="004C25EE" w:rsidP="00A42CC2">
      <w:pPr>
        <w:pStyle w:val="Heading1"/>
      </w:pPr>
      <w:r>
        <w:t>Other questions</w:t>
      </w:r>
    </w:p>
    <w:p w14:paraId="7691FCEC" w14:textId="6D472E06" w:rsidR="004C25EE" w:rsidRDefault="00142D99" w:rsidP="00A42CC2">
      <w:pPr>
        <w:pStyle w:val="Heading2"/>
      </w:pPr>
      <w:r w:rsidRPr="00142D99">
        <w:t xml:space="preserve">Do you support the proposed </w:t>
      </w:r>
      <w:r w:rsidRPr="00A42CC2">
        <w:t>restructure</w:t>
      </w:r>
      <w:r w:rsidRPr="00142D99">
        <w:t xml:space="preserve"> of Part B?</w:t>
      </w:r>
    </w:p>
    <w:p w14:paraId="7F039B28" w14:textId="627C5E5B" w:rsidR="00D33717" w:rsidRPr="0029687C" w:rsidRDefault="00D33717" w:rsidP="0029687C">
      <w:pPr>
        <w:pStyle w:val="Paragraphtext"/>
        <w:spacing w:after="120"/>
        <w:rPr>
          <w:sz w:val="22"/>
          <w:szCs w:val="22"/>
        </w:rPr>
      </w:pPr>
      <w:r w:rsidRPr="0029687C">
        <w:rPr>
          <w:sz w:val="22"/>
          <w:szCs w:val="22"/>
        </w:rPr>
        <w:t>M</w:t>
      </w:r>
      <w:r w:rsidR="00027AA5" w:rsidRPr="0029687C">
        <w:rPr>
          <w:sz w:val="22"/>
          <w:szCs w:val="22"/>
        </w:rPr>
        <w:t>ost r</w:t>
      </w:r>
      <w:r w:rsidRPr="0029687C">
        <w:rPr>
          <w:sz w:val="22"/>
          <w:szCs w:val="22"/>
        </w:rPr>
        <w:t>espondents referred</w:t>
      </w:r>
      <w:r w:rsidR="00027AA5" w:rsidRPr="0029687C">
        <w:rPr>
          <w:sz w:val="22"/>
          <w:szCs w:val="22"/>
        </w:rPr>
        <w:t xml:space="preserve"> to</w:t>
      </w:r>
      <w:r w:rsidRPr="0029687C">
        <w:rPr>
          <w:sz w:val="22"/>
          <w:szCs w:val="22"/>
        </w:rPr>
        <w:t xml:space="preserve"> their response to </w:t>
      </w:r>
      <w:r w:rsidR="00027AA5" w:rsidRPr="0029687C">
        <w:rPr>
          <w:sz w:val="22"/>
          <w:szCs w:val="22"/>
        </w:rPr>
        <w:t>R</w:t>
      </w:r>
      <w:r w:rsidRPr="0029687C">
        <w:rPr>
          <w:sz w:val="22"/>
          <w:szCs w:val="22"/>
        </w:rPr>
        <w:t>ecommendation 3</w:t>
      </w:r>
      <w:r w:rsidR="003D4F9C">
        <w:rPr>
          <w:sz w:val="22"/>
          <w:szCs w:val="22"/>
        </w:rPr>
        <w:t xml:space="preserve"> </w:t>
      </w:r>
      <w:r w:rsidR="003D4F9C" w:rsidRPr="007E38CE">
        <w:rPr>
          <w:sz w:val="22"/>
          <w:szCs w:val="22"/>
        </w:rPr>
        <w:t>(75% in support)</w:t>
      </w:r>
      <w:r w:rsidRPr="007E38CE">
        <w:rPr>
          <w:sz w:val="22"/>
          <w:szCs w:val="22"/>
        </w:rPr>
        <w:t>.</w:t>
      </w:r>
    </w:p>
    <w:p w14:paraId="157A95A4" w14:textId="3BA1305E" w:rsidR="007B678B" w:rsidRDefault="00792050" w:rsidP="007B678B">
      <w:pPr>
        <w:pStyle w:val="Heading4"/>
      </w:pPr>
      <w:r>
        <w:lastRenderedPageBreak/>
        <w:t>Feedback against the proposed grouping structure for Part B</w:t>
      </w:r>
    </w:p>
    <w:p w14:paraId="1ACB75B2" w14:textId="79854D0D" w:rsidR="007B678B" w:rsidRPr="0029687C" w:rsidRDefault="00A77F70" w:rsidP="0029687C">
      <w:pPr>
        <w:pStyle w:val="ListBullet"/>
        <w:spacing w:before="120" w:after="120"/>
        <w:ind w:left="357" w:hanging="357"/>
        <w:rPr>
          <w:sz w:val="22"/>
          <w:szCs w:val="22"/>
        </w:rPr>
      </w:pPr>
      <w:r>
        <w:rPr>
          <w:sz w:val="22"/>
          <w:szCs w:val="22"/>
        </w:rPr>
        <w:t>A grouping structure for Part B is n</w:t>
      </w:r>
      <w:r w:rsidR="007B678B" w:rsidRPr="0029687C">
        <w:rPr>
          <w:sz w:val="22"/>
          <w:szCs w:val="22"/>
        </w:rPr>
        <w:t>ot necessary for ophthalmology</w:t>
      </w:r>
      <w:r w:rsidR="007E38CE">
        <w:rPr>
          <w:sz w:val="22"/>
          <w:szCs w:val="22"/>
        </w:rPr>
        <w:t>.</w:t>
      </w:r>
    </w:p>
    <w:p w14:paraId="59DCDDF7" w14:textId="59CB26EA" w:rsidR="007B678B" w:rsidRPr="0029687C" w:rsidRDefault="00B02D26" w:rsidP="0029687C">
      <w:pPr>
        <w:pStyle w:val="ListBullet"/>
        <w:spacing w:before="120" w:after="120"/>
        <w:ind w:left="357" w:hanging="357"/>
        <w:rPr>
          <w:sz w:val="22"/>
          <w:szCs w:val="22"/>
        </w:rPr>
      </w:pPr>
      <w:r>
        <w:rPr>
          <w:sz w:val="22"/>
          <w:szCs w:val="22"/>
        </w:rPr>
        <w:t>A g</w:t>
      </w:r>
      <w:r w:rsidR="007B678B" w:rsidRPr="0029687C">
        <w:rPr>
          <w:sz w:val="22"/>
          <w:szCs w:val="22"/>
        </w:rPr>
        <w:t xml:space="preserve">rouping </w:t>
      </w:r>
      <w:r>
        <w:rPr>
          <w:sz w:val="22"/>
          <w:szCs w:val="22"/>
        </w:rPr>
        <w:t xml:space="preserve">structure </w:t>
      </w:r>
      <w:r w:rsidR="007B678B" w:rsidRPr="0029687C">
        <w:rPr>
          <w:sz w:val="22"/>
          <w:szCs w:val="22"/>
        </w:rPr>
        <w:t>has no purpose except to benchmark prices</w:t>
      </w:r>
      <w:r>
        <w:rPr>
          <w:sz w:val="22"/>
          <w:szCs w:val="22"/>
        </w:rPr>
        <w:t>,</w:t>
      </w:r>
      <w:r w:rsidR="007B678B" w:rsidRPr="0029687C">
        <w:rPr>
          <w:sz w:val="22"/>
          <w:szCs w:val="22"/>
        </w:rPr>
        <w:t xml:space="preserve"> which is counterproductive in a cost</w:t>
      </w:r>
      <w:r w:rsidR="00792050" w:rsidRPr="0029687C">
        <w:rPr>
          <w:sz w:val="22"/>
          <w:szCs w:val="22"/>
        </w:rPr>
        <w:t>-</w:t>
      </w:r>
      <w:r w:rsidR="007B678B" w:rsidRPr="0029687C">
        <w:rPr>
          <w:sz w:val="22"/>
          <w:szCs w:val="22"/>
        </w:rPr>
        <w:t>recovery environment.</w:t>
      </w:r>
    </w:p>
    <w:p w14:paraId="486447AA" w14:textId="752095E9" w:rsidR="00D33717" w:rsidRDefault="00FD0BEE" w:rsidP="00FD0BEE">
      <w:pPr>
        <w:pStyle w:val="Heading4"/>
      </w:pPr>
      <w:r>
        <w:t>Stakeholder suggestions</w:t>
      </w:r>
    </w:p>
    <w:p w14:paraId="00FBA016" w14:textId="168342C4" w:rsidR="00D33717" w:rsidRPr="0029687C" w:rsidRDefault="00B02D26" w:rsidP="0029687C">
      <w:pPr>
        <w:pStyle w:val="ListBullet"/>
        <w:spacing w:before="120" w:after="120"/>
        <w:ind w:hanging="357"/>
        <w:rPr>
          <w:sz w:val="22"/>
          <w:szCs w:val="22"/>
        </w:rPr>
      </w:pPr>
      <w:r>
        <w:rPr>
          <w:sz w:val="22"/>
          <w:szCs w:val="22"/>
        </w:rPr>
        <w:t xml:space="preserve">Stakeholders </w:t>
      </w:r>
      <w:r w:rsidR="00561AE4" w:rsidRPr="0029687C">
        <w:rPr>
          <w:sz w:val="22"/>
          <w:szCs w:val="22"/>
        </w:rPr>
        <w:t xml:space="preserve">proposed </w:t>
      </w:r>
      <w:r w:rsidR="00CF1939">
        <w:rPr>
          <w:sz w:val="22"/>
          <w:szCs w:val="22"/>
        </w:rPr>
        <w:t xml:space="preserve">any </w:t>
      </w:r>
      <w:r w:rsidR="00561AE4" w:rsidRPr="0029687C">
        <w:rPr>
          <w:sz w:val="22"/>
          <w:szCs w:val="22"/>
        </w:rPr>
        <w:t>grouping structure</w:t>
      </w:r>
      <w:r>
        <w:rPr>
          <w:sz w:val="22"/>
          <w:szCs w:val="22"/>
        </w:rPr>
        <w:t xml:space="preserve"> should </w:t>
      </w:r>
      <w:r w:rsidR="00902551">
        <w:rPr>
          <w:sz w:val="22"/>
          <w:szCs w:val="22"/>
        </w:rPr>
        <w:t>include</w:t>
      </w:r>
      <w:r w:rsidR="00561AE4" w:rsidRPr="0029687C">
        <w:rPr>
          <w:sz w:val="22"/>
          <w:szCs w:val="22"/>
        </w:rPr>
        <w:t xml:space="preserve"> g</w:t>
      </w:r>
      <w:r w:rsidR="00D33717" w:rsidRPr="0029687C">
        <w:rPr>
          <w:sz w:val="22"/>
          <w:szCs w:val="22"/>
        </w:rPr>
        <w:t>rouping like</w:t>
      </w:r>
      <w:r w:rsidR="004C7E7C" w:rsidRPr="0029687C">
        <w:rPr>
          <w:sz w:val="22"/>
          <w:szCs w:val="22"/>
        </w:rPr>
        <w:t>-</w:t>
      </w:r>
      <w:r w:rsidR="00D33717" w:rsidRPr="0029687C">
        <w:rPr>
          <w:sz w:val="22"/>
          <w:szCs w:val="22"/>
        </w:rPr>
        <w:t>to</w:t>
      </w:r>
      <w:r w:rsidR="004C7E7C" w:rsidRPr="0029687C">
        <w:rPr>
          <w:sz w:val="22"/>
          <w:szCs w:val="22"/>
        </w:rPr>
        <w:t>-</w:t>
      </w:r>
      <w:r w:rsidR="00D33717" w:rsidRPr="0029687C">
        <w:rPr>
          <w:sz w:val="22"/>
          <w:szCs w:val="22"/>
        </w:rPr>
        <w:t>like items and tissues</w:t>
      </w:r>
      <w:r w:rsidR="004C7E7C" w:rsidRPr="0029687C">
        <w:rPr>
          <w:sz w:val="22"/>
          <w:szCs w:val="22"/>
        </w:rPr>
        <w:t>, so</w:t>
      </w:r>
      <w:r w:rsidR="00D33717" w:rsidRPr="0029687C">
        <w:rPr>
          <w:sz w:val="22"/>
          <w:szCs w:val="22"/>
        </w:rPr>
        <w:t xml:space="preserve"> it is easier to identify differences in cost for similar cadaveric tissue locally sourced and prepped, along with imported or heavily engineered tissues.</w:t>
      </w:r>
    </w:p>
    <w:p w14:paraId="0220CD9C" w14:textId="051A59DB" w:rsidR="00B02D26" w:rsidRDefault="00B02D26" w:rsidP="0029687C">
      <w:pPr>
        <w:pStyle w:val="ListBullet"/>
        <w:spacing w:before="120" w:after="120"/>
        <w:ind w:hanging="357"/>
        <w:rPr>
          <w:sz w:val="22"/>
          <w:szCs w:val="22"/>
        </w:rPr>
      </w:pPr>
      <w:r>
        <w:rPr>
          <w:sz w:val="22"/>
          <w:szCs w:val="22"/>
        </w:rPr>
        <w:t>Any</w:t>
      </w:r>
      <w:r w:rsidR="00D33717" w:rsidRPr="0029687C">
        <w:rPr>
          <w:sz w:val="22"/>
          <w:szCs w:val="22"/>
        </w:rPr>
        <w:t xml:space="preserve"> </w:t>
      </w:r>
      <w:r>
        <w:rPr>
          <w:sz w:val="22"/>
          <w:szCs w:val="22"/>
        </w:rPr>
        <w:t xml:space="preserve">grouping </w:t>
      </w:r>
      <w:r w:rsidR="00D33717" w:rsidRPr="0029687C">
        <w:rPr>
          <w:sz w:val="22"/>
          <w:szCs w:val="22"/>
        </w:rPr>
        <w:t xml:space="preserve">structure should </w:t>
      </w:r>
      <w:r>
        <w:rPr>
          <w:sz w:val="22"/>
          <w:szCs w:val="22"/>
        </w:rPr>
        <w:t>enable</w:t>
      </w:r>
      <w:r w:rsidR="00D33717" w:rsidRPr="0029687C">
        <w:rPr>
          <w:sz w:val="22"/>
          <w:szCs w:val="22"/>
        </w:rPr>
        <w:t xml:space="preserve"> assessment of </w:t>
      </w:r>
      <w:r w:rsidR="004623B2" w:rsidRPr="0029687C">
        <w:rPr>
          <w:sz w:val="22"/>
          <w:szCs w:val="22"/>
        </w:rPr>
        <w:t>comparator</w:t>
      </w:r>
      <w:r w:rsidR="00D33717" w:rsidRPr="0029687C">
        <w:rPr>
          <w:sz w:val="22"/>
          <w:szCs w:val="22"/>
        </w:rPr>
        <w:t xml:space="preserve"> items and comparative HTA. </w:t>
      </w:r>
    </w:p>
    <w:p w14:paraId="5F27D09D" w14:textId="20B76B86" w:rsidR="00BD1AA5" w:rsidRPr="0029687C" w:rsidRDefault="00D915C5" w:rsidP="0029687C">
      <w:pPr>
        <w:pStyle w:val="ListBullet"/>
        <w:spacing w:before="120" w:after="120"/>
        <w:ind w:hanging="357"/>
        <w:rPr>
          <w:sz w:val="22"/>
          <w:szCs w:val="22"/>
        </w:rPr>
      </w:pPr>
      <w:r w:rsidRPr="0029687C">
        <w:rPr>
          <w:sz w:val="22"/>
          <w:szCs w:val="22"/>
        </w:rPr>
        <w:t>It is i</w:t>
      </w:r>
      <w:r w:rsidR="001627F7" w:rsidRPr="0029687C">
        <w:rPr>
          <w:sz w:val="22"/>
          <w:szCs w:val="22"/>
        </w:rPr>
        <w:t>mportant</w:t>
      </w:r>
      <w:r w:rsidR="00D33717" w:rsidRPr="0029687C">
        <w:rPr>
          <w:sz w:val="22"/>
          <w:szCs w:val="22"/>
        </w:rPr>
        <w:t xml:space="preserve"> to sustain viable donor tissue banks and clinician</w:t>
      </w:r>
      <w:r w:rsidR="002947BE" w:rsidRPr="0029687C">
        <w:rPr>
          <w:sz w:val="22"/>
          <w:szCs w:val="22"/>
        </w:rPr>
        <w:t xml:space="preserve"> access</w:t>
      </w:r>
      <w:r w:rsidR="00D33717" w:rsidRPr="0029687C">
        <w:rPr>
          <w:sz w:val="22"/>
          <w:szCs w:val="22"/>
        </w:rPr>
        <w:t xml:space="preserve"> to </w:t>
      </w:r>
      <w:r w:rsidR="00902551" w:rsidRPr="0029687C">
        <w:rPr>
          <w:sz w:val="22"/>
          <w:szCs w:val="22"/>
        </w:rPr>
        <w:t>these,</w:t>
      </w:r>
      <w:r w:rsidR="00D33717" w:rsidRPr="0029687C">
        <w:rPr>
          <w:sz w:val="22"/>
          <w:szCs w:val="22"/>
        </w:rPr>
        <w:t xml:space="preserve"> but </w:t>
      </w:r>
      <w:r w:rsidR="002947BE" w:rsidRPr="0029687C">
        <w:rPr>
          <w:sz w:val="22"/>
          <w:szCs w:val="22"/>
        </w:rPr>
        <w:t>they are different</w:t>
      </w:r>
      <w:r w:rsidR="00D33717" w:rsidRPr="0029687C">
        <w:rPr>
          <w:sz w:val="22"/>
          <w:szCs w:val="22"/>
        </w:rPr>
        <w:t xml:space="preserve"> from commercial endeavours. </w:t>
      </w:r>
    </w:p>
    <w:p w14:paraId="2BF2AAF5" w14:textId="5DBAF862" w:rsidR="00BD1AA5" w:rsidRPr="0029687C" w:rsidRDefault="00B02D26" w:rsidP="0029687C">
      <w:pPr>
        <w:pStyle w:val="ListBullet"/>
        <w:spacing w:before="120" w:after="120"/>
        <w:ind w:hanging="357"/>
        <w:rPr>
          <w:sz w:val="22"/>
          <w:szCs w:val="22"/>
        </w:rPr>
      </w:pPr>
      <w:r>
        <w:rPr>
          <w:sz w:val="22"/>
          <w:szCs w:val="22"/>
        </w:rPr>
        <w:t>Stakeholders suggested that p</w:t>
      </w:r>
      <w:r w:rsidR="00BD1AA5" w:rsidRPr="0029687C">
        <w:rPr>
          <w:sz w:val="22"/>
          <w:szCs w:val="22"/>
        </w:rPr>
        <w:t xml:space="preserve">romotional practices by </w:t>
      </w:r>
      <w:r w:rsidR="00973DE7" w:rsidRPr="0029687C">
        <w:rPr>
          <w:sz w:val="22"/>
          <w:szCs w:val="22"/>
        </w:rPr>
        <w:t>commercial sponsors</w:t>
      </w:r>
      <w:r w:rsidR="00BD1AA5" w:rsidRPr="0029687C">
        <w:rPr>
          <w:sz w:val="22"/>
          <w:szCs w:val="22"/>
        </w:rPr>
        <w:t xml:space="preserve"> should be investigated.</w:t>
      </w:r>
    </w:p>
    <w:p w14:paraId="2CCC2E4C" w14:textId="1A0349EA" w:rsidR="007B678B" w:rsidRPr="0029687C" w:rsidRDefault="00B02D26" w:rsidP="0029687C">
      <w:pPr>
        <w:pStyle w:val="ListBullet"/>
        <w:spacing w:before="120" w:after="120"/>
        <w:ind w:hanging="357"/>
        <w:rPr>
          <w:sz w:val="22"/>
          <w:szCs w:val="22"/>
        </w:rPr>
      </w:pPr>
      <w:r>
        <w:rPr>
          <w:sz w:val="22"/>
          <w:szCs w:val="22"/>
        </w:rPr>
        <w:t>Stakeholders suggested</w:t>
      </w:r>
      <w:r w:rsidR="00CF1939">
        <w:rPr>
          <w:sz w:val="22"/>
          <w:szCs w:val="22"/>
        </w:rPr>
        <w:t xml:space="preserve"> conducting</w:t>
      </w:r>
      <w:r>
        <w:rPr>
          <w:sz w:val="22"/>
          <w:szCs w:val="22"/>
        </w:rPr>
        <w:t xml:space="preserve"> a</w:t>
      </w:r>
      <w:r w:rsidR="00D33717" w:rsidRPr="0029687C">
        <w:rPr>
          <w:sz w:val="22"/>
          <w:szCs w:val="22"/>
        </w:rPr>
        <w:t xml:space="preserve"> </w:t>
      </w:r>
      <w:r w:rsidR="00C82478" w:rsidRPr="0029687C">
        <w:rPr>
          <w:sz w:val="22"/>
          <w:szCs w:val="22"/>
        </w:rPr>
        <w:t>targeted</w:t>
      </w:r>
      <w:r w:rsidR="00D33717" w:rsidRPr="0029687C">
        <w:rPr>
          <w:sz w:val="22"/>
          <w:szCs w:val="22"/>
        </w:rPr>
        <w:t xml:space="preserve"> review for the Orthopaedic listings.</w:t>
      </w:r>
    </w:p>
    <w:p w14:paraId="63A2BA04" w14:textId="5A14F28D" w:rsidR="00D33717" w:rsidRPr="0029687C" w:rsidRDefault="00B02D26" w:rsidP="0029687C">
      <w:pPr>
        <w:pStyle w:val="ListBullet"/>
        <w:spacing w:before="120" w:after="120"/>
        <w:ind w:hanging="357"/>
        <w:rPr>
          <w:sz w:val="22"/>
          <w:szCs w:val="22"/>
        </w:rPr>
      </w:pPr>
      <w:r>
        <w:rPr>
          <w:sz w:val="22"/>
          <w:szCs w:val="22"/>
        </w:rPr>
        <w:t>They also r</w:t>
      </w:r>
      <w:r w:rsidR="00D33717" w:rsidRPr="0029687C">
        <w:rPr>
          <w:sz w:val="22"/>
          <w:szCs w:val="22"/>
        </w:rPr>
        <w:t>ecommend further review</w:t>
      </w:r>
      <w:r w:rsidR="00CF1939">
        <w:rPr>
          <w:sz w:val="22"/>
          <w:szCs w:val="22"/>
        </w:rPr>
        <w:t xml:space="preserve"> in relation</w:t>
      </w:r>
      <w:r w:rsidR="00D33717" w:rsidRPr="0029687C">
        <w:rPr>
          <w:sz w:val="22"/>
          <w:szCs w:val="22"/>
        </w:rPr>
        <w:t xml:space="preserve"> to:</w:t>
      </w:r>
    </w:p>
    <w:p w14:paraId="74C70D15" w14:textId="1F392FDB" w:rsidR="00D33717" w:rsidRPr="0029687C" w:rsidRDefault="00D33717" w:rsidP="00120ADC">
      <w:pPr>
        <w:pStyle w:val="ListNumber2"/>
        <w:numPr>
          <w:ilvl w:val="0"/>
          <w:numId w:val="48"/>
        </w:numPr>
      </w:pPr>
      <w:r w:rsidRPr="0029687C">
        <w:t>03-Orthopaedic: Long Bone, Distal, Proximal and Proximal with Soft Tissue (03.01.01.03.05) to determine the appropriate subgroups, and</w:t>
      </w:r>
    </w:p>
    <w:p w14:paraId="134DD279" w14:textId="61342CCB" w:rsidR="00D33717" w:rsidRPr="0029687C" w:rsidRDefault="00D33717" w:rsidP="00120ADC">
      <w:pPr>
        <w:pStyle w:val="ListNumber2"/>
        <w:numPr>
          <w:ilvl w:val="0"/>
          <w:numId w:val="48"/>
        </w:numPr>
      </w:pPr>
      <w:r w:rsidRPr="0029687C">
        <w:t>04–Plastic and Reconstructive: Split Skin (04.01.01) to determine the appropriate subgroups.</w:t>
      </w:r>
    </w:p>
    <w:p w14:paraId="2B90188A" w14:textId="14C2815E" w:rsidR="00D33717" w:rsidRPr="0029687C" w:rsidRDefault="00B02D26" w:rsidP="0029687C">
      <w:pPr>
        <w:pStyle w:val="ListBullet"/>
        <w:spacing w:before="120" w:after="120"/>
        <w:ind w:hanging="357"/>
        <w:rPr>
          <w:sz w:val="22"/>
          <w:szCs w:val="22"/>
        </w:rPr>
      </w:pPr>
      <w:r>
        <w:rPr>
          <w:sz w:val="22"/>
          <w:szCs w:val="22"/>
        </w:rPr>
        <w:t>Stakeholders requested m</w:t>
      </w:r>
      <w:r w:rsidR="00D33717" w:rsidRPr="0029687C">
        <w:rPr>
          <w:sz w:val="22"/>
          <w:szCs w:val="22"/>
        </w:rPr>
        <w:t>ore detailed consultation or feedback on product level groupings for musculoskeletal products is likely to be useful before these are finalised. Examples include:</w:t>
      </w:r>
    </w:p>
    <w:p w14:paraId="76C0751D" w14:textId="77777777" w:rsidR="00BC51BE" w:rsidRPr="0029687C" w:rsidRDefault="00D33717" w:rsidP="00120ADC">
      <w:pPr>
        <w:pStyle w:val="ListNumber2"/>
        <w:numPr>
          <w:ilvl w:val="0"/>
          <w:numId w:val="49"/>
        </w:numPr>
        <w:spacing w:before="120" w:after="120"/>
        <w:rPr>
          <w:sz w:val="22"/>
          <w:szCs w:val="22"/>
        </w:rPr>
      </w:pPr>
      <w:r w:rsidRPr="0029687C">
        <w:rPr>
          <w:sz w:val="22"/>
          <w:szCs w:val="22"/>
        </w:rPr>
        <w:t>products listed under 03.01.02.015 Wedge includes tricortical wedges, which are better aligned to 03.01.01.0X Hemipelvis, Part.</w:t>
      </w:r>
    </w:p>
    <w:p w14:paraId="37626380" w14:textId="41646474" w:rsidR="00D33717" w:rsidRPr="0029687C" w:rsidRDefault="00CF1939" w:rsidP="00120ADC">
      <w:pPr>
        <w:pStyle w:val="ListNumber2"/>
        <w:numPr>
          <w:ilvl w:val="0"/>
          <w:numId w:val="49"/>
        </w:numPr>
        <w:spacing w:before="120" w:after="120"/>
        <w:rPr>
          <w:sz w:val="22"/>
          <w:szCs w:val="22"/>
        </w:rPr>
      </w:pPr>
      <w:r>
        <w:rPr>
          <w:sz w:val="22"/>
          <w:szCs w:val="22"/>
        </w:rPr>
        <w:t xml:space="preserve">Likelihood of possible </w:t>
      </w:r>
      <w:r w:rsidR="00D33717" w:rsidRPr="0029687C">
        <w:rPr>
          <w:sz w:val="22"/>
          <w:szCs w:val="22"/>
        </w:rPr>
        <w:t>overlap or refinement across listings 03.01.02.01 Block and 03.01.02.03 Block, Custom Shape, 03.01.02.011 Spacers, Cervical, and 03.01.02.015 Wedge.</w:t>
      </w:r>
    </w:p>
    <w:p w14:paraId="49FC18E4" w14:textId="77777777" w:rsidR="000163A6" w:rsidRPr="0029687C" w:rsidRDefault="000163A6" w:rsidP="0029687C">
      <w:pPr>
        <w:pStyle w:val="ListBullet"/>
        <w:spacing w:before="120" w:after="120"/>
        <w:ind w:hanging="357"/>
        <w:rPr>
          <w:sz w:val="22"/>
          <w:szCs w:val="22"/>
        </w:rPr>
      </w:pPr>
      <w:r w:rsidRPr="0029687C">
        <w:rPr>
          <w:sz w:val="22"/>
          <w:szCs w:val="22"/>
        </w:rPr>
        <w:t>Autologous skull flaps should be under Orthopaedic- osseous- intact bone, whole or part skull flap.</w:t>
      </w:r>
    </w:p>
    <w:p w14:paraId="6753BFAA" w14:textId="77777777" w:rsidR="000163A6" w:rsidRPr="0029687C" w:rsidRDefault="000163A6" w:rsidP="0029687C">
      <w:pPr>
        <w:pStyle w:val="ListBullet"/>
        <w:spacing w:before="120" w:after="120"/>
        <w:ind w:hanging="357"/>
        <w:rPr>
          <w:sz w:val="22"/>
          <w:szCs w:val="22"/>
        </w:rPr>
      </w:pPr>
      <w:r w:rsidRPr="0029687C">
        <w:rPr>
          <w:sz w:val="22"/>
          <w:szCs w:val="22"/>
        </w:rPr>
        <w:t>Billing code RNB02 is missing for the Hunter New England autologous skull flaps in the paper.</w:t>
      </w:r>
    </w:p>
    <w:p w14:paraId="12ECB89F" w14:textId="77777777" w:rsidR="000163A6" w:rsidRPr="0029687C" w:rsidRDefault="000163A6" w:rsidP="0029687C">
      <w:pPr>
        <w:pStyle w:val="ListBullet"/>
        <w:spacing w:before="120" w:after="120"/>
        <w:ind w:hanging="357"/>
        <w:rPr>
          <w:sz w:val="22"/>
          <w:szCs w:val="22"/>
        </w:rPr>
      </w:pPr>
      <w:r w:rsidRPr="0029687C">
        <w:rPr>
          <w:sz w:val="22"/>
          <w:szCs w:val="22"/>
        </w:rPr>
        <w:t>Product TBV08 Cancellous Wedge is in an incorrect subgroup 03.01.02.06 Plug when it should be in subgroup 03.01.02.015 Wedge.</w:t>
      </w:r>
    </w:p>
    <w:p w14:paraId="1E7379C4" w14:textId="77777777" w:rsidR="000163A6" w:rsidRPr="0029687C" w:rsidRDefault="000163A6" w:rsidP="0029687C">
      <w:pPr>
        <w:pStyle w:val="ListBullet"/>
        <w:spacing w:before="120" w:after="120"/>
        <w:ind w:hanging="357"/>
        <w:rPr>
          <w:sz w:val="22"/>
          <w:szCs w:val="22"/>
        </w:rPr>
      </w:pPr>
      <w:r w:rsidRPr="0029687C">
        <w:rPr>
          <w:sz w:val="22"/>
          <w:szCs w:val="22"/>
        </w:rPr>
        <w:t>Product TBV65 Tendon - Patella with Quadriceps is missing from the list. It should be listed in 03.02.04.05 Patellar Tendon with Bone.</w:t>
      </w:r>
    </w:p>
    <w:p w14:paraId="4F130B0D" w14:textId="77777777" w:rsidR="000163A6" w:rsidRPr="0029687C" w:rsidRDefault="000163A6" w:rsidP="0029687C">
      <w:pPr>
        <w:pStyle w:val="ListBullet"/>
        <w:spacing w:before="120" w:after="120"/>
        <w:ind w:hanging="357"/>
        <w:rPr>
          <w:sz w:val="22"/>
          <w:szCs w:val="22"/>
        </w:rPr>
      </w:pPr>
      <w:r w:rsidRPr="0029687C">
        <w:rPr>
          <w:sz w:val="22"/>
          <w:szCs w:val="22"/>
        </w:rPr>
        <w:t>Subcategories 03.01.01.09 Whole bone, and 03.01.01.010 Whole Bone with Soft Tissue should be combined into 03.01.01.03 Long Bone, Whole +/- soft tissue, otherwise they reflect duplication.</w:t>
      </w:r>
    </w:p>
    <w:p w14:paraId="289BCA11" w14:textId="38F22F6A" w:rsidR="000163A6" w:rsidRPr="0029687C" w:rsidRDefault="000163A6" w:rsidP="0029687C">
      <w:pPr>
        <w:pStyle w:val="ListBullet"/>
        <w:spacing w:before="120" w:after="120"/>
        <w:ind w:hanging="357"/>
        <w:rPr>
          <w:sz w:val="22"/>
          <w:szCs w:val="22"/>
        </w:rPr>
      </w:pPr>
      <w:r w:rsidRPr="0029687C">
        <w:rPr>
          <w:sz w:val="22"/>
          <w:szCs w:val="22"/>
        </w:rPr>
        <w:t>New inclusion since structure updated - 02.01.03 Cornea, Patch Graft, LAB01 Cornea Frozen, Lions Eye Institute Limited (LEBWA)</w:t>
      </w:r>
      <w:r w:rsidR="00FA3397">
        <w:rPr>
          <w:sz w:val="22"/>
          <w:szCs w:val="22"/>
        </w:rPr>
        <w:t>.</w:t>
      </w:r>
    </w:p>
    <w:p w14:paraId="731ED468" w14:textId="0EB233E9" w:rsidR="000163A6" w:rsidRPr="0029687C" w:rsidRDefault="000163A6" w:rsidP="0029687C">
      <w:pPr>
        <w:pStyle w:val="ListBullet"/>
        <w:spacing w:before="120" w:after="120"/>
        <w:ind w:hanging="357"/>
        <w:rPr>
          <w:sz w:val="22"/>
          <w:szCs w:val="22"/>
        </w:rPr>
      </w:pPr>
      <w:r w:rsidRPr="0029687C">
        <w:rPr>
          <w:sz w:val="22"/>
          <w:szCs w:val="22"/>
        </w:rPr>
        <w:t>03-Orthopaedic: Ligament, Medial (03.02.03.01) - questions the addition of ligament patch, spinal given the suggested removal of ligament, medial.</w:t>
      </w:r>
    </w:p>
    <w:p w14:paraId="089F4B1E" w14:textId="73FC0D66" w:rsidR="00954581" w:rsidRPr="007E38CE" w:rsidRDefault="00954581" w:rsidP="007E38CE">
      <w:pPr>
        <w:pStyle w:val="Heading2"/>
      </w:pPr>
      <w:r w:rsidRPr="007E38CE">
        <w:lastRenderedPageBreak/>
        <w:t xml:space="preserve">Additional comments </w:t>
      </w:r>
      <w:r w:rsidR="000E53D5" w:rsidRPr="007E38CE">
        <w:t>received</w:t>
      </w:r>
    </w:p>
    <w:p w14:paraId="65124237" w14:textId="00E5B2F3" w:rsidR="00FF3EC9" w:rsidRPr="0029687C" w:rsidRDefault="00D53BA6" w:rsidP="0029687C">
      <w:pPr>
        <w:pStyle w:val="ListBullet"/>
        <w:spacing w:before="120" w:after="120"/>
        <w:ind w:left="357" w:hanging="357"/>
        <w:rPr>
          <w:sz w:val="22"/>
          <w:szCs w:val="22"/>
        </w:rPr>
      </w:pPr>
      <w:r w:rsidRPr="0029687C">
        <w:rPr>
          <w:sz w:val="22"/>
          <w:szCs w:val="22"/>
        </w:rPr>
        <w:t>There is s</w:t>
      </w:r>
      <w:r w:rsidR="000E53D5" w:rsidRPr="0029687C">
        <w:rPr>
          <w:sz w:val="22"/>
          <w:szCs w:val="22"/>
        </w:rPr>
        <w:t>trong i</w:t>
      </w:r>
      <w:r w:rsidR="00FF3EC9" w:rsidRPr="0029687C">
        <w:rPr>
          <w:sz w:val="22"/>
          <w:szCs w:val="22"/>
        </w:rPr>
        <w:t>nteres</w:t>
      </w:r>
      <w:r w:rsidR="000E53D5" w:rsidRPr="0029687C">
        <w:rPr>
          <w:sz w:val="22"/>
          <w:szCs w:val="22"/>
        </w:rPr>
        <w:t>t</w:t>
      </w:r>
      <w:r w:rsidR="00FF3EC9" w:rsidRPr="0029687C">
        <w:rPr>
          <w:sz w:val="22"/>
          <w:szCs w:val="22"/>
        </w:rPr>
        <w:t xml:space="preserve"> in timelines and updates regarding next steps</w:t>
      </w:r>
      <w:r w:rsidR="00FA1CC7" w:rsidRPr="0029687C">
        <w:rPr>
          <w:sz w:val="22"/>
          <w:szCs w:val="22"/>
        </w:rPr>
        <w:t xml:space="preserve">, </w:t>
      </w:r>
      <w:r w:rsidR="00FF3EC9" w:rsidRPr="0029687C">
        <w:rPr>
          <w:sz w:val="22"/>
          <w:szCs w:val="22"/>
        </w:rPr>
        <w:t>including consultation.</w:t>
      </w:r>
    </w:p>
    <w:p w14:paraId="7E45DCB8" w14:textId="13C8F34D" w:rsidR="00A860B3" w:rsidRPr="0029687C" w:rsidRDefault="00A860B3" w:rsidP="0029687C">
      <w:pPr>
        <w:pStyle w:val="ListBullet"/>
        <w:spacing w:before="120" w:after="120"/>
        <w:ind w:left="357" w:hanging="357"/>
        <w:rPr>
          <w:sz w:val="22"/>
          <w:szCs w:val="22"/>
        </w:rPr>
      </w:pPr>
      <w:r w:rsidRPr="0029687C">
        <w:rPr>
          <w:sz w:val="22"/>
          <w:szCs w:val="22"/>
        </w:rPr>
        <w:t xml:space="preserve">Legislation in </w:t>
      </w:r>
      <w:r w:rsidR="00B02D26">
        <w:rPr>
          <w:sz w:val="22"/>
          <w:szCs w:val="22"/>
        </w:rPr>
        <w:t xml:space="preserve">the </w:t>
      </w:r>
      <w:r w:rsidRPr="0029687C">
        <w:rPr>
          <w:sz w:val="22"/>
          <w:szCs w:val="22"/>
        </w:rPr>
        <w:t>trading and use of cost recovery principles in human tissue is universal.</w:t>
      </w:r>
    </w:p>
    <w:p w14:paraId="2957BF8E" w14:textId="48BF5892" w:rsidR="00FF3EC9" w:rsidRPr="0029687C" w:rsidRDefault="00FF3EC9" w:rsidP="0029687C">
      <w:pPr>
        <w:pStyle w:val="ListBullet"/>
        <w:spacing w:before="120" w:after="120"/>
        <w:ind w:left="357" w:hanging="357"/>
        <w:rPr>
          <w:sz w:val="22"/>
          <w:szCs w:val="22"/>
        </w:rPr>
      </w:pPr>
      <w:r w:rsidRPr="0029687C">
        <w:rPr>
          <w:sz w:val="22"/>
          <w:szCs w:val="22"/>
        </w:rPr>
        <w:t xml:space="preserve">Separating cost recovery assurance from PL benefit determinations would remove the need for a standardised costing template while ensuring assessment of all providers. Removing the need to forecast and instead regularly demonstrate cost-recovery operation may be more easily navigated by sponsors and the </w:t>
      </w:r>
      <w:r w:rsidR="00653D70" w:rsidRPr="0029687C">
        <w:rPr>
          <w:sz w:val="22"/>
          <w:szCs w:val="22"/>
        </w:rPr>
        <w:t>d</w:t>
      </w:r>
      <w:r w:rsidR="00185E02" w:rsidRPr="0029687C">
        <w:rPr>
          <w:sz w:val="22"/>
          <w:szCs w:val="22"/>
        </w:rPr>
        <w:t>epartment</w:t>
      </w:r>
      <w:r w:rsidRPr="0029687C">
        <w:rPr>
          <w:sz w:val="22"/>
          <w:szCs w:val="22"/>
        </w:rPr>
        <w:t>.</w:t>
      </w:r>
    </w:p>
    <w:p w14:paraId="265C72F8" w14:textId="1D368672" w:rsidR="00FF3EC9" w:rsidRPr="0029687C" w:rsidRDefault="00FF3EC9" w:rsidP="0029687C">
      <w:pPr>
        <w:pStyle w:val="ListBullet"/>
        <w:spacing w:before="120" w:after="120"/>
        <w:ind w:left="357" w:hanging="357"/>
        <w:rPr>
          <w:sz w:val="22"/>
          <w:szCs w:val="22"/>
        </w:rPr>
      </w:pPr>
      <w:r w:rsidRPr="0029687C">
        <w:rPr>
          <w:sz w:val="22"/>
          <w:szCs w:val="22"/>
        </w:rPr>
        <w:t>It is a challenge to overcome the breadth of services offered by commercial sponsors/manufacturers.</w:t>
      </w:r>
    </w:p>
    <w:p w14:paraId="20434CC6" w14:textId="6FB5C562" w:rsidR="006936F1" w:rsidRPr="0029687C" w:rsidRDefault="00B02D26" w:rsidP="0029687C">
      <w:pPr>
        <w:pStyle w:val="ListBullet"/>
        <w:spacing w:before="120" w:after="120"/>
        <w:ind w:left="357" w:hanging="357"/>
        <w:rPr>
          <w:sz w:val="22"/>
          <w:szCs w:val="22"/>
        </w:rPr>
      </w:pPr>
      <w:r>
        <w:rPr>
          <w:sz w:val="22"/>
          <w:szCs w:val="22"/>
        </w:rPr>
        <w:t>There was a s</w:t>
      </w:r>
      <w:r w:rsidR="006936F1" w:rsidRPr="0029687C">
        <w:rPr>
          <w:sz w:val="22"/>
          <w:szCs w:val="22"/>
        </w:rPr>
        <w:t>trong objection to benchmarking that assumes public entities have similar abilities</w:t>
      </w:r>
      <w:r w:rsidR="004E1739" w:rsidRPr="0029687C">
        <w:rPr>
          <w:sz w:val="22"/>
          <w:szCs w:val="22"/>
        </w:rPr>
        <w:t xml:space="preserve"> and costs</w:t>
      </w:r>
      <w:r w:rsidR="006936F1" w:rsidRPr="0029687C">
        <w:rPr>
          <w:sz w:val="22"/>
          <w:szCs w:val="22"/>
        </w:rPr>
        <w:t xml:space="preserve"> as each other to supply tissue, if that price is below the cost of all the inputs for the tissue supplied by that bank. Zero profit margins mean they are affected by the inevitable rises in major costs. </w:t>
      </w:r>
    </w:p>
    <w:p w14:paraId="1E22117E" w14:textId="127A8732" w:rsidR="00954581" w:rsidRDefault="00785A36" w:rsidP="007E38CE">
      <w:pPr>
        <w:pStyle w:val="Heading1"/>
      </w:pPr>
      <w:r>
        <w:t>Out of scope</w:t>
      </w:r>
    </w:p>
    <w:p w14:paraId="3F69D512" w14:textId="715D479A" w:rsidR="00F56E6D" w:rsidRPr="0029687C" w:rsidRDefault="00F56E6D" w:rsidP="0029687C">
      <w:pPr>
        <w:pStyle w:val="Paragraphtext"/>
        <w:spacing w:after="120"/>
        <w:rPr>
          <w:sz w:val="22"/>
          <w:szCs w:val="22"/>
        </w:rPr>
      </w:pPr>
      <w:r w:rsidRPr="0029687C">
        <w:rPr>
          <w:sz w:val="22"/>
          <w:szCs w:val="22"/>
        </w:rPr>
        <w:t>Several issues were raised by stakeholders that were outside the scope and were not included in the analysis above. These include</w:t>
      </w:r>
      <w:r w:rsidR="003F16FA" w:rsidRPr="0029687C">
        <w:rPr>
          <w:sz w:val="22"/>
          <w:szCs w:val="22"/>
        </w:rPr>
        <w:t xml:space="preserve">d: </w:t>
      </w:r>
    </w:p>
    <w:p w14:paraId="55AD0A9D" w14:textId="49EB156F" w:rsidR="003F16FA" w:rsidRPr="0029687C" w:rsidRDefault="003F16FA" w:rsidP="0029687C">
      <w:pPr>
        <w:pStyle w:val="Paragraphtext"/>
        <w:numPr>
          <w:ilvl w:val="0"/>
          <w:numId w:val="22"/>
        </w:numPr>
        <w:spacing w:after="120"/>
        <w:rPr>
          <w:sz w:val="22"/>
          <w:szCs w:val="22"/>
        </w:rPr>
      </w:pPr>
      <w:r w:rsidRPr="0029687C">
        <w:rPr>
          <w:sz w:val="22"/>
          <w:szCs w:val="22"/>
        </w:rPr>
        <w:t>Part B and the P</w:t>
      </w:r>
      <w:r w:rsidR="003E3A8B" w:rsidRPr="0029687C">
        <w:rPr>
          <w:sz w:val="22"/>
          <w:szCs w:val="22"/>
        </w:rPr>
        <w:t>L</w:t>
      </w:r>
      <w:r w:rsidRPr="0029687C">
        <w:rPr>
          <w:sz w:val="22"/>
          <w:szCs w:val="22"/>
        </w:rPr>
        <w:t xml:space="preserve"> Guide</w:t>
      </w:r>
    </w:p>
    <w:p w14:paraId="614895E7" w14:textId="0D256B1C" w:rsidR="003F16FA" w:rsidRPr="0029687C" w:rsidRDefault="003F16FA" w:rsidP="0029687C">
      <w:pPr>
        <w:pStyle w:val="Paragraphtext"/>
        <w:numPr>
          <w:ilvl w:val="0"/>
          <w:numId w:val="22"/>
        </w:numPr>
        <w:spacing w:after="120"/>
        <w:rPr>
          <w:sz w:val="22"/>
          <w:szCs w:val="22"/>
        </w:rPr>
      </w:pPr>
      <w:commentRangeStart w:id="18"/>
      <w:r w:rsidRPr="0029687C">
        <w:rPr>
          <w:sz w:val="22"/>
          <w:szCs w:val="22"/>
        </w:rPr>
        <w:t xml:space="preserve">Commercial </w:t>
      </w:r>
      <w:r w:rsidR="00313117">
        <w:rPr>
          <w:sz w:val="22"/>
          <w:szCs w:val="22"/>
        </w:rPr>
        <w:t xml:space="preserve">FP </w:t>
      </w:r>
      <w:r w:rsidRPr="0029687C">
        <w:rPr>
          <w:sz w:val="22"/>
          <w:szCs w:val="22"/>
        </w:rPr>
        <w:t xml:space="preserve">vs </w:t>
      </w:r>
      <w:r w:rsidR="00664005">
        <w:rPr>
          <w:sz w:val="22"/>
          <w:szCs w:val="22"/>
        </w:rPr>
        <w:t>NFP</w:t>
      </w:r>
      <w:r w:rsidR="00FD6943" w:rsidRPr="0029687C">
        <w:rPr>
          <w:sz w:val="22"/>
          <w:szCs w:val="22"/>
        </w:rPr>
        <w:t xml:space="preserve"> entities </w:t>
      </w:r>
      <w:r w:rsidR="00313117">
        <w:rPr>
          <w:sz w:val="22"/>
          <w:szCs w:val="22"/>
        </w:rPr>
        <w:t xml:space="preserve">(NFP public and private banks, NFP </w:t>
      </w:r>
      <w:r w:rsidR="00313117" w:rsidRPr="00027F31">
        <w:rPr>
          <w:sz w:val="22"/>
          <w:szCs w:val="22"/>
        </w:rPr>
        <w:t>organisations</w:t>
      </w:r>
      <w:r w:rsidR="00313117">
        <w:rPr>
          <w:sz w:val="22"/>
          <w:szCs w:val="22"/>
        </w:rPr>
        <w:t>)</w:t>
      </w:r>
      <w:r w:rsidR="00313117" w:rsidRPr="0029687C">
        <w:rPr>
          <w:sz w:val="22"/>
          <w:szCs w:val="22"/>
        </w:rPr>
        <w:t xml:space="preserve"> </w:t>
      </w:r>
      <w:r w:rsidR="00FD6943" w:rsidRPr="0029687C">
        <w:rPr>
          <w:sz w:val="22"/>
          <w:szCs w:val="22"/>
        </w:rPr>
        <w:t>on Part B</w:t>
      </w:r>
      <w:r w:rsidR="00CF1939">
        <w:rPr>
          <w:sz w:val="22"/>
          <w:szCs w:val="22"/>
        </w:rPr>
        <w:t>.</w:t>
      </w:r>
      <w:commentRangeEnd w:id="18"/>
      <w:r w:rsidR="00CF1939">
        <w:rPr>
          <w:rStyle w:val="CommentReference"/>
          <w:color w:val="auto"/>
        </w:rPr>
        <w:commentReference w:id="18"/>
      </w:r>
      <w:r w:rsidR="00CF1939">
        <w:rPr>
          <w:sz w:val="22"/>
          <w:szCs w:val="22"/>
        </w:rPr>
        <w:t xml:space="preserve"> </w:t>
      </w:r>
    </w:p>
    <w:p w14:paraId="0BE5DF0F" w14:textId="4A8DC7C3" w:rsidR="00FD6943" w:rsidRPr="0029687C" w:rsidRDefault="00FD6943" w:rsidP="0029687C">
      <w:pPr>
        <w:pStyle w:val="Paragraphtext"/>
        <w:numPr>
          <w:ilvl w:val="0"/>
          <w:numId w:val="22"/>
        </w:numPr>
        <w:spacing w:after="120"/>
        <w:rPr>
          <w:sz w:val="22"/>
          <w:szCs w:val="22"/>
        </w:rPr>
      </w:pPr>
      <w:r w:rsidRPr="0029687C">
        <w:rPr>
          <w:sz w:val="22"/>
          <w:szCs w:val="22"/>
        </w:rPr>
        <w:t>Whether highly processed human tissue products are better suited to Part A of the P</w:t>
      </w:r>
      <w:r w:rsidR="00F60DC0">
        <w:rPr>
          <w:sz w:val="22"/>
          <w:szCs w:val="22"/>
        </w:rPr>
        <w:t>L</w:t>
      </w:r>
    </w:p>
    <w:p w14:paraId="0EBAE516" w14:textId="441163C7" w:rsidR="00FD6943" w:rsidRDefault="00FD6943" w:rsidP="0029687C">
      <w:pPr>
        <w:pStyle w:val="Paragraphtext"/>
        <w:numPr>
          <w:ilvl w:val="0"/>
          <w:numId w:val="22"/>
        </w:numPr>
        <w:spacing w:after="120"/>
        <w:rPr>
          <w:sz w:val="22"/>
          <w:szCs w:val="22"/>
        </w:rPr>
      </w:pPr>
      <w:r w:rsidRPr="0029687C">
        <w:rPr>
          <w:sz w:val="22"/>
          <w:szCs w:val="22"/>
        </w:rPr>
        <w:t>C</w:t>
      </w:r>
      <w:r w:rsidR="00E507E6" w:rsidRPr="0029687C">
        <w:rPr>
          <w:sz w:val="22"/>
          <w:szCs w:val="22"/>
        </w:rPr>
        <w:t xml:space="preserve">larification on the </w:t>
      </w:r>
      <w:r w:rsidR="00F5154E" w:rsidRPr="0029687C">
        <w:rPr>
          <w:sz w:val="22"/>
          <w:szCs w:val="22"/>
        </w:rPr>
        <w:t>terminology of</w:t>
      </w:r>
      <w:r w:rsidRPr="0029687C">
        <w:rPr>
          <w:sz w:val="22"/>
          <w:szCs w:val="22"/>
        </w:rPr>
        <w:t xml:space="preserve"> </w:t>
      </w:r>
      <w:r w:rsidR="00F5154E" w:rsidRPr="0029687C">
        <w:rPr>
          <w:sz w:val="22"/>
          <w:szCs w:val="22"/>
        </w:rPr>
        <w:t>‘</w:t>
      </w:r>
      <w:r w:rsidR="006F019F" w:rsidRPr="0029687C">
        <w:rPr>
          <w:sz w:val="22"/>
          <w:szCs w:val="22"/>
        </w:rPr>
        <w:t>benchmarking</w:t>
      </w:r>
      <w:r w:rsidR="006F019F" w:rsidRPr="0029687C">
        <w:rPr>
          <w:rStyle w:val="CommentReference"/>
          <w:color w:val="auto"/>
          <w:sz w:val="22"/>
          <w:szCs w:val="22"/>
        </w:rPr>
        <w:t>’</w:t>
      </w:r>
      <w:r w:rsidR="006F019F" w:rsidRPr="0029687C">
        <w:rPr>
          <w:sz w:val="22"/>
          <w:szCs w:val="22"/>
        </w:rPr>
        <w:t xml:space="preserve"> and</w:t>
      </w:r>
      <w:r w:rsidR="00E507E6" w:rsidRPr="0029687C">
        <w:rPr>
          <w:sz w:val="22"/>
          <w:szCs w:val="22"/>
        </w:rPr>
        <w:t xml:space="preserve"> what that will include</w:t>
      </w:r>
      <w:r w:rsidR="00F5154E" w:rsidRPr="0029687C">
        <w:rPr>
          <w:sz w:val="22"/>
          <w:szCs w:val="22"/>
        </w:rPr>
        <w:t>.</w:t>
      </w:r>
    </w:p>
    <w:p w14:paraId="39EF615B" w14:textId="6A2D9425" w:rsidR="00B02D26" w:rsidRPr="0029687C" w:rsidRDefault="00B02D26" w:rsidP="0029687C">
      <w:pPr>
        <w:pStyle w:val="Paragraphtext"/>
        <w:numPr>
          <w:ilvl w:val="0"/>
          <w:numId w:val="22"/>
        </w:numPr>
        <w:spacing w:after="120"/>
        <w:rPr>
          <w:sz w:val="22"/>
          <w:szCs w:val="22"/>
        </w:rPr>
      </w:pPr>
      <w:r>
        <w:rPr>
          <w:sz w:val="22"/>
          <w:szCs w:val="22"/>
        </w:rPr>
        <w:t xml:space="preserve">The parameters of any review of state and territory legislation and the power of the </w:t>
      </w:r>
      <w:r w:rsidR="006F019F">
        <w:rPr>
          <w:sz w:val="22"/>
          <w:szCs w:val="22"/>
        </w:rPr>
        <w:t>department</w:t>
      </w:r>
      <w:r>
        <w:rPr>
          <w:sz w:val="22"/>
          <w:szCs w:val="22"/>
        </w:rPr>
        <w:t xml:space="preserve"> to make changes in relation to this legislation or Federal legislation.</w:t>
      </w:r>
    </w:p>
    <w:p w14:paraId="753D8CFF" w14:textId="4265861F" w:rsidR="003A4C99" w:rsidRDefault="004B74B3" w:rsidP="007E38CE">
      <w:pPr>
        <w:pStyle w:val="Heading1"/>
      </w:pPr>
      <w:r>
        <w:t>Next steps</w:t>
      </w:r>
    </w:p>
    <w:p w14:paraId="66880521" w14:textId="4B07C826" w:rsidR="0051242B" w:rsidRDefault="00FD6943" w:rsidP="0029687C">
      <w:pPr>
        <w:spacing w:before="120" w:after="120"/>
      </w:pPr>
      <w:r>
        <w:t xml:space="preserve">The </w:t>
      </w:r>
      <w:r w:rsidR="006F019F">
        <w:t xml:space="preserve">department </w:t>
      </w:r>
      <w:r>
        <w:t xml:space="preserve">will </w:t>
      </w:r>
      <w:r w:rsidR="006F019F">
        <w:t>work towards</w:t>
      </w:r>
      <w:r w:rsidR="006D01DE">
        <w:t xml:space="preserve"> the implementation of each recommendation </w:t>
      </w:r>
      <w:r w:rsidR="006F019F">
        <w:t>before the end of the PL Reform period</w:t>
      </w:r>
      <w:r w:rsidR="006D01DE">
        <w:t xml:space="preserve">. </w:t>
      </w:r>
    </w:p>
    <w:sectPr w:rsidR="0051242B" w:rsidSect="00120ADC">
      <w:headerReference w:type="default" r:id="rId31"/>
      <w:footerReference w:type="default" r:id="rId32"/>
      <w:type w:val="continuous"/>
      <w:pgSz w:w="11906" w:h="16838"/>
      <w:pgMar w:top="1276"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TPPS" w:date="2024-09-23T14:22:00Z" w:initials="OTPPS">
    <w:p w14:paraId="51B4BA47" w14:textId="77777777" w:rsidR="00E83D9C" w:rsidRDefault="00E83D9C" w:rsidP="00E83D9C">
      <w:pPr>
        <w:pStyle w:val="CommentText"/>
      </w:pPr>
      <w:r>
        <w:rPr>
          <w:rStyle w:val="CommentReference"/>
        </w:rPr>
        <w:annotationRef/>
      </w:r>
      <w:r>
        <w:t>Suggest differentiating public banks (not-for-profit) and other organisations (not-for-profit)</w:t>
      </w:r>
    </w:p>
  </w:comment>
  <w:comment w:id="2" w:author="YIN, Jun" w:date="2024-10-16T12:15:00Z" w:initials="JY">
    <w:p w14:paraId="70703A3F" w14:textId="77777777" w:rsidR="008B5A61" w:rsidRDefault="008B5A61" w:rsidP="008B5A61">
      <w:pPr>
        <w:pStyle w:val="CommentText"/>
      </w:pPr>
      <w:r>
        <w:rPr>
          <w:rStyle w:val="CommentReference"/>
        </w:rPr>
        <w:annotationRef/>
      </w:r>
      <w:r>
        <w:t xml:space="preserve">Yes - can do, but not in the abbreviations </w:t>
      </w:r>
    </w:p>
  </w:comment>
  <w:comment w:id="6" w:author="OTPPS" w:date="2024-09-23T08:19:00Z" w:initials="OTPPS">
    <w:p w14:paraId="4114C017" w14:textId="1FE8D150" w:rsidR="00112EF7" w:rsidRDefault="00112EF7" w:rsidP="00112EF7">
      <w:pPr>
        <w:pStyle w:val="CommentText"/>
      </w:pPr>
      <w:r>
        <w:rPr>
          <w:rStyle w:val="CommentReference"/>
        </w:rPr>
        <w:annotationRef/>
      </w:r>
      <w:r>
        <w:t>If subject to refinement, would this be through additional consultation with stakeholders as stated with some other recs?</w:t>
      </w:r>
    </w:p>
  </w:comment>
  <w:comment w:id="7" w:author="YIN, Jun" w:date="2024-10-03T14:14:00Z" w:initials="JY">
    <w:p w14:paraId="1DFDB104" w14:textId="77777777" w:rsidR="00FF0AFC" w:rsidRDefault="00FF0AFC" w:rsidP="00FF0AFC">
      <w:pPr>
        <w:pStyle w:val="CommentText"/>
      </w:pPr>
      <w:r>
        <w:rPr>
          <w:rStyle w:val="CommentReference"/>
        </w:rPr>
        <w:annotationRef/>
      </w:r>
      <w:r>
        <w:t>We haven’t decided - might be worth leaving it open</w:t>
      </w:r>
    </w:p>
  </w:comment>
  <w:comment w:id="8" w:author="OTPPS" w:date="2024-09-23T08:23:00Z" w:initials="OTPPS">
    <w:p w14:paraId="4ECF53FC" w14:textId="4553A074" w:rsidR="00112EF7" w:rsidRDefault="00112EF7" w:rsidP="00112EF7">
      <w:pPr>
        <w:pStyle w:val="CommentText"/>
      </w:pPr>
      <w:r>
        <w:rPr>
          <w:rStyle w:val="CommentReference"/>
        </w:rPr>
        <w:annotationRef/>
      </w:r>
      <w:r>
        <w:t>Separated throughout for clarity.</w:t>
      </w:r>
    </w:p>
  </w:comment>
  <w:comment w:id="9" w:author="YIN, Jun" w:date="2024-10-16T10:45:00Z" w:initials="JY">
    <w:p w14:paraId="624138CB" w14:textId="77777777" w:rsidR="00FA11FA" w:rsidRDefault="00FA11FA" w:rsidP="00FA11FA">
      <w:pPr>
        <w:pStyle w:val="CommentText"/>
      </w:pPr>
      <w:r>
        <w:rPr>
          <w:rStyle w:val="CommentReference"/>
        </w:rPr>
        <w:annotationRef/>
      </w:r>
      <w:r>
        <w:t>Reject del - feedback</w:t>
      </w:r>
    </w:p>
  </w:comment>
  <w:comment w:id="10" w:author="OTPPS" w:date="2024-09-23T08:27:00Z" w:initials="OTPPS">
    <w:p w14:paraId="2CC1000C" w14:textId="65A18886" w:rsidR="006F4957" w:rsidRDefault="006F4957" w:rsidP="006F4957">
      <w:pPr>
        <w:pStyle w:val="CommentText"/>
      </w:pPr>
      <w:r>
        <w:rPr>
          <w:rStyle w:val="CommentReference"/>
        </w:rPr>
        <w:annotationRef/>
      </w:r>
      <w:r>
        <w:t>Unsure what is meant by national in this context as all sponsors are national in that they can supply nationally. Recommend removing to maintain clarity.</w:t>
      </w:r>
    </w:p>
  </w:comment>
  <w:comment w:id="11" w:author="OTPPS" w:date="2024-09-23T08:56:00Z" w:initials="OTPPS">
    <w:p w14:paraId="7EC36C0C" w14:textId="4BA163D5" w:rsidR="00DC046D" w:rsidRDefault="00DC046D" w:rsidP="00DC046D">
      <w:pPr>
        <w:pStyle w:val="CommentText"/>
      </w:pPr>
      <w:r>
        <w:rPr>
          <w:rStyle w:val="CommentReference"/>
        </w:rPr>
        <w:annotationRef/>
      </w:r>
      <w:r>
        <w:t xml:space="preserve">The contact pt in the department is OTPPS, as Secretariat for JOTSC. Taking this forward to JOTSC will require further internal discussion with TAAD re. how the their costings methodology would be implemented. </w:t>
      </w:r>
    </w:p>
  </w:comment>
  <w:comment w:id="12" w:author="YIN, Jun" w:date="2024-10-16T10:54:00Z" w:initials="JY">
    <w:p w14:paraId="5CDEADF4" w14:textId="77777777" w:rsidR="005D2624" w:rsidRDefault="005D2624" w:rsidP="005D2624">
      <w:pPr>
        <w:pStyle w:val="CommentText"/>
      </w:pPr>
      <w:r>
        <w:rPr>
          <w:rStyle w:val="CommentReference"/>
        </w:rPr>
        <w:annotationRef/>
      </w:r>
      <w:r>
        <w:t>Reject - Recommendation is ROYAL department, to take to JOTSC (pwc recommendation)</w:t>
      </w:r>
    </w:p>
  </w:comment>
  <w:comment w:id="13" w:author="OTPPS" w:date="2024-09-23T08:56:00Z" w:initials="OTPPS">
    <w:p w14:paraId="00642EE3" w14:textId="6B82E4FB" w:rsidR="00DC046D" w:rsidRDefault="00DC046D" w:rsidP="00DC046D">
      <w:pPr>
        <w:pStyle w:val="CommentText"/>
      </w:pPr>
      <w:r>
        <w:rPr>
          <w:rStyle w:val="CommentReference"/>
        </w:rPr>
        <w:annotationRef/>
      </w:r>
      <w:r>
        <w:t>Recommend to remove as is broader then just donation. Has to be in-line with trade in tissue requirements etc.</w:t>
      </w:r>
    </w:p>
  </w:comment>
  <w:comment w:id="14" w:author="YIN, Jun" w:date="2024-10-16T10:57:00Z" w:initials="JY">
    <w:p w14:paraId="6DCF791D" w14:textId="265F8CB6" w:rsidR="00207C0A" w:rsidRDefault="00207C0A" w:rsidP="00207C0A">
      <w:pPr>
        <w:pStyle w:val="CommentText"/>
      </w:pPr>
      <w:r>
        <w:rPr>
          <w:rStyle w:val="CommentReference"/>
        </w:rPr>
        <w:annotationRef/>
      </w:r>
      <w:r>
        <w:t xml:space="preserve">Reject all </w:t>
      </w:r>
    </w:p>
  </w:comment>
  <w:comment w:id="15" w:author="OTPPS" w:date="2024-09-23T08:56:00Z" w:initials="OTPPS">
    <w:p w14:paraId="05B2ACC7" w14:textId="77FD93ED" w:rsidR="00DC046D" w:rsidRDefault="00DC046D" w:rsidP="00DC046D">
      <w:pPr>
        <w:pStyle w:val="CommentText"/>
      </w:pPr>
      <w:r>
        <w:rPr>
          <w:rStyle w:val="CommentReference"/>
        </w:rPr>
        <w:annotationRef/>
      </w:r>
      <w:r>
        <w:t>There is no current standard pricing methodology to review.</w:t>
      </w:r>
    </w:p>
  </w:comment>
  <w:comment w:id="16" w:author="OTPPS" w:date="2024-09-23T08:58:00Z" w:initials="OTPPS">
    <w:p w14:paraId="003B8130" w14:textId="77777777" w:rsidR="00DC046D" w:rsidRDefault="00DC046D" w:rsidP="00DC046D">
      <w:pPr>
        <w:pStyle w:val="CommentText"/>
      </w:pPr>
      <w:r>
        <w:rPr>
          <w:rStyle w:val="CommentReference"/>
        </w:rPr>
        <w:annotationRef/>
      </w:r>
      <w:r>
        <w:t>This statement specifically calls out and identifies one sponsor (ATDN). Recommend editing to be more generalised.</w:t>
      </w:r>
    </w:p>
  </w:comment>
  <w:comment w:id="17" w:author="OTPPS" w:date="2024-09-23T08:34:00Z" w:initials="OTPPS">
    <w:p w14:paraId="654CE01A" w14:textId="21098247" w:rsidR="00CF1939" w:rsidRDefault="00CF1939" w:rsidP="00CF1939">
      <w:pPr>
        <w:pStyle w:val="CommentText"/>
      </w:pPr>
      <w:r>
        <w:rPr>
          <w:rStyle w:val="CommentReference"/>
        </w:rPr>
        <w:annotationRef/>
      </w:r>
      <w:r>
        <w:t>Due to sensitivities in this area, suggest limiting this comment as edited.</w:t>
      </w:r>
    </w:p>
  </w:comment>
  <w:comment w:id="18" w:author="OTPPS" w:date="2024-09-23T08:40:00Z" w:initials="OTPPS">
    <w:p w14:paraId="1961CD08" w14:textId="4DC4DF97" w:rsidR="00CF1939" w:rsidRDefault="00CF1939" w:rsidP="00CF1939">
      <w:pPr>
        <w:pStyle w:val="CommentText"/>
      </w:pPr>
      <w:r>
        <w:rPr>
          <w:rStyle w:val="CommentReference"/>
        </w:rPr>
        <w:annotationRef/>
      </w:r>
      <w:r>
        <w:t>Recommend separating out into categories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4BA47" w15:done="1"/>
  <w15:commentEx w15:paraId="70703A3F" w15:paraIdParent="51B4BA47" w15:done="1"/>
  <w15:commentEx w15:paraId="4114C017" w15:done="1"/>
  <w15:commentEx w15:paraId="1DFDB104" w15:paraIdParent="4114C017" w15:done="1"/>
  <w15:commentEx w15:paraId="4ECF53FC" w15:done="1"/>
  <w15:commentEx w15:paraId="624138CB" w15:paraIdParent="4ECF53FC" w15:done="1"/>
  <w15:commentEx w15:paraId="2CC1000C" w15:done="1"/>
  <w15:commentEx w15:paraId="7EC36C0C" w15:done="1"/>
  <w15:commentEx w15:paraId="5CDEADF4" w15:paraIdParent="7EC36C0C" w15:done="1"/>
  <w15:commentEx w15:paraId="00642EE3" w15:done="1"/>
  <w15:commentEx w15:paraId="6DCF791D" w15:done="1"/>
  <w15:commentEx w15:paraId="05B2ACC7" w15:done="1"/>
  <w15:commentEx w15:paraId="003B8130" w15:done="1"/>
  <w15:commentEx w15:paraId="654CE01A" w15:done="1"/>
  <w15:commentEx w15:paraId="1961CD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BF822" w16cex:dateUtc="2024-09-23T04:22:00Z"/>
  <w16cex:commentExtensible w16cex:durableId="2ABA2CFA" w16cex:dateUtc="2024-10-16T01:15:00Z"/>
  <w16cex:commentExtensible w16cex:durableId="2A9BA31E" w16cex:dateUtc="2024-09-22T22:49:00Z"/>
  <w16cex:commentExtensible w16cex:durableId="2AA9252F" w16cex:dateUtc="2024-10-03T04:14:00Z"/>
  <w16cex:commentExtensible w16cex:durableId="2A9BA3F5" w16cex:dateUtc="2024-09-22T22:53:00Z"/>
  <w16cex:commentExtensible w16cex:durableId="2ABA17C0" w16cex:dateUtc="2024-10-15T23:45:00Z"/>
  <w16cex:commentExtensible w16cex:durableId="2A9BA504" w16cex:dateUtc="2024-09-22T22:57:00Z">
    <w16cex:extLst>
      <w16:ext xmlns="" xmlns:cr="http://schemas.microsoft.com/office/comments/2020/reactions" w16:uri="{CE6994B0-6A32-4C9F-8C6B-6E91EDA988CE}">
        <cr:reactions xmlns:cr="http://schemas.microsoft.com/office/comments/2020/reactions">
          <cr:reaction reactionType="1">
            <cr:reactionInfo dateUtc="2024-10-15T23:51:02Z">
              <cr:user userId="S::Jun.Yin@health.gov.au::b8f43909-820b-4c36-a271-3448e39191dc" userProvider="AD" userName="YIN, Jun"/>
            </cr:reactionInfo>
          </cr:reaction>
        </cr:reactions>
      </w16:ext>
    </w16cex:extLst>
  </w16cex:commentExtensible>
  <w16cex:commentExtensible w16cex:durableId="2A9BABA7" w16cex:dateUtc="2024-09-22T23:26:00Z"/>
  <w16cex:commentExtensible w16cex:durableId="2ABA19D4" w16cex:dateUtc="2024-10-15T23:54:00Z"/>
  <w16cex:commentExtensible w16cex:durableId="2A9BABAE" w16cex:dateUtc="2024-09-22T23:26:00Z">
    <w16cex:extLst>
      <w16:ext xmlns="" xmlns:cr="http://schemas.microsoft.com/office/comments/2020/reactions" w16:uri="{CE6994B0-6A32-4C9F-8C6B-6E91EDA988CE}">
        <cr:reactions xmlns:cr="http://schemas.microsoft.com/office/comments/2020/reactions">
          <cr:reaction reactionType="1">
            <cr:reactionInfo dateUtc="2024-10-16T01:45:53Z">
              <cr:user userId="S::Jun.Yin@health.gov.au::b8f43909-820b-4c36-a271-3448e39191dc" userProvider="AD" userName="YIN, Jun"/>
            </cr:reactionInfo>
          </cr:reaction>
        </cr:reactions>
      </w16:ext>
    </w16cex:extLst>
  </w16cex:commentExtensible>
  <w16cex:commentExtensible w16cex:durableId="2ABA1AA3" w16cex:dateUtc="2024-10-15T23:57:00Z"/>
  <w16cex:commentExtensible w16cex:durableId="2A9BABD8" w16cex:dateUtc="2024-09-22T23:26:00Z"/>
  <w16cex:commentExtensible w16cex:durableId="2A9BAC1D" w16cex:dateUtc="2024-09-22T23:28:00Z">
    <w16cex:extLst>
      <w16:ext xmlns="" xmlns:cr="http://schemas.microsoft.com/office/comments/2020/reactions" w16:uri="{CE6994B0-6A32-4C9F-8C6B-6E91EDA988CE}">
        <cr:reactions xmlns:cr="http://schemas.microsoft.com/office/comments/2020/reactions">
          <cr:reaction reactionType="1">
            <cr:reactionInfo dateUtc="2024-10-16T01:48:25Z">
              <cr:user userId="S::Jun.Yin@health.gov.au::b8f43909-820b-4c36-a271-3448e39191dc" userProvider="AD" userName="YIN, Jun"/>
            </cr:reactionInfo>
          </cr:reaction>
        </cr:reactions>
      </w16:ext>
    </w16cex:extLst>
  </w16cex:commentExtensible>
  <w16cex:commentExtensible w16cex:durableId="2A9BA6AF" w16cex:dateUtc="2024-09-22T23:04:00Z">
    <w16cex:extLst>
      <w16:ext xmlns="" xmlns:cr="http://schemas.microsoft.com/office/comments/2020/reactions" w16:uri="{CE6994B0-6A32-4C9F-8C6B-6E91EDA988CE}">
        <cr:reactions xmlns:cr="http://schemas.microsoft.com/office/comments/2020/reactions">
          <cr:reaction reactionType="1">
            <cr:reactionInfo dateUtc="2024-10-16T01:48:41Z">
              <cr:user userId="S::Jun.Yin@health.gov.au::b8f43909-820b-4c36-a271-3448e39191dc" userProvider="AD" userName="YIN, Jun"/>
            </cr:reactionInfo>
          </cr:reaction>
        </cr:reactions>
      </w16:ext>
    </w16cex:extLst>
  </w16cex:commentExtensible>
  <w16cex:commentExtensible w16cex:durableId="2A9BA813" w16cex:dateUtc="2024-09-22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4BA47" w16cid:durableId="2A9BF822"/>
  <w16cid:commentId w16cid:paraId="70703A3F" w16cid:durableId="2ABA2CFA"/>
  <w16cid:commentId w16cid:paraId="4114C017" w16cid:durableId="2A9BA31E"/>
  <w16cid:commentId w16cid:paraId="1DFDB104" w16cid:durableId="2AA9252F"/>
  <w16cid:commentId w16cid:paraId="4ECF53FC" w16cid:durableId="2A9BA3F5"/>
  <w16cid:commentId w16cid:paraId="624138CB" w16cid:durableId="2ABA17C0"/>
  <w16cid:commentId w16cid:paraId="2CC1000C" w16cid:durableId="2A9BA504"/>
  <w16cid:commentId w16cid:paraId="7EC36C0C" w16cid:durableId="2A9BABA7"/>
  <w16cid:commentId w16cid:paraId="5CDEADF4" w16cid:durableId="2ABA19D4"/>
  <w16cid:commentId w16cid:paraId="00642EE3" w16cid:durableId="2A9BABAE"/>
  <w16cid:commentId w16cid:paraId="6DCF791D" w16cid:durableId="2ABA1AA3"/>
  <w16cid:commentId w16cid:paraId="05B2ACC7" w16cid:durableId="2A9BABD8"/>
  <w16cid:commentId w16cid:paraId="003B8130" w16cid:durableId="2A9BAC1D"/>
  <w16cid:commentId w16cid:paraId="654CE01A" w16cid:durableId="2A9BA6AF"/>
  <w16cid:commentId w16cid:paraId="1961CD08" w16cid:durableId="2A9BA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A9D8" w14:textId="77777777" w:rsidR="00AB791D" w:rsidRDefault="00AB791D" w:rsidP="006B56BB">
      <w:r>
        <w:separator/>
      </w:r>
    </w:p>
    <w:p w14:paraId="77088F7B" w14:textId="77777777" w:rsidR="00AB791D" w:rsidRDefault="00AB791D"/>
  </w:endnote>
  <w:endnote w:type="continuationSeparator" w:id="0">
    <w:p w14:paraId="16ED121D" w14:textId="77777777" w:rsidR="00AB791D" w:rsidRDefault="00AB791D" w:rsidP="006B56BB">
      <w:r>
        <w:continuationSeparator/>
      </w:r>
    </w:p>
    <w:p w14:paraId="1FDCA8AC" w14:textId="77777777" w:rsidR="00AB791D" w:rsidRDefault="00AB791D"/>
  </w:endnote>
  <w:endnote w:type="continuationNotice" w:id="1">
    <w:p w14:paraId="72808B00" w14:textId="77777777" w:rsidR="00AB791D" w:rsidRDefault="00AB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389" w14:textId="48E7B8D9" w:rsidR="00751A23" w:rsidRPr="00751A23" w:rsidRDefault="00C26E7D" w:rsidP="00751A23">
    <w:pPr>
      <w:pStyle w:val="Footer"/>
      <w:tabs>
        <w:tab w:val="clear" w:pos="4513"/>
        <w:tab w:val="center" w:pos="0"/>
      </w:tabs>
      <w:jc w:val="right"/>
      <w:rPr>
        <w:szCs w:val="20"/>
      </w:rPr>
    </w:pPr>
    <w:r w:rsidRPr="00C26E7D">
      <w:t>Reforms to the Prescribed List Part B</w:t>
    </w:r>
    <w:sdt>
      <w:sdtPr>
        <w:rPr>
          <w:szCs w:val="20"/>
        </w:rPr>
        <w:id w:val="-443848716"/>
        <w:docPartObj>
          <w:docPartGallery w:val="Page Numbers (Bottom of Page)"/>
          <w:docPartUnique/>
        </w:docPartObj>
      </w:sdtPr>
      <w:sdtEndPr>
        <w:rPr>
          <w:noProof/>
        </w:rPr>
      </w:sdtEndPr>
      <w:sdtContent>
        <w:r w:rsidR="00AB2DDA">
          <w:rPr>
            <w:szCs w:val="20"/>
          </w:rPr>
          <w:t>: Stakeholder feedback report</w:t>
        </w:r>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E474A">
          <w:rPr>
            <w:noProof/>
            <w:szCs w:val="20"/>
          </w:rPr>
          <w:t>4</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71FA" w14:textId="77777777" w:rsidR="00AB791D" w:rsidRDefault="00AB791D" w:rsidP="006B56BB">
      <w:r>
        <w:separator/>
      </w:r>
    </w:p>
    <w:p w14:paraId="33224EF9" w14:textId="77777777" w:rsidR="00AB791D" w:rsidRDefault="00AB791D"/>
  </w:footnote>
  <w:footnote w:type="continuationSeparator" w:id="0">
    <w:p w14:paraId="1B23C8FF" w14:textId="77777777" w:rsidR="00AB791D" w:rsidRDefault="00AB791D" w:rsidP="006B56BB">
      <w:r>
        <w:continuationSeparator/>
      </w:r>
    </w:p>
    <w:p w14:paraId="46E2B029" w14:textId="77777777" w:rsidR="00AB791D" w:rsidRDefault="00AB791D"/>
  </w:footnote>
  <w:footnote w:type="continuationNotice" w:id="1">
    <w:p w14:paraId="14878CCD" w14:textId="77777777" w:rsidR="00AB791D" w:rsidRDefault="00AB791D"/>
  </w:footnote>
  <w:footnote w:id="2">
    <w:p w14:paraId="510A1B47" w14:textId="7CE92E52" w:rsidR="00E24FAC" w:rsidRPr="007E38CE" w:rsidRDefault="00E24FAC">
      <w:pPr>
        <w:pStyle w:val="FootnoteText"/>
        <w:rPr>
          <w:sz w:val="16"/>
          <w:szCs w:val="16"/>
        </w:rPr>
      </w:pPr>
      <w:r w:rsidRPr="007E38CE">
        <w:rPr>
          <w:rStyle w:val="FootnoteReference"/>
          <w:sz w:val="16"/>
          <w:szCs w:val="16"/>
        </w:rPr>
        <w:footnoteRef/>
      </w:r>
      <w:r w:rsidRPr="007E38CE">
        <w:rPr>
          <w:sz w:val="16"/>
          <w:szCs w:val="16"/>
        </w:rPr>
        <w:t xml:space="preserve"> https://consultations.health.gov.au/hearing-and-program-support-division/review-of-part-b-of-the-prostheses-list-pwc-report/</w:t>
      </w:r>
    </w:p>
  </w:footnote>
  <w:footnote w:id="3">
    <w:p w14:paraId="6ED824E6" w14:textId="51F1E1F1" w:rsidR="0021771F" w:rsidRDefault="0021771F">
      <w:pPr>
        <w:pStyle w:val="FootnoteText"/>
      </w:pPr>
      <w:r w:rsidRPr="007E38CE">
        <w:rPr>
          <w:rStyle w:val="FootnoteReference"/>
          <w:sz w:val="16"/>
          <w:szCs w:val="16"/>
        </w:rPr>
        <w:footnoteRef/>
      </w:r>
      <w:r w:rsidRPr="007E38CE">
        <w:rPr>
          <w:sz w:val="16"/>
          <w:szCs w:val="16"/>
        </w:rPr>
        <w:t xml:space="preserve"> https://www.donatelife.gov.au/sites/default/files/2022-05/pwc_-_analysis_of_the_australian_tissue_sector_-_final_d16-1267056_2.pdf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FB40" w14:textId="6E340B1A" w:rsidR="00751A23" w:rsidRDefault="00896B41" w:rsidP="00896B41">
    <w:pPr>
      <w:pStyle w:val="Header"/>
      <w:tabs>
        <w:tab w:val="clear" w:pos="4513"/>
        <w:tab w:val="clear" w:pos="9026"/>
        <w:tab w:val="center" w:pos="1465"/>
      </w:tabs>
    </w:pPr>
    <w:r>
      <w:rPr>
        <w:noProof/>
        <w:lang w:eastAsia="en-AU"/>
      </w:rPr>
      <w:drawing>
        <wp:anchor distT="0" distB="0" distL="114300" distR="114300" simplePos="0" relativeHeight="251667456" behindDoc="0" locked="0" layoutInCell="1" allowOverlap="1" wp14:anchorId="3AE89D3D" wp14:editId="29F98DCD">
          <wp:simplePos x="0" y="0"/>
          <wp:positionH relativeFrom="margin">
            <wp:posOffset>-614680</wp:posOffset>
          </wp:positionH>
          <wp:positionV relativeFrom="margin">
            <wp:posOffset>-788035</wp:posOffset>
          </wp:positionV>
          <wp:extent cx="2222500" cy="669290"/>
          <wp:effectExtent l="0" t="0" r="6350" b="0"/>
          <wp:wrapSquare wrapText="bothSides"/>
          <wp:docPr id="288418833" name="Picture 288418833"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8833" name="Picture 288418833" descr="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2222500" cy="669290"/>
                  </a:xfrm>
                  <a:prstGeom prst="rect">
                    <a:avLst/>
                  </a:prstGeom>
                </pic:spPr>
              </pic:pic>
            </a:graphicData>
          </a:graphic>
          <wp14:sizeRelH relativeFrom="margin">
            <wp14:pctWidth>0</wp14:pctWidth>
          </wp14:sizeRelH>
          <wp14:sizeRelV relativeFrom="margin">
            <wp14:pctHeight>0</wp14:pctHeight>
          </wp14:sizeRelV>
        </wp:anchor>
      </w:drawing>
    </w:r>
    <w:r w:rsidR="00751A23">
      <w:rPr>
        <w:noProof/>
        <w:lang w:eastAsia="en-AU"/>
      </w:rPr>
      <w:drawing>
        <wp:anchor distT="0" distB="0" distL="114300" distR="114300" simplePos="0" relativeHeight="251657216" behindDoc="1" locked="0" layoutInCell="1" allowOverlap="1" wp14:anchorId="3BDB5A37" wp14:editId="6920C639">
          <wp:simplePos x="0" y="0"/>
          <wp:positionH relativeFrom="page">
            <wp:align>center</wp:align>
          </wp:positionH>
          <wp:positionV relativeFrom="page">
            <wp:align>center</wp:align>
          </wp:positionV>
          <wp:extent cx="7560000" cy="10692675"/>
          <wp:effectExtent l="0" t="0" r="3175" b="0"/>
          <wp:wrapNone/>
          <wp:docPr id="862581993" name="Picture 86258199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F60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2B71C8"/>
    <w:multiLevelType w:val="hybridMultilevel"/>
    <w:tmpl w:val="8806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23207D"/>
    <w:multiLevelType w:val="hybridMultilevel"/>
    <w:tmpl w:val="0B4C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F0D45"/>
    <w:multiLevelType w:val="hybridMultilevel"/>
    <w:tmpl w:val="7082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417726"/>
    <w:multiLevelType w:val="hybridMultilevel"/>
    <w:tmpl w:val="26785306"/>
    <w:lvl w:ilvl="0" w:tplc="0C090003">
      <w:start w:val="1"/>
      <w:numFmt w:val="bullet"/>
      <w:lvlText w:val="o"/>
      <w:lvlJc w:val="left"/>
      <w:pPr>
        <w:ind w:left="644" w:hanging="360"/>
      </w:pPr>
      <w:rPr>
        <w:rFonts w:ascii="Courier New" w:hAnsi="Courier New" w:cs="Courier New" w:hint="default"/>
        <w:color w:val="auto"/>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5A00FB"/>
    <w:multiLevelType w:val="hybridMultilevel"/>
    <w:tmpl w:val="901608E2"/>
    <w:lvl w:ilvl="0" w:tplc="416C2480">
      <w:start w:val="1"/>
      <w:numFmt w:val="bullet"/>
      <w:lvlText w:val=""/>
      <w:lvlJc w:val="left"/>
      <w:pPr>
        <w:ind w:left="1440" w:hanging="360"/>
      </w:pPr>
      <w:rPr>
        <w:rFonts w:ascii="Symbol" w:hAnsi="Symbol"/>
      </w:rPr>
    </w:lvl>
    <w:lvl w:ilvl="1" w:tplc="B41C3580">
      <w:start w:val="1"/>
      <w:numFmt w:val="bullet"/>
      <w:lvlText w:val=""/>
      <w:lvlJc w:val="left"/>
      <w:pPr>
        <w:ind w:left="1440" w:hanging="360"/>
      </w:pPr>
      <w:rPr>
        <w:rFonts w:ascii="Symbol" w:hAnsi="Symbol"/>
      </w:rPr>
    </w:lvl>
    <w:lvl w:ilvl="2" w:tplc="BFA23DA4">
      <w:start w:val="1"/>
      <w:numFmt w:val="bullet"/>
      <w:lvlText w:val=""/>
      <w:lvlJc w:val="left"/>
      <w:pPr>
        <w:ind w:left="1440" w:hanging="360"/>
      </w:pPr>
      <w:rPr>
        <w:rFonts w:ascii="Symbol" w:hAnsi="Symbol"/>
      </w:rPr>
    </w:lvl>
    <w:lvl w:ilvl="3" w:tplc="51B86CB8">
      <w:start w:val="1"/>
      <w:numFmt w:val="bullet"/>
      <w:lvlText w:val=""/>
      <w:lvlJc w:val="left"/>
      <w:pPr>
        <w:ind w:left="1440" w:hanging="360"/>
      </w:pPr>
      <w:rPr>
        <w:rFonts w:ascii="Symbol" w:hAnsi="Symbol"/>
      </w:rPr>
    </w:lvl>
    <w:lvl w:ilvl="4" w:tplc="5CFCA356">
      <w:start w:val="1"/>
      <w:numFmt w:val="bullet"/>
      <w:lvlText w:val=""/>
      <w:lvlJc w:val="left"/>
      <w:pPr>
        <w:ind w:left="1440" w:hanging="360"/>
      </w:pPr>
      <w:rPr>
        <w:rFonts w:ascii="Symbol" w:hAnsi="Symbol"/>
      </w:rPr>
    </w:lvl>
    <w:lvl w:ilvl="5" w:tplc="AF000E1A">
      <w:start w:val="1"/>
      <w:numFmt w:val="bullet"/>
      <w:lvlText w:val=""/>
      <w:lvlJc w:val="left"/>
      <w:pPr>
        <w:ind w:left="1440" w:hanging="360"/>
      </w:pPr>
      <w:rPr>
        <w:rFonts w:ascii="Symbol" w:hAnsi="Symbol"/>
      </w:rPr>
    </w:lvl>
    <w:lvl w:ilvl="6" w:tplc="76B2F5D2">
      <w:start w:val="1"/>
      <w:numFmt w:val="bullet"/>
      <w:lvlText w:val=""/>
      <w:lvlJc w:val="left"/>
      <w:pPr>
        <w:ind w:left="1440" w:hanging="360"/>
      </w:pPr>
      <w:rPr>
        <w:rFonts w:ascii="Symbol" w:hAnsi="Symbol"/>
      </w:rPr>
    </w:lvl>
    <w:lvl w:ilvl="7" w:tplc="19A06124">
      <w:start w:val="1"/>
      <w:numFmt w:val="bullet"/>
      <w:lvlText w:val=""/>
      <w:lvlJc w:val="left"/>
      <w:pPr>
        <w:ind w:left="1440" w:hanging="360"/>
      </w:pPr>
      <w:rPr>
        <w:rFonts w:ascii="Symbol" w:hAnsi="Symbol"/>
      </w:rPr>
    </w:lvl>
    <w:lvl w:ilvl="8" w:tplc="F6EC86A8">
      <w:start w:val="1"/>
      <w:numFmt w:val="bullet"/>
      <w:lvlText w:val=""/>
      <w:lvlJc w:val="left"/>
      <w:pPr>
        <w:ind w:left="1440" w:hanging="360"/>
      </w:pPr>
      <w:rPr>
        <w:rFonts w:ascii="Symbol" w:hAnsi="Symbol"/>
      </w:rPr>
    </w:lvl>
  </w:abstractNum>
  <w:abstractNum w:abstractNumId="16" w15:restartNumberingAfterBreak="0">
    <w:nsid w:val="1E0F5743"/>
    <w:multiLevelType w:val="hybridMultilevel"/>
    <w:tmpl w:val="DD4E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E259CD"/>
    <w:multiLevelType w:val="hybridMultilevel"/>
    <w:tmpl w:val="8AD2275E"/>
    <w:lvl w:ilvl="0" w:tplc="845C283C">
      <w:start w:val="1"/>
      <w:numFmt w:val="bullet"/>
      <w:lvlText w:val=""/>
      <w:lvlJc w:val="left"/>
      <w:pPr>
        <w:ind w:left="1440" w:hanging="360"/>
      </w:pPr>
      <w:rPr>
        <w:rFonts w:ascii="Symbol" w:hAnsi="Symbol"/>
      </w:rPr>
    </w:lvl>
    <w:lvl w:ilvl="1" w:tplc="CBC4CE50">
      <w:start w:val="1"/>
      <w:numFmt w:val="bullet"/>
      <w:lvlText w:val=""/>
      <w:lvlJc w:val="left"/>
      <w:pPr>
        <w:ind w:left="1440" w:hanging="360"/>
      </w:pPr>
      <w:rPr>
        <w:rFonts w:ascii="Symbol" w:hAnsi="Symbol"/>
      </w:rPr>
    </w:lvl>
    <w:lvl w:ilvl="2" w:tplc="5F362B7E">
      <w:start w:val="1"/>
      <w:numFmt w:val="bullet"/>
      <w:lvlText w:val=""/>
      <w:lvlJc w:val="left"/>
      <w:pPr>
        <w:ind w:left="1440" w:hanging="360"/>
      </w:pPr>
      <w:rPr>
        <w:rFonts w:ascii="Symbol" w:hAnsi="Symbol"/>
      </w:rPr>
    </w:lvl>
    <w:lvl w:ilvl="3" w:tplc="0066B840">
      <w:start w:val="1"/>
      <w:numFmt w:val="bullet"/>
      <w:lvlText w:val=""/>
      <w:lvlJc w:val="left"/>
      <w:pPr>
        <w:ind w:left="1440" w:hanging="360"/>
      </w:pPr>
      <w:rPr>
        <w:rFonts w:ascii="Symbol" w:hAnsi="Symbol"/>
      </w:rPr>
    </w:lvl>
    <w:lvl w:ilvl="4" w:tplc="0436FD90">
      <w:start w:val="1"/>
      <w:numFmt w:val="bullet"/>
      <w:lvlText w:val=""/>
      <w:lvlJc w:val="left"/>
      <w:pPr>
        <w:ind w:left="1440" w:hanging="360"/>
      </w:pPr>
      <w:rPr>
        <w:rFonts w:ascii="Symbol" w:hAnsi="Symbol"/>
      </w:rPr>
    </w:lvl>
    <w:lvl w:ilvl="5" w:tplc="1632F6A8">
      <w:start w:val="1"/>
      <w:numFmt w:val="bullet"/>
      <w:lvlText w:val=""/>
      <w:lvlJc w:val="left"/>
      <w:pPr>
        <w:ind w:left="1440" w:hanging="360"/>
      </w:pPr>
      <w:rPr>
        <w:rFonts w:ascii="Symbol" w:hAnsi="Symbol"/>
      </w:rPr>
    </w:lvl>
    <w:lvl w:ilvl="6" w:tplc="2ECA6D8E">
      <w:start w:val="1"/>
      <w:numFmt w:val="bullet"/>
      <w:lvlText w:val=""/>
      <w:lvlJc w:val="left"/>
      <w:pPr>
        <w:ind w:left="1440" w:hanging="360"/>
      </w:pPr>
      <w:rPr>
        <w:rFonts w:ascii="Symbol" w:hAnsi="Symbol"/>
      </w:rPr>
    </w:lvl>
    <w:lvl w:ilvl="7" w:tplc="555ABC14">
      <w:start w:val="1"/>
      <w:numFmt w:val="bullet"/>
      <w:lvlText w:val=""/>
      <w:lvlJc w:val="left"/>
      <w:pPr>
        <w:ind w:left="1440" w:hanging="360"/>
      </w:pPr>
      <w:rPr>
        <w:rFonts w:ascii="Symbol" w:hAnsi="Symbol"/>
      </w:rPr>
    </w:lvl>
    <w:lvl w:ilvl="8" w:tplc="FDE28994">
      <w:start w:val="1"/>
      <w:numFmt w:val="bullet"/>
      <w:lvlText w:val=""/>
      <w:lvlJc w:val="left"/>
      <w:pPr>
        <w:ind w:left="1440" w:hanging="360"/>
      </w:pPr>
      <w:rPr>
        <w:rFonts w:ascii="Symbol" w:hAnsi="Symbol"/>
      </w:rPr>
    </w:lvl>
  </w:abstractNum>
  <w:abstractNum w:abstractNumId="19" w15:restartNumberingAfterBreak="0">
    <w:nsid w:val="225D1575"/>
    <w:multiLevelType w:val="hybridMultilevel"/>
    <w:tmpl w:val="BF3A99BE"/>
    <w:lvl w:ilvl="0" w:tplc="0C090003">
      <w:start w:val="1"/>
      <w:numFmt w:val="bullet"/>
      <w:lvlText w:val="o"/>
      <w:lvlJc w:val="left"/>
      <w:pPr>
        <w:ind w:left="644" w:hanging="360"/>
      </w:pPr>
      <w:rPr>
        <w:rFonts w:ascii="Courier New" w:hAnsi="Courier New" w:cs="Courier New"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255A20D8"/>
    <w:multiLevelType w:val="hybridMultilevel"/>
    <w:tmpl w:val="05480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9B6B3B"/>
    <w:multiLevelType w:val="hybridMultilevel"/>
    <w:tmpl w:val="9B5CBAE4"/>
    <w:lvl w:ilvl="0" w:tplc="0C090003">
      <w:start w:val="1"/>
      <w:numFmt w:val="bullet"/>
      <w:lvlText w:val="o"/>
      <w:lvlJc w:val="left"/>
      <w:pPr>
        <w:ind w:left="644" w:hanging="360"/>
      </w:pPr>
      <w:rPr>
        <w:rFonts w:ascii="Courier New" w:hAnsi="Courier New" w:cs="Courier New" w:hint="default"/>
        <w:color w:val="auto"/>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2E9015DB"/>
    <w:multiLevelType w:val="hybridMultilevel"/>
    <w:tmpl w:val="66487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8D76BA"/>
    <w:multiLevelType w:val="hybridMultilevel"/>
    <w:tmpl w:val="3656F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8572DDD"/>
    <w:multiLevelType w:val="hybridMultilevel"/>
    <w:tmpl w:val="817CD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90163D3"/>
    <w:multiLevelType w:val="hybridMultilevel"/>
    <w:tmpl w:val="CD968C36"/>
    <w:lvl w:ilvl="0" w:tplc="661CBA94">
      <w:start w:val="1"/>
      <w:numFmt w:val="decimal"/>
      <w:lvlText w:val="%1."/>
      <w:lvlJc w:val="left"/>
      <w:pPr>
        <w:ind w:left="1020" w:hanging="360"/>
      </w:pPr>
    </w:lvl>
    <w:lvl w:ilvl="1" w:tplc="4CBE90AA">
      <w:start w:val="1"/>
      <w:numFmt w:val="decimal"/>
      <w:lvlText w:val="%2."/>
      <w:lvlJc w:val="left"/>
      <w:pPr>
        <w:ind w:left="1020" w:hanging="360"/>
      </w:pPr>
    </w:lvl>
    <w:lvl w:ilvl="2" w:tplc="37E826B0">
      <w:start w:val="1"/>
      <w:numFmt w:val="decimal"/>
      <w:lvlText w:val="%3."/>
      <w:lvlJc w:val="left"/>
      <w:pPr>
        <w:ind w:left="1020" w:hanging="360"/>
      </w:pPr>
    </w:lvl>
    <w:lvl w:ilvl="3" w:tplc="9AC27426">
      <w:start w:val="1"/>
      <w:numFmt w:val="decimal"/>
      <w:lvlText w:val="%4."/>
      <w:lvlJc w:val="left"/>
      <w:pPr>
        <w:ind w:left="1020" w:hanging="360"/>
      </w:pPr>
    </w:lvl>
    <w:lvl w:ilvl="4" w:tplc="415823C4">
      <w:start w:val="1"/>
      <w:numFmt w:val="decimal"/>
      <w:lvlText w:val="%5."/>
      <w:lvlJc w:val="left"/>
      <w:pPr>
        <w:ind w:left="1020" w:hanging="360"/>
      </w:pPr>
    </w:lvl>
    <w:lvl w:ilvl="5" w:tplc="9E56D3E2">
      <w:start w:val="1"/>
      <w:numFmt w:val="decimal"/>
      <w:lvlText w:val="%6."/>
      <w:lvlJc w:val="left"/>
      <w:pPr>
        <w:ind w:left="1020" w:hanging="360"/>
      </w:pPr>
    </w:lvl>
    <w:lvl w:ilvl="6" w:tplc="2F10CC8A">
      <w:start w:val="1"/>
      <w:numFmt w:val="decimal"/>
      <w:lvlText w:val="%7."/>
      <w:lvlJc w:val="left"/>
      <w:pPr>
        <w:ind w:left="1020" w:hanging="360"/>
      </w:pPr>
    </w:lvl>
    <w:lvl w:ilvl="7" w:tplc="48069C66">
      <w:start w:val="1"/>
      <w:numFmt w:val="decimal"/>
      <w:lvlText w:val="%8."/>
      <w:lvlJc w:val="left"/>
      <w:pPr>
        <w:ind w:left="1020" w:hanging="360"/>
      </w:pPr>
    </w:lvl>
    <w:lvl w:ilvl="8" w:tplc="619874C8">
      <w:start w:val="1"/>
      <w:numFmt w:val="decimal"/>
      <w:lvlText w:val="%9."/>
      <w:lvlJc w:val="left"/>
      <w:pPr>
        <w:ind w:left="1020" w:hanging="360"/>
      </w:pPr>
    </w:lvl>
  </w:abstractNum>
  <w:abstractNum w:abstractNumId="28" w15:restartNumberingAfterBreak="0">
    <w:nsid w:val="4EF012DF"/>
    <w:multiLevelType w:val="hybridMultilevel"/>
    <w:tmpl w:val="696E0CD6"/>
    <w:lvl w:ilvl="0" w:tplc="B81A4A56">
      <w:start w:val="1"/>
      <w:numFmt w:val="bullet"/>
      <w:lvlText w:val=""/>
      <w:lvlJc w:val="left"/>
      <w:pPr>
        <w:ind w:left="1440" w:hanging="360"/>
      </w:pPr>
      <w:rPr>
        <w:rFonts w:ascii="Symbol" w:hAnsi="Symbol"/>
      </w:rPr>
    </w:lvl>
    <w:lvl w:ilvl="1" w:tplc="37262AAC">
      <w:start w:val="1"/>
      <w:numFmt w:val="bullet"/>
      <w:lvlText w:val=""/>
      <w:lvlJc w:val="left"/>
      <w:pPr>
        <w:ind w:left="1440" w:hanging="360"/>
      </w:pPr>
      <w:rPr>
        <w:rFonts w:ascii="Symbol" w:hAnsi="Symbol"/>
      </w:rPr>
    </w:lvl>
    <w:lvl w:ilvl="2" w:tplc="820A1DF4">
      <w:start w:val="1"/>
      <w:numFmt w:val="bullet"/>
      <w:lvlText w:val=""/>
      <w:lvlJc w:val="left"/>
      <w:pPr>
        <w:ind w:left="1440" w:hanging="360"/>
      </w:pPr>
      <w:rPr>
        <w:rFonts w:ascii="Symbol" w:hAnsi="Symbol"/>
      </w:rPr>
    </w:lvl>
    <w:lvl w:ilvl="3" w:tplc="729C5468">
      <w:start w:val="1"/>
      <w:numFmt w:val="bullet"/>
      <w:lvlText w:val=""/>
      <w:lvlJc w:val="left"/>
      <w:pPr>
        <w:ind w:left="1440" w:hanging="360"/>
      </w:pPr>
      <w:rPr>
        <w:rFonts w:ascii="Symbol" w:hAnsi="Symbol"/>
      </w:rPr>
    </w:lvl>
    <w:lvl w:ilvl="4" w:tplc="756C322A">
      <w:start w:val="1"/>
      <w:numFmt w:val="bullet"/>
      <w:lvlText w:val=""/>
      <w:lvlJc w:val="left"/>
      <w:pPr>
        <w:ind w:left="1440" w:hanging="360"/>
      </w:pPr>
      <w:rPr>
        <w:rFonts w:ascii="Symbol" w:hAnsi="Symbol"/>
      </w:rPr>
    </w:lvl>
    <w:lvl w:ilvl="5" w:tplc="01A0D32A">
      <w:start w:val="1"/>
      <w:numFmt w:val="bullet"/>
      <w:lvlText w:val=""/>
      <w:lvlJc w:val="left"/>
      <w:pPr>
        <w:ind w:left="1440" w:hanging="360"/>
      </w:pPr>
      <w:rPr>
        <w:rFonts w:ascii="Symbol" w:hAnsi="Symbol"/>
      </w:rPr>
    </w:lvl>
    <w:lvl w:ilvl="6" w:tplc="7318FB32">
      <w:start w:val="1"/>
      <w:numFmt w:val="bullet"/>
      <w:lvlText w:val=""/>
      <w:lvlJc w:val="left"/>
      <w:pPr>
        <w:ind w:left="1440" w:hanging="360"/>
      </w:pPr>
      <w:rPr>
        <w:rFonts w:ascii="Symbol" w:hAnsi="Symbol"/>
      </w:rPr>
    </w:lvl>
    <w:lvl w:ilvl="7" w:tplc="6062E500">
      <w:start w:val="1"/>
      <w:numFmt w:val="bullet"/>
      <w:lvlText w:val=""/>
      <w:lvlJc w:val="left"/>
      <w:pPr>
        <w:ind w:left="1440" w:hanging="360"/>
      </w:pPr>
      <w:rPr>
        <w:rFonts w:ascii="Symbol" w:hAnsi="Symbol"/>
      </w:rPr>
    </w:lvl>
    <w:lvl w:ilvl="8" w:tplc="CE3459E2">
      <w:start w:val="1"/>
      <w:numFmt w:val="bullet"/>
      <w:lvlText w:val=""/>
      <w:lvlJc w:val="left"/>
      <w:pPr>
        <w:ind w:left="1440" w:hanging="360"/>
      </w:pPr>
      <w:rPr>
        <w:rFonts w:ascii="Symbol" w:hAnsi="Symbol"/>
      </w:rPr>
    </w:lvl>
  </w:abstractNum>
  <w:abstractNum w:abstractNumId="29" w15:restartNumberingAfterBreak="0">
    <w:nsid w:val="4FE37FC0"/>
    <w:multiLevelType w:val="hybridMultilevel"/>
    <w:tmpl w:val="551EEEAC"/>
    <w:lvl w:ilvl="0" w:tplc="DF60F1CA">
      <w:start w:val="1"/>
      <w:numFmt w:val="bullet"/>
      <w:lvlText w:val=""/>
      <w:lvlJc w:val="left"/>
      <w:pPr>
        <w:ind w:left="1440" w:hanging="360"/>
      </w:pPr>
      <w:rPr>
        <w:rFonts w:ascii="Symbol" w:hAnsi="Symbol"/>
      </w:rPr>
    </w:lvl>
    <w:lvl w:ilvl="1" w:tplc="945AA772">
      <w:start w:val="1"/>
      <w:numFmt w:val="bullet"/>
      <w:lvlText w:val=""/>
      <w:lvlJc w:val="left"/>
      <w:pPr>
        <w:ind w:left="1440" w:hanging="360"/>
      </w:pPr>
      <w:rPr>
        <w:rFonts w:ascii="Symbol" w:hAnsi="Symbol"/>
      </w:rPr>
    </w:lvl>
    <w:lvl w:ilvl="2" w:tplc="451EF1DC">
      <w:start w:val="1"/>
      <w:numFmt w:val="bullet"/>
      <w:lvlText w:val=""/>
      <w:lvlJc w:val="left"/>
      <w:pPr>
        <w:ind w:left="1440" w:hanging="360"/>
      </w:pPr>
      <w:rPr>
        <w:rFonts w:ascii="Symbol" w:hAnsi="Symbol"/>
      </w:rPr>
    </w:lvl>
    <w:lvl w:ilvl="3" w:tplc="2F0AF042">
      <w:start w:val="1"/>
      <w:numFmt w:val="bullet"/>
      <w:lvlText w:val=""/>
      <w:lvlJc w:val="left"/>
      <w:pPr>
        <w:ind w:left="1440" w:hanging="360"/>
      </w:pPr>
      <w:rPr>
        <w:rFonts w:ascii="Symbol" w:hAnsi="Symbol"/>
      </w:rPr>
    </w:lvl>
    <w:lvl w:ilvl="4" w:tplc="C262B3CC">
      <w:start w:val="1"/>
      <w:numFmt w:val="bullet"/>
      <w:lvlText w:val=""/>
      <w:lvlJc w:val="left"/>
      <w:pPr>
        <w:ind w:left="1440" w:hanging="360"/>
      </w:pPr>
      <w:rPr>
        <w:rFonts w:ascii="Symbol" w:hAnsi="Symbol"/>
      </w:rPr>
    </w:lvl>
    <w:lvl w:ilvl="5" w:tplc="085AAB32">
      <w:start w:val="1"/>
      <w:numFmt w:val="bullet"/>
      <w:lvlText w:val=""/>
      <w:lvlJc w:val="left"/>
      <w:pPr>
        <w:ind w:left="1440" w:hanging="360"/>
      </w:pPr>
      <w:rPr>
        <w:rFonts w:ascii="Symbol" w:hAnsi="Symbol"/>
      </w:rPr>
    </w:lvl>
    <w:lvl w:ilvl="6" w:tplc="41ACC118">
      <w:start w:val="1"/>
      <w:numFmt w:val="bullet"/>
      <w:lvlText w:val=""/>
      <w:lvlJc w:val="left"/>
      <w:pPr>
        <w:ind w:left="1440" w:hanging="360"/>
      </w:pPr>
      <w:rPr>
        <w:rFonts w:ascii="Symbol" w:hAnsi="Symbol"/>
      </w:rPr>
    </w:lvl>
    <w:lvl w:ilvl="7" w:tplc="2BBE8CC4">
      <w:start w:val="1"/>
      <w:numFmt w:val="bullet"/>
      <w:lvlText w:val=""/>
      <w:lvlJc w:val="left"/>
      <w:pPr>
        <w:ind w:left="1440" w:hanging="360"/>
      </w:pPr>
      <w:rPr>
        <w:rFonts w:ascii="Symbol" w:hAnsi="Symbol"/>
      </w:rPr>
    </w:lvl>
    <w:lvl w:ilvl="8" w:tplc="A9B04CAA">
      <w:start w:val="1"/>
      <w:numFmt w:val="bullet"/>
      <w:lvlText w:val=""/>
      <w:lvlJc w:val="left"/>
      <w:pPr>
        <w:ind w:left="1440" w:hanging="360"/>
      </w:pPr>
      <w:rPr>
        <w:rFonts w:ascii="Symbol" w:hAnsi="Symbol"/>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F16514"/>
    <w:multiLevelType w:val="hybridMultilevel"/>
    <w:tmpl w:val="FD680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B6D7E"/>
    <w:multiLevelType w:val="hybridMultilevel"/>
    <w:tmpl w:val="A3A0E134"/>
    <w:lvl w:ilvl="0" w:tplc="3B547B2C">
      <w:start w:val="1"/>
      <w:numFmt w:val="decimal"/>
      <w:lvlText w:val="%1."/>
      <w:lvlJc w:val="left"/>
      <w:pPr>
        <w:ind w:left="1020" w:hanging="360"/>
      </w:pPr>
    </w:lvl>
    <w:lvl w:ilvl="1" w:tplc="B02ABD72">
      <w:start w:val="1"/>
      <w:numFmt w:val="decimal"/>
      <w:lvlText w:val="%2."/>
      <w:lvlJc w:val="left"/>
      <w:pPr>
        <w:ind w:left="1020" w:hanging="360"/>
      </w:pPr>
    </w:lvl>
    <w:lvl w:ilvl="2" w:tplc="6532A736">
      <w:start w:val="1"/>
      <w:numFmt w:val="decimal"/>
      <w:lvlText w:val="%3."/>
      <w:lvlJc w:val="left"/>
      <w:pPr>
        <w:ind w:left="1020" w:hanging="360"/>
      </w:pPr>
    </w:lvl>
    <w:lvl w:ilvl="3" w:tplc="436E46DE">
      <w:start w:val="1"/>
      <w:numFmt w:val="decimal"/>
      <w:lvlText w:val="%4."/>
      <w:lvlJc w:val="left"/>
      <w:pPr>
        <w:ind w:left="1020" w:hanging="360"/>
      </w:pPr>
    </w:lvl>
    <w:lvl w:ilvl="4" w:tplc="414C851C">
      <w:start w:val="1"/>
      <w:numFmt w:val="decimal"/>
      <w:lvlText w:val="%5."/>
      <w:lvlJc w:val="left"/>
      <w:pPr>
        <w:ind w:left="1020" w:hanging="360"/>
      </w:pPr>
    </w:lvl>
    <w:lvl w:ilvl="5" w:tplc="F620C9A8">
      <w:start w:val="1"/>
      <w:numFmt w:val="decimal"/>
      <w:lvlText w:val="%6."/>
      <w:lvlJc w:val="left"/>
      <w:pPr>
        <w:ind w:left="1020" w:hanging="360"/>
      </w:pPr>
    </w:lvl>
    <w:lvl w:ilvl="6" w:tplc="E122749A">
      <w:start w:val="1"/>
      <w:numFmt w:val="decimal"/>
      <w:lvlText w:val="%7."/>
      <w:lvlJc w:val="left"/>
      <w:pPr>
        <w:ind w:left="1020" w:hanging="360"/>
      </w:pPr>
    </w:lvl>
    <w:lvl w:ilvl="7" w:tplc="AA089B94">
      <w:start w:val="1"/>
      <w:numFmt w:val="decimal"/>
      <w:lvlText w:val="%8."/>
      <w:lvlJc w:val="left"/>
      <w:pPr>
        <w:ind w:left="1020" w:hanging="360"/>
      </w:pPr>
    </w:lvl>
    <w:lvl w:ilvl="8" w:tplc="1D629328">
      <w:start w:val="1"/>
      <w:numFmt w:val="decimal"/>
      <w:lvlText w:val="%9."/>
      <w:lvlJc w:val="left"/>
      <w:pPr>
        <w:ind w:left="1020" w:hanging="360"/>
      </w:p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BEF6C39"/>
    <w:multiLevelType w:val="hybridMultilevel"/>
    <w:tmpl w:val="0FA2F5F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1E41C2"/>
    <w:multiLevelType w:val="hybridMultilevel"/>
    <w:tmpl w:val="0A1C2EA2"/>
    <w:lvl w:ilvl="0" w:tplc="0C09000F">
      <w:start w:val="1"/>
      <w:numFmt w:val="decimal"/>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6C645B"/>
    <w:multiLevelType w:val="hybridMultilevel"/>
    <w:tmpl w:val="902ED82E"/>
    <w:lvl w:ilvl="0" w:tplc="E8FA6EFA">
      <w:start w:val="1"/>
      <w:numFmt w:val="bullet"/>
      <w:lvlText w:val=""/>
      <w:lvlJc w:val="left"/>
      <w:pPr>
        <w:ind w:left="1440" w:hanging="360"/>
      </w:pPr>
      <w:rPr>
        <w:rFonts w:ascii="Symbol" w:hAnsi="Symbol"/>
      </w:rPr>
    </w:lvl>
    <w:lvl w:ilvl="1" w:tplc="F8765A1A">
      <w:start w:val="1"/>
      <w:numFmt w:val="bullet"/>
      <w:lvlText w:val=""/>
      <w:lvlJc w:val="left"/>
      <w:pPr>
        <w:ind w:left="1440" w:hanging="360"/>
      </w:pPr>
      <w:rPr>
        <w:rFonts w:ascii="Symbol" w:hAnsi="Symbol"/>
      </w:rPr>
    </w:lvl>
    <w:lvl w:ilvl="2" w:tplc="0E60D0AC">
      <w:start w:val="1"/>
      <w:numFmt w:val="bullet"/>
      <w:lvlText w:val=""/>
      <w:lvlJc w:val="left"/>
      <w:pPr>
        <w:ind w:left="1440" w:hanging="360"/>
      </w:pPr>
      <w:rPr>
        <w:rFonts w:ascii="Symbol" w:hAnsi="Symbol"/>
      </w:rPr>
    </w:lvl>
    <w:lvl w:ilvl="3" w:tplc="032AB366">
      <w:start w:val="1"/>
      <w:numFmt w:val="bullet"/>
      <w:lvlText w:val=""/>
      <w:lvlJc w:val="left"/>
      <w:pPr>
        <w:ind w:left="1440" w:hanging="360"/>
      </w:pPr>
      <w:rPr>
        <w:rFonts w:ascii="Symbol" w:hAnsi="Symbol"/>
      </w:rPr>
    </w:lvl>
    <w:lvl w:ilvl="4" w:tplc="00B8F3F8">
      <w:start w:val="1"/>
      <w:numFmt w:val="bullet"/>
      <w:lvlText w:val=""/>
      <w:lvlJc w:val="left"/>
      <w:pPr>
        <w:ind w:left="1440" w:hanging="360"/>
      </w:pPr>
      <w:rPr>
        <w:rFonts w:ascii="Symbol" w:hAnsi="Symbol"/>
      </w:rPr>
    </w:lvl>
    <w:lvl w:ilvl="5" w:tplc="2F621E86">
      <w:start w:val="1"/>
      <w:numFmt w:val="bullet"/>
      <w:lvlText w:val=""/>
      <w:lvlJc w:val="left"/>
      <w:pPr>
        <w:ind w:left="1440" w:hanging="360"/>
      </w:pPr>
      <w:rPr>
        <w:rFonts w:ascii="Symbol" w:hAnsi="Symbol"/>
      </w:rPr>
    </w:lvl>
    <w:lvl w:ilvl="6" w:tplc="754696A0">
      <w:start w:val="1"/>
      <w:numFmt w:val="bullet"/>
      <w:lvlText w:val=""/>
      <w:lvlJc w:val="left"/>
      <w:pPr>
        <w:ind w:left="1440" w:hanging="360"/>
      </w:pPr>
      <w:rPr>
        <w:rFonts w:ascii="Symbol" w:hAnsi="Symbol"/>
      </w:rPr>
    </w:lvl>
    <w:lvl w:ilvl="7" w:tplc="F96A198E">
      <w:start w:val="1"/>
      <w:numFmt w:val="bullet"/>
      <w:lvlText w:val=""/>
      <w:lvlJc w:val="left"/>
      <w:pPr>
        <w:ind w:left="1440" w:hanging="360"/>
      </w:pPr>
      <w:rPr>
        <w:rFonts w:ascii="Symbol" w:hAnsi="Symbol"/>
      </w:rPr>
    </w:lvl>
    <w:lvl w:ilvl="8" w:tplc="C18A522C">
      <w:start w:val="1"/>
      <w:numFmt w:val="bullet"/>
      <w:lvlText w:val=""/>
      <w:lvlJc w:val="left"/>
      <w:pPr>
        <w:ind w:left="1440" w:hanging="360"/>
      </w:pPr>
      <w:rPr>
        <w:rFonts w:ascii="Symbol" w:hAnsi="Symbol"/>
      </w:rPr>
    </w:lvl>
  </w:abstractNum>
  <w:abstractNum w:abstractNumId="38" w15:restartNumberingAfterBreak="0">
    <w:nsid w:val="74F70478"/>
    <w:multiLevelType w:val="hybridMultilevel"/>
    <w:tmpl w:val="4B4C16EC"/>
    <w:lvl w:ilvl="0" w:tplc="C44AE10A">
      <w:start w:val="1"/>
      <w:numFmt w:val="bullet"/>
      <w:lvlText w:val=""/>
      <w:lvlJc w:val="left"/>
      <w:pPr>
        <w:ind w:left="1440" w:hanging="360"/>
      </w:pPr>
      <w:rPr>
        <w:rFonts w:ascii="Symbol" w:hAnsi="Symbol"/>
      </w:rPr>
    </w:lvl>
    <w:lvl w:ilvl="1" w:tplc="BD78497C">
      <w:start w:val="1"/>
      <w:numFmt w:val="bullet"/>
      <w:lvlText w:val=""/>
      <w:lvlJc w:val="left"/>
      <w:pPr>
        <w:ind w:left="1440" w:hanging="360"/>
      </w:pPr>
      <w:rPr>
        <w:rFonts w:ascii="Symbol" w:hAnsi="Symbol"/>
      </w:rPr>
    </w:lvl>
    <w:lvl w:ilvl="2" w:tplc="9CD63112">
      <w:start w:val="1"/>
      <w:numFmt w:val="bullet"/>
      <w:lvlText w:val=""/>
      <w:lvlJc w:val="left"/>
      <w:pPr>
        <w:ind w:left="1440" w:hanging="360"/>
      </w:pPr>
      <w:rPr>
        <w:rFonts w:ascii="Symbol" w:hAnsi="Symbol"/>
      </w:rPr>
    </w:lvl>
    <w:lvl w:ilvl="3" w:tplc="EE70F7F4">
      <w:start w:val="1"/>
      <w:numFmt w:val="bullet"/>
      <w:lvlText w:val=""/>
      <w:lvlJc w:val="left"/>
      <w:pPr>
        <w:ind w:left="1440" w:hanging="360"/>
      </w:pPr>
      <w:rPr>
        <w:rFonts w:ascii="Symbol" w:hAnsi="Symbol"/>
      </w:rPr>
    </w:lvl>
    <w:lvl w:ilvl="4" w:tplc="E5906574">
      <w:start w:val="1"/>
      <w:numFmt w:val="bullet"/>
      <w:lvlText w:val=""/>
      <w:lvlJc w:val="left"/>
      <w:pPr>
        <w:ind w:left="1440" w:hanging="360"/>
      </w:pPr>
      <w:rPr>
        <w:rFonts w:ascii="Symbol" w:hAnsi="Symbol"/>
      </w:rPr>
    </w:lvl>
    <w:lvl w:ilvl="5" w:tplc="6AA81912">
      <w:start w:val="1"/>
      <w:numFmt w:val="bullet"/>
      <w:lvlText w:val=""/>
      <w:lvlJc w:val="left"/>
      <w:pPr>
        <w:ind w:left="1440" w:hanging="360"/>
      </w:pPr>
      <w:rPr>
        <w:rFonts w:ascii="Symbol" w:hAnsi="Symbol"/>
      </w:rPr>
    </w:lvl>
    <w:lvl w:ilvl="6" w:tplc="2CA07A04">
      <w:start w:val="1"/>
      <w:numFmt w:val="bullet"/>
      <w:lvlText w:val=""/>
      <w:lvlJc w:val="left"/>
      <w:pPr>
        <w:ind w:left="1440" w:hanging="360"/>
      </w:pPr>
      <w:rPr>
        <w:rFonts w:ascii="Symbol" w:hAnsi="Symbol"/>
      </w:rPr>
    </w:lvl>
    <w:lvl w:ilvl="7" w:tplc="59548156">
      <w:start w:val="1"/>
      <w:numFmt w:val="bullet"/>
      <w:lvlText w:val=""/>
      <w:lvlJc w:val="left"/>
      <w:pPr>
        <w:ind w:left="1440" w:hanging="360"/>
      </w:pPr>
      <w:rPr>
        <w:rFonts w:ascii="Symbol" w:hAnsi="Symbol"/>
      </w:rPr>
    </w:lvl>
    <w:lvl w:ilvl="8" w:tplc="5C4C4310">
      <w:start w:val="1"/>
      <w:numFmt w:val="bullet"/>
      <w:lvlText w:val=""/>
      <w:lvlJc w:val="left"/>
      <w:pPr>
        <w:ind w:left="1440" w:hanging="360"/>
      </w:pPr>
      <w:rPr>
        <w:rFonts w:ascii="Symbol" w:hAnsi="Symbol"/>
      </w:rPr>
    </w:lvl>
  </w:abstractNum>
  <w:abstractNum w:abstractNumId="39" w15:restartNumberingAfterBreak="0">
    <w:nsid w:val="760325D4"/>
    <w:multiLevelType w:val="hybridMultilevel"/>
    <w:tmpl w:val="F9E6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70161A"/>
    <w:multiLevelType w:val="hybridMultilevel"/>
    <w:tmpl w:val="12B29CB4"/>
    <w:lvl w:ilvl="0" w:tplc="12B03634">
      <w:start w:val="1"/>
      <w:numFmt w:val="bullet"/>
      <w:lvlText w:val=""/>
      <w:lvlJc w:val="left"/>
      <w:pPr>
        <w:ind w:left="1440" w:hanging="360"/>
      </w:pPr>
      <w:rPr>
        <w:rFonts w:ascii="Symbol" w:hAnsi="Symbol"/>
      </w:rPr>
    </w:lvl>
    <w:lvl w:ilvl="1" w:tplc="D5408428">
      <w:start w:val="1"/>
      <w:numFmt w:val="bullet"/>
      <w:lvlText w:val=""/>
      <w:lvlJc w:val="left"/>
      <w:pPr>
        <w:ind w:left="1440" w:hanging="360"/>
      </w:pPr>
      <w:rPr>
        <w:rFonts w:ascii="Symbol" w:hAnsi="Symbol"/>
      </w:rPr>
    </w:lvl>
    <w:lvl w:ilvl="2" w:tplc="807A570A">
      <w:start w:val="1"/>
      <w:numFmt w:val="bullet"/>
      <w:lvlText w:val=""/>
      <w:lvlJc w:val="left"/>
      <w:pPr>
        <w:ind w:left="1440" w:hanging="360"/>
      </w:pPr>
      <w:rPr>
        <w:rFonts w:ascii="Symbol" w:hAnsi="Symbol"/>
      </w:rPr>
    </w:lvl>
    <w:lvl w:ilvl="3" w:tplc="8C6A4F2A">
      <w:start w:val="1"/>
      <w:numFmt w:val="bullet"/>
      <w:lvlText w:val=""/>
      <w:lvlJc w:val="left"/>
      <w:pPr>
        <w:ind w:left="1440" w:hanging="360"/>
      </w:pPr>
      <w:rPr>
        <w:rFonts w:ascii="Symbol" w:hAnsi="Symbol"/>
      </w:rPr>
    </w:lvl>
    <w:lvl w:ilvl="4" w:tplc="69DEEE2E">
      <w:start w:val="1"/>
      <w:numFmt w:val="bullet"/>
      <w:lvlText w:val=""/>
      <w:lvlJc w:val="left"/>
      <w:pPr>
        <w:ind w:left="1440" w:hanging="360"/>
      </w:pPr>
      <w:rPr>
        <w:rFonts w:ascii="Symbol" w:hAnsi="Symbol"/>
      </w:rPr>
    </w:lvl>
    <w:lvl w:ilvl="5" w:tplc="F1340518">
      <w:start w:val="1"/>
      <w:numFmt w:val="bullet"/>
      <w:lvlText w:val=""/>
      <w:lvlJc w:val="left"/>
      <w:pPr>
        <w:ind w:left="1440" w:hanging="360"/>
      </w:pPr>
      <w:rPr>
        <w:rFonts w:ascii="Symbol" w:hAnsi="Symbol"/>
      </w:rPr>
    </w:lvl>
    <w:lvl w:ilvl="6" w:tplc="A7C4BDCA">
      <w:start w:val="1"/>
      <w:numFmt w:val="bullet"/>
      <w:lvlText w:val=""/>
      <w:lvlJc w:val="left"/>
      <w:pPr>
        <w:ind w:left="1440" w:hanging="360"/>
      </w:pPr>
      <w:rPr>
        <w:rFonts w:ascii="Symbol" w:hAnsi="Symbol"/>
      </w:rPr>
    </w:lvl>
    <w:lvl w:ilvl="7" w:tplc="6D920FCA">
      <w:start w:val="1"/>
      <w:numFmt w:val="bullet"/>
      <w:lvlText w:val=""/>
      <w:lvlJc w:val="left"/>
      <w:pPr>
        <w:ind w:left="1440" w:hanging="360"/>
      </w:pPr>
      <w:rPr>
        <w:rFonts w:ascii="Symbol" w:hAnsi="Symbol"/>
      </w:rPr>
    </w:lvl>
    <w:lvl w:ilvl="8" w:tplc="205A5CCC">
      <w:start w:val="1"/>
      <w:numFmt w:val="bullet"/>
      <w:lvlText w:val=""/>
      <w:lvlJc w:val="left"/>
      <w:pPr>
        <w:ind w:left="1440" w:hanging="360"/>
      </w:pPr>
      <w:rPr>
        <w:rFonts w:ascii="Symbol" w:hAnsi="Symbol"/>
      </w:rPr>
    </w:lvl>
  </w:abstractNum>
  <w:abstractNum w:abstractNumId="41" w15:restartNumberingAfterBreak="0">
    <w:nsid w:val="7CC15686"/>
    <w:multiLevelType w:val="hybridMultilevel"/>
    <w:tmpl w:val="5836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11190949">
    <w:abstractNumId w:val="7"/>
  </w:num>
  <w:num w:numId="2" w16cid:durableId="1754007067">
    <w:abstractNumId w:val="30"/>
  </w:num>
  <w:num w:numId="3" w16cid:durableId="1395932567">
    <w:abstractNumId w:val="35"/>
  </w:num>
  <w:num w:numId="4" w16cid:durableId="2142843283">
    <w:abstractNumId w:val="8"/>
  </w:num>
  <w:num w:numId="5" w16cid:durableId="1843007719">
    <w:abstractNumId w:val="8"/>
    <w:lvlOverride w:ilvl="0">
      <w:startOverride w:val="1"/>
    </w:lvlOverride>
  </w:num>
  <w:num w:numId="6" w16cid:durableId="545331696">
    <w:abstractNumId w:val="9"/>
  </w:num>
  <w:num w:numId="7" w16cid:durableId="795488056">
    <w:abstractNumId w:val="26"/>
  </w:num>
  <w:num w:numId="8" w16cid:durableId="1251296">
    <w:abstractNumId w:val="33"/>
  </w:num>
  <w:num w:numId="9" w16cid:durableId="347953475">
    <w:abstractNumId w:val="5"/>
  </w:num>
  <w:num w:numId="10" w16cid:durableId="1237939620">
    <w:abstractNumId w:val="4"/>
  </w:num>
  <w:num w:numId="11" w16cid:durableId="635985538">
    <w:abstractNumId w:val="3"/>
  </w:num>
  <w:num w:numId="12" w16cid:durableId="530339469">
    <w:abstractNumId w:val="2"/>
  </w:num>
  <w:num w:numId="13" w16cid:durableId="674965146">
    <w:abstractNumId w:val="6"/>
  </w:num>
  <w:num w:numId="14" w16cid:durableId="1616905592">
    <w:abstractNumId w:val="1"/>
  </w:num>
  <w:num w:numId="15" w16cid:durableId="147286771">
    <w:abstractNumId w:val="0"/>
  </w:num>
  <w:num w:numId="16" w16cid:durableId="1664701672">
    <w:abstractNumId w:val="42"/>
  </w:num>
  <w:num w:numId="17" w16cid:durableId="2137218068">
    <w:abstractNumId w:val="14"/>
  </w:num>
  <w:num w:numId="18" w16cid:durableId="1634797669">
    <w:abstractNumId w:val="17"/>
  </w:num>
  <w:num w:numId="19" w16cid:durableId="557206298">
    <w:abstractNumId w:val="24"/>
  </w:num>
  <w:num w:numId="20" w16cid:durableId="2023777141">
    <w:abstractNumId w:val="31"/>
  </w:num>
  <w:num w:numId="21" w16cid:durableId="1579554322">
    <w:abstractNumId w:val="28"/>
  </w:num>
  <w:num w:numId="22" w16cid:durableId="1507212175">
    <w:abstractNumId w:val="22"/>
  </w:num>
  <w:num w:numId="23" w16cid:durableId="967706063">
    <w:abstractNumId w:val="14"/>
  </w:num>
  <w:num w:numId="24" w16cid:durableId="1648824665">
    <w:abstractNumId w:val="14"/>
  </w:num>
  <w:num w:numId="25" w16cid:durableId="748429781">
    <w:abstractNumId w:val="12"/>
  </w:num>
  <w:num w:numId="26" w16cid:durableId="1171288908">
    <w:abstractNumId w:val="14"/>
  </w:num>
  <w:num w:numId="27" w16cid:durableId="9458052">
    <w:abstractNumId w:val="36"/>
  </w:num>
  <w:num w:numId="28" w16cid:durableId="1834878612">
    <w:abstractNumId w:val="32"/>
  </w:num>
  <w:num w:numId="29" w16cid:durableId="1397823908">
    <w:abstractNumId w:val="19"/>
  </w:num>
  <w:num w:numId="30" w16cid:durableId="1056121868">
    <w:abstractNumId w:val="27"/>
  </w:num>
  <w:num w:numId="31" w16cid:durableId="1329747532">
    <w:abstractNumId w:val="34"/>
  </w:num>
  <w:num w:numId="32" w16cid:durableId="1329287250">
    <w:abstractNumId w:val="14"/>
  </w:num>
  <w:num w:numId="33" w16cid:durableId="748230238">
    <w:abstractNumId w:val="14"/>
  </w:num>
  <w:num w:numId="34" w16cid:durableId="170030184">
    <w:abstractNumId w:val="16"/>
  </w:num>
  <w:num w:numId="35" w16cid:durableId="1169520143">
    <w:abstractNumId w:val="39"/>
  </w:num>
  <w:num w:numId="36" w16cid:durableId="833453762">
    <w:abstractNumId w:val="23"/>
  </w:num>
  <w:num w:numId="37" w16cid:durableId="46882731">
    <w:abstractNumId w:val="41"/>
  </w:num>
  <w:num w:numId="38" w16cid:durableId="437338546">
    <w:abstractNumId w:val="11"/>
  </w:num>
  <w:num w:numId="39" w16cid:durableId="602685841">
    <w:abstractNumId w:val="10"/>
  </w:num>
  <w:num w:numId="40" w16cid:durableId="83380686">
    <w:abstractNumId w:val="25"/>
  </w:num>
  <w:num w:numId="41" w16cid:durableId="850607558">
    <w:abstractNumId w:val="15"/>
  </w:num>
  <w:num w:numId="42" w16cid:durableId="1071662265">
    <w:abstractNumId w:val="40"/>
  </w:num>
  <w:num w:numId="43" w16cid:durableId="1254439824">
    <w:abstractNumId w:val="18"/>
  </w:num>
  <w:num w:numId="44" w16cid:durableId="208034002">
    <w:abstractNumId w:val="38"/>
  </w:num>
  <w:num w:numId="45" w16cid:durableId="1757244120">
    <w:abstractNumId w:val="37"/>
  </w:num>
  <w:num w:numId="46" w16cid:durableId="1050419338">
    <w:abstractNumId w:val="29"/>
  </w:num>
  <w:num w:numId="47" w16cid:durableId="551497915">
    <w:abstractNumId w:val="20"/>
  </w:num>
  <w:num w:numId="48" w16cid:durableId="2133860248">
    <w:abstractNumId w:val="21"/>
  </w:num>
  <w:num w:numId="49" w16cid:durableId="100382477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TPPS">
    <w15:presenceInfo w15:providerId="None" w15:userId="OTPPS"/>
  </w15:person>
  <w15:person w15:author="YIN, Jun">
    <w15:presenceInfo w15:providerId="AD" w15:userId="S::Jun.Yin@health.gov.au::b8f43909-820b-4c36-a271-3448e39191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73"/>
    <w:rsid w:val="00003743"/>
    <w:rsid w:val="000047B4"/>
    <w:rsid w:val="00005712"/>
    <w:rsid w:val="00005C37"/>
    <w:rsid w:val="00006800"/>
    <w:rsid w:val="0000715C"/>
    <w:rsid w:val="00007FD8"/>
    <w:rsid w:val="000117F8"/>
    <w:rsid w:val="000163A6"/>
    <w:rsid w:val="00017CCA"/>
    <w:rsid w:val="00017DAA"/>
    <w:rsid w:val="000201A0"/>
    <w:rsid w:val="00025CF1"/>
    <w:rsid w:val="00026139"/>
    <w:rsid w:val="00027071"/>
    <w:rsid w:val="00027601"/>
    <w:rsid w:val="00027AA5"/>
    <w:rsid w:val="00027F31"/>
    <w:rsid w:val="00032301"/>
    <w:rsid w:val="00033321"/>
    <w:rsid w:val="000338E5"/>
    <w:rsid w:val="00033ECC"/>
    <w:rsid w:val="0003422F"/>
    <w:rsid w:val="00035D37"/>
    <w:rsid w:val="00040937"/>
    <w:rsid w:val="00040B26"/>
    <w:rsid w:val="0004226F"/>
    <w:rsid w:val="00042BA9"/>
    <w:rsid w:val="00044706"/>
    <w:rsid w:val="000452F4"/>
    <w:rsid w:val="00046FF0"/>
    <w:rsid w:val="00047829"/>
    <w:rsid w:val="00047BC8"/>
    <w:rsid w:val="00050176"/>
    <w:rsid w:val="00050E33"/>
    <w:rsid w:val="00053D2E"/>
    <w:rsid w:val="00055E30"/>
    <w:rsid w:val="0006034F"/>
    <w:rsid w:val="00061F31"/>
    <w:rsid w:val="00062B65"/>
    <w:rsid w:val="00062C91"/>
    <w:rsid w:val="000636A6"/>
    <w:rsid w:val="00065C5C"/>
    <w:rsid w:val="000667FE"/>
    <w:rsid w:val="00067456"/>
    <w:rsid w:val="000700F7"/>
    <w:rsid w:val="00071506"/>
    <w:rsid w:val="0007154F"/>
    <w:rsid w:val="0007395F"/>
    <w:rsid w:val="000743A8"/>
    <w:rsid w:val="00081AB1"/>
    <w:rsid w:val="000834A1"/>
    <w:rsid w:val="00084135"/>
    <w:rsid w:val="00087E0E"/>
    <w:rsid w:val="00090316"/>
    <w:rsid w:val="0009097C"/>
    <w:rsid w:val="00090FA2"/>
    <w:rsid w:val="00091951"/>
    <w:rsid w:val="000933ED"/>
    <w:rsid w:val="00093981"/>
    <w:rsid w:val="00093CD9"/>
    <w:rsid w:val="00097E60"/>
    <w:rsid w:val="000A1F56"/>
    <w:rsid w:val="000A6F45"/>
    <w:rsid w:val="000A6FF4"/>
    <w:rsid w:val="000B067A"/>
    <w:rsid w:val="000B1254"/>
    <w:rsid w:val="000B1540"/>
    <w:rsid w:val="000B33FD"/>
    <w:rsid w:val="000B364F"/>
    <w:rsid w:val="000B3ACD"/>
    <w:rsid w:val="000B4ABA"/>
    <w:rsid w:val="000B6042"/>
    <w:rsid w:val="000B62BD"/>
    <w:rsid w:val="000B6376"/>
    <w:rsid w:val="000B7B4F"/>
    <w:rsid w:val="000C037E"/>
    <w:rsid w:val="000C0D30"/>
    <w:rsid w:val="000C1B71"/>
    <w:rsid w:val="000C3FF4"/>
    <w:rsid w:val="000C4B16"/>
    <w:rsid w:val="000C50C3"/>
    <w:rsid w:val="000C63B9"/>
    <w:rsid w:val="000D173E"/>
    <w:rsid w:val="000D21F6"/>
    <w:rsid w:val="000D3CF1"/>
    <w:rsid w:val="000D42C3"/>
    <w:rsid w:val="000D4500"/>
    <w:rsid w:val="000D6709"/>
    <w:rsid w:val="000D6B80"/>
    <w:rsid w:val="000D76E5"/>
    <w:rsid w:val="000D7AEA"/>
    <w:rsid w:val="000E01A9"/>
    <w:rsid w:val="000E0EF1"/>
    <w:rsid w:val="000E1FAE"/>
    <w:rsid w:val="000E2128"/>
    <w:rsid w:val="000E2C66"/>
    <w:rsid w:val="000E2D6C"/>
    <w:rsid w:val="000E3663"/>
    <w:rsid w:val="000E4E57"/>
    <w:rsid w:val="000E53D5"/>
    <w:rsid w:val="000E6E7D"/>
    <w:rsid w:val="000E7383"/>
    <w:rsid w:val="000E746F"/>
    <w:rsid w:val="000F123C"/>
    <w:rsid w:val="000F2FED"/>
    <w:rsid w:val="00101BE0"/>
    <w:rsid w:val="00101BFC"/>
    <w:rsid w:val="001022E3"/>
    <w:rsid w:val="0010616D"/>
    <w:rsid w:val="00110478"/>
    <w:rsid w:val="001109A9"/>
    <w:rsid w:val="001116AE"/>
    <w:rsid w:val="00112EF7"/>
    <w:rsid w:val="0011711B"/>
    <w:rsid w:val="00117AD2"/>
    <w:rsid w:val="00117F8A"/>
    <w:rsid w:val="001204B0"/>
    <w:rsid w:val="001207E1"/>
    <w:rsid w:val="00120ADC"/>
    <w:rsid w:val="00120FD4"/>
    <w:rsid w:val="00121B9B"/>
    <w:rsid w:val="00121C0C"/>
    <w:rsid w:val="001222BB"/>
    <w:rsid w:val="00122ADC"/>
    <w:rsid w:val="00130F59"/>
    <w:rsid w:val="00133EC0"/>
    <w:rsid w:val="00135AAC"/>
    <w:rsid w:val="00137814"/>
    <w:rsid w:val="00137F4B"/>
    <w:rsid w:val="00141CE5"/>
    <w:rsid w:val="001426C6"/>
    <w:rsid w:val="00142D99"/>
    <w:rsid w:val="00144908"/>
    <w:rsid w:val="001462ED"/>
    <w:rsid w:val="0014636B"/>
    <w:rsid w:val="001466B9"/>
    <w:rsid w:val="00146F6E"/>
    <w:rsid w:val="00150002"/>
    <w:rsid w:val="0015119E"/>
    <w:rsid w:val="001514C6"/>
    <w:rsid w:val="00153F51"/>
    <w:rsid w:val="0015458B"/>
    <w:rsid w:val="001571C7"/>
    <w:rsid w:val="00157652"/>
    <w:rsid w:val="00161094"/>
    <w:rsid w:val="001627F7"/>
    <w:rsid w:val="00164577"/>
    <w:rsid w:val="0017059D"/>
    <w:rsid w:val="00171E41"/>
    <w:rsid w:val="00172A55"/>
    <w:rsid w:val="00172EFE"/>
    <w:rsid w:val="0017479C"/>
    <w:rsid w:val="001758CD"/>
    <w:rsid w:val="0017665C"/>
    <w:rsid w:val="00177AD2"/>
    <w:rsid w:val="00180727"/>
    <w:rsid w:val="00180FD7"/>
    <w:rsid w:val="001815A8"/>
    <w:rsid w:val="00181AF6"/>
    <w:rsid w:val="00182C62"/>
    <w:rsid w:val="00183EFF"/>
    <w:rsid w:val="001840FA"/>
    <w:rsid w:val="00185E02"/>
    <w:rsid w:val="00187773"/>
    <w:rsid w:val="00190079"/>
    <w:rsid w:val="001920A8"/>
    <w:rsid w:val="001929DA"/>
    <w:rsid w:val="00193E82"/>
    <w:rsid w:val="0019622E"/>
    <w:rsid w:val="001966A7"/>
    <w:rsid w:val="0019764B"/>
    <w:rsid w:val="001A1460"/>
    <w:rsid w:val="001A4627"/>
    <w:rsid w:val="001A4979"/>
    <w:rsid w:val="001B0F74"/>
    <w:rsid w:val="001B15D3"/>
    <w:rsid w:val="001B1906"/>
    <w:rsid w:val="001B3443"/>
    <w:rsid w:val="001B5C95"/>
    <w:rsid w:val="001C0326"/>
    <w:rsid w:val="001C192F"/>
    <w:rsid w:val="001C3C42"/>
    <w:rsid w:val="001C416A"/>
    <w:rsid w:val="001C4C7F"/>
    <w:rsid w:val="001C4D7F"/>
    <w:rsid w:val="001C509B"/>
    <w:rsid w:val="001C5811"/>
    <w:rsid w:val="001C6250"/>
    <w:rsid w:val="001D1179"/>
    <w:rsid w:val="001D1224"/>
    <w:rsid w:val="001D478E"/>
    <w:rsid w:val="001D548D"/>
    <w:rsid w:val="001D549F"/>
    <w:rsid w:val="001D55A3"/>
    <w:rsid w:val="001D7869"/>
    <w:rsid w:val="001E0EAE"/>
    <w:rsid w:val="001E197A"/>
    <w:rsid w:val="001E44B1"/>
    <w:rsid w:val="001F0298"/>
    <w:rsid w:val="001F28A4"/>
    <w:rsid w:val="001F2F78"/>
    <w:rsid w:val="001F7775"/>
    <w:rsid w:val="002026CD"/>
    <w:rsid w:val="002033FC"/>
    <w:rsid w:val="002044BB"/>
    <w:rsid w:val="002069BC"/>
    <w:rsid w:val="00207C0A"/>
    <w:rsid w:val="00210B09"/>
    <w:rsid w:val="00210C9E"/>
    <w:rsid w:val="0021122D"/>
    <w:rsid w:val="00211840"/>
    <w:rsid w:val="00212207"/>
    <w:rsid w:val="0021547D"/>
    <w:rsid w:val="002161AC"/>
    <w:rsid w:val="002165EA"/>
    <w:rsid w:val="0021771F"/>
    <w:rsid w:val="00220E5F"/>
    <w:rsid w:val="00220F8B"/>
    <w:rsid w:val="0022119E"/>
    <w:rsid w:val="002212B5"/>
    <w:rsid w:val="00225BE5"/>
    <w:rsid w:val="00226668"/>
    <w:rsid w:val="00227943"/>
    <w:rsid w:val="00233809"/>
    <w:rsid w:val="00233B48"/>
    <w:rsid w:val="00233CA2"/>
    <w:rsid w:val="002342A0"/>
    <w:rsid w:val="00235F4F"/>
    <w:rsid w:val="00236F56"/>
    <w:rsid w:val="00240046"/>
    <w:rsid w:val="00240992"/>
    <w:rsid w:val="00241096"/>
    <w:rsid w:val="00243279"/>
    <w:rsid w:val="00244748"/>
    <w:rsid w:val="00245AD6"/>
    <w:rsid w:val="002460A7"/>
    <w:rsid w:val="002469EF"/>
    <w:rsid w:val="0024797F"/>
    <w:rsid w:val="00250CD2"/>
    <w:rsid w:val="0025119E"/>
    <w:rsid w:val="00251269"/>
    <w:rsid w:val="002535C0"/>
    <w:rsid w:val="002579FE"/>
    <w:rsid w:val="00260D4B"/>
    <w:rsid w:val="00262649"/>
    <w:rsid w:val="002626FA"/>
    <w:rsid w:val="0026311C"/>
    <w:rsid w:val="002631FD"/>
    <w:rsid w:val="00264529"/>
    <w:rsid w:val="0026668C"/>
    <w:rsid w:val="00266AC1"/>
    <w:rsid w:val="002673A3"/>
    <w:rsid w:val="00267607"/>
    <w:rsid w:val="00267D10"/>
    <w:rsid w:val="0027038D"/>
    <w:rsid w:val="0027178C"/>
    <w:rsid w:val="002719FA"/>
    <w:rsid w:val="002724E3"/>
    <w:rsid w:val="00272668"/>
    <w:rsid w:val="00272D32"/>
    <w:rsid w:val="0027322C"/>
    <w:rsid w:val="0027330B"/>
    <w:rsid w:val="00273929"/>
    <w:rsid w:val="00274465"/>
    <w:rsid w:val="002748A3"/>
    <w:rsid w:val="00277B10"/>
    <w:rsid w:val="002803AD"/>
    <w:rsid w:val="00282052"/>
    <w:rsid w:val="0028519E"/>
    <w:rsid w:val="002856A5"/>
    <w:rsid w:val="002872ED"/>
    <w:rsid w:val="00287D17"/>
    <w:rsid w:val="002905C2"/>
    <w:rsid w:val="00292207"/>
    <w:rsid w:val="002923A5"/>
    <w:rsid w:val="002947BE"/>
    <w:rsid w:val="00295564"/>
    <w:rsid w:val="00295AF2"/>
    <w:rsid w:val="00295C91"/>
    <w:rsid w:val="0029687C"/>
    <w:rsid w:val="00297151"/>
    <w:rsid w:val="002A2D1B"/>
    <w:rsid w:val="002A3EC2"/>
    <w:rsid w:val="002A487E"/>
    <w:rsid w:val="002A506F"/>
    <w:rsid w:val="002A5D78"/>
    <w:rsid w:val="002B0DD0"/>
    <w:rsid w:val="002B20E6"/>
    <w:rsid w:val="002B42A3"/>
    <w:rsid w:val="002B74D5"/>
    <w:rsid w:val="002C0CDD"/>
    <w:rsid w:val="002C343D"/>
    <w:rsid w:val="002C348E"/>
    <w:rsid w:val="002C6994"/>
    <w:rsid w:val="002D13C8"/>
    <w:rsid w:val="002D1FA8"/>
    <w:rsid w:val="002D2032"/>
    <w:rsid w:val="002D28E9"/>
    <w:rsid w:val="002D50EC"/>
    <w:rsid w:val="002D558D"/>
    <w:rsid w:val="002D67EC"/>
    <w:rsid w:val="002E1A1D"/>
    <w:rsid w:val="002E4081"/>
    <w:rsid w:val="002E5B78"/>
    <w:rsid w:val="002E6F93"/>
    <w:rsid w:val="002E79C1"/>
    <w:rsid w:val="002F214A"/>
    <w:rsid w:val="002F258D"/>
    <w:rsid w:val="002F3AE3"/>
    <w:rsid w:val="003014B8"/>
    <w:rsid w:val="00301F7F"/>
    <w:rsid w:val="00304473"/>
    <w:rsid w:val="0030462E"/>
    <w:rsid w:val="0030464B"/>
    <w:rsid w:val="00304D61"/>
    <w:rsid w:val="00307169"/>
    <w:rsid w:val="0030786C"/>
    <w:rsid w:val="00307B0F"/>
    <w:rsid w:val="00310485"/>
    <w:rsid w:val="00313117"/>
    <w:rsid w:val="0031624F"/>
    <w:rsid w:val="00316D3D"/>
    <w:rsid w:val="003177E9"/>
    <w:rsid w:val="003202D5"/>
    <w:rsid w:val="00321B30"/>
    <w:rsid w:val="003233DE"/>
    <w:rsid w:val="0032466B"/>
    <w:rsid w:val="003251E5"/>
    <w:rsid w:val="00326265"/>
    <w:rsid w:val="00326CEB"/>
    <w:rsid w:val="00327B44"/>
    <w:rsid w:val="0033051E"/>
    <w:rsid w:val="003330EB"/>
    <w:rsid w:val="00336605"/>
    <w:rsid w:val="0034115B"/>
    <w:rsid w:val="003415FD"/>
    <w:rsid w:val="00341CFC"/>
    <w:rsid w:val="003429F0"/>
    <w:rsid w:val="00343E8B"/>
    <w:rsid w:val="0035097A"/>
    <w:rsid w:val="00351DDA"/>
    <w:rsid w:val="003540A4"/>
    <w:rsid w:val="0035423E"/>
    <w:rsid w:val="00354785"/>
    <w:rsid w:val="00360E4E"/>
    <w:rsid w:val="00361D92"/>
    <w:rsid w:val="00363B60"/>
    <w:rsid w:val="00366013"/>
    <w:rsid w:val="00367C7D"/>
    <w:rsid w:val="003705B7"/>
    <w:rsid w:val="00370AAA"/>
    <w:rsid w:val="00374143"/>
    <w:rsid w:val="003741DF"/>
    <w:rsid w:val="00375F77"/>
    <w:rsid w:val="00377A78"/>
    <w:rsid w:val="00381BBE"/>
    <w:rsid w:val="003827BD"/>
    <w:rsid w:val="00382903"/>
    <w:rsid w:val="00382C3A"/>
    <w:rsid w:val="003846FF"/>
    <w:rsid w:val="0038516C"/>
    <w:rsid w:val="003858C7"/>
    <w:rsid w:val="00385AD4"/>
    <w:rsid w:val="00386B5C"/>
    <w:rsid w:val="00387307"/>
    <w:rsid w:val="00387924"/>
    <w:rsid w:val="00387C3D"/>
    <w:rsid w:val="00390AA2"/>
    <w:rsid w:val="00390FCF"/>
    <w:rsid w:val="00391758"/>
    <w:rsid w:val="0039384D"/>
    <w:rsid w:val="00393ED0"/>
    <w:rsid w:val="00393FBF"/>
    <w:rsid w:val="00394281"/>
    <w:rsid w:val="00395C23"/>
    <w:rsid w:val="00397A66"/>
    <w:rsid w:val="003A0BA0"/>
    <w:rsid w:val="003A0DC1"/>
    <w:rsid w:val="003A23F3"/>
    <w:rsid w:val="003A2E4F"/>
    <w:rsid w:val="003A4438"/>
    <w:rsid w:val="003A4C99"/>
    <w:rsid w:val="003A5013"/>
    <w:rsid w:val="003A5078"/>
    <w:rsid w:val="003A62DD"/>
    <w:rsid w:val="003A6883"/>
    <w:rsid w:val="003A775A"/>
    <w:rsid w:val="003B0B01"/>
    <w:rsid w:val="003B0DAB"/>
    <w:rsid w:val="003B213A"/>
    <w:rsid w:val="003B2770"/>
    <w:rsid w:val="003B39D9"/>
    <w:rsid w:val="003B3C17"/>
    <w:rsid w:val="003B43AD"/>
    <w:rsid w:val="003B4532"/>
    <w:rsid w:val="003B57F6"/>
    <w:rsid w:val="003B7F41"/>
    <w:rsid w:val="003C0FEC"/>
    <w:rsid w:val="003C112C"/>
    <w:rsid w:val="003C15B8"/>
    <w:rsid w:val="003C2AC8"/>
    <w:rsid w:val="003C5DA5"/>
    <w:rsid w:val="003C6034"/>
    <w:rsid w:val="003C7406"/>
    <w:rsid w:val="003C7F0E"/>
    <w:rsid w:val="003D17F9"/>
    <w:rsid w:val="003D2D88"/>
    <w:rsid w:val="003D382D"/>
    <w:rsid w:val="003D41EA"/>
    <w:rsid w:val="003D4850"/>
    <w:rsid w:val="003D4F9C"/>
    <w:rsid w:val="003D535A"/>
    <w:rsid w:val="003D6E8C"/>
    <w:rsid w:val="003E27E9"/>
    <w:rsid w:val="003E3A8B"/>
    <w:rsid w:val="003E5265"/>
    <w:rsid w:val="003E58E3"/>
    <w:rsid w:val="003E6532"/>
    <w:rsid w:val="003E6D0F"/>
    <w:rsid w:val="003F0955"/>
    <w:rsid w:val="003F16FA"/>
    <w:rsid w:val="003F3F20"/>
    <w:rsid w:val="003F6FE1"/>
    <w:rsid w:val="003F7718"/>
    <w:rsid w:val="00400481"/>
    <w:rsid w:val="00400F00"/>
    <w:rsid w:val="0040163F"/>
    <w:rsid w:val="00403160"/>
    <w:rsid w:val="00404619"/>
    <w:rsid w:val="00404F8B"/>
    <w:rsid w:val="00405256"/>
    <w:rsid w:val="00405B5F"/>
    <w:rsid w:val="004068C1"/>
    <w:rsid w:val="004072DE"/>
    <w:rsid w:val="00407DBF"/>
    <w:rsid w:val="00410031"/>
    <w:rsid w:val="004115A2"/>
    <w:rsid w:val="004146C2"/>
    <w:rsid w:val="00414D7C"/>
    <w:rsid w:val="0041531F"/>
    <w:rsid w:val="004159D5"/>
    <w:rsid w:val="00415C81"/>
    <w:rsid w:val="00416731"/>
    <w:rsid w:val="0041745A"/>
    <w:rsid w:val="00422E66"/>
    <w:rsid w:val="0042308B"/>
    <w:rsid w:val="004237F6"/>
    <w:rsid w:val="00424B8C"/>
    <w:rsid w:val="0042586A"/>
    <w:rsid w:val="00430E53"/>
    <w:rsid w:val="0043227E"/>
    <w:rsid w:val="00432378"/>
    <w:rsid w:val="00432943"/>
    <w:rsid w:val="004342EC"/>
    <w:rsid w:val="00435696"/>
    <w:rsid w:val="0043581F"/>
    <w:rsid w:val="00436519"/>
    <w:rsid w:val="00440D65"/>
    <w:rsid w:val="004421AB"/>
    <w:rsid w:val="004435E6"/>
    <w:rsid w:val="004439EB"/>
    <w:rsid w:val="00445395"/>
    <w:rsid w:val="00445D85"/>
    <w:rsid w:val="00447E31"/>
    <w:rsid w:val="00452999"/>
    <w:rsid w:val="00453923"/>
    <w:rsid w:val="004540B9"/>
    <w:rsid w:val="00454B9B"/>
    <w:rsid w:val="00457858"/>
    <w:rsid w:val="00460B0B"/>
    <w:rsid w:val="00461023"/>
    <w:rsid w:val="00461CF8"/>
    <w:rsid w:val="004623B2"/>
    <w:rsid w:val="00462FAC"/>
    <w:rsid w:val="0046308A"/>
    <w:rsid w:val="00464631"/>
    <w:rsid w:val="00464B79"/>
    <w:rsid w:val="00467BBF"/>
    <w:rsid w:val="0047044F"/>
    <w:rsid w:val="004726EB"/>
    <w:rsid w:val="00473E76"/>
    <w:rsid w:val="00475C4E"/>
    <w:rsid w:val="00475FBC"/>
    <w:rsid w:val="00477A92"/>
    <w:rsid w:val="0048078D"/>
    <w:rsid w:val="004867E2"/>
    <w:rsid w:val="00490503"/>
    <w:rsid w:val="00491855"/>
    <w:rsid w:val="004929A9"/>
    <w:rsid w:val="004938E1"/>
    <w:rsid w:val="00496937"/>
    <w:rsid w:val="004A0433"/>
    <w:rsid w:val="004A078F"/>
    <w:rsid w:val="004A3E45"/>
    <w:rsid w:val="004A3F43"/>
    <w:rsid w:val="004A45A4"/>
    <w:rsid w:val="004A594A"/>
    <w:rsid w:val="004A6C56"/>
    <w:rsid w:val="004A7F62"/>
    <w:rsid w:val="004B2E84"/>
    <w:rsid w:val="004B46A5"/>
    <w:rsid w:val="004B5E27"/>
    <w:rsid w:val="004B74B3"/>
    <w:rsid w:val="004C0109"/>
    <w:rsid w:val="004C0C44"/>
    <w:rsid w:val="004C138D"/>
    <w:rsid w:val="004C20C3"/>
    <w:rsid w:val="004C25EE"/>
    <w:rsid w:val="004C2FEC"/>
    <w:rsid w:val="004C34E6"/>
    <w:rsid w:val="004C54A7"/>
    <w:rsid w:val="004C6BCF"/>
    <w:rsid w:val="004C7E7C"/>
    <w:rsid w:val="004D1600"/>
    <w:rsid w:val="004D2112"/>
    <w:rsid w:val="004D36EB"/>
    <w:rsid w:val="004D3F4B"/>
    <w:rsid w:val="004D4268"/>
    <w:rsid w:val="004D58BF"/>
    <w:rsid w:val="004E1739"/>
    <w:rsid w:val="004E2A4F"/>
    <w:rsid w:val="004E4335"/>
    <w:rsid w:val="004E4D40"/>
    <w:rsid w:val="004E4F2F"/>
    <w:rsid w:val="004E5ACF"/>
    <w:rsid w:val="004E62B6"/>
    <w:rsid w:val="004E6F43"/>
    <w:rsid w:val="004F052B"/>
    <w:rsid w:val="004F13EE"/>
    <w:rsid w:val="004F2022"/>
    <w:rsid w:val="004F6024"/>
    <w:rsid w:val="004F68B1"/>
    <w:rsid w:val="004F6E8B"/>
    <w:rsid w:val="004F7C05"/>
    <w:rsid w:val="00501887"/>
    <w:rsid w:val="00501C94"/>
    <w:rsid w:val="00502B1A"/>
    <w:rsid w:val="00505794"/>
    <w:rsid w:val="00506432"/>
    <w:rsid w:val="00507D9D"/>
    <w:rsid w:val="00510D93"/>
    <w:rsid w:val="00511476"/>
    <w:rsid w:val="0051242B"/>
    <w:rsid w:val="00516CC2"/>
    <w:rsid w:val="00517025"/>
    <w:rsid w:val="00517042"/>
    <w:rsid w:val="00517F88"/>
    <w:rsid w:val="0052051D"/>
    <w:rsid w:val="00521371"/>
    <w:rsid w:val="00523DE7"/>
    <w:rsid w:val="005244A9"/>
    <w:rsid w:val="00524936"/>
    <w:rsid w:val="00530066"/>
    <w:rsid w:val="0053395D"/>
    <w:rsid w:val="00535C5C"/>
    <w:rsid w:val="00541483"/>
    <w:rsid w:val="00544C11"/>
    <w:rsid w:val="0054525F"/>
    <w:rsid w:val="00545EE6"/>
    <w:rsid w:val="00551774"/>
    <w:rsid w:val="0055431C"/>
    <w:rsid w:val="00554D13"/>
    <w:rsid w:val="005550E7"/>
    <w:rsid w:val="005564FB"/>
    <w:rsid w:val="005572C7"/>
    <w:rsid w:val="00561AE4"/>
    <w:rsid w:val="005650ED"/>
    <w:rsid w:val="00565A2F"/>
    <w:rsid w:val="00567DE3"/>
    <w:rsid w:val="005700A1"/>
    <w:rsid w:val="005729C7"/>
    <w:rsid w:val="00573916"/>
    <w:rsid w:val="00573DBD"/>
    <w:rsid w:val="00575754"/>
    <w:rsid w:val="00577128"/>
    <w:rsid w:val="00581CE9"/>
    <w:rsid w:val="0058405C"/>
    <w:rsid w:val="005856AD"/>
    <w:rsid w:val="00587109"/>
    <w:rsid w:val="0059081E"/>
    <w:rsid w:val="00591E20"/>
    <w:rsid w:val="005928E2"/>
    <w:rsid w:val="00592C0D"/>
    <w:rsid w:val="00593E75"/>
    <w:rsid w:val="00594686"/>
    <w:rsid w:val="00594C9E"/>
    <w:rsid w:val="00595408"/>
    <w:rsid w:val="00595E84"/>
    <w:rsid w:val="0059665C"/>
    <w:rsid w:val="00597E0E"/>
    <w:rsid w:val="005A0C59"/>
    <w:rsid w:val="005A110E"/>
    <w:rsid w:val="005A163C"/>
    <w:rsid w:val="005A1B12"/>
    <w:rsid w:val="005A2126"/>
    <w:rsid w:val="005A308E"/>
    <w:rsid w:val="005A35D3"/>
    <w:rsid w:val="005A43F7"/>
    <w:rsid w:val="005A48EB"/>
    <w:rsid w:val="005A6CFB"/>
    <w:rsid w:val="005B0F6E"/>
    <w:rsid w:val="005B3410"/>
    <w:rsid w:val="005B7B89"/>
    <w:rsid w:val="005C2935"/>
    <w:rsid w:val="005C4DE3"/>
    <w:rsid w:val="005C5A2C"/>
    <w:rsid w:val="005C5AEB"/>
    <w:rsid w:val="005C6AE4"/>
    <w:rsid w:val="005C72F8"/>
    <w:rsid w:val="005D2624"/>
    <w:rsid w:val="005D5E0E"/>
    <w:rsid w:val="005D7393"/>
    <w:rsid w:val="005E0A3F"/>
    <w:rsid w:val="005E302D"/>
    <w:rsid w:val="005E5142"/>
    <w:rsid w:val="005E6883"/>
    <w:rsid w:val="005E697D"/>
    <w:rsid w:val="005E772F"/>
    <w:rsid w:val="005E7A2D"/>
    <w:rsid w:val="005F2A41"/>
    <w:rsid w:val="005F4ECA"/>
    <w:rsid w:val="005F69B9"/>
    <w:rsid w:val="005F7FE6"/>
    <w:rsid w:val="0060005B"/>
    <w:rsid w:val="00600E8E"/>
    <w:rsid w:val="006041BE"/>
    <w:rsid w:val="006043C7"/>
    <w:rsid w:val="00610CB5"/>
    <w:rsid w:val="00612508"/>
    <w:rsid w:val="00613E30"/>
    <w:rsid w:val="006237AE"/>
    <w:rsid w:val="006240B6"/>
    <w:rsid w:val="00624B52"/>
    <w:rsid w:val="006268A8"/>
    <w:rsid w:val="006269A9"/>
    <w:rsid w:val="00626FDB"/>
    <w:rsid w:val="00627F06"/>
    <w:rsid w:val="00630BC4"/>
    <w:rsid w:val="00631268"/>
    <w:rsid w:val="00631DF4"/>
    <w:rsid w:val="00632882"/>
    <w:rsid w:val="00634175"/>
    <w:rsid w:val="006408AC"/>
    <w:rsid w:val="00644B94"/>
    <w:rsid w:val="006511B6"/>
    <w:rsid w:val="00652742"/>
    <w:rsid w:val="00653D70"/>
    <w:rsid w:val="00657FF8"/>
    <w:rsid w:val="00661232"/>
    <w:rsid w:val="00662D7A"/>
    <w:rsid w:val="00664005"/>
    <w:rsid w:val="00664254"/>
    <w:rsid w:val="00667B36"/>
    <w:rsid w:val="00670350"/>
    <w:rsid w:val="006704E8"/>
    <w:rsid w:val="00670D99"/>
    <w:rsid w:val="00670E2B"/>
    <w:rsid w:val="006720C9"/>
    <w:rsid w:val="00672DBB"/>
    <w:rsid w:val="006734BB"/>
    <w:rsid w:val="00673FE3"/>
    <w:rsid w:val="006755CE"/>
    <w:rsid w:val="0067576D"/>
    <w:rsid w:val="00681A34"/>
    <w:rsid w:val="006821EB"/>
    <w:rsid w:val="006863CB"/>
    <w:rsid w:val="00690F2D"/>
    <w:rsid w:val="0069262A"/>
    <w:rsid w:val="006936F1"/>
    <w:rsid w:val="00694D4E"/>
    <w:rsid w:val="00696116"/>
    <w:rsid w:val="006A0BA0"/>
    <w:rsid w:val="006A1232"/>
    <w:rsid w:val="006A2543"/>
    <w:rsid w:val="006A61C3"/>
    <w:rsid w:val="006A6C1E"/>
    <w:rsid w:val="006B2286"/>
    <w:rsid w:val="006B27DF"/>
    <w:rsid w:val="006B2D7E"/>
    <w:rsid w:val="006B4C0C"/>
    <w:rsid w:val="006B56BB"/>
    <w:rsid w:val="006B780D"/>
    <w:rsid w:val="006C0A98"/>
    <w:rsid w:val="006C1764"/>
    <w:rsid w:val="006C4357"/>
    <w:rsid w:val="006C50EC"/>
    <w:rsid w:val="006C77A8"/>
    <w:rsid w:val="006D01DE"/>
    <w:rsid w:val="006D170E"/>
    <w:rsid w:val="006D3E50"/>
    <w:rsid w:val="006D4098"/>
    <w:rsid w:val="006D6ADC"/>
    <w:rsid w:val="006D7681"/>
    <w:rsid w:val="006D7B2E"/>
    <w:rsid w:val="006E00DD"/>
    <w:rsid w:val="006E02EA"/>
    <w:rsid w:val="006E0968"/>
    <w:rsid w:val="006E10F2"/>
    <w:rsid w:val="006E1A4C"/>
    <w:rsid w:val="006E1B9A"/>
    <w:rsid w:val="006E2AF6"/>
    <w:rsid w:val="006E7710"/>
    <w:rsid w:val="006F019F"/>
    <w:rsid w:val="006F1DF1"/>
    <w:rsid w:val="006F4957"/>
    <w:rsid w:val="006F6AF2"/>
    <w:rsid w:val="006F6F97"/>
    <w:rsid w:val="006F74EC"/>
    <w:rsid w:val="006F7575"/>
    <w:rsid w:val="00700FAB"/>
    <w:rsid w:val="0070105F"/>
    <w:rsid w:val="00701275"/>
    <w:rsid w:val="00703B93"/>
    <w:rsid w:val="007050AE"/>
    <w:rsid w:val="00707F56"/>
    <w:rsid w:val="00710CFF"/>
    <w:rsid w:val="00713409"/>
    <w:rsid w:val="00713558"/>
    <w:rsid w:val="00713B5C"/>
    <w:rsid w:val="00714B91"/>
    <w:rsid w:val="00715FD4"/>
    <w:rsid w:val="00716AA2"/>
    <w:rsid w:val="0071737F"/>
    <w:rsid w:val="007178B1"/>
    <w:rsid w:val="00717CBB"/>
    <w:rsid w:val="00720176"/>
    <w:rsid w:val="00720D08"/>
    <w:rsid w:val="00723256"/>
    <w:rsid w:val="00724C74"/>
    <w:rsid w:val="007263B9"/>
    <w:rsid w:val="00727C66"/>
    <w:rsid w:val="00731906"/>
    <w:rsid w:val="007334F8"/>
    <w:rsid w:val="007339CD"/>
    <w:rsid w:val="007359D8"/>
    <w:rsid w:val="007362D4"/>
    <w:rsid w:val="00740566"/>
    <w:rsid w:val="007475A0"/>
    <w:rsid w:val="0075155E"/>
    <w:rsid w:val="00751A23"/>
    <w:rsid w:val="00752799"/>
    <w:rsid w:val="00755FB3"/>
    <w:rsid w:val="00756574"/>
    <w:rsid w:val="00756AE0"/>
    <w:rsid w:val="0075785B"/>
    <w:rsid w:val="00760EAB"/>
    <w:rsid w:val="007627C3"/>
    <w:rsid w:val="00765CF5"/>
    <w:rsid w:val="00766691"/>
    <w:rsid w:val="0076672A"/>
    <w:rsid w:val="00767B92"/>
    <w:rsid w:val="00770DE4"/>
    <w:rsid w:val="0077135E"/>
    <w:rsid w:val="0077396C"/>
    <w:rsid w:val="00773C23"/>
    <w:rsid w:val="0077485E"/>
    <w:rsid w:val="00774DD7"/>
    <w:rsid w:val="00775E45"/>
    <w:rsid w:val="00776E74"/>
    <w:rsid w:val="0077743B"/>
    <w:rsid w:val="00783285"/>
    <w:rsid w:val="00785169"/>
    <w:rsid w:val="00785A36"/>
    <w:rsid w:val="0078605B"/>
    <w:rsid w:val="007861C1"/>
    <w:rsid w:val="0078760D"/>
    <w:rsid w:val="00792050"/>
    <w:rsid w:val="007954AB"/>
    <w:rsid w:val="007A14C5"/>
    <w:rsid w:val="007A1D07"/>
    <w:rsid w:val="007A3E38"/>
    <w:rsid w:val="007A4A10"/>
    <w:rsid w:val="007B13DA"/>
    <w:rsid w:val="007B1760"/>
    <w:rsid w:val="007B678B"/>
    <w:rsid w:val="007B728D"/>
    <w:rsid w:val="007C1CC2"/>
    <w:rsid w:val="007C4CFA"/>
    <w:rsid w:val="007C556D"/>
    <w:rsid w:val="007C6635"/>
    <w:rsid w:val="007C6D9C"/>
    <w:rsid w:val="007C707D"/>
    <w:rsid w:val="007C7DDB"/>
    <w:rsid w:val="007D0151"/>
    <w:rsid w:val="007D0D34"/>
    <w:rsid w:val="007D2607"/>
    <w:rsid w:val="007D2CC7"/>
    <w:rsid w:val="007D2D8A"/>
    <w:rsid w:val="007D522B"/>
    <w:rsid w:val="007D61FE"/>
    <w:rsid w:val="007D673D"/>
    <w:rsid w:val="007D7F4C"/>
    <w:rsid w:val="007E38CE"/>
    <w:rsid w:val="007E5188"/>
    <w:rsid w:val="007E7568"/>
    <w:rsid w:val="007F02B1"/>
    <w:rsid w:val="007F17FA"/>
    <w:rsid w:val="007F1A6A"/>
    <w:rsid w:val="007F2220"/>
    <w:rsid w:val="007F39AC"/>
    <w:rsid w:val="007F4B3E"/>
    <w:rsid w:val="007F588A"/>
    <w:rsid w:val="007F5F95"/>
    <w:rsid w:val="007F764E"/>
    <w:rsid w:val="00800B41"/>
    <w:rsid w:val="00801BFE"/>
    <w:rsid w:val="00802A74"/>
    <w:rsid w:val="00803B20"/>
    <w:rsid w:val="0080492A"/>
    <w:rsid w:val="00807FED"/>
    <w:rsid w:val="00811BA9"/>
    <w:rsid w:val="00812120"/>
    <w:rsid w:val="008124B5"/>
    <w:rsid w:val="008127AF"/>
    <w:rsid w:val="00812B46"/>
    <w:rsid w:val="00812FD4"/>
    <w:rsid w:val="00813103"/>
    <w:rsid w:val="00815304"/>
    <w:rsid w:val="00815700"/>
    <w:rsid w:val="00817B70"/>
    <w:rsid w:val="00820C89"/>
    <w:rsid w:val="00821916"/>
    <w:rsid w:val="008264EB"/>
    <w:rsid w:val="00826B8F"/>
    <w:rsid w:val="00831384"/>
    <w:rsid w:val="00831E8A"/>
    <w:rsid w:val="008328B5"/>
    <w:rsid w:val="00833EEC"/>
    <w:rsid w:val="008344C0"/>
    <w:rsid w:val="00834F36"/>
    <w:rsid w:val="008353DC"/>
    <w:rsid w:val="008358D5"/>
    <w:rsid w:val="00835C76"/>
    <w:rsid w:val="00840CA7"/>
    <w:rsid w:val="008411E4"/>
    <w:rsid w:val="00841D74"/>
    <w:rsid w:val="00843049"/>
    <w:rsid w:val="00846A1E"/>
    <w:rsid w:val="00846AD5"/>
    <w:rsid w:val="00851CAF"/>
    <w:rsid w:val="0085209B"/>
    <w:rsid w:val="00853CC5"/>
    <w:rsid w:val="00856B66"/>
    <w:rsid w:val="008577ED"/>
    <w:rsid w:val="008602CD"/>
    <w:rsid w:val="00860883"/>
    <w:rsid w:val="00860DD6"/>
    <w:rsid w:val="00861A5F"/>
    <w:rsid w:val="0086263A"/>
    <w:rsid w:val="008644AD"/>
    <w:rsid w:val="008647C0"/>
    <w:rsid w:val="00865735"/>
    <w:rsid w:val="00865DDB"/>
    <w:rsid w:val="008669B8"/>
    <w:rsid w:val="00867538"/>
    <w:rsid w:val="00867856"/>
    <w:rsid w:val="00870716"/>
    <w:rsid w:val="00870B5A"/>
    <w:rsid w:val="00871D7F"/>
    <w:rsid w:val="008721C8"/>
    <w:rsid w:val="0087319B"/>
    <w:rsid w:val="00873D90"/>
    <w:rsid w:val="00873FC8"/>
    <w:rsid w:val="0087573A"/>
    <w:rsid w:val="00876EFD"/>
    <w:rsid w:val="00877356"/>
    <w:rsid w:val="008774DC"/>
    <w:rsid w:val="00881DC5"/>
    <w:rsid w:val="0088262E"/>
    <w:rsid w:val="00884C63"/>
    <w:rsid w:val="00885908"/>
    <w:rsid w:val="008864B7"/>
    <w:rsid w:val="00886E26"/>
    <w:rsid w:val="0089086D"/>
    <w:rsid w:val="00891188"/>
    <w:rsid w:val="0089199C"/>
    <w:rsid w:val="0089546F"/>
    <w:rsid w:val="0089677E"/>
    <w:rsid w:val="008969D5"/>
    <w:rsid w:val="00896B41"/>
    <w:rsid w:val="00896E8C"/>
    <w:rsid w:val="008971A4"/>
    <w:rsid w:val="008A0D86"/>
    <w:rsid w:val="008A1B36"/>
    <w:rsid w:val="008A5D00"/>
    <w:rsid w:val="008A6FEB"/>
    <w:rsid w:val="008A7438"/>
    <w:rsid w:val="008A74A1"/>
    <w:rsid w:val="008A7735"/>
    <w:rsid w:val="008B1334"/>
    <w:rsid w:val="008B418A"/>
    <w:rsid w:val="008B4663"/>
    <w:rsid w:val="008B5A61"/>
    <w:rsid w:val="008B6001"/>
    <w:rsid w:val="008C0278"/>
    <w:rsid w:val="008C1AE2"/>
    <w:rsid w:val="008C24E9"/>
    <w:rsid w:val="008C27AC"/>
    <w:rsid w:val="008C3AD5"/>
    <w:rsid w:val="008C42B4"/>
    <w:rsid w:val="008C5D54"/>
    <w:rsid w:val="008C6814"/>
    <w:rsid w:val="008C7A23"/>
    <w:rsid w:val="008D0533"/>
    <w:rsid w:val="008D29A1"/>
    <w:rsid w:val="008D2E8A"/>
    <w:rsid w:val="008D42CB"/>
    <w:rsid w:val="008D48C9"/>
    <w:rsid w:val="008D5B79"/>
    <w:rsid w:val="008D6381"/>
    <w:rsid w:val="008D7B30"/>
    <w:rsid w:val="008E0C77"/>
    <w:rsid w:val="008E1A3A"/>
    <w:rsid w:val="008E20E6"/>
    <w:rsid w:val="008E41C6"/>
    <w:rsid w:val="008E4837"/>
    <w:rsid w:val="008E625F"/>
    <w:rsid w:val="008F1A78"/>
    <w:rsid w:val="008F264D"/>
    <w:rsid w:val="008F6269"/>
    <w:rsid w:val="008F71B2"/>
    <w:rsid w:val="00901C72"/>
    <w:rsid w:val="00902551"/>
    <w:rsid w:val="009025A0"/>
    <w:rsid w:val="009029AB"/>
    <w:rsid w:val="00902CFD"/>
    <w:rsid w:val="00903812"/>
    <w:rsid w:val="0090561E"/>
    <w:rsid w:val="009074E1"/>
    <w:rsid w:val="009112F7"/>
    <w:rsid w:val="009122AF"/>
    <w:rsid w:val="009127BC"/>
    <w:rsid w:val="00912BB2"/>
    <w:rsid w:val="00912D54"/>
    <w:rsid w:val="0091389F"/>
    <w:rsid w:val="00914215"/>
    <w:rsid w:val="0091758F"/>
    <w:rsid w:val="00917BCD"/>
    <w:rsid w:val="009208F7"/>
    <w:rsid w:val="00921C97"/>
    <w:rsid w:val="00922517"/>
    <w:rsid w:val="00922722"/>
    <w:rsid w:val="009252BA"/>
    <w:rsid w:val="009261E6"/>
    <w:rsid w:val="009268E1"/>
    <w:rsid w:val="009275C7"/>
    <w:rsid w:val="00927A06"/>
    <w:rsid w:val="0093322A"/>
    <w:rsid w:val="0093388C"/>
    <w:rsid w:val="00934DDD"/>
    <w:rsid w:val="00941260"/>
    <w:rsid w:val="009417EF"/>
    <w:rsid w:val="00941A66"/>
    <w:rsid w:val="00942BD2"/>
    <w:rsid w:val="00945E7F"/>
    <w:rsid w:val="009465D0"/>
    <w:rsid w:val="0095431C"/>
    <w:rsid w:val="00954581"/>
    <w:rsid w:val="009556A1"/>
    <w:rsid w:val="009557C1"/>
    <w:rsid w:val="00955944"/>
    <w:rsid w:val="00955999"/>
    <w:rsid w:val="00960D6E"/>
    <w:rsid w:val="00962A53"/>
    <w:rsid w:val="00964F88"/>
    <w:rsid w:val="00972252"/>
    <w:rsid w:val="00972BC1"/>
    <w:rsid w:val="00973DE7"/>
    <w:rsid w:val="00974B59"/>
    <w:rsid w:val="0097574E"/>
    <w:rsid w:val="009759F2"/>
    <w:rsid w:val="00975EE2"/>
    <w:rsid w:val="0098340B"/>
    <w:rsid w:val="0098344C"/>
    <w:rsid w:val="00984278"/>
    <w:rsid w:val="0098507D"/>
    <w:rsid w:val="00986830"/>
    <w:rsid w:val="009908ED"/>
    <w:rsid w:val="009924C3"/>
    <w:rsid w:val="00993102"/>
    <w:rsid w:val="0099370F"/>
    <w:rsid w:val="009968D3"/>
    <w:rsid w:val="00997231"/>
    <w:rsid w:val="00997E2A"/>
    <w:rsid w:val="009A1DB4"/>
    <w:rsid w:val="009A4738"/>
    <w:rsid w:val="009A49D4"/>
    <w:rsid w:val="009A791A"/>
    <w:rsid w:val="009B0F01"/>
    <w:rsid w:val="009B2252"/>
    <w:rsid w:val="009B6A33"/>
    <w:rsid w:val="009B6D7C"/>
    <w:rsid w:val="009C4A39"/>
    <w:rsid w:val="009C5BDC"/>
    <w:rsid w:val="009C5E03"/>
    <w:rsid w:val="009C6128"/>
    <w:rsid w:val="009C6F10"/>
    <w:rsid w:val="009D1056"/>
    <w:rsid w:val="009D148F"/>
    <w:rsid w:val="009D2468"/>
    <w:rsid w:val="009D3017"/>
    <w:rsid w:val="009D3D70"/>
    <w:rsid w:val="009D5427"/>
    <w:rsid w:val="009D68A3"/>
    <w:rsid w:val="009E077A"/>
    <w:rsid w:val="009E6F7E"/>
    <w:rsid w:val="009E7A57"/>
    <w:rsid w:val="009F1F70"/>
    <w:rsid w:val="009F24E2"/>
    <w:rsid w:val="009F37DF"/>
    <w:rsid w:val="009F4F6A"/>
    <w:rsid w:val="009F760C"/>
    <w:rsid w:val="009F79CE"/>
    <w:rsid w:val="009F7E7A"/>
    <w:rsid w:val="00A017BE"/>
    <w:rsid w:val="00A02E6A"/>
    <w:rsid w:val="00A0317C"/>
    <w:rsid w:val="00A03A47"/>
    <w:rsid w:val="00A03F96"/>
    <w:rsid w:val="00A04084"/>
    <w:rsid w:val="00A043F8"/>
    <w:rsid w:val="00A05B07"/>
    <w:rsid w:val="00A07E72"/>
    <w:rsid w:val="00A11233"/>
    <w:rsid w:val="00A13848"/>
    <w:rsid w:val="00A13BE5"/>
    <w:rsid w:val="00A16239"/>
    <w:rsid w:val="00A16E36"/>
    <w:rsid w:val="00A20582"/>
    <w:rsid w:val="00A2161C"/>
    <w:rsid w:val="00A21883"/>
    <w:rsid w:val="00A24961"/>
    <w:rsid w:val="00A24B10"/>
    <w:rsid w:val="00A26251"/>
    <w:rsid w:val="00A26544"/>
    <w:rsid w:val="00A30E9B"/>
    <w:rsid w:val="00A314B2"/>
    <w:rsid w:val="00A33E9D"/>
    <w:rsid w:val="00A34575"/>
    <w:rsid w:val="00A36156"/>
    <w:rsid w:val="00A36280"/>
    <w:rsid w:val="00A36B9A"/>
    <w:rsid w:val="00A372E6"/>
    <w:rsid w:val="00A42CC2"/>
    <w:rsid w:val="00A433F3"/>
    <w:rsid w:val="00A43C97"/>
    <w:rsid w:val="00A4407A"/>
    <w:rsid w:val="00A4512D"/>
    <w:rsid w:val="00A45AC1"/>
    <w:rsid w:val="00A50244"/>
    <w:rsid w:val="00A518E0"/>
    <w:rsid w:val="00A51ECE"/>
    <w:rsid w:val="00A52044"/>
    <w:rsid w:val="00A52864"/>
    <w:rsid w:val="00A535C2"/>
    <w:rsid w:val="00A558DD"/>
    <w:rsid w:val="00A56F17"/>
    <w:rsid w:val="00A57377"/>
    <w:rsid w:val="00A5751D"/>
    <w:rsid w:val="00A60947"/>
    <w:rsid w:val="00A627D7"/>
    <w:rsid w:val="00A64AF3"/>
    <w:rsid w:val="00A656C7"/>
    <w:rsid w:val="00A66C4D"/>
    <w:rsid w:val="00A705AF"/>
    <w:rsid w:val="00A70771"/>
    <w:rsid w:val="00A71AD6"/>
    <w:rsid w:val="00A72454"/>
    <w:rsid w:val="00A75CB2"/>
    <w:rsid w:val="00A774B3"/>
    <w:rsid w:val="00A77696"/>
    <w:rsid w:val="00A77E25"/>
    <w:rsid w:val="00A77F70"/>
    <w:rsid w:val="00A80557"/>
    <w:rsid w:val="00A80C97"/>
    <w:rsid w:val="00A811DF"/>
    <w:rsid w:val="00A81D33"/>
    <w:rsid w:val="00A860B3"/>
    <w:rsid w:val="00A907BE"/>
    <w:rsid w:val="00A9308E"/>
    <w:rsid w:val="00A930AE"/>
    <w:rsid w:val="00A97015"/>
    <w:rsid w:val="00A97045"/>
    <w:rsid w:val="00AA1A95"/>
    <w:rsid w:val="00AA260F"/>
    <w:rsid w:val="00AA2DA3"/>
    <w:rsid w:val="00AA431C"/>
    <w:rsid w:val="00AA571D"/>
    <w:rsid w:val="00AA58B0"/>
    <w:rsid w:val="00AB1EE7"/>
    <w:rsid w:val="00AB2B06"/>
    <w:rsid w:val="00AB2DDA"/>
    <w:rsid w:val="00AB35D7"/>
    <w:rsid w:val="00AB3714"/>
    <w:rsid w:val="00AB4B1B"/>
    <w:rsid w:val="00AB4B37"/>
    <w:rsid w:val="00AB5762"/>
    <w:rsid w:val="00AB6F7E"/>
    <w:rsid w:val="00AB791D"/>
    <w:rsid w:val="00AC0A7B"/>
    <w:rsid w:val="00AC1CE7"/>
    <w:rsid w:val="00AC2679"/>
    <w:rsid w:val="00AC4BE4"/>
    <w:rsid w:val="00AC61ED"/>
    <w:rsid w:val="00AC6BF9"/>
    <w:rsid w:val="00AC7379"/>
    <w:rsid w:val="00AD05E6"/>
    <w:rsid w:val="00AD0D3F"/>
    <w:rsid w:val="00AD255F"/>
    <w:rsid w:val="00AD289D"/>
    <w:rsid w:val="00AD689B"/>
    <w:rsid w:val="00AE136B"/>
    <w:rsid w:val="00AE1D7D"/>
    <w:rsid w:val="00AE2A8B"/>
    <w:rsid w:val="00AE3F64"/>
    <w:rsid w:val="00AE474A"/>
    <w:rsid w:val="00AF00A8"/>
    <w:rsid w:val="00AF1F42"/>
    <w:rsid w:val="00AF5182"/>
    <w:rsid w:val="00AF5C65"/>
    <w:rsid w:val="00AF7386"/>
    <w:rsid w:val="00AF7934"/>
    <w:rsid w:val="00B00931"/>
    <w:rsid w:val="00B00B81"/>
    <w:rsid w:val="00B01AF9"/>
    <w:rsid w:val="00B01E5C"/>
    <w:rsid w:val="00B02D26"/>
    <w:rsid w:val="00B02DBE"/>
    <w:rsid w:val="00B034D8"/>
    <w:rsid w:val="00B04580"/>
    <w:rsid w:val="00B04B09"/>
    <w:rsid w:val="00B04F81"/>
    <w:rsid w:val="00B062B8"/>
    <w:rsid w:val="00B16A51"/>
    <w:rsid w:val="00B16F24"/>
    <w:rsid w:val="00B16FCD"/>
    <w:rsid w:val="00B21AB8"/>
    <w:rsid w:val="00B23B7D"/>
    <w:rsid w:val="00B25440"/>
    <w:rsid w:val="00B2671F"/>
    <w:rsid w:val="00B272C2"/>
    <w:rsid w:val="00B32222"/>
    <w:rsid w:val="00B32372"/>
    <w:rsid w:val="00B3474D"/>
    <w:rsid w:val="00B352C2"/>
    <w:rsid w:val="00B352F4"/>
    <w:rsid w:val="00B3618D"/>
    <w:rsid w:val="00B36233"/>
    <w:rsid w:val="00B4026B"/>
    <w:rsid w:val="00B40A0A"/>
    <w:rsid w:val="00B41B7A"/>
    <w:rsid w:val="00B42851"/>
    <w:rsid w:val="00B45446"/>
    <w:rsid w:val="00B45AC7"/>
    <w:rsid w:val="00B46321"/>
    <w:rsid w:val="00B46E74"/>
    <w:rsid w:val="00B5197F"/>
    <w:rsid w:val="00B526B6"/>
    <w:rsid w:val="00B5372F"/>
    <w:rsid w:val="00B54F87"/>
    <w:rsid w:val="00B565A8"/>
    <w:rsid w:val="00B57CEC"/>
    <w:rsid w:val="00B61129"/>
    <w:rsid w:val="00B67E7F"/>
    <w:rsid w:val="00B717FE"/>
    <w:rsid w:val="00B73D57"/>
    <w:rsid w:val="00B74017"/>
    <w:rsid w:val="00B741E6"/>
    <w:rsid w:val="00B75A04"/>
    <w:rsid w:val="00B829EF"/>
    <w:rsid w:val="00B839B2"/>
    <w:rsid w:val="00B85167"/>
    <w:rsid w:val="00B909DA"/>
    <w:rsid w:val="00B92D05"/>
    <w:rsid w:val="00B93EDF"/>
    <w:rsid w:val="00B94118"/>
    <w:rsid w:val="00B94252"/>
    <w:rsid w:val="00B956D0"/>
    <w:rsid w:val="00B9715A"/>
    <w:rsid w:val="00B972AD"/>
    <w:rsid w:val="00BA14BE"/>
    <w:rsid w:val="00BA2732"/>
    <w:rsid w:val="00BA293D"/>
    <w:rsid w:val="00BA2FC9"/>
    <w:rsid w:val="00BA41A3"/>
    <w:rsid w:val="00BA44AC"/>
    <w:rsid w:val="00BA49BC"/>
    <w:rsid w:val="00BA56B7"/>
    <w:rsid w:val="00BA5986"/>
    <w:rsid w:val="00BA6A51"/>
    <w:rsid w:val="00BA7A1E"/>
    <w:rsid w:val="00BA7B84"/>
    <w:rsid w:val="00BA7CA9"/>
    <w:rsid w:val="00BB0A9C"/>
    <w:rsid w:val="00BB2F6C"/>
    <w:rsid w:val="00BB3875"/>
    <w:rsid w:val="00BB3CE2"/>
    <w:rsid w:val="00BB5860"/>
    <w:rsid w:val="00BB6541"/>
    <w:rsid w:val="00BB6AAD"/>
    <w:rsid w:val="00BC0BF7"/>
    <w:rsid w:val="00BC159C"/>
    <w:rsid w:val="00BC22E9"/>
    <w:rsid w:val="00BC4A19"/>
    <w:rsid w:val="00BC4E6D"/>
    <w:rsid w:val="00BC51BE"/>
    <w:rsid w:val="00BC5F5D"/>
    <w:rsid w:val="00BC6112"/>
    <w:rsid w:val="00BC7477"/>
    <w:rsid w:val="00BD049D"/>
    <w:rsid w:val="00BD0617"/>
    <w:rsid w:val="00BD1AA5"/>
    <w:rsid w:val="00BD2529"/>
    <w:rsid w:val="00BD2E9B"/>
    <w:rsid w:val="00BE1FDF"/>
    <w:rsid w:val="00BE43A6"/>
    <w:rsid w:val="00BE54D1"/>
    <w:rsid w:val="00BE7271"/>
    <w:rsid w:val="00BF07E8"/>
    <w:rsid w:val="00BF3D7A"/>
    <w:rsid w:val="00C00930"/>
    <w:rsid w:val="00C04F48"/>
    <w:rsid w:val="00C060AD"/>
    <w:rsid w:val="00C0670D"/>
    <w:rsid w:val="00C113BF"/>
    <w:rsid w:val="00C11CA8"/>
    <w:rsid w:val="00C11CBF"/>
    <w:rsid w:val="00C14A63"/>
    <w:rsid w:val="00C17479"/>
    <w:rsid w:val="00C2176E"/>
    <w:rsid w:val="00C22893"/>
    <w:rsid w:val="00C23200"/>
    <w:rsid w:val="00C23430"/>
    <w:rsid w:val="00C2515D"/>
    <w:rsid w:val="00C26E7D"/>
    <w:rsid w:val="00C27D67"/>
    <w:rsid w:val="00C3318D"/>
    <w:rsid w:val="00C33240"/>
    <w:rsid w:val="00C33696"/>
    <w:rsid w:val="00C33A08"/>
    <w:rsid w:val="00C40EA7"/>
    <w:rsid w:val="00C4631F"/>
    <w:rsid w:val="00C50475"/>
    <w:rsid w:val="00C50E16"/>
    <w:rsid w:val="00C55258"/>
    <w:rsid w:val="00C5630C"/>
    <w:rsid w:val="00C626D8"/>
    <w:rsid w:val="00C62A6D"/>
    <w:rsid w:val="00C62B9A"/>
    <w:rsid w:val="00C62F77"/>
    <w:rsid w:val="00C64520"/>
    <w:rsid w:val="00C64D88"/>
    <w:rsid w:val="00C64DD3"/>
    <w:rsid w:val="00C705FA"/>
    <w:rsid w:val="00C71D49"/>
    <w:rsid w:val="00C733CC"/>
    <w:rsid w:val="00C74878"/>
    <w:rsid w:val="00C74D92"/>
    <w:rsid w:val="00C77DF8"/>
    <w:rsid w:val="00C80106"/>
    <w:rsid w:val="00C80B8D"/>
    <w:rsid w:val="00C8160A"/>
    <w:rsid w:val="00C82478"/>
    <w:rsid w:val="00C82EEB"/>
    <w:rsid w:val="00C830E2"/>
    <w:rsid w:val="00C83518"/>
    <w:rsid w:val="00C8415E"/>
    <w:rsid w:val="00C84267"/>
    <w:rsid w:val="00C853FE"/>
    <w:rsid w:val="00C874A8"/>
    <w:rsid w:val="00C87732"/>
    <w:rsid w:val="00C91233"/>
    <w:rsid w:val="00C91CAA"/>
    <w:rsid w:val="00C939AC"/>
    <w:rsid w:val="00C95C4B"/>
    <w:rsid w:val="00C971DC"/>
    <w:rsid w:val="00CA16B7"/>
    <w:rsid w:val="00CA4BE3"/>
    <w:rsid w:val="00CA5EE0"/>
    <w:rsid w:val="00CA62AE"/>
    <w:rsid w:val="00CA6A16"/>
    <w:rsid w:val="00CB0EBE"/>
    <w:rsid w:val="00CB2732"/>
    <w:rsid w:val="00CB4002"/>
    <w:rsid w:val="00CB5B1A"/>
    <w:rsid w:val="00CB7DB2"/>
    <w:rsid w:val="00CC220B"/>
    <w:rsid w:val="00CC28D7"/>
    <w:rsid w:val="00CC5538"/>
    <w:rsid w:val="00CC5C43"/>
    <w:rsid w:val="00CC5F6B"/>
    <w:rsid w:val="00CD02AE"/>
    <w:rsid w:val="00CD12C9"/>
    <w:rsid w:val="00CD143F"/>
    <w:rsid w:val="00CD2A4F"/>
    <w:rsid w:val="00CD2D74"/>
    <w:rsid w:val="00CD3621"/>
    <w:rsid w:val="00CD60D4"/>
    <w:rsid w:val="00CD7AF1"/>
    <w:rsid w:val="00CE03CA"/>
    <w:rsid w:val="00CE22F1"/>
    <w:rsid w:val="00CE2E51"/>
    <w:rsid w:val="00CE50F2"/>
    <w:rsid w:val="00CE52DB"/>
    <w:rsid w:val="00CE5A6D"/>
    <w:rsid w:val="00CE5F71"/>
    <w:rsid w:val="00CE6502"/>
    <w:rsid w:val="00CF0431"/>
    <w:rsid w:val="00CF1939"/>
    <w:rsid w:val="00CF1E33"/>
    <w:rsid w:val="00CF2285"/>
    <w:rsid w:val="00CF2523"/>
    <w:rsid w:val="00CF3873"/>
    <w:rsid w:val="00CF5A10"/>
    <w:rsid w:val="00CF6475"/>
    <w:rsid w:val="00CF6A84"/>
    <w:rsid w:val="00CF7379"/>
    <w:rsid w:val="00CF7D3C"/>
    <w:rsid w:val="00D00123"/>
    <w:rsid w:val="00D03BA9"/>
    <w:rsid w:val="00D06682"/>
    <w:rsid w:val="00D072D5"/>
    <w:rsid w:val="00D0754B"/>
    <w:rsid w:val="00D116F6"/>
    <w:rsid w:val="00D147EB"/>
    <w:rsid w:val="00D17E82"/>
    <w:rsid w:val="00D214CD"/>
    <w:rsid w:val="00D2216A"/>
    <w:rsid w:val="00D2385C"/>
    <w:rsid w:val="00D279DD"/>
    <w:rsid w:val="00D30ABD"/>
    <w:rsid w:val="00D33717"/>
    <w:rsid w:val="00D339E2"/>
    <w:rsid w:val="00D34667"/>
    <w:rsid w:val="00D36073"/>
    <w:rsid w:val="00D401E1"/>
    <w:rsid w:val="00D408B4"/>
    <w:rsid w:val="00D41957"/>
    <w:rsid w:val="00D419B0"/>
    <w:rsid w:val="00D43CBE"/>
    <w:rsid w:val="00D445E1"/>
    <w:rsid w:val="00D45D94"/>
    <w:rsid w:val="00D462C8"/>
    <w:rsid w:val="00D524C8"/>
    <w:rsid w:val="00D53BA6"/>
    <w:rsid w:val="00D540B0"/>
    <w:rsid w:val="00D560D2"/>
    <w:rsid w:val="00D56755"/>
    <w:rsid w:val="00D60E25"/>
    <w:rsid w:val="00D61B50"/>
    <w:rsid w:val="00D61CDD"/>
    <w:rsid w:val="00D624DE"/>
    <w:rsid w:val="00D632E6"/>
    <w:rsid w:val="00D64333"/>
    <w:rsid w:val="00D6446C"/>
    <w:rsid w:val="00D666FA"/>
    <w:rsid w:val="00D704DD"/>
    <w:rsid w:val="00D70B31"/>
    <w:rsid w:val="00D70E24"/>
    <w:rsid w:val="00D7114C"/>
    <w:rsid w:val="00D72B61"/>
    <w:rsid w:val="00D739F4"/>
    <w:rsid w:val="00D74AF2"/>
    <w:rsid w:val="00D75782"/>
    <w:rsid w:val="00D7634B"/>
    <w:rsid w:val="00D80AFC"/>
    <w:rsid w:val="00D8117F"/>
    <w:rsid w:val="00D819C7"/>
    <w:rsid w:val="00D828D3"/>
    <w:rsid w:val="00D82C58"/>
    <w:rsid w:val="00D90022"/>
    <w:rsid w:val="00D915C5"/>
    <w:rsid w:val="00D923E0"/>
    <w:rsid w:val="00D928FD"/>
    <w:rsid w:val="00D92E64"/>
    <w:rsid w:val="00D930F7"/>
    <w:rsid w:val="00D942A0"/>
    <w:rsid w:val="00D94370"/>
    <w:rsid w:val="00D952EC"/>
    <w:rsid w:val="00DA0440"/>
    <w:rsid w:val="00DA0613"/>
    <w:rsid w:val="00DA0D50"/>
    <w:rsid w:val="00DA0EC3"/>
    <w:rsid w:val="00DA2F20"/>
    <w:rsid w:val="00DA3D1D"/>
    <w:rsid w:val="00DA41F8"/>
    <w:rsid w:val="00DA45C2"/>
    <w:rsid w:val="00DA484C"/>
    <w:rsid w:val="00DB0138"/>
    <w:rsid w:val="00DB0968"/>
    <w:rsid w:val="00DB0A6C"/>
    <w:rsid w:val="00DB11EB"/>
    <w:rsid w:val="00DB3851"/>
    <w:rsid w:val="00DB40F8"/>
    <w:rsid w:val="00DB459A"/>
    <w:rsid w:val="00DB4D05"/>
    <w:rsid w:val="00DB57F3"/>
    <w:rsid w:val="00DB6286"/>
    <w:rsid w:val="00DB6437"/>
    <w:rsid w:val="00DB645F"/>
    <w:rsid w:val="00DB76E9"/>
    <w:rsid w:val="00DC046D"/>
    <w:rsid w:val="00DC05BB"/>
    <w:rsid w:val="00DC0A38"/>
    <w:rsid w:val="00DC0A67"/>
    <w:rsid w:val="00DC1D5E"/>
    <w:rsid w:val="00DC21F3"/>
    <w:rsid w:val="00DC2313"/>
    <w:rsid w:val="00DC261B"/>
    <w:rsid w:val="00DC5220"/>
    <w:rsid w:val="00DC594C"/>
    <w:rsid w:val="00DC634F"/>
    <w:rsid w:val="00DC7910"/>
    <w:rsid w:val="00DD1F7C"/>
    <w:rsid w:val="00DD2061"/>
    <w:rsid w:val="00DD2BB2"/>
    <w:rsid w:val="00DD2C08"/>
    <w:rsid w:val="00DD2FAA"/>
    <w:rsid w:val="00DD43F8"/>
    <w:rsid w:val="00DD53C4"/>
    <w:rsid w:val="00DD7DAB"/>
    <w:rsid w:val="00DE3355"/>
    <w:rsid w:val="00DE565A"/>
    <w:rsid w:val="00DE573F"/>
    <w:rsid w:val="00DE7397"/>
    <w:rsid w:val="00DF2168"/>
    <w:rsid w:val="00DF486F"/>
    <w:rsid w:val="00DF5B5B"/>
    <w:rsid w:val="00DF60DC"/>
    <w:rsid w:val="00DF6E10"/>
    <w:rsid w:val="00DF7619"/>
    <w:rsid w:val="00E00BAB"/>
    <w:rsid w:val="00E01371"/>
    <w:rsid w:val="00E042D8"/>
    <w:rsid w:val="00E04A87"/>
    <w:rsid w:val="00E05066"/>
    <w:rsid w:val="00E07EE7"/>
    <w:rsid w:val="00E10373"/>
    <w:rsid w:val="00E10750"/>
    <w:rsid w:val="00E1103B"/>
    <w:rsid w:val="00E117D7"/>
    <w:rsid w:val="00E127DA"/>
    <w:rsid w:val="00E1477A"/>
    <w:rsid w:val="00E149DD"/>
    <w:rsid w:val="00E14D9A"/>
    <w:rsid w:val="00E169CC"/>
    <w:rsid w:val="00E16A7B"/>
    <w:rsid w:val="00E17B44"/>
    <w:rsid w:val="00E2153F"/>
    <w:rsid w:val="00E21A1B"/>
    <w:rsid w:val="00E233EA"/>
    <w:rsid w:val="00E24FAC"/>
    <w:rsid w:val="00E26C1F"/>
    <w:rsid w:val="00E270FA"/>
    <w:rsid w:val="00E27A9F"/>
    <w:rsid w:val="00E27FEA"/>
    <w:rsid w:val="00E30AE6"/>
    <w:rsid w:val="00E31AC0"/>
    <w:rsid w:val="00E3504E"/>
    <w:rsid w:val="00E377F4"/>
    <w:rsid w:val="00E4086F"/>
    <w:rsid w:val="00E43B3C"/>
    <w:rsid w:val="00E50188"/>
    <w:rsid w:val="00E507E6"/>
    <w:rsid w:val="00E515CB"/>
    <w:rsid w:val="00E52260"/>
    <w:rsid w:val="00E52C2E"/>
    <w:rsid w:val="00E52D23"/>
    <w:rsid w:val="00E54D34"/>
    <w:rsid w:val="00E576F3"/>
    <w:rsid w:val="00E62812"/>
    <w:rsid w:val="00E634DE"/>
    <w:rsid w:val="00E639B6"/>
    <w:rsid w:val="00E6434B"/>
    <w:rsid w:val="00E6463D"/>
    <w:rsid w:val="00E72271"/>
    <w:rsid w:val="00E72E9B"/>
    <w:rsid w:val="00E745C2"/>
    <w:rsid w:val="00E77E4A"/>
    <w:rsid w:val="00E8019B"/>
    <w:rsid w:val="00E80ADD"/>
    <w:rsid w:val="00E81125"/>
    <w:rsid w:val="00E819F3"/>
    <w:rsid w:val="00E82357"/>
    <w:rsid w:val="00E83D9C"/>
    <w:rsid w:val="00E8445E"/>
    <w:rsid w:val="00E848D9"/>
    <w:rsid w:val="00E849DA"/>
    <w:rsid w:val="00E929C4"/>
    <w:rsid w:val="00E9462E"/>
    <w:rsid w:val="00E958FA"/>
    <w:rsid w:val="00E97C3E"/>
    <w:rsid w:val="00EA053F"/>
    <w:rsid w:val="00EA2E34"/>
    <w:rsid w:val="00EA470E"/>
    <w:rsid w:val="00EA4778"/>
    <w:rsid w:val="00EA47A7"/>
    <w:rsid w:val="00EA57EB"/>
    <w:rsid w:val="00EA6AAB"/>
    <w:rsid w:val="00EB3226"/>
    <w:rsid w:val="00EB4F65"/>
    <w:rsid w:val="00EC0185"/>
    <w:rsid w:val="00EC2072"/>
    <w:rsid w:val="00EC213A"/>
    <w:rsid w:val="00EC304B"/>
    <w:rsid w:val="00EC6603"/>
    <w:rsid w:val="00EC7744"/>
    <w:rsid w:val="00EC7C2E"/>
    <w:rsid w:val="00ED016A"/>
    <w:rsid w:val="00ED0DAD"/>
    <w:rsid w:val="00ED0F46"/>
    <w:rsid w:val="00ED2373"/>
    <w:rsid w:val="00ED2BFB"/>
    <w:rsid w:val="00ED5137"/>
    <w:rsid w:val="00EE3E8A"/>
    <w:rsid w:val="00EE4C69"/>
    <w:rsid w:val="00EE4F42"/>
    <w:rsid w:val="00EE5252"/>
    <w:rsid w:val="00EE70B4"/>
    <w:rsid w:val="00EF2DCC"/>
    <w:rsid w:val="00EF5913"/>
    <w:rsid w:val="00EF64A0"/>
    <w:rsid w:val="00EF6ECA"/>
    <w:rsid w:val="00EF74BA"/>
    <w:rsid w:val="00EF78C2"/>
    <w:rsid w:val="00F014FD"/>
    <w:rsid w:val="00F01621"/>
    <w:rsid w:val="00F01D2E"/>
    <w:rsid w:val="00F020DD"/>
    <w:rsid w:val="00F024E1"/>
    <w:rsid w:val="00F0379B"/>
    <w:rsid w:val="00F06C10"/>
    <w:rsid w:val="00F1096F"/>
    <w:rsid w:val="00F12589"/>
    <w:rsid w:val="00F12595"/>
    <w:rsid w:val="00F134D9"/>
    <w:rsid w:val="00F138CA"/>
    <w:rsid w:val="00F13ED0"/>
    <w:rsid w:val="00F1403D"/>
    <w:rsid w:val="00F14191"/>
    <w:rsid w:val="00F1463F"/>
    <w:rsid w:val="00F16E51"/>
    <w:rsid w:val="00F17437"/>
    <w:rsid w:val="00F17A75"/>
    <w:rsid w:val="00F21302"/>
    <w:rsid w:val="00F25990"/>
    <w:rsid w:val="00F27081"/>
    <w:rsid w:val="00F304F5"/>
    <w:rsid w:val="00F30DC1"/>
    <w:rsid w:val="00F321DE"/>
    <w:rsid w:val="00F3221F"/>
    <w:rsid w:val="00F32D24"/>
    <w:rsid w:val="00F33646"/>
    <w:rsid w:val="00F33777"/>
    <w:rsid w:val="00F3415E"/>
    <w:rsid w:val="00F40648"/>
    <w:rsid w:val="00F408A3"/>
    <w:rsid w:val="00F417F9"/>
    <w:rsid w:val="00F41D50"/>
    <w:rsid w:val="00F42B18"/>
    <w:rsid w:val="00F4422B"/>
    <w:rsid w:val="00F47183"/>
    <w:rsid w:val="00F47DA2"/>
    <w:rsid w:val="00F5154E"/>
    <w:rsid w:val="00F519FC"/>
    <w:rsid w:val="00F560F9"/>
    <w:rsid w:val="00F56E6D"/>
    <w:rsid w:val="00F5709A"/>
    <w:rsid w:val="00F60DC0"/>
    <w:rsid w:val="00F6239D"/>
    <w:rsid w:val="00F65D3D"/>
    <w:rsid w:val="00F66067"/>
    <w:rsid w:val="00F66225"/>
    <w:rsid w:val="00F715D2"/>
    <w:rsid w:val="00F7274F"/>
    <w:rsid w:val="00F75B50"/>
    <w:rsid w:val="00F76FA8"/>
    <w:rsid w:val="00F80CC0"/>
    <w:rsid w:val="00F8247F"/>
    <w:rsid w:val="00F8305F"/>
    <w:rsid w:val="00F87A9A"/>
    <w:rsid w:val="00F9381E"/>
    <w:rsid w:val="00F93F08"/>
    <w:rsid w:val="00F94CED"/>
    <w:rsid w:val="00F96F51"/>
    <w:rsid w:val="00F970AA"/>
    <w:rsid w:val="00FA11FA"/>
    <w:rsid w:val="00FA1CC7"/>
    <w:rsid w:val="00FA2CEE"/>
    <w:rsid w:val="00FA318C"/>
    <w:rsid w:val="00FA3397"/>
    <w:rsid w:val="00FA41D3"/>
    <w:rsid w:val="00FA71BF"/>
    <w:rsid w:val="00FB6013"/>
    <w:rsid w:val="00FB6C4C"/>
    <w:rsid w:val="00FB6F92"/>
    <w:rsid w:val="00FB72B5"/>
    <w:rsid w:val="00FC026E"/>
    <w:rsid w:val="00FC2F18"/>
    <w:rsid w:val="00FC5124"/>
    <w:rsid w:val="00FC6EAC"/>
    <w:rsid w:val="00FD0BEE"/>
    <w:rsid w:val="00FD2F0F"/>
    <w:rsid w:val="00FD315E"/>
    <w:rsid w:val="00FD3F23"/>
    <w:rsid w:val="00FD4731"/>
    <w:rsid w:val="00FD6943"/>
    <w:rsid w:val="00FE0016"/>
    <w:rsid w:val="00FE0C61"/>
    <w:rsid w:val="00FE277C"/>
    <w:rsid w:val="00FE2CAB"/>
    <w:rsid w:val="00FE4E11"/>
    <w:rsid w:val="00FF0AB0"/>
    <w:rsid w:val="00FF0AFC"/>
    <w:rsid w:val="00FF28AC"/>
    <w:rsid w:val="00FF29E4"/>
    <w:rsid w:val="00FF3EC9"/>
    <w:rsid w:val="00FF6479"/>
    <w:rsid w:val="00FF6F4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5657"/>
  <w15:docId w15:val="{8DB15E47-F9FB-42FE-86FD-962FF6A2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UnresolvedMention">
    <w:name w:val="Unresolved Mention"/>
    <w:basedOn w:val="DefaultParagraphFont"/>
    <w:uiPriority w:val="99"/>
    <w:semiHidden/>
    <w:unhideWhenUsed/>
    <w:rsid w:val="00187773"/>
    <w:rPr>
      <w:color w:val="605E5C"/>
      <w:shd w:val="clear" w:color="auto" w:fill="E1DFDD"/>
    </w:rPr>
  </w:style>
  <w:style w:type="character" w:styleId="CommentReference">
    <w:name w:val="annotation reference"/>
    <w:basedOn w:val="DefaultParagraphFont"/>
    <w:semiHidden/>
    <w:unhideWhenUsed/>
    <w:rsid w:val="005C5A2C"/>
    <w:rPr>
      <w:sz w:val="16"/>
      <w:szCs w:val="16"/>
    </w:rPr>
  </w:style>
  <w:style w:type="paragraph" w:styleId="CommentText">
    <w:name w:val="annotation text"/>
    <w:basedOn w:val="Normal"/>
    <w:link w:val="CommentTextChar"/>
    <w:unhideWhenUsed/>
    <w:rsid w:val="005C5A2C"/>
    <w:rPr>
      <w:sz w:val="20"/>
      <w:szCs w:val="20"/>
    </w:rPr>
  </w:style>
  <w:style w:type="character" w:customStyle="1" w:styleId="CommentTextChar">
    <w:name w:val="Comment Text Char"/>
    <w:basedOn w:val="DefaultParagraphFont"/>
    <w:link w:val="CommentText"/>
    <w:rsid w:val="005C5A2C"/>
    <w:rPr>
      <w:rFonts w:ascii="Arial" w:hAnsi="Arial"/>
      <w:lang w:eastAsia="en-US"/>
    </w:rPr>
  </w:style>
  <w:style w:type="paragraph" w:styleId="CommentSubject">
    <w:name w:val="annotation subject"/>
    <w:basedOn w:val="CommentText"/>
    <w:next w:val="CommentText"/>
    <w:link w:val="CommentSubjectChar"/>
    <w:semiHidden/>
    <w:unhideWhenUsed/>
    <w:rsid w:val="005C5A2C"/>
    <w:rPr>
      <w:b/>
      <w:bCs/>
    </w:rPr>
  </w:style>
  <w:style w:type="character" w:customStyle="1" w:styleId="CommentSubjectChar">
    <w:name w:val="Comment Subject Char"/>
    <w:basedOn w:val="CommentTextChar"/>
    <w:link w:val="CommentSubject"/>
    <w:semiHidden/>
    <w:rsid w:val="005C5A2C"/>
    <w:rPr>
      <w:rFonts w:ascii="Arial" w:hAnsi="Arial"/>
      <w:b/>
      <w:bCs/>
      <w:lang w:eastAsia="en-US"/>
    </w:rPr>
  </w:style>
  <w:style w:type="paragraph" w:styleId="Revision">
    <w:name w:val="Revision"/>
    <w:hidden/>
    <w:uiPriority w:val="99"/>
    <w:semiHidden/>
    <w:rsid w:val="00090FA2"/>
    <w:rPr>
      <w:rFonts w:ascii="Arial" w:hAnsi="Arial"/>
      <w:sz w:val="22"/>
      <w:szCs w:val="24"/>
      <w:lang w:eastAsia="en-US"/>
    </w:rPr>
  </w:style>
  <w:style w:type="character" w:styleId="FollowedHyperlink">
    <w:name w:val="FollowedHyperlink"/>
    <w:basedOn w:val="DefaultParagraphFont"/>
    <w:semiHidden/>
    <w:unhideWhenUsed/>
    <w:rsid w:val="00CF6A84"/>
    <w:rPr>
      <w:color w:val="800080" w:themeColor="followedHyperlink"/>
      <w:u w:val="single"/>
    </w:rPr>
  </w:style>
  <w:style w:type="character" w:styleId="FootnoteReference">
    <w:name w:val="footnote reference"/>
    <w:basedOn w:val="DefaultParagraphFont"/>
    <w:semiHidden/>
    <w:unhideWhenUsed/>
    <w:rsid w:val="00217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4965053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5467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consultations.health.gov.au/technology-assessment-access-division/consultation-paper-2a-modernising-of-part-b-of-the/"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consultations.health.gov.au/hearing-and-program-support-division/review-of-part-b-of-the-prostheses-list-pwc-report/" TargetMode="External"/><Relationship Id="rId25" Type="http://schemas.openxmlformats.org/officeDocument/2006/relationships/chart" Target="charts/chart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ations.health.gov.au/hearing-and-program-support-division/review-of-part-b-of-the-prostheses-list-pwc-report/" TargetMode="External"/><Relationship Id="rId20" Type="http://schemas.openxmlformats.org/officeDocument/2006/relationships/chart" Target="charts/chart1.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donatelife.gov.au/sites/default/files/2022-05/pwc_-_analysis_of_the_australian_tissue_sector_-_final_d16-1267056_2.pdf" TargetMode="Externa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 support to Recommendation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69-4A40-BC1E-2880099F9C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69-4A40-BC1E-2880099F9C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In favor</c:v>
                </c:pt>
                <c:pt idx="1">
                  <c:v>Against</c:v>
                </c:pt>
              </c:strCache>
              <c:extLst/>
            </c:strRef>
          </c:cat>
          <c:val>
            <c:numRef>
              <c:f>Sheet1!$B$2:$B$5</c:f>
              <c:numCache>
                <c:formatCode>0%</c:formatCode>
                <c:ptCount val="2"/>
                <c:pt idx="0">
                  <c:v>0.65</c:v>
                </c:pt>
                <c:pt idx="1">
                  <c:v>0.35</c:v>
                </c:pt>
              </c:numCache>
              <c:extLst/>
            </c:numRef>
          </c:val>
          <c:extLst>
            <c:ext xmlns:c16="http://schemas.microsoft.com/office/drawing/2014/chart" uri="{C3380CC4-5D6E-409C-BE32-E72D297353CC}">
              <c16:uniqueId val="{00000000-4DAF-40F4-8550-2D239033EC6F}"/>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10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10FE-499E-AF4E-97E0275418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0FE-499E-AF4E-97E027541825}"/>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2-10FE-499E-AF4E-97E027541825}"/>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10FE-499E-AF4E-97E0275418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0-10FE-499E-AF4E-97E02754182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Stakeholder support to Recommendation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DA-47E2-8CD4-6951815A32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DA-47E2-8CD4-6951815A32F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In support</c:v>
                </c:pt>
                <c:pt idx="1">
                  <c:v>Not in support</c:v>
                </c:pt>
              </c:strCache>
            </c:strRef>
          </c:cat>
          <c:val>
            <c:numRef>
              <c:f>Sheet1!$B$2:$B$3</c:f>
              <c:numCache>
                <c:formatCode>0%</c:formatCode>
                <c:ptCount val="2"/>
                <c:pt idx="0">
                  <c:v>0.7</c:v>
                </c:pt>
                <c:pt idx="1">
                  <c:v>0.3</c:v>
                </c:pt>
              </c:numCache>
            </c:numRef>
          </c:val>
          <c:extLst>
            <c:ext xmlns:c16="http://schemas.microsoft.com/office/drawing/2014/chart" uri="{C3380CC4-5D6E-409C-BE32-E72D297353CC}">
              <c16:uniqueId val="{00000004-C1DA-47E2-8CD4-6951815A32F2}"/>
            </c:ext>
          </c:extLst>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5A-4FD7-A674-3E0B3551B8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5A-4FD7-A674-3E0B3551B8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0.75</c:v>
                </c:pt>
                <c:pt idx="1">
                  <c:v>0.25</c:v>
                </c:pt>
              </c:numCache>
            </c:numRef>
          </c:val>
          <c:extLst>
            <c:ext xmlns:c16="http://schemas.microsoft.com/office/drawing/2014/chart" uri="{C3380CC4-5D6E-409C-BE32-E72D297353CC}">
              <c16:uniqueId val="{00000000-C405-44B3-A45C-5226F459D3D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Stakeholder support to Recommendation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for recommendation 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E3-450E-BE14-F4810F79AC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E3-450E-BE14-F4810F79AC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0.9</c:v>
                </c:pt>
                <c:pt idx="1">
                  <c:v>0.1</c:v>
                </c:pt>
              </c:numCache>
            </c:numRef>
          </c:val>
          <c:extLst>
            <c:ext xmlns:c16="http://schemas.microsoft.com/office/drawing/2014/chart" uri="{C3380CC4-5D6E-409C-BE32-E72D297353CC}">
              <c16:uniqueId val="{00000000-4F78-46D7-9AC7-E331997756E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 support to Recommendation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5E-4BCF-8DEF-8284FDE0C6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5E-4BCF-8DEF-8284FDE0C6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0.65</c:v>
                </c:pt>
                <c:pt idx="1">
                  <c:v>0.35</c:v>
                </c:pt>
              </c:numCache>
            </c:numRef>
          </c:val>
          <c:extLst>
            <c:ext xmlns:c16="http://schemas.microsoft.com/office/drawing/2014/chart" uri="{C3380CC4-5D6E-409C-BE32-E72D297353CC}">
              <c16:uniqueId val="{00000000-C09B-4341-AFD6-57849136A42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6</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5E-4F18-A8C5-C3F53ADCD5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5E-4F18-A8C5-C3F53ADCD5AD}"/>
              </c:ext>
            </c:extLst>
          </c:dPt>
          <c:dLbls>
            <c:dLbl>
              <c:idx val="0"/>
              <c:tx>
                <c:rich>
                  <a:bodyPr/>
                  <a:lstStyle/>
                  <a:p>
                    <a:fld id="{C4226039-497D-42B7-B53D-0EC701D785D9}" type="VALUE">
                      <a:rPr lang="en-US">
                        <a:solidFill>
                          <a:schemeClr val="bg1"/>
                        </a:solidFill>
                      </a:rPr>
                      <a:pPr/>
                      <a:t>[VALUE]</a:t>
                    </a:fld>
                    <a:endParaRPr lang="en-GB"/>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5E-4F18-A8C5-C3F53ADCD5AD}"/>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3-615E-4F18-A8C5-C3F53ADCD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0.9</c:v>
                </c:pt>
                <c:pt idx="1">
                  <c:v>0.1</c:v>
                </c:pt>
              </c:numCache>
            </c:numRef>
          </c:val>
          <c:extLst>
            <c:ext xmlns:c16="http://schemas.microsoft.com/office/drawing/2014/chart" uri="{C3380CC4-5D6E-409C-BE32-E72D297353CC}">
              <c16:uniqueId val="{00000004-615E-4F18-A8C5-C3F53ADCD5A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a:t>
            </a:r>
            <a:r>
              <a:rPr lang="en-US" baseline="0"/>
              <a:t> support to </a:t>
            </a:r>
            <a:r>
              <a:rPr lang="en-US"/>
              <a:t>Recommendation 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Stakeholders in support of Recommendation 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B6-4DDB-901E-46D5E75641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c:f>
              <c:strCache>
                <c:ptCount val="1"/>
                <c:pt idx="0">
                  <c:v>In support</c:v>
                </c:pt>
              </c:strCache>
            </c:strRef>
          </c:cat>
          <c:val>
            <c:numRef>
              <c:f>Sheet1!$B$2</c:f>
              <c:numCache>
                <c:formatCode>0%</c:formatCode>
                <c:ptCount val="1"/>
                <c:pt idx="0">
                  <c:v>1</c:v>
                </c:pt>
              </c:numCache>
            </c:numRef>
          </c:val>
          <c:extLst>
            <c:ext xmlns:c16="http://schemas.microsoft.com/office/drawing/2014/chart" uri="{C3380CC4-5D6E-409C-BE32-E72D297353CC}">
              <c16:uniqueId val="{00000000-90BD-430E-AB34-BEDC7512B3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Stakeholder support to Recommendation 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on Recommendation 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4F-4E91-BFDC-8D9A95E7C08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4F-4E91-BFDC-8D9A95E7C08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0.9</c:v>
                </c:pt>
                <c:pt idx="1">
                  <c:v>0.1</c:v>
                </c:pt>
              </c:numCache>
            </c:numRef>
          </c:val>
          <c:extLst>
            <c:ext xmlns:c16="http://schemas.microsoft.com/office/drawing/2014/chart" uri="{C3380CC4-5D6E-409C-BE32-E72D297353CC}">
              <c16:uniqueId val="{00000000-FE4F-4886-BCA7-53635A05281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Stakeholder support to Recommendation 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FC-4934-8F98-4835DB3761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FC-4934-8F98-4835DB3761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In support</c:v>
                </c:pt>
                <c:pt idx="1">
                  <c:v>Not in support</c:v>
                </c:pt>
              </c:strCache>
            </c:strRef>
          </c:cat>
          <c:val>
            <c:numRef>
              <c:f>Sheet1!$B$2:$B$3</c:f>
              <c:numCache>
                <c:formatCode>0%</c:formatCode>
                <c:ptCount val="2"/>
                <c:pt idx="0">
                  <c:v>0.85</c:v>
                </c:pt>
                <c:pt idx="1">
                  <c:v>0.15</c:v>
                </c:pt>
              </c:numCache>
            </c:numRef>
          </c:val>
          <c:extLst>
            <c:ext xmlns:c16="http://schemas.microsoft.com/office/drawing/2014/chart" uri="{C3380CC4-5D6E-409C-BE32-E72D297353CC}">
              <c16:uniqueId val="{00000000-2914-42C5-A6EF-E8D49D20D6F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central.health\templates\templates\User templates\Department of Health - Short document template.dotx</Template>
  <TotalTime>0</TotalTime>
  <Pages>18</Pages>
  <Words>4749</Words>
  <Characters>27214</Characters>
  <Application>Microsoft Office Word</Application>
  <DocSecurity>0</DocSecurity>
  <Lines>523</Lines>
  <Paragraphs>290</Paragraphs>
  <ScaleCrop>false</ScaleCrop>
  <HeadingPairs>
    <vt:vector size="2" baseType="variant">
      <vt:variant>
        <vt:lpstr>Title</vt:lpstr>
      </vt:variant>
      <vt:variant>
        <vt:i4>1</vt:i4>
      </vt:variant>
    </vt:vector>
  </HeadingPairs>
  <TitlesOfParts>
    <vt:vector size="1" baseType="lpstr">
      <vt:lpstr>Reforms to the Prescribed List Part B: Analysis of stakeholder feedback   </vt:lpstr>
    </vt:vector>
  </TitlesOfParts>
  <Manager/>
  <Company/>
  <LinksUpToDate>false</LinksUpToDate>
  <CharactersWithSpaces>31673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to the Prescribed List Part B: Analysis of stakeholder feedback   </dc:title>
  <dc:subject>Prescribed list</dc:subject>
  <dc:creator>Australian Government, Department of Health and Aged Care</dc:creator>
  <cp:keywords>Private health insurance</cp:keywords>
  <dc:description/>
  <cp:lastModifiedBy>HOOD, Jodi</cp:lastModifiedBy>
  <cp:revision>2</cp:revision>
  <dcterms:created xsi:type="dcterms:W3CDTF">2024-12-02T23:55:00Z</dcterms:created>
  <dcterms:modified xsi:type="dcterms:W3CDTF">2024-12-02T23:55:00Z</dcterms:modified>
  <cp:category/>
</cp:coreProperties>
</file>