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5689" w14:textId="77777777" w:rsidR="00071101" w:rsidRPr="001D7FEB" w:rsidRDefault="00071101" w:rsidP="00071101">
      <w:pPr>
        <w:rPr>
          <w:b/>
          <w:bCs/>
          <w:color w:val="2F5496" w:themeColor="accent1" w:themeShade="BF"/>
          <w:sz w:val="32"/>
          <w:szCs w:val="28"/>
        </w:rPr>
      </w:pPr>
      <w:bookmarkStart w:id="0" w:name="_Toc83808543"/>
      <w:r w:rsidRPr="001D7FEB">
        <w:rPr>
          <w:b/>
          <w:bCs/>
          <w:color w:val="2F5496" w:themeColor="accent1" w:themeShade="BF"/>
          <w:sz w:val="32"/>
          <w:szCs w:val="28"/>
        </w:rPr>
        <w:t>Questions &amp; Answers</w:t>
      </w:r>
      <w:bookmarkEnd w:id="0"/>
    </w:p>
    <w:p w14:paraId="4C5F9230" w14:textId="40196752" w:rsidR="00904664" w:rsidRPr="00904664" w:rsidRDefault="00071101" w:rsidP="00FF4567">
      <w:pPr>
        <w:rPr>
          <w:b/>
          <w:bCs/>
          <w:color w:val="2F5496" w:themeColor="accent1" w:themeShade="BF"/>
          <w:sz w:val="32"/>
          <w:szCs w:val="28"/>
        </w:rPr>
      </w:pPr>
      <w:r w:rsidRPr="001D7FEB">
        <w:rPr>
          <w:b/>
          <w:bCs/>
          <w:color w:val="2F5496" w:themeColor="accent1" w:themeShade="BF"/>
          <w:sz w:val="32"/>
          <w:szCs w:val="28"/>
        </w:rPr>
        <w:t xml:space="preserve">MPS webinar: Aged care reforms: impacts on the MPS program and providers – </w:t>
      </w:r>
      <w:r w:rsidR="00CF592A">
        <w:rPr>
          <w:b/>
          <w:bCs/>
          <w:color w:val="2F5496" w:themeColor="accent1" w:themeShade="BF"/>
          <w:sz w:val="32"/>
          <w:szCs w:val="28"/>
        </w:rPr>
        <w:t>28 November</w:t>
      </w:r>
      <w:r w:rsidR="000F035E">
        <w:rPr>
          <w:b/>
          <w:bCs/>
          <w:color w:val="2F5496" w:themeColor="accent1" w:themeShade="BF"/>
          <w:sz w:val="32"/>
          <w:szCs w:val="28"/>
        </w:rPr>
        <w:t xml:space="preserve"> 2024</w:t>
      </w:r>
    </w:p>
    <w:sdt>
      <w:sdtPr>
        <w:rPr>
          <w:rFonts w:asciiTheme="minorHAnsi" w:eastAsiaTheme="minorHAnsi" w:hAnsiTheme="minorHAnsi" w:cstheme="minorHAnsi"/>
          <w:color w:val="auto"/>
          <w:sz w:val="22"/>
          <w:szCs w:val="20"/>
          <w:lang w:val="en-AU"/>
        </w:rPr>
        <w:id w:val="219564733"/>
        <w:docPartObj>
          <w:docPartGallery w:val="Table of Contents"/>
          <w:docPartUnique/>
        </w:docPartObj>
      </w:sdtPr>
      <w:sdtEndPr>
        <w:rPr>
          <w:b/>
          <w:bCs/>
          <w:noProof/>
        </w:rPr>
      </w:sdtEndPr>
      <w:sdtContent>
        <w:p w14:paraId="6BA9EB6D" w14:textId="27EB3CE0" w:rsidR="00904664" w:rsidRPr="00904664" w:rsidRDefault="00904664">
          <w:pPr>
            <w:pStyle w:val="TOCHeading"/>
            <w:rPr>
              <w:rFonts w:asciiTheme="minorHAnsi" w:hAnsiTheme="minorHAnsi" w:cstheme="minorHAnsi"/>
              <w:b/>
              <w:bCs/>
              <w:sz w:val="28"/>
              <w:szCs w:val="28"/>
            </w:rPr>
          </w:pPr>
          <w:r w:rsidRPr="00904664">
            <w:rPr>
              <w:rFonts w:asciiTheme="minorHAnsi" w:hAnsiTheme="minorHAnsi" w:cstheme="minorHAnsi"/>
              <w:b/>
              <w:bCs/>
              <w:sz w:val="28"/>
              <w:szCs w:val="28"/>
            </w:rPr>
            <w:t>Table of Contents</w:t>
          </w:r>
        </w:p>
        <w:p w14:paraId="55AC8C26" w14:textId="075809DB" w:rsidR="00477A69" w:rsidRDefault="00904664">
          <w:pPr>
            <w:pStyle w:val="TOC1"/>
            <w:tabs>
              <w:tab w:val="right" w:leader="dot" w:pos="9016"/>
            </w:tabs>
            <w:rPr>
              <w:rFonts w:eastAsiaTheme="minorEastAsia"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84290740" w:history="1">
            <w:r w:rsidR="00477A69" w:rsidRPr="001152B7">
              <w:rPr>
                <w:rStyle w:val="Hyperlink"/>
                <w:noProof/>
                <w:lang w:val="en-US"/>
              </w:rPr>
              <w:t>Introduction</w:t>
            </w:r>
            <w:r w:rsidR="00477A69">
              <w:rPr>
                <w:noProof/>
                <w:webHidden/>
              </w:rPr>
              <w:tab/>
            </w:r>
            <w:r w:rsidR="00477A69">
              <w:rPr>
                <w:noProof/>
                <w:webHidden/>
              </w:rPr>
              <w:fldChar w:fldCharType="begin"/>
            </w:r>
            <w:r w:rsidR="00477A69">
              <w:rPr>
                <w:noProof/>
                <w:webHidden/>
              </w:rPr>
              <w:instrText xml:space="preserve"> PAGEREF _Toc184290740 \h </w:instrText>
            </w:r>
            <w:r w:rsidR="00477A69">
              <w:rPr>
                <w:noProof/>
                <w:webHidden/>
              </w:rPr>
            </w:r>
            <w:r w:rsidR="00477A69">
              <w:rPr>
                <w:noProof/>
                <w:webHidden/>
              </w:rPr>
              <w:fldChar w:fldCharType="separate"/>
            </w:r>
            <w:r w:rsidR="00477A69">
              <w:rPr>
                <w:noProof/>
                <w:webHidden/>
              </w:rPr>
              <w:t>1</w:t>
            </w:r>
            <w:r w:rsidR="00477A69">
              <w:rPr>
                <w:noProof/>
                <w:webHidden/>
              </w:rPr>
              <w:fldChar w:fldCharType="end"/>
            </w:r>
          </w:hyperlink>
        </w:p>
        <w:p w14:paraId="57895F53" w14:textId="50979D77" w:rsidR="00477A69" w:rsidRDefault="00477A69">
          <w:pPr>
            <w:pStyle w:val="TOC1"/>
            <w:tabs>
              <w:tab w:val="right" w:leader="dot" w:pos="9016"/>
            </w:tabs>
            <w:rPr>
              <w:rFonts w:eastAsiaTheme="minorEastAsia" w:cstheme="minorBidi"/>
              <w:noProof/>
              <w:kern w:val="2"/>
              <w:sz w:val="24"/>
              <w:szCs w:val="24"/>
              <w:lang w:eastAsia="en-AU"/>
              <w14:ligatures w14:val="standardContextual"/>
            </w:rPr>
          </w:pPr>
          <w:hyperlink w:anchor="_Toc184290741" w:history="1">
            <w:r w:rsidRPr="001152B7">
              <w:rPr>
                <w:rStyle w:val="Hyperlink"/>
                <w:noProof/>
              </w:rPr>
              <w:t>Questions and Answers</w:t>
            </w:r>
            <w:r>
              <w:rPr>
                <w:noProof/>
                <w:webHidden/>
              </w:rPr>
              <w:tab/>
            </w:r>
            <w:r>
              <w:rPr>
                <w:noProof/>
                <w:webHidden/>
              </w:rPr>
              <w:fldChar w:fldCharType="begin"/>
            </w:r>
            <w:r>
              <w:rPr>
                <w:noProof/>
                <w:webHidden/>
              </w:rPr>
              <w:instrText xml:space="preserve"> PAGEREF _Toc184290741 \h </w:instrText>
            </w:r>
            <w:r>
              <w:rPr>
                <w:noProof/>
                <w:webHidden/>
              </w:rPr>
            </w:r>
            <w:r>
              <w:rPr>
                <w:noProof/>
                <w:webHidden/>
              </w:rPr>
              <w:fldChar w:fldCharType="separate"/>
            </w:r>
            <w:r>
              <w:rPr>
                <w:noProof/>
                <w:webHidden/>
              </w:rPr>
              <w:t>2</w:t>
            </w:r>
            <w:r>
              <w:rPr>
                <w:noProof/>
                <w:webHidden/>
              </w:rPr>
              <w:fldChar w:fldCharType="end"/>
            </w:r>
          </w:hyperlink>
        </w:p>
        <w:p w14:paraId="4C1AE4F8" w14:textId="55EF1071" w:rsidR="00477A69" w:rsidRDefault="00E442BF">
          <w:pPr>
            <w:pStyle w:val="TOC1"/>
            <w:tabs>
              <w:tab w:val="right" w:leader="dot" w:pos="9016"/>
            </w:tabs>
            <w:rPr>
              <w:rFonts w:eastAsiaTheme="minorEastAsia" w:cstheme="minorBidi"/>
              <w:noProof/>
              <w:kern w:val="2"/>
              <w:sz w:val="24"/>
              <w:szCs w:val="24"/>
              <w:lang w:eastAsia="en-AU"/>
              <w14:ligatures w14:val="standardContextual"/>
            </w:rPr>
          </w:pPr>
          <w:hyperlink w:anchor="_Toc184290742" w:history="1">
            <w:r w:rsidRPr="001152B7">
              <w:rPr>
                <w:rStyle w:val="Hyperlink"/>
                <w:noProof/>
                <w:lang w:val="en-US"/>
              </w:rPr>
              <w:t>Document History</w:t>
            </w:r>
            <w:r>
              <w:rPr>
                <w:noProof/>
                <w:webHidden/>
              </w:rPr>
              <w:tab/>
              <w:t>4</w:t>
            </w:r>
          </w:hyperlink>
        </w:p>
        <w:p w14:paraId="3ECED490" w14:textId="289F81BC" w:rsidR="00477A69" w:rsidRDefault="00477A69">
          <w:pPr>
            <w:pStyle w:val="TOC1"/>
            <w:tabs>
              <w:tab w:val="right" w:leader="dot" w:pos="9016"/>
            </w:tabs>
            <w:rPr>
              <w:rFonts w:eastAsiaTheme="minorEastAsia" w:cstheme="minorBidi"/>
              <w:noProof/>
              <w:kern w:val="2"/>
              <w:sz w:val="24"/>
              <w:szCs w:val="24"/>
              <w:lang w:eastAsia="en-AU"/>
              <w14:ligatures w14:val="standardContextual"/>
            </w:rPr>
          </w:pPr>
          <w:hyperlink w:anchor="_Toc184290743" w:history="1">
            <w:r w:rsidRPr="001152B7">
              <w:rPr>
                <w:rStyle w:val="Hyperlink"/>
                <w:noProof/>
                <w:lang w:val="en-US"/>
              </w:rPr>
              <w:t>Acronym/ Abbreviation</w:t>
            </w:r>
            <w:r>
              <w:rPr>
                <w:noProof/>
                <w:webHidden/>
              </w:rPr>
              <w:tab/>
            </w:r>
            <w:r>
              <w:rPr>
                <w:noProof/>
                <w:webHidden/>
              </w:rPr>
              <w:fldChar w:fldCharType="begin"/>
            </w:r>
            <w:r>
              <w:rPr>
                <w:noProof/>
                <w:webHidden/>
              </w:rPr>
              <w:instrText xml:space="preserve"> PAGEREF _Toc184290743 \h </w:instrText>
            </w:r>
            <w:r>
              <w:rPr>
                <w:noProof/>
                <w:webHidden/>
              </w:rPr>
            </w:r>
            <w:r>
              <w:rPr>
                <w:noProof/>
                <w:webHidden/>
              </w:rPr>
              <w:fldChar w:fldCharType="separate"/>
            </w:r>
            <w:r>
              <w:rPr>
                <w:noProof/>
                <w:webHidden/>
              </w:rPr>
              <w:t>5</w:t>
            </w:r>
            <w:r>
              <w:rPr>
                <w:noProof/>
                <w:webHidden/>
              </w:rPr>
              <w:fldChar w:fldCharType="end"/>
            </w:r>
          </w:hyperlink>
        </w:p>
        <w:p w14:paraId="7A2B9D95" w14:textId="299D89CC" w:rsidR="00530CDD" w:rsidRPr="00FF4567" w:rsidRDefault="00904664" w:rsidP="00FF4567">
          <w:r>
            <w:rPr>
              <w:b/>
              <w:bCs/>
              <w:noProof/>
            </w:rPr>
            <w:fldChar w:fldCharType="end"/>
          </w:r>
        </w:p>
      </w:sdtContent>
    </w:sdt>
    <w:p w14:paraId="6A87172A" w14:textId="77777777" w:rsidR="003426A2" w:rsidRPr="001D7FEB" w:rsidRDefault="003426A2" w:rsidP="003426A2">
      <w:pPr>
        <w:pStyle w:val="Heading1"/>
        <w:rPr>
          <w:lang w:val="en-US"/>
        </w:rPr>
      </w:pPr>
      <w:bookmarkStart w:id="1" w:name="_Toc170219261"/>
      <w:bookmarkStart w:id="2" w:name="_Toc170893618"/>
      <w:bookmarkStart w:id="3" w:name="_Toc171420890"/>
      <w:bookmarkStart w:id="4" w:name="_Toc182984337"/>
      <w:bookmarkStart w:id="5" w:name="_Toc184290740"/>
      <w:r w:rsidRPr="001D7FEB">
        <w:rPr>
          <w:lang w:val="en-US"/>
        </w:rPr>
        <w:t>Introduction</w:t>
      </w:r>
      <w:bookmarkEnd w:id="1"/>
      <w:bookmarkEnd w:id="2"/>
      <w:bookmarkEnd w:id="3"/>
      <w:bookmarkEnd w:id="4"/>
      <w:bookmarkEnd w:id="5"/>
    </w:p>
    <w:p w14:paraId="435F8B87" w14:textId="5DB06E3F" w:rsidR="008B7887" w:rsidRPr="00251DEF" w:rsidRDefault="008B7887" w:rsidP="008B7887">
      <w:pPr>
        <w:rPr>
          <w:rFonts w:eastAsia="Calibri"/>
          <w:lang w:val="en-US"/>
        </w:rPr>
      </w:pPr>
      <w:r w:rsidRPr="00E12CC6">
        <w:rPr>
          <w:rFonts w:eastAsia="Calibri"/>
          <w:lang w:val="en-US"/>
        </w:rPr>
        <w:t xml:space="preserve">On </w:t>
      </w:r>
      <w:r w:rsidR="00CF592A">
        <w:rPr>
          <w:rFonts w:eastAsia="Calibri"/>
          <w:lang w:val="en-US"/>
        </w:rPr>
        <w:t>28</w:t>
      </w:r>
      <w:r w:rsidR="000F035E">
        <w:rPr>
          <w:rFonts w:eastAsia="Calibri"/>
          <w:lang w:val="en-US"/>
        </w:rPr>
        <w:t xml:space="preserve"> </w:t>
      </w:r>
      <w:r w:rsidR="00CF592A">
        <w:rPr>
          <w:rFonts w:eastAsia="Calibri"/>
          <w:lang w:val="en-US"/>
        </w:rPr>
        <w:t>November</w:t>
      </w:r>
      <w:r w:rsidRPr="00E12CC6">
        <w:rPr>
          <w:rFonts w:eastAsia="Calibri"/>
          <w:lang w:val="en-US"/>
        </w:rPr>
        <w:t xml:space="preserve"> 2024, the Department of Health and Aged Care (</w:t>
      </w:r>
      <w:r w:rsidR="00F727A2">
        <w:rPr>
          <w:rFonts w:eastAsia="Calibri"/>
          <w:lang w:val="en-US"/>
        </w:rPr>
        <w:t>the Department</w:t>
      </w:r>
      <w:r w:rsidRPr="00E12CC6">
        <w:rPr>
          <w:rFonts w:eastAsia="Calibri"/>
          <w:lang w:val="en-US"/>
        </w:rPr>
        <w:t xml:space="preserve">) hosted a webinar for MPS providers, to explain how aged care reforms will impact the MPS program and its providers. </w:t>
      </w:r>
      <w:r w:rsidR="006D75E6">
        <w:rPr>
          <w:rFonts w:eastAsia="Calibri"/>
          <w:lang w:val="en-US"/>
        </w:rPr>
        <w:t>The Department</w:t>
      </w:r>
      <w:r w:rsidRPr="00251DEF">
        <w:rPr>
          <w:rFonts w:eastAsia="Calibri"/>
          <w:lang w:val="en-US"/>
        </w:rPr>
        <w:t xml:space="preserve"> thanks all attendees for their engagement.</w:t>
      </w:r>
    </w:p>
    <w:p w14:paraId="437880C7" w14:textId="25DEBC7C" w:rsidR="008B7887" w:rsidRPr="002B42BE" w:rsidRDefault="005077ED" w:rsidP="008B7887">
      <w:pPr>
        <w:rPr>
          <w:rFonts w:eastAsia="Calibri"/>
          <w:lang w:val="en-US"/>
        </w:rPr>
      </w:pPr>
      <w:r>
        <w:rPr>
          <w:rFonts w:eastAsia="Calibri"/>
          <w:lang w:val="en-US"/>
        </w:rPr>
        <w:t>Th</w:t>
      </w:r>
      <w:r w:rsidR="0033595F">
        <w:rPr>
          <w:rFonts w:eastAsia="Calibri"/>
          <w:lang w:val="en-US"/>
        </w:rPr>
        <w:t>e</w:t>
      </w:r>
      <w:r w:rsidR="008B7887" w:rsidRPr="00251DEF">
        <w:rPr>
          <w:rFonts w:eastAsia="Calibri"/>
          <w:lang w:val="en-US"/>
        </w:rPr>
        <w:t xml:space="preserve"> webinar</w:t>
      </w:r>
      <w:r w:rsidR="00F935DA">
        <w:rPr>
          <w:rFonts w:eastAsia="Calibri"/>
          <w:lang w:val="en-US"/>
        </w:rPr>
        <w:t xml:space="preserve"> was the </w:t>
      </w:r>
      <w:r w:rsidR="00A2519D">
        <w:rPr>
          <w:rFonts w:eastAsia="Calibri"/>
          <w:lang w:val="en-US"/>
        </w:rPr>
        <w:t>fifth</w:t>
      </w:r>
      <w:r w:rsidR="00F935DA">
        <w:rPr>
          <w:rFonts w:eastAsia="Calibri"/>
          <w:lang w:val="en-US"/>
        </w:rPr>
        <w:t xml:space="preserve"> in</w:t>
      </w:r>
      <w:r>
        <w:rPr>
          <w:rFonts w:eastAsia="Calibri"/>
          <w:lang w:val="en-US"/>
        </w:rPr>
        <w:t xml:space="preserve"> </w:t>
      </w:r>
      <w:r w:rsidR="008B7887" w:rsidRPr="00251DEF">
        <w:rPr>
          <w:rFonts w:eastAsia="Calibri"/>
          <w:lang w:val="en-US"/>
        </w:rPr>
        <w:t>a series</w:t>
      </w:r>
      <w:r w:rsidR="000B4F6B">
        <w:rPr>
          <w:rFonts w:eastAsia="Calibri"/>
          <w:lang w:val="en-US"/>
        </w:rPr>
        <w:t xml:space="preserve"> </w:t>
      </w:r>
      <w:r w:rsidR="003F3BD6">
        <w:rPr>
          <w:rFonts w:eastAsia="Calibri"/>
          <w:lang w:val="en-US"/>
        </w:rPr>
        <w:t xml:space="preserve">sharing information, </w:t>
      </w:r>
      <w:r w:rsidR="008B7887" w:rsidRPr="00251DEF">
        <w:rPr>
          <w:rFonts w:eastAsia="Calibri"/>
          <w:lang w:val="en-US"/>
        </w:rPr>
        <w:t xml:space="preserve">answering </w:t>
      </w:r>
      <w:r w:rsidR="006F0170" w:rsidRPr="006F0170">
        <w:rPr>
          <w:rFonts w:eastAsia="Calibri"/>
          <w:lang w:val="en-US"/>
        </w:rPr>
        <w:t>questions,</w:t>
      </w:r>
      <w:r w:rsidR="008B7887" w:rsidRPr="002B42BE">
        <w:rPr>
          <w:rFonts w:eastAsia="Calibri"/>
          <w:lang w:val="en-US"/>
        </w:rPr>
        <w:t xml:space="preserve"> and seeking input for the design and implementation of reforms. These webinars build on </w:t>
      </w:r>
      <w:r w:rsidR="006D75E6">
        <w:rPr>
          <w:rFonts w:eastAsia="Calibri"/>
          <w:lang w:val="en-US"/>
        </w:rPr>
        <w:t>the Department</w:t>
      </w:r>
      <w:r w:rsidR="008B7887" w:rsidRPr="002B42BE">
        <w:rPr>
          <w:rFonts w:eastAsia="Calibri"/>
          <w:lang w:val="en-US"/>
        </w:rPr>
        <w:t>’s ongoing engagement on MPS reforms with state and territory health department officials, through the MPS Working Group.</w:t>
      </w:r>
    </w:p>
    <w:p w14:paraId="3C290933" w14:textId="5C7ED829" w:rsidR="008B7887" w:rsidRPr="00027016" w:rsidRDefault="008B7887" w:rsidP="008B7887">
      <w:pPr>
        <w:rPr>
          <w:rFonts w:eastAsia="Calibri"/>
          <w:lang w:val="en-US"/>
        </w:rPr>
      </w:pPr>
      <w:r w:rsidRPr="00027016">
        <w:rPr>
          <w:rFonts w:eastAsia="Calibri"/>
          <w:lang w:val="en-US"/>
        </w:rPr>
        <w:t>Th</w:t>
      </w:r>
      <w:r w:rsidR="00696BBE">
        <w:rPr>
          <w:rFonts w:eastAsia="Calibri"/>
          <w:lang w:val="en-US"/>
        </w:rPr>
        <w:t xml:space="preserve">e webinar </w:t>
      </w:r>
      <w:r w:rsidR="003051A4">
        <w:rPr>
          <w:rFonts w:eastAsia="Calibri"/>
          <w:lang w:val="en-US"/>
        </w:rPr>
        <w:t>included</w:t>
      </w:r>
      <w:r w:rsidR="00696BBE">
        <w:rPr>
          <w:rFonts w:eastAsia="Calibri"/>
          <w:lang w:val="en-US"/>
        </w:rPr>
        <w:t xml:space="preserve"> the following topics:</w:t>
      </w:r>
    </w:p>
    <w:p w14:paraId="7594FB33" w14:textId="405723D4" w:rsidR="008B7887" w:rsidRPr="00673F9C" w:rsidRDefault="00673F9C" w:rsidP="00673F9C">
      <w:pPr>
        <w:numPr>
          <w:ilvl w:val="0"/>
          <w:numId w:val="1"/>
        </w:numPr>
        <w:contextualSpacing/>
        <w:rPr>
          <w:rFonts w:eastAsia="Calibri"/>
          <w:lang w:val="en-US"/>
        </w:rPr>
      </w:pPr>
      <w:r>
        <w:rPr>
          <w:rFonts w:eastAsia="Calibri"/>
          <w:lang w:val="en-US"/>
        </w:rPr>
        <w:t>Update on the new Aged Care Act and related Rule</w:t>
      </w:r>
      <w:r w:rsidR="00E442BF">
        <w:rPr>
          <w:rFonts w:eastAsia="Calibri"/>
          <w:lang w:val="en-US"/>
        </w:rPr>
        <w:t>s</w:t>
      </w:r>
    </w:p>
    <w:p w14:paraId="5DBE17D4" w14:textId="5805A3F4" w:rsidR="006B7ED0" w:rsidRDefault="00361333" w:rsidP="008B7887">
      <w:pPr>
        <w:numPr>
          <w:ilvl w:val="0"/>
          <w:numId w:val="1"/>
        </w:numPr>
        <w:contextualSpacing/>
        <w:rPr>
          <w:rFonts w:eastAsia="Calibri"/>
          <w:lang w:val="en-US"/>
        </w:rPr>
      </w:pPr>
      <w:r>
        <w:rPr>
          <w:rFonts w:eastAsia="Calibri"/>
          <w:lang w:val="en-US"/>
        </w:rPr>
        <w:t>Update on transitional arrangements for the new Act</w:t>
      </w:r>
    </w:p>
    <w:p w14:paraId="2B497C58" w14:textId="21D2C528" w:rsidR="00464C6C" w:rsidRPr="00FF4567" w:rsidRDefault="00361333" w:rsidP="00FF4567">
      <w:pPr>
        <w:numPr>
          <w:ilvl w:val="0"/>
          <w:numId w:val="1"/>
        </w:numPr>
        <w:contextualSpacing/>
        <w:rPr>
          <w:rFonts w:eastAsia="Calibri"/>
          <w:lang w:val="en-US"/>
        </w:rPr>
      </w:pPr>
      <w:r>
        <w:rPr>
          <w:rFonts w:eastAsia="Calibri"/>
          <w:lang w:val="en-US"/>
        </w:rPr>
        <w:t>Update on other MPS reforms and activities</w:t>
      </w:r>
    </w:p>
    <w:p w14:paraId="6F2FAE8E" w14:textId="2EF67832" w:rsidR="00CC469B" w:rsidRPr="00FF4567" w:rsidRDefault="00464C6C" w:rsidP="00FF4567">
      <w:pPr>
        <w:contextualSpacing/>
        <w:rPr>
          <w:rFonts w:eastAsia="Calibri"/>
          <w:lang w:val="en-US"/>
        </w:rPr>
      </w:pPr>
      <w:r>
        <w:rPr>
          <w:rFonts w:eastAsia="Calibri"/>
          <w:lang w:val="en-US"/>
        </w:rPr>
        <w:t>This document is a summary of key questions and answers from the webinar.</w:t>
      </w:r>
    </w:p>
    <w:p w14:paraId="6D57D545" w14:textId="7BAE7DF7" w:rsidR="004C4751" w:rsidRDefault="002C02D9" w:rsidP="00C326DD">
      <w:pPr>
        <w:rPr>
          <w:rFonts w:eastAsia="Calibri"/>
          <w:lang w:val="en-US"/>
        </w:rPr>
      </w:pPr>
      <w:r w:rsidRPr="00027016">
        <w:rPr>
          <w:rFonts w:eastAsia="Calibri"/>
          <w:lang w:val="en-US"/>
        </w:rPr>
        <w:t>The answers below</w:t>
      </w:r>
      <w:r w:rsidR="00F13C4E" w:rsidRPr="00027016">
        <w:rPr>
          <w:rFonts w:eastAsia="Calibri"/>
          <w:lang w:val="en-US"/>
        </w:rPr>
        <w:t xml:space="preserve"> </w:t>
      </w:r>
      <w:r w:rsidR="0092400F" w:rsidRPr="00027016">
        <w:rPr>
          <w:rFonts w:eastAsia="Calibri"/>
          <w:lang w:val="en-US"/>
        </w:rPr>
        <w:t xml:space="preserve">incorporate </w:t>
      </w:r>
      <w:r w:rsidR="00AD790D" w:rsidRPr="00027016">
        <w:rPr>
          <w:rFonts w:eastAsia="Calibri"/>
          <w:lang w:val="en-US"/>
        </w:rPr>
        <w:t xml:space="preserve">verbal responses </w:t>
      </w:r>
      <w:r w:rsidR="0019467B" w:rsidRPr="00027016">
        <w:rPr>
          <w:rFonts w:eastAsia="Calibri"/>
          <w:lang w:val="en-US"/>
        </w:rPr>
        <w:t xml:space="preserve">from </w:t>
      </w:r>
      <w:r w:rsidR="00027016">
        <w:rPr>
          <w:rFonts w:eastAsia="Calibri"/>
          <w:lang w:val="en-US"/>
        </w:rPr>
        <w:t>the Department</w:t>
      </w:r>
      <w:r w:rsidR="0019467B" w:rsidRPr="00027016">
        <w:rPr>
          <w:rFonts w:eastAsia="Calibri"/>
          <w:lang w:val="en-US"/>
        </w:rPr>
        <w:t xml:space="preserve">’s officials </w:t>
      </w:r>
      <w:r w:rsidR="00AD790D" w:rsidRPr="00027016">
        <w:rPr>
          <w:rFonts w:eastAsia="Calibri"/>
          <w:lang w:val="en-US"/>
        </w:rPr>
        <w:t xml:space="preserve">during the webinar, </w:t>
      </w:r>
      <w:r w:rsidR="000648AC" w:rsidRPr="00027016">
        <w:rPr>
          <w:rFonts w:eastAsia="Calibri"/>
          <w:lang w:val="en-US"/>
        </w:rPr>
        <w:t>with</w:t>
      </w:r>
      <w:r w:rsidR="00124BC6" w:rsidRPr="00027016">
        <w:rPr>
          <w:rFonts w:eastAsia="Calibri"/>
          <w:lang w:val="en-US"/>
        </w:rPr>
        <w:t xml:space="preserve"> </w:t>
      </w:r>
      <w:r w:rsidR="00D13B5C" w:rsidRPr="00027016">
        <w:rPr>
          <w:rFonts w:eastAsia="Calibri"/>
          <w:lang w:val="en-US"/>
        </w:rPr>
        <w:t>further information added if</w:t>
      </w:r>
      <w:r w:rsidR="0090215E" w:rsidRPr="00027016">
        <w:rPr>
          <w:rFonts w:eastAsia="Calibri"/>
          <w:lang w:val="en-US"/>
        </w:rPr>
        <w:t xml:space="preserve"> required </w:t>
      </w:r>
      <w:r w:rsidR="008443B9" w:rsidRPr="00027016">
        <w:rPr>
          <w:rFonts w:eastAsia="Calibri"/>
          <w:lang w:val="en-US"/>
        </w:rPr>
        <w:t xml:space="preserve">for </w:t>
      </w:r>
      <w:r w:rsidR="00D96E45" w:rsidRPr="00027016">
        <w:rPr>
          <w:rFonts w:eastAsia="Calibri"/>
          <w:lang w:val="en-US"/>
        </w:rPr>
        <w:t xml:space="preserve">clarity </w:t>
      </w:r>
      <w:r w:rsidR="00D448C4" w:rsidRPr="00027016">
        <w:rPr>
          <w:rFonts w:eastAsia="Calibri"/>
          <w:lang w:val="en-US"/>
        </w:rPr>
        <w:t xml:space="preserve">and for </w:t>
      </w:r>
      <w:r w:rsidR="000648AC" w:rsidRPr="00027016">
        <w:rPr>
          <w:rFonts w:eastAsia="Calibri"/>
          <w:lang w:val="en-US"/>
        </w:rPr>
        <w:t xml:space="preserve">any </w:t>
      </w:r>
      <w:r w:rsidR="0092400F" w:rsidRPr="00027016">
        <w:rPr>
          <w:rFonts w:eastAsia="Calibri"/>
          <w:lang w:val="en-US"/>
        </w:rPr>
        <w:t>question</w:t>
      </w:r>
      <w:r w:rsidR="00D448C4" w:rsidRPr="00027016">
        <w:rPr>
          <w:rFonts w:eastAsia="Calibri"/>
          <w:lang w:val="en-US"/>
        </w:rPr>
        <w:t xml:space="preserve">s that did </w:t>
      </w:r>
      <w:r w:rsidR="0092400F" w:rsidRPr="00027016">
        <w:rPr>
          <w:rFonts w:eastAsia="Calibri"/>
          <w:lang w:val="en-US"/>
        </w:rPr>
        <w:t xml:space="preserve">not </w:t>
      </w:r>
      <w:r w:rsidR="0039582C">
        <w:rPr>
          <w:rFonts w:eastAsia="Calibri"/>
          <w:lang w:val="en-US"/>
        </w:rPr>
        <w:t>receive</w:t>
      </w:r>
      <w:r w:rsidR="0092400F" w:rsidRPr="00027016">
        <w:rPr>
          <w:rFonts w:eastAsia="Calibri"/>
          <w:lang w:val="en-US"/>
        </w:rPr>
        <w:t xml:space="preserve"> a response </w:t>
      </w:r>
      <w:r w:rsidR="00851956" w:rsidRPr="00027016">
        <w:rPr>
          <w:rFonts w:eastAsia="Calibri"/>
          <w:lang w:val="en-US"/>
        </w:rPr>
        <w:t>during</w:t>
      </w:r>
      <w:r w:rsidR="008443B9" w:rsidRPr="00027016">
        <w:rPr>
          <w:rFonts w:eastAsia="Calibri"/>
          <w:lang w:val="en-US"/>
        </w:rPr>
        <w:t xml:space="preserve"> the </w:t>
      </w:r>
      <w:r w:rsidR="00EB21C6" w:rsidRPr="00027016">
        <w:rPr>
          <w:rFonts w:eastAsia="Calibri"/>
          <w:lang w:val="en-US"/>
        </w:rPr>
        <w:t>session</w:t>
      </w:r>
      <w:r w:rsidR="008443B9" w:rsidRPr="00027016">
        <w:rPr>
          <w:rFonts w:eastAsia="Calibri"/>
          <w:lang w:val="en-US"/>
        </w:rPr>
        <w:t xml:space="preserve">. </w:t>
      </w:r>
      <w:r w:rsidR="00EB21C6" w:rsidRPr="00027016">
        <w:rPr>
          <w:rFonts w:eastAsia="Calibri"/>
          <w:lang w:val="en-US"/>
        </w:rPr>
        <w:t>R</w:t>
      </w:r>
      <w:r w:rsidR="008443B9" w:rsidRPr="00027016">
        <w:rPr>
          <w:rFonts w:eastAsia="Calibri"/>
          <w:lang w:val="en-US"/>
        </w:rPr>
        <w:t xml:space="preserve">esponses </w:t>
      </w:r>
      <w:r w:rsidR="00EB21C6" w:rsidRPr="00027016">
        <w:rPr>
          <w:rFonts w:eastAsia="Calibri"/>
          <w:lang w:val="en-US"/>
        </w:rPr>
        <w:t>were</w:t>
      </w:r>
      <w:r w:rsidR="008443B9" w:rsidRPr="00027016">
        <w:rPr>
          <w:rFonts w:eastAsia="Calibri"/>
          <w:lang w:val="en-US"/>
        </w:rPr>
        <w:t xml:space="preserve"> correct as at the time of the webinar. </w:t>
      </w:r>
    </w:p>
    <w:p w14:paraId="7DA1C0BE" w14:textId="25F22371" w:rsidR="00652844" w:rsidRPr="00C654EE" w:rsidRDefault="00652844" w:rsidP="00652844">
      <w:pPr>
        <w:pStyle w:val="Heading1"/>
      </w:pPr>
      <w:bookmarkStart w:id="6" w:name="_Toc170219266"/>
      <w:bookmarkStart w:id="7" w:name="_Toc170893619"/>
      <w:bookmarkStart w:id="8" w:name="_Toc171420891"/>
      <w:bookmarkStart w:id="9" w:name="_Toc182984338"/>
      <w:bookmarkStart w:id="10" w:name="_Toc184290741"/>
      <w:r w:rsidRPr="00C654EE">
        <w:t>Question</w:t>
      </w:r>
      <w:r w:rsidR="00762766">
        <w:t>s</w:t>
      </w:r>
      <w:r w:rsidRPr="00C654EE">
        <w:t xml:space="preserve"> and Answers</w:t>
      </w:r>
      <w:bookmarkEnd w:id="6"/>
      <w:bookmarkEnd w:id="7"/>
      <w:bookmarkEnd w:id="8"/>
      <w:bookmarkEnd w:id="9"/>
      <w:bookmarkEnd w:id="10"/>
    </w:p>
    <w:p w14:paraId="222B5306" w14:textId="4EDBFB0D" w:rsidR="007568F1" w:rsidRPr="001D7FEB" w:rsidRDefault="0096472D" w:rsidP="005D7EE5">
      <w:pPr>
        <w:shd w:val="clear" w:color="auto" w:fill="D9E2F3" w:themeFill="accent1" w:themeFillTint="33"/>
        <w:spacing w:before="0" w:after="160" w:line="259" w:lineRule="auto"/>
        <w:rPr>
          <w:b/>
          <w:bCs/>
          <w:sz w:val="28"/>
          <w:szCs w:val="28"/>
        </w:rPr>
      </w:pPr>
      <w:r>
        <w:rPr>
          <w:b/>
          <w:bCs/>
          <w:sz w:val="28"/>
          <w:szCs w:val="28"/>
        </w:rPr>
        <w:t>New Aged Care Act and Related Rules</w:t>
      </w:r>
    </w:p>
    <w:p w14:paraId="7FA3B2F5" w14:textId="09816476" w:rsidR="00EF4649" w:rsidRDefault="0096783D" w:rsidP="00BF468D">
      <w:pPr>
        <w:pStyle w:val="ListParagraph"/>
        <w:numPr>
          <w:ilvl w:val="0"/>
          <w:numId w:val="7"/>
        </w:numPr>
        <w:ind w:left="426"/>
        <w:rPr>
          <w:b/>
          <w:bCs/>
          <w:i/>
          <w:iCs/>
        </w:rPr>
      </w:pPr>
      <w:r>
        <w:rPr>
          <w:b/>
          <w:bCs/>
          <w:i/>
          <w:iCs/>
        </w:rPr>
        <w:t>Do we know what the new actions will be for MPS under the new Quality Standards?</w:t>
      </w:r>
    </w:p>
    <w:p w14:paraId="35658DAE" w14:textId="1BBC208B" w:rsidR="00DA3819" w:rsidRDefault="009F6414" w:rsidP="00FF4567">
      <w:r>
        <w:t>New and robust quality standards will apply</w:t>
      </w:r>
      <w:r w:rsidR="003725F2">
        <w:t xml:space="preserve"> from 1 July </w:t>
      </w:r>
      <w:proofErr w:type="gramStart"/>
      <w:r w:rsidR="003725F2">
        <w:t>2025</w:t>
      </w:r>
      <w:proofErr w:type="gramEnd"/>
      <w:r w:rsidR="00E442BF">
        <w:t xml:space="preserve"> and they </w:t>
      </w:r>
      <w:r w:rsidR="003725F2">
        <w:t>will apply equally to all providers</w:t>
      </w:r>
      <w:r w:rsidR="00AD074E">
        <w:t xml:space="preserve"> who are registered in categories 4</w:t>
      </w:r>
      <w:r w:rsidR="00E442BF">
        <w:t xml:space="preserve">, </w:t>
      </w:r>
      <w:r w:rsidR="00AD074E">
        <w:t>5 and 6.</w:t>
      </w:r>
      <w:r w:rsidR="004864E5">
        <w:t xml:space="preserve"> There will be no exception for MPS to that </w:t>
      </w:r>
      <w:r w:rsidR="00E442BF">
        <w:t>obligation</w:t>
      </w:r>
      <w:r w:rsidR="004864E5">
        <w:t>.</w:t>
      </w:r>
      <w:r w:rsidR="00AA5332">
        <w:t xml:space="preserve"> We encourage </w:t>
      </w:r>
      <w:r w:rsidR="00AA57DE">
        <w:t>providers</w:t>
      </w:r>
      <w:r w:rsidR="00AA5332">
        <w:t xml:space="preserve"> to have a look at the revised </w:t>
      </w:r>
      <w:hyperlink r:id="rId8" w:history="1">
        <w:r w:rsidR="00E442BF" w:rsidRPr="00E442BF">
          <w:rPr>
            <w:rStyle w:val="Hyperlink"/>
          </w:rPr>
          <w:t>Aged Care Quality Standards</w:t>
        </w:r>
      </w:hyperlink>
      <w:r w:rsidR="00AA57DE">
        <w:t xml:space="preserve"> available on the </w:t>
      </w:r>
      <w:r w:rsidR="00E442BF">
        <w:t>Department’s w</w:t>
      </w:r>
      <w:r w:rsidR="00AA57DE">
        <w:t>ebsite</w:t>
      </w:r>
      <w:r w:rsidR="00E442BF">
        <w:t>. They will then</w:t>
      </w:r>
      <w:r w:rsidR="00D46890">
        <w:t xml:space="preserve"> officially appear in the form of actual </w:t>
      </w:r>
      <w:r w:rsidR="00E442BF">
        <w:t>r</w:t>
      </w:r>
      <w:r w:rsidR="00D46890">
        <w:t>ules in the New Year.</w:t>
      </w:r>
    </w:p>
    <w:p w14:paraId="183C8D25" w14:textId="2AD42B73" w:rsidR="00833E92" w:rsidRPr="00FF4567" w:rsidRDefault="00DA3819" w:rsidP="00FF4567">
      <w:pPr>
        <w:pStyle w:val="ListParagraph"/>
        <w:numPr>
          <w:ilvl w:val="0"/>
          <w:numId w:val="7"/>
        </w:numPr>
        <w:ind w:left="426"/>
        <w:rPr>
          <w:b/>
          <w:bCs/>
          <w:i/>
          <w:iCs/>
        </w:rPr>
      </w:pPr>
      <w:r w:rsidRPr="002662BE">
        <w:rPr>
          <w:b/>
          <w:bCs/>
          <w:i/>
          <w:iCs/>
        </w:rPr>
        <w:t xml:space="preserve">Is there likely to be interim funding arrangements to ensure sites are viable with changes whilst the actual MPS funding model is developed. </w:t>
      </w:r>
    </w:p>
    <w:p w14:paraId="341447D0" w14:textId="0E43B97F" w:rsidR="00DA3819" w:rsidRDefault="00DA3819" w:rsidP="00DA3819">
      <w:pPr>
        <w:rPr>
          <w:rFonts w:ascii="Calibri" w:eastAsia="Calibri" w:hAnsi="Calibri" w:cs="Calibri"/>
        </w:rPr>
      </w:pPr>
      <w:r>
        <w:rPr>
          <w:rFonts w:ascii="Calibri" w:eastAsia="Calibri" w:hAnsi="Calibri" w:cs="Calibri"/>
        </w:rPr>
        <w:t>Apart from MPS subsidy rate</w:t>
      </w:r>
      <w:r w:rsidR="00E442BF">
        <w:rPr>
          <w:rFonts w:ascii="Calibri" w:eastAsia="Calibri" w:hAnsi="Calibri" w:cs="Calibri"/>
        </w:rPr>
        <w:t xml:space="preserve"> increase</w:t>
      </w:r>
      <w:r>
        <w:rPr>
          <w:rFonts w:ascii="Calibri" w:eastAsia="Calibri" w:hAnsi="Calibri" w:cs="Calibri"/>
        </w:rPr>
        <w:t xml:space="preserve"> from 1 July </w:t>
      </w:r>
      <w:r w:rsidR="00E442BF">
        <w:rPr>
          <w:rFonts w:ascii="Calibri" w:eastAsia="Calibri" w:hAnsi="Calibri" w:cs="Calibri"/>
        </w:rPr>
        <w:t>2025 (</w:t>
      </w:r>
      <w:r>
        <w:rPr>
          <w:rFonts w:ascii="Calibri" w:eastAsia="Calibri" w:hAnsi="Calibri" w:cs="Calibri"/>
        </w:rPr>
        <w:t>with indexation</w:t>
      </w:r>
      <w:r w:rsidR="00E442BF">
        <w:rPr>
          <w:rFonts w:ascii="Calibri" w:eastAsia="Calibri" w:hAnsi="Calibri" w:cs="Calibri"/>
        </w:rPr>
        <w:t>)</w:t>
      </w:r>
      <w:r>
        <w:rPr>
          <w:rFonts w:ascii="Calibri" w:eastAsia="Calibri" w:hAnsi="Calibri" w:cs="Calibri"/>
        </w:rPr>
        <w:t xml:space="preserve">, there is no commitment to increase the funding in MPS </w:t>
      </w:r>
      <w:r w:rsidR="00E442BF">
        <w:rPr>
          <w:rFonts w:ascii="Calibri" w:eastAsia="Calibri" w:hAnsi="Calibri" w:cs="Calibri"/>
        </w:rPr>
        <w:t>specifically</w:t>
      </w:r>
      <w:r>
        <w:rPr>
          <w:rFonts w:ascii="Calibri" w:eastAsia="Calibri" w:hAnsi="Calibri" w:cs="Calibri"/>
        </w:rPr>
        <w:t xml:space="preserve"> for the implementation of the New Act.</w:t>
      </w:r>
    </w:p>
    <w:p w14:paraId="0913C82A" w14:textId="532B2F20" w:rsidR="00DA3819" w:rsidRDefault="00E442BF" w:rsidP="00DA3819">
      <w:pPr>
        <w:rPr>
          <w:rFonts w:ascii="Calibri" w:eastAsia="Calibri" w:hAnsi="Calibri" w:cs="Calibri"/>
        </w:rPr>
      </w:pPr>
      <w:r>
        <w:rPr>
          <w:rFonts w:ascii="Calibri" w:eastAsia="Calibri" w:hAnsi="Calibri" w:cs="Calibri"/>
        </w:rPr>
        <w:lastRenderedPageBreak/>
        <w:t xml:space="preserve">The </w:t>
      </w:r>
      <w:r w:rsidR="00DA3819">
        <w:rPr>
          <w:rFonts w:ascii="Calibri" w:eastAsia="Calibri" w:hAnsi="Calibri" w:cs="Calibri"/>
        </w:rPr>
        <w:t xml:space="preserve">Department will be looking at the new funding model </w:t>
      </w:r>
      <w:r>
        <w:rPr>
          <w:rFonts w:ascii="Calibri" w:eastAsia="Calibri" w:hAnsi="Calibri" w:cs="Calibri"/>
        </w:rPr>
        <w:t>as part of the overall reform schedule</w:t>
      </w:r>
      <w:r w:rsidR="00DA3819">
        <w:rPr>
          <w:rFonts w:ascii="Calibri" w:eastAsia="Calibri" w:hAnsi="Calibri" w:cs="Calibri"/>
        </w:rPr>
        <w:t>, though we do have a couple of points where we will consider interim additional funding uplifts</w:t>
      </w:r>
      <w:r>
        <w:rPr>
          <w:rFonts w:ascii="Calibri" w:eastAsia="Calibri" w:hAnsi="Calibri" w:cs="Calibri"/>
        </w:rPr>
        <w:t>, noting this is subject to Government approval</w:t>
      </w:r>
      <w:r w:rsidR="00DA3819">
        <w:rPr>
          <w:rFonts w:ascii="Calibri" w:eastAsia="Calibri" w:hAnsi="Calibri" w:cs="Calibri"/>
        </w:rPr>
        <w:t xml:space="preserve">. </w:t>
      </w:r>
    </w:p>
    <w:p w14:paraId="6CB69C99" w14:textId="2893A94E" w:rsidR="009F6414" w:rsidRPr="00FF4567" w:rsidRDefault="00E442BF" w:rsidP="00FF4567">
      <w:pPr>
        <w:rPr>
          <w:rFonts w:ascii="Calibri" w:eastAsia="Calibri" w:hAnsi="Calibri" w:cs="Calibri"/>
        </w:rPr>
      </w:pPr>
      <w:r>
        <w:rPr>
          <w:rFonts w:ascii="Calibri" w:eastAsia="Calibri" w:hAnsi="Calibri" w:cs="Calibri"/>
        </w:rPr>
        <w:t>Jurisdictions who have sites participating in the Direct Care Minutes trial, have been</w:t>
      </w:r>
      <w:r w:rsidR="00DA3819">
        <w:rPr>
          <w:rFonts w:ascii="Calibri" w:eastAsia="Calibri" w:hAnsi="Calibri" w:cs="Calibri"/>
        </w:rPr>
        <w:t xml:space="preserve"> allocated additional funding</w:t>
      </w:r>
      <w:r>
        <w:rPr>
          <w:rFonts w:ascii="Calibri" w:eastAsia="Calibri" w:hAnsi="Calibri" w:cs="Calibri"/>
        </w:rPr>
        <w:t xml:space="preserve"> across all MPS sites</w:t>
      </w:r>
      <w:r w:rsidR="00DA3819">
        <w:rPr>
          <w:rFonts w:ascii="Calibri" w:eastAsia="Calibri" w:hAnsi="Calibri" w:cs="Calibri"/>
        </w:rPr>
        <w:t>.</w:t>
      </w:r>
    </w:p>
    <w:p w14:paraId="525754FF" w14:textId="453581EE" w:rsidR="00647FDB" w:rsidRPr="00323401" w:rsidRDefault="00323401" w:rsidP="00323401">
      <w:pPr>
        <w:shd w:val="clear" w:color="auto" w:fill="D9E2F3" w:themeFill="accent1" w:themeFillTint="33"/>
        <w:spacing w:before="0" w:after="160" w:line="259" w:lineRule="auto"/>
        <w:rPr>
          <w:b/>
          <w:bCs/>
          <w:sz w:val="28"/>
          <w:szCs w:val="28"/>
        </w:rPr>
      </w:pPr>
      <w:r>
        <w:rPr>
          <w:b/>
          <w:bCs/>
          <w:sz w:val="28"/>
          <w:szCs w:val="28"/>
        </w:rPr>
        <w:t>Transitional arrangements for the new Act</w:t>
      </w:r>
    </w:p>
    <w:p w14:paraId="5A49F0A4" w14:textId="36AA67EA" w:rsidR="00EF4649" w:rsidRPr="000B5EC3" w:rsidRDefault="002715C3" w:rsidP="00BF468D">
      <w:pPr>
        <w:pStyle w:val="ListParagraph"/>
        <w:numPr>
          <w:ilvl w:val="0"/>
          <w:numId w:val="7"/>
        </w:numPr>
        <w:ind w:left="426"/>
        <w:rPr>
          <w:b/>
          <w:bCs/>
          <w:i/>
          <w:iCs/>
        </w:rPr>
      </w:pPr>
      <w:r w:rsidRPr="000B5EC3">
        <w:rPr>
          <w:b/>
          <w:bCs/>
          <w:i/>
          <w:iCs/>
        </w:rPr>
        <w:t xml:space="preserve">Can I confirm that as </w:t>
      </w:r>
      <w:r w:rsidR="00F9453C" w:rsidRPr="000B5EC3">
        <w:rPr>
          <w:b/>
          <w:bCs/>
          <w:i/>
          <w:iCs/>
        </w:rPr>
        <w:t>client data will be sought, will the transfer of information occur by a secure electronic file arrangements to comply with the Legislation?</w:t>
      </w:r>
    </w:p>
    <w:p w14:paraId="3BA8F332" w14:textId="43D2D699" w:rsidR="00DE2745" w:rsidRDefault="000D39D4" w:rsidP="00FF4567">
      <w:pPr>
        <w:rPr>
          <w:rFonts w:ascii="Calibri" w:eastAsia="Calibri" w:hAnsi="Calibri" w:cs="Calibri"/>
        </w:rPr>
      </w:pPr>
      <w:r>
        <w:rPr>
          <w:rFonts w:ascii="Calibri" w:eastAsia="Calibri" w:hAnsi="Calibri" w:cs="Calibri"/>
        </w:rPr>
        <w:t xml:space="preserve">Yes, </w:t>
      </w:r>
      <w:r w:rsidR="00E442BF">
        <w:rPr>
          <w:rFonts w:ascii="Calibri" w:eastAsia="Calibri" w:hAnsi="Calibri" w:cs="Calibri"/>
        </w:rPr>
        <w:t xml:space="preserve">the </w:t>
      </w:r>
      <w:r w:rsidR="002751C5">
        <w:rPr>
          <w:rFonts w:ascii="Calibri" w:eastAsia="Calibri" w:hAnsi="Calibri" w:cs="Calibri"/>
        </w:rPr>
        <w:t>Departmen</w:t>
      </w:r>
      <w:r w:rsidR="00E442BF">
        <w:rPr>
          <w:rFonts w:ascii="Calibri" w:eastAsia="Calibri" w:hAnsi="Calibri" w:cs="Calibri"/>
        </w:rPr>
        <w:t>t plans</w:t>
      </w:r>
      <w:r w:rsidR="002751C5">
        <w:rPr>
          <w:rFonts w:ascii="Calibri" w:eastAsia="Calibri" w:hAnsi="Calibri" w:cs="Calibri"/>
        </w:rPr>
        <w:t xml:space="preserve"> to</w:t>
      </w:r>
      <w:r w:rsidR="00835D88">
        <w:rPr>
          <w:rFonts w:ascii="Calibri" w:eastAsia="Calibri" w:hAnsi="Calibri" w:cs="Calibri"/>
        </w:rPr>
        <w:t xml:space="preserve"> organise </w:t>
      </w:r>
      <w:r w:rsidR="00E442BF">
        <w:rPr>
          <w:rFonts w:ascii="Calibri" w:eastAsia="Calibri" w:hAnsi="Calibri" w:cs="Calibri"/>
        </w:rPr>
        <w:t xml:space="preserve">secure electronic file arrangements and is currently working </w:t>
      </w:r>
      <w:r w:rsidR="00624F72">
        <w:rPr>
          <w:rFonts w:ascii="Calibri" w:eastAsia="Calibri" w:hAnsi="Calibri" w:cs="Calibri"/>
        </w:rPr>
        <w:t>through privacy requirements</w:t>
      </w:r>
      <w:r w:rsidR="00E442BF">
        <w:rPr>
          <w:rFonts w:ascii="Calibri" w:eastAsia="Calibri" w:hAnsi="Calibri" w:cs="Calibri"/>
        </w:rPr>
        <w:t xml:space="preserve"> to</w:t>
      </w:r>
      <w:r w:rsidR="00624F72">
        <w:rPr>
          <w:rFonts w:ascii="Calibri" w:eastAsia="Calibri" w:hAnsi="Calibri" w:cs="Calibri"/>
        </w:rPr>
        <w:t xml:space="preserve"> ensure that obligations </w:t>
      </w:r>
      <w:r w:rsidR="00E442BF">
        <w:rPr>
          <w:rFonts w:ascii="Calibri" w:eastAsia="Calibri" w:hAnsi="Calibri" w:cs="Calibri"/>
        </w:rPr>
        <w:t>for</w:t>
      </w:r>
      <w:r w:rsidR="00893063">
        <w:rPr>
          <w:rFonts w:ascii="Calibri" w:eastAsia="Calibri" w:hAnsi="Calibri" w:cs="Calibri"/>
        </w:rPr>
        <w:t xml:space="preserve"> providers and clients </w:t>
      </w:r>
      <w:r w:rsidR="00E442BF">
        <w:rPr>
          <w:rFonts w:ascii="Calibri" w:eastAsia="Calibri" w:hAnsi="Calibri" w:cs="Calibri"/>
        </w:rPr>
        <w:t>are met</w:t>
      </w:r>
      <w:r w:rsidR="00893063">
        <w:rPr>
          <w:rFonts w:ascii="Calibri" w:eastAsia="Calibri" w:hAnsi="Calibri" w:cs="Calibri"/>
        </w:rPr>
        <w:t>.</w:t>
      </w:r>
      <w:r w:rsidR="009E594F">
        <w:rPr>
          <w:rFonts w:ascii="Calibri" w:eastAsia="Calibri" w:hAnsi="Calibri" w:cs="Calibri"/>
        </w:rPr>
        <w:t xml:space="preserve"> The intent is to ensure the transfer of data and storage complies with relevant </w:t>
      </w:r>
      <w:r w:rsidR="00E442BF">
        <w:rPr>
          <w:rFonts w:ascii="Calibri" w:eastAsia="Calibri" w:hAnsi="Calibri" w:cs="Calibri"/>
        </w:rPr>
        <w:t>l</w:t>
      </w:r>
      <w:r w:rsidR="009E594F">
        <w:rPr>
          <w:rFonts w:ascii="Calibri" w:eastAsia="Calibri" w:hAnsi="Calibri" w:cs="Calibri"/>
        </w:rPr>
        <w:t xml:space="preserve">egislation. </w:t>
      </w:r>
    </w:p>
    <w:p w14:paraId="67A1C389" w14:textId="19640F09" w:rsidR="00E7075B" w:rsidRPr="00FF4567" w:rsidRDefault="00E7075B" w:rsidP="00FF4567">
      <w:pPr>
        <w:pStyle w:val="ListParagraph"/>
        <w:numPr>
          <w:ilvl w:val="0"/>
          <w:numId w:val="7"/>
        </w:numPr>
        <w:ind w:left="426"/>
        <w:rPr>
          <w:b/>
          <w:bCs/>
          <w:i/>
          <w:iCs/>
        </w:rPr>
      </w:pPr>
      <w:r w:rsidRPr="000B5EC3">
        <w:rPr>
          <w:b/>
          <w:bCs/>
          <w:i/>
          <w:iCs/>
        </w:rPr>
        <w:t>If a client transfers from one MPS site to another MPS site but will receive the same services. Will they need a reassessment?</w:t>
      </w:r>
    </w:p>
    <w:p w14:paraId="34EB1017" w14:textId="3EA918FC" w:rsidR="00E7075B" w:rsidRDefault="0077264F" w:rsidP="00D33323">
      <w:pPr>
        <w:rPr>
          <w:rFonts w:ascii="Calibri" w:eastAsia="Calibri" w:hAnsi="Calibri" w:cs="Calibri"/>
        </w:rPr>
      </w:pPr>
      <w:r w:rsidRPr="00D33323">
        <w:rPr>
          <w:rFonts w:ascii="Calibri" w:eastAsia="Calibri" w:hAnsi="Calibri" w:cs="Calibri"/>
        </w:rPr>
        <w:t>No</w:t>
      </w:r>
      <w:r w:rsidR="00703023">
        <w:rPr>
          <w:rFonts w:ascii="Calibri" w:eastAsia="Calibri" w:hAnsi="Calibri" w:cs="Calibri"/>
        </w:rPr>
        <w:t>.</w:t>
      </w:r>
      <w:r w:rsidRPr="00D33323">
        <w:rPr>
          <w:rFonts w:ascii="Calibri" w:eastAsia="Calibri" w:hAnsi="Calibri" w:cs="Calibri"/>
        </w:rPr>
        <w:t xml:space="preserve"> With </w:t>
      </w:r>
      <w:r w:rsidR="00CE399D" w:rsidRPr="00D33323">
        <w:rPr>
          <w:rFonts w:ascii="Calibri" w:eastAsia="Calibri" w:hAnsi="Calibri" w:cs="Calibri"/>
        </w:rPr>
        <w:t>Transitional arrangements client</w:t>
      </w:r>
      <w:r w:rsidR="00E442BF">
        <w:rPr>
          <w:rFonts w:ascii="Calibri" w:eastAsia="Calibri" w:hAnsi="Calibri" w:cs="Calibri"/>
        </w:rPr>
        <w:t>s</w:t>
      </w:r>
      <w:r w:rsidR="00CE399D" w:rsidRPr="00D33323">
        <w:rPr>
          <w:rFonts w:ascii="Calibri" w:eastAsia="Calibri" w:hAnsi="Calibri" w:cs="Calibri"/>
        </w:rPr>
        <w:t xml:space="preserve"> will </w:t>
      </w:r>
      <w:r w:rsidR="00D33323" w:rsidRPr="00D33323">
        <w:rPr>
          <w:rFonts w:ascii="Calibri" w:eastAsia="Calibri" w:hAnsi="Calibri" w:cs="Calibri"/>
        </w:rPr>
        <w:t xml:space="preserve">receive approval to access </w:t>
      </w:r>
      <w:r w:rsidR="00E442BF">
        <w:rPr>
          <w:rFonts w:ascii="Calibri" w:eastAsia="Calibri" w:hAnsi="Calibri" w:cs="Calibri"/>
        </w:rPr>
        <w:t xml:space="preserve">the </w:t>
      </w:r>
      <w:r w:rsidR="00D33323" w:rsidRPr="00D33323">
        <w:rPr>
          <w:rFonts w:ascii="Calibri" w:eastAsia="Calibri" w:hAnsi="Calibri" w:cs="Calibri"/>
        </w:rPr>
        <w:t>relevant services</w:t>
      </w:r>
      <w:r w:rsidR="00462D59">
        <w:rPr>
          <w:rFonts w:ascii="Calibri" w:eastAsia="Calibri" w:hAnsi="Calibri" w:cs="Calibri"/>
        </w:rPr>
        <w:t xml:space="preserve"> and can effectively take that to an</w:t>
      </w:r>
      <w:r w:rsidR="00703023">
        <w:rPr>
          <w:rFonts w:ascii="Calibri" w:eastAsia="Calibri" w:hAnsi="Calibri" w:cs="Calibri"/>
        </w:rPr>
        <w:t>y</w:t>
      </w:r>
      <w:r w:rsidR="00E442BF">
        <w:rPr>
          <w:rFonts w:ascii="Calibri" w:eastAsia="Calibri" w:hAnsi="Calibri" w:cs="Calibri"/>
        </w:rPr>
        <w:t xml:space="preserve"> MPS</w:t>
      </w:r>
      <w:r w:rsidR="00462D59">
        <w:rPr>
          <w:rFonts w:ascii="Calibri" w:eastAsia="Calibri" w:hAnsi="Calibri" w:cs="Calibri"/>
        </w:rPr>
        <w:t xml:space="preserve"> site.</w:t>
      </w:r>
    </w:p>
    <w:p w14:paraId="25DD9C58" w14:textId="2EA1916E" w:rsidR="00DD25A9" w:rsidRDefault="00E03B26" w:rsidP="00FF4567">
      <w:pPr>
        <w:rPr>
          <w:rFonts w:ascii="Calibri" w:eastAsia="Calibri" w:hAnsi="Calibri" w:cs="Calibri"/>
        </w:rPr>
      </w:pPr>
      <w:r>
        <w:rPr>
          <w:rFonts w:ascii="Calibri" w:eastAsia="Calibri" w:hAnsi="Calibri" w:cs="Calibri"/>
        </w:rPr>
        <w:t xml:space="preserve">There is potentially </w:t>
      </w:r>
      <w:r w:rsidR="00E442BF">
        <w:rPr>
          <w:rFonts w:ascii="Calibri" w:eastAsia="Calibri" w:hAnsi="Calibri" w:cs="Calibri"/>
        </w:rPr>
        <w:t xml:space="preserve">some </w:t>
      </w:r>
      <w:r>
        <w:rPr>
          <w:rFonts w:ascii="Calibri" w:eastAsia="Calibri" w:hAnsi="Calibri" w:cs="Calibri"/>
        </w:rPr>
        <w:t xml:space="preserve">complexity if </w:t>
      </w:r>
      <w:r w:rsidR="00E442BF">
        <w:rPr>
          <w:rFonts w:ascii="Calibri" w:eastAsia="Calibri" w:hAnsi="Calibri" w:cs="Calibri"/>
        </w:rPr>
        <w:t xml:space="preserve">the </w:t>
      </w:r>
      <w:r>
        <w:rPr>
          <w:rFonts w:ascii="Calibri" w:eastAsia="Calibri" w:hAnsi="Calibri" w:cs="Calibri"/>
        </w:rPr>
        <w:t xml:space="preserve">client moves </w:t>
      </w:r>
      <w:r w:rsidR="00E442BF">
        <w:rPr>
          <w:rFonts w:ascii="Calibri" w:eastAsia="Calibri" w:hAnsi="Calibri" w:cs="Calibri"/>
        </w:rPr>
        <w:t>from MPS to</w:t>
      </w:r>
      <w:r>
        <w:rPr>
          <w:rFonts w:ascii="Calibri" w:eastAsia="Calibri" w:hAnsi="Calibri" w:cs="Calibri"/>
        </w:rPr>
        <w:t xml:space="preserve"> mainstream </w:t>
      </w:r>
      <w:r w:rsidR="00566812">
        <w:rPr>
          <w:rFonts w:ascii="Calibri" w:eastAsia="Calibri" w:hAnsi="Calibri" w:cs="Calibri"/>
        </w:rPr>
        <w:t>residential aged care</w:t>
      </w:r>
      <w:r w:rsidR="00E442BF">
        <w:rPr>
          <w:rFonts w:ascii="Calibri" w:eastAsia="Calibri" w:hAnsi="Calibri" w:cs="Calibri"/>
        </w:rPr>
        <w:t xml:space="preserve"> because cu</w:t>
      </w:r>
      <w:r w:rsidR="00696C37">
        <w:rPr>
          <w:rFonts w:ascii="Calibri" w:eastAsia="Calibri" w:hAnsi="Calibri" w:cs="Calibri"/>
        </w:rPr>
        <w:t>rrently</w:t>
      </w:r>
      <w:r w:rsidR="00E442BF">
        <w:rPr>
          <w:rFonts w:ascii="Calibri" w:eastAsia="Calibri" w:hAnsi="Calibri" w:cs="Calibri"/>
        </w:rPr>
        <w:t xml:space="preserve"> in </w:t>
      </w:r>
      <w:r w:rsidR="00696C37">
        <w:rPr>
          <w:rFonts w:ascii="Calibri" w:eastAsia="Calibri" w:hAnsi="Calibri" w:cs="Calibri"/>
        </w:rPr>
        <w:t>H</w:t>
      </w:r>
      <w:r w:rsidR="00E442BF">
        <w:rPr>
          <w:rFonts w:ascii="Calibri" w:eastAsia="Calibri" w:hAnsi="Calibri" w:cs="Calibri"/>
        </w:rPr>
        <w:t>C</w:t>
      </w:r>
      <w:r w:rsidR="00696C37">
        <w:rPr>
          <w:rFonts w:ascii="Calibri" w:eastAsia="Calibri" w:hAnsi="Calibri" w:cs="Calibri"/>
        </w:rPr>
        <w:t>P</w:t>
      </w:r>
      <w:r w:rsidR="00E442BF">
        <w:rPr>
          <w:rFonts w:ascii="Calibri" w:eastAsia="Calibri" w:hAnsi="Calibri" w:cs="Calibri"/>
        </w:rPr>
        <w:t xml:space="preserve"> (and the new Support at Home) </w:t>
      </w:r>
      <w:r w:rsidR="00696C37">
        <w:rPr>
          <w:rFonts w:ascii="Calibri" w:eastAsia="Calibri" w:hAnsi="Calibri" w:cs="Calibri"/>
        </w:rPr>
        <w:t>client</w:t>
      </w:r>
      <w:r w:rsidR="00E442BF">
        <w:rPr>
          <w:rFonts w:ascii="Calibri" w:eastAsia="Calibri" w:hAnsi="Calibri" w:cs="Calibri"/>
        </w:rPr>
        <w:t>s</w:t>
      </w:r>
      <w:r w:rsidR="00696C37">
        <w:rPr>
          <w:rFonts w:ascii="Calibri" w:eastAsia="Calibri" w:hAnsi="Calibri" w:cs="Calibri"/>
        </w:rPr>
        <w:t xml:space="preserve"> will </w:t>
      </w:r>
      <w:r w:rsidR="00D04920">
        <w:rPr>
          <w:rFonts w:ascii="Calibri" w:eastAsia="Calibri" w:hAnsi="Calibri" w:cs="Calibri"/>
        </w:rPr>
        <w:t>have classification levels that MPS does</w:t>
      </w:r>
      <w:r w:rsidR="006C365C">
        <w:rPr>
          <w:rFonts w:ascii="Calibri" w:eastAsia="Calibri" w:hAnsi="Calibri" w:cs="Calibri"/>
        </w:rPr>
        <w:t xml:space="preserve"> not </w:t>
      </w:r>
      <w:r w:rsidR="00D04920">
        <w:rPr>
          <w:rFonts w:ascii="Calibri" w:eastAsia="Calibri" w:hAnsi="Calibri" w:cs="Calibri"/>
        </w:rPr>
        <w:t>have</w:t>
      </w:r>
      <w:r w:rsidR="00E442BF">
        <w:rPr>
          <w:rFonts w:ascii="Calibri" w:eastAsia="Calibri" w:hAnsi="Calibri" w:cs="Calibri"/>
        </w:rPr>
        <w:t>.</w:t>
      </w:r>
      <w:r w:rsidR="00D04920">
        <w:rPr>
          <w:rFonts w:ascii="Calibri" w:eastAsia="Calibri" w:hAnsi="Calibri" w:cs="Calibri"/>
        </w:rPr>
        <w:t xml:space="preserve"> </w:t>
      </w:r>
      <w:r w:rsidR="00E442BF">
        <w:rPr>
          <w:rFonts w:ascii="Calibri" w:eastAsia="Calibri" w:hAnsi="Calibri" w:cs="Calibri"/>
        </w:rPr>
        <w:t xml:space="preserve">You are </w:t>
      </w:r>
      <w:r w:rsidR="00F2250D">
        <w:rPr>
          <w:rFonts w:ascii="Calibri" w:eastAsia="Calibri" w:hAnsi="Calibri" w:cs="Calibri"/>
        </w:rPr>
        <w:t>required to know</w:t>
      </w:r>
      <w:r w:rsidR="00E92D37">
        <w:rPr>
          <w:rFonts w:ascii="Calibri" w:eastAsia="Calibri" w:hAnsi="Calibri" w:cs="Calibri"/>
        </w:rPr>
        <w:t xml:space="preserve"> what </w:t>
      </w:r>
      <w:r w:rsidR="00E442BF">
        <w:rPr>
          <w:rFonts w:ascii="Calibri" w:eastAsia="Calibri" w:hAnsi="Calibri" w:cs="Calibri"/>
        </w:rPr>
        <w:t xml:space="preserve">the </w:t>
      </w:r>
      <w:r w:rsidR="00E92D37">
        <w:rPr>
          <w:rFonts w:ascii="Calibri" w:eastAsia="Calibri" w:hAnsi="Calibri" w:cs="Calibri"/>
        </w:rPr>
        <w:t xml:space="preserve">classification level is before a mainstream provider </w:t>
      </w:r>
      <w:r w:rsidR="00E442BF">
        <w:rPr>
          <w:rFonts w:ascii="Calibri" w:eastAsia="Calibri" w:hAnsi="Calibri" w:cs="Calibri"/>
        </w:rPr>
        <w:t xml:space="preserve">can </w:t>
      </w:r>
      <w:r w:rsidR="00E92D37">
        <w:rPr>
          <w:rFonts w:ascii="Calibri" w:eastAsia="Calibri" w:hAnsi="Calibri" w:cs="Calibri"/>
        </w:rPr>
        <w:t xml:space="preserve">start delivering services. </w:t>
      </w:r>
    </w:p>
    <w:p w14:paraId="433BCD51" w14:textId="2C8F02ED" w:rsidR="00DD25A9" w:rsidRPr="00FF4567" w:rsidRDefault="00DD25A9" w:rsidP="00FF4567">
      <w:pPr>
        <w:pStyle w:val="ListParagraph"/>
        <w:numPr>
          <w:ilvl w:val="0"/>
          <w:numId w:val="7"/>
        </w:numPr>
        <w:ind w:left="426"/>
        <w:rPr>
          <w:b/>
          <w:bCs/>
          <w:i/>
          <w:iCs/>
        </w:rPr>
      </w:pPr>
      <w:r w:rsidRPr="000B5EC3">
        <w:rPr>
          <w:b/>
          <w:bCs/>
          <w:i/>
          <w:iCs/>
        </w:rPr>
        <w:t>Currently IAT is not required for MPS and may be required when the Act commences in July 2025. You had mentioned for services to seek IAT now for clients. Can you please clarify.</w:t>
      </w:r>
    </w:p>
    <w:p w14:paraId="684084E0" w14:textId="60B347DC" w:rsidR="00DD25A9" w:rsidRDefault="00E442BF" w:rsidP="00DD25A9">
      <w:pPr>
        <w:rPr>
          <w:rFonts w:ascii="Calibri" w:eastAsia="Calibri" w:hAnsi="Calibri" w:cs="Calibri"/>
        </w:rPr>
      </w:pPr>
      <w:r>
        <w:rPr>
          <w:rFonts w:ascii="Calibri" w:eastAsia="Calibri" w:hAnsi="Calibri" w:cs="Calibri"/>
        </w:rPr>
        <w:t>W</w:t>
      </w:r>
      <w:r w:rsidR="00DD25A9">
        <w:rPr>
          <w:rFonts w:ascii="Calibri" w:eastAsia="Calibri" w:hAnsi="Calibri" w:cs="Calibri"/>
        </w:rPr>
        <w:t xml:space="preserve">hen the new Act commences, all </w:t>
      </w:r>
      <w:r w:rsidRPr="00BF468D">
        <w:rPr>
          <w:rFonts w:ascii="Calibri" w:eastAsia="Calibri" w:hAnsi="Calibri" w:cs="Calibri"/>
          <w:u w:val="single"/>
        </w:rPr>
        <w:t>new</w:t>
      </w:r>
      <w:r>
        <w:rPr>
          <w:rFonts w:ascii="Calibri" w:eastAsia="Calibri" w:hAnsi="Calibri" w:cs="Calibri"/>
        </w:rPr>
        <w:t xml:space="preserve"> </w:t>
      </w:r>
      <w:r w:rsidR="00DD25A9">
        <w:rPr>
          <w:rFonts w:ascii="Calibri" w:eastAsia="Calibri" w:hAnsi="Calibri" w:cs="Calibri"/>
        </w:rPr>
        <w:t xml:space="preserve">MPS clients need to </w:t>
      </w:r>
      <w:r>
        <w:rPr>
          <w:rFonts w:ascii="Calibri" w:eastAsia="Calibri" w:hAnsi="Calibri" w:cs="Calibri"/>
        </w:rPr>
        <w:t>have an</w:t>
      </w:r>
      <w:r w:rsidR="00DD25A9">
        <w:rPr>
          <w:rFonts w:ascii="Calibri" w:eastAsia="Calibri" w:hAnsi="Calibri" w:cs="Calibri"/>
        </w:rPr>
        <w:t xml:space="preserve"> IAT </w:t>
      </w:r>
      <w:proofErr w:type="gramStart"/>
      <w:r w:rsidR="00DD25A9">
        <w:rPr>
          <w:rFonts w:ascii="Calibri" w:eastAsia="Calibri" w:hAnsi="Calibri" w:cs="Calibri"/>
        </w:rPr>
        <w:t>assessment</w:t>
      </w:r>
      <w:proofErr w:type="gramEnd"/>
      <w:r>
        <w:rPr>
          <w:rFonts w:ascii="Calibri" w:eastAsia="Calibri" w:hAnsi="Calibri" w:cs="Calibri"/>
        </w:rPr>
        <w:t xml:space="preserve"> but</w:t>
      </w:r>
      <w:r w:rsidR="00DD25A9">
        <w:rPr>
          <w:rFonts w:ascii="Calibri" w:eastAsia="Calibri" w:hAnsi="Calibri" w:cs="Calibri"/>
        </w:rPr>
        <w:t xml:space="preserve"> alternative entry arrangements </w:t>
      </w:r>
      <w:r>
        <w:rPr>
          <w:rFonts w:ascii="Calibri" w:eastAsia="Calibri" w:hAnsi="Calibri" w:cs="Calibri"/>
        </w:rPr>
        <w:t xml:space="preserve">will be </w:t>
      </w:r>
      <w:r w:rsidR="00DD25A9">
        <w:rPr>
          <w:rFonts w:ascii="Calibri" w:eastAsia="Calibri" w:hAnsi="Calibri" w:cs="Calibri"/>
        </w:rPr>
        <w:t>in place</w:t>
      </w:r>
      <w:r>
        <w:rPr>
          <w:rFonts w:ascii="Calibri" w:eastAsia="Calibri" w:hAnsi="Calibri" w:cs="Calibri"/>
        </w:rPr>
        <w:t xml:space="preserve"> for emergency situations</w:t>
      </w:r>
      <w:r w:rsidR="00DD25A9">
        <w:rPr>
          <w:rFonts w:ascii="Calibri" w:eastAsia="Calibri" w:hAnsi="Calibri" w:cs="Calibri"/>
        </w:rPr>
        <w:t>.</w:t>
      </w:r>
    </w:p>
    <w:p w14:paraId="582044F1" w14:textId="403937A0" w:rsidR="00DD25A9" w:rsidRDefault="00E442BF" w:rsidP="00DD25A9">
      <w:pPr>
        <w:rPr>
          <w:rFonts w:ascii="Calibri" w:eastAsia="Calibri" w:hAnsi="Calibri" w:cs="Calibri"/>
        </w:rPr>
      </w:pPr>
      <w:r>
        <w:rPr>
          <w:rFonts w:ascii="Calibri" w:eastAsia="Calibri" w:hAnsi="Calibri" w:cs="Calibri"/>
        </w:rPr>
        <w:t>Providers do have the option of</w:t>
      </w:r>
      <w:r w:rsidR="00DD25A9">
        <w:rPr>
          <w:rFonts w:ascii="Calibri" w:eastAsia="Calibri" w:hAnsi="Calibri" w:cs="Calibri"/>
        </w:rPr>
        <w:t xml:space="preserve"> </w:t>
      </w:r>
      <w:r>
        <w:rPr>
          <w:rFonts w:ascii="Calibri" w:eastAsia="Calibri" w:hAnsi="Calibri" w:cs="Calibri"/>
        </w:rPr>
        <w:t>getting</w:t>
      </w:r>
      <w:r w:rsidR="00DD25A9">
        <w:rPr>
          <w:rFonts w:ascii="Calibri" w:eastAsia="Calibri" w:hAnsi="Calibri" w:cs="Calibri"/>
        </w:rPr>
        <w:t xml:space="preserve"> IAT assessments </w:t>
      </w:r>
      <w:r>
        <w:rPr>
          <w:rFonts w:ascii="Calibri" w:eastAsia="Calibri" w:hAnsi="Calibri" w:cs="Calibri"/>
        </w:rPr>
        <w:t>on MPS</w:t>
      </w:r>
      <w:r w:rsidR="00DD25A9">
        <w:rPr>
          <w:rFonts w:ascii="Calibri" w:eastAsia="Calibri" w:hAnsi="Calibri" w:cs="Calibri"/>
        </w:rPr>
        <w:t xml:space="preserve"> clients</w:t>
      </w:r>
      <w:r>
        <w:rPr>
          <w:rFonts w:ascii="Calibri" w:eastAsia="Calibri" w:hAnsi="Calibri" w:cs="Calibri"/>
        </w:rPr>
        <w:t xml:space="preserve"> now</w:t>
      </w:r>
      <w:r w:rsidR="00DD25A9">
        <w:rPr>
          <w:rFonts w:ascii="Calibri" w:eastAsia="Calibri" w:hAnsi="Calibri" w:cs="Calibri"/>
        </w:rPr>
        <w:t>, like with ACA</w:t>
      </w:r>
      <w:r>
        <w:rPr>
          <w:rFonts w:ascii="Calibri" w:eastAsia="Calibri" w:hAnsi="Calibri" w:cs="Calibri"/>
        </w:rPr>
        <w:t>T assessments</w:t>
      </w:r>
      <w:r w:rsidR="00DD25A9">
        <w:rPr>
          <w:rFonts w:ascii="Calibri" w:eastAsia="Calibri" w:hAnsi="Calibri" w:cs="Calibri"/>
        </w:rPr>
        <w:t>.</w:t>
      </w:r>
      <w:r>
        <w:rPr>
          <w:rFonts w:ascii="Calibri" w:eastAsia="Calibri" w:hAnsi="Calibri" w:cs="Calibri"/>
        </w:rPr>
        <w:t xml:space="preserve"> This is at the MPS providers discretion and may assist with transition to the new Act.</w:t>
      </w:r>
    </w:p>
    <w:p w14:paraId="4367B17A" w14:textId="05701BD6" w:rsidR="00323401" w:rsidRDefault="00833E92" w:rsidP="00FF4567">
      <w:pPr>
        <w:rPr>
          <w:rFonts w:ascii="Calibri" w:eastAsia="Calibri" w:hAnsi="Calibri" w:cs="Calibri"/>
        </w:rPr>
      </w:pPr>
      <w:r>
        <w:rPr>
          <w:rFonts w:ascii="Calibri" w:eastAsia="Calibri" w:hAnsi="Calibri" w:cs="Calibri"/>
        </w:rPr>
        <w:t xml:space="preserve">In the Transitional arrangements there is a provision in development, </w:t>
      </w:r>
      <w:r w:rsidR="00DD25A9">
        <w:rPr>
          <w:rFonts w:ascii="Calibri" w:eastAsia="Calibri" w:hAnsi="Calibri" w:cs="Calibri"/>
        </w:rPr>
        <w:t>eliminat</w:t>
      </w:r>
      <w:r w:rsidR="00E442BF">
        <w:rPr>
          <w:rFonts w:ascii="Calibri" w:eastAsia="Calibri" w:hAnsi="Calibri" w:cs="Calibri"/>
        </w:rPr>
        <w:t>ing</w:t>
      </w:r>
      <w:r w:rsidR="00DD25A9">
        <w:rPr>
          <w:rFonts w:ascii="Calibri" w:eastAsia="Calibri" w:hAnsi="Calibri" w:cs="Calibri"/>
        </w:rPr>
        <w:t xml:space="preserve"> the need for retrospective assessments in an MPS. </w:t>
      </w:r>
    </w:p>
    <w:p w14:paraId="1CC7DD7D" w14:textId="2AB7721E" w:rsidR="00703023" w:rsidRPr="00323401" w:rsidRDefault="00E442BF" w:rsidP="00323401">
      <w:pPr>
        <w:shd w:val="clear" w:color="auto" w:fill="D9E2F3" w:themeFill="accent1" w:themeFillTint="33"/>
        <w:spacing w:before="0" w:after="160" w:line="259" w:lineRule="auto"/>
        <w:rPr>
          <w:b/>
          <w:bCs/>
          <w:sz w:val="28"/>
          <w:szCs w:val="28"/>
        </w:rPr>
      </w:pPr>
      <w:r>
        <w:rPr>
          <w:b/>
          <w:bCs/>
          <w:sz w:val="28"/>
          <w:szCs w:val="28"/>
        </w:rPr>
        <w:t>24/7 RN in MPS</w:t>
      </w:r>
    </w:p>
    <w:p w14:paraId="6C359726" w14:textId="3B1DD9ED" w:rsidR="00F6428F" w:rsidRPr="000B5EC3" w:rsidRDefault="00205613" w:rsidP="00BF468D">
      <w:pPr>
        <w:pStyle w:val="ListParagraph"/>
        <w:numPr>
          <w:ilvl w:val="0"/>
          <w:numId w:val="7"/>
        </w:numPr>
        <w:ind w:left="426"/>
        <w:rPr>
          <w:b/>
          <w:bCs/>
          <w:i/>
          <w:iCs/>
        </w:rPr>
      </w:pPr>
      <w:r w:rsidRPr="000B5EC3">
        <w:rPr>
          <w:b/>
          <w:bCs/>
          <w:i/>
          <w:iCs/>
        </w:rPr>
        <w:t xml:space="preserve">Will 24/7 </w:t>
      </w:r>
      <w:r w:rsidR="00F47A14" w:rsidRPr="000B5EC3">
        <w:rPr>
          <w:b/>
          <w:bCs/>
          <w:i/>
          <w:iCs/>
        </w:rPr>
        <w:t>reporting look the same or different in the new world after the Act?</w:t>
      </w:r>
    </w:p>
    <w:p w14:paraId="2C05D9FD" w14:textId="38E89D23" w:rsidR="00703023" w:rsidRPr="00D33323" w:rsidRDefault="003F6EB5" w:rsidP="00FF4567">
      <w:pPr>
        <w:rPr>
          <w:rFonts w:ascii="Calibri" w:eastAsia="Calibri" w:hAnsi="Calibri" w:cs="Calibri"/>
        </w:rPr>
      </w:pPr>
      <w:r>
        <w:rPr>
          <w:rFonts w:ascii="Calibri" w:eastAsia="Calibri" w:hAnsi="Calibri" w:cs="Calibri"/>
        </w:rPr>
        <w:t>24/7 RN reporting requirement</w:t>
      </w:r>
      <w:r w:rsidR="00E442BF">
        <w:rPr>
          <w:rFonts w:ascii="Calibri" w:eastAsia="Calibri" w:hAnsi="Calibri" w:cs="Calibri"/>
        </w:rPr>
        <w:t>s</w:t>
      </w:r>
      <w:r>
        <w:rPr>
          <w:rFonts w:ascii="Calibri" w:eastAsia="Calibri" w:hAnsi="Calibri" w:cs="Calibri"/>
        </w:rPr>
        <w:t xml:space="preserve"> will not change when the new Act comes </w:t>
      </w:r>
      <w:r w:rsidR="00E442BF">
        <w:rPr>
          <w:rFonts w:ascii="Calibri" w:eastAsia="Calibri" w:hAnsi="Calibri" w:cs="Calibri"/>
        </w:rPr>
        <w:t>in, s</w:t>
      </w:r>
      <w:r>
        <w:rPr>
          <w:rFonts w:ascii="Calibri" w:eastAsia="Calibri" w:hAnsi="Calibri" w:cs="Calibri"/>
        </w:rPr>
        <w:t>o therefore, reporting for MPS also will not change.</w:t>
      </w:r>
      <w:r w:rsidR="0094604C">
        <w:rPr>
          <w:rFonts w:ascii="Calibri" w:eastAsia="Calibri" w:hAnsi="Calibri" w:cs="Calibri"/>
        </w:rPr>
        <w:t xml:space="preserve"> </w:t>
      </w:r>
    </w:p>
    <w:p w14:paraId="70F3978A" w14:textId="130FA384" w:rsidR="00DB6F9A" w:rsidRPr="00477A69" w:rsidRDefault="008F5254" w:rsidP="00BF468D">
      <w:pPr>
        <w:pStyle w:val="ListParagraph"/>
        <w:numPr>
          <w:ilvl w:val="0"/>
          <w:numId w:val="7"/>
        </w:numPr>
        <w:ind w:left="426"/>
        <w:rPr>
          <w:b/>
          <w:bCs/>
          <w:i/>
          <w:iCs/>
        </w:rPr>
      </w:pPr>
      <w:r w:rsidRPr="000B5EC3">
        <w:rPr>
          <w:b/>
          <w:bCs/>
          <w:i/>
          <w:iCs/>
        </w:rPr>
        <w:t xml:space="preserve">Is there a minimum bed requirement for a site to be exempt from the </w:t>
      </w:r>
      <w:r w:rsidR="00DB6F9A" w:rsidRPr="000B5EC3">
        <w:rPr>
          <w:b/>
          <w:bCs/>
          <w:i/>
          <w:iCs/>
        </w:rPr>
        <w:t>reporting for 24/7 RN in an MPS?</w:t>
      </w:r>
    </w:p>
    <w:p w14:paraId="4B755D00" w14:textId="4EE10AA0" w:rsidR="00AE11C1" w:rsidRPr="00CF3DB0" w:rsidRDefault="00EE6C68" w:rsidP="00FF4567">
      <w:pPr>
        <w:rPr>
          <w:rFonts w:ascii="Calibri" w:eastAsia="Calibri" w:hAnsi="Calibri" w:cs="Calibri"/>
        </w:rPr>
      </w:pPr>
      <w:r w:rsidRPr="00EE6C68">
        <w:rPr>
          <w:rFonts w:ascii="Calibri" w:eastAsia="Calibri" w:hAnsi="Calibri" w:cs="Calibri"/>
        </w:rPr>
        <w:t>In mainstream</w:t>
      </w:r>
      <w:r w:rsidR="00E442BF">
        <w:rPr>
          <w:rFonts w:ascii="Calibri" w:eastAsia="Calibri" w:hAnsi="Calibri" w:cs="Calibri"/>
        </w:rPr>
        <w:t xml:space="preserve"> residential aged care</w:t>
      </w:r>
      <w:r w:rsidR="00AB7E9C">
        <w:rPr>
          <w:rFonts w:ascii="Calibri" w:eastAsia="Calibri" w:hAnsi="Calibri" w:cs="Calibri"/>
        </w:rPr>
        <w:t>,</w:t>
      </w:r>
      <w:r w:rsidRPr="00EE6C68">
        <w:rPr>
          <w:rFonts w:ascii="Calibri" w:eastAsia="Calibri" w:hAnsi="Calibri" w:cs="Calibri"/>
        </w:rPr>
        <w:t xml:space="preserve"> sites can apply for an exemption if they are in MM 5-7</w:t>
      </w:r>
      <w:r>
        <w:rPr>
          <w:rFonts w:ascii="Calibri" w:eastAsia="Calibri" w:hAnsi="Calibri" w:cs="Calibri"/>
        </w:rPr>
        <w:t xml:space="preserve"> </w:t>
      </w:r>
      <w:r w:rsidR="004D0768">
        <w:rPr>
          <w:rFonts w:ascii="Calibri" w:eastAsia="Calibri" w:hAnsi="Calibri" w:cs="Calibri"/>
        </w:rPr>
        <w:t>and have 30 or less beds</w:t>
      </w:r>
      <w:r w:rsidR="00E442BF">
        <w:rPr>
          <w:rFonts w:ascii="Calibri" w:eastAsia="Calibri" w:hAnsi="Calibri" w:cs="Calibri"/>
        </w:rPr>
        <w:t>. It</w:t>
      </w:r>
      <w:r w:rsidR="004D0768">
        <w:rPr>
          <w:rFonts w:ascii="Calibri" w:eastAsia="Calibri" w:hAnsi="Calibri" w:cs="Calibri"/>
        </w:rPr>
        <w:t xml:space="preserve"> is something th</w:t>
      </w:r>
      <w:r w:rsidR="00E442BF">
        <w:rPr>
          <w:rFonts w:ascii="Calibri" w:eastAsia="Calibri" w:hAnsi="Calibri" w:cs="Calibri"/>
        </w:rPr>
        <w:t>e D</w:t>
      </w:r>
      <w:r w:rsidR="00D475AA">
        <w:rPr>
          <w:rFonts w:ascii="Calibri" w:eastAsia="Calibri" w:hAnsi="Calibri" w:cs="Calibri"/>
        </w:rPr>
        <w:t>epartment will explore</w:t>
      </w:r>
      <w:r w:rsidR="006923AD">
        <w:rPr>
          <w:rFonts w:ascii="Calibri" w:eastAsia="Calibri" w:hAnsi="Calibri" w:cs="Calibri"/>
        </w:rPr>
        <w:t xml:space="preserve"> in </w:t>
      </w:r>
      <w:r w:rsidR="00E442BF">
        <w:rPr>
          <w:rFonts w:ascii="Calibri" w:eastAsia="Calibri" w:hAnsi="Calibri" w:cs="Calibri"/>
        </w:rPr>
        <w:t>P</w:t>
      </w:r>
      <w:r w:rsidR="006923AD">
        <w:rPr>
          <w:rFonts w:ascii="Calibri" w:eastAsia="Calibri" w:hAnsi="Calibri" w:cs="Calibri"/>
        </w:rPr>
        <w:t>hase 2 of the trial to see</w:t>
      </w:r>
      <w:r w:rsidR="00E442BF">
        <w:rPr>
          <w:rFonts w:ascii="Calibri" w:eastAsia="Calibri" w:hAnsi="Calibri" w:cs="Calibri"/>
        </w:rPr>
        <w:t xml:space="preserve"> if current exemptions are fit for purpose for</w:t>
      </w:r>
      <w:r w:rsidR="006923AD">
        <w:rPr>
          <w:rFonts w:ascii="Calibri" w:eastAsia="Calibri" w:hAnsi="Calibri" w:cs="Calibri"/>
        </w:rPr>
        <w:t xml:space="preserve"> MPS. </w:t>
      </w:r>
    </w:p>
    <w:p w14:paraId="36AA3A66" w14:textId="299D5CF8" w:rsidR="00063911" w:rsidRPr="00BE280E" w:rsidRDefault="00063911" w:rsidP="00BE280E">
      <w:r>
        <w:rPr>
          <w:rFonts w:ascii="Calibri" w:eastAsia="Calibri" w:hAnsi="Calibri" w:cs="Calibri"/>
          <w:lang w:val="en-US"/>
        </w:rPr>
        <w:br w:type="page"/>
      </w:r>
    </w:p>
    <w:p w14:paraId="750FE0DF" w14:textId="2A617DD5" w:rsidR="00063911" w:rsidRPr="00FF4567" w:rsidRDefault="00063911" w:rsidP="00FF4567">
      <w:pPr>
        <w:pStyle w:val="Heading1"/>
        <w:rPr>
          <w:lang w:val="en-US"/>
        </w:rPr>
      </w:pPr>
      <w:bookmarkStart w:id="11" w:name="_Toc171420892"/>
      <w:bookmarkStart w:id="12" w:name="_Toc182984339"/>
      <w:bookmarkStart w:id="13" w:name="_Toc184290742"/>
      <w:r w:rsidRPr="000B3910">
        <w:rPr>
          <w:lang w:val="en-US"/>
        </w:rPr>
        <w:lastRenderedPageBreak/>
        <w:t>Document History</w:t>
      </w:r>
      <w:bookmarkEnd w:id="11"/>
      <w:bookmarkEnd w:id="12"/>
      <w:bookmarkEnd w:id="13"/>
    </w:p>
    <w:tbl>
      <w:tblPr>
        <w:tblStyle w:val="TableGrid"/>
        <w:tblW w:w="0" w:type="auto"/>
        <w:tblLook w:val="04A0" w:firstRow="1" w:lastRow="0" w:firstColumn="1" w:lastColumn="0" w:noHBand="0" w:noVBand="1"/>
      </w:tblPr>
      <w:tblGrid>
        <w:gridCol w:w="1555"/>
        <w:gridCol w:w="1701"/>
        <w:gridCol w:w="1984"/>
        <w:gridCol w:w="3776"/>
      </w:tblGrid>
      <w:tr w:rsidR="00063911" w:rsidRPr="001D7FEB" w14:paraId="486F7F9F" w14:textId="77777777" w:rsidTr="00FF4567">
        <w:trPr>
          <w:tblHeader/>
        </w:trPr>
        <w:tc>
          <w:tcPr>
            <w:tcW w:w="1555" w:type="dxa"/>
            <w:shd w:val="clear" w:color="auto" w:fill="DEEAF6" w:themeFill="accent5" w:themeFillTint="33"/>
          </w:tcPr>
          <w:p w14:paraId="7D32CF42" w14:textId="77777777" w:rsidR="00063911" w:rsidRPr="001D7FEB" w:rsidRDefault="00063911" w:rsidP="00AE398C">
            <w:bookmarkStart w:id="14" w:name="_Hlk80952779"/>
            <w:r w:rsidRPr="001D7FEB">
              <w:t>Version</w:t>
            </w:r>
          </w:p>
        </w:tc>
        <w:tc>
          <w:tcPr>
            <w:tcW w:w="1701" w:type="dxa"/>
            <w:shd w:val="clear" w:color="auto" w:fill="DEEAF6" w:themeFill="accent5" w:themeFillTint="33"/>
          </w:tcPr>
          <w:p w14:paraId="214607BF" w14:textId="77777777" w:rsidR="00063911" w:rsidRPr="001D7FEB" w:rsidRDefault="00063911" w:rsidP="00AE398C">
            <w:r w:rsidRPr="001D7FEB">
              <w:t>Date</w:t>
            </w:r>
          </w:p>
        </w:tc>
        <w:tc>
          <w:tcPr>
            <w:tcW w:w="1984" w:type="dxa"/>
            <w:shd w:val="clear" w:color="auto" w:fill="DEEAF6" w:themeFill="accent5" w:themeFillTint="33"/>
          </w:tcPr>
          <w:p w14:paraId="16A3EC1A" w14:textId="77777777" w:rsidR="00063911" w:rsidRPr="001D7FEB" w:rsidRDefault="00063911" w:rsidP="00AE398C">
            <w:r w:rsidRPr="001D7FEB">
              <w:t>Q&amp;As added</w:t>
            </w:r>
          </w:p>
        </w:tc>
        <w:tc>
          <w:tcPr>
            <w:tcW w:w="3776" w:type="dxa"/>
            <w:shd w:val="clear" w:color="auto" w:fill="DEEAF6" w:themeFill="accent5" w:themeFillTint="33"/>
          </w:tcPr>
          <w:p w14:paraId="29A56063" w14:textId="77777777" w:rsidR="00063911" w:rsidRPr="00FD7163" w:rsidRDefault="00063911" w:rsidP="00AE398C">
            <w:pPr>
              <w:rPr>
                <w:highlight w:val="yellow"/>
              </w:rPr>
            </w:pPr>
            <w:r w:rsidRPr="009221CA">
              <w:t>Q&amp;A edited</w:t>
            </w:r>
          </w:p>
        </w:tc>
      </w:tr>
      <w:tr w:rsidR="00063911" w:rsidRPr="001D7FEB" w14:paraId="3E4154D1" w14:textId="77777777" w:rsidTr="00BE280E">
        <w:tc>
          <w:tcPr>
            <w:tcW w:w="1555" w:type="dxa"/>
          </w:tcPr>
          <w:p w14:paraId="787FBF70" w14:textId="39A82524" w:rsidR="00063911" w:rsidRPr="001D7FEB" w:rsidRDefault="00833E92" w:rsidP="00AE398C">
            <w:r>
              <w:t>0.1</w:t>
            </w:r>
          </w:p>
        </w:tc>
        <w:tc>
          <w:tcPr>
            <w:tcW w:w="1701" w:type="dxa"/>
          </w:tcPr>
          <w:p w14:paraId="57E0333B" w14:textId="4E3D0CE5" w:rsidR="00063911" w:rsidRPr="001D7FEB" w:rsidRDefault="00A557A4" w:rsidP="00AE398C">
            <w:r>
              <w:t>November 2024</w:t>
            </w:r>
          </w:p>
        </w:tc>
        <w:tc>
          <w:tcPr>
            <w:tcW w:w="1984" w:type="dxa"/>
          </w:tcPr>
          <w:p w14:paraId="4F1A4EE6" w14:textId="77777777" w:rsidR="00063911" w:rsidRPr="001D7FEB" w:rsidRDefault="00063911" w:rsidP="00AE398C">
            <w:r w:rsidRPr="001D7FEB">
              <w:t>All</w:t>
            </w:r>
          </w:p>
        </w:tc>
        <w:tc>
          <w:tcPr>
            <w:tcW w:w="3776" w:type="dxa"/>
          </w:tcPr>
          <w:p w14:paraId="3F51C00C" w14:textId="5647A8FA" w:rsidR="00063911" w:rsidRPr="001D7FEB" w:rsidRDefault="00BE280E" w:rsidP="00AE398C">
            <w:r>
              <w:t>Pending</w:t>
            </w:r>
          </w:p>
        </w:tc>
      </w:tr>
    </w:tbl>
    <w:p w14:paraId="4EDE7B48" w14:textId="77777777" w:rsidR="00063911" w:rsidRPr="007A3A24" w:rsidRDefault="00063911" w:rsidP="00063911">
      <w:pPr>
        <w:pStyle w:val="Heading1"/>
        <w:rPr>
          <w:lang w:val="en-US"/>
        </w:rPr>
      </w:pPr>
      <w:bookmarkStart w:id="15" w:name="_Toc171420893"/>
      <w:bookmarkStart w:id="16" w:name="_Toc182984340"/>
      <w:bookmarkStart w:id="17" w:name="_Toc184290743"/>
      <w:bookmarkEnd w:id="14"/>
      <w:r w:rsidRPr="00323DA2">
        <w:rPr>
          <w:lang w:val="en-US"/>
        </w:rPr>
        <w:t>Acronym/ Abbreviation</w:t>
      </w:r>
      <w:bookmarkEnd w:id="15"/>
      <w:bookmarkEnd w:id="16"/>
      <w:bookmarkEnd w:id="17"/>
    </w:p>
    <w:tbl>
      <w:tblPr>
        <w:tblStyle w:val="TableGrid"/>
        <w:tblW w:w="9067" w:type="dxa"/>
        <w:tblLook w:val="04A0" w:firstRow="1" w:lastRow="0" w:firstColumn="1" w:lastColumn="0" w:noHBand="0" w:noVBand="1"/>
      </w:tblPr>
      <w:tblGrid>
        <w:gridCol w:w="1696"/>
        <w:gridCol w:w="7371"/>
      </w:tblGrid>
      <w:tr w:rsidR="00063911" w:rsidRPr="001D7FEB" w14:paraId="183C9F99" w14:textId="77777777" w:rsidTr="00FF4567">
        <w:trPr>
          <w:tblHeader/>
        </w:trPr>
        <w:tc>
          <w:tcPr>
            <w:tcW w:w="1696" w:type="dxa"/>
            <w:shd w:val="clear" w:color="auto" w:fill="DEEAF6" w:themeFill="accent5" w:themeFillTint="33"/>
          </w:tcPr>
          <w:p w14:paraId="69F6F599" w14:textId="23DB4BC5" w:rsidR="00063911" w:rsidRPr="001D7FEB" w:rsidRDefault="00063911" w:rsidP="00FF4567">
            <w:r w:rsidRPr="001D7FEB">
              <w:t>Acronym</w:t>
            </w:r>
            <w:r w:rsidR="00FF4567">
              <w:t xml:space="preserve"> </w:t>
            </w:r>
            <w:r w:rsidRPr="001D7FEB">
              <w:t xml:space="preserve">/ Abbreviation </w:t>
            </w:r>
          </w:p>
        </w:tc>
        <w:tc>
          <w:tcPr>
            <w:tcW w:w="7371" w:type="dxa"/>
            <w:shd w:val="clear" w:color="auto" w:fill="DEEAF6" w:themeFill="accent5" w:themeFillTint="33"/>
          </w:tcPr>
          <w:p w14:paraId="4238CDD1" w14:textId="77777777" w:rsidR="00063911" w:rsidRPr="001D7FEB" w:rsidRDefault="00063911" w:rsidP="00AE398C">
            <w:r w:rsidRPr="001D7FEB">
              <w:t xml:space="preserve">Definition </w:t>
            </w:r>
          </w:p>
        </w:tc>
      </w:tr>
      <w:tr w:rsidR="00063911" w:rsidRPr="001D7FEB" w14:paraId="4A0FF570" w14:textId="77777777" w:rsidTr="00AE398C">
        <w:tc>
          <w:tcPr>
            <w:tcW w:w="1696" w:type="dxa"/>
          </w:tcPr>
          <w:p w14:paraId="68C36DCC" w14:textId="77777777" w:rsidR="00063911" w:rsidRPr="001D7FEB" w:rsidRDefault="00063911" w:rsidP="00AE398C">
            <w:r w:rsidRPr="001D7FEB">
              <w:t>MPS</w:t>
            </w:r>
          </w:p>
        </w:tc>
        <w:tc>
          <w:tcPr>
            <w:tcW w:w="7371" w:type="dxa"/>
          </w:tcPr>
          <w:p w14:paraId="2C58144F" w14:textId="77777777" w:rsidR="00063911" w:rsidRPr="001D7FEB" w:rsidRDefault="00063911" w:rsidP="00AE398C">
            <w:r w:rsidRPr="001D7FEB">
              <w:t>Multi-Purpose Service</w:t>
            </w:r>
          </w:p>
        </w:tc>
      </w:tr>
      <w:tr w:rsidR="00063911" w:rsidRPr="001D7FEB" w14:paraId="6CDA94BA" w14:textId="77777777" w:rsidTr="00AE398C">
        <w:tc>
          <w:tcPr>
            <w:tcW w:w="1696" w:type="dxa"/>
          </w:tcPr>
          <w:p w14:paraId="6147A240" w14:textId="77777777" w:rsidR="00063911" w:rsidRPr="001D7FEB" w:rsidRDefault="00063911" w:rsidP="00AE398C">
            <w:r w:rsidRPr="001D7FEB">
              <w:t>Act</w:t>
            </w:r>
          </w:p>
        </w:tc>
        <w:tc>
          <w:tcPr>
            <w:tcW w:w="7371" w:type="dxa"/>
          </w:tcPr>
          <w:p w14:paraId="142865EB" w14:textId="77777777" w:rsidR="00063911" w:rsidRPr="001D7FEB" w:rsidRDefault="00063911" w:rsidP="00AE398C">
            <w:r w:rsidRPr="001D7FEB">
              <w:t>The new Aged Care Act</w:t>
            </w:r>
          </w:p>
        </w:tc>
      </w:tr>
      <w:tr w:rsidR="00063911" w:rsidRPr="001D7FEB" w14:paraId="26BFEB73" w14:textId="77777777" w:rsidTr="00AE398C">
        <w:tc>
          <w:tcPr>
            <w:tcW w:w="1696" w:type="dxa"/>
          </w:tcPr>
          <w:p w14:paraId="188891CB" w14:textId="76F448A5" w:rsidR="00063911" w:rsidRPr="001D7FEB" w:rsidRDefault="00F727A2" w:rsidP="00AE398C">
            <w:r>
              <w:t>Department</w:t>
            </w:r>
          </w:p>
        </w:tc>
        <w:tc>
          <w:tcPr>
            <w:tcW w:w="7371" w:type="dxa"/>
          </w:tcPr>
          <w:p w14:paraId="4A4DD3B7" w14:textId="77777777" w:rsidR="00063911" w:rsidRPr="001D7FEB" w:rsidRDefault="00063911" w:rsidP="00AE398C">
            <w:r w:rsidRPr="001D7FEB">
              <w:t>The Department of Health and Aged Care</w:t>
            </w:r>
          </w:p>
        </w:tc>
      </w:tr>
      <w:tr w:rsidR="0073099F" w:rsidRPr="001D7FEB" w14:paraId="46AA20AE" w14:textId="77777777" w:rsidTr="00AE398C">
        <w:tc>
          <w:tcPr>
            <w:tcW w:w="1696" w:type="dxa"/>
          </w:tcPr>
          <w:p w14:paraId="6658DC25" w14:textId="7950ECCA" w:rsidR="0073099F" w:rsidRDefault="0073099F" w:rsidP="00AE398C">
            <w:r>
              <w:t>ACA</w:t>
            </w:r>
            <w:r w:rsidR="00E442BF">
              <w:t>T</w:t>
            </w:r>
          </w:p>
        </w:tc>
        <w:tc>
          <w:tcPr>
            <w:tcW w:w="7371" w:type="dxa"/>
          </w:tcPr>
          <w:p w14:paraId="7A0255FF" w14:textId="3098F659" w:rsidR="0073099F" w:rsidRPr="001D7FEB" w:rsidRDefault="0073099F" w:rsidP="00AE398C">
            <w:r>
              <w:t xml:space="preserve">Aged Care Assessment </w:t>
            </w:r>
            <w:r w:rsidR="00E442BF">
              <w:t>Team</w:t>
            </w:r>
          </w:p>
        </w:tc>
      </w:tr>
      <w:tr w:rsidR="0073099F" w:rsidRPr="001D7FEB" w14:paraId="631B6602" w14:textId="77777777" w:rsidTr="00AE398C">
        <w:tc>
          <w:tcPr>
            <w:tcW w:w="1696" w:type="dxa"/>
          </w:tcPr>
          <w:p w14:paraId="590C4AD8" w14:textId="0973DAFD" w:rsidR="0073099F" w:rsidRDefault="0073099F" w:rsidP="00AE398C">
            <w:r>
              <w:t>IAT</w:t>
            </w:r>
          </w:p>
        </w:tc>
        <w:tc>
          <w:tcPr>
            <w:tcW w:w="7371" w:type="dxa"/>
          </w:tcPr>
          <w:p w14:paraId="47A01390" w14:textId="772F7CA3" w:rsidR="0073099F" w:rsidRDefault="002110CE" w:rsidP="00AE398C">
            <w:r>
              <w:t>Integrated Assessment To</w:t>
            </w:r>
            <w:r w:rsidR="00E442BF">
              <w:t>ol (Single Assessment System)</w:t>
            </w:r>
          </w:p>
        </w:tc>
      </w:tr>
      <w:tr w:rsidR="00A43F0A" w:rsidRPr="001D7FEB" w14:paraId="5B5C5A2F" w14:textId="77777777" w:rsidTr="00AE398C">
        <w:tc>
          <w:tcPr>
            <w:tcW w:w="1696" w:type="dxa"/>
          </w:tcPr>
          <w:p w14:paraId="75DE9A63" w14:textId="758C9CCC" w:rsidR="00A43F0A" w:rsidRDefault="00A43F0A" w:rsidP="00AE398C">
            <w:r>
              <w:t>RN</w:t>
            </w:r>
          </w:p>
        </w:tc>
        <w:tc>
          <w:tcPr>
            <w:tcW w:w="7371" w:type="dxa"/>
          </w:tcPr>
          <w:p w14:paraId="77D5AD0A" w14:textId="6B6EE8C3" w:rsidR="00A43F0A" w:rsidRDefault="00A43F0A" w:rsidP="00AE398C">
            <w:r>
              <w:t>Registered Nurse</w:t>
            </w:r>
          </w:p>
        </w:tc>
      </w:tr>
      <w:tr w:rsidR="00A43F0A" w:rsidRPr="001D7FEB" w14:paraId="7E961074" w14:textId="77777777" w:rsidTr="00AE398C">
        <w:tc>
          <w:tcPr>
            <w:tcW w:w="1696" w:type="dxa"/>
          </w:tcPr>
          <w:p w14:paraId="7B2D7DF8" w14:textId="5ED599A3" w:rsidR="00A43F0A" w:rsidRDefault="00A43F0A" w:rsidP="00AE398C">
            <w:r>
              <w:t>HCP</w:t>
            </w:r>
          </w:p>
        </w:tc>
        <w:tc>
          <w:tcPr>
            <w:tcW w:w="7371" w:type="dxa"/>
          </w:tcPr>
          <w:p w14:paraId="1B469A31" w14:textId="3E0729C6" w:rsidR="00A43F0A" w:rsidRDefault="00E26053" w:rsidP="00AE398C">
            <w:r>
              <w:t>Home Care Package</w:t>
            </w:r>
          </w:p>
        </w:tc>
      </w:tr>
      <w:tr w:rsidR="00286A35" w:rsidRPr="001D7FEB" w14:paraId="199D6BAE" w14:textId="77777777" w:rsidTr="00AE398C">
        <w:tc>
          <w:tcPr>
            <w:tcW w:w="1696" w:type="dxa"/>
          </w:tcPr>
          <w:p w14:paraId="0560108F" w14:textId="73CD5DEA" w:rsidR="00286A35" w:rsidRDefault="00286A35" w:rsidP="00AE398C">
            <w:r>
              <w:t>MM</w:t>
            </w:r>
          </w:p>
        </w:tc>
        <w:tc>
          <w:tcPr>
            <w:tcW w:w="7371" w:type="dxa"/>
          </w:tcPr>
          <w:p w14:paraId="5167E3DD" w14:textId="7BAA5B73" w:rsidR="00286A35" w:rsidRDefault="00286A35" w:rsidP="00AE398C">
            <w:r>
              <w:t xml:space="preserve">Monash Modified </w:t>
            </w:r>
            <w:r w:rsidR="00E442BF">
              <w:t>(</w:t>
            </w:r>
            <w:r>
              <w:t>Model</w:t>
            </w:r>
            <w:r w:rsidR="00E442BF">
              <w:t>)</w:t>
            </w:r>
            <w:r>
              <w:t xml:space="preserve"> </w:t>
            </w:r>
          </w:p>
        </w:tc>
      </w:tr>
    </w:tbl>
    <w:p w14:paraId="40A74403" w14:textId="77777777" w:rsidR="009B181E" w:rsidRPr="00FF4567" w:rsidRDefault="009B181E" w:rsidP="00FF4567">
      <w:pPr>
        <w:rPr>
          <w:rFonts w:ascii="Calibri" w:eastAsia="Calibri" w:hAnsi="Calibri" w:cs="Calibri"/>
          <w:lang w:val="en-US"/>
        </w:rPr>
      </w:pPr>
    </w:p>
    <w:sectPr w:rsidR="009B181E" w:rsidRPr="00FF45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2AD2" w14:textId="77777777" w:rsidR="00D805DF" w:rsidRDefault="00D805DF" w:rsidP="00D14C9B">
      <w:pPr>
        <w:spacing w:before="0" w:after="0"/>
      </w:pPr>
      <w:r>
        <w:separator/>
      </w:r>
    </w:p>
  </w:endnote>
  <w:endnote w:type="continuationSeparator" w:id="0">
    <w:p w14:paraId="32047F71" w14:textId="77777777" w:rsidR="00D805DF" w:rsidRDefault="00D805DF" w:rsidP="00D14C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815477"/>
      <w:docPartObj>
        <w:docPartGallery w:val="Page Numbers (Bottom of Page)"/>
        <w:docPartUnique/>
      </w:docPartObj>
    </w:sdtPr>
    <w:sdtContent>
      <w:sdt>
        <w:sdtPr>
          <w:id w:val="-1769616900"/>
          <w:docPartObj>
            <w:docPartGallery w:val="Page Numbers (Top of Page)"/>
            <w:docPartUnique/>
          </w:docPartObj>
        </w:sdtPr>
        <w:sdtContent>
          <w:p w14:paraId="494C7547" w14:textId="2DDF6A17" w:rsidR="00D14C9B" w:rsidRDefault="00D14C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E85146" w14:textId="77777777" w:rsidR="00D14C9B" w:rsidRDefault="00D1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36A7" w14:textId="77777777" w:rsidR="00D805DF" w:rsidRDefault="00D805DF" w:rsidP="00D14C9B">
      <w:pPr>
        <w:spacing w:before="0" w:after="0"/>
      </w:pPr>
      <w:r>
        <w:separator/>
      </w:r>
    </w:p>
  </w:footnote>
  <w:footnote w:type="continuationSeparator" w:id="0">
    <w:p w14:paraId="3B50409C" w14:textId="77777777" w:rsidR="00D805DF" w:rsidRDefault="00D805DF" w:rsidP="00D14C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EFE"/>
    <w:multiLevelType w:val="hybridMultilevel"/>
    <w:tmpl w:val="56C8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C101A"/>
    <w:multiLevelType w:val="hybridMultilevel"/>
    <w:tmpl w:val="56C8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66742"/>
    <w:multiLevelType w:val="hybridMultilevel"/>
    <w:tmpl w:val="17D2201E"/>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5107FF"/>
    <w:multiLevelType w:val="hybridMultilevel"/>
    <w:tmpl w:val="61E06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F14FD2"/>
    <w:multiLevelType w:val="hybridMultilevel"/>
    <w:tmpl w:val="9086C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E97DA5"/>
    <w:multiLevelType w:val="hybridMultilevel"/>
    <w:tmpl w:val="757C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F70BD9"/>
    <w:multiLevelType w:val="hybridMultilevel"/>
    <w:tmpl w:val="E916A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0553AC"/>
    <w:multiLevelType w:val="hybridMultilevel"/>
    <w:tmpl w:val="7F708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7A0217"/>
    <w:multiLevelType w:val="hybridMultilevel"/>
    <w:tmpl w:val="A106F21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6F9877DA"/>
    <w:multiLevelType w:val="hybridMultilevel"/>
    <w:tmpl w:val="B61CE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3E2E6A"/>
    <w:multiLevelType w:val="hybridMultilevel"/>
    <w:tmpl w:val="CF4C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134466"/>
    <w:multiLevelType w:val="multilevel"/>
    <w:tmpl w:val="833042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F64062A"/>
    <w:multiLevelType w:val="hybridMultilevel"/>
    <w:tmpl w:val="E916A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5644725">
    <w:abstractNumId w:val="10"/>
  </w:num>
  <w:num w:numId="2" w16cid:durableId="1107385013">
    <w:abstractNumId w:val="3"/>
  </w:num>
  <w:num w:numId="3" w16cid:durableId="2096589524">
    <w:abstractNumId w:val="4"/>
  </w:num>
  <w:num w:numId="4" w16cid:durableId="1115710376">
    <w:abstractNumId w:val="9"/>
  </w:num>
  <w:num w:numId="5" w16cid:durableId="1099063495">
    <w:abstractNumId w:val="7"/>
  </w:num>
  <w:num w:numId="6" w16cid:durableId="1516336484">
    <w:abstractNumId w:val="11"/>
  </w:num>
  <w:num w:numId="7" w16cid:durableId="1987466147">
    <w:abstractNumId w:val="5"/>
  </w:num>
  <w:num w:numId="8" w16cid:durableId="1457869068">
    <w:abstractNumId w:val="1"/>
  </w:num>
  <w:num w:numId="9" w16cid:durableId="227808905">
    <w:abstractNumId w:val="0"/>
  </w:num>
  <w:num w:numId="10" w16cid:durableId="1930694573">
    <w:abstractNumId w:val="8"/>
  </w:num>
  <w:num w:numId="11" w16cid:durableId="488252331">
    <w:abstractNumId w:val="12"/>
  </w:num>
  <w:num w:numId="12" w16cid:durableId="1793359183">
    <w:abstractNumId w:val="2"/>
  </w:num>
  <w:num w:numId="13" w16cid:durableId="103377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01"/>
    <w:rsid w:val="000000DB"/>
    <w:rsid w:val="000032F2"/>
    <w:rsid w:val="00006334"/>
    <w:rsid w:val="00006CCD"/>
    <w:rsid w:val="0001382F"/>
    <w:rsid w:val="00022B0E"/>
    <w:rsid w:val="00026CE2"/>
    <w:rsid w:val="00027016"/>
    <w:rsid w:val="00033C21"/>
    <w:rsid w:val="00043F07"/>
    <w:rsid w:val="0004405E"/>
    <w:rsid w:val="00044245"/>
    <w:rsid w:val="000470DB"/>
    <w:rsid w:val="0004718A"/>
    <w:rsid w:val="00051125"/>
    <w:rsid w:val="0005154C"/>
    <w:rsid w:val="000531D9"/>
    <w:rsid w:val="000545DA"/>
    <w:rsid w:val="00057837"/>
    <w:rsid w:val="000630C3"/>
    <w:rsid w:val="00063911"/>
    <w:rsid w:val="000648AC"/>
    <w:rsid w:val="00071101"/>
    <w:rsid w:val="00083E64"/>
    <w:rsid w:val="000847B0"/>
    <w:rsid w:val="0008782C"/>
    <w:rsid w:val="00094708"/>
    <w:rsid w:val="0009498C"/>
    <w:rsid w:val="000A17FC"/>
    <w:rsid w:val="000A60ED"/>
    <w:rsid w:val="000A7EE3"/>
    <w:rsid w:val="000B1733"/>
    <w:rsid w:val="000B21A0"/>
    <w:rsid w:val="000B30E4"/>
    <w:rsid w:val="000B3910"/>
    <w:rsid w:val="000B4F6B"/>
    <w:rsid w:val="000B5EC3"/>
    <w:rsid w:val="000C2DFC"/>
    <w:rsid w:val="000D1E82"/>
    <w:rsid w:val="000D31EC"/>
    <w:rsid w:val="000D39D4"/>
    <w:rsid w:val="000D46F8"/>
    <w:rsid w:val="000D4BF2"/>
    <w:rsid w:val="000E14FF"/>
    <w:rsid w:val="000E68F2"/>
    <w:rsid w:val="000E6C40"/>
    <w:rsid w:val="000E721A"/>
    <w:rsid w:val="000F035E"/>
    <w:rsid w:val="000F2E1F"/>
    <w:rsid w:val="00101FD1"/>
    <w:rsid w:val="00102425"/>
    <w:rsid w:val="001034FB"/>
    <w:rsid w:val="00104527"/>
    <w:rsid w:val="001068F1"/>
    <w:rsid w:val="00107962"/>
    <w:rsid w:val="00110067"/>
    <w:rsid w:val="001138D3"/>
    <w:rsid w:val="00116543"/>
    <w:rsid w:val="00124BC6"/>
    <w:rsid w:val="00125D65"/>
    <w:rsid w:val="00127280"/>
    <w:rsid w:val="00130AD2"/>
    <w:rsid w:val="001355E4"/>
    <w:rsid w:val="0013616B"/>
    <w:rsid w:val="00137138"/>
    <w:rsid w:val="00140A1C"/>
    <w:rsid w:val="00145586"/>
    <w:rsid w:val="00145993"/>
    <w:rsid w:val="00145D36"/>
    <w:rsid w:val="00146B18"/>
    <w:rsid w:val="00163FBD"/>
    <w:rsid w:val="001670BC"/>
    <w:rsid w:val="001733B2"/>
    <w:rsid w:val="0017355D"/>
    <w:rsid w:val="001738F4"/>
    <w:rsid w:val="001765F7"/>
    <w:rsid w:val="00182802"/>
    <w:rsid w:val="0018326F"/>
    <w:rsid w:val="001853E2"/>
    <w:rsid w:val="001915D2"/>
    <w:rsid w:val="001921B7"/>
    <w:rsid w:val="001924D7"/>
    <w:rsid w:val="0019467B"/>
    <w:rsid w:val="001B0A2D"/>
    <w:rsid w:val="001B484B"/>
    <w:rsid w:val="001B5328"/>
    <w:rsid w:val="001C09FE"/>
    <w:rsid w:val="001C3695"/>
    <w:rsid w:val="001C44B7"/>
    <w:rsid w:val="001D7FEB"/>
    <w:rsid w:val="001E50E1"/>
    <w:rsid w:val="001F1037"/>
    <w:rsid w:val="0020150C"/>
    <w:rsid w:val="002022B8"/>
    <w:rsid w:val="00202F35"/>
    <w:rsid w:val="00205613"/>
    <w:rsid w:val="00210796"/>
    <w:rsid w:val="002110CE"/>
    <w:rsid w:val="00217AF1"/>
    <w:rsid w:val="00225946"/>
    <w:rsid w:val="00226C3E"/>
    <w:rsid w:val="00227CEB"/>
    <w:rsid w:val="00230E4D"/>
    <w:rsid w:val="002315C0"/>
    <w:rsid w:val="00234830"/>
    <w:rsid w:val="002361CA"/>
    <w:rsid w:val="002446F5"/>
    <w:rsid w:val="00247804"/>
    <w:rsid w:val="00251DEF"/>
    <w:rsid w:val="002662BE"/>
    <w:rsid w:val="002707C2"/>
    <w:rsid w:val="002715C3"/>
    <w:rsid w:val="00271625"/>
    <w:rsid w:val="002724EF"/>
    <w:rsid w:val="002729EC"/>
    <w:rsid w:val="002751C5"/>
    <w:rsid w:val="00280050"/>
    <w:rsid w:val="00282621"/>
    <w:rsid w:val="002830F5"/>
    <w:rsid w:val="00283A2C"/>
    <w:rsid w:val="0028420C"/>
    <w:rsid w:val="00286A35"/>
    <w:rsid w:val="00296ADB"/>
    <w:rsid w:val="002A5B78"/>
    <w:rsid w:val="002B2CAE"/>
    <w:rsid w:val="002B42BE"/>
    <w:rsid w:val="002C02D9"/>
    <w:rsid w:val="002C3A3B"/>
    <w:rsid w:val="002C778F"/>
    <w:rsid w:val="002C7D3B"/>
    <w:rsid w:val="002E0D4D"/>
    <w:rsid w:val="002E2C39"/>
    <w:rsid w:val="002E6873"/>
    <w:rsid w:val="002E71F8"/>
    <w:rsid w:val="002F263B"/>
    <w:rsid w:val="00303171"/>
    <w:rsid w:val="003051A4"/>
    <w:rsid w:val="003225D1"/>
    <w:rsid w:val="00323401"/>
    <w:rsid w:val="00323DA2"/>
    <w:rsid w:val="00331232"/>
    <w:rsid w:val="003355AC"/>
    <w:rsid w:val="0033595F"/>
    <w:rsid w:val="00336506"/>
    <w:rsid w:val="00337163"/>
    <w:rsid w:val="003426A2"/>
    <w:rsid w:val="003455A9"/>
    <w:rsid w:val="003459B4"/>
    <w:rsid w:val="00351A25"/>
    <w:rsid w:val="00351C27"/>
    <w:rsid w:val="00354CF3"/>
    <w:rsid w:val="00361333"/>
    <w:rsid w:val="00362C75"/>
    <w:rsid w:val="003725F2"/>
    <w:rsid w:val="0038038B"/>
    <w:rsid w:val="00384A49"/>
    <w:rsid w:val="003871E1"/>
    <w:rsid w:val="0039582C"/>
    <w:rsid w:val="0039639E"/>
    <w:rsid w:val="003A038C"/>
    <w:rsid w:val="003A0FE6"/>
    <w:rsid w:val="003A49A8"/>
    <w:rsid w:val="003A51C0"/>
    <w:rsid w:val="003A6653"/>
    <w:rsid w:val="003B1614"/>
    <w:rsid w:val="003B60C4"/>
    <w:rsid w:val="003C1C51"/>
    <w:rsid w:val="003D1DA4"/>
    <w:rsid w:val="003D62EF"/>
    <w:rsid w:val="003E4134"/>
    <w:rsid w:val="003F3519"/>
    <w:rsid w:val="003F3BD6"/>
    <w:rsid w:val="003F6EB5"/>
    <w:rsid w:val="003F7C3E"/>
    <w:rsid w:val="00400AB6"/>
    <w:rsid w:val="00401C2E"/>
    <w:rsid w:val="00402E87"/>
    <w:rsid w:val="00404ED0"/>
    <w:rsid w:val="00405BB6"/>
    <w:rsid w:val="004066D0"/>
    <w:rsid w:val="00413FAD"/>
    <w:rsid w:val="004156A5"/>
    <w:rsid w:val="0041668C"/>
    <w:rsid w:val="0042602C"/>
    <w:rsid w:val="00426439"/>
    <w:rsid w:val="00427EE0"/>
    <w:rsid w:val="004321C8"/>
    <w:rsid w:val="00433995"/>
    <w:rsid w:val="00435610"/>
    <w:rsid w:val="00446DFE"/>
    <w:rsid w:val="00447C7B"/>
    <w:rsid w:val="00452F7E"/>
    <w:rsid w:val="0046069A"/>
    <w:rsid w:val="00462D59"/>
    <w:rsid w:val="00464C6C"/>
    <w:rsid w:val="00466789"/>
    <w:rsid w:val="00471E6F"/>
    <w:rsid w:val="004744A2"/>
    <w:rsid w:val="004745FD"/>
    <w:rsid w:val="00476988"/>
    <w:rsid w:val="00477A69"/>
    <w:rsid w:val="00481049"/>
    <w:rsid w:val="004864E5"/>
    <w:rsid w:val="00487E97"/>
    <w:rsid w:val="00493481"/>
    <w:rsid w:val="004A12DF"/>
    <w:rsid w:val="004B1202"/>
    <w:rsid w:val="004C1E9B"/>
    <w:rsid w:val="004C4751"/>
    <w:rsid w:val="004C528A"/>
    <w:rsid w:val="004D0768"/>
    <w:rsid w:val="004D518C"/>
    <w:rsid w:val="004E2A78"/>
    <w:rsid w:val="004E658E"/>
    <w:rsid w:val="004E7FBA"/>
    <w:rsid w:val="004F7D05"/>
    <w:rsid w:val="00500984"/>
    <w:rsid w:val="00502440"/>
    <w:rsid w:val="005077ED"/>
    <w:rsid w:val="00510FAE"/>
    <w:rsid w:val="00511474"/>
    <w:rsid w:val="00511BE2"/>
    <w:rsid w:val="005138FF"/>
    <w:rsid w:val="00515B0D"/>
    <w:rsid w:val="005274DA"/>
    <w:rsid w:val="00530CDD"/>
    <w:rsid w:val="00537852"/>
    <w:rsid w:val="00541D88"/>
    <w:rsid w:val="00551712"/>
    <w:rsid w:val="00561895"/>
    <w:rsid w:val="0056289A"/>
    <w:rsid w:val="00566812"/>
    <w:rsid w:val="00571F69"/>
    <w:rsid w:val="0057527C"/>
    <w:rsid w:val="00581D28"/>
    <w:rsid w:val="005837C3"/>
    <w:rsid w:val="005954F2"/>
    <w:rsid w:val="005A0F90"/>
    <w:rsid w:val="005A52A3"/>
    <w:rsid w:val="005B0FD2"/>
    <w:rsid w:val="005B12F7"/>
    <w:rsid w:val="005B2E4C"/>
    <w:rsid w:val="005B3D52"/>
    <w:rsid w:val="005B628E"/>
    <w:rsid w:val="005C1B17"/>
    <w:rsid w:val="005C305B"/>
    <w:rsid w:val="005C79C6"/>
    <w:rsid w:val="005D027E"/>
    <w:rsid w:val="005D142D"/>
    <w:rsid w:val="005D1987"/>
    <w:rsid w:val="005D7EE5"/>
    <w:rsid w:val="005E464A"/>
    <w:rsid w:val="005E5947"/>
    <w:rsid w:val="005F6901"/>
    <w:rsid w:val="005F6E72"/>
    <w:rsid w:val="006023D3"/>
    <w:rsid w:val="00602F04"/>
    <w:rsid w:val="00604636"/>
    <w:rsid w:val="006046BD"/>
    <w:rsid w:val="006077E7"/>
    <w:rsid w:val="00624F72"/>
    <w:rsid w:val="00625A4D"/>
    <w:rsid w:val="00627818"/>
    <w:rsid w:val="0063339A"/>
    <w:rsid w:val="00637367"/>
    <w:rsid w:val="00644124"/>
    <w:rsid w:val="00647FDB"/>
    <w:rsid w:val="00651288"/>
    <w:rsid w:val="00652844"/>
    <w:rsid w:val="0065533D"/>
    <w:rsid w:val="0065595B"/>
    <w:rsid w:val="0066339C"/>
    <w:rsid w:val="00664683"/>
    <w:rsid w:val="0066668C"/>
    <w:rsid w:val="00667BC8"/>
    <w:rsid w:val="00670B83"/>
    <w:rsid w:val="00673F9C"/>
    <w:rsid w:val="00674188"/>
    <w:rsid w:val="00690E48"/>
    <w:rsid w:val="006923AD"/>
    <w:rsid w:val="00692EE7"/>
    <w:rsid w:val="00693649"/>
    <w:rsid w:val="00693698"/>
    <w:rsid w:val="00696BBE"/>
    <w:rsid w:val="00696C37"/>
    <w:rsid w:val="0069705C"/>
    <w:rsid w:val="006A5739"/>
    <w:rsid w:val="006B0CDE"/>
    <w:rsid w:val="006B7ED0"/>
    <w:rsid w:val="006C365C"/>
    <w:rsid w:val="006C6C03"/>
    <w:rsid w:val="006D0B5B"/>
    <w:rsid w:val="006D543A"/>
    <w:rsid w:val="006D75E6"/>
    <w:rsid w:val="006E5F6C"/>
    <w:rsid w:val="006F0170"/>
    <w:rsid w:val="006F06EB"/>
    <w:rsid w:val="006F1D45"/>
    <w:rsid w:val="006F3CE2"/>
    <w:rsid w:val="006F3DEF"/>
    <w:rsid w:val="006F60A2"/>
    <w:rsid w:val="00703023"/>
    <w:rsid w:val="0070705F"/>
    <w:rsid w:val="007100A4"/>
    <w:rsid w:val="007106E0"/>
    <w:rsid w:val="00712DE0"/>
    <w:rsid w:val="0071371F"/>
    <w:rsid w:val="00714CB0"/>
    <w:rsid w:val="0071793F"/>
    <w:rsid w:val="00722DEB"/>
    <w:rsid w:val="00724E9B"/>
    <w:rsid w:val="00727DDE"/>
    <w:rsid w:val="0073099F"/>
    <w:rsid w:val="0073518E"/>
    <w:rsid w:val="0073541C"/>
    <w:rsid w:val="00736900"/>
    <w:rsid w:val="00736963"/>
    <w:rsid w:val="00742042"/>
    <w:rsid w:val="0074215F"/>
    <w:rsid w:val="007505D5"/>
    <w:rsid w:val="00753593"/>
    <w:rsid w:val="00754CD7"/>
    <w:rsid w:val="007554E9"/>
    <w:rsid w:val="007568F1"/>
    <w:rsid w:val="00756B2A"/>
    <w:rsid w:val="00762766"/>
    <w:rsid w:val="007659DF"/>
    <w:rsid w:val="007722CF"/>
    <w:rsid w:val="0077264F"/>
    <w:rsid w:val="00775946"/>
    <w:rsid w:val="00776CDD"/>
    <w:rsid w:val="00777E96"/>
    <w:rsid w:val="00780798"/>
    <w:rsid w:val="00783FFC"/>
    <w:rsid w:val="0078617B"/>
    <w:rsid w:val="00790D88"/>
    <w:rsid w:val="007926EF"/>
    <w:rsid w:val="0079281F"/>
    <w:rsid w:val="00793924"/>
    <w:rsid w:val="007965E9"/>
    <w:rsid w:val="007A3A24"/>
    <w:rsid w:val="007A4672"/>
    <w:rsid w:val="007A4FCC"/>
    <w:rsid w:val="007A5E7C"/>
    <w:rsid w:val="007B0DC3"/>
    <w:rsid w:val="007B11E2"/>
    <w:rsid w:val="007B1FF6"/>
    <w:rsid w:val="007B6EB5"/>
    <w:rsid w:val="007B7FED"/>
    <w:rsid w:val="007E4244"/>
    <w:rsid w:val="007F2BAE"/>
    <w:rsid w:val="007F2C5D"/>
    <w:rsid w:val="007F2FAA"/>
    <w:rsid w:val="007F33E6"/>
    <w:rsid w:val="00802F4D"/>
    <w:rsid w:val="008151DE"/>
    <w:rsid w:val="00820407"/>
    <w:rsid w:val="00825900"/>
    <w:rsid w:val="00832FE0"/>
    <w:rsid w:val="00833E92"/>
    <w:rsid w:val="00835D88"/>
    <w:rsid w:val="00840860"/>
    <w:rsid w:val="00842EE5"/>
    <w:rsid w:val="00843450"/>
    <w:rsid w:val="008434D2"/>
    <w:rsid w:val="00843FB3"/>
    <w:rsid w:val="008443B9"/>
    <w:rsid w:val="00847DAE"/>
    <w:rsid w:val="00847FC8"/>
    <w:rsid w:val="00851956"/>
    <w:rsid w:val="008519FD"/>
    <w:rsid w:val="00863963"/>
    <w:rsid w:val="00865BD6"/>
    <w:rsid w:val="00870CEA"/>
    <w:rsid w:val="00884208"/>
    <w:rsid w:val="0088669C"/>
    <w:rsid w:val="00887F7E"/>
    <w:rsid w:val="00890FF4"/>
    <w:rsid w:val="00893063"/>
    <w:rsid w:val="00893572"/>
    <w:rsid w:val="008A12D6"/>
    <w:rsid w:val="008A2F46"/>
    <w:rsid w:val="008A3430"/>
    <w:rsid w:val="008A4AC7"/>
    <w:rsid w:val="008A7BD1"/>
    <w:rsid w:val="008B4594"/>
    <w:rsid w:val="008B7184"/>
    <w:rsid w:val="008B724A"/>
    <w:rsid w:val="008B7887"/>
    <w:rsid w:val="008C0D29"/>
    <w:rsid w:val="008C1848"/>
    <w:rsid w:val="008C62F6"/>
    <w:rsid w:val="008D1EC3"/>
    <w:rsid w:val="008E2E30"/>
    <w:rsid w:val="008F5254"/>
    <w:rsid w:val="008F6EC2"/>
    <w:rsid w:val="0090215E"/>
    <w:rsid w:val="00904664"/>
    <w:rsid w:val="009120E8"/>
    <w:rsid w:val="009221CA"/>
    <w:rsid w:val="009224F6"/>
    <w:rsid w:val="0092354B"/>
    <w:rsid w:val="0092400F"/>
    <w:rsid w:val="0093096D"/>
    <w:rsid w:val="00931143"/>
    <w:rsid w:val="009321F5"/>
    <w:rsid w:val="009417CF"/>
    <w:rsid w:val="00941D4B"/>
    <w:rsid w:val="0094604C"/>
    <w:rsid w:val="00947FED"/>
    <w:rsid w:val="00952D72"/>
    <w:rsid w:val="00954821"/>
    <w:rsid w:val="00961202"/>
    <w:rsid w:val="00963EE9"/>
    <w:rsid w:val="0096472D"/>
    <w:rsid w:val="0096500B"/>
    <w:rsid w:val="00966E4F"/>
    <w:rsid w:val="0096783D"/>
    <w:rsid w:val="009708C4"/>
    <w:rsid w:val="009735E0"/>
    <w:rsid w:val="009771BA"/>
    <w:rsid w:val="0098247C"/>
    <w:rsid w:val="00984C33"/>
    <w:rsid w:val="009B181E"/>
    <w:rsid w:val="009B2DA1"/>
    <w:rsid w:val="009B59AB"/>
    <w:rsid w:val="009B6085"/>
    <w:rsid w:val="009B68E1"/>
    <w:rsid w:val="009C0332"/>
    <w:rsid w:val="009C2B82"/>
    <w:rsid w:val="009C5FD8"/>
    <w:rsid w:val="009C6B0D"/>
    <w:rsid w:val="009D06FA"/>
    <w:rsid w:val="009D13ED"/>
    <w:rsid w:val="009D77A8"/>
    <w:rsid w:val="009E594F"/>
    <w:rsid w:val="009E6709"/>
    <w:rsid w:val="009E69DD"/>
    <w:rsid w:val="009E7FCB"/>
    <w:rsid w:val="009F445B"/>
    <w:rsid w:val="009F4854"/>
    <w:rsid w:val="009F50EA"/>
    <w:rsid w:val="009F6414"/>
    <w:rsid w:val="009F6538"/>
    <w:rsid w:val="009F6E91"/>
    <w:rsid w:val="00A022CF"/>
    <w:rsid w:val="00A023BD"/>
    <w:rsid w:val="00A06F16"/>
    <w:rsid w:val="00A1087B"/>
    <w:rsid w:val="00A15FA3"/>
    <w:rsid w:val="00A167AD"/>
    <w:rsid w:val="00A2519D"/>
    <w:rsid w:val="00A26A59"/>
    <w:rsid w:val="00A27145"/>
    <w:rsid w:val="00A31603"/>
    <w:rsid w:val="00A319F3"/>
    <w:rsid w:val="00A348A5"/>
    <w:rsid w:val="00A369AA"/>
    <w:rsid w:val="00A40C0A"/>
    <w:rsid w:val="00A43F0A"/>
    <w:rsid w:val="00A517CE"/>
    <w:rsid w:val="00A557A4"/>
    <w:rsid w:val="00A55836"/>
    <w:rsid w:val="00A55A7E"/>
    <w:rsid w:val="00A61F16"/>
    <w:rsid w:val="00A70B41"/>
    <w:rsid w:val="00A76BAF"/>
    <w:rsid w:val="00A85406"/>
    <w:rsid w:val="00A85DD7"/>
    <w:rsid w:val="00A91567"/>
    <w:rsid w:val="00A9396F"/>
    <w:rsid w:val="00A93BE2"/>
    <w:rsid w:val="00AA09CB"/>
    <w:rsid w:val="00AA1A46"/>
    <w:rsid w:val="00AA5332"/>
    <w:rsid w:val="00AA54FC"/>
    <w:rsid w:val="00AA57DE"/>
    <w:rsid w:val="00AB7E9C"/>
    <w:rsid w:val="00AC2D1E"/>
    <w:rsid w:val="00AC5467"/>
    <w:rsid w:val="00AC713E"/>
    <w:rsid w:val="00AD074E"/>
    <w:rsid w:val="00AD4858"/>
    <w:rsid w:val="00AD5ABD"/>
    <w:rsid w:val="00AD790D"/>
    <w:rsid w:val="00AE0E1B"/>
    <w:rsid w:val="00AE11C1"/>
    <w:rsid w:val="00AE21F6"/>
    <w:rsid w:val="00AE41C8"/>
    <w:rsid w:val="00AE4C0F"/>
    <w:rsid w:val="00AE600F"/>
    <w:rsid w:val="00AF6EFA"/>
    <w:rsid w:val="00B000F6"/>
    <w:rsid w:val="00B03046"/>
    <w:rsid w:val="00B065B2"/>
    <w:rsid w:val="00B116A2"/>
    <w:rsid w:val="00B27442"/>
    <w:rsid w:val="00B31BA5"/>
    <w:rsid w:val="00B33784"/>
    <w:rsid w:val="00B357E2"/>
    <w:rsid w:val="00B37EB9"/>
    <w:rsid w:val="00B446F1"/>
    <w:rsid w:val="00B464E6"/>
    <w:rsid w:val="00B500BF"/>
    <w:rsid w:val="00B50231"/>
    <w:rsid w:val="00B63494"/>
    <w:rsid w:val="00B6565F"/>
    <w:rsid w:val="00B66D71"/>
    <w:rsid w:val="00B72351"/>
    <w:rsid w:val="00B82B7D"/>
    <w:rsid w:val="00B85FD2"/>
    <w:rsid w:val="00B969B8"/>
    <w:rsid w:val="00B96C65"/>
    <w:rsid w:val="00B97B80"/>
    <w:rsid w:val="00BA2C19"/>
    <w:rsid w:val="00BA37F1"/>
    <w:rsid w:val="00BA4882"/>
    <w:rsid w:val="00BB01D1"/>
    <w:rsid w:val="00BB6A93"/>
    <w:rsid w:val="00BB6DBE"/>
    <w:rsid w:val="00BC5545"/>
    <w:rsid w:val="00BD1A45"/>
    <w:rsid w:val="00BD3BEF"/>
    <w:rsid w:val="00BD52BF"/>
    <w:rsid w:val="00BE22FF"/>
    <w:rsid w:val="00BE280E"/>
    <w:rsid w:val="00BF468D"/>
    <w:rsid w:val="00BF6685"/>
    <w:rsid w:val="00BF791C"/>
    <w:rsid w:val="00C0695C"/>
    <w:rsid w:val="00C22126"/>
    <w:rsid w:val="00C22455"/>
    <w:rsid w:val="00C24A9E"/>
    <w:rsid w:val="00C25864"/>
    <w:rsid w:val="00C312A8"/>
    <w:rsid w:val="00C3203E"/>
    <w:rsid w:val="00C326DD"/>
    <w:rsid w:val="00C3485F"/>
    <w:rsid w:val="00C37A94"/>
    <w:rsid w:val="00C46399"/>
    <w:rsid w:val="00C473C3"/>
    <w:rsid w:val="00C4786F"/>
    <w:rsid w:val="00C50608"/>
    <w:rsid w:val="00C52B86"/>
    <w:rsid w:val="00C546C3"/>
    <w:rsid w:val="00C5594D"/>
    <w:rsid w:val="00C631EF"/>
    <w:rsid w:val="00C6525F"/>
    <w:rsid w:val="00C654EE"/>
    <w:rsid w:val="00C74605"/>
    <w:rsid w:val="00C800FE"/>
    <w:rsid w:val="00C82B89"/>
    <w:rsid w:val="00C863BE"/>
    <w:rsid w:val="00CA3A59"/>
    <w:rsid w:val="00CB1B64"/>
    <w:rsid w:val="00CB1C1F"/>
    <w:rsid w:val="00CB2D50"/>
    <w:rsid w:val="00CB4D62"/>
    <w:rsid w:val="00CB6CEC"/>
    <w:rsid w:val="00CC2875"/>
    <w:rsid w:val="00CC469B"/>
    <w:rsid w:val="00CD180B"/>
    <w:rsid w:val="00CD7732"/>
    <w:rsid w:val="00CE2D19"/>
    <w:rsid w:val="00CE320C"/>
    <w:rsid w:val="00CE3508"/>
    <w:rsid w:val="00CE399D"/>
    <w:rsid w:val="00CE6561"/>
    <w:rsid w:val="00CF3DB0"/>
    <w:rsid w:val="00CF592A"/>
    <w:rsid w:val="00D029DF"/>
    <w:rsid w:val="00D04920"/>
    <w:rsid w:val="00D112FD"/>
    <w:rsid w:val="00D13571"/>
    <w:rsid w:val="00D13B5C"/>
    <w:rsid w:val="00D14C9B"/>
    <w:rsid w:val="00D17A8E"/>
    <w:rsid w:val="00D229C7"/>
    <w:rsid w:val="00D22F0E"/>
    <w:rsid w:val="00D22F27"/>
    <w:rsid w:val="00D23351"/>
    <w:rsid w:val="00D25FFE"/>
    <w:rsid w:val="00D30133"/>
    <w:rsid w:val="00D31C5A"/>
    <w:rsid w:val="00D33323"/>
    <w:rsid w:val="00D33C61"/>
    <w:rsid w:val="00D3549C"/>
    <w:rsid w:val="00D37479"/>
    <w:rsid w:val="00D41893"/>
    <w:rsid w:val="00D423D2"/>
    <w:rsid w:val="00D448C4"/>
    <w:rsid w:val="00D46890"/>
    <w:rsid w:val="00D475AA"/>
    <w:rsid w:val="00D5289F"/>
    <w:rsid w:val="00D63176"/>
    <w:rsid w:val="00D637B6"/>
    <w:rsid w:val="00D805DF"/>
    <w:rsid w:val="00D8496D"/>
    <w:rsid w:val="00D86CBC"/>
    <w:rsid w:val="00D87830"/>
    <w:rsid w:val="00D91482"/>
    <w:rsid w:val="00D95A74"/>
    <w:rsid w:val="00D95C67"/>
    <w:rsid w:val="00D96E45"/>
    <w:rsid w:val="00DA36A1"/>
    <w:rsid w:val="00DA3819"/>
    <w:rsid w:val="00DA6781"/>
    <w:rsid w:val="00DB2F76"/>
    <w:rsid w:val="00DB38EA"/>
    <w:rsid w:val="00DB3F2A"/>
    <w:rsid w:val="00DB6F9A"/>
    <w:rsid w:val="00DB726F"/>
    <w:rsid w:val="00DC5CB0"/>
    <w:rsid w:val="00DC6342"/>
    <w:rsid w:val="00DD043B"/>
    <w:rsid w:val="00DD1462"/>
    <w:rsid w:val="00DD173B"/>
    <w:rsid w:val="00DD25A9"/>
    <w:rsid w:val="00DD4782"/>
    <w:rsid w:val="00DD5558"/>
    <w:rsid w:val="00DD67AA"/>
    <w:rsid w:val="00DD7052"/>
    <w:rsid w:val="00DE2745"/>
    <w:rsid w:val="00DE5F03"/>
    <w:rsid w:val="00DE78EF"/>
    <w:rsid w:val="00DE7C70"/>
    <w:rsid w:val="00DF07CF"/>
    <w:rsid w:val="00DF0D0D"/>
    <w:rsid w:val="00DF19FA"/>
    <w:rsid w:val="00DF25A7"/>
    <w:rsid w:val="00DF3B37"/>
    <w:rsid w:val="00E03B26"/>
    <w:rsid w:val="00E12CC6"/>
    <w:rsid w:val="00E15B29"/>
    <w:rsid w:val="00E168C8"/>
    <w:rsid w:val="00E2495C"/>
    <w:rsid w:val="00E24E37"/>
    <w:rsid w:val="00E26053"/>
    <w:rsid w:val="00E30F0D"/>
    <w:rsid w:val="00E32DCF"/>
    <w:rsid w:val="00E33B52"/>
    <w:rsid w:val="00E40926"/>
    <w:rsid w:val="00E41B8C"/>
    <w:rsid w:val="00E442BF"/>
    <w:rsid w:val="00E5006E"/>
    <w:rsid w:val="00E53A49"/>
    <w:rsid w:val="00E56E0B"/>
    <w:rsid w:val="00E57771"/>
    <w:rsid w:val="00E675CE"/>
    <w:rsid w:val="00E7075B"/>
    <w:rsid w:val="00E741F4"/>
    <w:rsid w:val="00E7446F"/>
    <w:rsid w:val="00E7625F"/>
    <w:rsid w:val="00E83456"/>
    <w:rsid w:val="00E906AF"/>
    <w:rsid w:val="00E92D37"/>
    <w:rsid w:val="00E93F52"/>
    <w:rsid w:val="00E94214"/>
    <w:rsid w:val="00E95C99"/>
    <w:rsid w:val="00E972DE"/>
    <w:rsid w:val="00EA5B98"/>
    <w:rsid w:val="00EA7549"/>
    <w:rsid w:val="00EA7F85"/>
    <w:rsid w:val="00EB21C6"/>
    <w:rsid w:val="00EB23B0"/>
    <w:rsid w:val="00EB3FD0"/>
    <w:rsid w:val="00EB63A1"/>
    <w:rsid w:val="00EB7032"/>
    <w:rsid w:val="00EB78D4"/>
    <w:rsid w:val="00EC0783"/>
    <w:rsid w:val="00EC7D0E"/>
    <w:rsid w:val="00ED383A"/>
    <w:rsid w:val="00ED7182"/>
    <w:rsid w:val="00EE6C68"/>
    <w:rsid w:val="00EF36AF"/>
    <w:rsid w:val="00EF4649"/>
    <w:rsid w:val="00F03AC7"/>
    <w:rsid w:val="00F06900"/>
    <w:rsid w:val="00F0704C"/>
    <w:rsid w:val="00F07196"/>
    <w:rsid w:val="00F117DD"/>
    <w:rsid w:val="00F13C4E"/>
    <w:rsid w:val="00F14D6C"/>
    <w:rsid w:val="00F2250D"/>
    <w:rsid w:val="00F47A14"/>
    <w:rsid w:val="00F56FF0"/>
    <w:rsid w:val="00F62310"/>
    <w:rsid w:val="00F6428F"/>
    <w:rsid w:val="00F665D7"/>
    <w:rsid w:val="00F727A2"/>
    <w:rsid w:val="00F73F15"/>
    <w:rsid w:val="00F93483"/>
    <w:rsid w:val="00F935DA"/>
    <w:rsid w:val="00F9453C"/>
    <w:rsid w:val="00FA2426"/>
    <w:rsid w:val="00FA65AA"/>
    <w:rsid w:val="00FB39D3"/>
    <w:rsid w:val="00FB4A86"/>
    <w:rsid w:val="00FC281D"/>
    <w:rsid w:val="00FC4038"/>
    <w:rsid w:val="00FC6902"/>
    <w:rsid w:val="00FD4AE5"/>
    <w:rsid w:val="00FD7163"/>
    <w:rsid w:val="00FE3C4E"/>
    <w:rsid w:val="00FF0971"/>
    <w:rsid w:val="00FF2827"/>
    <w:rsid w:val="00FF3785"/>
    <w:rsid w:val="00FF4567"/>
    <w:rsid w:val="00FF6E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D56"/>
  <w15:chartTrackingRefBased/>
  <w15:docId w15:val="{D8691ADF-2799-4047-A660-AF7AE477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01"/>
    <w:pPr>
      <w:spacing w:before="120" w:after="120" w:line="240" w:lineRule="auto"/>
    </w:pPr>
    <w:rPr>
      <w:rFonts w:asciiTheme="minorHAnsi" w:hAnsiTheme="minorHAnsi" w:cstheme="minorHAnsi"/>
      <w:kern w:val="0"/>
      <w:sz w:val="22"/>
      <w:szCs w:val="20"/>
      <w14:ligatures w14:val="none"/>
    </w:rPr>
  </w:style>
  <w:style w:type="paragraph" w:styleId="Heading1">
    <w:name w:val="heading 1"/>
    <w:basedOn w:val="Heading2"/>
    <w:next w:val="Normal"/>
    <w:link w:val="Heading1Char"/>
    <w:uiPriority w:val="9"/>
    <w:qFormat/>
    <w:rsid w:val="00071101"/>
    <w:pPr>
      <w:keepLines w:val="0"/>
      <w:spacing w:before="120" w:after="120"/>
      <w:contextualSpacing/>
      <w:outlineLvl w:val="0"/>
    </w:pPr>
    <w:rPr>
      <w:rFonts w:asciiTheme="minorHAnsi" w:eastAsiaTheme="minorHAnsi" w:hAnsiTheme="minorHAnsi" w:cstheme="minorHAnsi"/>
      <w:b/>
      <w:bCs/>
      <w:color w:val="3374B8"/>
      <w:sz w:val="28"/>
      <w:szCs w:val="28"/>
    </w:rPr>
  </w:style>
  <w:style w:type="paragraph" w:styleId="Heading2">
    <w:name w:val="heading 2"/>
    <w:basedOn w:val="Normal"/>
    <w:next w:val="Normal"/>
    <w:link w:val="Heading2Char"/>
    <w:uiPriority w:val="9"/>
    <w:unhideWhenUsed/>
    <w:qFormat/>
    <w:rsid w:val="00071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01"/>
    <w:rPr>
      <w:rFonts w:asciiTheme="minorHAnsi" w:hAnsiTheme="minorHAnsi" w:cstheme="minorHAnsi"/>
      <w:b/>
      <w:bCs/>
      <w:color w:val="3374B8"/>
      <w:kern w:val="0"/>
      <w:sz w:val="28"/>
      <w:szCs w:val="28"/>
      <w14:ligatures w14:val="none"/>
    </w:rPr>
  </w:style>
  <w:style w:type="character" w:customStyle="1" w:styleId="Heading2Char">
    <w:name w:val="Heading 2 Char"/>
    <w:basedOn w:val="DefaultParagraphFont"/>
    <w:link w:val="Heading2"/>
    <w:uiPriority w:val="9"/>
    <w:rsid w:val="00071101"/>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8B7887"/>
    <w:rPr>
      <w:sz w:val="16"/>
      <w:szCs w:val="16"/>
    </w:rPr>
  </w:style>
  <w:style w:type="paragraph" w:customStyle="1" w:styleId="CommentText1">
    <w:name w:val="Comment Text1"/>
    <w:basedOn w:val="Normal"/>
    <w:next w:val="CommentText"/>
    <w:link w:val="CommentTextChar"/>
    <w:uiPriority w:val="99"/>
    <w:unhideWhenUsed/>
    <w:rsid w:val="008B7887"/>
    <w:rPr>
      <w:rFonts w:ascii="Calibri" w:hAnsi="Calibri" w:cs="Calibri"/>
      <w:kern w:val="2"/>
      <w:sz w:val="20"/>
      <w14:ligatures w14:val="standardContextual"/>
    </w:rPr>
  </w:style>
  <w:style w:type="character" w:customStyle="1" w:styleId="CommentTextChar">
    <w:name w:val="Comment Text Char"/>
    <w:basedOn w:val="DefaultParagraphFont"/>
    <w:link w:val="CommentText1"/>
    <w:uiPriority w:val="99"/>
    <w:rsid w:val="008B7887"/>
    <w:rPr>
      <w:rFonts w:ascii="Calibri" w:hAnsi="Calibri" w:cs="Calibri"/>
      <w:sz w:val="20"/>
      <w:szCs w:val="20"/>
    </w:rPr>
  </w:style>
  <w:style w:type="paragraph" w:styleId="CommentText">
    <w:name w:val="annotation text"/>
    <w:basedOn w:val="Normal"/>
    <w:link w:val="CommentTextChar1"/>
    <w:uiPriority w:val="99"/>
    <w:unhideWhenUsed/>
    <w:rsid w:val="008B7887"/>
    <w:rPr>
      <w:sz w:val="20"/>
    </w:rPr>
  </w:style>
  <w:style w:type="character" w:customStyle="1" w:styleId="CommentTextChar1">
    <w:name w:val="Comment Text Char1"/>
    <w:basedOn w:val="DefaultParagraphFont"/>
    <w:link w:val="CommentText"/>
    <w:uiPriority w:val="99"/>
    <w:rsid w:val="008B7887"/>
    <w:rPr>
      <w:rFonts w:asciiTheme="minorHAnsi" w:hAnsiTheme="minorHAns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F03"/>
    <w:rPr>
      <w:b/>
      <w:bCs/>
    </w:rPr>
  </w:style>
  <w:style w:type="character" w:customStyle="1" w:styleId="CommentSubjectChar">
    <w:name w:val="Comment Subject Char"/>
    <w:basedOn w:val="CommentTextChar1"/>
    <w:link w:val="CommentSubject"/>
    <w:uiPriority w:val="99"/>
    <w:semiHidden/>
    <w:rsid w:val="00DE5F03"/>
    <w:rPr>
      <w:rFonts w:asciiTheme="minorHAnsi" w:hAnsiTheme="minorHAnsi" w:cstheme="minorHAnsi"/>
      <w:b/>
      <w:bCs/>
      <w:kern w:val="0"/>
      <w:sz w:val="20"/>
      <w:szCs w:val="20"/>
      <w14:ligatures w14:val="none"/>
    </w:rPr>
  </w:style>
  <w:style w:type="paragraph" w:styleId="Revision">
    <w:name w:val="Revision"/>
    <w:hidden/>
    <w:uiPriority w:val="99"/>
    <w:semiHidden/>
    <w:rsid w:val="00DE5F03"/>
    <w:pPr>
      <w:spacing w:after="0" w:line="240" w:lineRule="auto"/>
    </w:pPr>
    <w:rPr>
      <w:rFonts w:asciiTheme="minorHAnsi" w:hAnsiTheme="minorHAnsi" w:cstheme="minorHAnsi"/>
      <w:kern w:val="0"/>
      <w:sz w:val="22"/>
      <w:szCs w:val="20"/>
      <w14:ligatures w14:val="none"/>
    </w:rPr>
  </w:style>
  <w:style w:type="paragraph" w:styleId="ListParagraph">
    <w:name w:val="List Paragraph"/>
    <w:basedOn w:val="Normal"/>
    <w:uiPriority w:val="34"/>
    <w:qFormat/>
    <w:rsid w:val="00ED7182"/>
    <w:pPr>
      <w:ind w:left="720"/>
      <w:contextualSpacing/>
    </w:pPr>
  </w:style>
  <w:style w:type="paragraph" w:styleId="NormalWeb">
    <w:name w:val="Normal (Web)"/>
    <w:basedOn w:val="Normal"/>
    <w:uiPriority w:val="99"/>
    <w:semiHidden/>
    <w:unhideWhenUsed/>
    <w:rsid w:val="00DB3F2A"/>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B3F2A"/>
    <w:rPr>
      <w:color w:val="0000FF"/>
      <w:u w:val="single"/>
    </w:rPr>
  </w:style>
  <w:style w:type="table" w:styleId="TableGrid">
    <w:name w:val="Table Grid"/>
    <w:basedOn w:val="TableNormal"/>
    <w:uiPriority w:val="39"/>
    <w:rsid w:val="003312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3571"/>
    <w:pPr>
      <w:spacing w:after="100"/>
    </w:pPr>
  </w:style>
  <w:style w:type="paragraph" w:styleId="TOC2">
    <w:name w:val="toc 2"/>
    <w:basedOn w:val="Normal"/>
    <w:next w:val="Normal"/>
    <w:autoRedefine/>
    <w:uiPriority w:val="39"/>
    <w:unhideWhenUsed/>
    <w:rsid w:val="00D13571"/>
    <w:pPr>
      <w:spacing w:after="100"/>
      <w:ind w:left="220"/>
    </w:pPr>
  </w:style>
  <w:style w:type="paragraph" w:styleId="TOCHeading">
    <w:name w:val="TOC Heading"/>
    <w:basedOn w:val="Heading1"/>
    <w:next w:val="Normal"/>
    <w:uiPriority w:val="39"/>
    <w:unhideWhenUsed/>
    <w:qFormat/>
    <w:rsid w:val="005A0F90"/>
    <w:pPr>
      <w:keepLines/>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character" w:styleId="UnresolvedMention">
    <w:name w:val="Unresolved Mention"/>
    <w:basedOn w:val="DefaultParagraphFont"/>
    <w:uiPriority w:val="99"/>
    <w:semiHidden/>
    <w:unhideWhenUsed/>
    <w:rsid w:val="006D0B5B"/>
    <w:rPr>
      <w:color w:val="605E5C"/>
      <w:shd w:val="clear" w:color="auto" w:fill="E1DFDD"/>
    </w:rPr>
  </w:style>
  <w:style w:type="character" w:styleId="FollowedHyperlink">
    <w:name w:val="FollowedHyperlink"/>
    <w:basedOn w:val="DefaultParagraphFont"/>
    <w:uiPriority w:val="99"/>
    <w:semiHidden/>
    <w:unhideWhenUsed/>
    <w:rsid w:val="00FB4A86"/>
    <w:rPr>
      <w:color w:val="954F72" w:themeColor="followedHyperlink"/>
      <w:u w:val="single"/>
    </w:rPr>
  </w:style>
  <w:style w:type="character" w:styleId="Strong">
    <w:name w:val="Strong"/>
    <w:basedOn w:val="DefaultParagraphFont"/>
    <w:uiPriority w:val="22"/>
    <w:qFormat/>
    <w:rsid w:val="00722DEB"/>
    <w:rPr>
      <w:b/>
      <w:bCs/>
    </w:rPr>
  </w:style>
  <w:style w:type="paragraph" w:styleId="Header">
    <w:name w:val="header"/>
    <w:basedOn w:val="Normal"/>
    <w:link w:val="HeaderChar"/>
    <w:uiPriority w:val="99"/>
    <w:unhideWhenUsed/>
    <w:rsid w:val="00D14C9B"/>
    <w:pPr>
      <w:tabs>
        <w:tab w:val="center" w:pos="4513"/>
        <w:tab w:val="right" w:pos="9026"/>
      </w:tabs>
      <w:spacing w:before="0" w:after="0"/>
    </w:pPr>
  </w:style>
  <w:style w:type="character" w:customStyle="1" w:styleId="HeaderChar">
    <w:name w:val="Header Char"/>
    <w:basedOn w:val="DefaultParagraphFont"/>
    <w:link w:val="Header"/>
    <w:uiPriority w:val="99"/>
    <w:rsid w:val="00D14C9B"/>
    <w:rPr>
      <w:rFonts w:asciiTheme="minorHAnsi" w:hAnsiTheme="minorHAnsi" w:cstheme="minorHAnsi"/>
      <w:kern w:val="0"/>
      <w:sz w:val="22"/>
      <w:szCs w:val="20"/>
      <w14:ligatures w14:val="none"/>
    </w:rPr>
  </w:style>
  <w:style w:type="paragraph" w:styleId="Footer">
    <w:name w:val="footer"/>
    <w:basedOn w:val="Normal"/>
    <w:link w:val="FooterChar"/>
    <w:uiPriority w:val="99"/>
    <w:unhideWhenUsed/>
    <w:rsid w:val="00D14C9B"/>
    <w:pPr>
      <w:tabs>
        <w:tab w:val="center" w:pos="4513"/>
        <w:tab w:val="right" w:pos="9026"/>
      </w:tabs>
      <w:spacing w:before="0" w:after="0"/>
    </w:pPr>
  </w:style>
  <w:style w:type="character" w:customStyle="1" w:styleId="FooterChar">
    <w:name w:val="Footer Char"/>
    <w:basedOn w:val="DefaultParagraphFont"/>
    <w:link w:val="Footer"/>
    <w:uiPriority w:val="99"/>
    <w:rsid w:val="00D14C9B"/>
    <w:rPr>
      <w:rFonts w:asciiTheme="minorHAnsi" w:hAnsiTheme="minorHAnsi" w:cstheme="minorHAnsi"/>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479">
      <w:bodyDiv w:val="1"/>
      <w:marLeft w:val="0"/>
      <w:marRight w:val="0"/>
      <w:marTop w:val="0"/>
      <w:marBottom w:val="0"/>
      <w:divBdr>
        <w:top w:val="none" w:sz="0" w:space="0" w:color="auto"/>
        <w:left w:val="none" w:sz="0" w:space="0" w:color="auto"/>
        <w:bottom w:val="none" w:sz="0" w:space="0" w:color="auto"/>
        <w:right w:val="none" w:sz="0" w:space="0" w:color="auto"/>
      </w:divBdr>
    </w:div>
    <w:div w:id="66928631">
      <w:bodyDiv w:val="1"/>
      <w:marLeft w:val="0"/>
      <w:marRight w:val="0"/>
      <w:marTop w:val="0"/>
      <w:marBottom w:val="0"/>
      <w:divBdr>
        <w:top w:val="none" w:sz="0" w:space="0" w:color="auto"/>
        <w:left w:val="none" w:sz="0" w:space="0" w:color="auto"/>
        <w:bottom w:val="none" w:sz="0" w:space="0" w:color="auto"/>
        <w:right w:val="none" w:sz="0" w:space="0" w:color="auto"/>
      </w:divBdr>
    </w:div>
    <w:div w:id="118961875">
      <w:bodyDiv w:val="1"/>
      <w:marLeft w:val="0"/>
      <w:marRight w:val="0"/>
      <w:marTop w:val="0"/>
      <w:marBottom w:val="0"/>
      <w:divBdr>
        <w:top w:val="none" w:sz="0" w:space="0" w:color="auto"/>
        <w:left w:val="none" w:sz="0" w:space="0" w:color="auto"/>
        <w:bottom w:val="none" w:sz="0" w:space="0" w:color="auto"/>
        <w:right w:val="none" w:sz="0" w:space="0" w:color="auto"/>
      </w:divBdr>
    </w:div>
    <w:div w:id="464322966">
      <w:bodyDiv w:val="1"/>
      <w:marLeft w:val="0"/>
      <w:marRight w:val="0"/>
      <w:marTop w:val="0"/>
      <w:marBottom w:val="0"/>
      <w:divBdr>
        <w:top w:val="none" w:sz="0" w:space="0" w:color="auto"/>
        <w:left w:val="none" w:sz="0" w:space="0" w:color="auto"/>
        <w:bottom w:val="none" w:sz="0" w:space="0" w:color="auto"/>
        <w:right w:val="none" w:sz="0" w:space="0" w:color="auto"/>
      </w:divBdr>
    </w:div>
    <w:div w:id="517235999">
      <w:bodyDiv w:val="1"/>
      <w:marLeft w:val="0"/>
      <w:marRight w:val="0"/>
      <w:marTop w:val="0"/>
      <w:marBottom w:val="0"/>
      <w:divBdr>
        <w:top w:val="none" w:sz="0" w:space="0" w:color="auto"/>
        <w:left w:val="none" w:sz="0" w:space="0" w:color="auto"/>
        <w:bottom w:val="none" w:sz="0" w:space="0" w:color="auto"/>
        <w:right w:val="none" w:sz="0" w:space="0" w:color="auto"/>
      </w:divBdr>
    </w:div>
    <w:div w:id="978345281">
      <w:bodyDiv w:val="1"/>
      <w:marLeft w:val="0"/>
      <w:marRight w:val="0"/>
      <w:marTop w:val="0"/>
      <w:marBottom w:val="0"/>
      <w:divBdr>
        <w:top w:val="none" w:sz="0" w:space="0" w:color="auto"/>
        <w:left w:val="none" w:sz="0" w:space="0" w:color="auto"/>
        <w:bottom w:val="none" w:sz="0" w:space="0" w:color="auto"/>
        <w:right w:val="none" w:sz="0" w:space="0" w:color="auto"/>
      </w:divBdr>
    </w:div>
    <w:div w:id="1034884880">
      <w:bodyDiv w:val="1"/>
      <w:marLeft w:val="0"/>
      <w:marRight w:val="0"/>
      <w:marTop w:val="0"/>
      <w:marBottom w:val="0"/>
      <w:divBdr>
        <w:top w:val="none" w:sz="0" w:space="0" w:color="auto"/>
        <w:left w:val="none" w:sz="0" w:space="0" w:color="auto"/>
        <w:bottom w:val="none" w:sz="0" w:space="0" w:color="auto"/>
        <w:right w:val="none" w:sz="0" w:space="0" w:color="auto"/>
      </w:divBdr>
    </w:div>
    <w:div w:id="1241134002">
      <w:bodyDiv w:val="1"/>
      <w:marLeft w:val="0"/>
      <w:marRight w:val="0"/>
      <w:marTop w:val="0"/>
      <w:marBottom w:val="0"/>
      <w:divBdr>
        <w:top w:val="none" w:sz="0" w:space="0" w:color="auto"/>
        <w:left w:val="none" w:sz="0" w:space="0" w:color="auto"/>
        <w:bottom w:val="none" w:sz="0" w:space="0" w:color="auto"/>
        <w:right w:val="none" w:sz="0" w:space="0" w:color="auto"/>
      </w:divBdr>
    </w:div>
    <w:div w:id="13823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revised-aged-care-quality-standards-detailed-draft-for-public-consultation-october-2022?languag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8339-12B1-4C8D-A805-03B920FA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4429</Characters>
  <Application>Microsoft Office Word</Application>
  <DocSecurity>0</DocSecurity>
  <Lines>103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 webinar: Aged care reforms: impacts on the MPS program and providers – 28 November 2024</dc:title>
  <dc:subject>Aged Care</dc:subject>
  <dc:creator>Australian Government Department of Health and Aged Care</dc:creator>
  <cp:keywords>Multi-Purpose Services (MPS) Program</cp:keywords>
  <dc:description/>
  <cp:lastModifiedBy>MASCHKE, Elvia</cp:lastModifiedBy>
  <cp:revision>2</cp:revision>
  <dcterms:created xsi:type="dcterms:W3CDTF">2024-12-13T04:30:00Z</dcterms:created>
  <dcterms:modified xsi:type="dcterms:W3CDTF">2024-12-13T04:30:00Z</dcterms:modified>
</cp:coreProperties>
</file>