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B40E" w14:textId="77777777" w:rsidR="002D536F" w:rsidRDefault="002D536F" w:rsidP="007A1E8F">
      <w:pPr>
        <w:pStyle w:val="Subtitle"/>
        <w:rPr>
          <w:b/>
          <w:iCs w:val="0"/>
          <w:spacing w:val="0"/>
          <w:kern w:val="28"/>
          <w:sz w:val="80"/>
          <w:szCs w:val="80"/>
        </w:rPr>
      </w:pPr>
      <w:r w:rsidRPr="002D536F">
        <w:rPr>
          <w:b/>
          <w:iCs w:val="0"/>
          <w:spacing w:val="0"/>
          <w:kern w:val="28"/>
          <w:sz w:val="80"/>
          <w:szCs w:val="80"/>
        </w:rPr>
        <w:t xml:space="preserve">National Dementia Action Plan </w:t>
      </w:r>
    </w:p>
    <w:p w14:paraId="7132B390" w14:textId="03487AB5" w:rsidR="007A1E8F" w:rsidRPr="007A1E8F" w:rsidRDefault="002D536F" w:rsidP="007A1E8F">
      <w:pPr>
        <w:pStyle w:val="Subtitle"/>
        <w:sectPr w:rsidR="007A1E8F" w:rsidRPr="007A1E8F" w:rsidSect="00627385">
          <w:footerReference w:type="even" r:id="rId11"/>
          <w:headerReference w:type="first" r:id="rId12"/>
          <w:footerReference w:type="first" r:id="rId13"/>
          <w:type w:val="continuous"/>
          <w:pgSz w:w="11906" w:h="16838"/>
          <w:pgMar w:top="8505" w:right="1418" w:bottom="1418" w:left="1418" w:header="850" w:footer="709" w:gutter="0"/>
          <w:cols w:space="708"/>
          <w:titlePg/>
          <w:docGrid w:linePitch="360"/>
        </w:sectPr>
      </w:pPr>
      <w:r w:rsidRPr="002D536F">
        <w:t>Monitoring and Reporting Framewor</w:t>
      </w:r>
      <w:r w:rsidR="007C3A41">
        <w:t>k</w:t>
      </w:r>
    </w:p>
    <w:p w14:paraId="7F6A427E" w14:textId="77777777" w:rsidR="00DD6906" w:rsidRDefault="00DD6906" w:rsidP="00DD6906">
      <w:pPr>
        <w:pStyle w:val="Heading1"/>
      </w:pPr>
      <w:bookmarkStart w:id="0" w:name="_Toc183533472"/>
      <w:r>
        <w:lastRenderedPageBreak/>
        <w:t>Contents</w:t>
      </w:r>
      <w:bookmarkEnd w:id="0"/>
    </w:p>
    <w:p w14:paraId="64827BC3" w14:textId="5A93892B" w:rsidR="007C3A41" w:rsidRDefault="00DD6906">
      <w:pPr>
        <w:pStyle w:val="TOC1"/>
        <w:rPr>
          <w:rFonts w:asciiTheme="minorHAnsi" w:eastAsiaTheme="minorEastAsia" w:hAnsiTheme="minorHAnsi" w:cstheme="minorBidi"/>
          <w:b w:val="0"/>
          <w:bCs w:val="0"/>
          <w:noProof/>
          <w:color w:val="auto"/>
          <w:kern w:val="2"/>
          <w:szCs w:val="24"/>
          <w:lang w:eastAsia="en-AU"/>
          <w14:ligatures w14:val="standardContextual"/>
        </w:rPr>
      </w:pPr>
      <w:r w:rsidRPr="00225F45">
        <w:fldChar w:fldCharType="begin"/>
      </w:r>
      <w:r w:rsidRPr="00225F45">
        <w:instrText xml:space="preserve"> TOC \o "1-3" \h \z \u </w:instrText>
      </w:r>
      <w:r w:rsidRPr="00225F45">
        <w:fldChar w:fldCharType="separate"/>
      </w:r>
      <w:hyperlink w:anchor="_Toc183533473" w:history="1">
        <w:r w:rsidR="007C3A41" w:rsidRPr="006B378C">
          <w:rPr>
            <w:rStyle w:val="Hyperlink"/>
            <w:noProof/>
          </w:rPr>
          <w:t>National Dementia Action Plan Monitoring and Reporting Framework</w:t>
        </w:r>
        <w:r w:rsidR="007C3A41">
          <w:rPr>
            <w:noProof/>
            <w:webHidden/>
          </w:rPr>
          <w:tab/>
        </w:r>
        <w:r w:rsidR="007C3A41">
          <w:rPr>
            <w:noProof/>
            <w:webHidden/>
          </w:rPr>
          <w:fldChar w:fldCharType="begin"/>
        </w:r>
        <w:r w:rsidR="007C3A41">
          <w:rPr>
            <w:noProof/>
            <w:webHidden/>
          </w:rPr>
          <w:instrText xml:space="preserve"> PAGEREF _Toc183533473 \h </w:instrText>
        </w:r>
        <w:r w:rsidR="007C3A41">
          <w:rPr>
            <w:noProof/>
            <w:webHidden/>
          </w:rPr>
        </w:r>
        <w:r w:rsidR="007C3A41">
          <w:rPr>
            <w:noProof/>
            <w:webHidden/>
          </w:rPr>
          <w:fldChar w:fldCharType="separate"/>
        </w:r>
        <w:r w:rsidR="00E506C4">
          <w:rPr>
            <w:noProof/>
            <w:webHidden/>
          </w:rPr>
          <w:t>3</w:t>
        </w:r>
        <w:r w:rsidR="007C3A41">
          <w:rPr>
            <w:noProof/>
            <w:webHidden/>
          </w:rPr>
          <w:fldChar w:fldCharType="end"/>
        </w:r>
      </w:hyperlink>
    </w:p>
    <w:p w14:paraId="7CD2CF50" w14:textId="2BDF2F4F"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74" w:history="1">
        <w:r w:rsidRPr="006B378C">
          <w:rPr>
            <w:rStyle w:val="Hyperlink"/>
          </w:rPr>
          <w:t>What is the Monitoring and Reporting Framework?</w:t>
        </w:r>
        <w:r>
          <w:rPr>
            <w:webHidden/>
          </w:rPr>
          <w:tab/>
        </w:r>
        <w:r>
          <w:rPr>
            <w:webHidden/>
          </w:rPr>
          <w:fldChar w:fldCharType="begin"/>
        </w:r>
        <w:r>
          <w:rPr>
            <w:webHidden/>
          </w:rPr>
          <w:instrText xml:space="preserve"> PAGEREF _Toc183533474 \h </w:instrText>
        </w:r>
        <w:r>
          <w:rPr>
            <w:webHidden/>
          </w:rPr>
        </w:r>
        <w:r>
          <w:rPr>
            <w:webHidden/>
          </w:rPr>
          <w:fldChar w:fldCharType="separate"/>
        </w:r>
        <w:r w:rsidR="00E506C4">
          <w:rPr>
            <w:webHidden/>
          </w:rPr>
          <w:t>3</w:t>
        </w:r>
        <w:r>
          <w:rPr>
            <w:webHidden/>
          </w:rPr>
          <w:fldChar w:fldCharType="end"/>
        </w:r>
      </w:hyperlink>
    </w:p>
    <w:p w14:paraId="3E682A59" w14:textId="1EC74EA0"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75" w:history="1">
        <w:r w:rsidRPr="006B378C">
          <w:rPr>
            <w:rStyle w:val="Hyperlink"/>
          </w:rPr>
          <w:t>What are the components of this framework?</w:t>
        </w:r>
        <w:r>
          <w:rPr>
            <w:webHidden/>
          </w:rPr>
          <w:tab/>
        </w:r>
        <w:r>
          <w:rPr>
            <w:webHidden/>
          </w:rPr>
          <w:fldChar w:fldCharType="begin"/>
        </w:r>
        <w:r>
          <w:rPr>
            <w:webHidden/>
          </w:rPr>
          <w:instrText xml:space="preserve"> PAGEREF _Toc183533475 \h </w:instrText>
        </w:r>
        <w:r>
          <w:rPr>
            <w:webHidden/>
          </w:rPr>
        </w:r>
        <w:r>
          <w:rPr>
            <w:webHidden/>
          </w:rPr>
          <w:fldChar w:fldCharType="separate"/>
        </w:r>
        <w:r w:rsidR="00E506C4">
          <w:rPr>
            <w:webHidden/>
          </w:rPr>
          <w:t>3</w:t>
        </w:r>
        <w:r>
          <w:rPr>
            <w:webHidden/>
          </w:rPr>
          <w:fldChar w:fldCharType="end"/>
        </w:r>
      </w:hyperlink>
    </w:p>
    <w:p w14:paraId="3D2D5C98" w14:textId="0AB3B7A4" w:rsidR="007C3A41" w:rsidRDefault="007C3A41">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33476" w:history="1">
        <w:r w:rsidRPr="006B378C">
          <w:rPr>
            <w:rStyle w:val="Hyperlink"/>
            <w:noProof/>
          </w:rPr>
          <w:t>Dashboard on National Dementia Action Plan measures</w:t>
        </w:r>
        <w:r>
          <w:rPr>
            <w:noProof/>
            <w:webHidden/>
          </w:rPr>
          <w:tab/>
        </w:r>
        <w:r>
          <w:rPr>
            <w:noProof/>
            <w:webHidden/>
          </w:rPr>
          <w:fldChar w:fldCharType="begin"/>
        </w:r>
        <w:r>
          <w:rPr>
            <w:noProof/>
            <w:webHidden/>
          </w:rPr>
          <w:instrText xml:space="preserve"> PAGEREF _Toc183533476 \h </w:instrText>
        </w:r>
        <w:r>
          <w:rPr>
            <w:noProof/>
            <w:webHidden/>
          </w:rPr>
        </w:r>
        <w:r>
          <w:rPr>
            <w:noProof/>
            <w:webHidden/>
          </w:rPr>
          <w:fldChar w:fldCharType="separate"/>
        </w:r>
        <w:r w:rsidR="00E506C4">
          <w:rPr>
            <w:noProof/>
            <w:webHidden/>
          </w:rPr>
          <w:t>5</w:t>
        </w:r>
        <w:r>
          <w:rPr>
            <w:noProof/>
            <w:webHidden/>
          </w:rPr>
          <w:fldChar w:fldCharType="end"/>
        </w:r>
      </w:hyperlink>
    </w:p>
    <w:p w14:paraId="1045F8E8" w14:textId="11709CC5"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77" w:history="1">
        <w:r w:rsidRPr="006B378C">
          <w:rPr>
            <w:rStyle w:val="Hyperlink"/>
          </w:rPr>
          <w:t>How were the measures of progress chosen?</w:t>
        </w:r>
        <w:r>
          <w:rPr>
            <w:webHidden/>
          </w:rPr>
          <w:tab/>
        </w:r>
        <w:r>
          <w:rPr>
            <w:webHidden/>
          </w:rPr>
          <w:fldChar w:fldCharType="begin"/>
        </w:r>
        <w:r>
          <w:rPr>
            <w:webHidden/>
          </w:rPr>
          <w:instrText xml:space="preserve"> PAGEREF _Toc183533477 \h </w:instrText>
        </w:r>
        <w:r>
          <w:rPr>
            <w:webHidden/>
          </w:rPr>
        </w:r>
        <w:r>
          <w:rPr>
            <w:webHidden/>
          </w:rPr>
          <w:fldChar w:fldCharType="separate"/>
        </w:r>
        <w:r w:rsidR="00E506C4">
          <w:rPr>
            <w:webHidden/>
          </w:rPr>
          <w:t>5</w:t>
        </w:r>
        <w:r>
          <w:rPr>
            <w:webHidden/>
          </w:rPr>
          <w:fldChar w:fldCharType="end"/>
        </w:r>
      </w:hyperlink>
    </w:p>
    <w:p w14:paraId="676A8CE8" w14:textId="4E6F6204"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78" w:history="1">
        <w:r w:rsidRPr="006B378C">
          <w:rPr>
            <w:rStyle w:val="Hyperlink"/>
          </w:rPr>
          <w:t>What are indicators?</w:t>
        </w:r>
        <w:r>
          <w:rPr>
            <w:webHidden/>
          </w:rPr>
          <w:tab/>
        </w:r>
        <w:r>
          <w:rPr>
            <w:webHidden/>
          </w:rPr>
          <w:fldChar w:fldCharType="begin"/>
        </w:r>
        <w:r>
          <w:rPr>
            <w:webHidden/>
          </w:rPr>
          <w:instrText xml:space="preserve"> PAGEREF _Toc183533478 \h </w:instrText>
        </w:r>
        <w:r>
          <w:rPr>
            <w:webHidden/>
          </w:rPr>
        </w:r>
        <w:r>
          <w:rPr>
            <w:webHidden/>
          </w:rPr>
          <w:fldChar w:fldCharType="separate"/>
        </w:r>
        <w:r w:rsidR="00E506C4">
          <w:rPr>
            <w:webHidden/>
          </w:rPr>
          <w:t>5</w:t>
        </w:r>
        <w:r>
          <w:rPr>
            <w:webHidden/>
          </w:rPr>
          <w:fldChar w:fldCharType="end"/>
        </w:r>
      </w:hyperlink>
    </w:p>
    <w:p w14:paraId="7DAC9C0F" w14:textId="749F2D87"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79" w:history="1">
        <w:r w:rsidRPr="006B378C">
          <w:rPr>
            <w:rStyle w:val="Hyperlink"/>
          </w:rPr>
          <w:t>How were indicators chosen?</w:t>
        </w:r>
        <w:r>
          <w:rPr>
            <w:webHidden/>
          </w:rPr>
          <w:tab/>
        </w:r>
        <w:r>
          <w:rPr>
            <w:webHidden/>
          </w:rPr>
          <w:fldChar w:fldCharType="begin"/>
        </w:r>
        <w:r>
          <w:rPr>
            <w:webHidden/>
          </w:rPr>
          <w:instrText xml:space="preserve"> PAGEREF _Toc183533479 \h </w:instrText>
        </w:r>
        <w:r>
          <w:rPr>
            <w:webHidden/>
          </w:rPr>
        </w:r>
        <w:r>
          <w:rPr>
            <w:webHidden/>
          </w:rPr>
          <w:fldChar w:fldCharType="separate"/>
        </w:r>
        <w:r w:rsidR="00E506C4">
          <w:rPr>
            <w:webHidden/>
          </w:rPr>
          <w:t>6</w:t>
        </w:r>
        <w:r>
          <w:rPr>
            <w:webHidden/>
          </w:rPr>
          <w:fldChar w:fldCharType="end"/>
        </w:r>
      </w:hyperlink>
    </w:p>
    <w:p w14:paraId="61EBEE59" w14:textId="23FF81A5"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80" w:history="1">
        <w:r w:rsidRPr="006B378C">
          <w:rPr>
            <w:rStyle w:val="Hyperlink"/>
          </w:rPr>
          <w:t>Updating indicators over time</w:t>
        </w:r>
        <w:r>
          <w:rPr>
            <w:webHidden/>
          </w:rPr>
          <w:tab/>
        </w:r>
        <w:r>
          <w:rPr>
            <w:webHidden/>
          </w:rPr>
          <w:fldChar w:fldCharType="begin"/>
        </w:r>
        <w:r>
          <w:rPr>
            <w:webHidden/>
          </w:rPr>
          <w:instrText xml:space="preserve"> PAGEREF _Toc183533480 \h </w:instrText>
        </w:r>
        <w:r>
          <w:rPr>
            <w:webHidden/>
          </w:rPr>
        </w:r>
        <w:r>
          <w:rPr>
            <w:webHidden/>
          </w:rPr>
          <w:fldChar w:fldCharType="separate"/>
        </w:r>
        <w:r w:rsidR="00E506C4">
          <w:rPr>
            <w:webHidden/>
          </w:rPr>
          <w:t>7</w:t>
        </w:r>
        <w:r>
          <w:rPr>
            <w:webHidden/>
          </w:rPr>
          <w:fldChar w:fldCharType="end"/>
        </w:r>
      </w:hyperlink>
    </w:p>
    <w:p w14:paraId="3323B2C3" w14:textId="4D8A711C"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81" w:history="1">
        <w:r w:rsidRPr="006B378C">
          <w:rPr>
            <w:rStyle w:val="Hyperlink"/>
          </w:rPr>
          <w:t>How will indicators be reported?</w:t>
        </w:r>
        <w:r>
          <w:rPr>
            <w:webHidden/>
          </w:rPr>
          <w:tab/>
        </w:r>
        <w:r>
          <w:rPr>
            <w:webHidden/>
          </w:rPr>
          <w:fldChar w:fldCharType="begin"/>
        </w:r>
        <w:r>
          <w:rPr>
            <w:webHidden/>
          </w:rPr>
          <w:instrText xml:space="preserve"> PAGEREF _Toc183533481 \h </w:instrText>
        </w:r>
        <w:r>
          <w:rPr>
            <w:webHidden/>
          </w:rPr>
        </w:r>
        <w:r>
          <w:rPr>
            <w:webHidden/>
          </w:rPr>
          <w:fldChar w:fldCharType="separate"/>
        </w:r>
        <w:r w:rsidR="00E506C4">
          <w:rPr>
            <w:webHidden/>
          </w:rPr>
          <w:t>8</w:t>
        </w:r>
        <w:r>
          <w:rPr>
            <w:webHidden/>
          </w:rPr>
          <w:fldChar w:fldCharType="end"/>
        </w:r>
      </w:hyperlink>
    </w:p>
    <w:p w14:paraId="7B8DA1ED" w14:textId="58CF3045" w:rsidR="007C3A41" w:rsidRDefault="007C3A41">
      <w:pPr>
        <w:pStyle w:val="TOC2"/>
        <w:rPr>
          <w:rFonts w:asciiTheme="minorHAnsi" w:eastAsiaTheme="minorEastAsia" w:hAnsiTheme="minorHAnsi" w:cstheme="minorBidi"/>
          <w:color w:val="auto"/>
          <w:kern w:val="2"/>
          <w:szCs w:val="24"/>
          <w:lang w:eastAsia="en-AU"/>
          <w14:ligatures w14:val="standardContextual"/>
        </w:rPr>
      </w:pPr>
      <w:hyperlink w:anchor="_Toc183533482" w:history="1">
        <w:r w:rsidRPr="006B378C">
          <w:rPr>
            <w:rStyle w:val="Hyperlink"/>
          </w:rPr>
          <w:t>Annual activity reporting</w:t>
        </w:r>
        <w:r>
          <w:rPr>
            <w:webHidden/>
          </w:rPr>
          <w:tab/>
        </w:r>
        <w:r>
          <w:rPr>
            <w:webHidden/>
          </w:rPr>
          <w:fldChar w:fldCharType="begin"/>
        </w:r>
        <w:r>
          <w:rPr>
            <w:webHidden/>
          </w:rPr>
          <w:instrText xml:space="preserve"> PAGEREF _Toc183533482 \h </w:instrText>
        </w:r>
        <w:r>
          <w:rPr>
            <w:webHidden/>
          </w:rPr>
        </w:r>
        <w:r>
          <w:rPr>
            <w:webHidden/>
          </w:rPr>
          <w:fldChar w:fldCharType="separate"/>
        </w:r>
        <w:r w:rsidR="00E506C4">
          <w:rPr>
            <w:webHidden/>
          </w:rPr>
          <w:t>9</w:t>
        </w:r>
        <w:r>
          <w:rPr>
            <w:webHidden/>
          </w:rPr>
          <w:fldChar w:fldCharType="end"/>
        </w:r>
      </w:hyperlink>
    </w:p>
    <w:p w14:paraId="0389FF0E" w14:textId="41AB2ABB" w:rsidR="007C3A41" w:rsidRPr="00005573" w:rsidRDefault="007C3A41">
      <w:pPr>
        <w:pStyle w:val="TOC2"/>
        <w:rPr>
          <w:rStyle w:val="Hyperlink"/>
          <w:rFonts w:eastAsiaTheme="minorEastAsia"/>
        </w:rPr>
      </w:pPr>
      <w:hyperlink w:anchor="_Toc183533483" w:history="1">
        <w:r w:rsidRPr="006B378C">
          <w:rPr>
            <w:rStyle w:val="Hyperlink"/>
          </w:rPr>
          <w:t>Evaluation</w:t>
        </w:r>
        <w:r w:rsidRPr="00005573">
          <w:rPr>
            <w:rStyle w:val="Hyperlink"/>
            <w:webHidden/>
          </w:rPr>
          <w:tab/>
        </w:r>
        <w:r w:rsidRPr="00005573">
          <w:rPr>
            <w:rStyle w:val="Hyperlink"/>
            <w:webHidden/>
          </w:rPr>
          <w:fldChar w:fldCharType="begin"/>
        </w:r>
        <w:r w:rsidRPr="00005573">
          <w:rPr>
            <w:rStyle w:val="Hyperlink"/>
            <w:webHidden/>
          </w:rPr>
          <w:instrText xml:space="preserve"> PAGEREF _Toc183533483 \h </w:instrText>
        </w:r>
        <w:r w:rsidRPr="00005573">
          <w:rPr>
            <w:rStyle w:val="Hyperlink"/>
            <w:webHidden/>
          </w:rPr>
        </w:r>
        <w:r w:rsidRPr="00005573">
          <w:rPr>
            <w:rStyle w:val="Hyperlink"/>
            <w:webHidden/>
          </w:rPr>
          <w:fldChar w:fldCharType="separate"/>
        </w:r>
        <w:r w:rsidR="00E506C4">
          <w:rPr>
            <w:rStyle w:val="Hyperlink"/>
            <w:webHidden/>
          </w:rPr>
          <w:t>9</w:t>
        </w:r>
        <w:r w:rsidRPr="00005573">
          <w:rPr>
            <w:rStyle w:val="Hyperlink"/>
            <w:webHidden/>
          </w:rPr>
          <w:fldChar w:fldCharType="end"/>
        </w:r>
      </w:hyperlink>
    </w:p>
    <w:p w14:paraId="1899697A" w14:textId="5B1D9E87" w:rsidR="00D0690C" w:rsidRDefault="00DD6906" w:rsidP="007C3A41">
      <w:pPr>
        <w:sectPr w:rsidR="00D0690C" w:rsidSect="007C3A41">
          <w:headerReference w:type="default" r:id="rId14"/>
          <w:footerReference w:type="default" r:id="rId15"/>
          <w:pgSz w:w="11906" w:h="16838"/>
          <w:pgMar w:top="1701" w:right="1418" w:bottom="1418" w:left="1418" w:header="709" w:footer="709" w:gutter="0"/>
          <w:cols w:space="708"/>
          <w:docGrid w:linePitch="360"/>
        </w:sectPr>
      </w:pPr>
      <w:r w:rsidRPr="00225F45">
        <w:fldChar w:fldCharType="end"/>
      </w:r>
    </w:p>
    <w:p w14:paraId="540D7926" w14:textId="77777777" w:rsidR="00DA66E9" w:rsidRDefault="00DA66E9" w:rsidP="008D649D">
      <w:pPr>
        <w:pStyle w:val="Heading1"/>
      </w:pPr>
      <w:bookmarkStart w:id="1" w:name="_Toc183533473"/>
      <w:r>
        <w:t>National Dementia Action Plan Monitoring and Reporting Framework</w:t>
      </w:r>
      <w:bookmarkEnd w:id="1"/>
    </w:p>
    <w:p w14:paraId="23ED8D02" w14:textId="77777777" w:rsidR="00DA66E9" w:rsidRDefault="00DA66E9" w:rsidP="008D649D">
      <w:pPr>
        <w:pStyle w:val="Heading2"/>
      </w:pPr>
      <w:bookmarkStart w:id="2" w:name="_Toc183533474"/>
      <w:r>
        <w:t>What is the Monitoring and Reporting Framework?</w:t>
      </w:r>
      <w:bookmarkEnd w:id="2"/>
    </w:p>
    <w:p w14:paraId="6B475646" w14:textId="400EED69" w:rsidR="00DA66E9" w:rsidRDefault="00DA66E9" w:rsidP="00DA66E9">
      <w:r>
        <w:t>The National Dementia Action Plan 2024-2034 (</w:t>
      </w:r>
      <w:r w:rsidR="008D649D">
        <w:t xml:space="preserve">Action </w:t>
      </w:r>
      <w:r>
        <w:t>Plan) is a joint initiative between the Australian Government and state and territory governments. Its vision is:</w:t>
      </w:r>
    </w:p>
    <w:p w14:paraId="2AC59F63" w14:textId="77777777" w:rsidR="00DA66E9" w:rsidRPr="008D649D" w:rsidRDefault="00DA66E9" w:rsidP="00DA66E9">
      <w:pPr>
        <w:rPr>
          <w:i/>
          <w:iCs/>
        </w:rPr>
      </w:pPr>
      <w:r w:rsidRPr="008D649D">
        <w:rPr>
          <w:i/>
          <w:iCs/>
        </w:rPr>
        <w:t>People living with dementia and their carers have the best possible quality of life, including their emotional and physical wellbeing. People living in Australia recognise and understand dementia.</w:t>
      </w:r>
    </w:p>
    <w:p w14:paraId="7A80586D" w14:textId="0494CE91" w:rsidR="00DA66E9" w:rsidRDefault="00DA66E9" w:rsidP="00DA66E9">
      <w:r>
        <w:t xml:space="preserve">The </w:t>
      </w:r>
      <w:r w:rsidR="009432A3">
        <w:t>Action</w:t>
      </w:r>
      <w:r>
        <w:t xml:space="preserve"> Plan includes 8 broad actions that support and guide efforts to achieve this vision over 10 years. Each of the 8 actions include ways in which governments will aim to improve outcomes, as well as a broad objective (‘Where do we want to be in 10 years?’), an outcome statement from the perspective of people living with dementia, and measures of progress against each of the actions (‘How will we know if we have made a difference?’). </w:t>
      </w:r>
    </w:p>
    <w:p w14:paraId="28CD4808" w14:textId="758EC718" w:rsidR="00DA66E9" w:rsidRDefault="00DA66E9" w:rsidP="00DA66E9">
      <w:r>
        <w:t xml:space="preserve">This framework lays out an approach agreed by the Australian and state and territory governments to monitor and report progress related to the 8 actions of the </w:t>
      </w:r>
      <w:r w:rsidR="00E8255A">
        <w:t xml:space="preserve">Action </w:t>
      </w:r>
      <w:r>
        <w:t xml:space="preserve">Plan. It aims to support public accountability on whether governments are on track to achieve the </w:t>
      </w:r>
      <w:r w:rsidR="00E8255A">
        <w:t xml:space="preserve">Action </w:t>
      </w:r>
      <w:r>
        <w:t xml:space="preserve">Plan’s vision. It does this by outlining principles for measuring impact and enabling evaluation, as well as describing reporting of activities delivered under actions in the </w:t>
      </w:r>
      <w:r w:rsidR="00E8255A">
        <w:t xml:space="preserve">Action </w:t>
      </w:r>
      <w:r>
        <w:t xml:space="preserve">Plan.  </w:t>
      </w:r>
    </w:p>
    <w:p w14:paraId="66512D40" w14:textId="02C4279B" w:rsidR="00DA66E9" w:rsidRDefault="00DA66E9" w:rsidP="00DA66E9">
      <w:r>
        <w:t xml:space="preserve">Further details about how the </w:t>
      </w:r>
      <w:r w:rsidR="00E8255A">
        <w:t xml:space="preserve">Action Plan </w:t>
      </w:r>
      <w:r>
        <w:t xml:space="preserve">will be implemented by the Australian and state and territory governments can be found in the implementation chapter of the </w:t>
      </w:r>
      <w:r w:rsidR="009432A3">
        <w:t xml:space="preserve">Action </w:t>
      </w:r>
      <w:r>
        <w:t xml:space="preserve">Plan and on the </w:t>
      </w:r>
      <w:hyperlink r:id="rId16" w:history="1">
        <w:r w:rsidRPr="0000000C">
          <w:rPr>
            <w:rStyle w:val="Hyperlink"/>
          </w:rPr>
          <w:t>Department of Health and Aged Care’s website</w:t>
        </w:r>
      </w:hyperlink>
      <w:r>
        <w:t xml:space="preserve">. </w:t>
      </w:r>
    </w:p>
    <w:p w14:paraId="5341E1FE" w14:textId="62D0DC82" w:rsidR="00DA66E9" w:rsidRDefault="00DA66E9" w:rsidP="008D649D">
      <w:pPr>
        <w:pStyle w:val="Heading2"/>
      </w:pPr>
      <w:bookmarkStart w:id="3" w:name="_Toc183533475"/>
      <w:r>
        <w:t>What are the components of this framework?</w:t>
      </w:r>
      <w:bookmarkEnd w:id="3"/>
    </w:p>
    <w:p w14:paraId="21879CC6" w14:textId="18A5612B" w:rsidR="00DA66E9" w:rsidRDefault="00DA66E9" w:rsidP="00DA66E9">
      <w:r>
        <w:t xml:space="preserve">The framework is made up of </w:t>
      </w:r>
      <w:r w:rsidR="00CE3E5C">
        <w:t>4</w:t>
      </w:r>
      <w:r>
        <w:t xml:space="preserve"> components: </w:t>
      </w:r>
    </w:p>
    <w:p w14:paraId="6A96270D" w14:textId="1A0A450F" w:rsidR="00DA66E9" w:rsidRDefault="00DA66E9" w:rsidP="00A4202B">
      <w:pPr>
        <w:pStyle w:val="ListParagraph"/>
        <w:numPr>
          <w:ilvl w:val="0"/>
          <w:numId w:val="37"/>
        </w:numPr>
      </w:pPr>
      <w:r w:rsidRPr="00E35133">
        <w:rPr>
          <w:b/>
          <w:bCs/>
        </w:rPr>
        <w:t>Dashboard on National Dementia Action Plan indicators:</w:t>
      </w:r>
      <w:r>
        <w:t xml:space="preserve"> produced annually by the National Centre for Monitoring Dementia at the Australian Institute of Health and Welfare (AIHW).</w:t>
      </w:r>
      <w:r w:rsidR="00E35133">
        <w:t xml:space="preserve"> </w:t>
      </w:r>
      <w:r>
        <w:t xml:space="preserve">The dashboard will report on the measures of progress set out in the ‘How will we know if the National Dementia Action Plan has made a difference?’ statements under each action in the </w:t>
      </w:r>
      <w:r w:rsidR="00BE15B3">
        <w:t xml:space="preserve">Action </w:t>
      </w:r>
      <w:r>
        <w:t xml:space="preserve">Plan. This will provide a regular and consistent evidence base on how the </w:t>
      </w:r>
      <w:r w:rsidR="009432A3">
        <w:t xml:space="preserve">Action </w:t>
      </w:r>
      <w:r>
        <w:t xml:space="preserve">Plan is tracking to meet its overall objective. </w:t>
      </w:r>
    </w:p>
    <w:p w14:paraId="1D6516BC" w14:textId="1E056FA0" w:rsidR="00DA66E9" w:rsidRDefault="00DA66E9" w:rsidP="00A4202B">
      <w:pPr>
        <w:pStyle w:val="ListParagraph"/>
        <w:numPr>
          <w:ilvl w:val="0"/>
          <w:numId w:val="37"/>
        </w:numPr>
      </w:pPr>
      <w:r w:rsidRPr="00E35133">
        <w:rPr>
          <w:b/>
          <w:bCs/>
        </w:rPr>
        <w:t>Annual activity reporting:</w:t>
      </w:r>
      <w:r>
        <w:t xml:space="preserve"> annual reporting of activities, such as new programs or changes to existing policies and programs, will be undertaken by the Australian and state and territory governments and published annually on the Department of Health and Aged Care website. This will support accountability by the Australian and state and territory governments and make it clear how activities align with the </w:t>
      </w:r>
      <w:r w:rsidR="0068040E">
        <w:t xml:space="preserve">Action </w:t>
      </w:r>
      <w:r>
        <w:t xml:space="preserve">Plan’s actions. </w:t>
      </w:r>
    </w:p>
    <w:p w14:paraId="4A25EB2F" w14:textId="392746C8" w:rsidR="00DA66E9" w:rsidRDefault="00DA66E9" w:rsidP="00A4202B">
      <w:pPr>
        <w:pStyle w:val="ListParagraph"/>
        <w:numPr>
          <w:ilvl w:val="0"/>
          <w:numId w:val="37"/>
        </w:numPr>
      </w:pPr>
      <w:r w:rsidRPr="00E35133">
        <w:rPr>
          <w:b/>
          <w:bCs/>
        </w:rPr>
        <w:t xml:space="preserve">Mid-point review: </w:t>
      </w:r>
      <w:r>
        <w:t xml:space="preserve">will be undertaken to comprehensively assess progress against the </w:t>
      </w:r>
      <w:r w:rsidR="0068040E">
        <w:t xml:space="preserve">Action </w:t>
      </w:r>
      <w:r>
        <w:t xml:space="preserve">Plan. </w:t>
      </w:r>
    </w:p>
    <w:p w14:paraId="68CB642E" w14:textId="625F63A9" w:rsidR="00C532A4" w:rsidRDefault="00C532A4" w:rsidP="00A4202B">
      <w:pPr>
        <w:pStyle w:val="ListParagraph"/>
        <w:numPr>
          <w:ilvl w:val="0"/>
          <w:numId w:val="37"/>
        </w:numPr>
      </w:pPr>
      <w:r>
        <w:rPr>
          <w:b/>
          <w:bCs/>
        </w:rPr>
        <w:t>Final evaluation:</w:t>
      </w:r>
      <w:r>
        <w:t xml:space="preserve"> a final evaluation will be undertaken at the end of the Action Plan to consider how effective it was and measure the impact of actions undertaken.</w:t>
      </w:r>
    </w:p>
    <w:p w14:paraId="7240E5C3" w14:textId="7E1A75FD" w:rsidR="00DA66E9" w:rsidRDefault="00DA66E9" w:rsidP="00DA66E9">
      <w:r>
        <w:t xml:space="preserve">Overarching governance for the implementation of the </w:t>
      </w:r>
      <w:r w:rsidR="009432A3">
        <w:t xml:space="preserve">Action </w:t>
      </w:r>
      <w:r>
        <w:t xml:space="preserve">Plan will be driven by a group of Australian and state and territory government officials and people with lived experience of dementia, supported by the Dementia Expert Reference Group and community representatives as required. The Implementation Group will meet periodically through the duration of the </w:t>
      </w:r>
      <w:r w:rsidR="009432A3">
        <w:t xml:space="preserve">Action </w:t>
      </w:r>
      <w:r>
        <w:t xml:space="preserve">Plan to assess progress and adjust future priorities under the </w:t>
      </w:r>
      <w:r w:rsidR="009432A3">
        <w:t xml:space="preserve">Action </w:t>
      </w:r>
      <w:r>
        <w:t xml:space="preserve">Plan based on progress information generated by components of this framework. </w:t>
      </w:r>
    </w:p>
    <w:p w14:paraId="3EBB54C3" w14:textId="511BDF3E" w:rsidR="00DA66E9" w:rsidRDefault="00DA66E9" w:rsidP="00881071">
      <w:pPr>
        <w:pStyle w:val="FigureTitle"/>
      </w:pPr>
      <w:r>
        <w:t xml:space="preserve">Figure 1: Key components of the </w:t>
      </w:r>
      <w:r w:rsidR="00E35133">
        <w:t xml:space="preserve">Action </w:t>
      </w:r>
      <w:r>
        <w:t>Plan’s Monitoring and Reporting Framework</w:t>
      </w:r>
    </w:p>
    <w:p w14:paraId="4EB743C9" w14:textId="63CDA75D" w:rsidR="00881071" w:rsidRDefault="00A41B16" w:rsidP="00DA66E9">
      <w:r>
        <w:rPr>
          <w:noProof/>
        </w:rPr>
        <w:drawing>
          <wp:inline distT="0" distB="0" distL="0" distR="0" wp14:anchorId="6E77368D" wp14:editId="1E039D23">
            <wp:extent cx="5759450" cy="4238625"/>
            <wp:effectExtent l="0" t="0" r="0" b="9525"/>
            <wp:docPr id="1156474861" name="Picture 1" descr="The figure shows the Implementation Group will consider information from the components of the framework. The components are the data dashboard, annual activity reporting and a mid-poin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74861" name="Picture 1" descr="The figure shows the Implementation Group will consider information from the components of the framework. The components are the data dashboard, annual activity reporting and a mid-point review."/>
                    <pic:cNvPicPr/>
                  </pic:nvPicPr>
                  <pic:blipFill rotWithShape="1">
                    <a:blip r:embed="rId17"/>
                    <a:srcRect b="965"/>
                    <a:stretch/>
                  </pic:blipFill>
                  <pic:spPr bwMode="auto">
                    <a:xfrm>
                      <a:off x="0" y="0"/>
                      <a:ext cx="5759450" cy="4238625"/>
                    </a:xfrm>
                    <a:prstGeom prst="rect">
                      <a:avLst/>
                    </a:prstGeom>
                    <a:ln>
                      <a:noFill/>
                    </a:ln>
                    <a:extLst>
                      <a:ext uri="{53640926-AAD7-44D8-BBD7-CCE9431645EC}">
                        <a14:shadowObscured xmlns:a14="http://schemas.microsoft.com/office/drawing/2010/main"/>
                      </a:ext>
                    </a:extLst>
                  </pic:spPr>
                </pic:pic>
              </a:graphicData>
            </a:graphic>
          </wp:inline>
        </w:drawing>
      </w:r>
    </w:p>
    <w:p w14:paraId="735F556E" w14:textId="77777777" w:rsidR="00DA66E9" w:rsidRDefault="00DA66E9" w:rsidP="00DA66E9">
      <w:r>
        <w:t xml:space="preserve"> </w:t>
      </w:r>
    </w:p>
    <w:p w14:paraId="2B5D561F" w14:textId="77777777" w:rsidR="00DA66E9" w:rsidRDefault="00DA66E9" w:rsidP="00E15ED0">
      <w:pPr>
        <w:pStyle w:val="Heading1"/>
      </w:pPr>
      <w:bookmarkStart w:id="4" w:name="_Toc183533476"/>
      <w:r>
        <w:t>Dashboard on National Dementia Action Plan measures</w:t>
      </w:r>
      <w:bookmarkEnd w:id="4"/>
    </w:p>
    <w:p w14:paraId="36BDB229" w14:textId="77777777" w:rsidR="00DA66E9" w:rsidRDefault="00DA66E9" w:rsidP="00E15ED0">
      <w:pPr>
        <w:pStyle w:val="Heading2"/>
      </w:pPr>
      <w:bookmarkStart w:id="5" w:name="_Toc183533477"/>
      <w:r>
        <w:t>How were the measures of progress chosen?</w:t>
      </w:r>
      <w:bookmarkEnd w:id="5"/>
    </w:p>
    <w:p w14:paraId="2668B300" w14:textId="540D3C51" w:rsidR="00DA66E9" w:rsidRDefault="00DA66E9" w:rsidP="00DA66E9">
      <w:r>
        <w:t xml:space="preserve">Under each action, the </w:t>
      </w:r>
      <w:r w:rsidR="009432A3">
        <w:t xml:space="preserve">Action </w:t>
      </w:r>
      <w:r>
        <w:t xml:space="preserve">Plan lists broad measures of progress titled ‘How will we know if the National Dementia Action Plan has made a difference?’. These measures collectively indicate whether the </w:t>
      </w:r>
      <w:r w:rsidR="009432A3">
        <w:t>Action</w:t>
      </w:r>
      <w:r>
        <w:t xml:space="preserve"> Plan is meeting its objective to improve the lives of people with dementia, their </w:t>
      </w:r>
      <w:proofErr w:type="spellStart"/>
      <w:r>
        <w:t>carers</w:t>
      </w:r>
      <w:proofErr w:type="spellEnd"/>
      <w:r>
        <w:t xml:space="preserve"> and families. These measures were selected through an extensive consultation process including feedback on a public consultation paper that discussed how to monitor and report the </w:t>
      </w:r>
      <w:r w:rsidR="003B193F">
        <w:t xml:space="preserve">Action </w:t>
      </w:r>
      <w:r>
        <w:t xml:space="preserve">Plan’s progress. Input was received from the general public, people living with dementia, their </w:t>
      </w:r>
      <w:proofErr w:type="spellStart"/>
      <w:r>
        <w:t>carers</w:t>
      </w:r>
      <w:proofErr w:type="spellEnd"/>
      <w:r>
        <w:t xml:space="preserve"> and families, dementia experts within and outside government, peak bodies such as Dementia Australia and the National Aboriginal Community Controlled Health Organisation, health and aged care providers and clinicians, and representatives from the Australian and state and territory governments.</w:t>
      </w:r>
    </w:p>
    <w:p w14:paraId="19A7D441" w14:textId="77777777" w:rsidR="00DA66E9" w:rsidRDefault="00DA66E9" w:rsidP="00E15ED0">
      <w:pPr>
        <w:pStyle w:val="Heading2"/>
      </w:pPr>
      <w:bookmarkStart w:id="6" w:name="_Toc183533478"/>
      <w:r>
        <w:t>What are indicators?</w:t>
      </w:r>
      <w:bookmarkEnd w:id="6"/>
    </w:p>
    <w:p w14:paraId="56867F81" w14:textId="6241AB6B" w:rsidR="00DA66E9" w:rsidRDefault="00DA66E9" w:rsidP="00DA66E9">
      <w:r>
        <w:t xml:space="preserve">The AIHW has been tasked with developing and reporting indicators related to the broad measures of progress under each action included in the </w:t>
      </w:r>
      <w:r w:rsidR="00FF653F">
        <w:t xml:space="preserve">Action </w:t>
      </w:r>
      <w:r>
        <w:t xml:space="preserve">Plan. Indicators are </w:t>
      </w:r>
      <w:r w:rsidRPr="009432A3">
        <w:rPr>
          <w:i/>
        </w:rPr>
        <w:t xml:space="preserve">quantifiable and specific metrics (like numbers or percentages) that use data to track whether the </w:t>
      </w:r>
      <w:r w:rsidR="009432A3">
        <w:rPr>
          <w:i/>
          <w:iCs/>
        </w:rPr>
        <w:t xml:space="preserve">Action </w:t>
      </w:r>
      <w:r>
        <w:rPr>
          <w:i/>
        </w:rPr>
        <w:t xml:space="preserve">Plan </w:t>
      </w:r>
      <w:r w:rsidRPr="009432A3">
        <w:rPr>
          <w:i/>
        </w:rPr>
        <w:t>is improving outcomes for people with dementia</w:t>
      </w:r>
      <w:r>
        <w:t>.</w:t>
      </w:r>
      <w:r w:rsidR="009432A3">
        <w:rPr>
          <w:rStyle w:val="FootnoteReference"/>
        </w:rPr>
        <w:footnoteReference w:id="2"/>
      </w:r>
      <w:r w:rsidR="00DB1123">
        <w:t xml:space="preserve"> </w:t>
      </w:r>
      <w:r>
        <w:t xml:space="preserve">See Figure 2 </w:t>
      </w:r>
      <w:r w:rsidR="009432A3">
        <w:t>on opposite page</w:t>
      </w:r>
      <w:r>
        <w:t>.</w:t>
      </w:r>
    </w:p>
    <w:p w14:paraId="3539A891" w14:textId="77777777" w:rsidR="00624B3A" w:rsidRDefault="00624B3A">
      <w:pPr>
        <w:spacing w:before="0" w:after="0" w:line="240" w:lineRule="auto"/>
        <w:rPr>
          <w:b/>
          <w:bCs/>
        </w:rPr>
      </w:pPr>
      <w:r>
        <w:br w:type="page"/>
      </w:r>
    </w:p>
    <w:p w14:paraId="44C82D33" w14:textId="6303634D" w:rsidR="001B7549" w:rsidRDefault="00DA66E9" w:rsidP="001B7549">
      <w:pPr>
        <w:pStyle w:val="FigureTitle"/>
      </w:pPr>
      <w:r w:rsidRPr="001B7549">
        <w:t xml:space="preserve">Figure 2: How reporting on indicators relates to the </w:t>
      </w:r>
      <w:r w:rsidR="00EA3632">
        <w:t xml:space="preserve">Action </w:t>
      </w:r>
      <w:r w:rsidRPr="001B7549">
        <w:t>Plan’s actions and measures of progress</w:t>
      </w:r>
      <w:bookmarkStart w:id="7" w:name="_Toc183533479"/>
    </w:p>
    <w:p w14:paraId="4B3C3CE1" w14:textId="60F87088" w:rsidR="001B7549" w:rsidRPr="001B7549" w:rsidRDefault="001B7549" w:rsidP="001B7549">
      <w:r>
        <w:rPr>
          <w:noProof/>
        </w:rPr>
        <w:drawing>
          <wp:inline distT="0" distB="0" distL="0" distR="0" wp14:anchorId="360207B8" wp14:editId="51EFD895">
            <wp:extent cx="5534025" cy="4953166"/>
            <wp:effectExtent l="0" t="0" r="0" b="0"/>
            <wp:docPr id="1248136352" name="Picture 1" descr="The figure describes how the 8 actions in the Action Plan have broad measures of progress that will be measured by indicators and reported on annually. There are some indicators that do not have data available, and data development i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36352" name="Picture 1" descr="The figure describes how the 8 actions in the Action Plan have broad measures of progress that will be measured by indicators and reported on annually. There are some indicators that do not have data available, and data development is required."/>
                    <pic:cNvPicPr/>
                  </pic:nvPicPr>
                  <pic:blipFill>
                    <a:blip r:embed="rId18"/>
                    <a:stretch>
                      <a:fillRect/>
                    </a:stretch>
                  </pic:blipFill>
                  <pic:spPr>
                    <a:xfrm>
                      <a:off x="0" y="0"/>
                      <a:ext cx="5536034" cy="4954964"/>
                    </a:xfrm>
                    <a:prstGeom prst="rect">
                      <a:avLst/>
                    </a:prstGeom>
                  </pic:spPr>
                </pic:pic>
              </a:graphicData>
            </a:graphic>
          </wp:inline>
        </w:drawing>
      </w:r>
    </w:p>
    <w:p w14:paraId="72AC093B" w14:textId="48DC4176" w:rsidR="00DA66E9" w:rsidRPr="001B7549" w:rsidRDefault="00DA66E9" w:rsidP="001B7549">
      <w:pPr>
        <w:pStyle w:val="Heading2"/>
      </w:pPr>
      <w:r w:rsidRPr="001B7549">
        <w:t>How were indicators chosen?</w:t>
      </w:r>
      <w:bookmarkEnd w:id="7"/>
    </w:p>
    <w:p w14:paraId="4CEB233B" w14:textId="77777777" w:rsidR="00DA66E9" w:rsidRDefault="00DA66E9" w:rsidP="00DA66E9">
      <w:r>
        <w:t>Indicators were selected through: an initial review of existing indicators used in other work to monitor dementia quality of care; an assessment of national data available to monitor dementia and its impacts; consultation with dementia experts within and outside government, peak bodies such as Dementia Australia and the National Aboriginal Community Controlled Health Organisation, people with lived experience of dementia, key data providers and representatives from the Australian and state and territory governments.</w:t>
      </w:r>
    </w:p>
    <w:p w14:paraId="73B35F94" w14:textId="77777777" w:rsidR="00DA66E9" w:rsidRDefault="00DA66E9" w:rsidP="00DA66E9">
      <w:r>
        <w:t>Data to track indicators have been selected based on the following principles:</w:t>
      </w:r>
    </w:p>
    <w:p w14:paraId="4366A61A" w14:textId="6C8DC285" w:rsidR="00DA66E9" w:rsidRDefault="00DA66E9" w:rsidP="00DB1123">
      <w:pPr>
        <w:pStyle w:val="ListParagraph"/>
        <w:numPr>
          <w:ilvl w:val="0"/>
          <w:numId w:val="39"/>
        </w:numPr>
      </w:pPr>
      <w:r>
        <w:t xml:space="preserve">must have information that closely relates to one or more of the </w:t>
      </w:r>
      <w:r w:rsidR="008A3124">
        <w:t xml:space="preserve">Action </w:t>
      </w:r>
      <w:r>
        <w:t xml:space="preserve">Plan’s measures of progress and focus on improved outcomes </w:t>
      </w:r>
    </w:p>
    <w:p w14:paraId="53FF1EAB" w14:textId="3156EDD8" w:rsidR="00DA66E9" w:rsidRDefault="00DA66E9" w:rsidP="00DB1123">
      <w:pPr>
        <w:pStyle w:val="ListParagraph"/>
        <w:numPr>
          <w:ilvl w:val="0"/>
          <w:numId w:val="39"/>
        </w:numPr>
      </w:pPr>
      <w:r>
        <w:t>must be readily available and regularly updated</w:t>
      </w:r>
    </w:p>
    <w:p w14:paraId="7D485D2F" w14:textId="6EEF3BE0" w:rsidR="00DA66E9" w:rsidRDefault="00DA66E9" w:rsidP="00DB1123">
      <w:pPr>
        <w:pStyle w:val="ListParagraph"/>
        <w:numPr>
          <w:ilvl w:val="0"/>
          <w:numId w:val="39"/>
        </w:numPr>
      </w:pPr>
      <w:r>
        <w:t xml:space="preserve">must have transparent and defensible data collection approaches. </w:t>
      </w:r>
    </w:p>
    <w:p w14:paraId="5C2BD6D3" w14:textId="77777777" w:rsidR="00DA66E9" w:rsidRDefault="00DA66E9" w:rsidP="00DA66E9">
      <w:r>
        <w:t xml:space="preserve">For some indicators there are no comprehensive national data available as there are significant dementia data gaps in Australia. Where there are no comprehensive data available (referred to as primary data), there may be ‘proxy’ data that can be used; these are data that may not be as comprehensive or have other limitations, but which are still highly relevant to inform on measures of progress. The dashboard will outline whether data development is underway or needed to improve available data. </w:t>
      </w:r>
    </w:p>
    <w:p w14:paraId="18DD3525" w14:textId="648C3B30" w:rsidR="00DA66E9" w:rsidRDefault="00DA66E9" w:rsidP="00DA66E9">
      <w:r>
        <w:t xml:space="preserve">For some measures of progress, there will be no primary or proxy data available and so no indicators are reported. In these cases, data development activities will be required so that progress can be measured in the future. Appropriate indicators will be chosen as data development occurs over the life of the </w:t>
      </w:r>
      <w:r w:rsidR="00B93C49">
        <w:t xml:space="preserve">Action </w:t>
      </w:r>
      <w:r>
        <w:t xml:space="preserve">Plan. </w:t>
      </w:r>
    </w:p>
    <w:p w14:paraId="794C93C5" w14:textId="77777777" w:rsidR="00DA66E9" w:rsidRDefault="00DA66E9" w:rsidP="00DB1123">
      <w:pPr>
        <w:pStyle w:val="Heading2"/>
      </w:pPr>
      <w:bookmarkStart w:id="8" w:name="_Toc183533480"/>
      <w:r>
        <w:t>Updating indicators over time</w:t>
      </w:r>
      <w:bookmarkEnd w:id="8"/>
    </w:p>
    <w:p w14:paraId="09CDE9C6" w14:textId="1E02D415" w:rsidR="00DA66E9" w:rsidRDefault="00DA66E9" w:rsidP="00DA66E9">
      <w:r>
        <w:t xml:space="preserve">As discussed above, some measures of progress in the </w:t>
      </w:r>
      <w:r w:rsidR="009432A3">
        <w:t>Action</w:t>
      </w:r>
      <w:r>
        <w:t xml:space="preserve"> Plan will require data development before they can be observed and tracked over time through indicators. Data development may entail a data source being created (such as a survey or a new data linkage) or expanding or making an existing data source available (such as government administrative data) to analyse for the purposes of reporting on the </w:t>
      </w:r>
      <w:r w:rsidR="00C93929">
        <w:t xml:space="preserve">Action </w:t>
      </w:r>
      <w:r>
        <w:t xml:space="preserve">Plan’s progress. Work is underway towards closing key data gaps. For more information, see the </w:t>
      </w:r>
      <w:hyperlink r:id="rId19" w:history="1">
        <w:r w:rsidRPr="00826347">
          <w:rPr>
            <w:rStyle w:val="Hyperlink"/>
          </w:rPr>
          <w:t>National Dementia Data Improvement Plan 2023–203</w:t>
        </w:r>
        <w:r w:rsidR="1F6A1AEF" w:rsidRPr="00826347">
          <w:rPr>
            <w:rStyle w:val="Hyperlink"/>
          </w:rPr>
          <w:t>4</w:t>
        </w:r>
      </w:hyperlink>
      <w:r>
        <w:t xml:space="preserve"> which has been developed to guide priorities, including activities required to assess the performance of the </w:t>
      </w:r>
      <w:r w:rsidR="00FE0A9F">
        <w:t xml:space="preserve">Action </w:t>
      </w:r>
      <w:r>
        <w:t xml:space="preserve">Plan.  </w:t>
      </w:r>
    </w:p>
    <w:p w14:paraId="3B8E187D" w14:textId="777D17ED" w:rsidR="00DA66E9" w:rsidRDefault="00DA66E9" w:rsidP="00DA66E9">
      <w:r>
        <w:t xml:space="preserve">It is also worth noting that indicators do not currently incorporate targets—that is, a numeric goal to work towards. Targets require an understanding of the current situation (or baseline) to be relevant, which is currently limited by extensive data gaps related to key outcomes of interest for people with dementia, their </w:t>
      </w:r>
      <w:proofErr w:type="spellStart"/>
      <w:r>
        <w:t>carers</w:t>
      </w:r>
      <w:proofErr w:type="spellEnd"/>
      <w:r>
        <w:t xml:space="preserve"> and families. In the absence of targets, the dashboard will show whether indicators are improving, remaining the same, or getting worse. </w:t>
      </w:r>
    </w:p>
    <w:p w14:paraId="554E38CB" w14:textId="74C7713E" w:rsidR="00DA66E9" w:rsidRDefault="00DA66E9" w:rsidP="00DA66E9">
      <w:r>
        <w:t xml:space="preserve">As data availability changes over time, indicators may be modified and targets introduced. If primary data become available, proxy data sources may be retained if they add additional insights. The mid-point evaluation of the </w:t>
      </w:r>
      <w:r w:rsidR="009432A3">
        <w:t xml:space="preserve">Action </w:t>
      </w:r>
      <w:r>
        <w:t xml:space="preserve">Plan will be a good opportunity to assess data over the first half of the </w:t>
      </w:r>
      <w:r w:rsidR="009432A3">
        <w:t xml:space="preserve">Action </w:t>
      </w:r>
      <w:r>
        <w:t xml:space="preserve">Plan and potentially propose some targets for the second half of the </w:t>
      </w:r>
      <w:r w:rsidR="008B22FD">
        <w:t xml:space="preserve">Action </w:t>
      </w:r>
      <w:r>
        <w:t>Plan. Modifying indicators should only be undertaken if this improves on information previously captured by the original indicator or data source. Experts and key stakeholders will continue to be consulted regularly when the AIHW plan major modifications to existing indicators or the introduction of new ones.</w:t>
      </w:r>
    </w:p>
    <w:p w14:paraId="41373931" w14:textId="77777777" w:rsidR="001B7549" w:rsidRDefault="001B7549">
      <w:pPr>
        <w:spacing w:before="0" w:after="0" w:line="240" w:lineRule="auto"/>
      </w:pPr>
      <w:r>
        <w:br w:type="page"/>
      </w:r>
    </w:p>
    <w:p w14:paraId="34E5A53B" w14:textId="4BE49487" w:rsidR="00DA66E9" w:rsidRDefault="00DA66E9" w:rsidP="002E1B8B">
      <w:pPr>
        <w:pStyle w:val="PolicyStatement"/>
      </w:pPr>
      <w:r>
        <w:t xml:space="preserve">The Australian and state and territory governments are committed to collecting and sharing relevant data to support effective monitoring and reporting of the </w:t>
      </w:r>
      <w:r w:rsidR="00922A6F">
        <w:t xml:space="preserve">Action </w:t>
      </w:r>
      <w:r>
        <w:t xml:space="preserve">Plan. Australian and state and territory government data will be essential for measuring performance and tracking progress. Governments will work together to ensure data needed to measure outcomes for people living with dementia are collected, shared and progressively improved over the life of the </w:t>
      </w:r>
      <w:r w:rsidR="005E5D38">
        <w:t xml:space="preserve">Action </w:t>
      </w:r>
      <w:r>
        <w:t xml:space="preserve">Plan. This will include identifying where data need to be linked between systems to improve our understanding of the impact of the </w:t>
      </w:r>
      <w:r w:rsidR="00F02A14">
        <w:t xml:space="preserve">Action </w:t>
      </w:r>
      <w:r>
        <w:t xml:space="preserve">Plan. Linked de-identified data will provide improved disaggregated information, support the development of new indicators and deliver deeper insights into how and why certain outcomes occur. Key activities and initiatives that governments fund under the course of the </w:t>
      </w:r>
      <w:r w:rsidR="009432A3">
        <w:t xml:space="preserve">Action </w:t>
      </w:r>
      <w:r>
        <w:t xml:space="preserve">Plan will need to embed evaluation and high-quality data collection to inform progress. </w:t>
      </w:r>
    </w:p>
    <w:p w14:paraId="690087F8" w14:textId="77777777" w:rsidR="00DA66E9" w:rsidRDefault="00DA66E9" w:rsidP="00DB1123">
      <w:pPr>
        <w:pStyle w:val="Heading2"/>
      </w:pPr>
      <w:bookmarkStart w:id="9" w:name="_Toc183533481"/>
      <w:r>
        <w:t>How will indicators be reported?</w:t>
      </w:r>
      <w:bookmarkEnd w:id="9"/>
      <w:r>
        <w:t xml:space="preserve"> </w:t>
      </w:r>
    </w:p>
    <w:p w14:paraId="546D367E" w14:textId="1F7956DD" w:rsidR="00DA66E9" w:rsidRDefault="00DA66E9" w:rsidP="00DA66E9">
      <w:r>
        <w:t xml:space="preserve">Indicators will be reported annually through an </w:t>
      </w:r>
      <w:hyperlink r:id="rId20" w:history="1">
        <w:r w:rsidRPr="00C10F3E">
          <w:rPr>
            <w:rStyle w:val="Hyperlink"/>
          </w:rPr>
          <w:t>online dashboard</w:t>
        </w:r>
      </w:hyperlink>
      <w:r>
        <w:t xml:space="preserve"> hosted by the AIHW and will be organised under the relevant action and ‘measure of progress’ to which they relate. The dashboard will provide a comprehensive picture of progress where data are available to report indicators, but also of persistent data gaps and whether any data development activities are being undertaken to allow for reporting relevant indicators in the future.</w:t>
      </w:r>
    </w:p>
    <w:p w14:paraId="7CD07435" w14:textId="77777777" w:rsidR="00DA66E9" w:rsidRDefault="00DA66E9" w:rsidP="00DA66E9">
      <w:r>
        <w:t>Where data are available to report on an indicator, the dashboard will also present:</w:t>
      </w:r>
    </w:p>
    <w:p w14:paraId="64071FCB" w14:textId="08101641" w:rsidR="00DA66E9" w:rsidRDefault="00DA66E9" w:rsidP="00DB1123">
      <w:pPr>
        <w:pStyle w:val="ListParagraph"/>
        <w:numPr>
          <w:ilvl w:val="0"/>
          <w:numId w:val="40"/>
        </w:numPr>
      </w:pPr>
      <w:r>
        <w:t>whether there has been progress over time for a given indicator</w:t>
      </w:r>
    </w:p>
    <w:p w14:paraId="005BA968" w14:textId="6C325F0D" w:rsidR="00DA66E9" w:rsidRDefault="00DA66E9" w:rsidP="00DB1123">
      <w:pPr>
        <w:pStyle w:val="ListParagraph"/>
        <w:numPr>
          <w:ilvl w:val="0"/>
          <w:numId w:val="40"/>
        </w:numPr>
      </w:pPr>
      <w:r>
        <w:t>a description of the data available, guidance on how to interpret the results, and information on data limitations</w:t>
      </w:r>
    </w:p>
    <w:p w14:paraId="577EBB85" w14:textId="637572B4" w:rsidR="00DA66E9" w:rsidRDefault="00DA66E9" w:rsidP="00DB1123">
      <w:pPr>
        <w:pStyle w:val="ListParagraph"/>
        <w:numPr>
          <w:ilvl w:val="0"/>
          <w:numId w:val="40"/>
        </w:numPr>
      </w:pPr>
      <w:r>
        <w:t>where appropriate, statistical breakdowns for priority groups</w:t>
      </w:r>
    </w:p>
    <w:p w14:paraId="33ECB4C3" w14:textId="2BBE3C55" w:rsidR="00DA66E9" w:rsidRDefault="00DA66E9" w:rsidP="00DB1123">
      <w:pPr>
        <w:pStyle w:val="ListParagraph"/>
        <w:numPr>
          <w:ilvl w:val="0"/>
          <w:numId w:val="40"/>
        </w:numPr>
      </w:pPr>
      <w:r>
        <w:t xml:space="preserve">any historical changes to the data sources or specifications for a given indicator. </w:t>
      </w:r>
    </w:p>
    <w:p w14:paraId="1ADF5DBB" w14:textId="5B2757FD" w:rsidR="00DA66E9" w:rsidRDefault="00DA66E9" w:rsidP="00DA66E9">
      <w:r>
        <w:t xml:space="preserve">For some indicators, updated data will not be available annually or available with a time lag (for example, latest data would be 2-3 years behind the current year), and for others, progress is only expected in the longer term. However, annual updates will be carried out with the aim of providing accountability to the public on progress as it occurs, as well as to help inform priorities considered by the </w:t>
      </w:r>
      <w:r w:rsidR="00B86E68">
        <w:t xml:space="preserve">Action </w:t>
      </w:r>
      <w:r>
        <w:t xml:space="preserve">Plan’s Implementation Group. </w:t>
      </w:r>
    </w:p>
    <w:p w14:paraId="061B8DF4" w14:textId="3B8745B7" w:rsidR="00DA66E9" w:rsidRDefault="00DA66E9" w:rsidP="00DA66E9">
      <w:r>
        <w:t xml:space="preserve">The first annual dashboard will provide a baseline of indicators with available data—that is, an indication of the state of play at the start of the </w:t>
      </w:r>
      <w:r w:rsidR="00B86E68">
        <w:t>Action</w:t>
      </w:r>
      <w:r>
        <w:t xml:space="preserve"> Plan. Subsequent annual updates against these indicators would then show changes from the baseline and year-on-year. Assuming data availability improves over time, more indicators will become available, and it is expected that the annual dashboards would increasingly provide a better picture of the impacts of the </w:t>
      </w:r>
      <w:r w:rsidR="00B86E68">
        <w:t xml:space="preserve">Action </w:t>
      </w:r>
      <w:r>
        <w:t xml:space="preserve">Plan. </w:t>
      </w:r>
    </w:p>
    <w:p w14:paraId="6A2173E6" w14:textId="77777777" w:rsidR="00DA66E9" w:rsidRDefault="00DA66E9" w:rsidP="00DB1123">
      <w:pPr>
        <w:pStyle w:val="Heading2"/>
      </w:pPr>
      <w:bookmarkStart w:id="10" w:name="_Toc183533482"/>
      <w:r>
        <w:t>Annual activity reporting</w:t>
      </w:r>
      <w:bookmarkEnd w:id="10"/>
      <w:r>
        <w:t xml:space="preserve"> </w:t>
      </w:r>
    </w:p>
    <w:p w14:paraId="2068297B" w14:textId="390BE9D9" w:rsidR="00DA66E9" w:rsidRDefault="00DA66E9" w:rsidP="00DA66E9">
      <w:r>
        <w:t xml:space="preserve">There will be annual activity reporting on the difference being made under the </w:t>
      </w:r>
      <w:r w:rsidR="00B86E68">
        <w:t xml:space="preserve">Action </w:t>
      </w:r>
      <w:r>
        <w:t>Plan from government-funded initiatives. Annual activity reporting will:</w:t>
      </w:r>
    </w:p>
    <w:p w14:paraId="570C0EE0" w14:textId="7E34817D" w:rsidR="00DA66E9" w:rsidRDefault="00DA66E9" w:rsidP="00DB1123">
      <w:pPr>
        <w:pStyle w:val="ListParagraph"/>
        <w:numPr>
          <w:ilvl w:val="0"/>
          <w:numId w:val="41"/>
        </w:numPr>
      </w:pPr>
      <w:r>
        <w:t xml:space="preserve">enable governments to showcase and promote related activities </w:t>
      </w:r>
    </w:p>
    <w:p w14:paraId="04A39440" w14:textId="38CA642A" w:rsidR="00DA66E9" w:rsidRDefault="00DA66E9" w:rsidP="00DB1123">
      <w:pPr>
        <w:pStyle w:val="ListParagraph"/>
        <w:numPr>
          <w:ilvl w:val="0"/>
          <w:numId w:val="41"/>
        </w:numPr>
      </w:pPr>
      <w:r>
        <w:t xml:space="preserve">provide stakeholders with an up-to-date view of activities undertaken against the </w:t>
      </w:r>
      <w:r w:rsidR="009432A3">
        <w:t xml:space="preserve">Action </w:t>
      </w:r>
      <w:r>
        <w:t>Plan and their progress</w:t>
      </w:r>
    </w:p>
    <w:p w14:paraId="127B0BCF" w14:textId="63B60E7D" w:rsidR="00DA66E9" w:rsidRDefault="00DA66E9" w:rsidP="00DB1123">
      <w:pPr>
        <w:pStyle w:val="ListParagraph"/>
        <w:numPr>
          <w:ilvl w:val="0"/>
          <w:numId w:val="41"/>
        </w:numPr>
      </w:pPr>
      <w:r>
        <w:t xml:space="preserve">clearly describe how the activities are linked to the </w:t>
      </w:r>
      <w:r w:rsidR="009432A3">
        <w:t xml:space="preserve">Action </w:t>
      </w:r>
      <w:r>
        <w:t>Plan and discuss their impact.</w:t>
      </w:r>
    </w:p>
    <w:p w14:paraId="1580AC4A" w14:textId="05559E2D" w:rsidR="00DA66E9" w:rsidRDefault="00DA66E9" w:rsidP="00DA66E9">
      <w:r>
        <w:t xml:space="preserve">The </w:t>
      </w:r>
      <w:r w:rsidR="00B86E68">
        <w:t>Action</w:t>
      </w:r>
      <w:r>
        <w:t xml:space="preserve"> Plan’s Implementation Group (consisting of Australian and state and territory government officials and people with lived experience of dementia) will determine the process and timing of annual reporting. </w:t>
      </w:r>
    </w:p>
    <w:p w14:paraId="045E4D2E" w14:textId="77777777" w:rsidR="00DA66E9" w:rsidRDefault="00DA66E9" w:rsidP="00722C71">
      <w:pPr>
        <w:pStyle w:val="Heading2"/>
      </w:pPr>
      <w:bookmarkStart w:id="11" w:name="_Toc183533483"/>
      <w:r>
        <w:t>Evaluation</w:t>
      </w:r>
      <w:bookmarkEnd w:id="11"/>
    </w:p>
    <w:p w14:paraId="30C39D54" w14:textId="4EB47137" w:rsidR="00DA66E9" w:rsidRDefault="00DA66E9" w:rsidP="00DA66E9">
      <w:r>
        <w:t xml:space="preserve">A mid-point review will be undertaken to comprehensively assess progress against the </w:t>
      </w:r>
      <w:r w:rsidR="009432A3">
        <w:t xml:space="preserve">Action </w:t>
      </w:r>
      <w:r>
        <w:t>Plan and consider:</w:t>
      </w:r>
    </w:p>
    <w:p w14:paraId="5B775B28" w14:textId="6881199E" w:rsidR="00DA66E9" w:rsidRDefault="00DA66E9" w:rsidP="00722C71">
      <w:pPr>
        <w:pStyle w:val="ListParagraph"/>
        <w:numPr>
          <w:ilvl w:val="0"/>
          <w:numId w:val="42"/>
        </w:numPr>
      </w:pPr>
      <w:r>
        <w:t xml:space="preserve">progress made on implementing the actions set out in the </w:t>
      </w:r>
      <w:r w:rsidR="009432A3">
        <w:t xml:space="preserve">Action </w:t>
      </w:r>
      <w:r>
        <w:t xml:space="preserve">Plan and the impact of these actions in improving outcomes for people living with dementia, their </w:t>
      </w:r>
      <w:proofErr w:type="spellStart"/>
      <w:r>
        <w:t>carers</w:t>
      </w:r>
      <w:proofErr w:type="spellEnd"/>
      <w:r>
        <w:t xml:space="preserve"> and families</w:t>
      </w:r>
    </w:p>
    <w:p w14:paraId="0CF0FDDA" w14:textId="33724DAF" w:rsidR="00DA66E9" w:rsidRDefault="00DA66E9" w:rsidP="00722C71">
      <w:pPr>
        <w:pStyle w:val="ListParagraph"/>
        <w:numPr>
          <w:ilvl w:val="0"/>
          <w:numId w:val="42"/>
        </w:numPr>
      </w:pPr>
      <w:r>
        <w:t xml:space="preserve">any factors impacting implementation or limiting the ability of governments and others to make progress towards the 8 actions described in the </w:t>
      </w:r>
      <w:r w:rsidR="00B86E68">
        <w:t xml:space="preserve">Action </w:t>
      </w:r>
      <w:r>
        <w:t>Plan</w:t>
      </w:r>
    </w:p>
    <w:p w14:paraId="14475264" w14:textId="129BFABA" w:rsidR="00DA66E9" w:rsidRDefault="00DA66E9" w:rsidP="00722C71">
      <w:pPr>
        <w:pStyle w:val="ListParagraph"/>
        <w:numPr>
          <w:ilvl w:val="0"/>
          <w:numId w:val="42"/>
        </w:numPr>
      </w:pPr>
      <w:r>
        <w:t xml:space="preserve">opportunities for improvement, including to better target actions to meet the needs of people living with dementia, their </w:t>
      </w:r>
      <w:proofErr w:type="spellStart"/>
      <w:r>
        <w:t>carers</w:t>
      </w:r>
      <w:proofErr w:type="spellEnd"/>
      <w:r>
        <w:t xml:space="preserve"> and families, to improve the effectiveness and efficiency of implementation or to improve governance, monitoring and reporting arrangements (such as the indicators captured in the annual dashboard)</w:t>
      </w:r>
    </w:p>
    <w:p w14:paraId="0F3070AA" w14:textId="6BD6EC8C" w:rsidR="00DA66E9" w:rsidRDefault="00DA66E9" w:rsidP="00722C71">
      <w:pPr>
        <w:pStyle w:val="ListParagraph"/>
        <w:numPr>
          <w:ilvl w:val="0"/>
          <w:numId w:val="42"/>
        </w:numPr>
      </w:pPr>
      <w:r>
        <w:t xml:space="preserve">any new developments made in dementia research, technology or supports and how these could be incorporated into the </w:t>
      </w:r>
      <w:r w:rsidR="009432A3">
        <w:t xml:space="preserve">Action </w:t>
      </w:r>
      <w:r>
        <w:t>Plan moving forward.</w:t>
      </w:r>
    </w:p>
    <w:p w14:paraId="505EF549" w14:textId="77777777" w:rsidR="00DA66E9" w:rsidRDefault="00DA66E9" w:rsidP="00DA66E9">
      <w:r>
        <w:t>The review would be undertaken in close collaboration with people with lived experience of dementia and a report on the outcomes of the review would be made publicly available.</w:t>
      </w:r>
    </w:p>
    <w:p w14:paraId="507038B3" w14:textId="74E212E4" w:rsidR="00E169D8" w:rsidRDefault="00DA66E9" w:rsidP="00DA66E9">
      <w:r>
        <w:t>At the end of the Action Plan, a final evaluation will be undertaken</w:t>
      </w:r>
      <w:r w:rsidR="00085FCD">
        <w:t xml:space="preserve"> which</w:t>
      </w:r>
      <w:r>
        <w:t xml:space="preserve"> will consider how effective the Action Plan was and measure the impact of actions</w:t>
      </w:r>
      <w:r w:rsidR="00B6133E">
        <w:t xml:space="preserve">. </w:t>
      </w:r>
    </w:p>
    <w:p w14:paraId="7C3BFA86" w14:textId="77777777" w:rsidR="000B0275" w:rsidRDefault="000B0275">
      <w:pPr>
        <w:spacing w:before="0" w:after="0" w:line="240" w:lineRule="auto"/>
      </w:pPr>
    </w:p>
    <w:sectPr w:rsidR="000B0275" w:rsidSect="00881071">
      <w:headerReference w:type="even" r:id="rId2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7962" w14:textId="77777777" w:rsidR="00B2018D" w:rsidRDefault="00B2018D" w:rsidP="00934368">
      <w:r>
        <w:separator/>
      </w:r>
    </w:p>
    <w:p w14:paraId="4B284CEA" w14:textId="77777777" w:rsidR="00B2018D" w:rsidRDefault="00B2018D" w:rsidP="00934368"/>
  </w:endnote>
  <w:endnote w:type="continuationSeparator" w:id="0">
    <w:p w14:paraId="0D78E256" w14:textId="77777777" w:rsidR="00B2018D" w:rsidRDefault="00B2018D" w:rsidP="00934368">
      <w:r>
        <w:continuationSeparator/>
      </w:r>
    </w:p>
    <w:p w14:paraId="718FB1FD" w14:textId="77777777" w:rsidR="00B2018D" w:rsidRDefault="00B2018D" w:rsidP="00934368"/>
  </w:endnote>
  <w:endnote w:type="continuationNotice" w:id="1">
    <w:p w14:paraId="59132D8F" w14:textId="77777777" w:rsidR="00B2018D" w:rsidRDefault="00B2018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E7C2" w14:textId="502D53C9" w:rsidR="00627385" w:rsidRPr="00386805" w:rsidRDefault="00386805"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090B" w14:textId="2E05129F" w:rsidR="00627385" w:rsidRDefault="00627385" w:rsidP="00627385">
    <w:pPr>
      <w:tabs>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98FB" w14:textId="5AD44548" w:rsidR="00751A23" w:rsidRPr="00386805" w:rsidRDefault="00386805" w:rsidP="00934368">
    <w:pPr>
      <w:pStyle w:val="Footer"/>
      <w:rPr>
        <w:sz w:val="21"/>
        <w:szCs w:val="21"/>
      </w:rPr>
    </w:pPr>
    <w:r w:rsidRPr="00386805">
      <w:rPr>
        <w:sz w:val="21"/>
        <w:szCs w:val="21"/>
      </w:rPr>
      <w:t xml:space="preserve"> </w:t>
    </w:r>
    <w:r>
      <w:rPr>
        <w:sz w:val="21"/>
        <w:szCs w:val="21"/>
      </w:rPr>
      <w:t xml:space="preserve"> </w:t>
    </w:r>
    <w:sdt>
      <w:sdtPr>
        <w:rPr>
          <w:sz w:val="21"/>
          <w:szCs w:val="21"/>
        </w:rPr>
        <w:id w:val="-443848716"/>
        <w:docPartObj>
          <w:docPartGallery w:val="Page Numbers (Bottom of Page)"/>
          <w:docPartUnique/>
        </w:docPartObj>
      </w:sdtPr>
      <w:sdtEndPr>
        <w:rPr>
          <w:noProof/>
        </w:rPr>
      </w:sdtEndPr>
      <w:sdtContent>
        <w:r w:rsidR="00751A23" w:rsidRPr="00386805">
          <w:rPr>
            <w:sz w:val="21"/>
            <w:szCs w:val="21"/>
          </w:rPr>
          <w:tab/>
        </w: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3</w:t>
        </w:r>
        <w:r w:rsidRPr="00386805">
          <w:rPr>
            <w:b/>
            <w:bCs/>
            <w:noProof/>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90FA" w14:textId="77777777" w:rsidR="00B2018D" w:rsidRDefault="00B2018D" w:rsidP="00934368">
      <w:r>
        <w:separator/>
      </w:r>
    </w:p>
    <w:p w14:paraId="203B8BC2" w14:textId="77777777" w:rsidR="00B2018D" w:rsidRDefault="00B2018D" w:rsidP="00934368"/>
  </w:footnote>
  <w:footnote w:type="continuationSeparator" w:id="0">
    <w:p w14:paraId="28554B38" w14:textId="77777777" w:rsidR="00B2018D" w:rsidRDefault="00B2018D" w:rsidP="00934368">
      <w:r>
        <w:continuationSeparator/>
      </w:r>
    </w:p>
    <w:p w14:paraId="6B337C8B" w14:textId="77777777" w:rsidR="00B2018D" w:rsidRDefault="00B2018D" w:rsidP="00934368"/>
  </w:footnote>
  <w:footnote w:type="continuationNotice" w:id="1">
    <w:p w14:paraId="2C6805BF" w14:textId="77777777" w:rsidR="00B2018D" w:rsidRDefault="00B2018D" w:rsidP="00934368"/>
  </w:footnote>
  <w:footnote w:id="2">
    <w:p w14:paraId="26B5416A" w14:textId="4A2048E5" w:rsidR="009432A3" w:rsidRPr="009432A3" w:rsidRDefault="009432A3">
      <w:pPr>
        <w:pStyle w:val="FootnoteText"/>
      </w:pPr>
      <w:r>
        <w:rPr>
          <w:rStyle w:val="FootnoteReference"/>
        </w:rPr>
        <w:footnoteRef/>
      </w:r>
      <w:r>
        <w:t xml:space="preserve"> </w:t>
      </w:r>
      <w:r w:rsidRPr="009432A3">
        <w:t>For a small number of indicators, it is not appropriate to report numerical data (for example, reporting on improved national data for measuring the number of people living with dementia). Instead</w:t>
      </w:r>
      <w:r>
        <w:t>,</w:t>
      </w:r>
      <w:r w:rsidRPr="009432A3">
        <w:t xml:space="preserve"> the state of progress will be described.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76B4" w14:textId="590DC85F" w:rsidR="003B1273" w:rsidRDefault="00AB3AF9" w:rsidP="006249DC">
    <w:pPr>
      <w:pStyle w:val="Header"/>
      <w:ind w:firstLine="720"/>
      <w:rPr>
        <w:noProof/>
        <w:lang w:eastAsia="en-AU"/>
      </w:rPr>
    </w:pPr>
    <w:r>
      <w:rPr>
        <w:noProof/>
        <w:lang w:eastAsia="en-AU"/>
      </w:rPr>
      <w:drawing>
        <wp:anchor distT="0" distB="0" distL="114300" distR="114300" simplePos="0" relativeHeight="251658241" behindDoc="1" locked="0" layoutInCell="1" allowOverlap="1" wp14:anchorId="7FDC5281" wp14:editId="65DE444D">
          <wp:simplePos x="0" y="0"/>
          <wp:positionH relativeFrom="page">
            <wp:align>left</wp:align>
          </wp:positionH>
          <wp:positionV relativeFrom="page">
            <wp:posOffset>19050</wp:posOffset>
          </wp:positionV>
          <wp:extent cx="8006080" cy="10720029"/>
          <wp:effectExtent l="0" t="0" r="0" b="0"/>
          <wp:wrapNone/>
          <wp:docPr id="1176122611" name="Picture 11761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6080" cy="10720029"/>
                  </a:xfrm>
                  <a:prstGeom prst="rect">
                    <a:avLst/>
                  </a:prstGeom>
                </pic:spPr>
              </pic:pic>
            </a:graphicData>
          </a:graphic>
          <wp14:sizeRelH relativeFrom="margin">
            <wp14:pctWidth>0</wp14:pctWidth>
          </wp14:sizeRelH>
          <wp14:sizeRelV relativeFrom="margin">
            <wp14:pctHeight>0</wp14:pctHeight>
          </wp14:sizeRelV>
        </wp:anchor>
      </w:drawing>
    </w:r>
  </w:p>
  <w:p w14:paraId="4662AA7C" w14:textId="175AB02B" w:rsidR="00751A23" w:rsidRDefault="00627385" w:rsidP="00934368">
    <w:pPr>
      <w:pStyle w:val="Header"/>
    </w:pPr>
    <w:r>
      <w:rPr>
        <w:noProof/>
      </w:rPr>
      <mc:AlternateContent>
        <mc:Choice Requires="wps">
          <w:drawing>
            <wp:anchor distT="0" distB="0" distL="114300" distR="114300" simplePos="0" relativeHeight="251658240" behindDoc="1" locked="0" layoutInCell="1" allowOverlap="1" wp14:anchorId="7D03E025" wp14:editId="18BAD970">
              <wp:simplePos x="0" y="0"/>
              <wp:positionH relativeFrom="column">
                <wp:posOffset>-881380</wp:posOffset>
              </wp:positionH>
              <wp:positionV relativeFrom="paragraph">
                <wp:posOffset>3995420</wp:posOffset>
              </wp:positionV>
              <wp:extent cx="7610475" cy="6238875"/>
              <wp:effectExtent l="0" t="0" r="9525" b="952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6238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DFBA071" id="Rectangle 23" o:spid="_x0000_s1026" alt="&quot;&quot;" style="position:absolute;margin-left:-69.4pt;margin-top:314.6pt;width:599.25pt;height:491.25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" fillcolor="#f1f2f2 [321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05A8" w14:textId="77777777" w:rsidR="008E0C77" w:rsidRDefault="008E0C77" w:rsidP="00934368">
    <w:pPr>
      <w:pStyle w:val="Head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88EE" w14:textId="23D3B85D" w:rsidR="00D0690C" w:rsidRDefault="00D0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2E4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3AF83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C7C0D3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ABCB75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4C225D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7EE512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8" w15:restartNumberingAfterBreak="0">
    <w:nsid w:val="04403DDD"/>
    <w:multiLevelType w:val="multilevel"/>
    <w:tmpl w:val="4D7E6C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A1D3ADF"/>
    <w:multiLevelType w:val="hybridMultilevel"/>
    <w:tmpl w:val="1AD4A19C"/>
    <w:lvl w:ilvl="0" w:tplc="4772383C">
      <w:start w:val="1"/>
      <w:numFmt w:val="bullet"/>
      <w:lvlText w:val="•"/>
      <w:lvlJc w:val="left"/>
      <w:pPr>
        <w:tabs>
          <w:tab w:val="num" w:pos="720"/>
        </w:tabs>
        <w:ind w:left="720" w:hanging="360"/>
      </w:pPr>
      <w:rPr>
        <w:rFonts w:ascii="Calibri" w:hAnsi="Calibri" w:hint="default"/>
      </w:rPr>
    </w:lvl>
    <w:lvl w:ilvl="1" w:tplc="E28A6918" w:tentative="1">
      <w:start w:val="1"/>
      <w:numFmt w:val="bullet"/>
      <w:lvlText w:val="o"/>
      <w:lvlJc w:val="left"/>
      <w:pPr>
        <w:ind w:left="1440" w:hanging="360"/>
      </w:pPr>
      <w:rPr>
        <w:rFonts w:ascii="Courier New" w:hAnsi="Courier New" w:cs="Courier New" w:hint="default"/>
      </w:rPr>
    </w:lvl>
    <w:lvl w:ilvl="2" w:tplc="4DA426AA" w:tentative="1">
      <w:start w:val="1"/>
      <w:numFmt w:val="bullet"/>
      <w:lvlText w:val=""/>
      <w:lvlJc w:val="left"/>
      <w:pPr>
        <w:ind w:left="2160" w:hanging="360"/>
      </w:pPr>
      <w:rPr>
        <w:rFonts w:ascii="Wingdings" w:hAnsi="Wingdings" w:hint="default"/>
      </w:rPr>
    </w:lvl>
    <w:lvl w:ilvl="3" w:tplc="AB8A49FA" w:tentative="1">
      <w:start w:val="1"/>
      <w:numFmt w:val="bullet"/>
      <w:lvlText w:val=""/>
      <w:lvlJc w:val="left"/>
      <w:pPr>
        <w:ind w:left="2880" w:hanging="360"/>
      </w:pPr>
      <w:rPr>
        <w:rFonts w:ascii="Symbol" w:hAnsi="Symbol" w:hint="default"/>
      </w:rPr>
    </w:lvl>
    <w:lvl w:ilvl="4" w:tplc="75301594" w:tentative="1">
      <w:start w:val="1"/>
      <w:numFmt w:val="bullet"/>
      <w:lvlText w:val="o"/>
      <w:lvlJc w:val="left"/>
      <w:pPr>
        <w:ind w:left="3600" w:hanging="360"/>
      </w:pPr>
      <w:rPr>
        <w:rFonts w:ascii="Courier New" w:hAnsi="Courier New" w:cs="Courier New" w:hint="default"/>
      </w:rPr>
    </w:lvl>
    <w:lvl w:ilvl="5" w:tplc="1A581C7A" w:tentative="1">
      <w:start w:val="1"/>
      <w:numFmt w:val="bullet"/>
      <w:lvlText w:val=""/>
      <w:lvlJc w:val="left"/>
      <w:pPr>
        <w:ind w:left="4320" w:hanging="360"/>
      </w:pPr>
      <w:rPr>
        <w:rFonts w:ascii="Wingdings" w:hAnsi="Wingdings" w:hint="default"/>
      </w:rPr>
    </w:lvl>
    <w:lvl w:ilvl="6" w:tplc="D598E0DA" w:tentative="1">
      <w:start w:val="1"/>
      <w:numFmt w:val="bullet"/>
      <w:lvlText w:val=""/>
      <w:lvlJc w:val="left"/>
      <w:pPr>
        <w:ind w:left="5040" w:hanging="360"/>
      </w:pPr>
      <w:rPr>
        <w:rFonts w:ascii="Symbol" w:hAnsi="Symbol" w:hint="default"/>
      </w:rPr>
    </w:lvl>
    <w:lvl w:ilvl="7" w:tplc="CD6650EA" w:tentative="1">
      <w:start w:val="1"/>
      <w:numFmt w:val="bullet"/>
      <w:lvlText w:val="o"/>
      <w:lvlJc w:val="left"/>
      <w:pPr>
        <w:ind w:left="5760" w:hanging="360"/>
      </w:pPr>
      <w:rPr>
        <w:rFonts w:ascii="Courier New" w:hAnsi="Courier New" w:cs="Courier New" w:hint="default"/>
      </w:rPr>
    </w:lvl>
    <w:lvl w:ilvl="8" w:tplc="97BC93CC" w:tentative="1">
      <w:start w:val="1"/>
      <w:numFmt w:val="bullet"/>
      <w:lvlText w:val=""/>
      <w:lvlJc w:val="left"/>
      <w:pPr>
        <w:ind w:left="6480" w:hanging="360"/>
      </w:pPr>
      <w:rPr>
        <w:rFonts w:ascii="Wingdings" w:hAnsi="Wingdings" w:hint="default"/>
      </w:rPr>
    </w:lvl>
  </w:abstractNum>
  <w:abstractNum w:abstractNumId="11" w15:restartNumberingAfterBreak="0">
    <w:nsid w:val="0CA1218F"/>
    <w:multiLevelType w:val="hybridMultilevel"/>
    <w:tmpl w:val="4672E914"/>
    <w:lvl w:ilvl="0" w:tplc="F5EAC4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multilevel"/>
    <w:tmpl w:val="02BEAFCA"/>
    <w:lvl w:ilvl="0">
      <w:start w:val="1"/>
      <w:numFmt w:val="bullet"/>
      <w:lvlText w:val="l"/>
      <w:lvlJc w:val="left"/>
      <w:pPr>
        <w:ind w:left="644" w:hanging="284"/>
      </w:pPr>
      <w:rPr>
        <w:rFonts w:ascii="Wingdings" w:hAnsi="Wingdings"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70F41AA"/>
    <w:multiLevelType w:val="hybridMultilevel"/>
    <w:tmpl w:val="C180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E96C51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A55BF"/>
    <w:multiLevelType w:val="hybridMultilevel"/>
    <w:tmpl w:val="7DA6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67569C6"/>
    <w:multiLevelType w:val="multilevel"/>
    <w:tmpl w:val="13586ED8"/>
    <w:numStyleLink w:val="Style2"/>
  </w:abstractNum>
  <w:abstractNum w:abstractNumId="19" w15:restartNumberingAfterBreak="0">
    <w:nsid w:val="3B7D5C67"/>
    <w:multiLevelType w:val="hybridMultilevel"/>
    <w:tmpl w:val="67908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54390E"/>
    <w:multiLevelType w:val="hybridMultilevel"/>
    <w:tmpl w:val="221CF9CA"/>
    <w:lvl w:ilvl="0" w:tplc="E1921B64">
      <w:start w:val="1"/>
      <w:numFmt w:val="bullet"/>
      <w:lvlText w:val="•"/>
      <w:lvlJc w:val="left"/>
      <w:pPr>
        <w:tabs>
          <w:tab w:val="num" w:pos="720"/>
        </w:tabs>
        <w:ind w:left="720" w:hanging="360"/>
      </w:pPr>
      <w:rPr>
        <w:rFonts w:ascii="Calibri" w:hAnsi="Calibri" w:hint="default"/>
      </w:rPr>
    </w:lvl>
    <w:lvl w:ilvl="1" w:tplc="0C090003">
      <w:start w:val="1"/>
      <w:numFmt w:val="bullet"/>
      <w:lvlText w:val="•"/>
      <w:lvlJc w:val="left"/>
      <w:pPr>
        <w:tabs>
          <w:tab w:val="num" w:pos="1440"/>
        </w:tabs>
        <w:ind w:left="1440" w:hanging="360"/>
      </w:pPr>
      <w:rPr>
        <w:rFonts w:ascii="Calibri" w:hAnsi="Calibri" w:hint="default"/>
      </w:rPr>
    </w:lvl>
    <w:lvl w:ilvl="2" w:tplc="0C090005">
      <w:start w:val="1"/>
      <w:numFmt w:val="bullet"/>
      <w:lvlText w:val=""/>
      <w:lvlJc w:val="left"/>
      <w:pPr>
        <w:tabs>
          <w:tab w:val="num" w:pos="2084"/>
        </w:tabs>
        <w:ind w:left="2084" w:hanging="284"/>
      </w:pPr>
      <w:rPr>
        <w:rFonts w:ascii="Symbol" w:hAnsi="Symbol" w:hint="default"/>
      </w:rPr>
    </w:lvl>
    <w:lvl w:ilvl="3" w:tplc="0C090001">
      <w:start w:val="1"/>
      <w:numFmt w:val="bullet"/>
      <w:lvlText w:val="•"/>
      <w:lvlJc w:val="left"/>
      <w:pPr>
        <w:tabs>
          <w:tab w:val="num" w:pos="2880"/>
        </w:tabs>
        <w:ind w:left="2880" w:hanging="360"/>
      </w:pPr>
      <w:rPr>
        <w:rFonts w:ascii="Calibri" w:hAnsi="Calibri" w:hint="default"/>
      </w:rPr>
    </w:lvl>
    <w:lvl w:ilvl="4" w:tplc="0C090003" w:tentative="1">
      <w:start w:val="1"/>
      <w:numFmt w:val="bullet"/>
      <w:lvlText w:val="•"/>
      <w:lvlJc w:val="left"/>
      <w:pPr>
        <w:tabs>
          <w:tab w:val="num" w:pos="3600"/>
        </w:tabs>
        <w:ind w:left="3600" w:hanging="360"/>
      </w:pPr>
      <w:rPr>
        <w:rFonts w:ascii="Calibri" w:hAnsi="Calibri" w:hint="default"/>
      </w:rPr>
    </w:lvl>
    <w:lvl w:ilvl="5" w:tplc="0C090005" w:tentative="1">
      <w:start w:val="1"/>
      <w:numFmt w:val="bullet"/>
      <w:lvlText w:val="•"/>
      <w:lvlJc w:val="left"/>
      <w:pPr>
        <w:tabs>
          <w:tab w:val="num" w:pos="4320"/>
        </w:tabs>
        <w:ind w:left="4320" w:hanging="360"/>
      </w:pPr>
      <w:rPr>
        <w:rFonts w:ascii="Calibri" w:hAnsi="Calibri" w:hint="default"/>
      </w:rPr>
    </w:lvl>
    <w:lvl w:ilvl="6" w:tplc="0C090001" w:tentative="1">
      <w:start w:val="1"/>
      <w:numFmt w:val="bullet"/>
      <w:lvlText w:val="•"/>
      <w:lvlJc w:val="left"/>
      <w:pPr>
        <w:tabs>
          <w:tab w:val="num" w:pos="5040"/>
        </w:tabs>
        <w:ind w:left="5040" w:hanging="360"/>
      </w:pPr>
      <w:rPr>
        <w:rFonts w:ascii="Calibri" w:hAnsi="Calibri" w:hint="default"/>
      </w:rPr>
    </w:lvl>
    <w:lvl w:ilvl="7" w:tplc="0C090003" w:tentative="1">
      <w:start w:val="1"/>
      <w:numFmt w:val="bullet"/>
      <w:lvlText w:val="•"/>
      <w:lvlJc w:val="left"/>
      <w:pPr>
        <w:tabs>
          <w:tab w:val="num" w:pos="5760"/>
        </w:tabs>
        <w:ind w:left="5760" w:hanging="360"/>
      </w:pPr>
      <w:rPr>
        <w:rFonts w:ascii="Calibri" w:hAnsi="Calibri" w:hint="default"/>
      </w:rPr>
    </w:lvl>
    <w:lvl w:ilvl="8" w:tplc="0C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7EC7059"/>
    <w:multiLevelType w:val="hybridMultilevel"/>
    <w:tmpl w:val="9BDE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23" w15:restartNumberingAfterBreak="0">
    <w:nsid w:val="500A4EAD"/>
    <w:multiLevelType w:val="hybridMultilevel"/>
    <w:tmpl w:val="2654DC9E"/>
    <w:lvl w:ilvl="0" w:tplc="F5EAC41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15:restartNumberingAfterBreak="0">
    <w:nsid w:val="507D175A"/>
    <w:multiLevelType w:val="hybridMultilevel"/>
    <w:tmpl w:val="21F6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055BF7"/>
    <w:multiLevelType w:val="hybridMultilevel"/>
    <w:tmpl w:val="AC8270AE"/>
    <w:lvl w:ilvl="0" w:tplc="F5EAC4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F41A2F"/>
    <w:multiLevelType w:val="hybridMultilevel"/>
    <w:tmpl w:val="50320C18"/>
    <w:lvl w:ilvl="0" w:tplc="23BC6DBE">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15:restartNumberingAfterBreak="0">
    <w:nsid w:val="6CF8287E"/>
    <w:multiLevelType w:val="hybridMultilevel"/>
    <w:tmpl w:val="FE2A36DA"/>
    <w:lvl w:ilvl="0" w:tplc="0C09000F">
      <w:start w:val="1"/>
      <w:numFmt w:val="bullet"/>
      <w:pStyle w:val="Table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0" w15:restartNumberingAfterBreak="0">
    <w:nsid w:val="6F6F31DC"/>
    <w:multiLevelType w:val="multilevel"/>
    <w:tmpl w:val="36583E48"/>
    <w:lvl w:ilvl="0">
      <w:start w:val="1"/>
      <w:numFmt w:val="bullet"/>
      <w:lvlText w:val=""/>
      <w:lvlJc w:val="left"/>
      <w:pPr>
        <w:ind w:left="360" w:hanging="360"/>
      </w:pPr>
      <w:rPr>
        <w:rFonts w:ascii="Symbol" w:hAnsi="Symbol" w:hint="default"/>
        <w:color w:val="1E1545" w:themeColor="tex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ascii="Arial" w:hAnsi="Arial" w:hint="default"/>
        <w:b w:val="0"/>
        <w:i w:val="0"/>
        <w:sz w:val="24"/>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31" w15:restartNumberingAfterBreak="0">
    <w:nsid w:val="70BE7AC9"/>
    <w:multiLevelType w:val="multilevel"/>
    <w:tmpl w:val="13586ED8"/>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71227BF5"/>
    <w:multiLevelType w:val="hybridMultilevel"/>
    <w:tmpl w:val="E5F46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8D6C02"/>
    <w:multiLevelType w:val="hybridMultilevel"/>
    <w:tmpl w:val="A4A606B8"/>
    <w:lvl w:ilvl="0" w:tplc="3EB6151E">
      <w:start w:val="1"/>
      <w:numFmt w:val="decimal"/>
      <w:lvlText w:val="%1."/>
      <w:lvlJc w:val="left"/>
      <w:pPr>
        <w:ind w:left="360" w:hanging="360"/>
      </w:pPr>
    </w:lvl>
    <w:lvl w:ilvl="1" w:tplc="A7D6333A">
      <w:start w:val="1"/>
      <w:numFmt w:val="lowerLetter"/>
      <w:lvlText w:val="%2."/>
      <w:lvlJc w:val="left"/>
      <w:pPr>
        <w:ind w:left="1080" w:hanging="360"/>
      </w:pPr>
    </w:lvl>
    <w:lvl w:ilvl="2" w:tplc="8078136A">
      <w:start w:val="1"/>
      <w:numFmt w:val="lowerRoman"/>
      <w:lvlText w:val="%3."/>
      <w:lvlJc w:val="right"/>
      <w:pPr>
        <w:ind w:left="1800" w:hanging="180"/>
      </w:pPr>
    </w:lvl>
    <w:lvl w:ilvl="3" w:tplc="39CEE146" w:tentative="1">
      <w:start w:val="1"/>
      <w:numFmt w:val="decimal"/>
      <w:lvlText w:val="%4."/>
      <w:lvlJc w:val="left"/>
      <w:pPr>
        <w:ind w:left="2520" w:hanging="360"/>
      </w:pPr>
    </w:lvl>
    <w:lvl w:ilvl="4" w:tplc="E56CDE14" w:tentative="1">
      <w:start w:val="1"/>
      <w:numFmt w:val="lowerLetter"/>
      <w:lvlText w:val="%5."/>
      <w:lvlJc w:val="left"/>
      <w:pPr>
        <w:ind w:left="3240" w:hanging="360"/>
      </w:pPr>
    </w:lvl>
    <w:lvl w:ilvl="5" w:tplc="641E4060" w:tentative="1">
      <w:start w:val="1"/>
      <w:numFmt w:val="lowerRoman"/>
      <w:lvlText w:val="%6."/>
      <w:lvlJc w:val="right"/>
      <w:pPr>
        <w:ind w:left="3960" w:hanging="180"/>
      </w:pPr>
    </w:lvl>
    <w:lvl w:ilvl="6" w:tplc="292CFC44" w:tentative="1">
      <w:start w:val="1"/>
      <w:numFmt w:val="decimal"/>
      <w:lvlText w:val="%7."/>
      <w:lvlJc w:val="left"/>
      <w:pPr>
        <w:ind w:left="4680" w:hanging="360"/>
      </w:pPr>
    </w:lvl>
    <w:lvl w:ilvl="7" w:tplc="52AC0494" w:tentative="1">
      <w:start w:val="1"/>
      <w:numFmt w:val="lowerLetter"/>
      <w:lvlText w:val="%8."/>
      <w:lvlJc w:val="left"/>
      <w:pPr>
        <w:ind w:left="5400" w:hanging="360"/>
      </w:pPr>
    </w:lvl>
    <w:lvl w:ilvl="8" w:tplc="1D467844" w:tentative="1">
      <w:start w:val="1"/>
      <w:numFmt w:val="lowerRoman"/>
      <w:lvlText w:val="%9."/>
      <w:lvlJc w:val="right"/>
      <w:pPr>
        <w:ind w:left="6120" w:hanging="180"/>
      </w:pPr>
    </w:lvl>
  </w:abstractNum>
  <w:abstractNum w:abstractNumId="34"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386806433">
    <w:abstractNumId w:val="6"/>
  </w:num>
  <w:num w:numId="2" w16cid:durableId="1512179036">
    <w:abstractNumId w:val="25"/>
  </w:num>
  <w:num w:numId="3" w16cid:durableId="566380281">
    <w:abstractNumId w:val="29"/>
  </w:num>
  <w:num w:numId="4" w16cid:durableId="341208219">
    <w:abstractNumId w:val="7"/>
  </w:num>
  <w:num w:numId="5" w16cid:durableId="928806838">
    <w:abstractNumId w:val="7"/>
    <w:lvlOverride w:ilvl="0">
      <w:startOverride w:val="1"/>
    </w:lvlOverride>
  </w:num>
  <w:num w:numId="6" w16cid:durableId="661861277">
    <w:abstractNumId w:val="10"/>
  </w:num>
  <w:num w:numId="7" w16cid:durableId="2006205620">
    <w:abstractNumId w:val="20"/>
  </w:num>
  <w:num w:numId="8" w16cid:durableId="2066365147">
    <w:abstractNumId w:val="28"/>
  </w:num>
  <w:num w:numId="9" w16cid:durableId="2055739224">
    <w:abstractNumId w:val="5"/>
  </w:num>
  <w:num w:numId="10" w16cid:durableId="609509151">
    <w:abstractNumId w:val="4"/>
  </w:num>
  <w:num w:numId="11" w16cid:durableId="1186024115">
    <w:abstractNumId w:val="3"/>
  </w:num>
  <w:num w:numId="12" w16cid:durableId="1820996605">
    <w:abstractNumId w:val="2"/>
  </w:num>
  <w:num w:numId="13" w16cid:durableId="1197157563">
    <w:abstractNumId w:val="8"/>
  </w:num>
  <w:num w:numId="14" w16cid:durableId="1844858615">
    <w:abstractNumId w:val="1"/>
  </w:num>
  <w:num w:numId="15" w16cid:durableId="1448548117">
    <w:abstractNumId w:val="0"/>
  </w:num>
  <w:num w:numId="16" w16cid:durableId="358435585">
    <w:abstractNumId w:val="34"/>
  </w:num>
  <w:num w:numId="17" w16cid:durableId="233856836">
    <w:abstractNumId w:val="12"/>
  </w:num>
  <w:num w:numId="18" w16cid:durableId="2039577440">
    <w:abstractNumId w:val="14"/>
  </w:num>
  <w:num w:numId="19" w16cid:durableId="1876118966">
    <w:abstractNumId w:val="17"/>
  </w:num>
  <w:num w:numId="20" w16cid:durableId="2112780237">
    <w:abstractNumId w:val="12"/>
  </w:num>
  <w:num w:numId="21" w16cid:durableId="1959338544">
    <w:abstractNumId w:val="17"/>
  </w:num>
  <w:num w:numId="22" w16cid:durableId="1803113672">
    <w:abstractNumId w:val="34"/>
  </w:num>
  <w:num w:numId="23" w16cid:durableId="1271551012">
    <w:abstractNumId w:val="25"/>
  </w:num>
  <w:num w:numId="24" w16cid:durableId="964703593">
    <w:abstractNumId w:val="29"/>
  </w:num>
  <w:num w:numId="25" w16cid:durableId="79446195">
    <w:abstractNumId w:val="7"/>
  </w:num>
  <w:num w:numId="26" w16cid:durableId="944385119">
    <w:abstractNumId w:val="23"/>
  </w:num>
  <w:num w:numId="27" w16cid:durableId="828250854">
    <w:abstractNumId w:val="22"/>
  </w:num>
  <w:num w:numId="28" w16cid:durableId="1638074040">
    <w:abstractNumId w:val="27"/>
  </w:num>
  <w:num w:numId="29" w16cid:durableId="1994335991">
    <w:abstractNumId w:val="30"/>
  </w:num>
  <w:num w:numId="30" w16cid:durableId="910578901">
    <w:abstractNumId w:val="33"/>
  </w:num>
  <w:num w:numId="31" w16cid:durableId="380638521">
    <w:abstractNumId w:val="31"/>
  </w:num>
  <w:num w:numId="32" w16cid:durableId="196817949">
    <w:abstractNumId w:val="9"/>
  </w:num>
  <w:num w:numId="33" w16cid:durableId="808396668">
    <w:abstractNumId w:val="18"/>
  </w:num>
  <w:num w:numId="34" w16cid:durableId="1001011768">
    <w:abstractNumId w:val="16"/>
  </w:num>
  <w:num w:numId="35" w16cid:durableId="1787501201">
    <w:abstractNumId w:val="11"/>
  </w:num>
  <w:num w:numId="36" w16cid:durableId="1966545278">
    <w:abstractNumId w:val="26"/>
  </w:num>
  <w:num w:numId="37" w16cid:durableId="298270193">
    <w:abstractNumId w:val="32"/>
  </w:num>
  <w:num w:numId="38" w16cid:durableId="592738302">
    <w:abstractNumId w:val="19"/>
  </w:num>
  <w:num w:numId="39" w16cid:durableId="1340497536">
    <w:abstractNumId w:val="13"/>
  </w:num>
  <w:num w:numId="40" w16cid:durableId="1111392055">
    <w:abstractNumId w:val="15"/>
  </w:num>
  <w:num w:numId="41" w16cid:durableId="186257767">
    <w:abstractNumId w:val="24"/>
  </w:num>
  <w:num w:numId="42" w16cid:durableId="14730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C4"/>
    <w:rsid w:val="0000000C"/>
    <w:rsid w:val="00001F41"/>
    <w:rsid w:val="00002D2C"/>
    <w:rsid w:val="00003743"/>
    <w:rsid w:val="000047B4"/>
    <w:rsid w:val="00005573"/>
    <w:rsid w:val="00005712"/>
    <w:rsid w:val="00006676"/>
    <w:rsid w:val="00007FD8"/>
    <w:rsid w:val="000117F8"/>
    <w:rsid w:val="00023C16"/>
    <w:rsid w:val="00026139"/>
    <w:rsid w:val="00027071"/>
    <w:rsid w:val="00027601"/>
    <w:rsid w:val="00033321"/>
    <w:rsid w:val="000338E5"/>
    <w:rsid w:val="00033ECC"/>
    <w:rsid w:val="0003422F"/>
    <w:rsid w:val="00040B94"/>
    <w:rsid w:val="00046FF0"/>
    <w:rsid w:val="00050176"/>
    <w:rsid w:val="000535D7"/>
    <w:rsid w:val="00062B65"/>
    <w:rsid w:val="0006333D"/>
    <w:rsid w:val="00067456"/>
    <w:rsid w:val="00071506"/>
    <w:rsid w:val="0007154F"/>
    <w:rsid w:val="00081AB1"/>
    <w:rsid w:val="00085FCD"/>
    <w:rsid w:val="00090316"/>
    <w:rsid w:val="00093981"/>
    <w:rsid w:val="00093CD9"/>
    <w:rsid w:val="000A0D39"/>
    <w:rsid w:val="000A40EC"/>
    <w:rsid w:val="000B0275"/>
    <w:rsid w:val="000B067A"/>
    <w:rsid w:val="000B1540"/>
    <w:rsid w:val="000B33FD"/>
    <w:rsid w:val="000B4ABA"/>
    <w:rsid w:val="000C4B16"/>
    <w:rsid w:val="000C50C3"/>
    <w:rsid w:val="000D1E04"/>
    <w:rsid w:val="000D21F6"/>
    <w:rsid w:val="000D42C3"/>
    <w:rsid w:val="000D4500"/>
    <w:rsid w:val="000D7AEA"/>
    <w:rsid w:val="000E01A9"/>
    <w:rsid w:val="000E2C66"/>
    <w:rsid w:val="000E6E7D"/>
    <w:rsid w:val="000F123C"/>
    <w:rsid w:val="000F2FED"/>
    <w:rsid w:val="00101599"/>
    <w:rsid w:val="0010616D"/>
    <w:rsid w:val="00110478"/>
    <w:rsid w:val="001145F0"/>
    <w:rsid w:val="0011711B"/>
    <w:rsid w:val="00117F8A"/>
    <w:rsid w:val="00120448"/>
    <w:rsid w:val="00121B9B"/>
    <w:rsid w:val="00122ADC"/>
    <w:rsid w:val="00124AE0"/>
    <w:rsid w:val="00130F59"/>
    <w:rsid w:val="00133EC0"/>
    <w:rsid w:val="0014168F"/>
    <w:rsid w:val="00141935"/>
    <w:rsid w:val="00141CE5"/>
    <w:rsid w:val="0014347A"/>
    <w:rsid w:val="00144908"/>
    <w:rsid w:val="0014526C"/>
    <w:rsid w:val="001571C7"/>
    <w:rsid w:val="00161094"/>
    <w:rsid w:val="00164D43"/>
    <w:rsid w:val="00172A55"/>
    <w:rsid w:val="001758CD"/>
    <w:rsid w:val="00175A5B"/>
    <w:rsid w:val="0017665C"/>
    <w:rsid w:val="00177AD2"/>
    <w:rsid w:val="00177D99"/>
    <w:rsid w:val="001815A8"/>
    <w:rsid w:val="001840FA"/>
    <w:rsid w:val="00190079"/>
    <w:rsid w:val="00193666"/>
    <w:rsid w:val="0019622E"/>
    <w:rsid w:val="00196449"/>
    <w:rsid w:val="001966A7"/>
    <w:rsid w:val="001A4627"/>
    <w:rsid w:val="001A4979"/>
    <w:rsid w:val="001B15D3"/>
    <w:rsid w:val="001B3443"/>
    <w:rsid w:val="001B7549"/>
    <w:rsid w:val="001C0326"/>
    <w:rsid w:val="001C192F"/>
    <w:rsid w:val="001C3C42"/>
    <w:rsid w:val="001D7869"/>
    <w:rsid w:val="001D7F03"/>
    <w:rsid w:val="001F2F78"/>
    <w:rsid w:val="002026CD"/>
    <w:rsid w:val="002033FC"/>
    <w:rsid w:val="002044BB"/>
    <w:rsid w:val="00210B09"/>
    <w:rsid w:val="00210C9E"/>
    <w:rsid w:val="00211840"/>
    <w:rsid w:val="002127EE"/>
    <w:rsid w:val="00213D02"/>
    <w:rsid w:val="00220E5F"/>
    <w:rsid w:val="002212B5"/>
    <w:rsid w:val="00225F45"/>
    <w:rsid w:val="00226668"/>
    <w:rsid w:val="00230868"/>
    <w:rsid w:val="00233809"/>
    <w:rsid w:val="00240046"/>
    <w:rsid w:val="0024044C"/>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5D2C"/>
    <w:rsid w:val="00297151"/>
    <w:rsid w:val="0029727B"/>
    <w:rsid w:val="002A0165"/>
    <w:rsid w:val="002A0910"/>
    <w:rsid w:val="002B20E6"/>
    <w:rsid w:val="002B42A3"/>
    <w:rsid w:val="002C0CDD"/>
    <w:rsid w:val="002D536F"/>
    <w:rsid w:val="002E1A1D"/>
    <w:rsid w:val="002E1B8B"/>
    <w:rsid w:val="002E4081"/>
    <w:rsid w:val="002E5B78"/>
    <w:rsid w:val="002F3AE3"/>
    <w:rsid w:val="0030464B"/>
    <w:rsid w:val="0030786C"/>
    <w:rsid w:val="00312749"/>
    <w:rsid w:val="003233DE"/>
    <w:rsid w:val="0032466B"/>
    <w:rsid w:val="00327B44"/>
    <w:rsid w:val="003330EB"/>
    <w:rsid w:val="003339CE"/>
    <w:rsid w:val="00336605"/>
    <w:rsid w:val="003415FD"/>
    <w:rsid w:val="003429F0"/>
    <w:rsid w:val="0035097A"/>
    <w:rsid w:val="003540A4"/>
    <w:rsid w:val="003557E8"/>
    <w:rsid w:val="00360E4E"/>
    <w:rsid w:val="00363EE2"/>
    <w:rsid w:val="00370AAA"/>
    <w:rsid w:val="00375F77"/>
    <w:rsid w:val="00377A78"/>
    <w:rsid w:val="00381BBE"/>
    <w:rsid w:val="00382903"/>
    <w:rsid w:val="003846FF"/>
    <w:rsid w:val="00385AD4"/>
    <w:rsid w:val="00386805"/>
    <w:rsid w:val="00387924"/>
    <w:rsid w:val="0039384D"/>
    <w:rsid w:val="00395C23"/>
    <w:rsid w:val="003A2E4F"/>
    <w:rsid w:val="003A4438"/>
    <w:rsid w:val="003A5013"/>
    <w:rsid w:val="003A5078"/>
    <w:rsid w:val="003A62DD"/>
    <w:rsid w:val="003A775A"/>
    <w:rsid w:val="003B0DAB"/>
    <w:rsid w:val="003B1273"/>
    <w:rsid w:val="003B193F"/>
    <w:rsid w:val="003B213A"/>
    <w:rsid w:val="003B2A1C"/>
    <w:rsid w:val="003B43AD"/>
    <w:rsid w:val="003B7D7D"/>
    <w:rsid w:val="003C0FEC"/>
    <w:rsid w:val="003C15B8"/>
    <w:rsid w:val="003C2AC8"/>
    <w:rsid w:val="003C46A6"/>
    <w:rsid w:val="003D17F9"/>
    <w:rsid w:val="003D2D88"/>
    <w:rsid w:val="003D41EA"/>
    <w:rsid w:val="003D4850"/>
    <w:rsid w:val="003D535A"/>
    <w:rsid w:val="003D579A"/>
    <w:rsid w:val="003E5265"/>
    <w:rsid w:val="003F0955"/>
    <w:rsid w:val="003F3E10"/>
    <w:rsid w:val="003F6FE1"/>
    <w:rsid w:val="00400F00"/>
    <w:rsid w:val="0040493C"/>
    <w:rsid w:val="00404F8B"/>
    <w:rsid w:val="00405256"/>
    <w:rsid w:val="00410031"/>
    <w:rsid w:val="004115A2"/>
    <w:rsid w:val="00411C0D"/>
    <w:rsid w:val="00415C81"/>
    <w:rsid w:val="00416731"/>
    <w:rsid w:val="00416C5E"/>
    <w:rsid w:val="00432378"/>
    <w:rsid w:val="00440D65"/>
    <w:rsid w:val="004435E6"/>
    <w:rsid w:val="00447E31"/>
    <w:rsid w:val="00450B89"/>
    <w:rsid w:val="00453923"/>
    <w:rsid w:val="00454B9B"/>
    <w:rsid w:val="00457858"/>
    <w:rsid w:val="00460B0B"/>
    <w:rsid w:val="00461023"/>
    <w:rsid w:val="00462FAC"/>
    <w:rsid w:val="00464631"/>
    <w:rsid w:val="00464B79"/>
    <w:rsid w:val="00467BBF"/>
    <w:rsid w:val="00483CD0"/>
    <w:rsid w:val="004867E2"/>
    <w:rsid w:val="004929A9"/>
    <w:rsid w:val="004B2E94"/>
    <w:rsid w:val="004C0ED7"/>
    <w:rsid w:val="004C2FEC"/>
    <w:rsid w:val="004C6BCF"/>
    <w:rsid w:val="004D4750"/>
    <w:rsid w:val="004D58BF"/>
    <w:rsid w:val="004E4335"/>
    <w:rsid w:val="004E5ACF"/>
    <w:rsid w:val="004F075D"/>
    <w:rsid w:val="004F13EE"/>
    <w:rsid w:val="004F2022"/>
    <w:rsid w:val="004F557F"/>
    <w:rsid w:val="004F7C05"/>
    <w:rsid w:val="00501C94"/>
    <w:rsid w:val="00504C0C"/>
    <w:rsid w:val="00506432"/>
    <w:rsid w:val="0051205E"/>
    <w:rsid w:val="0051242B"/>
    <w:rsid w:val="0052051D"/>
    <w:rsid w:val="00537BC9"/>
    <w:rsid w:val="00545EE6"/>
    <w:rsid w:val="0055358A"/>
    <w:rsid w:val="005550E7"/>
    <w:rsid w:val="005564FB"/>
    <w:rsid w:val="005572C7"/>
    <w:rsid w:val="005650ED"/>
    <w:rsid w:val="00575754"/>
    <w:rsid w:val="005762F9"/>
    <w:rsid w:val="005827DE"/>
    <w:rsid w:val="00585481"/>
    <w:rsid w:val="00591E20"/>
    <w:rsid w:val="00595408"/>
    <w:rsid w:val="00595E84"/>
    <w:rsid w:val="00597564"/>
    <w:rsid w:val="00597D79"/>
    <w:rsid w:val="005A0C59"/>
    <w:rsid w:val="005A48EB"/>
    <w:rsid w:val="005A6CFB"/>
    <w:rsid w:val="005C5AEB"/>
    <w:rsid w:val="005D4A3F"/>
    <w:rsid w:val="005E0A3F"/>
    <w:rsid w:val="005E5D38"/>
    <w:rsid w:val="005E6883"/>
    <w:rsid w:val="005E772F"/>
    <w:rsid w:val="005F4ECA"/>
    <w:rsid w:val="006041BE"/>
    <w:rsid w:val="006043C7"/>
    <w:rsid w:val="00606265"/>
    <w:rsid w:val="0060702A"/>
    <w:rsid w:val="006249DC"/>
    <w:rsid w:val="00624B3A"/>
    <w:rsid w:val="00624B52"/>
    <w:rsid w:val="00627385"/>
    <w:rsid w:val="00631DF4"/>
    <w:rsid w:val="00634175"/>
    <w:rsid w:val="006408AC"/>
    <w:rsid w:val="00643928"/>
    <w:rsid w:val="00643AFA"/>
    <w:rsid w:val="006511B6"/>
    <w:rsid w:val="00652742"/>
    <w:rsid w:val="00657FF8"/>
    <w:rsid w:val="00670D99"/>
    <w:rsid w:val="00670E2B"/>
    <w:rsid w:val="00672743"/>
    <w:rsid w:val="006734BB"/>
    <w:rsid w:val="00677858"/>
    <w:rsid w:val="00677F05"/>
    <w:rsid w:val="0068040E"/>
    <w:rsid w:val="00681A34"/>
    <w:rsid w:val="006821EB"/>
    <w:rsid w:val="00685131"/>
    <w:rsid w:val="00685B4A"/>
    <w:rsid w:val="006B0BF0"/>
    <w:rsid w:val="006B2286"/>
    <w:rsid w:val="006B56BB"/>
    <w:rsid w:val="006C0B6E"/>
    <w:rsid w:val="006C4E9C"/>
    <w:rsid w:val="006C77A8"/>
    <w:rsid w:val="006D4098"/>
    <w:rsid w:val="006D7681"/>
    <w:rsid w:val="006D7B2E"/>
    <w:rsid w:val="006E02EA"/>
    <w:rsid w:val="006E0968"/>
    <w:rsid w:val="006E2AF6"/>
    <w:rsid w:val="006E64C4"/>
    <w:rsid w:val="00701275"/>
    <w:rsid w:val="00707F56"/>
    <w:rsid w:val="00713558"/>
    <w:rsid w:val="00715B3D"/>
    <w:rsid w:val="00720012"/>
    <w:rsid w:val="00720D08"/>
    <w:rsid w:val="00722C71"/>
    <w:rsid w:val="007263B9"/>
    <w:rsid w:val="007334F8"/>
    <w:rsid w:val="007339CD"/>
    <w:rsid w:val="007359D8"/>
    <w:rsid w:val="007362D4"/>
    <w:rsid w:val="00736D29"/>
    <w:rsid w:val="00751A23"/>
    <w:rsid w:val="0076672A"/>
    <w:rsid w:val="0076790A"/>
    <w:rsid w:val="0077182E"/>
    <w:rsid w:val="00775E45"/>
    <w:rsid w:val="00775EF7"/>
    <w:rsid w:val="00776E74"/>
    <w:rsid w:val="00780FC7"/>
    <w:rsid w:val="00785169"/>
    <w:rsid w:val="00792BCF"/>
    <w:rsid w:val="007954AB"/>
    <w:rsid w:val="007A14C5"/>
    <w:rsid w:val="007A1E8F"/>
    <w:rsid w:val="007A2C09"/>
    <w:rsid w:val="007A3E38"/>
    <w:rsid w:val="007A4A10"/>
    <w:rsid w:val="007B1760"/>
    <w:rsid w:val="007B3D03"/>
    <w:rsid w:val="007C3A41"/>
    <w:rsid w:val="007C6D9C"/>
    <w:rsid w:val="007C7DDB"/>
    <w:rsid w:val="007D2CC7"/>
    <w:rsid w:val="007D673D"/>
    <w:rsid w:val="007E6152"/>
    <w:rsid w:val="007F2220"/>
    <w:rsid w:val="007F4B3E"/>
    <w:rsid w:val="007F588A"/>
    <w:rsid w:val="008127AF"/>
    <w:rsid w:val="00812B46"/>
    <w:rsid w:val="00813DDB"/>
    <w:rsid w:val="00815700"/>
    <w:rsid w:val="00817B70"/>
    <w:rsid w:val="00826347"/>
    <w:rsid w:val="008264EB"/>
    <w:rsid w:val="00826B8F"/>
    <w:rsid w:val="00830CC2"/>
    <w:rsid w:val="00831E8A"/>
    <w:rsid w:val="0083553C"/>
    <w:rsid w:val="00835C76"/>
    <w:rsid w:val="00843049"/>
    <w:rsid w:val="0085209B"/>
    <w:rsid w:val="00856B66"/>
    <w:rsid w:val="00861A5F"/>
    <w:rsid w:val="008644AD"/>
    <w:rsid w:val="00865735"/>
    <w:rsid w:val="00865DDB"/>
    <w:rsid w:val="00867538"/>
    <w:rsid w:val="00873D90"/>
    <w:rsid w:val="00873FC8"/>
    <w:rsid w:val="00881071"/>
    <w:rsid w:val="0088469C"/>
    <w:rsid w:val="00884C63"/>
    <w:rsid w:val="00885908"/>
    <w:rsid w:val="008864B7"/>
    <w:rsid w:val="0089677E"/>
    <w:rsid w:val="00896E8C"/>
    <w:rsid w:val="008A17A3"/>
    <w:rsid w:val="008A3124"/>
    <w:rsid w:val="008A7438"/>
    <w:rsid w:val="008B1334"/>
    <w:rsid w:val="008B22FD"/>
    <w:rsid w:val="008B5433"/>
    <w:rsid w:val="008C0278"/>
    <w:rsid w:val="008C24E9"/>
    <w:rsid w:val="008D0533"/>
    <w:rsid w:val="008D42CB"/>
    <w:rsid w:val="008D48C9"/>
    <w:rsid w:val="008D5B79"/>
    <w:rsid w:val="008D6381"/>
    <w:rsid w:val="008D649D"/>
    <w:rsid w:val="008E0C77"/>
    <w:rsid w:val="008E625F"/>
    <w:rsid w:val="008E6354"/>
    <w:rsid w:val="008F264D"/>
    <w:rsid w:val="009074E1"/>
    <w:rsid w:val="0091089E"/>
    <w:rsid w:val="009112F7"/>
    <w:rsid w:val="009122AF"/>
    <w:rsid w:val="009127BC"/>
    <w:rsid w:val="00912D54"/>
    <w:rsid w:val="0091389F"/>
    <w:rsid w:val="009208F7"/>
    <w:rsid w:val="00920DC6"/>
    <w:rsid w:val="00922517"/>
    <w:rsid w:val="00922722"/>
    <w:rsid w:val="00922A6F"/>
    <w:rsid w:val="009261E6"/>
    <w:rsid w:val="009268E1"/>
    <w:rsid w:val="00934368"/>
    <w:rsid w:val="009432A3"/>
    <w:rsid w:val="00945E7F"/>
    <w:rsid w:val="009543B1"/>
    <w:rsid w:val="009557C1"/>
    <w:rsid w:val="00960D6E"/>
    <w:rsid w:val="00972BC1"/>
    <w:rsid w:val="00974B59"/>
    <w:rsid w:val="00980924"/>
    <w:rsid w:val="009818CD"/>
    <w:rsid w:val="0098340B"/>
    <w:rsid w:val="009860F9"/>
    <w:rsid w:val="00986830"/>
    <w:rsid w:val="009924C3"/>
    <w:rsid w:val="00993102"/>
    <w:rsid w:val="009A0635"/>
    <w:rsid w:val="009A3380"/>
    <w:rsid w:val="009B5601"/>
    <w:rsid w:val="009C3099"/>
    <w:rsid w:val="009C4A39"/>
    <w:rsid w:val="009C6F10"/>
    <w:rsid w:val="009D148F"/>
    <w:rsid w:val="009D3D70"/>
    <w:rsid w:val="009E6F7E"/>
    <w:rsid w:val="009E7A57"/>
    <w:rsid w:val="009F1E80"/>
    <w:rsid w:val="009F4F6A"/>
    <w:rsid w:val="00A04084"/>
    <w:rsid w:val="00A16E36"/>
    <w:rsid w:val="00A24961"/>
    <w:rsid w:val="00A24B10"/>
    <w:rsid w:val="00A30E9B"/>
    <w:rsid w:val="00A35762"/>
    <w:rsid w:val="00A41B16"/>
    <w:rsid w:val="00A4202B"/>
    <w:rsid w:val="00A4512D"/>
    <w:rsid w:val="00A463E8"/>
    <w:rsid w:val="00A50244"/>
    <w:rsid w:val="00A56F17"/>
    <w:rsid w:val="00A627D7"/>
    <w:rsid w:val="00A656C7"/>
    <w:rsid w:val="00A705AF"/>
    <w:rsid w:val="00A72454"/>
    <w:rsid w:val="00A74345"/>
    <w:rsid w:val="00A76470"/>
    <w:rsid w:val="00A77696"/>
    <w:rsid w:val="00A80557"/>
    <w:rsid w:val="00A81D33"/>
    <w:rsid w:val="00A86D0E"/>
    <w:rsid w:val="00A86E33"/>
    <w:rsid w:val="00A930AE"/>
    <w:rsid w:val="00A94532"/>
    <w:rsid w:val="00AA1A95"/>
    <w:rsid w:val="00AA260F"/>
    <w:rsid w:val="00AA4588"/>
    <w:rsid w:val="00AA723B"/>
    <w:rsid w:val="00AB1EE7"/>
    <w:rsid w:val="00AB3AF9"/>
    <w:rsid w:val="00AB4B37"/>
    <w:rsid w:val="00AB5762"/>
    <w:rsid w:val="00AC2679"/>
    <w:rsid w:val="00AC4BE4"/>
    <w:rsid w:val="00AC6656"/>
    <w:rsid w:val="00AC6BF9"/>
    <w:rsid w:val="00AD05E6"/>
    <w:rsid w:val="00AD0D3F"/>
    <w:rsid w:val="00AD1C5A"/>
    <w:rsid w:val="00AD6DD6"/>
    <w:rsid w:val="00AE1D7D"/>
    <w:rsid w:val="00AE2A8B"/>
    <w:rsid w:val="00AE3853"/>
    <w:rsid w:val="00AE3F64"/>
    <w:rsid w:val="00AE5D0E"/>
    <w:rsid w:val="00AF7386"/>
    <w:rsid w:val="00AF7934"/>
    <w:rsid w:val="00B00B81"/>
    <w:rsid w:val="00B04580"/>
    <w:rsid w:val="00B04B09"/>
    <w:rsid w:val="00B16A51"/>
    <w:rsid w:val="00B2018D"/>
    <w:rsid w:val="00B25440"/>
    <w:rsid w:val="00B32222"/>
    <w:rsid w:val="00B3618D"/>
    <w:rsid w:val="00B36233"/>
    <w:rsid w:val="00B42851"/>
    <w:rsid w:val="00B45AC7"/>
    <w:rsid w:val="00B47B0C"/>
    <w:rsid w:val="00B5372F"/>
    <w:rsid w:val="00B61129"/>
    <w:rsid w:val="00B6133E"/>
    <w:rsid w:val="00B6498B"/>
    <w:rsid w:val="00B67E7F"/>
    <w:rsid w:val="00B74B69"/>
    <w:rsid w:val="00B75A04"/>
    <w:rsid w:val="00B839B2"/>
    <w:rsid w:val="00B86E68"/>
    <w:rsid w:val="00B87988"/>
    <w:rsid w:val="00B93C49"/>
    <w:rsid w:val="00B94252"/>
    <w:rsid w:val="00B96007"/>
    <w:rsid w:val="00B9715A"/>
    <w:rsid w:val="00BA14BE"/>
    <w:rsid w:val="00BA2732"/>
    <w:rsid w:val="00BA293D"/>
    <w:rsid w:val="00BA49BC"/>
    <w:rsid w:val="00BA56B7"/>
    <w:rsid w:val="00BA7A1E"/>
    <w:rsid w:val="00BA7CA9"/>
    <w:rsid w:val="00BB0453"/>
    <w:rsid w:val="00BB2F6C"/>
    <w:rsid w:val="00BB3875"/>
    <w:rsid w:val="00BB5860"/>
    <w:rsid w:val="00BB6AAD"/>
    <w:rsid w:val="00BC2CCA"/>
    <w:rsid w:val="00BC33F6"/>
    <w:rsid w:val="00BC4A19"/>
    <w:rsid w:val="00BC4E6D"/>
    <w:rsid w:val="00BD0617"/>
    <w:rsid w:val="00BD173D"/>
    <w:rsid w:val="00BD2E9B"/>
    <w:rsid w:val="00BD5DE3"/>
    <w:rsid w:val="00BE15B3"/>
    <w:rsid w:val="00BF7AD7"/>
    <w:rsid w:val="00BF7ECE"/>
    <w:rsid w:val="00C00930"/>
    <w:rsid w:val="00C01677"/>
    <w:rsid w:val="00C060AD"/>
    <w:rsid w:val="00C0670D"/>
    <w:rsid w:val="00C07E79"/>
    <w:rsid w:val="00C10F3E"/>
    <w:rsid w:val="00C113BF"/>
    <w:rsid w:val="00C11EAB"/>
    <w:rsid w:val="00C2044B"/>
    <w:rsid w:val="00C2176E"/>
    <w:rsid w:val="00C21DE2"/>
    <w:rsid w:val="00C23430"/>
    <w:rsid w:val="00C27D67"/>
    <w:rsid w:val="00C4631F"/>
    <w:rsid w:val="00C50E16"/>
    <w:rsid w:val="00C532A4"/>
    <w:rsid w:val="00C54E75"/>
    <w:rsid w:val="00C55258"/>
    <w:rsid w:val="00C7242F"/>
    <w:rsid w:val="00C82EEB"/>
    <w:rsid w:val="00C91458"/>
    <w:rsid w:val="00C92BE1"/>
    <w:rsid w:val="00C93929"/>
    <w:rsid w:val="00C971DC"/>
    <w:rsid w:val="00CA16B7"/>
    <w:rsid w:val="00CA1C5C"/>
    <w:rsid w:val="00CA4BE3"/>
    <w:rsid w:val="00CA62AE"/>
    <w:rsid w:val="00CB5B1A"/>
    <w:rsid w:val="00CC09BC"/>
    <w:rsid w:val="00CC220B"/>
    <w:rsid w:val="00CC5C43"/>
    <w:rsid w:val="00CD02AE"/>
    <w:rsid w:val="00CD2A4F"/>
    <w:rsid w:val="00CE03CA"/>
    <w:rsid w:val="00CE22F1"/>
    <w:rsid w:val="00CE3E5C"/>
    <w:rsid w:val="00CE50F2"/>
    <w:rsid w:val="00CE6502"/>
    <w:rsid w:val="00CF37A1"/>
    <w:rsid w:val="00CF7D3C"/>
    <w:rsid w:val="00D03933"/>
    <w:rsid w:val="00D0690C"/>
    <w:rsid w:val="00D147EB"/>
    <w:rsid w:val="00D25C54"/>
    <w:rsid w:val="00D31598"/>
    <w:rsid w:val="00D33F64"/>
    <w:rsid w:val="00D34667"/>
    <w:rsid w:val="00D401E1"/>
    <w:rsid w:val="00D408B4"/>
    <w:rsid w:val="00D423B1"/>
    <w:rsid w:val="00D45D94"/>
    <w:rsid w:val="00D524C8"/>
    <w:rsid w:val="00D5423C"/>
    <w:rsid w:val="00D60E25"/>
    <w:rsid w:val="00D66EF7"/>
    <w:rsid w:val="00D70E24"/>
    <w:rsid w:val="00D72B61"/>
    <w:rsid w:val="00D9280B"/>
    <w:rsid w:val="00D95182"/>
    <w:rsid w:val="00DA353D"/>
    <w:rsid w:val="00DA3D1D"/>
    <w:rsid w:val="00DA66E9"/>
    <w:rsid w:val="00DB0138"/>
    <w:rsid w:val="00DB1123"/>
    <w:rsid w:val="00DB6286"/>
    <w:rsid w:val="00DB645F"/>
    <w:rsid w:val="00DB6E7C"/>
    <w:rsid w:val="00DB76E9"/>
    <w:rsid w:val="00DC0A67"/>
    <w:rsid w:val="00DC1D5E"/>
    <w:rsid w:val="00DC2313"/>
    <w:rsid w:val="00DC5220"/>
    <w:rsid w:val="00DC7910"/>
    <w:rsid w:val="00DD2061"/>
    <w:rsid w:val="00DD46C5"/>
    <w:rsid w:val="00DD6906"/>
    <w:rsid w:val="00DD7DAB"/>
    <w:rsid w:val="00DE3355"/>
    <w:rsid w:val="00DF486F"/>
    <w:rsid w:val="00DF5B5B"/>
    <w:rsid w:val="00DF7619"/>
    <w:rsid w:val="00E03A62"/>
    <w:rsid w:val="00E042D8"/>
    <w:rsid w:val="00E07EE7"/>
    <w:rsid w:val="00E1103B"/>
    <w:rsid w:val="00E15ED0"/>
    <w:rsid w:val="00E169D8"/>
    <w:rsid w:val="00E17B44"/>
    <w:rsid w:val="00E2278A"/>
    <w:rsid w:val="00E27FEA"/>
    <w:rsid w:val="00E35133"/>
    <w:rsid w:val="00E37590"/>
    <w:rsid w:val="00E4086F"/>
    <w:rsid w:val="00E43B3C"/>
    <w:rsid w:val="00E50188"/>
    <w:rsid w:val="00E506C4"/>
    <w:rsid w:val="00E515CB"/>
    <w:rsid w:val="00E52260"/>
    <w:rsid w:val="00E55E8E"/>
    <w:rsid w:val="00E639B6"/>
    <w:rsid w:val="00E6434B"/>
    <w:rsid w:val="00E6463D"/>
    <w:rsid w:val="00E70B70"/>
    <w:rsid w:val="00E72E9B"/>
    <w:rsid w:val="00E732BE"/>
    <w:rsid w:val="00E8255A"/>
    <w:rsid w:val="00E849DA"/>
    <w:rsid w:val="00E9462E"/>
    <w:rsid w:val="00EA3632"/>
    <w:rsid w:val="00EA470E"/>
    <w:rsid w:val="00EA47A7"/>
    <w:rsid w:val="00EA57EB"/>
    <w:rsid w:val="00EB3226"/>
    <w:rsid w:val="00EB3D64"/>
    <w:rsid w:val="00EB5483"/>
    <w:rsid w:val="00EC213A"/>
    <w:rsid w:val="00EC6603"/>
    <w:rsid w:val="00EC7744"/>
    <w:rsid w:val="00ED0DAD"/>
    <w:rsid w:val="00ED0F46"/>
    <w:rsid w:val="00ED2373"/>
    <w:rsid w:val="00EE3E8A"/>
    <w:rsid w:val="00EE6D1A"/>
    <w:rsid w:val="00EF3030"/>
    <w:rsid w:val="00EF42A4"/>
    <w:rsid w:val="00EF6ECA"/>
    <w:rsid w:val="00F024E1"/>
    <w:rsid w:val="00F02A14"/>
    <w:rsid w:val="00F040EA"/>
    <w:rsid w:val="00F049F6"/>
    <w:rsid w:val="00F06C10"/>
    <w:rsid w:val="00F07F6F"/>
    <w:rsid w:val="00F1096F"/>
    <w:rsid w:val="00F12589"/>
    <w:rsid w:val="00F12595"/>
    <w:rsid w:val="00F134D9"/>
    <w:rsid w:val="00F1403D"/>
    <w:rsid w:val="00F1463F"/>
    <w:rsid w:val="00F21302"/>
    <w:rsid w:val="00F30AD7"/>
    <w:rsid w:val="00F321DE"/>
    <w:rsid w:val="00F33777"/>
    <w:rsid w:val="00F40648"/>
    <w:rsid w:val="00F47DA2"/>
    <w:rsid w:val="00F519FC"/>
    <w:rsid w:val="00F55565"/>
    <w:rsid w:val="00F6239D"/>
    <w:rsid w:val="00F715D2"/>
    <w:rsid w:val="00F7274F"/>
    <w:rsid w:val="00F74F17"/>
    <w:rsid w:val="00F76FA8"/>
    <w:rsid w:val="00F80378"/>
    <w:rsid w:val="00F93F08"/>
    <w:rsid w:val="00F94CED"/>
    <w:rsid w:val="00FA2CEE"/>
    <w:rsid w:val="00FA318C"/>
    <w:rsid w:val="00FA7C24"/>
    <w:rsid w:val="00FB6F92"/>
    <w:rsid w:val="00FC026E"/>
    <w:rsid w:val="00FC5124"/>
    <w:rsid w:val="00FD4731"/>
    <w:rsid w:val="00FE0A9F"/>
    <w:rsid w:val="00FE2987"/>
    <w:rsid w:val="00FF0AB0"/>
    <w:rsid w:val="00FF28AC"/>
    <w:rsid w:val="00FF653F"/>
    <w:rsid w:val="00FF7F62"/>
    <w:rsid w:val="1070B609"/>
    <w:rsid w:val="1F164E34"/>
    <w:rsid w:val="1F6A1AEF"/>
    <w:rsid w:val="261C0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12401"/>
  <w15:docId w15:val="{B665237E-0FC6-42BB-A221-FAF19419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25F45"/>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B96007"/>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qFormat/>
    <w:rsid w:val="00AA723B"/>
    <w:pPr>
      <w:keepNext/>
      <w:spacing w:before="240" w:after="120"/>
      <w:outlineLvl w:val="2"/>
    </w:pPr>
    <w:rPr>
      <w:rFonts w:ascii="Arial" w:hAnsi="Arial" w:cs="Arial"/>
      <w:b/>
      <w:bCs/>
      <w:color w:val="1E1545" w:themeColor="text1"/>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Normal"/>
    <w:qFormat/>
    <w:rsid w:val="00B87988"/>
    <w:pPr>
      <w:numPr>
        <w:numId w:val="2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24"/>
      </w:numPr>
    </w:pPr>
  </w:style>
  <w:style w:type="paragraph" w:customStyle="1" w:styleId="Tablelistnumber">
    <w:name w:val="Table list number"/>
    <w:basedOn w:val="Tabletext"/>
    <w:qFormat/>
    <w:rsid w:val="00BF7AD7"/>
    <w:pPr>
      <w:numPr>
        <w:numId w:val="2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27"/>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28"/>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32"/>
      </w:numPr>
    </w:pPr>
  </w:style>
  <w:style w:type="numbering" w:customStyle="1" w:styleId="CurrentList1">
    <w:name w:val="Current List1"/>
    <w:uiPriority w:val="99"/>
    <w:rsid w:val="008E6354"/>
    <w:pPr>
      <w:numPr>
        <w:numId w:val="34"/>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character" w:styleId="UnresolvedMention">
    <w:name w:val="Unresolved Mention"/>
    <w:basedOn w:val="DefaultParagraphFont"/>
    <w:uiPriority w:val="99"/>
    <w:semiHidden/>
    <w:unhideWhenUsed/>
    <w:rsid w:val="00C10F3E"/>
    <w:rPr>
      <w:color w:val="605E5C"/>
      <w:shd w:val="clear" w:color="auto" w:fill="E1DFDD"/>
    </w:rPr>
  </w:style>
  <w:style w:type="character" w:styleId="FootnoteReference">
    <w:name w:val="footnote reference"/>
    <w:basedOn w:val="DefaultParagraphFont"/>
    <w:semiHidden/>
    <w:unhideWhenUsed/>
    <w:rsid w:val="00D31598"/>
    <w:rPr>
      <w:vertAlign w:val="superscript"/>
    </w:rPr>
  </w:style>
  <w:style w:type="character" w:styleId="FollowedHyperlink">
    <w:name w:val="FollowedHyperlink"/>
    <w:basedOn w:val="DefaultParagraphFont"/>
    <w:semiHidden/>
    <w:unhideWhenUsed/>
    <w:rsid w:val="0060702A"/>
    <w:rPr>
      <w:color w:val="000000" w:themeColor="followedHyperlink"/>
      <w:u w:val="single"/>
    </w:rPr>
  </w:style>
  <w:style w:type="character" w:styleId="CommentReference">
    <w:name w:val="annotation reference"/>
    <w:basedOn w:val="DefaultParagraphFont"/>
    <w:semiHidden/>
    <w:unhideWhenUsed/>
    <w:rsid w:val="000A0D39"/>
    <w:rPr>
      <w:sz w:val="16"/>
      <w:szCs w:val="16"/>
    </w:rPr>
  </w:style>
  <w:style w:type="paragraph" w:styleId="CommentText">
    <w:name w:val="annotation text"/>
    <w:basedOn w:val="Normal"/>
    <w:link w:val="CommentTextChar"/>
    <w:unhideWhenUsed/>
    <w:rsid w:val="000A0D39"/>
    <w:pPr>
      <w:spacing w:line="240" w:lineRule="auto"/>
    </w:pPr>
    <w:rPr>
      <w:sz w:val="20"/>
      <w:szCs w:val="20"/>
    </w:rPr>
  </w:style>
  <w:style w:type="character" w:customStyle="1" w:styleId="CommentTextChar">
    <w:name w:val="Comment Text Char"/>
    <w:basedOn w:val="DefaultParagraphFont"/>
    <w:link w:val="CommentText"/>
    <w:rsid w:val="000A0D39"/>
    <w:rPr>
      <w:rFonts w:ascii="Arial" w:hAnsi="Arial"/>
      <w:color w:val="1E1545" w:themeColor="text1"/>
      <w:lang w:eastAsia="en-US"/>
    </w:rPr>
  </w:style>
  <w:style w:type="paragraph" w:styleId="CommentSubject">
    <w:name w:val="annotation subject"/>
    <w:basedOn w:val="CommentText"/>
    <w:next w:val="CommentText"/>
    <w:link w:val="CommentSubjectChar"/>
    <w:semiHidden/>
    <w:unhideWhenUsed/>
    <w:rsid w:val="000A0D39"/>
    <w:rPr>
      <w:b/>
      <w:bCs/>
    </w:rPr>
  </w:style>
  <w:style w:type="character" w:customStyle="1" w:styleId="CommentSubjectChar">
    <w:name w:val="Comment Subject Char"/>
    <w:basedOn w:val="CommentTextChar"/>
    <w:link w:val="CommentSubject"/>
    <w:semiHidden/>
    <w:rsid w:val="000A0D39"/>
    <w:rPr>
      <w:rFonts w:ascii="Arial" w:hAnsi="Arial"/>
      <w:b/>
      <w:bCs/>
      <w:color w:val="1E1545"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health.gov.au/our-work/national-dementia-action-plan" TargetMode="External"/><Relationship Id="rId20" Type="http://schemas.openxmlformats.org/officeDocument/2006/relationships/hyperlink" Target="https://www.aihw.gov.au/reports/dementia/ndap-indicators-dashboard/contents/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ihw.gov.au/reports/dementia/national-dementia-data-improvement-plan-2023-2033/contents/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6572-FBE6-499A-83AC-7D122A87F08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0971709-fccf-4aa3-94ca-d5d85211933c"/>
    <ds:schemaRef ds:uri="http://www.w3.org/XML/1998/namespace"/>
    <ds:schemaRef ds:uri="http://purl.org/dc/dcmitype/"/>
  </ds:schemaRefs>
</ds:datastoreItem>
</file>

<file path=customXml/itemProps2.xml><?xml version="1.0" encoding="utf-8"?>
<ds:datastoreItem xmlns:ds="http://schemas.openxmlformats.org/officeDocument/2006/customXml" ds:itemID="{6C9BFE3C-BDBF-4C82-8571-7020E0C80F32}">
  <ds:schemaRefs>
    <ds:schemaRef ds:uri="http://schemas.microsoft.com/sharepoint/v3/contenttype/forms"/>
  </ds:schemaRefs>
</ds:datastoreItem>
</file>

<file path=customXml/itemProps3.xml><?xml version="1.0" encoding="utf-8"?>
<ds:datastoreItem xmlns:ds="http://schemas.openxmlformats.org/officeDocument/2006/customXml" ds:itemID="{44AFC539-8485-4295-AFD7-5FA4F0E2E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2120</Words>
  <Characters>12668</Characters>
  <Application>Microsoft Office Word</Application>
  <DocSecurity>0</DocSecurity>
  <Lines>287</Lines>
  <Paragraphs>132</Paragraphs>
  <ScaleCrop>false</ScaleCrop>
  <HeadingPairs>
    <vt:vector size="2" baseType="variant">
      <vt:variant>
        <vt:lpstr>Title</vt:lpstr>
      </vt:variant>
      <vt:variant>
        <vt:i4>1</vt:i4>
      </vt:variant>
    </vt:vector>
  </HeadingPairs>
  <TitlesOfParts>
    <vt:vector size="1" baseType="lpstr">
      <vt:lpstr>National Dementia Action Plan Monitoring and Reporting Framework</vt:lpstr>
    </vt:vector>
  </TitlesOfParts>
  <Manager/>
  <Company/>
  <LinksUpToDate>false</LinksUpToDate>
  <CharactersWithSpaces>14656</CharactersWithSpaces>
  <SharedDoc>false</SharedDoc>
  <HyperlinkBase/>
  <HLinks>
    <vt:vector size="84" baseType="variant">
      <vt:variant>
        <vt:i4>4259859</vt:i4>
      </vt:variant>
      <vt:variant>
        <vt:i4>75</vt:i4>
      </vt:variant>
      <vt:variant>
        <vt:i4>0</vt:i4>
      </vt:variant>
      <vt:variant>
        <vt:i4>5</vt:i4>
      </vt:variant>
      <vt:variant>
        <vt:lpwstr>https://www.aihw.gov.au/reports/dementia/ndap-indicators-dashboard/contents/about</vt:lpwstr>
      </vt:variant>
      <vt:variant>
        <vt:lpwstr/>
      </vt:variant>
      <vt:variant>
        <vt:i4>1245251</vt:i4>
      </vt:variant>
      <vt:variant>
        <vt:i4>72</vt:i4>
      </vt:variant>
      <vt:variant>
        <vt:i4>0</vt:i4>
      </vt:variant>
      <vt:variant>
        <vt:i4>5</vt:i4>
      </vt:variant>
      <vt:variant>
        <vt:lpwstr>https://www.aihw.gov.au/reports/dementia/national-dementia-data-improvement-plan-2023-2033/contents/about</vt:lpwstr>
      </vt:variant>
      <vt:variant>
        <vt:lpwstr/>
      </vt:variant>
      <vt:variant>
        <vt:i4>5439564</vt:i4>
      </vt:variant>
      <vt:variant>
        <vt:i4>69</vt:i4>
      </vt:variant>
      <vt:variant>
        <vt:i4>0</vt:i4>
      </vt:variant>
      <vt:variant>
        <vt:i4>5</vt:i4>
      </vt:variant>
      <vt:variant>
        <vt:lpwstr>https://www.health.gov.au/our-work/national-dementia-action-plan</vt:lpwstr>
      </vt:variant>
      <vt:variant>
        <vt:lpwstr/>
      </vt:variant>
      <vt:variant>
        <vt:i4>1114165</vt:i4>
      </vt:variant>
      <vt:variant>
        <vt:i4>62</vt:i4>
      </vt:variant>
      <vt:variant>
        <vt:i4>0</vt:i4>
      </vt:variant>
      <vt:variant>
        <vt:i4>5</vt:i4>
      </vt:variant>
      <vt:variant>
        <vt:lpwstr/>
      </vt:variant>
      <vt:variant>
        <vt:lpwstr>_Toc183533483</vt:lpwstr>
      </vt:variant>
      <vt:variant>
        <vt:i4>1114165</vt:i4>
      </vt:variant>
      <vt:variant>
        <vt:i4>56</vt:i4>
      </vt:variant>
      <vt:variant>
        <vt:i4>0</vt:i4>
      </vt:variant>
      <vt:variant>
        <vt:i4>5</vt:i4>
      </vt:variant>
      <vt:variant>
        <vt:lpwstr/>
      </vt:variant>
      <vt:variant>
        <vt:lpwstr>_Toc183533482</vt:lpwstr>
      </vt:variant>
      <vt:variant>
        <vt:i4>1114165</vt:i4>
      </vt:variant>
      <vt:variant>
        <vt:i4>50</vt:i4>
      </vt:variant>
      <vt:variant>
        <vt:i4>0</vt:i4>
      </vt:variant>
      <vt:variant>
        <vt:i4>5</vt:i4>
      </vt:variant>
      <vt:variant>
        <vt:lpwstr/>
      </vt:variant>
      <vt:variant>
        <vt:lpwstr>_Toc183533481</vt:lpwstr>
      </vt:variant>
      <vt:variant>
        <vt:i4>1114165</vt:i4>
      </vt:variant>
      <vt:variant>
        <vt:i4>44</vt:i4>
      </vt:variant>
      <vt:variant>
        <vt:i4>0</vt:i4>
      </vt:variant>
      <vt:variant>
        <vt:i4>5</vt:i4>
      </vt:variant>
      <vt:variant>
        <vt:lpwstr/>
      </vt:variant>
      <vt:variant>
        <vt:lpwstr>_Toc183533480</vt:lpwstr>
      </vt:variant>
      <vt:variant>
        <vt:i4>1966133</vt:i4>
      </vt:variant>
      <vt:variant>
        <vt:i4>38</vt:i4>
      </vt:variant>
      <vt:variant>
        <vt:i4>0</vt:i4>
      </vt:variant>
      <vt:variant>
        <vt:i4>5</vt:i4>
      </vt:variant>
      <vt:variant>
        <vt:lpwstr/>
      </vt:variant>
      <vt:variant>
        <vt:lpwstr>_Toc183533479</vt:lpwstr>
      </vt:variant>
      <vt:variant>
        <vt:i4>1966133</vt:i4>
      </vt:variant>
      <vt:variant>
        <vt:i4>32</vt:i4>
      </vt:variant>
      <vt:variant>
        <vt:i4>0</vt:i4>
      </vt:variant>
      <vt:variant>
        <vt:i4>5</vt:i4>
      </vt:variant>
      <vt:variant>
        <vt:lpwstr/>
      </vt:variant>
      <vt:variant>
        <vt:lpwstr>_Toc183533478</vt:lpwstr>
      </vt:variant>
      <vt:variant>
        <vt:i4>1966133</vt:i4>
      </vt:variant>
      <vt:variant>
        <vt:i4>26</vt:i4>
      </vt:variant>
      <vt:variant>
        <vt:i4>0</vt:i4>
      </vt:variant>
      <vt:variant>
        <vt:i4>5</vt:i4>
      </vt:variant>
      <vt:variant>
        <vt:lpwstr/>
      </vt:variant>
      <vt:variant>
        <vt:lpwstr>_Toc183533477</vt:lpwstr>
      </vt:variant>
      <vt:variant>
        <vt:i4>1966133</vt:i4>
      </vt:variant>
      <vt:variant>
        <vt:i4>20</vt:i4>
      </vt:variant>
      <vt:variant>
        <vt:i4>0</vt:i4>
      </vt:variant>
      <vt:variant>
        <vt:i4>5</vt:i4>
      </vt:variant>
      <vt:variant>
        <vt:lpwstr/>
      </vt:variant>
      <vt:variant>
        <vt:lpwstr>_Toc183533476</vt:lpwstr>
      </vt:variant>
      <vt:variant>
        <vt:i4>1966133</vt:i4>
      </vt:variant>
      <vt:variant>
        <vt:i4>14</vt:i4>
      </vt:variant>
      <vt:variant>
        <vt:i4>0</vt:i4>
      </vt:variant>
      <vt:variant>
        <vt:i4>5</vt:i4>
      </vt:variant>
      <vt:variant>
        <vt:lpwstr/>
      </vt:variant>
      <vt:variant>
        <vt:lpwstr>_Toc183533475</vt:lpwstr>
      </vt:variant>
      <vt:variant>
        <vt:i4>1966133</vt:i4>
      </vt:variant>
      <vt:variant>
        <vt:i4>8</vt:i4>
      </vt:variant>
      <vt:variant>
        <vt:i4>0</vt:i4>
      </vt:variant>
      <vt:variant>
        <vt:i4>5</vt:i4>
      </vt:variant>
      <vt:variant>
        <vt:lpwstr/>
      </vt:variant>
      <vt:variant>
        <vt:lpwstr>_Toc183533474</vt:lpwstr>
      </vt:variant>
      <vt:variant>
        <vt:i4>1966133</vt:i4>
      </vt:variant>
      <vt:variant>
        <vt:i4>2</vt:i4>
      </vt:variant>
      <vt:variant>
        <vt:i4>0</vt:i4>
      </vt:variant>
      <vt:variant>
        <vt:i4>5</vt:i4>
      </vt:variant>
      <vt:variant>
        <vt:lpwstr/>
      </vt:variant>
      <vt:variant>
        <vt:lpwstr>_Toc183533473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Dementia Action Plan Monitoring and Reporting Framework</dc:title>
  <dc:subject/>
  <dc:creator>Australian Government Department of Health and Aged Care</dc:creator>
  <cp:keywords>Dementia, Aged Care, Senior Australians</cp:keywords>
  <dc:description/>
  <cp:revision>3</cp:revision>
  <dcterms:created xsi:type="dcterms:W3CDTF">2024-12-02T22:55:00Z</dcterms:created>
  <dcterms:modified xsi:type="dcterms:W3CDTF">2024-12-04T20:03:00Z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5;#PCPD CC Corporate Communication SN|73cff0d0-7b20-43e0-ad96-75a3b55de641</vt:lpwstr>
  </property>
  <property fmtid="{D5CDD505-2E9C-101B-9397-08002B2CF9AE}" pid="3" name="Project">
    <vt:lpwstr>170;#Style Guide|fae42d66-6622-4466-b060-a03a1a4f59f8</vt:lpwstr>
  </property>
  <property fmtid="{D5CDD505-2E9C-101B-9397-08002B2CF9AE}" pid="4" name="Order">
    <vt:r8>4995700</vt:r8>
  </property>
  <property fmtid="{D5CDD505-2E9C-101B-9397-08002B2CF9AE}" pid="5" name="MediaServiceImageTags">
    <vt:lpwstr/>
  </property>
  <property fmtid="{D5CDD505-2E9C-101B-9397-08002B2CF9AE}" pid="6" name="xd_ProgID">
    <vt:lpwstr/>
  </property>
  <property fmtid="{D5CDD505-2E9C-101B-9397-08002B2CF9AE}" pid="7" name="ContentTypeId">
    <vt:lpwstr>0x010100913B9D538FF1B34BB1614625CED124C5</vt:lpwstr>
  </property>
  <property fmtid="{D5CDD505-2E9C-101B-9397-08002B2CF9AE}" pid="8" name="p76df81b8fed4a2fa2af18761f9ff90d">
    <vt:lpwstr>Aged care|15037316-ccb1-4430-a7dd-5c4031a389b1;visual identity|a54ebda2-a0fd-45ec-8fc0-1cf31001b526</vt:lpwstr>
  </property>
  <property fmtid="{D5CDD505-2E9C-101B-9397-08002B2CF9AE}" pid="9" name="Int-Contact">
    <vt:lpwstr>104;#|e5d142d6-a25f-4b81-a8a4-d8f9e5839eea</vt:lpwstr>
  </property>
  <property fmtid="{D5CDD505-2E9C-101B-9397-08002B2CF9AE}" pid="10" name="ComplianceAssetId">
    <vt:lpwstr/>
  </property>
  <property fmtid="{D5CDD505-2E9C-101B-9397-08002B2CF9AE}" pid="11" name="TemplateUrl">
    <vt:lpwstr/>
  </property>
  <property fmtid="{D5CDD505-2E9C-101B-9397-08002B2CF9AE}" pid="12" name="Intranet">
    <vt:bool>true</vt:bool>
  </property>
  <property fmtid="{D5CDD505-2E9C-101B-9397-08002B2CF9AE}" pid="13" name="Int-InformationType">
    <vt:lpwstr>42;#|0635ea83-9a41-497c-9b11-d9d7178dcab7</vt:lpwstr>
  </property>
  <property fmtid="{D5CDD505-2E9C-101B-9397-08002B2CF9AE}" pid="14" name="_ExtendedDescription">
    <vt:lpwstr/>
  </property>
  <property fmtid="{D5CDD505-2E9C-101B-9397-08002B2CF9AE}" pid="15" name="Last reviewed">
    <vt:filetime>2023-11-28T13:00:00Z</vt:filetime>
  </property>
  <property fmtid="{D5CDD505-2E9C-101B-9397-08002B2CF9AE}" pid="16" name="Keywords1">
    <vt:lpwstr>30;#Aged care|15037316-ccb1-4430-a7dd-5c4031a389b1;#4;#visual identity|a54ebda2-a0fd-45ec-8fc0-1cf31001b526</vt:lpwstr>
  </property>
  <property fmtid="{D5CDD505-2E9C-101B-9397-08002B2CF9AE}" pid="17" name="TriggerFlowInfo">
    <vt:lpwstr/>
  </property>
  <property fmtid="{D5CDD505-2E9C-101B-9397-08002B2CF9AE}" pid="18" name="TWAH-7Dec">
    <vt:lpwstr>, </vt:lpwstr>
  </property>
  <property fmtid="{D5CDD505-2E9C-101B-9397-08002B2CF9AE}" pid="19" name="Contact">
    <vt:lpwstr>104;#Aged Care Communications and Change|e5d142d6-a25f-4b81-a8a4-d8f9e5839eea</vt:lpwstr>
  </property>
  <property fmtid="{D5CDD505-2E9C-101B-9397-08002B2CF9AE}" pid="20" name="jf042baad2b143719d8a0cfd36411dfb">
    <vt:lpwstr>Aged Care Communications and Change|e5d142d6-a25f-4b81-a8a4-d8f9e5839eea</vt:lpwstr>
  </property>
  <property fmtid="{D5CDD505-2E9C-101B-9397-08002B2CF9AE}" pid="21" name="Information type">
    <vt:lpwstr>42;#Template|0635ea83-9a41-497c-9b11-d9d7178dcab7</vt:lpwstr>
  </property>
  <property fmtid="{D5CDD505-2E9C-101B-9397-08002B2CF9AE}" pid="22" name="Int-Topics">
    <vt:lpwstr>4;#visual identity|a54ebda2-a0fd-45ec-8fc0-1cf31001b526;#30;#Aged care|15037316-ccb1-4430-a7dd-5c4031a389b1</vt:lpwstr>
  </property>
  <property fmtid="{D5CDD505-2E9C-101B-9397-08002B2CF9AE}" pid="23" name="File Structure">
    <vt:lpwstr>169;#Style Guide|aa9bcad4-d3b7-4fe1-b475-a8e6573a6ad1</vt:lpwstr>
  </property>
  <property fmtid="{D5CDD505-2E9C-101B-9397-08002B2CF9AE}" pid="24" name="xd_Signature">
    <vt:bool>false</vt:bool>
  </property>
  <property fmtid="{D5CDD505-2E9C-101B-9397-08002B2CF9AE}" pid="25" name="SharedWithUsers">
    <vt:lpwstr>3338;#Andrew Glenn</vt:lpwstr>
  </property>
  <property fmtid="{D5CDD505-2E9C-101B-9397-08002B2CF9AE}" pid="26" name="lcf76f155ced4ddcb4097134ff3c332f">
    <vt:lpwstr/>
  </property>
  <property fmtid="{D5CDD505-2E9C-101B-9397-08002B2CF9AE}" pid="27" name="_dlc_DocIdItemGuid">
    <vt:lpwstr>c035f51b-1153-45fd-97fb-3efc14ccd009</vt:lpwstr>
  </property>
  <property fmtid="{D5CDD505-2E9C-101B-9397-08002B2CF9AE}" pid="28" name="pfd27f99efda4409b63228bea026394d">
    <vt:lpwstr>Template|0635ea83-9a41-497c-9b11-d9d7178dcab7</vt:lpwstr>
  </property>
</Properties>
</file>