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BA3C" w14:textId="77777777" w:rsidR="00BA2732" w:rsidRDefault="00BB6E84" w:rsidP="0068134A">
      <w:pPr>
        <w:pStyle w:val="Heading1"/>
      </w:pPr>
      <w:r>
        <w:t>National Aged Care Advisory Council</w:t>
      </w:r>
    </w:p>
    <w:p w14:paraId="69DB6A02" w14:textId="77777777" w:rsidR="008376E2" w:rsidRPr="008376E2" w:rsidRDefault="008376E2" w:rsidP="00DE6AD6">
      <w:pPr>
        <w:sectPr w:rsidR="008376E2" w:rsidRPr="008376E2" w:rsidSect="006813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217EC33E" w14:textId="3EE45A4B" w:rsidR="0054768D" w:rsidRDefault="0098122D" w:rsidP="0054768D">
      <w:pPr>
        <w:pStyle w:val="Heading2"/>
      </w:pPr>
      <w:r>
        <w:t>Meeting Communique</w:t>
      </w:r>
      <w:r w:rsidR="00BB6E84">
        <w:t xml:space="preserve"> </w:t>
      </w:r>
      <w:r>
        <w:t xml:space="preserve">– </w:t>
      </w:r>
      <w:r w:rsidR="006F5D44">
        <w:t>30 October 2024</w:t>
      </w:r>
    </w:p>
    <w:p w14:paraId="1714E64F" w14:textId="2B4DC36C" w:rsidR="0098122D" w:rsidRDefault="00D2374E" w:rsidP="0098122D">
      <w:pPr>
        <w:pStyle w:val="Heading3"/>
      </w:pPr>
      <w:r>
        <w:t>Aged Care Bill 2024</w:t>
      </w:r>
    </w:p>
    <w:p w14:paraId="097A48A1" w14:textId="61E8727D" w:rsidR="00C92744" w:rsidRDefault="007D2482" w:rsidP="00C92744">
      <w:r>
        <w:t xml:space="preserve">Council </w:t>
      </w:r>
      <w:r w:rsidR="00EB4700">
        <w:t xml:space="preserve">received an update on the drafting of the Rules and the Consequential and Transitional Provisions </w:t>
      </w:r>
      <w:r w:rsidR="000D2DA2">
        <w:t xml:space="preserve">Bill, as well as </w:t>
      </w:r>
      <w:r w:rsidR="00544C48">
        <w:t xml:space="preserve">an update on </w:t>
      </w:r>
      <w:r w:rsidR="000D2DA2">
        <w:t xml:space="preserve">the progress of the Aged Care Bill. </w:t>
      </w:r>
      <w:r w:rsidR="00ED57A2">
        <w:t xml:space="preserve">Council discussed </w:t>
      </w:r>
      <w:r w:rsidR="00381071">
        <w:t>and provided feedback on</w:t>
      </w:r>
      <w:r w:rsidR="006F564E" w:rsidRPr="006F564E">
        <w:t xml:space="preserve"> </w:t>
      </w:r>
      <w:r w:rsidR="006F564E">
        <w:t>the parliamentary process,</w:t>
      </w:r>
      <w:r w:rsidR="00381071">
        <w:t xml:space="preserve"> </w:t>
      </w:r>
      <w:r w:rsidR="00E96167">
        <w:t>timeframes for commencement, restrictive practices,</w:t>
      </w:r>
      <w:r w:rsidR="00B1311F">
        <w:t xml:space="preserve"> thin markets</w:t>
      </w:r>
      <w:r w:rsidR="006F564E">
        <w:t>,</w:t>
      </w:r>
      <w:r w:rsidR="00B1311F">
        <w:t xml:space="preserve"> and grants</w:t>
      </w:r>
      <w:r w:rsidR="006F564E">
        <w:t xml:space="preserve"> provisions</w:t>
      </w:r>
      <w:r w:rsidR="00B1311F">
        <w:t xml:space="preserve"> </w:t>
      </w:r>
      <w:r w:rsidR="006F564E">
        <w:t>in</w:t>
      </w:r>
      <w:r w:rsidR="00B1311F">
        <w:t xml:space="preserve"> the Bill</w:t>
      </w:r>
      <w:r w:rsidR="00381071">
        <w:t xml:space="preserve">. </w:t>
      </w:r>
    </w:p>
    <w:p w14:paraId="00B86B3C" w14:textId="55AC9BB6" w:rsidR="00D2374E" w:rsidRDefault="00D2374E" w:rsidP="00D2374E">
      <w:pPr>
        <w:pStyle w:val="Heading3"/>
      </w:pPr>
      <w:r>
        <w:t>Aged Care Taskforce</w:t>
      </w:r>
    </w:p>
    <w:p w14:paraId="20833CA2" w14:textId="3E6E3E54" w:rsidR="00543390" w:rsidRDefault="00543390" w:rsidP="00D2374E">
      <w:r>
        <w:rPr>
          <w:rFonts w:eastAsia="Arial" w:cs="Arial"/>
          <w:szCs w:val="22"/>
        </w:rPr>
        <w:t xml:space="preserve">Council </w:t>
      </w:r>
      <w:r w:rsidR="00D23B6E">
        <w:rPr>
          <w:rFonts w:eastAsia="Arial" w:cs="Arial"/>
          <w:szCs w:val="22"/>
        </w:rPr>
        <w:t xml:space="preserve">provided feedback </w:t>
      </w:r>
      <w:r w:rsidR="008519E3">
        <w:rPr>
          <w:rFonts w:eastAsia="Arial" w:cs="Arial"/>
          <w:szCs w:val="22"/>
        </w:rPr>
        <w:t>on</w:t>
      </w:r>
      <w:r>
        <w:rPr>
          <w:rFonts w:eastAsia="Arial" w:cs="Arial"/>
          <w:szCs w:val="22"/>
        </w:rPr>
        <w:t xml:space="preserve"> the proposed approach to using the Age Pension to means test for Support at Home. Council</w:t>
      </w:r>
      <w:r w:rsidR="00D23B6E">
        <w:rPr>
          <w:rFonts w:eastAsia="Arial" w:cs="Arial"/>
          <w:szCs w:val="22"/>
        </w:rPr>
        <w:t xml:space="preserve"> also</w:t>
      </w:r>
      <w:r>
        <w:rPr>
          <w:rFonts w:eastAsia="Arial" w:cs="Arial"/>
          <w:szCs w:val="22"/>
        </w:rPr>
        <w:t xml:space="preserve"> provided feedback on the thresholds for contributions to the Hotelling Supplement and non-clinical care in residential care.</w:t>
      </w:r>
      <w:r w:rsidR="00016D75">
        <w:rPr>
          <w:rFonts w:eastAsia="Arial" w:cs="Arial"/>
          <w:szCs w:val="22"/>
        </w:rPr>
        <w:t xml:space="preserve"> </w:t>
      </w:r>
    </w:p>
    <w:p w14:paraId="56FBC274" w14:textId="6F70271C" w:rsidR="001D1D51" w:rsidRDefault="001D1D51" w:rsidP="001D1D51">
      <w:pPr>
        <w:pStyle w:val="Heading3"/>
      </w:pPr>
      <w:r>
        <w:t>Support at Home</w:t>
      </w:r>
    </w:p>
    <w:p w14:paraId="353E9136" w14:textId="789FD8CE" w:rsidR="0075507C" w:rsidRDefault="00306736" w:rsidP="001D1D51">
      <w:r>
        <w:t xml:space="preserve">Council </w:t>
      </w:r>
      <w:r w:rsidR="008632A8">
        <w:t xml:space="preserve">welcomed the release of the </w:t>
      </w:r>
      <w:r w:rsidR="00C80060">
        <w:t>Progra</w:t>
      </w:r>
      <w:r w:rsidR="008632A8">
        <w:t>m Handbook and the</w:t>
      </w:r>
      <w:r w:rsidR="00C80060">
        <w:t xml:space="preserve"> Support at Home Service List. </w:t>
      </w:r>
      <w:r w:rsidR="00115CA9">
        <w:t xml:space="preserve">Council </w:t>
      </w:r>
      <w:r w:rsidR="003969CD">
        <w:t xml:space="preserve">raised </w:t>
      </w:r>
      <w:r w:rsidR="00535211">
        <w:t xml:space="preserve">some concerns </w:t>
      </w:r>
      <w:r w:rsidR="00763F75">
        <w:t>about the Service List, particularly the cap on gardening and cleaning</w:t>
      </w:r>
      <w:r w:rsidR="001B43FD">
        <w:t>.</w:t>
      </w:r>
    </w:p>
    <w:p w14:paraId="135FC1E5" w14:textId="1FC3CA8F" w:rsidR="001D1D51" w:rsidRDefault="00A30801" w:rsidP="001D1D51">
      <w:r>
        <w:t xml:space="preserve">Council </w:t>
      </w:r>
      <w:r w:rsidR="00D83A70">
        <w:t>suggested further work is needed to address</w:t>
      </w:r>
      <w:r w:rsidR="00E75D4E">
        <w:t xml:space="preserve"> workforce </w:t>
      </w:r>
      <w:r w:rsidR="0075507C">
        <w:t>challenges, which are impacting wait times.</w:t>
      </w:r>
    </w:p>
    <w:p w14:paraId="3C994ADE" w14:textId="3B638245" w:rsidR="001D1D51" w:rsidRDefault="001D1D51" w:rsidP="001D1D51">
      <w:pPr>
        <w:pStyle w:val="Heading3"/>
      </w:pPr>
      <w:r>
        <w:t>Rules Consultation and Sector Readiness</w:t>
      </w:r>
    </w:p>
    <w:p w14:paraId="5FD9FD7D" w14:textId="7E67A740" w:rsidR="001D1D51" w:rsidRDefault="009F4747" w:rsidP="001D1D51">
      <w:r>
        <w:t xml:space="preserve">Council </w:t>
      </w:r>
      <w:r w:rsidR="00AF543D">
        <w:t>provided feedback</w:t>
      </w:r>
      <w:r>
        <w:t xml:space="preserve"> on the Rules Consultation process and discusse</w:t>
      </w:r>
      <w:r w:rsidR="003313DF">
        <w:t>d ways to improve the Department’s approach to preparing the sector for the New Aged Care Act.</w:t>
      </w:r>
      <w:r w:rsidR="00E033A4">
        <w:t xml:space="preserve"> </w:t>
      </w:r>
      <w:r w:rsidR="005F51DA">
        <w:t>Council highlighted the need for targeted communication</w:t>
      </w:r>
      <w:r w:rsidR="007B7FC9">
        <w:t xml:space="preserve">, especially for </w:t>
      </w:r>
      <w:r w:rsidR="006921F1">
        <w:t xml:space="preserve">the </w:t>
      </w:r>
      <w:r w:rsidR="007B7FC9">
        <w:t>C</w:t>
      </w:r>
      <w:r w:rsidR="00071B5F">
        <w:t>ulturally and Linguistically Diverse</w:t>
      </w:r>
      <w:r w:rsidR="007B7FC9">
        <w:t xml:space="preserve"> and First Nations communities. </w:t>
      </w:r>
    </w:p>
    <w:p w14:paraId="2C3B7B95" w14:textId="5730C841" w:rsidR="00C845E5" w:rsidRPr="00C845E5" w:rsidRDefault="00DA5553" w:rsidP="00C845E5">
      <w:pPr>
        <w:pStyle w:val="Heading3"/>
      </w:pPr>
      <w:r>
        <w:t>Elder Abuse Update</w:t>
      </w:r>
    </w:p>
    <w:p w14:paraId="76DA7A5A" w14:textId="11D801EE" w:rsidR="001D1D51" w:rsidRPr="009B5124" w:rsidRDefault="009B5124" w:rsidP="001D1D51">
      <w:pPr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Council </w:t>
      </w:r>
      <w:r w:rsidR="00B709A3">
        <w:rPr>
          <w:rFonts w:eastAsia="Arial" w:cs="Arial"/>
          <w:szCs w:val="22"/>
        </w:rPr>
        <w:t>was provided an update on</w:t>
      </w:r>
      <w:r>
        <w:rPr>
          <w:rFonts w:eastAsia="Arial" w:cs="Arial"/>
          <w:szCs w:val="22"/>
        </w:rPr>
        <w:t xml:space="preserve"> the Attorney-General’s Department Elder Abuse Research Program, </w:t>
      </w:r>
      <w:r w:rsidR="00B709A3">
        <w:rPr>
          <w:rFonts w:eastAsia="Arial" w:cs="Arial"/>
          <w:szCs w:val="22"/>
        </w:rPr>
        <w:t xml:space="preserve">development of a successor National Plan to the National Plan </w:t>
      </w:r>
      <w:r w:rsidR="00647015">
        <w:rPr>
          <w:rFonts w:eastAsia="Arial" w:cs="Arial"/>
          <w:szCs w:val="22"/>
        </w:rPr>
        <w:t>to Respond to the Abuse of Older Australians 2019-2023 and the recent elder abuse national awareness campaign.</w:t>
      </w:r>
    </w:p>
    <w:p w14:paraId="191CDCFB" w14:textId="6EF98DBD" w:rsidR="00B07C13" w:rsidRPr="00C845E5" w:rsidRDefault="00B07C13" w:rsidP="00B07C13">
      <w:pPr>
        <w:pStyle w:val="Heading3"/>
      </w:pPr>
      <w:r>
        <w:t>New Regulatory Model</w:t>
      </w:r>
    </w:p>
    <w:p w14:paraId="035647AE" w14:textId="653CC40E" w:rsidR="00B07C13" w:rsidRDefault="00F2113B" w:rsidP="00B07C13">
      <w:r>
        <w:t xml:space="preserve">Council </w:t>
      </w:r>
      <w:r w:rsidR="00CC0B2F">
        <w:t xml:space="preserve">provided feedback on the New Regulatory Model being developed by the Department, which will commence when the new Act is introduced. </w:t>
      </w:r>
    </w:p>
    <w:p w14:paraId="38D27414" w14:textId="0A8FD470" w:rsidR="00C845E5" w:rsidRPr="00C845E5" w:rsidRDefault="00C845E5" w:rsidP="00C845E5">
      <w:pPr>
        <w:pStyle w:val="Heading3"/>
      </w:pPr>
      <w:r>
        <w:lastRenderedPageBreak/>
        <w:t>2024 Achievements</w:t>
      </w:r>
    </w:p>
    <w:p w14:paraId="7CBC044B" w14:textId="28C8BF1A" w:rsidR="00C845E5" w:rsidRDefault="009A48CE" w:rsidP="00C845E5">
      <w:r>
        <w:t xml:space="preserve">Council </w:t>
      </w:r>
      <w:r w:rsidR="00FC5481">
        <w:t>reflected</w:t>
      </w:r>
      <w:r>
        <w:t xml:space="preserve"> on the aged care reform issues addressed th</w:t>
      </w:r>
      <w:r w:rsidR="00FC5481">
        <w:t xml:space="preserve">roughout 2024. An overview of Council’s 2024 Achievements will </w:t>
      </w:r>
      <w:r w:rsidR="00607AA9">
        <w:t>be published on the Department’s website.</w:t>
      </w:r>
    </w:p>
    <w:sectPr w:rsidR="00C845E5" w:rsidSect="009724AB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EC20" w14:textId="77777777" w:rsidR="006E5E0B" w:rsidRDefault="006E5E0B" w:rsidP="006B56BB">
      <w:r>
        <w:separator/>
      </w:r>
    </w:p>
    <w:p w14:paraId="5EC78487" w14:textId="77777777" w:rsidR="006E5E0B" w:rsidRDefault="006E5E0B"/>
  </w:endnote>
  <w:endnote w:type="continuationSeparator" w:id="0">
    <w:p w14:paraId="16DA6303" w14:textId="77777777" w:rsidR="006E5E0B" w:rsidRDefault="006E5E0B" w:rsidP="006B56BB">
      <w:r>
        <w:continuationSeparator/>
      </w:r>
    </w:p>
    <w:p w14:paraId="531523B5" w14:textId="77777777" w:rsidR="006E5E0B" w:rsidRDefault="006E5E0B"/>
  </w:endnote>
  <w:endnote w:type="continuationNotice" w:id="1">
    <w:p w14:paraId="5EF9BBC1" w14:textId="77777777" w:rsidR="006E5E0B" w:rsidRDefault="006E5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827F" w14:textId="77777777" w:rsidR="001A3F00" w:rsidRDefault="001A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BBF9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6976" w14:textId="19EEF1F8" w:rsidR="0068134A" w:rsidRPr="00DE3355" w:rsidRDefault="00BB6E84" w:rsidP="00AC24B7">
    <w:pPr>
      <w:pStyle w:val="Footer"/>
      <w:tabs>
        <w:tab w:val="clear" w:pos="4513"/>
      </w:tabs>
    </w:pPr>
    <w:r>
      <w:t>NACAC</w:t>
    </w:r>
    <w:r w:rsidR="0098122D">
      <w:t xml:space="preserve"> – Meeting Communique – </w:t>
    </w:r>
    <w:r w:rsidR="006F5D44">
      <w:t>30 October 2024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C209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sdt>
      <w:sdtPr>
        <w:id w:val="-1932272195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859B" w14:textId="77777777" w:rsidR="006E5E0B" w:rsidRDefault="006E5E0B" w:rsidP="006B56BB">
      <w:r>
        <w:separator/>
      </w:r>
    </w:p>
    <w:p w14:paraId="25CD4947" w14:textId="77777777" w:rsidR="006E5E0B" w:rsidRDefault="006E5E0B"/>
  </w:footnote>
  <w:footnote w:type="continuationSeparator" w:id="0">
    <w:p w14:paraId="1ECE2663" w14:textId="77777777" w:rsidR="006E5E0B" w:rsidRDefault="006E5E0B" w:rsidP="006B56BB">
      <w:r>
        <w:continuationSeparator/>
      </w:r>
    </w:p>
    <w:p w14:paraId="65A359E9" w14:textId="77777777" w:rsidR="006E5E0B" w:rsidRDefault="006E5E0B"/>
  </w:footnote>
  <w:footnote w:type="continuationNotice" w:id="1">
    <w:p w14:paraId="640547FD" w14:textId="77777777" w:rsidR="006E5E0B" w:rsidRDefault="006E5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4C0C3" w14:textId="0911B602" w:rsidR="001A3F00" w:rsidRDefault="001A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1D3C" w14:textId="07803030" w:rsidR="001A3F00" w:rsidRDefault="001A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94E3" w14:textId="0BCE6BFE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41B711AC" wp14:editId="272DB9B2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97CF" w14:textId="3E87ED76" w:rsidR="001A3F00" w:rsidRDefault="001A3F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32D4" w14:textId="7FADA347" w:rsidR="001A3F00" w:rsidRDefault="001A3F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E2AB" w14:textId="5BC56386" w:rsidR="001A3F00" w:rsidRDefault="001A3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23"/>
  </w:num>
  <w:num w:numId="3" w16cid:durableId="235825222">
    <w:abstractNumId w:val="30"/>
  </w:num>
  <w:num w:numId="4" w16cid:durableId="2023509205">
    <w:abstractNumId w:val="8"/>
  </w:num>
  <w:num w:numId="5" w16cid:durableId="1791822256">
    <w:abstractNumId w:val="8"/>
    <w:lvlOverride w:ilvl="0">
      <w:startOverride w:val="1"/>
    </w:lvlOverride>
  </w:num>
  <w:num w:numId="6" w16cid:durableId="416487120">
    <w:abstractNumId w:val="11"/>
  </w:num>
  <w:num w:numId="7" w16cid:durableId="434444360">
    <w:abstractNumId w:val="20"/>
  </w:num>
  <w:num w:numId="8" w16cid:durableId="362751147">
    <w:abstractNumId w:val="29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32"/>
  </w:num>
  <w:num w:numId="17" w16cid:durableId="826748578">
    <w:abstractNumId w:val="13"/>
  </w:num>
  <w:num w:numId="18" w16cid:durableId="268587860">
    <w:abstractNumId w:val="14"/>
  </w:num>
  <w:num w:numId="19" w16cid:durableId="583149993">
    <w:abstractNumId w:val="16"/>
  </w:num>
  <w:num w:numId="20" w16cid:durableId="406614505">
    <w:abstractNumId w:val="17"/>
  </w:num>
  <w:num w:numId="21" w16cid:durableId="1584023879">
    <w:abstractNumId w:val="31"/>
  </w:num>
  <w:num w:numId="22" w16cid:durableId="1270233570">
    <w:abstractNumId w:val="10"/>
  </w:num>
  <w:num w:numId="23" w16cid:durableId="611401788">
    <w:abstractNumId w:val="13"/>
  </w:num>
  <w:num w:numId="24" w16cid:durableId="1022513200">
    <w:abstractNumId w:val="16"/>
  </w:num>
  <w:num w:numId="25" w16cid:durableId="2003729646">
    <w:abstractNumId w:val="30"/>
  </w:num>
  <w:num w:numId="26" w16cid:durableId="1946763033">
    <w:abstractNumId w:val="8"/>
  </w:num>
  <w:num w:numId="27" w16cid:durableId="312611862">
    <w:abstractNumId w:val="18"/>
  </w:num>
  <w:num w:numId="28" w16cid:durableId="511605125">
    <w:abstractNumId w:val="27"/>
  </w:num>
  <w:num w:numId="29" w16cid:durableId="1330907870">
    <w:abstractNumId w:val="21"/>
  </w:num>
  <w:num w:numId="30" w16cid:durableId="238638011">
    <w:abstractNumId w:val="22"/>
  </w:num>
  <w:num w:numId="31" w16cid:durableId="26371822">
    <w:abstractNumId w:val="12"/>
  </w:num>
  <w:num w:numId="32" w16cid:durableId="562981981">
    <w:abstractNumId w:val="9"/>
  </w:num>
  <w:num w:numId="33" w16cid:durableId="3292123">
    <w:abstractNumId w:val="15"/>
  </w:num>
  <w:num w:numId="34" w16cid:durableId="1468426813">
    <w:abstractNumId w:val="19"/>
  </w:num>
  <w:num w:numId="35" w16cid:durableId="1428770723">
    <w:abstractNumId w:val="28"/>
  </w:num>
  <w:num w:numId="36" w16cid:durableId="316422354">
    <w:abstractNumId w:val="25"/>
  </w:num>
  <w:num w:numId="37" w16cid:durableId="33426151">
    <w:abstractNumId w:val="26"/>
  </w:num>
  <w:num w:numId="38" w16cid:durableId="11155573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4"/>
    <w:rsid w:val="00003743"/>
    <w:rsid w:val="000047B4"/>
    <w:rsid w:val="00005712"/>
    <w:rsid w:val="00007FD8"/>
    <w:rsid w:val="000117F8"/>
    <w:rsid w:val="0001460F"/>
    <w:rsid w:val="00016D75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57735"/>
    <w:rsid w:val="00067456"/>
    <w:rsid w:val="00071506"/>
    <w:rsid w:val="0007154F"/>
    <w:rsid w:val="00071B5F"/>
    <w:rsid w:val="00081AB1"/>
    <w:rsid w:val="00090316"/>
    <w:rsid w:val="00090CA3"/>
    <w:rsid w:val="00093981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2DA2"/>
    <w:rsid w:val="000D4500"/>
    <w:rsid w:val="000D7AEA"/>
    <w:rsid w:val="000E2C66"/>
    <w:rsid w:val="000F123C"/>
    <w:rsid w:val="000F2FED"/>
    <w:rsid w:val="0010616D"/>
    <w:rsid w:val="00110478"/>
    <w:rsid w:val="00115B2E"/>
    <w:rsid w:val="00115CA9"/>
    <w:rsid w:val="0011711B"/>
    <w:rsid w:val="00117F8A"/>
    <w:rsid w:val="00121B9B"/>
    <w:rsid w:val="00122ADC"/>
    <w:rsid w:val="00130F59"/>
    <w:rsid w:val="00133EC0"/>
    <w:rsid w:val="00141CE5"/>
    <w:rsid w:val="00144908"/>
    <w:rsid w:val="00144A77"/>
    <w:rsid w:val="00150D2E"/>
    <w:rsid w:val="0015622C"/>
    <w:rsid w:val="001571C7"/>
    <w:rsid w:val="00161094"/>
    <w:rsid w:val="00172664"/>
    <w:rsid w:val="00172F07"/>
    <w:rsid w:val="0017665C"/>
    <w:rsid w:val="00177AD2"/>
    <w:rsid w:val="001815A8"/>
    <w:rsid w:val="001829DF"/>
    <w:rsid w:val="001840FA"/>
    <w:rsid w:val="00190079"/>
    <w:rsid w:val="00194D2B"/>
    <w:rsid w:val="0019622E"/>
    <w:rsid w:val="0019622F"/>
    <w:rsid w:val="001966A7"/>
    <w:rsid w:val="001A3F00"/>
    <w:rsid w:val="001A4627"/>
    <w:rsid w:val="001A4979"/>
    <w:rsid w:val="001A5897"/>
    <w:rsid w:val="001B15D3"/>
    <w:rsid w:val="001B3443"/>
    <w:rsid w:val="001B43FD"/>
    <w:rsid w:val="001C0326"/>
    <w:rsid w:val="001C192F"/>
    <w:rsid w:val="001C3C42"/>
    <w:rsid w:val="001D1D51"/>
    <w:rsid w:val="001D7869"/>
    <w:rsid w:val="002026CD"/>
    <w:rsid w:val="002033FC"/>
    <w:rsid w:val="002044BB"/>
    <w:rsid w:val="00210B09"/>
    <w:rsid w:val="00210C9E"/>
    <w:rsid w:val="00211840"/>
    <w:rsid w:val="002138B9"/>
    <w:rsid w:val="00220E5F"/>
    <w:rsid w:val="002212B5"/>
    <w:rsid w:val="00226668"/>
    <w:rsid w:val="002333EB"/>
    <w:rsid w:val="00233809"/>
    <w:rsid w:val="00240046"/>
    <w:rsid w:val="0024797F"/>
    <w:rsid w:val="00250583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03E3"/>
    <w:rsid w:val="00282052"/>
    <w:rsid w:val="0028519E"/>
    <w:rsid w:val="00285485"/>
    <w:rsid w:val="002856A5"/>
    <w:rsid w:val="00285A01"/>
    <w:rsid w:val="002872ED"/>
    <w:rsid w:val="002905C2"/>
    <w:rsid w:val="00290E93"/>
    <w:rsid w:val="00295AF2"/>
    <w:rsid w:val="00295C91"/>
    <w:rsid w:val="00297151"/>
    <w:rsid w:val="002B20E6"/>
    <w:rsid w:val="002B42A3"/>
    <w:rsid w:val="002B47BC"/>
    <w:rsid w:val="002C0CDD"/>
    <w:rsid w:val="002C38C4"/>
    <w:rsid w:val="002E1A1D"/>
    <w:rsid w:val="002E4081"/>
    <w:rsid w:val="002E5B78"/>
    <w:rsid w:val="002F3AE3"/>
    <w:rsid w:val="0030464B"/>
    <w:rsid w:val="00305D17"/>
    <w:rsid w:val="00306736"/>
    <w:rsid w:val="0030786C"/>
    <w:rsid w:val="003112C7"/>
    <w:rsid w:val="0032238A"/>
    <w:rsid w:val="003233DE"/>
    <w:rsid w:val="0032466B"/>
    <w:rsid w:val="003313DF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CEA"/>
    <w:rsid w:val="00375F77"/>
    <w:rsid w:val="00381071"/>
    <w:rsid w:val="00381BBE"/>
    <w:rsid w:val="00382903"/>
    <w:rsid w:val="00384442"/>
    <w:rsid w:val="003846FF"/>
    <w:rsid w:val="003857D4"/>
    <w:rsid w:val="00385AD4"/>
    <w:rsid w:val="00387924"/>
    <w:rsid w:val="0039384D"/>
    <w:rsid w:val="00394C05"/>
    <w:rsid w:val="00395C23"/>
    <w:rsid w:val="003969CD"/>
    <w:rsid w:val="003A2E4F"/>
    <w:rsid w:val="003A4438"/>
    <w:rsid w:val="003A5013"/>
    <w:rsid w:val="003A5078"/>
    <w:rsid w:val="003A628D"/>
    <w:rsid w:val="003A62DD"/>
    <w:rsid w:val="003A6A48"/>
    <w:rsid w:val="003A775A"/>
    <w:rsid w:val="003A7DE9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48E"/>
    <w:rsid w:val="00400F00"/>
    <w:rsid w:val="00404F8B"/>
    <w:rsid w:val="00405256"/>
    <w:rsid w:val="00410031"/>
    <w:rsid w:val="00415C81"/>
    <w:rsid w:val="00432378"/>
    <w:rsid w:val="0044041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63FE"/>
    <w:rsid w:val="00467BBF"/>
    <w:rsid w:val="0048593C"/>
    <w:rsid w:val="00485D4A"/>
    <w:rsid w:val="004867E2"/>
    <w:rsid w:val="004929A9"/>
    <w:rsid w:val="004A78D9"/>
    <w:rsid w:val="004B5A85"/>
    <w:rsid w:val="004C5D47"/>
    <w:rsid w:val="004C6BCF"/>
    <w:rsid w:val="004C78C6"/>
    <w:rsid w:val="004D58BF"/>
    <w:rsid w:val="004E4335"/>
    <w:rsid w:val="004E621B"/>
    <w:rsid w:val="004F13EE"/>
    <w:rsid w:val="004F2022"/>
    <w:rsid w:val="004F7C05"/>
    <w:rsid w:val="00501C94"/>
    <w:rsid w:val="00502EED"/>
    <w:rsid w:val="00506432"/>
    <w:rsid w:val="005100AA"/>
    <w:rsid w:val="0052051D"/>
    <w:rsid w:val="00524A61"/>
    <w:rsid w:val="005320E0"/>
    <w:rsid w:val="00535211"/>
    <w:rsid w:val="00543390"/>
    <w:rsid w:val="00544C48"/>
    <w:rsid w:val="00545EE6"/>
    <w:rsid w:val="00546EE3"/>
    <w:rsid w:val="0054768D"/>
    <w:rsid w:val="00550174"/>
    <w:rsid w:val="005550E7"/>
    <w:rsid w:val="005564FB"/>
    <w:rsid w:val="005572C7"/>
    <w:rsid w:val="005622C2"/>
    <w:rsid w:val="005650ED"/>
    <w:rsid w:val="00575754"/>
    <w:rsid w:val="00581FBA"/>
    <w:rsid w:val="00591E20"/>
    <w:rsid w:val="00595408"/>
    <w:rsid w:val="00595E84"/>
    <w:rsid w:val="00596011"/>
    <w:rsid w:val="005A0C59"/>
    <w:rsid w:val="005A48EB"/>
    <w:rsid w:val="005A6CFB"/>
    <w:rsid w:val="005B05A4"/>
    <w:rsid w:val="005C3779"/>
    <w:rsid w:val="005C5AEB"/>
    <w:rsid w:val="005D7AD0"/>
    <w:rsid w:val="005E0A3F"/>
    <w:rsid w:val="005E6883"/>
    <w:rsid w:val="005E772F"/>
    <w:rsid w:val="005F4ECA"/>
    <w:rsid w:val="005F51DA"/>
    <w:rsid w:val="006007E8"/>
    <w:rsid w:val="006041BE"/>
    <w:rsid w:val="006043C7"/>
    <w:rsid w:val="00607AA9"/>
    <w:rsid w:val="00624B52"/>
    <w:rsid w:val="00630794"/>
    <w:rsid w:val="00631DF4"/>
    <w:rsid w:val="00634175"/>
    <w:rsid w:val="006408AC"/>
    <w:rsid w:val="00647015"/>
    <w:rsid w:val="006511B6"/>
    <w:rsid w:val="00657FF8"/>
    <w:rsid w:val="00670D99"/>
    <w:rsid w:val="00670E2B"/>
    <w:rsid w:val="006734BB"/>
    <w:rsid w:val="0067697A"/>
    <w:rsid w:val="0068134A"/>
    <w:rsid w:val="006821EB"/>
    <w:rsid w:val="006921F1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E5E0B"/>
    <w:rsid w:val="006F1B13"/>
    <w:rsid w:val="006F54B2"/>
    <w:rsid w:val="006F564E"/>
    <w:rsid w:val="006F5D44"/>
    <w:rsid w:val="00701275"/>
    <w:rsid w:val="00707F56"/>
    <w:rsid w:val="00713558"/>
    <w:rsid w:val="00720D08"/>
    <w:rsid w:val="007263B9"/>
    <w:rsid w:val="0072702B"/>
    <w:rsid w:val="00730E51"/>
    <w:rsid w:val="007334F8"/>
    <w:rsid w:val="007339CD"/>
    <w:rsid w:val="007359D8"/>
    <w:rsid w:val="007362D4"/>
    <w:rsid w:val="007375FA"/>
    <w:rsid w:val="0075507C"/>
    <w:rsid w:val="00763658"/>
    <w:rsid w:val="00763F75"/>
    <w:rsid w:val="0076672A"/>
    <w:rsid w:val="00775E45"/>
    <w:rsid w:val="00776E74"/>
    <w:rsid w:val="00785169"/>
    <w:rsid w:val="00787F4B"/>
    <w:rsid w:val="007954AB"/>
    <w:rsid w:val="007A14C5"/>
    <w:rsid w:val="007A1B48"/>
    <w:rsid w:val="007A2866"/>
    <w:rsid w:val="007A4A10"/>
    <w:rsid w:val="007A5417"/>
    <w:rsid w:val="007B1760"/>
    <w:rsid w:val="007B41A7"/>
    <w:rsid w:val="007B765E"/>
    <w:rsid w:val="007B7FC9"/>
    <w:rsid w:val="007C1FDC"/>
    <w:rsid w:val="007C6D9C"/>
    <w:rsid w:val="007C7DDB"/>
    <w:rsid w:val="007D086A"/>
    <w:rsid w:val="007D2482"/>
    <w:rsid w:val="007D2CC7"/>
    <w:rsid w:val="007D62E8"/>
    <w:rsid w:val="007D673D"/>
    <w:rsid w:val="007E4D09"/>
    <w:rsid w:val="007F2220"/>
    <w:rsid w:val="007F4B3E"/>
    <w:rsid w:val="007F75C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19E3"/>
    <w:rsid w:val="0085209B"/>
    <w:rsid w:val="00856B66"/>
    <w:rsid w:val="00860131"/>
    <w:rsid w:val="008601AC"/>
    <w:rsid w:val="00861A5F"/>
    <w:rsid w:val="008632A8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D85"/>
    <w:rsid w:val="008A7438"/>
    <w:rsid w:val="008A749A"/>
    <w:rsid w:val="008B1334"/>
    <w:rsid w:val="008B25C7"/>
    <w:rsid w:val="008C0278"/>
    <w:rsid w:val="008C24E9"/>
    <w:rsid w:val="008D0533"/>
    <w:rsid w:val="008D2402"/>
    <w:rsid w:val="008D42CB"/>
    <w:rsid w:val="008D48C9"/>
    <w:rsid w:val="008D543E"/>
    <w:rsid w:val="008D6381"/>
    <w:rsid w:val="008E0C77"/>
    <w:rsid w:val="008E15B0"/>
    <w:rsid w:val="008E32B3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0B5D"/>
    <w:rsid w:val="009344DE"/>
    <w:rsid w:val="00945E7F"/>
    <w:rsid w:val="009557C1"/>
    <w:rsid w:val="00960D6E"/>
    <w:rsid w:val="009724AB"/>
    <w:rsid w:val="00974B59"/>
    <w:rsid w:val="009809DD"/>
    <w:rsid w:val="0098122D"/>
    <w:rsid w:val="0098340B"/>
    <w:rsid w:val="00986830"/>
    <w:rsid w:val="009924C3"/>
    <w:rsid w:val="00993102"/>
    <w:rsid w:val="00995F49"/>
    <w:rsid w:val="009A48CE"/>
    <w:rsid w:val="009B1570"/>
    <w:rsid w:val="009B5124"/>
    <w:rsid w:val="009C6F10"/>
    <w:rsid w:val="009D148F"/>
    <w:rsid w:val="009D3297"/>
    <w:rsid w:val="009D3D70"/>
    <w:rsid w:val="009E6F7E"/>
    <w:rsid w:val="009E7A57"/>
    <w:rsid w:val="009F4747"/>
    <w:rsid w:val="009F4803"/>
    <w:rsid w:val="009F4F6A"/>
    <w:rsid w:val="00A13EB5"/>
    <w:rsid w:val="00A16E36"/>
    <w:rsid w:val="00A24961"/>
    <w:rsid w:val="00A24B10"/>
    <w:rsid w:val="00A277EF"/>
    <w:rsid w:val="00A30801"/>
    <w:rsid w:val="00A30E9B"/>
    <w:rsid w:val="00A33D4D"/>
    <w:rsid w:val="00A4512D"/>
    <w:rsid w:val="00A50244"/>
    <w:rsid w:val="00A62333"/>
    <w:rsid w:val="00A627D7"/>
    <w:rsid w:val="00A656C7"/>
    <w:rsid w:val="00A705AF"/>
    <w:rsid w:val="00A72454"/>
    <w:rsid w:val="00A77696"/>
    <w:rsid w:val="00A80557"/>
    <w:rsid w:val="00A81D33"/>
    <w:rsid w:val="00A8341C"/>
    <w:rsid w:val="00A91F9D"/>
    <w:rsid w:val="00A921F7"/>
    <w:rsid w:val="00A930AE"/>
    <w:rsid w:val="00AA1A95"/>
    <w:rsid w:val="00AA260F"/>
    <w:rsid w:val="00AB1EE7"/>
    <w:rsid w:val="00AB27DE"/>
    <w:rsid w:val="00AB4B37"/>
    <w:rsid w:val="00AB5762"/>
    <w:rsid w:val="00AC24B7"/>
    <w:rsid w:val="00AC2679"/>
    <w:rsid w:val="00AC4BE4"/>
    <w:rsid w:val="00AD05E6"/>
    <w:rsid w:val="00AD0D3F"/>
    <w:rsid w:val="00AD7C72"/>
    <w:rsid w:val="00AE1D7D"/>
    <w:rsid w:val="00AE2A8B"/>
    <w:rsid w:val="00AE3F64"/>
    <w:rsid w:val="00AF02EC"/>
    <w:rsid w:val="00AF543D"/>
    <w:rsid w:val="00AF7386"/>
    <w:rsid w:val="00AF7934"/>
    <w:rsid w:val="00B00B81"/>
    <w:rsid w:val="00B0110D"/>
    <w:rsid w:val="00B04580"/>
    <w:rsid w:val="00B04B09"/>
    <w:rsid w:val="00B07C13"/>
    <w:rsid w:val="00B1311F"/>
    <w:rsid w:val="00B16A51"/>
    <w:rsid w:val="00B30C2A"/>
    <w:rsid w:val="00B31340"/>
    <w:rsid w:val="00B32222"/>
    <w:rsid w:val="00B3618D"/>
    <w:rsid w:val="00B36233"/>
    <w:rsid w:val="00B42851"/>
    <w:rsid w:val="00B45AC7"/>
    <w:rsid w:val="00B5372F"/>
    <w:rsid w:val="00B54577"/>
    <w:rsid w:val="00B61129"/>
    <w:rsid w:val="00B67E7F"/>
    <w:rsid w:val="00B709A3"/>
    <w:rsid w:val="00B839B2"/>
    <w:rsid w:val="00B91953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6E84"/>
    <w:rsid w:val="00BC4A19"/>
    <w:rsid w:val="00BC4E6D"/>
    <w:rsid w:val="00BD0617"/>
    <w:rsid w:val="00BD2E9B"/>
    <w:rsid w:val="00BD5B60"/>
    <w:rsid w:val="00BD7FB2"/>
    <w:rsid w:val="00C00930"/>
    <w:rsid w:val="00C060AD"/>
    <w:rsid w:val="00C113BF"/>
    <w:rsid w:val="00C17922"/>
    <w:rsid w:val="00C2176E"/>
    <w:rsid w:val="00C23430"/>
    <w:rsid w:val="00C27D67"/>
    <w:rsid w:val="00C33316"/>
    <w:rsid w:val="00C4631F"/>
    <w:rsid w:val="00C47CDE"/>
    <w:rsid w:val="00C50E16"/>
    <w:rsid w:val="00C5414A"/>
    <w:rsid w:val="00C55258"/>
    <w:rsid w:val="00C750DB"/>
    <w:rsid w:val="00C80060"/>
    <w:rsid w:val="00C82EEB"/>
    <w:rsid w:val="00C845E5"/>
    <w:rsid w:val="00C92744"/>
    <w:rsid w:val="00C971DC"/>
    <w:rsid w:val="00CA16B7"/>
    <w:rsid w:val="00CA556A"/>
    <w:rsid w:val="00CA62AE"/>
    <w:rsid w:val="00CB5B1A"/>
    <w:rsid w:val="00CC0B2F"/>
    <w:rsid w:val="00CC220B"/>
    <w:rsid w:val="00CC5C43"/>
    <w:rsid w:val="00CD02AE"/>
    <w:rsid w:val="00CD2A4F"/>
    <w:rsid w:val="00CD76A0"/>
    <w:rsid w:val="00CE03CA"/>
    <w:rsid w:val="00CE22F1"/>
    <w:rsid w:val="00CE41DA"/>
    <w:rsid w:val="00CE50F2"/>
    <w:rsid w:val="00CE6502"/>
    <w:rsid w:val="00CF2331"/>
    <w:rsid w:val="00CF7D3C"/>
    <w:rsid w:val="00D01F09"/>
    <w:rsid w:val="00D147EB"/>
    <w:rsid w:val="00D2374E"/>
    <w:rsid w:val="00D23B6E"/>
    <w:rsid w:val="00D34667"/>
    <w:rsid w:val="00D401E1"/>
    <w:rsid w:val="00D408B4"/>
    <w:rsid w:val="00D524C8"/>
    <w:rsid w:val="00D54187"/>
    <w:rsid w:val="00D70E24"/>
    <w:rsid w:val="00D72B61"/>
    <w:rsid w:val="00D75C8D"/>
    <w:rsid w:val="00D83A70"/>
    <w:rsid w:val="00DA3D1D"/>
    <w:rsid w:val="00DA5553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41D5"/>
    <w:rsid w:val="00DF486F"/>
    <w:rsid w:val="00DF5B5B"/>
    <w:rsid w:val="00DF7619"/>
    <w:rsid w:val="00E033A4"/>
    <w:rsid w:val="00E042D8"/>
    <w:rsid w:val="00E07EE7"/>
    <w:rsid w:val="00E1103B"/>
    <w:rsid w:val="00E1198F"/>
    <w:rsid w:val="00E14518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5D4E"/>
    <w:rsid w:val="00E76310"/>
    <w:rsid w:val="00E850C3"/>
    <w:rsid w:val="00E87DF2"/>
    <w:rsid w:val="00E9462E"/>
    <w:rsid w:val="00E96167"/>
    <w:rsid w:val="00EA470E"/>
    <w:rsid w:val="00EA47A7"/>
    <w:rsid w:val="00EA57EB"/>
    <w:rsid w:val="00EB3226"/>
    <w:rsid w:val="00EB4700"/>
    <w:rsid w:val="00EC213A"/>
    <w:rsid w:val="00EC7744"/>
    <w:rsid w:val="00ED0DAD"/>
    <w:rsid w:val="00ED0F46"/>
    <w:rsid w:val="00ED2373"/>
    <w:rsid w:val="00ED57A2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13B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CDE"/>
    <w:rsid w:val="00F76FA8"/>
    <w:rsid w:val="00F93F08"/>
    <w:rsid w:val="00F94CED"/>
    <w:rsid w:val="00FA02BB"/>
    <w:rsid w:val="00FA2CEE"/>
    <w:rsid w:val="00FA318C"/>
    <w:rsid w:val="00FA67D1"/>
    <w:rsid w:val="00FB6F92"/>
    <w:rsid w:val="00FB7859"/>
    <w:rsid w:val="00FC026E"/>
    <w:rsid w:val="00FC5124"/>
    <w:rsid w:val="00FC5481"/>
    <w:rsid w:val="00FD4731"/>
    <w:rsid w:val="00FD6768"/>
    <w:rsid w:val="00FD6FC2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DAAB0"/>
  <w15:docId w15:val="{6B056921-7EBC-4062-8259-E13DB6A0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C845E5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AB27D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8" ma:contentTypeDescription="Create a new document." ma:contentTypeScope="" ma:versionID="4bbcbbcb5a59dcb8c2f114139c0c826c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c66b5f72de29f945fafc3d3b5df15cf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99D60-E3A8-440A-9688-1E750415C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Government Department of Health and Aged Care</Company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– Communique 30 October 2024</dc:title>
  <dc:subject>Aged care</dc:subject>
  <dc:creator>Australian Government Department of Health and Aged Care</dc:creator>
  <cp:keywords>Fact sheet;Aged care</cp:keywords>
  <dc:description/>
  <cp:lastModifiedBy>MASCHKE, Elvia</cp:lastModifiedBy>
  <cp:revision>2</cp:revision>
  <dcterms:created xsi:type="dcterms:W3CDTF">2024-12-09T09:46:00Z</dcterms:created>
  <dcterms:modified xsi:type="dcterms:W3CDTF">2024-12-09T09:46:00Z</dcterms:modified>
  <cp:category/>
</cp:coreProperties>
</file>