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FE89E" w14:textId="77777777" w:rsidR="0087739C" w:rsidRDefault="00D87D9A">
      <w:pPr>
        <w:pStyle w:val="Title"/>
      </w:pPr>
      <w:r>
        <w:t>Medical</w:t>
      </w:r>
      <w:r>
        <w:rPr>
          <w:spacing w:val="-14"/>
        </w:rPr>
        <w:t xml:space="preserve"> </w:t>
      </w:r>
      <w:r>
        <w:t>Services</w:t>
      </w:r>
      <w:r>
        <w:rPr>
          <w:spacing w:val="-12"/>
        </w:rPr>
        <w:t xml:space="preserve"> </w:t>
      </w:r>
      <w:r>
        <w:t>Advisory</w:t>
      </w:r>
      <w:r>
        <w:rPr>
          <w:spacing w:val="-14"/>
        </w:rPr>
        <w:t xml:space="preserve"> </w:t>
      </w:r>
      <w:r>
        <w:t>Committee</w:t>
      </w:r>
      <w:r>
        <w:rPr>
          <w:spacing w:val="-14"/>
        </w:rPr>
        <w:t xml:space="preserve"> </w:t>
      </w:r>
      <w:r>
        <w:rPr>
          <w:spacing w:val="-2"/>
        </w:rPr>
        <w:t>(MSAC)</w:t>
      </w:r>
    </w:p>
    <w:p w14:paraId="7F3BBAB4" w14:textId="77777777" w:rsidR="0087739C" w:rsidRDefault="00D87D9A">
      <w:pPr>
        <w:tabs>
          <w:tab w:val="left" w:pos="5550"/>
        </w:tabs>
        <w:spacing w:before="230"/>
        <w:ind w:left="101"/>
        <w:rPr>
          <w:rFonts w:ascii="Calibri"/>
          <w:b/>
          <w:i/>
        </w:rPr>
      </w:pPr>
      <w:r>
        <w:rPr>
          <w:rFonts w:ascii="Calibri"/>
          <w:b/>
        </w:rPr>
        <w:t>MDP</w:t>
      </w:r>
      <w:r>
        <w:rPr>
          <w:rFonts w:ascii="Calibri"/>
          <w:b/>
          <w:spacing w:val="-5"/>
        </w:rPr>
        <w:t xml:space="preserve"> </w:t>
      </w:r>
      <w:r>
        <w:rPr>
          <w:rFonts w:ascii="Calibri"/>
          <w:b/>
        </w:rPr>
        <w:t>900,</w:t>
      </w:r>
      <w:r>
        <w:rPr>
          <w:rFonts w:ascii="Calibri"/>
          <w:b/>
          <w:spacing w:val="-2"/>
        </w:rPr>
        <w:t xml:space="preserve"> </w:t>
      </w:r>
      <w:r>
        <w:rPr>
          <w:rFonts w:ascii="Calibri"/>
          <w:b/>
        </w:rPr>
        <w:t>GPO</w:t>
      </w:r>
      <w:r>
        <w:rPr>
          <w:rFonts w:ascii="Calibri"/>
          <w:b/>
          <w:spacing w:val="-6"/>
        </w:rPr>
        <w:t xml:space="preserve"> </w:t>
      </w:r>
      <w:r>
        <w:rPr>
          <w:rFonts w:ascii="Calibri"/>
          <w:b/>
        </w:rPr>
        <w:t>Box</w:t>
      </w:r>
      <w:r>
        <w:rPr>
          <w:rFonts w:ascii="Calibri"/>
          <w:b/>
          <w:spacing w:val="-2"/>
        </w:rPr>
        <w:t xml:space="preserve"> </w:t>
      </w:r>
      <w:r>
        <w:rPr>
          <w:rFonts w:ascii="Calibri"/>
          <w:b/>
          <w:spacing w:val="-4"/>
        </w:rPr>
        <w:t>9848</w:t>
      </w:r>
      <w:r>
        <w:rPr>
          <w:rFonts w:ascii="Calibri"/>
          <w:b/>
        </w:rPr>
        <w:tab/>
      </w:r>
      <w:r>
        <w:rPr>
          <w:rFonts w:ascii="Calibri"/>
          <w:b/>
          <w:i/>
        </w:rPr>
        <w:t>E-Mail:</w:t>
      </w:r>
      <w:r>
        <w:rPr>
          <w:rFonts w:ascii="Calibri"/>
          <w:b/>
          <w:i/>
          <w:spacing w:val="45"/>
        </w:rPr>
        <w:t xml:space="preserve"> </w:t>
      </w:r>
      <w:hyperlink r:id="rId6">
        <w:r>
          <w:rPr>
            <w:rFonts w:ascii="Calibri"/>
            <w:b/>
            <w:i/>
            <w:spacing w:val="-2"/>
          </w:rPr>
          <w:t>msac.secretariat@health.gov.au</w:t>
        </w:r>
      </w:hyperlink>
    </w:p>
    <w:p w14:paraId="2FD9183C" w14:textId="4B02DACC" w:rsidR="0087739C" w:rsidRDefault="00D87D9A" w:rsidP="00E35088">
      <w:pPr>
        <w:tabs>
          <w:tab w:val="left" w:pos="5895"/>
        </w:tabs>
        <w:spacing w:after="360"/>
        <w:ind w:left="102"/>
        <w:rPr>
          <w:rFonts w:ascii="Calibri"/>
          <w:b/>
          <w:i/>
        </w:rPr>
      </w:pPr>
      <w:r>
        <w:rPr>
          <w:rFonts w:ascii="Calibri"/>
          <w:b/>
        </w:rPr>
        <w:t>CANBERRA</w:t>
      </w:r>
      <w:r>
        <w:rPr>
          <w:rFonts w:ascii="Calibri"/>
          <w:b/>
          <w:spacing w:val="69"/>
          <w:w w:val="150"/>
        </w:rPr>
        <w:t xml:space="preserve"> </w:t>
      </w:r>
      <w:r>
        <w:rPr>
          <w:rFonts w:ascii="Calibri"/>
          <w:b/>
        </w:rPr>
        <w:t>ACT</w:t>
      </w:r>
      <w:r>
        <w:rPr>
          <w:rFonts w:ascii="Calibri"/>
          <w:b/>
          <w:spacing w:val="70"/>
          <w:w w:val="150"/>
        </w:rPr>
        <w:t xml:space="preserve"> </w:t>
      </w:r>
      <w:r>
        <w:rPr>
          <w:rFonts w:ascii="Calibri"/>
          <w:b/>
          <w:spacing w:val="-4"/>
        </w:rPr>
        <w:t>2601</w:t>
      </w:r>
      <w:r>
        <w:rPr>
          <w:rFonts w:ascii="Calibri"/>
          <w:b/>
        </w:rPr>
        <w:tab/>
      </w:r>
      <w:r>
        <w:rPr>
          <w:rFonts w:ascii="Calibri"/>
          <w:b/>
          <w:i/>
        </w:rPr>
        <w:t>Website:</w:t>
      </w:r>
      <w:r>
        <w:rPr>
          <w:rFonts w:ascii="Calibri"/>
          <w:b/>
          <w:i/>
          <w:spacing w:val="-10"/>
        </w:rPr>
        <w:t xml:space="preserve"> </w:t>
      </w:r>
      <w:hyperlink r:id="rId7">
        <w:r>
          <w:rPr>
            <w:rFonts w:ascii="Calibri"/>
            <w:b/>
            <w:i/>
            <w:spacing w:val="-2"/>
          </w:rPr>
          <w:t>www.msac.gov.au</w:t>
        </w:r>
      </w:hyperlink>
    </w:p>
    <w:p w14:paraId="36838765" w14:textId="77777777" w:rsidR="0087739C" w:rsidRDefault="00D87D9A">
      <w:pPr>
        <w:pStyle w:val="BodyText"/>
        <w:ind w:right="5933"/>
      </w:pPr>
      <w:r>
        <w:t>The Hon Mark Butler MP</w:t>
      </w:r>
      <w:r>
        <w:rPr>
          <w:spacing w:val="40"/>
        </w:rPr>
        <w:t xml:space="preserve"> </w:t>
      </w:r>
      <w:r>
        <w:t>Minister</w:t>
      </w:r>
      <w:r>
        <w:rPr>
          <w:spacing w:val="-8"/>
        </w:rPr>
        <w:t xml:space="preserve"> </w:t>
      </w:r>
      <w:r>
        <w:t>for</w:t>
      </w:r>
      <w:r>
        <w:rPr>
          <w:spacing w:val="-9"/>
        </w:rPr>
        <w:t xml:space="preserve"> </w:t>
      </w:r>
      <w:r>
        <w:t>Health</w:t>
      </w:r>
      <w:r>
        <w:rPr>
          <w:spacing w:val="-7"/>
        </w:rPr>
        <w:t xml:space="preserve"> </w:t>
      </w:r>
      <w:r>
        <w:t>and</w:t>
      </w:r>
      <w:r>
        <w:rPr>
          <w:spacing w:val="-7"/>
        </w:rPr>
        <w:t xml:space="preserve"> </w:t>
      </w:r>
      <w:r>
        <w:t>Aged</w:t>
      </w:r>
      <w:r>
        <w:rPr>
          <w:spacing w:val="-7"/>
        </w:rPr>
        <w:t xml:space="preserve"> </w:t>
      </w:r>
      <w:r>
        <w:t>Care PO Box 6022</w:t>
      </w:r>
    </w:p>
    <w:p w14:paraId="4B84EB8E" w14:textId="6952D737" w:rsidR="0087739C" w:rsidRDefault="00D87D9A" w:rsidP="00E35088">
      <w:pPr>
        <w:pStyle w:val="BodyText"/>
        <w:spacing w:after="360"/>
        <w:ind w:left="102" w:right="6713"/>
      </w:pPr>
      <w:r>
        <w:t>House</w:t>
      </w:r>
      <w:r>
        <w:rPr>
          <w:spacing w:val="-15"/>
        </w:rPr>
        <w:t xml:space="preserve"> </w:t>
      </w:r>
      <w:r>
        <w:t>of</w:t>
      </w:r>
      <w:r>
        <w:rPr>
          <w:spacing w:val="-15"/>
        </w:rPr>
        <w:t xml:space="preserve"> </w:t>
      </w:r>
      <w:r>
        <w:t>Representatives Parliament House Canberra ACT 2600</w:t>
      </w:r>
    </w:p>
    <w:p w14:paraId="454D7D0E" w14:textId="77777777" w:rsidR="0087739C" w:rsidRDefault="00D87D9A">
      <w:pPr>
        <w:pStyle w:val="BodyText"/>
      </w:pPr>
      <w:r>
        <w:t>Dear</w:t>
      </w:r>
      <w:r>
        <w:rPr>
          <w:spacing w:val="-6"/>
        </w:rPr>
        <w:t xml:space="preserve"> </w:t>
      </w:r>
      <w:r>
        <w:rPr>
          <w:spacing w:val="-2"/>
        </w:rPr>
        <w:t>Minister</w:t>
      </w:r>
    </w:p>
    <w:p w14:paraId="48C34D17" w14:textId="77777777" w:rsidR="0087739C" w:rsidRDefault="00D87D9A">
      <w:pPr>
        <w:pStyle w:val="Heading1"/>
        <w:spacing w:before="240"/>
        <w:ind w:left="974"/>
      </w:pPr>
      <w:r>
        <w:t>Health</w:t>
      </w:r>
      <w:r>
        <w:rPr>
          <w:spacing w:val="-4"/>
        </w:rPr>
        <w:t xml:space="preserve"> </w:t>
      </w:r>
      <w:r>
        <w:t>Technology</w:t>
      </w:r>
      <w:r>
        <w:rPr>
          <w:spacing w:val="-1"/>
        </w:rPr>
        <w:t xml:space="preserve"> </w:t>
      </w:r>
      <w:r>
        <w:t>Assessment</w:t>
      </w:r>
      <w:r>
        <w:rPr>
          <w:spacing w:val="-2"/>
        </w:rPr>
        <w:t xml:space="preserve"> </w:t>
      </w:r>
      <w:r>
        <w:t>Policy</w:t>
      </w:r>
      <w:r>
        <w:rPr>
          <w:spacing w:val="-1"/>
        </w:rPr>
        <w:t xml:space="preserve"> </w:t>
      </w:r>
      <w:r>
        <w:t>and</w:t>
      </w:r>
      <w:r>
        <w:rPr>
          <w:spacing w:val="-2"/>
        </w:rPr>
        <w:t xml:space="preserve"> </w:t>
      </w:r>
      <w:r>
        <w:t>Methods</w:t>
      </w:r>
      <w:r>
        <w:rPr>
          <w:spacing w:val="1"/>
        </w:rPr>
        <w:t xml:space="preserve"> </w:t>
      </w:r>
      <w:r>
        <w:t>Review</w:t>
      </w:r>
      <w:r>
        <w:rPr>
          <w:spacing w:val="-2"/>
        </w:rPr>
        <w:t xml:space="preserve"> </w:t>
      </w:r>
      <w:r>
        <w:t>Final</w:t>
      </w:r>
      <w:r>
        <w:rPr>
          <w:spacing w:val="-1"/>
        </w:rPr>
        <w:t xml:space="preserve"> </w:t>
      </w:r>
      <w:r>
        <w:rPr>
          <w:spacing w:val="-2"/>
        </w:rPr>
        <w:t>Report</w:t>
      </w:r>
    </w:p>
    <w:p w14:paraId="07713E61" w14:textId="77777777" w:rsidR="0087739C" w:rsidRDefault="00D87D9A">
      <w:pPr>
        <w:pStyle w:val="BodyText"/>
        <w:spacing w:before="240"/>
        <w:ind w:right="117"/>
      </w:pPr>
      <w:r>
        <w:t>Thank you for your letter of 8 July 2024 providing an early opportunity for the Medical Services Advisory Committee (MSAC) to consider the final report of the Health Technology Assessment</w:t>
      </w:r>
      <w:r>
        <w:rPr>
          <w:spacing w:val="-3"/>
        </w:rPr>
        <w:t xml:space="preserve"> </w:t>
      </w:r>
      <w:r>
        <w:t>(HTA)</w:t>
      </w:r>
      <w:r>
        <w:rPr>
          <w:spacing w:val="-3"/>
        </w:rPr>
        <w:t xml:space="preserve"> </w:t>
      </w:r>
      <w:r>
        <w:t>Policy</w:t>
      </w:r>
      <w:r>
        <w:rPr>
          <w:spacing w:val="-3"/>
        </w:rPr>
        <w:t xml:space="preserve"> </w:t>
      </w:r>
      <w:r>
        <w:t>and</w:t>
      </w:r>
      <w:r>
        <w:rPr>
          <w:spacing w:val="-3"/>
        </w:rPr>
        <w:t xml:space="preserve"> </w:t>
      </w:r>
      <w:r>
        <w:t>Methods</w:t>
      </w:r>
      <w:r>
        <w:rPr>
          <w:spacing w:val="-3"/>
        </w:rPr>
        <w:t xml:space="preserve"> </w:t>
      </w:r>
      <w:r>
        <w:t>Review</w:t>
      </w:r>
      <w:r>
        <w:rPr>
          <w:spacing w:val="-3"/>
        </w:rPr>
        <w:t xml:space="preserve"> </w:t>
      </w:r>
      <w:r>
        <w:t>and</w:t>
      </w:r>
      <w:r>
        <w:rPr>
          <w:spacing w:val="-3"/>
        </w:rPr>
        <w:t xml:space="preserve"> </w:t>
      </w:r>
      <w:r>
        <w:t>provide</w:t>
      </w:r>
      <w:r>
        <w:rPr>
          <w:spacing w:val="-3"/>
        </w:rPr>
        <w:t xml:space="preserve"> </w:t>
      </w:r>
      <w:r>
        <w:t>its</w:t>
      </w:r>
      <w:r>
        <w:rPr>
          <w:spacing w:val="-3"/>
        </w:rPr>
        <w:t xml:space="preserve"> </w:t>
      </w:r>
      <w:r>
        <w:t>initial</w:t>
      </w:r>
      <w:r>
        <w:rPr>
          <w:spacing w:val="-3"/>
        </w:rPr>
        <w:t xml:space="preserve"> </w:t>
      </w:r>
      <w:r>
        <w:t>high-level</w:t>
      </w:r>
      <w:r>
        <w:rPr>
          <w:spacing w:val="-3"/>
        </w:rPr>
        <w:t xml:space="preserve"> </w:t>
      </w:r>
      <w:r>
        <w:t>reflections</w:t>
      </w:r>
      <w:r>
        <w:rPr>
          <w:spacing w:val="-3"/>
        </w:rPr>
        <w:t xml:space="preserve"> </w:t>
      </w:r>
      <w:r>
        <w:t>on the recommendations.</w:t>
      </w:r>
    </w:p>
    <w:p w14:paraId="1E72CC9B" w14:textId="77777777" w:rsidR="0087739C" w:rsidRDefault="0087739C">
      <w:pPr>
        <w:pStyle w:val="BodyText"/>
        <w:ind w:left="0"/>
      </w:pPr>
    </w:p>
    <w:p w14:paraId="35202715" w14:textId="77777777" w:rsidR="0087739C" w:rsidRDefault="00D87D9A">
      <w:pPr>
        <w:pStyle w:val="BodyText"/>
        <w:ind w:right="469"/>
        <w:jc w:val="both"/>
      </w:pPr>
      <w:r>
        <w:t>The</w:t>
      </w:r>
      <w:r>
        <w:rPr>
          <w:spacing w:val="-5"/>
        </w:rPr>
        <w:t xml:space="preserve"> </w:t>
      </w:r>
      <w:r>
        <w:t>MSAC</w:t>
      </w:r>
      <w:r>
        <w:rPr>
          <w:spacing w:val="-3"/>
        </w:rPr>
        <w:t xml:space="preserve"> </w:t>
      </w:r>
      <w:r>
        <w:t>acknowledges</w:t>
      </w:r>
      <w:r>
        <w:rPr>
          <w:spacing w:val="-3"/>
        </w:rPr>
        <w:t xml:space="preserve"> </w:t>
      </w:r>
      <w:r>
        <w:t>that</w:t>
      </w:r>
      <w:r>
        <w:rPr>
          <w:spacing w:val="-3"/>
        </w:rPr>
        <w:t xml:space="preserve"> </w:t>
      </w:r>
      <w:r>
        <w:t>completion</w:t>
      </w:r>
      <w:r>
        <w:rPr>
          <w:spacing w:val="-3"/>
        </w:rPr>
        <w:t xml:space="preserve"> </w:t>
      </w:r>
      <w:r>
        <w:t>of</w:t>
      </w:r>
      <w:r>
        <w:rPr>
          <w:spacing w:val="-4"/>
        </w:rPr>
        <w:t xml:space="preserve"> </w:t>
      </w:r>
      <w:r>
        <w:t>the</w:t>
      </w:r>
      <w:r>
        <w:rPr>
          <w:spacing w:val="-3"/>
        </w:rPr>
        <w:t xml:space="preserve"> </w:t>
      </w:r>
      <w:r>
        <w:t>Review</w:t>
      </w:r>
      <w:r>
        <w:rPr>
          <w:spacing w:val="-4"/>
        </w:rPr>
        <w:t xml:space="preserve"> </w:t>
      </w:r>
      <w:r>
        <w:t>was</w:t>
      </w:r>
      <w:r>
        <w:rPr>
          <w:spacing w:val="-3"/>
        </w:rPr>
        <w:t xml:space="preserve"> </w:t>
      </w:r>
      <w:r>
        <w:t>the</w:t>
      </w:r>
      <w:r>
        <w:rPr>
          <w:spacing w:val="-2"/>
        </w:rPr>
        <w:t xml:space="preserve"> </w:t>
      </w:r>
      <w:r>
        <w:t>result</w:t>
      </w:r>
      <w:r>
        <w:rPr>
          <w:spacing w:val="-3"/>
        </w:rPr>
        <w:t xml:space="preserve"> </w:t>
      </w:r>
      <w:r>
        <w:t>of</w:t>
      </w:r>
      <w:r>
        <w:rPr>
          <w:spacing w:val="-2"/>
        </w:rPr>
        <w:t xml:space="preserve"> </w:t>
      </w:r>
      <w:r>
        <w:t>substantial</w:t>
      </w:r>
      <w:r>
        <w:rPr>
          <w:spacing w:val="-3"/>
        </w:rPr>
        <w:t xml:space="preserve"> </w:t>
      </w:r>
      <w:r>
        <w:t>effort invested</w:t>
      </w:r>
      <w:r>
        <w:rPr>
          <w:spacing w:val="-4"/>
        </w:rPr>
        <w:t xml:space="preserve"> </w:t>
      </w:r>
      <w:r>
        <w:t>by</w:t>
      </w:r>
      <w:r>
        <w:rPr>
          <w:spacing w:val="-4"/>
        </w:rPr>
        <w:t xml:space="preserve"> </w:t>
      </w:r>
      <w:r>
        <w:t>the</w:t>
      </w:r>
      <w:r>
        <w:rPr>
          <w:spacing w:val="-4"/>
        </w:rPr>
        <w:t xml:space="preserve"> </w:t>
      </w:r>
      <w:r>
        <w:t>Review</w:t>
      </w:r>
      <w:r>
        <w:rPr>
          <w:spacing w:val="-3"/>
        </w:rPr>
        <w:t xml:space="preserve"> </w:t>
      </w:r>
      <w:r>
        <w:t>Reference</w:t>
      </w:r>
      <w:r>
        <w:rPr>
          <w:spacing w:val="-5"/>
        </w:rPr>
        <w:t xml:space="preserve"> </w:t>
      </w:r>
      <w:r>
        <w:t>Committee,</w:t>
      </w:r>
      <w:r>
        <w:rPr>
          <w:spacing w:val="-4"/>
        </w:rPr>
        <w:t xml:space="preserve"> </w:t>
      </w:r>
      <w:r>
        <w:t>Department,</w:t>
      </w:r>
      <w:r>
        <w:rPr>
          <w:spacing w:val="-4"/>
        </w:rPr>
        <w:t xml:space="preserve"> </w:t>
      </w:r>
      <w:r>
        <w:t>academic</w:t>
      </w:r>
      <w:r>
        <w:rPr>
          <w:spacing w:val="-3"/>
        </w:rPr>
        <w:t xml:space="preserve"> </w:t>
      </w:r>
      <w:r>
        <w:t>researchers</w:t>
      </w:r>
      <w:r>
        <w:rPr>
          <w:spacing w:val="-4"/>
        </w:rPr>
        <w:t xml:space="preserve"> </w:t>
      </w:r>
      <w:r>
        <w:t>as</w:t>
      </w:r>
      <w:r>
        <w:rPr>
          <w:spacing w:val="-4"/>
        </w:rPr>
        <w:t xml:space="preserve"> </w:t>
      </w:r>
      <w:r>
        <w:t>well</w:t>
      </w:r>
      <w:r>
        <w:rPr>
          <w:spacing w:val="-4"/>
        </w:rPr>
        <w:t xml:space="preserve"> </w:t>
      </w:r>
      <w:r>
        <w:t>as extensive engagement across a diverse range of stakeholders.</w:t>
      </w:r>
    </w:p>
    <w:p w14:paraId="2D882320" w14:textId="77777777" w:rsidR="0087739C" w:rsidRDefault="0087739C">
      <w:pPr>
        <w:pStyle w:val="BodyText"/>
        <w:ind w:left="0"/>
      </w:pPr>
    </w:p>
    <w:p w14:paraId="5AB85BF0" w14:textId="77777777" w:rsidR="0087739C" w:rsidRDefault="00D87D9A">
      <w:pPr>
        <w:pStyle w:val="BodyText"/>
        <w:ind w:right="117"/>
      </w:pPr>
      <w:r>
        <w:t>The MSAC notes that the final report of the Review primarily focused on assessment and funding of medicines, given it arose from a key commitment in the 2022-27 Strategic Agreement between the Commonwealth and Medicines Australia. Notwithstanding this focus on</w:t>
      </w:r>
      <w:r>
        <w:rPr>
          <w:spacing w:val="-3"/>
        </w:rPr>
        <w:t xml:space="preserve"> </w:t>
      </w:r>
      <w:r>
        <w:t>medicines,</w:t>
      </w:r>
      <w:r>
        <w:rPr>
          <w:spacing w:val="-3"/>
        </w:rPr>
        <w:t xml:space="preserve"> </w:t>
      </w:r>
      <w:r>
        <w:t>the</w:t>
      </w:r>
      <w:r>
        <w:rPr>
          <w:spacing w:val="-4"/>
        </w:rPr>
        <w:t xml:space="preserve"> </w:t>
      </w:r>
      <w:r>
        <w:t>MSAC</w:t>
      </w:r>
      <w:r>
        <w:rPr>
          <w:spacing w:val="-3"/>
        </w:rPr>
        <w:t xml:space="preserve"> </w:t>
      </w:r>
      <w:r>
        <w:t>appreciates</w:t>
      </w:r>
      <w:r>
        <w:rPr>
          <w:spacing w:val="-3"/>
        </w:rPr>
        <w:t xml:space="preserve"> </w:t>
      </w:r>
      <w:r>
        <w:t>that</w:t>
      </w:r>
      <w:r>
        <w:rPr>
          <w:spacing w:val="-3"/>
        </w:rPr>
        <w:t xml:space="preserve"> </w:t>
      </w:r>
      <w:r>
        <w:t>several</w:t>
      </w:r>
      <w:r>
        <w:rPr>
          <w:spacing w:val="-1"/>
        </w:rPr>
        <w:t xml:space="preserve"> </w:t>
      </w:r>
      <w:r>
        <w:t>of</w:t>
      </w:r>
      <w:r>
        <w:rPr>
          <w:spacing w:val="-3"/>
        </w:rPr>
        <w:t xml:space="preserve"> </w:t>
      </w:r>
      <w:r>
        <w:t>the</w:t>
      </w:r>
      <w:r>
        <w:rPr>
          <w:spacing w:val="-4"/>
        </w:rPr>
        <w:t xml:space="preserve"> </w:t>
      </w:r>
      <w:r>
        <w:t>recommendations</w:t>
      </w:r>
      <w:r>
        <w:rPr>
          <w:spacing w:val="-2"/>
        </w:rPr>
        <w:t xml:space="preserve"> </w:t>
      </w:r>
      <w:r>
        <w:t>are</w:t>
      </w:r>
      <w:r>
        <w:rPr>
          <w:spacing w:val="-5"/>
        </w:rPr>
        <w:t xml:space="preserve"> </w:t>
      </w:r>
      <w:r>
        <w:t>likely</w:t>
      </w:r>
      <w:r>
        <w:rPr>
          <w:spacing w:val="-3"/>
        </w:rPr>
        <w:t xml:space="preserve"> </w:t>
      </w:r>
      <w:r>
        <w:t>to</w:t>
      </w:r>
      <w:r>
        <w:rPr>
          <w:spacing w:val="-3"/>
        </w:rPr>
        <w:t xml:space="preserve"> </w:t>
      </w:r>
      <w:r>
        <w:t>directly or indirectly impact assessment and subsidy of health services listed on the Medicare Benefits Schedule (MBS) and other health technologies considered by the MSAC such as products funded through the National Health Reform Agreement and National Blood Arrangements.</w:t>
      </w:r>
    </w:p>
    <w:p w14:paraId="6DABF3CE" w14:textId="77777777" w:rsidR="0087739C" w:rsidRDefault="00D87D9A">
      <w:pPr>
        <w:pStyle w:val="BodyText"/>
        <w:spacing w:before="274"/>
        <w:ind w:right="117"/>
      </w:pPr>
      <w:r>
        <w:t>The MSAC will therefore be keen to engage in the process of implementing reforms and provide</w:t>
      </w:r>
      <w:r>
        <w:rPr>
          <w:spacing w:val="-5"/>
        </w:rPr>
        <w:t xml:space="preserve"> </w:t>
      </w:r>
      <w:r>
        <w:t>a</w:t>
      </w:r>
      <w:r>
        <w:rPr>
          <w:spacing w:val="-4"/>
        </w:rPr>
        <w:t xml:space="preserve"> </w:t>
      </w:r>
      <w:r>
        <w:t>more</w:t>
      </w:r>
      <w:r>
        <w:rPr>
          <w:spacing w:val="-3"/>
        </w:rPr>
        <w:t xml:space="preserve"> </w:t>
      </w:r>
      <w:r>
        <w:t>comprehensive</w:t>
      </w:r>
      <w:r>
        <w:rPr>
          <w:spacing w:val="-3"/>
        </w:rPr>
        <w:t xml:space="preserve"> </w:t>
      </w:r>
      <w:r>
        <w:t>response</w:t>
      </w:r>
      <w:r>
        <w:rPr>
          <w:spacing w:val="-3"/>
        </w:rPr>
        <w:t xml:space="preserve"> </w:t>
      </w:r>
      <w:r>
        <w:t>to</w:t>
      </w:r>
      <w:r>
        <w:rPr>
          <w:spacing w:val="-3"/>
        </w:rPr>
        <w:t xml:space="preserve"> </w:t>
      </w:r>
      <w:r>
        <w:t>the</w:t>
      </w:r>
      <w:r>
        <w:rPr>
          <w:spacing w:val="-2"/>
        </w:rPr>
        <w:t xml:space="preserve"> </w:t>
      </w:r>
      <w:r>
        <w:t>recommendations</w:t>
      </w:r>
      <w:r>
        <w:rPr>
          <w:spacing w:val="-1"/>
        </w:rPr>
        <w:t xml:space="preserve"> </w:t>
      </w:r>
      <w:r>
        <w:t>at</w:t>
      </w:r>
      <w:r>
        <w:rPr>
          <w:spacing w:val="-3"/>
        </w:rPr>
        <w:t xml:space="preserve"> </w:t>
      </w:r>
      <w:r>
        <w:t>the</w:t>
      </w:r>
      <w:r>
        <w:rPr>
          <w:spacing w:val="-4"/>
        </w:rPr>
        <w:t xml:space="preserve"> </w:t>
      </w:r>
      <w:r>
        <w:t>appropriate</w:t>
      </w:r>
      <w:r>
        <w:rPr>
          <w:spacing w:val="-4"/>
        </w:rPr>
        <w:t xml:space="preserve"> </w:t>
      </w:r>
      <w:r>
        <w:t>time.</w:t>
      </w:r>
      <w:r>
        <w:rPr>
          <w:spacing w:val="-2"/>
        </w:rPr>
        <w:t xml:space="preserve"> </w:t>
      </w:r>
      <w:r>
        <w:t>Given the potential impact of the Review recommendations on the assessment and funding of non- medicine health technologies (such as gene modified cell therapies, pathology diagnostics and devices), the MSAC considers it would also be important to engage with industry and health professionals beyond the pharmaceutical sector, during the process of implementing reforms.</w:t>
      </w:r>
    </w:p>
    <w:p w14:paraId="78B51C12" w14:textId="77777777" w:rsidR="0087739C" w:rsidRDefault="0087739C">
      <w:pPr>
        <w:pStyle w:val="BodyText"/>
        <w:spacing w:before="1"/>
        <w:ind w:left="0"/>
      </w:pPr>
    </w:p>
    <w:p w14:paraId="5702D0A7" w14:textId="77777777" w:rsidR="0087739C" w:rsidRDefault="00D87D9A">
      <w:pPr>
        <w:pStyle w:val="Heading1"/>
      </w:pPr>
      <w:r>
        <w:t>Reflections</w:t>
      </w:r>
      <w:r>
        <w:rPr>
          <w:spacing w:val="-5"/>
        </w:rPr>
        <w:t xml:space="preserve"> </w:t>
      </w:r>
      <w:r>
        <w:t>on</w:t>
      </w:r>
      <w:r>
        <w:rPr>
          <w:spacing w:val="-4"/>
        </w:rPr>
        <w:t xml:space="preserve"> </w:t>
      </w:r>
      <w:r>
        <w:t>the</w:t>
      </w:r>
      <w:r>
        <w:rPr>
          <w:spacing w:val="-4"/>
        </w:rPr>
        <w:t xml:space="preserve"> </w:t>
      </w:r>
      <w:r>
        <w:t>Review’s</w:t>
      </w:r>
      <w:r>
        <w:rPr>
          <w:spacing w:val="-4"/>
        </w:rPr>
        <w:t xml:space="preserve"> </w:t>
      </w:r>
      <w:r>
        <w:rPr>
          <w:spacing w:val="-2"/>
        </w:rPr>
        <w:t>findings</w:t>
      </w:r>
    </w:p>
    <w:p w14:paraId="220B8916" w14:textId="77777777" w:rsidR="0087739C" w:rsidRDefault="00D87D9A">
      <w:pPr>
        <w:pStyle w:val="BodyText"/>
      </w:pPr>
      <w:r>
        <w:t>The</w:t>
      </w:r>
      <w:r>
        <w:rPr>
          <w:spacing w:val="-5"/>
        </w:rPr>
        <w:t xml:space="preserve"> </w:t>
      </w:r>
      <w:r>
        <w:t>MSAC</w:t>
      </w:r>
      <w:r>
        <w:rPr>
          <w:spacing w:val="-3"/>
        </w:rPr>
        <w:t xml:space="preserve"> </w:t>
      </w:r>
      <w:r>
        <w:t>welcomes</w:t>
      </w:r>
      <w:r>
        <w:rPr>
          <w:spacing w:val="-3"/>
        </w:rPr>
        <w:t xml:space="preserve"> </w:t>
      </w:r>
      <w:r>
        <w:t>the</w:t>
      </w:r>
      <w:r>
        <w:rPr>
          <w:spacing w:val="-4"/>
        </w:rPr>
        <w:t xml:space="preserve"> </w:t>
      </w:r>
      <w:r>
        <w:t>Review.</w:t>
      </w:r>
      <w:r>
        <w:rPr>
          <w:spacing w:val="-1"/>
        </w:rPr>
        <w:t xml:space="preserve"> </w:t>
      </w:r>
      <w:r>
        <w:t>It</w:t>
      </w:r>
      <w:r>
        <w:rPr>
          <w:spacing w:val="-3"/>
        </w:rPr>
        <w:t xml:space="preserve"> </w:t>
      </w:r>
      <w:r>
        <w:t>is</w:t>
      </w:r>
      <w:r>
        <w:rPr>
          <w:spacing w:val="-3"/>
        </w:rPr>
        <w:t xml:space="preserve"> </w:t>
      </w:r>
      <w:r>
        <w:t>timely</w:t>
      </w:r>
      <w:r>
        <w:rPr>
          <w:spacing w:val="-3"/>
        </w:rPr>
        <w:t xml:space="preserve"> </w:t>
      </w:r>
      <w:r>
        <w:t>given</w:t>
      </w:r>
      <w:r>
        <w:rPr>
          <w:spacing w:val="-3"/>
        </w:rPr>
        <w:t xml:space="preserve"> </w:t>
      </w:r>
      <w:r>
        <w:t>the</w:t>
      </w:r>
      <w:r>
        <w:rPr>
          <w:spacing w:val="-4"/>
        </w:rPr>
        <w:t xml:space="preserve"> </w:t>
      </w:r>
      <w:r>
        <w:t>current</w:t>
      </w:r>
      <w:r>
        <w:rPr>
          <w:spacing w:val="-3"/>
        </w:rPr>
        <w:t xml:space="preserve"> </w:t>
      </w:r>
      <w:r>
        <w:t>era</w:t>
      </w:r>
      <w:r>
        <w:rPr>
          <w:spacing w:val="-4"/>
        </w:rPr>
        <w:t xml:space="preserve"> </w:t>
      </w:r>
      <w:r>
        <w:t>of</w:t>
      </w:r>
      <w:r>
        <w:rPr>
          <w:spacing w:val="-2"/>
        </w:rPr>
        <w:t xml:space="preserve"> </w:t>
      </w:r>
      <w:r>
        <w:t>accelerated</w:t>
      </w:r>
      <w:r>
        <w:rPr>
          <w:spacing w:val="-3"/>
        </w:rPr>
        <w:t xml:space="preserve"> </w:t>
      </w:r>
      <w:r>
        <w:t>development and</w:t>
      </w:r>
      <w:r>
        <w:rPr>
          <w:spacing w:val="-2"/>
        </w:rPr>
        <w:t xml:space="preserve"> </w:t>
      </w:r>
      <w:r>
        <w:t>marketing</w:t>
      </w:r>
      <w:r>
        <w:rPr>
          <w:spacing w:val="-2"/>
        </w:rPr>
        <w:t xml:space="preserve"> </w:t>
      </w:r>
      <w:r>
        <w:t>of</w:t>
      </w:r>
      <w:r>
        <w:rPr>
          <w:spacing w:val="-3"/>
        </w:rPr>
        <w:t xml:space="preserve"> </w:t>
      </w:r>
      <w:r>
        <w:t>health</w:t>
      </w:r>
      <w:r>
        <w:rPr>
          <w:spacing w:val="-2"/>
        </w:rPr>
        <w:t xml:space="preserve"> </w:t>
      </w:r>
      <w:r>
        <w:t>technologies. It</w:t>
      </w:r>
      <w:r>
        <w:rPr>
          <w:spacing w:val="-2"/>
        </w:rPr>
        <w:t xml:space="preserve"> </w:t>
      </w:r>
      <w:r>
        <w:t>is</w:t>
      </w:r>
      <w:r>
        <w:rPr>
          <w:spacing w:val="-3"/>
        </w:rPr>
        <w:t xml:space="preserve"> </w:t>
      </w:r>
      <w:r>
        <w:t>clear</w:t>
      </w:r>
      <w:r>
        <w:rPr>
          <w:spacing w:val="-2"/>
        </w:rPr>
        <w:t xml:space="preserve"> </w:t>
      </w:r>
      <w:r>
        <w:t>from</w:t>
      </w:r>
      <w:r>
        <w:rPr>
          <w:spacing w:val="-2"/>
        </w:rPr>
        <w:t xml:space="preserve"> </w:t>
      </w:r>
      <w:r>
        <w:t>the</w:t>
      </w:r>
      <w:r>
        <w:rPr>
          <w:spacing w:val="-3"/>
        </w:rPr>
        <w:t xml:space="preserve"> </w:t>
      </w:r>
      <w:r>
        <w:t>Review’s</w:t>
      </w:r>
      <w:r>
        <w:rPr>
          <w:spacing w:val="-3"/>
        </w:rPr>
        <w:t xml:space="preserve"> </w:t>
      </w:r>
      <w:r>
        <w:t>findings</w:t>
      </w:r>
      <w:r>
        <w:rPr>
          <w:spacing w:val="-3"/>
        </w:rPr>
        <w:t xml:space="preserve"> </w:t>
      </w:r>
      <w:r>
        <w:t>that</w:t>
      </w:r>
      <w:r>
        <w:rPr>
          <w:spacing w:val="-2"/>
        </w:rPr>
        <w:t xml:space="preserve"> </w:t>
      </w:r>
      <w:r>
        <w:t>Australia</w:t>
      </w:r>
      <w:r>
        <w:rPr>
          <w:spacing w:val="-3"/>
        </w:rPr>
        <w:t xml:space="preserve"> </w:t>
      </w:r>
      <w:r>
        <w:t>has</w:t>
      </w:r>
      <w:r>
        <w:rPr>
          <w:spacing w:val="-3"/>
        </w:rPr>
        <w:t xml:space="preserve"> </w:t>
      </w:r>
      <w:r>
        <w:t>a world class HTA and health technology funding system but that improvements are needed to ensure Australians have timely and equitable access to health technologies into the future. The MSAC supports the Review’s objectives of addressing inequity, improving timeliness, improving</w:t>
      </w:r>
      <w:r>
        <w:rPr>
          <w:spacing w:val="-2"/>
        </w:rPr>
        <w:t xml:space="preserve"> </w:t>
      </w:r>
      <w:r>
        <w:t>engagement</w:t>
      </w:r>
      <w:r>
        <w:rPr>
          <w:spacing w:val="-2"/>
        </w:rPr>
        <w:t xml:space="preserve"> </w:t>
      </w:r>
      <w:r>
        <w:t>with</w:t>
      </w:r>
      <w:r>
        <w:rPr>
          <w:spacing w:val="-2"/>
        </w:rPr>
        <w:t xml:space="preserve"> </w:t>
      </w:r>
      <w:r>
        <w:t>people</w:t>
      </w:r>
      <w:r>
        <w:rPr>
          <w:spacing w:val="-2"/>
        </w:rPr>
        <w:t xml:space="preserve"> </w:t>
      </w:r>
      <w:r>
        <w:t>impacted</w:t>
      </w:r>
      <w:r>
        <w:rPr>
          <w:spacing w:val="-2"/>
        </w:rPr>
        <w:t xml:space="preserve"> </w:t>
      </w:r>
      <w:r>
        <w:t>by</w:t>
      </w:r>
      <w:r>
        <w:rPr>
          <w:spacing w:val="-2"/>
        </w:rPr>
        <w:t xml:space="preserve"> </w:t>
      </w:r>
      <w:r>
        <w:t>HTAs,</w:t>
      </w:r>
      <w:r>
        <w:rPr>
          <w:spacing w:val="-2"/>
        </w:rPr>
        <w:t xml:space="preserve"> </w:t>
      </w:r>
      <w:r>
        <w:t>and</w:t>
      </w:r>
      <w:r>
        <w:rPr>
          <w:spacing w:val="-2"/>
        </w:rPr>
        <w:t xml:space="preserve"> </w:t>
      </w:r>
      <w:r>
        <w:t>investing</w:t>
      </w:r>
      <w:r>
        <w:rPr>
          <w:spacing w:val="-2"/>
        </w:rPr>
        <w:t xml:space="preserve"> </w:t>
      </w:r>
      <w:r>
        <w:t>in</w:t>
      </w:r>
      <w:r>
        <w:rPr>
          <w:spacing w:val="-2"/>
        </w:rPr>
        <w:t xml:space="preserve"> </w:t>
      </w:r>
      <w:r>
        <w:t>data</w:t>
      </w:r>
      <w:r>
        <w:rPr>
          <w:spacing w:val="-2"/>
        </w:rPr>
        <w:t xml:space="preserve"> </w:t>
      </w:r>
      <w:r>
        <w:t>infrastructure</w:t>
      </w:r>
      <w:r>
        <w:rPr>
          <w:spacing w:val="-4"/>
        </w:rPr>
        <w:t xml:space="preserve"> </w:t>
      </w:r>
      <w:r>
        <w:t>and in HTA capability.</w:t>
      </w:r>
    </w:p>
    <w:p w14:paraId="2F96D27B" w14:textId="77777777" w:rsidR="0087739C" w:rsidRDefault="0087739C">
      <w:pPr>
        <w:sectPr w:rsidR="0087739C">
          <w:type w:val="continuous"/>
          <w:pgSz w:w="11910" w:h="16840"/>
          <w:pgMar w:top="1920" w:right="1260" w:bottom="280" w:left="1260" w:header="720" w:footer="720" w:gutter="0"/>
          <w:cols w:space="720"/>
        </w:sectPr>
      </w:pPr>
    </w:p>
    <w:p w14:paraId="48158915" w14:textId="77777777" w:rsidR="0087739C" w:rsidRDefault="00D87D9A">
      <w:pPr>
        <w:pStyle w:val="BodyText"/>
        <w:spacing w:before="61"/>
        <w:ind w:right="117"/>
      </w:pPr>
      <w:r>
        <w:lastRenderedPageBreak/>
        <w:t>As is set out in this letter, the MSAC supports several of the Review’s recommendations and advises a more careful approach for others. The MSAC supports recommendations to ensure that HTA is person-</w:t>
      </w:r>
      <w:proofErr w:type="spellStart"/>
      <w:r>
        <w:t>centred</w:t>
      </w:r>
      <w:proofErr w:type="spellEnd"/>
      <w:r>
        <w:t xml:space="preserve"> and to elevate the consumer voice through broader and more meaningful inclusion in the HTA process. It also supports recommendations that are in </w:t>
      </w:r>
      <w:proofErr w:type="spellStart"/>
      <w:r>
        <w:t>favour</w:t>
      </w:r>
      <w:proofErr w:type="spellEnd"/>
      <w:r>
        <w:t xml:space="preserve"> of</w:t>
      </w:r>
      <w:r>
        <w:rPr>
          <w:spacing w:val="-4"/>
        </w:rPr>
        <w:t xml:space="preserve"> </w:t>
      </w:r>
      <w:r>
        <w:t>a</w:t>
      </w:r>
      <w:r>
        <w:rPr>
          <w:spacing w:val="-4"/>
        </w:rPr>
        <w:t xml:space="preserve"> </w:t>
      </w:r>
      <w:r>
        <w:t>clearer</w:t>
      </w:r>
      <w:r>
        <w:rPr>
          <w:spacing w:val="-3"/>
        </w:rPr>
        <w:t xml:space="preserve"> </w:t>
      </w:r>
      <w:r>
        <w:t>pathway</w:t>
      </w:r>
      <w:r>
        <w:rPr>
          <w:spacing w:val="-1"/>
        </w:rPr>
        <w:t xml:space="preserve"> </w:t>
      </w:r>
      <w:r>
        <w:t>for</w:t>
      </w:r>
      <w:r>
        <w:rPr>
          <w:spacing w:val="-5"/>
        </w:rPr>
        <w:t xml:space="preserve"> </w:t>
      </w:r>
      <w:r>
        <w:t>the</w:t>
      </w:r>
      <w:r>
        <w:rPr>
          <w:spacing w:val="-4"/>
        </w:rPr>
        <w:t xml:space="preserve"> </w:t>
      </w:r>
      <w:r>
        <w:t>assessment</w:t>
      </w:r>
      <w:r>
        <w:rPr>
          <w:spacing w:val="-3"/>
        </w:rPr>
        <w:t xml:space="preserve"> </w:t>
      </w:r>
      <w:r>
        <w:t>of</w:t>
      </w:r>
      <w:r>
        <w:rPr>
          <w:spacing w:val="-3"/>
        </w:rPr>
        <w:t xml:space="preserve"> </w:t>
      </w:r>
      <w:r>
        <w:t>highly</w:t>
      </w:r>
      <w:r>
        <w:rPr>
          <w:spacing w:val="-3"/>
        </w:rPr>
        <w:t xml:space="preserve"> </w:t>
      </w:r>
      <w:proofErr w:type="spellStart"/>
      <w:r>
        <w:t>specialised</w:t>
      </w:r>
      <w:proofErr w:type="spellEnd"/>
      <w:r>
        <w:rPr>
          <w:spacing w:val="-3"/>
        </w:rPr>
        <w:t xml:space="preserve"> </w:t>
      </w:r>
      <w:proofErr w:type="gramStart"/>
      <w:r>
        <w:t>therapies,</w:t>
      </w:r>
      <w:r>
        <w:rPr>
          <w:spacing w:val="-3"/>
        </w:rPr>
        <w:t xml:space="preserve"> </w:t>
      </w:r>
      <w:r>
        <w:t>and</w:t>
      </w:r>
      <w:proofErr w:type="gramEnd"/>
      <w:r>
        <w:rPr>
          <w:spacing w:val="-1"/>
        </w:rPr>
        <w:t xml:space="preserve"> </w:t>
      </w:r>
      <w:r>
        <w:t>developing</w:t>
      </w:r>
      <w:r>
        <w:rPr>
          <w:spacing w:val="-3"/>
        </w:rPr>
        <w:t xml:space="preserve"> </w:t>
      </w:r>
      <w:r>
        <w:t>national health data infrastructure to monitor the performance of new health technologies.</w:t>
      </w:r>
    </w:p>
    <w:p w14:paraId="7D38C0A5" w14:textId="77777777" w:rsidR="0087739C" w:rsidRDefault="0087739C">
      <w:pPr>
        <w:pStyle w:val="BodyText"/>
        <w:ind w:left="0"/>
      </w:pPr>
    </w:p>
    <w:p w14:paraId="054367DD" w14:textId="77777777" w:rsidR="0087739C" w:rsidRDefault="00D87D9A">
      <w:pPr>
        <w:pStyle w:val="BodyText"/>
        <w:ind w:right="140"/>
      </w:pPr>
      <w:r>
        <w:t>The MSAC would also like to take this opportunity to highlight positive outcomes from changes it has implemented in recent years that the Review recommends for the PBAC. The MSAC has implemented plain language summaries of committee outcomes and guidance around</w:t>
      </w:r>
      <w:r>
        <w:rPr>
          <w:spacing w:val="-1"/>
        </w:rPr>
        <w:t xml:space="preserve"> </w:t>
      </w:r>
      <w:r>
        <w:t>qualitative elements which are considered by the HTA</w:t>
      </w:r>
      <w:r>
        <w:rPr>
          <w:spacing w:val="-1"/>
        </w:rPr>
        <w:t xml:space="preserve"> </w:t>
      </w:r>
      <w:r>
        <w:t>advisory committee</w:t>
      </w:r>
      <w:r>
        <w:rPr>
          <w:spacing w:val="-2"/>
        </w:rPr>
        <w:t xml:space="preserve"> </w:t>
      </w:r>
      <w:r>
        <w:t>in decision- making. The</w:t>
      </w:r>
      <w:r>
        <w:rPr>
          <w:spacing w:val="-1"/>
        </w:rPr>
        <w:t xml:space="preserve"> </w:t>
      </w:r>
      <w:r>
        <w:t>MSAC also established an early and transparent explicit population, intervention, comparator and outcomes (PICO) confirmation process overseen by MSAC’s PICO Advisory Sub-committee. These reforms have provided greater transparency for stakeholders and improved their understanding and engagement in the HTA process. They have also helped to ensure</w:t>
      </w:r>
      <w:r>
        <w:rPr>
          <w:spacing w:val="-5"/>
        </w:rPr>
        <w:t xml:space="preserve"> </w:t>
      </w:r>
      <w:r>
        <w:t>that</w:t>
      </w:r>
      <w:r>
        <w:rPr>
          <w:spacing w:val="-3"/>
        </w:rPr>
        <w:t xml:space="preserve"> </w:t>
      </w:r>
      <w:r>
        <w:t>patients</w:t>
      </w:r>
      <w:r>
        <w:rPr>
          <w:spacing w:val="-2"/>
        </w:rPr>
        <w:t xml:space="preserve"> </w:t>
      </w:r>
      <w:r>
        <w:t>who</w:t>
      </w:r>
      <w:r>
        <w:rPr>
          <w:spacing w:val="-2"/>
        </w:rPr>
        <w:t xml:space="preserve"> </w:t>
      </w:r>
      <w:r>
        <w:t>could</w:t>
      </w:r>
      <w:r>
        <w:rPr>
          <w:spacing w:val="-3"/>
        </w:rPr>
        <w:t xml:space="preserve"> </w:t>
      </w:r>
      <w:r>
        <w:t>benefit</w:t>
      </w:r>
      <w:r>
        <w:rPr>
          <w:spacing w:val="-3"/>
        </w:rPr>
        <w:t xml:space="preserve"> </w:t>
      </w:r>
      <w:r>
        <w:t>from</w:t>
      </w:r>
      <w:r>
        <w:rPr>
          <w:spacing w:val="-3"/>
        </w:rPr>
        <w:t xml:space="preserve"> </w:t>
      </w:r>
      <w:r>
        <w:t>health</w:t>
      </w:r>
      <w:r>
        <w:rPr>
          <w:spacing w:val="-1"/>
        </w:rPr>
        <w:t xml:space="preserve"> </w:t>
      </w:r>
      <w:r>
        <w:t>technologies</w:t>
      </w:r>
      <w:r>
        <w:rPr>
          <w:spacing w:val="-4"/>
        </w:rPr>
        <w:t xml:space="preserve"> </w:t>
      </w:r>
      <w:r>
        <w:t>are</w:t>
      </w:r>
      <w:r>
        <w:rPr>
          <w:spacing w:val="-4"/>
        </w:rPr>
        <w:t xml:space="preserve"> </w:t>
      </w:r>
      <w:proofErr w:type="gramStart"/>
      <w:r>
        <w:t>identified</w:t>
      </w:r>
      <w:proofErr w:type="gramEnd"/>
      <w:r>
        <w:rPr>
          <w:spacing w:val="-3"/>
        </w:rPr>
        <w:t xml:space="preserve"> </w:t>
      </w:r>
      <w:r>
        <w:t>and</w:t>
      </w:r>
      <w:r>
        <w:rPr>
          <w:spacing w:val="-3"/>
        </w:rPr>
        <w:t xml:space="preserve"> </w:t>
      </w:r>
      <w:r>
        <w:t>that</w:t>
      </w:r>
      <w:r>
        <w:rPr>
          <w:spacing w:val="-2"/>
        </w:rPr>
        <w:t xml:space="preserve"> </w:t>
      </w:r>
      <w:r>
        <w:t>access</w:t>
      </w:r>
      <w:r>
        <w:rPr>
          <w:spacing w:val="-3"/>
        </w:rPr>
        <w:t xml:space="preserve"> </w:t>
      </w:r>
      <w:r>
        <w:t>is not restricted to overly narrow clinical populations.</w:t>
      </w:r>
    </w:p>
    <w:p w14:paraId="05F44EBF" w14:textId="77777777" w:rsidR="0087739C" w:rsidRDefault="00D87D9A">
      <w:pPr>
        <w:pStyle w:val="Heading1"/>
        <w:spacing w:before="274"/>
        <w:jc w:val="both"/>
      </w:pPr>
      <w:r>
        <w:t>Engagement</w:t>
      </w:r>
      <w:r>
        <w:rPr>
          <w:spacing w:val="-2"/>
        </w:rPr>
        <w:t xml:space="preserve"> </w:t>
      </w:r>
      <w:r>
        <w:t>and</w:t>
      </w:r>
      <w:r>
        <w:rPr>
          <w:spacing w:val="-2"/>
        </w:rPr>
        <w:t xml:space="preserve"> </w:t>
      </w:r>
      <w:r>
        <w:t>representation from</w:t>
      </w:r>
      <w:r>
        <w:rPr>
          <w:spacing w:val="-1"/>
        </w:rPr>
        <w:t xml:space="preserve"> </w:t>
      </w:r>
      <w:r>
        <w:t>First</w:t>
      </w:r>
      <w:r>
        <w:rPr>
          <w:spacing w:val="-2"/>
        </w:rPr>
        <w:t xml:space="preserve"> </w:t>
      </w:r>
      <w:r>
        <w:t>Nations</w:t>
      </w:r>
      <w:r>
        <w:rPr>
          <w:spacing w:val="-1"/>
        </w:rPr>
        <w:t xml:space="preserve"> </w:t>
      </w:r>
      <w:r>
        <w:rPr>
          <w:spacing w:val="-2"/>
        </w:rPr>
        <w:t>people</w:t>
      </w:r>
    </w:p>
    <w:p w14:paraId="087DB77A" w14:textId="77777777" w:rsidR="0087739C" w:rsidRDefault="00D87D9A">
      <w:pPr>
        <w:pStyle w:val="BodyText"/>
        <w:ind w:right="212"/>
        <w:jc w:val="both"/>
      </w:pPr>
      <w:r>
        <w:t xml:space="preserve">The MSAC acknowledges the gap in health outcomes between First Nations people and non- Indigenous Australians. It </w:t>
      </w:r>
      <w:proofErr w:type="spellStart"/>
      <w:r>
        <w:t>recognises</w:t>
      </w:r>
      <w:proofErr w:type="spellEnd"/>
      <w:r>
        <w:t xml:space="preserve"> that challenges obtaining equitable access to healthcare contributes to this disparity. The MSAC strongly supports recommendations from the Review aimed</w:t>
      </w:r>
      <w:r>
        <w:rPr>
          <w:spacing w:val="-3"/>
        </w:rPr>
        <w:t xml:space="preserve"> </w:t>
      </w:r>
      <w:r>
        <w:t>at</w:t>
      </w:r>
      <w:r>
        <w:rPr>
          <w:spacing w:val="-3"/>
        </w:rPr>
        <w:t xml:space="preserve"> </w:t>
      </w:r>
      <w:r>
        <w:t>reducing</w:t>
      </w:r>
      <w:r>
        <w:rPr>
          <w:spacing w:val="-3"/>
        </w:rPr>
        <w:t xml:space="preserve"> </w:t>
      </w:r>
      <w:r>
        <w:t>health</w:t>
      </w:r>
      <w:r>
        <w:rPr>
          <w:spacing w:val="-2"/>
        </w:rPr>
        <w:t xml:space="preserve"> </w:t>
      </w:r>
      <w:r>
        <w:t>inequity</w:t>
      </w:r>
      <w:r>
        <w:rPr>
          <w:spacing w:val="-3"/>
        </w:rPr>
        <w:t xml:space="preserve"> </w:t>
      </w:r>
      <w:r>
        <w:t>and</w:t>
      </w:r>
      <w:r>
        <w:rPr>
          <w:spacing w:val="-3"/>
        </w:rPr>
        <w:t xml:space="preserve"> </w:t>
      </w:r>
      <w:r>
        <w:t>improving</w:t>
      </w:r>
      <w:r>
        <w:rPr>
          <w:spacing w:val="-3"/>
        </w:rPr>
        <w:t xml:space="preserve"> </w:t>
      </w:r>
      <w:r>
        <w:t>engagement</w:t>
      </w:r>
      <w:r>
        <w:rPr>
          <w:spacing w:val="-2"/>
        </w:rPr>
        <w:t xml:space="preserve"> </w:t>
      </w:r>
      <w:r>
        <w:t>of</w:t>
      </w:r>
      <w:r>
        <w:rPr>
          <w:spacing w:val="-3"/>
        </w:rPr>
        <w:t xml:space="preserve"> </w:t>
      </w:r>
      <w:r>
        <w:t>First</w:t>
      </w:r>
      <w:r>
        <w:rPr>
          <w:spacing w:val="-3"/>
        </w:rPr>
        <w:t xml:space="preserve"> </w:t>
      </w:r>
      <w:r>
        <w:t>Nations</w:t>
      </w:r>
      <w:r>
        <w:rPr>
          <w:spacing w:val="-3"/>
        </w:rPr>
        <w:t xml:space="preserve"> </w:t>
      </w:r>
      <w:r>
        <w:t>people</w:t>
      </w:r>
      <w:r>
        <w:rPr>
          <w:spacing w:val="-3"/>
        </w:rPr>
        <w:t xml:space="preserve"> </w:t>
      </w:r>
      <w:r>
        <w:t>and</w:t>
      </w:r>
      <w:r>
        <w:rPr>
          <w:spacing w:val="-3"/>
        </w:rPr>
        <w:t xml:space="preserve"> </w:t>
      </w:r>
      <w:r>
        <w:t>their voice into the HTA system.</w:t>
      </w:r>
    </w:p>
    <w:p w14:paraId="59F47EBD" w14:textId="77777777" w:rsidR="0087739C" w:rsidRDefault="0087739C">
      <w:pPr>
        <w:pStyle w:val="BodyText"/>
        <w:ind w:left="0"/>
      </w:pPr>
    </w:p>
    <w:p w14:paraId="13AEF413" w14:textId="77777777" w:rsidR="0087739C" w:rsidRDefault="00D87D9A">
      <w:pPr>
        <w:pStyle w:val="Heading1"/>
        <w:spacing w:before="1"/>
      </w:pPr>
      <w:r>
        <w:t>A</w:t>
      </w:r>
      <w:r>
        <w:rPr>
          <w:spacing w:val="-1"/>
        </w:rPr>
        <w:t xml:space="preserve"> </w:t>
      </w:r>
      <w:r>
        <w:t>unified</w:t>
      </w:r>
      <w:r>
        <w:rPr>
          <w:spacing w:val="-1"/>
        </w:rPr>
        <w:t xml:space="preserve"> </w:t>
      </w:r>
      <w:r>
        <w:t>approach to</w:t>
      </w:r>
      <w:r>
        <w:rPr>
          <w:spacing w:val="-4"/>
        </w:rPr>
        <w:t xml:space="preserve"> </w:t>
      </w:r>
      <w:r>
        <w:rPr>
          <w:spacing w:val="-5"/>
        </w:rPr>
        <w:t>HTA</w:t>
      </w:r>
    </w:p>
    <w:p w14:paraId="39D64775" w14:textId="77777777" w:rsidR="0087739C" w:rsidRDefault="00D87D9A">
      <w:pPr>
        <w:pStyle w:val="BodyText"/>
        <w:ind w:right="117"/>
      </w:pPr>
      <w:r>
        <w:t>The</w:t>
      </w:r>
      <w:r>
        <w:rPr>
          <w:spacing w:val="-2"/>
        </w:rPr>
        <w:t xml:space="preserve"> </w:t>
      </w:r>
      <w:r>
        <w:t>MSAC supports a</w:t>
      </w:r>
      <w:r>
        <w:rPr>
          <w:spacing w:val="-1"/>
        </w:rPr>
        <w:t xml:space="preserve"> </w:t>
      </w:r>
      <w:r>
        <w:t>unified approach to HTA</w:t>
      </w:r>
      <w:r>
        <w:rPr>
          <w:spacing w:val="-1"/>
        </w:rPr>
        <w:t xml:space="preserve"> </w:t>
      </w:r>
      <w:r>
        <w:t>that maintains the</w:t>
      </w:r>
      <w:r>
        <w:rPr>
          <w:spacing w:val="-1"/>
        </w:rPr>
        <w:t xml:space="preserve"> </w:t>
      </w:r>
      <w:r>
        <w:t>expertise required to assess the full range of health technologies and services considered by both PBAC and MSAC. Indeed, the HTA methods used by these two HTA advisory committees already have much in common. The MSAC acknowledges that more could be done to reduce timeframes for assessment</w:t>
      </w:r>
      <w:r>
        <w:rPr>
          <w:spacing w:val="-4"/>
        </w:rPr>
        <w:t xml:space="preserve"> </w:t>
      </w:r>
      <w:r>
        <w:t>and</w:t>
      </w:r>
      <w:r>
        <w:rPr>
          <w:spacing w:val="-4"/>
        </w:rPr>
        <w:t xml:space="preserve"> </w:t>
      </w:r>
      <w:r>
        <w:t>funding</w:t>
      </w:r>
      <w:r>
        <w:rPr>
          <w:spacing w:val="-2"/>
        </w:rPr>
        <w:t xml:space="preserve"> </w:t>
      </w:r>
      <w:r>
        <w:t>of</w:t>
      </w:r>
      <w:r>
        <w:rPr>
          <w:spacing w:val="-5"/>
        </w:rPr>
        <w:t xml:space="preserve"> </w:t>
      </w:r>
      <w:r>
        <w:t>co-dependent</w:t>
      </w:r>
      <w:r>
        <w:rPr>
          <w:spacing w:val="-4"/>
        </w:rPr>
        <w:t xml:space="preserve"> </w:t>
      </w:r>
      <w:r>
        <w:t>technologies</w:t>
      </w:r>
      <w:r>
        <w:rPr>
          <w:spacing w:val="-4"/>
        </w:rPr>
        <w:t xml:space="preserve"> </w:t>
      </w:r>
      <w:r>
        <w:t>and</w:t>
      </w:r>
      <w:r>
        <w:rPr>
          <w:spacing w:val="-4"/>
        </w:rPr>
        <w:t xml:space="preserve"> </w:t>
      </w:r>
      <w:r>
        <w:t>note</w:t>
      </w:r>
      <w:r>
        <w:rPr>
          <w:spacing w:val="-4"/>
        </w:rPr>
        <w:t xml:space="preserve"> </w:t>
      </w:r>
      <w:r>
        <w:t>that</w:t>
      </w:r>
      <w:r>
        <w:rPr>
          <w:spacing w:val="-3"/>
        </w:rPr>
        <w:t xml:space="preserve"> </w:t>
      </w:r>
      <w:r>
        <w:t>it</w:t>
      </w:r>
      <w:r>
        <w:rPr>
          <w:spacing w:val="-4"/>
        </w:rPr>
        <w:t xml:space="preserve"> </w:t>
      </w:r>
      <w:r>
        <w:t>has</w:t>
      </w:r>
      <w:r>
        <w:rPr>
          <w:spacing w:val="-4"/>
        </w:rPr>
        <w:t xml:space="preserve"> </w:t>
      </w:r>
      <w:r>
        <w:t>already</w:t>
      </w:r>
      <w:r>
        <w:rPr>
          <w:spacing w:val="-4"/>
        </w:rPr>
        <w:t xml:space="preserve"> </w:t>
      </w:r>
      <w:r>
        <w:t>implemented initiatives to streamline the development of MBS items for co-dependent tests to alleviate the growing burden on the HTA system.</w:t>
      </w:r>
    </w:p>
    <w:p w14:paraId="6C802313" w14:textId="77777777" w:rsidR="0087739C" w:rsidRDefault="0087739C">
      <w:pPr>
        <w:pStyle w:val="BodyText"/>
        <w:ind w:left="0"/>
      </w:pPr>
    </w:p>
    <w:p w14:paraId="0ACE8C5D" w14:textId="77777777" w:rsidR="0087739C" w:rsidRDefault="00D87D9A">
      <w:pPr>
        <w:pStyle w:val="BodyText"/>
        <w:ind w:right="117"/>
      </w:pPr>
      <w:r>
        <w:t>However, as you are aware, the MSAC has a broad role, providing advice to you and the Department</w:t>
      </w:r>
      <w:r>
        <w:rPr>
          <w:spacing w:val="-3"/>
        </w:rPr>
        <w:t xml:space="preserve"> </w:t>
      </w:r>
      <w:r>
        <w:t>on</w:t>
      </w:r>
      <w:r>
        <w:rPr>
          <w:spacing w:val="-3"/>
        </w:rPr>
        <w:t xml:space="preserve"> </w:t>
      </w:r>
      <w:r>
        <w:t>matters</w:t>
      </w:r>
      <w:r>
        <w:rPr>
          <w:spacing w:val="-3"/>
        </w:rPr>
        <w:t xml:space="preserve"> </w:t>
      </w:r>
      <w:r>
        <w:t>related</w:t>
      </w:r>
      <w:r>
        <w:rPr>
          <w:spacing w:val="-3"/>
        </w:rPr>
        <w:t xml:space="preserve"> </w:t>
      </w:r>
      <w:r>
        <w:t>to</w:t>
      </w:r>
      <w:r>
        <w:rPr>
          <w:spacing w:val="-3"/>
        </w:rPr>
        <w:t xml:space="preserve"> </w:t>
      </w:r>
      <w:r>
        <w:t>the</w:t>
      </w:r>
      <w:r>
        <w:rPr>
          <w:spacing w:val="-4"/>
        </w:rPr>
        <w:t xml:space="preserve"> </w:t>
      </w:r>
      <w:r>
        <w:t>funding</w:t>
      </w:r>
      <w:r>
        <w:rPr>
          <w:spacing w:val="-3"/>
        </w:rPr>
        <w:t xml:space="preserve"> </w:t>
      </w:r>
      <w:r>
        <w:t>of</w:t>
      </w:r>
      <w:r>
        <w:rPr>
          <w:spacing w:val="-3"/>
        </w:rPr>
        <w:t xml:space="preserve"> </w:t>
      </w:r>
      <w:r>
        <w:t>a</w:t>
      </w:r>
      <w:r>
        <w:rPr>
          <w:spacing w:val="-5"/>
        </w:rPr>
        <w:t xml:space="preserve"> </w:t>
      </w:r>
      <w:r>
        <w:t>range</w:t>
      </w:r>
      <w:r>
        <w:rPr>
          <w:spacing w:val="-4"/>
        </w:rPr>
        <w:t xml:space="preserve"> </w:t>
      </w:r>
      <w:r>
        <w:t>of</w:t>
      </w:r>
      <w:r>
        <w:rPr>
          <w:spacing w:val="-3"/>
        </w:rPr>
        <w:t xml:space="preserve"> </w:t>
      </w:r>
      <w:r>
        <w:t>health</w:t>
      </w:r>
      <w:r>
        <w:rPr>
          <w:spacing w:val="-3"/>
        </w:rPr>
        <w:t xml:space="preserve"> </w:t>
      </w:r>
      <w:r>
        <w:t>technologies</w:t>
      </w:r>
      <w:r>
        <w:rPr>
          <w:spacing w:val="-3"/>
        </w:rPr>
        <w:t xml:space="preserve"> </w:t>
      </w:r>
      <w:r>
        <w:t>including</w:t>
      </w:r>
      <w:r>
        <w:rPr>
          <w:spacing w:val="-3"/>
        </w:rPr>
        <w:t xml:space="preserve"> </w:t>
      </w:r>
      <w:r>
        <w:t xml:space="preserve">highly </w:t>
      </w:r>
      <w:proofErr w:type="spellStart"/>
      <w:r>
        <w:t>specialised</w:t>
      </w:r>
      <w:proofErr w:type="spellEnd"/>
      <w:r>
        <w:t xml:space="preserve"> therapies (such as cell and gene therapies), medical services listed on the MBS, implantable medical devices on the Prescribed List, blood products, and health programs. The broad range of health technologies that the MSAC appraises necessitates that its membership comprises a broad set of expertise, as different approaches and types of evidence are involved depending on the health technology being assessed. The MSAC believes that maintaining its current expertise is crucial, and an important consideration if the Government decides to proceed with reforms to create a unified approach to HTA.</w:t>
      </w:r>
    </w:p>
    <w:p w14:paraId="30EB7406" w14:textId="77777777" w:rsidR="0087739C" w:rsidRDefault="0087739C">
      <w:pPr>
        <w:pStyle w:val="BodyText"/>
        <w:spacing w:before="1"/>
        <w:ind w:left="0"/>
      </w:pPr>
    </w:p>
    <w:p w14:paraId="53CED269" w14:textId="77777777" w:rsidR="0087739C" w:rsidRDefault="00D87D9A">
      <w:pPr>
        <w:pStyle w:val="Heading1"/>
      </w:pPr>
      <w:r>
        <w:t>Accelerating</w:t>
      </w:r>
      <w:r>
        <w:rPr>
          <w:spacing w:val="-4"/>
        </w:rPr>
        <w:t xml:space="preserve"> </w:t>
      </w:r>
      <w:r>
        <w:rPr>
          <w:spacing w:val="-2"/>
        </w:rPr>
        <w:t>access</w:t>
      </w:r>
    </w:p>
    <w:p w14:paraId="406AE3E1" w14:textId="77777777" w:rsidR="0087739C" w:rsidRDefault="00D87D9A">
      <w:pPr>
        <w:pStyle w:val="BodyText"/>
        <w:ind w:right="140"/>
      </w:pPr>
      <w:r>
        <w:t>The</w:t>
      </w:r>
      <w:r>
        <w:rPr>
          <w:spacing w:val="-5"/>
        </w:rPr>
        <w:t xml:space="preserve"> </w:t>
      </w:r>
      <w:r>
        <w:t>MSAC</w:t>
      </w:r>
      <w:r>
        <w:rPr>
          <w:spacing w:val="-3"/>
        </w:rPr>
        <w:t xml:space="preserve"> </w:t>
      </w:r>
      <w:r>
        <w:t>notes</w:t>
      </w:r>
      <w:r>
        <w:rPr>
          <w:spacing w:val="-3"/>
        </w:rPr>
        <w:t xml:space="preserve"> </w:t>
      </w:r>
      <w:r>
        <w:t>the</w:t>
      </w:r>
      <w:r>
        <w:rPr>
          <w:spacing w:val="-3"/>
        </w:rPr>
        <w:t xml:space="preserve"> </w:t>
      </w:r>
      <w:r>
        <w:t>Review</w:t>
      </w:r>
      <w:r>
        <w:rPr>
          <w:spacing w:val="-3"/>
        </w:rPr>
        <w:t xml:space="preserve"> </w:t>
      </w:r>
      <w:r>
        <w:t>found</w:t>
      </w:r>
      <w:r>
        <w:rPr>
          <w:spacing w:val="-3"/>
        </w:rPr>
        <w:t xml:space="preserve"> </w:t>
      </w:r>
      <w:r>
        <w:t>patient</w:t>
      </w:r>
      <w:r>
        <w:rPr>
          <w:spacing w:val="-3"/>
        </w:rPr>
        <w:t xml:space="preserve"> </w:t>
      </w:r>
      <w:r>
        <w:t>and</w:t>
      </w:r>
      <w:r>
        <w:rPr>
          <w:spacing w:val="-2"/>
        </w:rPr>
        <w:t xml:space="preserve"> </w:t>
      </w:r>
      <w:r>
        <w:t>clinician</w:t>
      </w:r>
      <w:r>
        <w:rPr>
          <w:spacing w:val="-3"/>
        </w:rPr>
        <w:t xml:space="preserve"> </w:t>
      </w:r>
      <w:r>
        <w:t>expectations</w:t>
      </w:r>
      <w:r>
        <w:rPr>
          <w:spacing w:val="-3"/>
        </w:rPr>
        <w:t xml:space="preserve"> </w:t>
      </w:r>
      <w:r>
        <w:t>for</w:t>
      </w:r>
      <w:r>
        <w:rPr>
          <w:spacing w:val="-3"/>
        </w:rPr>
        <w:t xml:space="preserve"> </w:t>
      </w:r>
      <w:r>
        <w:t>access</w:t>
      </w:r>
      <w:r>
        <w:rPr>
          <w:spacing w:val="-3"/>
        </w:rPr>
        <w:t xml:space="preserve"> </w:t>
      </w:r>
      <w:r>
        <w:t>to</w:t>
      </w:r>
      <w:r>
        <w:rPr>
          <w:spacing w:val="-3"/>
        </w:rPr>
        <w:t xml:space="preserve"> </w:t>
      </w:r>
      <w:r>
        <w:t>new</w:t>
      </w:r>
      <w:r>
        <w:rPr>
          <w:spacing w:val="-3"/>
        </w:rPr>
        <w:t xml:space="preserve"> </w:t>
      </w:r>
      <w:r>
        <w:t xml:space="preserve">health technologies are increasing. The MSAC notes the pace at which new health technologies are entering the market means there is now more uncertainty about how effective, safe, and cost- effective new health technologies are compared to the existing standard of care. The MSAC considers that timely access to health technologies is important, but achieving this should not be at the expense of robust assessment and equitable access. The MSAC </w:t>
      </w:r>
      <w:proofErr w:type="spellStart"/>
      <w:r>
        <w:t>emphasises</w:t>
      </w:r>
      <w:proofErr w:type="spellEnd"/>
      <w:r>
        <w:t xml:space="preserve"> that</w:t>
      </w:r>
    </w:p>
    <w:p w14:paraId="5FB5117E" w14:textId="77777777" w:rsidR="0087739C" w:rsidRDefault="0087739C">
      <w:pPr>
        <w:sectPr w:rsidR="0087739C">
          <w:footerReference w:type="default" r:id="rId8"/>
          <w:pgSz w:w="11910" w:h="16840"/>
          <w:pgMar w:top="1600" w:right="1260" w:bottom="880" w:left="1260" w:header="0" w:footer="682" w:gutter="0"/>
          <w:pgNumType w:start="2"/>
          <w:cols w:space="720"/>
        </w:sectPr>
      </w:pPr>
    </w:p>
    <w:p w14:paraId="406CF80C" w14:textId="77777777" w:rsidR="0087739C" w:rsidRDefault="00D87D9A">
      <w:pPr>
        <w:pStyle w:val="BodyText"/>
        <w:spacing w:before="61"/>
      </w:pPr>
      <w:r>
        <w:t>careful consideration will be required to balance meeting expectations and reducing important risks</w:t>
      </w:r>
      <w:r>
        <w:rPr>
          <w:spacing w:val="-3"/>
        </w:rPr>
        <w:t xml:space="preserve"> </w:t>
      </w:r>
      <w:r>
        <w:t>associated</w:t>
      </w:r>
      <w:r>
        <w:rPr>
          <w:spacing w:val="-3"/>
        </w:rPr>
        <w:t xml:space="preserve"> </w:t>
      </w:r>
      <w:r>
        <w:t>with</w:t>
      </w:r>
      <w:r>
        <w:rPr>
          <w:spacing w:val="-3"/>
        </w:rPr>
        <w:t xml:space="preserve"> </w:t>
      </w:r>
      <w:r>
        <w:t>early</w:t>
      </w:r>
      <w:r>
        <w:rPr>
          <w:spacing w:val="-3"/>
        </w:rPr>
        <w:t xml:space="preserve"> </w:t>
      </w:r>
      <w:r>
        <w:t>access</w:t>
      </w:r>
      <w:r>
        <w:rPr>
          <w:spacing w:val="-3"/>
        </w:rPr>
        <w:t xml:space="preserve"> </w:t>
      </w:r>
      <w:r>
        <w:t>to</w:t>
      </w:r>
      <w:r>
        <w:rPr>
          <w:spacing w:val="-3"/>
        </w:rPr>
        <w:t xml:space="preserve"> </w:t>
      </w:r>
      <w:r>
        <w:t>health</w:t>
      </w:r>
      <w:r>
        <w:rPr>
          <w:spacing w:val="-3"/>
        </w:rPr>
        <w:t xml:space="preserve"> </w:t>
      </w:r>
      <w:r>
        <w:t>technologies</w:t>
      </w:r>
      <w:r>
        <w:rPr>
          <w:spacing w:val="-1"/>
        </w:rPr>
        <w:t xml:space="preserve"> </w:t>
      </w:r>
      <w:r>
        <w:t>with</w:t>
      </w:r>
      <w:r>
        <w:rPr>
          <w:spacing w:val="-3"/>
        </w:rPr>
        <w:t xml:space="preserve"> </w:t>
      </w:r>
      <w:r>
        <w:t>uncertain</w:t>
      </w:r>
      <w:r>
        <w:rPr>
          <w:spacing w:val="-3"/>
        </w:rPr>
        <w:t xml:space="preserve"> </w:t>
      </w:r>
      <w:r>
        <w:t>benefits</w:t>
      </w:r>
      <w:r>
        <w:rPr>
          <w:spacing w:val="-2"/>
        </w:rPr>
        <w:t xml:space="preserve"> </w:t>
      </w:r>
      <w:r>
        <w:t>and</w:t>
      </w:r>
      <w:r>
        <w:rPr>
          <w:spacing w:val="-3"/>
        </w:rPr>
        <w:t xml:space="preserve"> </w:t>
      </w:r>
      <w:r>
        <w:t>harms.</w:t>
      </w:r>
      <w:r>
        <w:rPr>
          <w:spacing w:val="-3"/>
        </w:rPr>
        <w:t xml:space="preserve"> </w:t>
      </w:r>
      <w:r>
        <w:t>The MSAC is of the view that any reforms to support accelerated access should be balanced by reforms that facilitate disinvestment in technologies which do not live up to their promise.</w:t>
      </w:r>
    </w:p>
    <w:p w14:paraId="2F74C611" w14:textId="77777777" w:rsidR="0087739C" w:rsidRDefault="00D87D9A">
      <w:pPr>
        <w:pStyle w:val="BodyText"/>
        <w:ind w:right="198"/>
      </w:pPr>
      <w:r>
        <w:t>Post-HTA</w:t>
      </w:r>
      <w:r>
        <w:rPr>
          <w:spacing w:val="-4"/>
        </w:rPr>
        <w:t xml:space="preserve"> </w:t>
      </w:r>
      <w:r>
        <w:t>data</w:t>
      </w:r>
      <w:r>
        <w:rPr>
          <w:spacing w:val="-4"/>
        </w:rPr>
        <w:t xml:space="preserve"> </w:t>
      </w:r>
      <w:r>
        <w:t>collection</w:t>
      </w:r>
      <w:r>
        <w:rPr>
          <w:spacing w:val="-1"/>
        </w:rPr>
        <w:t xml:space="preserve"> </w:t>
      </w:r>
      <w:r>
        <w:t>will</w:t>
      </w:r>
      <w:r>
        <w:rPr>
          <w:spacing w:val="-4"/>
        </w:rPr>
        <w:t xml:space="preserve"> </w:t>
      </w:r>
      <w:r>
        <w:t>be</w:t>
      </w:r>
      <w:r>
        <w:rPr>
          <w:spacing w:val="-4"/>
        </w:rPr>
        <w:t xml:space="preserve"> </w:t>
      </w:r>
      <w:r>
        <w:t>integral</w:t>
      </w:r>
      <w:r>
        <w:rPr>
          <w:spacing w:val="-3"/>
        </w:rPr>
        <w:t xml:space="preserve"> </w:t>
      </w:r>
      <w:r>
        <w:t>to</w:t>
      </w:r>
      <w:r>
        <w:rPr>
          <w:spacing w:val="-4"/>
        </w:rPr>
        <w:t xml:space="preserve"> </w:t>
      </w:r>
      <w:r>
        <w:t>achieving</w:t>
      </w:r>
      <w:r>
        <w:rPr>
          <w:spacing w:val="-4"/>
        </w:rPr>
        <w:t xml:space="preserve"> </w:t>
      </w:r>
      <w:r>
        <w:t>these</w:t>
      </w:r>
      <w:r>
        <w:rPr>
          <w:spacing w:val="-5"/>
        </w:rPr>
        <w:t xml:space="preserve"> </w:t>
      </w:r>
      <w:r>
        <w:t>twin</w:t>
      </w:r>
      <w:r>
        <w:rPr>
          <w:spacing w:val="-4"/>
        </w:rPr>
        <w:t xml:space="preserve"> </w:t>
      </w:r>
      <w:r>
        <w:t>aims</w:t>
      </w:r>
      <w:r>
        <w:rPr>
          <w:spacing w:val="-4"/>
        </w:rPr>
        <w:t xml:space="preserve"> </w:t>
      </w:r>
      <w:r>
        <w:t>of</w:t>
      </w:r>
      <w:r>
        <w:rPr>
          <w:spacing w:val="-4"/>
        </w:rPr>
        <w:t xml:space="preserve"> </w:t>
      </w:r>
      <w:r>
        <w:t>accelerated</w:t>
      </w:r>
      <w:r>
        <w:rPr>
          <w:spacing w:val="-4"/>
        </w:rPr>
        <w:t xml:space="preserve"> </w:t>
      </w:r>
      <w:r>
        <w:t>access and timely disinvestment, when warranted.</w:t>
      </w:r>
    </w:p>
    <w:p w14:paraId="2DDF4E9F" w14:textId="77777777" w:rsidR="0087739C" w:rsidRDefault="0087739C">
      <w:pPr>
        <w:pStyle w:val="BodyText"/>
        <w:ind w:left="0"/>
      </w:pPr>
    </w:p>
    <w:p w14:paraId="6AD7F86F" w14:textId="77777777" w:rsidR="0087739C" w:rsidRDefault="00D87D9A">
      <w:pPr>
        <w:pStyle w:val="BodyText"/>
        <w:ind w:right="198"/>
      </w:pPr>
      <w:r>
        <w:t>The MSAC supports recommendations to streamline funding of health technologies and address issues that delay implementation. The MSAC notes that Australia assesses health technologies quickly by global standards but that delays occur when applications are not adequately justified and require resubmission or where extended negotiations are required between suppliers, payers and service deliverers. The MSAC supports the HTA Review recommendations</w:t>
      </w:r>
      <w:r>
        <w:rPr>
          <w:spacing w:val="-3"/>
        </w:rPr>
        <w:t xml:space="preserve"> </w:t>
      </w:r>
      <w:r>
        <w:t>in</w:t>
      </w:r>
      <w:r>
        <w:rPr>
          <w:spacing w:val="-3"/>
        </w:rPr>
        <w:t xml:space="preserve"> </w:t>
      </w:r>
      <w:r>
        <w:t>their</w:t>
      </w:r>
      <w:r>
        <w:rPr>
          <w:spacing w:val="-2"/>
        </w:rPr>
        <w:t xml:space="preserve"> </w:t>
      </w:r>
      <w:r>
        <w:t>aim</w:t>
      </w:r>
      <w:r>
        <w:rPr>
          <w:spacing w:val="-3"/>
        </w:rPr>
        <w:t xml:space="preserve"> </w:t>
      </w:r>
      <w:r>
        <w:t>to</w:t>
      </w:r>
      <w:r>
        <w:rPr>
          <w:spacing w:val="-3"/>
        </w:rPr>
        <w:t xml:space="preserve"> </w:t>
      </w:r>
      <w:r>
        <w:t>reduce</w:t>
      </w:r>
      <w:r>
        <w:rPr>
          <w:spacing w:val="-2"/>
        </w:rPr>
        <w:t xml:space="preserve"> </w:t>
      </w:r>
      <w:r>
        <w:t>the</w:t>
      </w:r>
      <w:r>
        <w:rPr>
          <w:spacing w:val="-2"/>
        </w:rPr>
        <w:t xml:space="preserve"> </w:t>
      </w:r>
      <w:r>
        <w:t>extent</w:t>
      </w:r>
      <w:r>
        <w:rPr>
          <w:spacing w:val="-1"/>
        </w:rPr>
        <w:t xml:space="preserve"> </w:t>
      </w:r>
      <w:r>
        <w:t>to</w:t>
      </w:r>
      <w:r>
        <w:rPr>
          <w:spacing w:val="-3"/>
        </w:rPr>
        <w:t xml:space="preserve"> </w:t>
      </w:r>
      <w:r>
        <w:t>which</w:t>
      </w:r>
      <w:r>
        <w:rPr>
          <w:spacing w:val="-3"/>
        </w:rPr>
        <w:t xml:space="preserve"> </w:t>
      </w:r>
      <w:r>
        <w:t>these</w:t>
      </w:r>
      <w:r>
        <w:rPr>
          <w:spacing w:val="-4"/>
        </w:rPr>
        <w:t xml:space="preserve"> </w:t>
      </w:r>
      <w:r>
        <w:t>issues</w:t>
      </w:r>
      <w:r>
        <w:rPr>
          <w:spacing w:val="-2"/>
        </w:rPr>
        <w:t xml:space="preserve"> </w:t>
      </w:r>
      <w:r>
        <w:t>contribute</w:t>
      </w:r>
      <w:r>
        <w:rPr>
          <w:spacing w:val="-3"/>
        </w:rPr>
        <w:t xml:space="preserve"> </w:t>
      </w:r>
      <w:r>
        <w:t>to</w:t>
      </w:r>
      <w:r>
        <w:rPr>
          <w:spacing w:val="-3"/>
        </w:rPr>
        <w:t xml:space="preserve"> </w:t>
      </w:r>
      <w:r>
        <w:t>the</w:t>
      </w:r>
      <w:r>
        <w:rPr>
          <w:spacing w:val="-3"/>
        </w:rPr>
        <w:t xml:space="preserve"> </w:t>
      </w:r>
      <w:r>
        <w:t xml:space="preserve">time it takes to fund health </w:t>
      </w:r>
      <w:proofErr w:type="gramStart"/>
      <w:r>
        <w:t>technologies, and</w:t>
      </w:r>
      <w:proofErr w:type="gramEnd"/>
      <w:r>
        <w:t xml:space="preserve"> increase transparency around timeframes.</w:t>
      </w:r>
    </w:p>
    <w:p w14:paraId="7A62AFE2" w14:textId="77777777" w:rsidR="0087739C" w:rsidRDefault="00D87D9A">
      <w:pPr>
        <w:pStyle w:val="Heading1"/>
        <w:spacing w:before="274"/>
      </w:pPr>
      <w:r>
        <w:t>Data</w:t>
      </w:r>
      <w:r>
        <w:rPr>
          <w:spacing w:val="-1"/>
        </w:rPr>
        <w:t xml:space="preserve"> </w:t>
      </w:r>
      <w:r>
        <w:t>collection</w:t>
      </w:r>
      <w:r>
        <w:rPr>
          <w:spacing w:val="-1"/>
        </w:rPr>
        <w:t xml:space="preserve"> </w:t>
      </w:r>
      <w:r>
        <w:t>to</w:t>
      </w:r>
      <w:r>
        <w:rPr>
          <w:spacing w:val="-1"/>
        </w:rPr>
        <w:t xml:space="preserve"> </w:t>
      </w:r>
      <w:r>
        <w:t>meet HTA</w:t>
      </w:r>
      <w:r>
        <w:rPr>
          <w:spacing w:val="-1"/>
        </w:rPr>
        <w:t xml:space="preserve"> </w:t>
      </w:r>
      <w:r>
        <w:rPr>
          <w:spacing w:val="-4"/>
        </w:rPr>
        <w:t>needs</w:t>
      </w:r>
    </w:p>
    <w:p w14:paraId="37027128" w14:textId="77777777" w:rsidR="0087739C" w:rsidRDefault="00D87D9A">
      <w:pPr>
        <w:pStyle w:val="BodyText"/>
        <w:ind w:right="154"/>
      </w:pPr>
      <w:r>
        <w:t>The number of health technologies being approved that are claimed to have life-long benefits but</w:t>
      </w:r>
      <w:r>
        <w:rPr>
          <w:spacing w:val="-3"/>
        </w:rPr>
        <w:t xml:space="preserve"> </w:t>
      </w:r>
      <w:r>
        <w:t>supported</w:t>
      </w:r>
      <w:r>
        <w:rPr>
          <w:spacing w:val="-3"/>
        </w:rPr>
        <w:t xml:space="preserve"> </w:t>
      </w:r>
      <w:r>
        <w:t>by</w:t>
      </w:r>
      <w:r>
        <w:rPr>
          <w:spacing w:val="-3"/>
        </w:rPr>
        <w:t xml:space="preserve"> </w:t>
      </w:r>
      <w:r>
        <w:t>short</w:t>
      </w:r>
      <w:r>
        <w:rPr>
          <w:spacing w:val="-3"/>
        </w:rPr>
        <w:t xml:space="preserve"> </w:t>
      </w:r>
      <w:r>
        <w:t>term</w:t>
      </w:r>
      <w:r>
        <w:rPr>
          <w:spacing w:val="-3"/>
        </w:rPr>
        <w:t xml:space="preserve"> </w:t>
      </w:r>
      <w:r>
        <w:t>trial</w:t>
      </w:r>
      <w:r>
        <w:rPr>
          <w:spacing w:val="-3"/>
        </w:rPr>
        <w:t xml:space="preserve"> </w:t>
      </w:r>
      <w:r>
        <w:t>data</w:t>
      </w:r>
      <w:r>
        <w:rPr>
          <w:spacing w:val="-3"/>
        </w:rPr>
        <w:t xml:space="preserve"> </w:t>
      </w:r>
      <w:r>
        <w:t>is</w:t>
      </w:r>
      <w:r>
        <w:rPr>
          <w:spacing w:val="-3"/>
        </w:rPr>
        <w:t xml:space="preserve"> </w:t>
      </w:r>
      <w:r>
        <w:t>increasing</w:t>
      </w:r>
      <w:r>
        <w:rPr>
          <w:spacing w:val="-3"/>
        </w:rPr>
        <w:t xml:space="preserve"> </w:t>
      </w:r>
      <w:r>
        <w:t>the</w:t>
      </w:r>
      <w:r>
        <w:rPr>
          <w:spacing w:val="-4"/>
        </w:rPr>
        <w:t xml:space="preserve"> </w:t>
      </w:r>
      <w:r>
        <w:t>need</w:t>
      </w:r>
      <w:r>
        <w:rPr>
          <w:spacing w:val="-3"/>
        </w:rPr>
        <w:t xml:space="preserve"> </w:t>
      </w:r>
      <w:r>
        <w:t>for</w:t>
      </w:r>
      <w:r>
        <w:rPr>
          <w:spacing w:val="-3"/>
        </w:rPr>
        <w:t xml:space="preserve"> </w:t>
      </w:r>
      <w:r>
        <w:t>post-HTA</w:t>
      </w:r>
      <w:r>
        <w:rPr>
          <w:spacing w:val="-3"/>
        </w:rPr>
        <w:t xml:space="preserve"> </w:t>
      </w:r>
      <w:r>
        <w:t>data</w:t>
      </w:r>
      <w:r>
        <w:rPr>
          <w:spacing w:val="-3"/>
        </w:rPr>
        <w:t xml:space="preserve"> </w:t>
      </w:r>
      <w:r>
        <w:t>collection.</w:t>
      </w:r>
      <w:r>
        <w:rPr>
          <w:spacing w:val="-2"/>
        </w:rPr>
        <w:t xml:space="preserve"> </w:t>
      </w:r>
      <w:r>
        <w:t>Such arrangements</w:t>
      </w:r>
      <w:r>
        <w:rPr>
          <w:spacing w:val="-2"/>
        </w:rPr>
        <w:t xml:space="preserve"> </w:t>
      </w:r>
      <w:r>
        <w:t>need</w:t>
      </w:r>
      <w:r>
        <w:rPr>
          <w:spacing w:val="-2"/>
        </w:rPr>
        <w:t xml:space="preserve"> </w:t>
      </w:r>
      <w:r>
        <w:t>to</w:t>
      </w:r>
      <w:r>
        <w:rPr>
          <w:spacing w:val="-2"/>
        </w:rPr>
        <w:t xml:space="preserve"> </w:t>
      </w:r>
      <w:r>
        <w:t>be</w:t>
      </w:r>
      <w:r>
        <w:rPr>
          <w:spacing w:val="-1"/>
        </w:rPr>
        <w:t xml:space="preserve"> </w:t>
      </w:r>
      <w:r>
        <w:t>set</w:t>
      </w:r>
      <w:r>
        <w:rPr>
          <w:spacing w:val="-2"/>
        </w:rPr>
        <w:t xml:space="preserve"> </w:t>
      </w:r>
      <w:r>
        <w:t>up</w:t>
      </w:r>
      <w:r>
        <w:rPr>
          <w:spacing w:val="-2"/>
        </w:rPr>
        <w:t xml:space="preserve"> </w:t>
      </w:r>
      <w:r>
        <w:t>carefully</w:t>
      </w:r>
      <w:r>
        <w:rPr>
          <w:spacing w:val="-2"/>
        </w:rPr>
        <w:t xml:space="preserve"> </w:t>
      </w:r>
      <w:r>
        <w:t>so</w:t>
      </w:r>
      <w:r>
        <w:rPr>
          <w:spacing w:val="-2"/>
        </w:rPr>
        <w:t xml:space="preserve"> </w:t>
      </w:r>
      <w:r>
        <w:t>that</w:t>
      </w:r>
      <w:r>
        <w:rPr>
          <w:spacing w:val="-2"/>
        </w:rPr>
        <w:t xml:space="preserve"> </w:t>
      </w:r>
      <w:r>
        <w:t>data</w:t>
      </w:r>
      <w:r>
        <w:rPr>
          <w:spacing w:val="-2"/>
        </w:rPr>
        <w:t xml:space="preserve"> </w:t>
      </w:r>
      <w:r>
        <w:t>collected</w:t>
      </w:r>
      <w:r>
        <w:rPr>
          <w:spacing w:val="-2"/>
        </w:rPr>
        <w:t xml:space="preserve"> </w:t>
      </w:r>
      <w:r>
        <w:t>is</w:t>
      </w:r>
      <w:r>
        <w:rPr>
          <w:spacing w:val="-2"/>
        </w:rPr>
        <w:t xml:space="preserve"> </w:t>
      </w:r>
      <w:r>
        <w:t>sufficiently</w:t>
      </w:r>
      <w:r>
        <w:rPr>
          <w:spacing w:val="-2"/>
        </w:rPr>
        <w:t xml:space="preserve"> </w:t>
      </w:r>
      <w:r>
        <w:t>robust</w:t>
      </w:r>
      <w:r>
        <w:rPr>
          <w:spacing w:val="-2"/>
        </w:rPr>
        <w:t xml:space="preserve"> </w:t>
      </w:r>
      <w:r>
        <w:t>and</w:t>
      </w:r>
      <w:r>
        <w:rPr>
          <w:spacing w:val="-2"/>
        </w:rPr>
        <w:t xml:space="preserve"> </w:t>
      </w:r>
      <w:r>
        <w:t>fit-for- purpose to support decision making. To date, privately funded arrangements to measure the performance of certain health technologies supported by MSAC have not been adequate to address uncertainty about clinical outcomes in the original applications for funding.</w:t>
      </w:r>
    </w:p>
    <w:p w14:paraId="73BBCF57" w14:textId="77777777" w:rsidR="0087739C" w:rsidRDefault="0087739C">
      <w:pPr>
        <w:pStyle w:val="BodyText"/>
        <w:ind w:left="0"/>
      </w:pPr>
    </w:p>
    <w:p w14:paraId="070E2536" w14:textId="77777777" w:rsidR="0087739C" w:rsidRDefault="00D87D9A">
      <w:pPr>
        <w:pStyle w:val="BodyText"/>
        <w:spacing w:before="1"/>
      </w:pPr>
      <w:r>
        <w:t xml:space="preserve">The MSAC therefore considers that post-HTA data collection infrastructure should be Government funded so that it can be </w:t>
      </w:r>
      <w:proofErr w:type="spellStart"/>
      <w:r>
        <w:t>standardised</w:t>
      </w:r>
      <w:proofErr w:type="spellEnd"/>
      <w:r>
        <w:t xml:space="preserve">, nationally </w:t>
      </w:r>
      <w:proofErr w:type="spellStart"/>
      <w:r>
        <w:t>harmonised</w:t>
      </w:r>
      <w:proofErr w:type="spellEnd"/>
      <w:r>
        <w:t>, integrated with existing clinical workflows, accessible to relevant parties and scheduled for future review to assess</w:t>
      </w:r>
      <w:r>
        <w:rPr>
          <w:spacing w:val="-4"/>
        </w:rPr>
        <w:t xml:space="preserve"> </w:t>
      </w:r>
      <w:r>
        <w:t>utility.</w:t>
      </w:r>
      <w:r>
        <w:rPr>
          <w:spacing w:val="-4"/>
        </w:rPr>
        <w:t xml:space="preserve"> </w:t>
      </w:r>
      <w:r>
        <w:t>Establishing</w:t>
      </w:r>
      <w:r>
        <w:rPr>
          <w:spacing w:val="-4"/>
        </w:rPr>
        <w:t xml:space="preserve"> </w:t>
      </w:r>
      <w:r>
        <w:t>such</w:t>
      </w:r>
      <w:r>
        <w:rPr>
          <w:spacing w:val="-4"/>
        </w:rPr>
        <w:t xml:space="preserve"> </w:t>
      </w:r>
      <w:r>
        <w:t>infrastructure</w:t>
      </w:r>
      <w:r>
        <w:rPr>
          <w:spacing w:val="-6"/>
        </w:rPr>
        <w:t xml:space="preserve"> </w:t>
      </w:r>
      <w:r>
        <w:t>will</w:t>
      </w:r>
      <w:r>
        <w:rPr>
          <w:spacing w:val="-1"/>
        </w:rPr>
        <w:t xml:space="preserve"> </w:t>
      </w:r>
      <w:r>
        <w:t>be</w:t>
      </w:r>
      <w:r>
        <w:rPr>
          <w:spacing w:val="-5"/>
        </w:rPr>
        <w:t xml:space="preserve"> </w:t>
      </w:r>
      <w:r>
        <w:t>essential</w:t>
      </w:r>
      <w:r>
        <w:rPr>
          <w:spacing w:val="-4"/>
        </w:rPr>
        <w:t xml:space="preserve"> </w:t>
      </w:r>
      <w:r>
        <w:t>should</w:t>
      </w:r>
      <w:r>
        <w:rPr>
          <w:spacing w:val="-4"/>
        </w:rPr>
        <w:t xml:space="preserve"> </w:t>
      </w:r>
      <w:r>
        <w:t>the</w:t>
      </w:r>
      <w:r>
        <w:rPr>
          <w:spacing w:val="-4"/>
        </w:rPr>
        <w:t xml:space="preserve"> </w:t>
      </w:r>
      <w:r>
        <w:t>government</w:t>
      </w:r>
      <w:r>
        <w:rPr>
          <w:spacing w:val="-4"/>
        </w:rPr>
        <w:t xml:space="preserve"> </w:t>
      </w:r>
      <w:r>
        <w:t>proceed with reforms to facilitate earlier access to health technologies that promise high added therapeutic value, so that their performance can be reliably assessed after they are funded.</w:t>
      </w:r>
    </w:p>
    <w:p w14:paraId="44B62B9C" w14:textId="77777777" w:rsidR="0087739C" w:rsidRDefault="0087739C">
      <w:pPr>
        <w:pStyle w:val="BodyText"/>
        <w:ind w:left="0"/>
      </w:pPr>
    </w:p>
    <w:p w14:paraId="1BB3D2D8" w14:textId="77777777" w:rsidR="0087739C" w:rsidRDefault="00D87D9A">
      <w:pPr>
        <w:pStyle w:val="Heading1"/>
      </w:pPr>
      <w:r>
        <w:t>Horizon</w:t>
      </w:r>
      <w:r>
        <w:rPr>
          <w:spacing w:val="-1"/>
        </w:rPr>
        <w:t xml:space="preserve"> </w:t>
      </w:r>
      <w:r>
        <w:rPr>
          <w:spacing w:val="-2"/>
        </w:rPr>
        <w:t>scanning</w:t>
      </w:r>
    </w:p>
    <w:p w14:paraId="5CAC73C5" w14:textId="77777777" w:rsidR="0087739C" w:rsidRDefault="00D87D9A">
      <w:pPr>
        <w:pStyle w:val="BodyText"/>
        <w:ind w:right="117"/>
      </w:pPr>
      <w:r>
        <w:t>The MSAC is supportive of the recommendation to establish a horizon scanning function to enable those involved in the delivery of healthcare to be better informed about the benefits, risks and operational implications of new health technologies. The MSAC considers that if Government proceeds with reforms to establish a horizon scanning function in Australia, it should</w:t>
      </w:r>
      <w:r>
        <w:rPr>
          <w:spacing w:val="-3"/>
        </w:rPr>
        <w:t xml:space="preserve"> </w:t>
      </w:r>
      <w:r>
        <w:t>be</w:t>
      </w:r>
      <w:r>
        <w:rPr>
          <w:spacing w:val="-4"/>
        </w:rPr>
        <w:t xml:space="preserve"> </w:t>
      </w:r>
      <w:r>
        <w:t>led</w:t>
      </w:r>
      <w:r>
        <w:rPr>
          <w:spacing w:val="-3"/>
        </w:rPr>
        <w:t xml:space="preserve"> </w:t>
      </w:r>
      <w:r>
        <w:t>by</w:t>
      </w:r>
      <w:r>
        <w:rPr>
          <w:spacing w:val="-3"/>
        </w:rPr>
        <w:t xml:space="preserve"> </w:t>
      </w:r>
      <w:r>
        <w:t>the</w:t>
      </w:r>
      <w:r>
        <w:rPr>
          <w:spacing w:val="-4"/>
        </w:rPr>
        <w:t xml:space="preserve"> </w:t>
      </w:r>
      <w:r>
        <w:t>Department</w:t>
      </w:r>
      <w:r>
        <w:rPr>
          <w:spacing w:val="-3"/>
        </w:rPr>
        <w:t xml:space="preserve"> </w:t>
      </w:r>
      <w:r>
        <w:t>and</w:t>
      </w:r>
      <w:r>
        <w:rPr>
          <w:spacing w:val="-3"/>
        </w:rPr>
        <w:t xml:space="preserve"> </w:t>
      </w:r>
      <w:r>
        <w:t>engage</w:t>
      </w:r>
      <w:r>
        <w:rPr>
          <w:spacing w:val="-4"/>
        </w:rPr>
        <w:t xml:space="preserve"> </w:t>
      </w:r>
      <w:r>
        <w:t>impacted</w:t>
      </w:r>
      <w:r>
        <w:rPr>
          <w:spacing w:val="-3"/>
        </w:rPr>
        <w:t xml:space="preserve"> </w:t>
      </w:r>
      <w:r>
        <w:t>groups</w:t>
      </w:r>
      <w:r>
        <w:rPr>
          <w:spacing w:val="-3"/>
        </w:rPr>
        <w:t xml:space="preserve"> </w:t>
      </w:r>
      <w:r>
        <w:t>including</w:t>
      </w:r>
      <w:r>
        <w:rPr>
          <w:spacing w:val="-3"/>
        </w:rPr>
        <w:t xml:space="preserve"> </w:t>
      </w:r>
      <w:r>
        <w:t>consumers,</w:t>
      </w:r>
      <w:r>
        <w:rPr>
          <w:spacing w:val="-3"/>
        </w:rPr>
        <w:t xml:space="preserve"> </w:t>
      </w:r>
      <w:r>
        <w:t>clinicians, state and territory governments, and industry. There may also be benefit in engaging with international HTA partners to explore information exchange and work-sharing opportunities, noting that many comparable healthcare systems have similar horizon scanning needs.</w:t>
      </w:r>
    </w:p>
    <w:p w14:paraId="5EE23B75" w14:textId="77777777" w:rsidR="0087739C" w:rsidRDefault="0087739C">
      <w:pPr>
        <w:pStyle w:val="BodyText"/>
        <w:ind w:left="0"/>
      </w:pPr>
    </w:p>
    <w:p w14:paraId="280FF11D" w14:textId="77777777" w:rsidR="0087739C" w:rsidRDefault="00D87D9A">
      <w:pPr>
        <w:pStyle w:val="Heading1"/>
      </w:pPr>
      <w:r>
        <w:t>Evidentiary</w:t>
      </w:r>
      <w:r>
        <w:rPr>
          <w:spacing w:val="-2"/>
        </w:rPr>
        <w:t xml:space="preserve"> </w:t>
      </w:r>
      <w:r>
        <w:t>standards</w:t>
      </w:r>
      <w:r>
        <w:rPr>
          <w:spacing w:val="-1"/>
        </w:rPr>
        <w:t xml:space="preserve"> </w:t>
      </w:r>
      <w:r>
        <w:t>in</w:t>
      </w:r>
      <w:r>
        <w:rPr>
          <w:spacing w:val="-1"/>
        </w:rPr>
        <w:t xml:space="preserve"> </w:t>
      </w:r>
      <w:r>
        <w:rPr>
          <w:spacing w:val="-5"/>
        </w:rPr>
        <w:t>HTA</w:t>
      </w:r>
    </w:p>
    <w:p w14:paraId="06A1B7CF" w14:textId="77777777" w:rsidR="0087739C" w:rsidRDefault="00D87D9A">
      <w:pPr>
        <w:pStyle w:val="BodyText"/>
        <w:spacing w:before="1"/>
      </w:pPr>
      <w:r>
        <w:t>The MSAC notes that several recommendations in the final report aim to develop and clarify guidance on assessment methods used in HTAs for decision-making. The MSAC believes it is important</w:t>
      </w:r>
      <w:r>
        <w:rPr>
          <w:spacing w:val="-3"/>
        </w:rPr>
        <w:t xml:space="preserve"> </w:t>
      </w:r>
      <w:r>
        <w:t>for</w:t>
      </w:r>
      <w:r>
        <w:rPr>
          <w:spacing w:val="-4"/>
        </w:rPr>
        <w:t xml:space="preserve"> </w:t>
      </w:r>
      <w:r>
        <w:t>evidentiary</w:t>
      </w:r>
      <w:r>
        <w:rPr>
          <w:spacing w:val="-2"/>
        </w:rPr>
        <w:t xml:space="preserve"> </w:t>
      </w:r>
      <w:r>
        <w:t>standards</w:t>
      </w:r>
      <w:r>
        <w:rPr>
          <w:spacing w:val="-3"/>
        </w:rPr>
        <w:t xml:space="preserve"> </w:t>
      </w:r>
      <w:r>
        <w:t>in</w:t>
      </w:r>
      <w:r>
        <w:rPr>
          <w:spacing w:val="-3"/>
        </w:rPr>
        <w:t xml:space="preserve"> </w:t>
      </w:r>
      <w:r>
        <w:t>HTA</w:t>
      </w:r>
      <w:r>
        <w:rPr>
          <w:spacing w:val="-3"/>
        </w:rPr>
        <w:t xml:space="preserve"> </w:t>
      </w:r>
      <w:r>
        <w:t>to</w:t>
      </w:r>
      <w:r>
        <w:rPr>
          <w:spacing w:val="-3"/>
        </w:rPr>
        <w:t xml:space="preserve"> </w:t>
      </w:r>
      <w:r>
        <w:t>be</w:t>
      </w:r>
      <w:r>
        <w:rPr>
          <w:spacing w:val="-2"/>
        </w:rPr>
        <w:t xml:space="preserve"> </w:t>
      </w:r>
      <w:r>
        <w:t>maintained.</w:t>
      </w:r>
      <w:r>
        <w:rPr>
          <w:spacing w:val="-2"/>
        </w:rPr>
        <w:t xml:space="preserve"> </w:t>
      </w:r>
      <w:r>
        <w:t>The</w:t>
      </w:r>
      <w:r>
        <w:rPr>
          <w:spacing w:val="-5"/>
        </w:rPr>
        <w:t xml:space="preserve"> </w:t>
      </w:r>
      <w:r>
        <w:t>MSAC</w:t>
      </w:r>
      <w:r>
        <w:rPr>
          <w:spacing w:val="-3"/>
        </w:rPr>
        <w:t xml:space="preserve"> </w:t>
      </w:r>
      <w:r>
        <w:t>considers</w:t>
      </w:r>
      <w:r>
        <w:rPr>
          <w:spacing w:val="-3"/>
        </w:rPr>
        <w:t xml:space="preserve"> </w:t>
      </w:r>
      <w:r>
        <w:t>that</w:t>
      </w:r>
      <w:r>
        <w:rPr>
          <w:spacing w:val="-3"/>
        </w:rPr>
        <w:t xml:space="preserve"> </w:t>
      </w:r>
      <w:r>
        <w:t xml:space="preserve">strong evidentiary standards that are consistent with international practice play a crucial role in the </w:t>
      </w:r>
      <w:proofErr w:type="spellStart"/>
      <w:r>
        <w:t>rigour</w:t>
      </w:r>
      <w:proofErr w:type="spellEnd"/>
      <w:r>
        <w:t xml:space="preserve"> of Australia’s HTA system, which is a key factor in its overall success. HTA advisory committees and decision-makers can only be as confident in the</w:t>
      </w:r>
      <w:r>
        <w:rPr>
          <w:spacing w:val="-1"/>
        </w:rPr>
        <w:t xml:space="preserve"> </w:t>
      </w:r>
      <w:r>
        <w:t>safety, effectiveness and cost- effectiveness of health technologies, as the evidence allows.</w:t>
      </w:r>
    </w:p>
    <w:p w14:paraId="0515449D" w14:textId="77777777" w:rsidR="0087739C" w:rsidRDefault="0087739C">
      <w:pPr>
        <w:pStyle w:val="BodyText"/>
        <w:ind w:left="0"/>
      </w:pPr>
    </w:p>
    <w:p w14:paraId="1BF5E84B" w14:textId="77777777" w:rsidR="0087739C" w:rsidRDefault="00D87D9A">
      <w:pPr>
        <w:pStyle w:val="BodyText"/>
        <w:ind w:right="156"/>
      </w:pPr>
      <w:r>
        <w:t xml:space="preserve">The MSAC </w:t>
      </w:r>
      <w:proofErr w:type="spellStart"/>
      <w:r>
        <w:t>recognises</w:t>
      </w:r>
      <w:proofErr w:type="spellEnd"/>
      <w:r>
        <w:t xml:space="preserve"> that it is not always possible for the most robust types of studies, such as</w:t>
      </w:r>
      <w:r>
        <w:rPr>
          <w:spacing w:val="-3"/>
        </w:rPr>
        <w:t xml:space="preserve"> </w:t>
      </w:r>
      <w:r>
        <w:t>randomised</w:t>
      </w:r>
      <w:r>
        <w:rPr>
          <w:spacing w:val="-3"/>
        </w:rPr>
        <w:t xml:space="preserve"> </w:t>
      </w:r>
      <w:r>
        <w:t>controlled</w:t>
      </w:r>
      <w:r>
        <w:rPr>
          <w:spacing w:val="-1"/>
        </w:rPr>
        <w:t xml:space="preserve"> </w:t>
      </w:r>
      <w:r>
        <w:t>trials,</w:t>
      </w:r>
      <w:r>
        <w:rPr>
          <w:spacing w:val="-1"/>
        </w:rPr>
        <w:t xml:space="preserve"> </w:t>
      </w:r>
      <w:r>
        <w:t>to</w:t>
      </w:r>
      <w:r>
        <w:rPr>
          <w:spacing w:val="-3"/>
        </w:rPr>
        <w:t xml:space="preserve"> </w:t>
      </w:r>
      <w:r>
        <w:t>be</w:t>
      </w:r>
      <w:r>
        <w:rPr>
          <w:spacing w:val="-4"/>
        </w:rPr>
        <w:t xml:space="preserve"> </w:t>
      </w:r>
      <w:r>
        <w:t>conducted</w:t>
      </w:r>
      <w:r>
        <w:rPr>
          <w:spacing w:val="-3"/>
        </w:rPr>
        <w:t xml:space="preserve"> </w:t>
      </w:r>
      <w:r>
        <w:t>for</w:t>
      </w:r>
      <w:r>
        <w:rPr>
          <w:spacing w:val="-3"/>
        </w:rPr>
        <w:t xml:space="preserve"> </w:t>
      </w:r>
      <w:r>
        <w:t>certain</w:t>
      </w:r>
      <w:r>
        <w:rPr>
          <w:spacing w:val="-3"/>
        </w:rPr>
        <w:t xml:space="preserve"> </w:t>
      </w:r>
      <w:r>
        <w:t>health</w:t>
      </w:r>
      <w:r>
        <w:rPr>
          <w:spacing w:val="-2"/>
        </w:rPr>
        <w:t xml:space="preserve"> </w:t>
      </w:r>
      <w:r>
        <w:t>technologies.</w:t>
      </w:r>
      <w:r>
        <w:rPr>
          <w:spacing w:val="-3"/>
        </w:rPr>
        <w:t xml:space="preserve"> </w:t>
      </w:r>
      <w:r>
        <w:t>As</w:t>
      </w:r>
      <w:r>
        <w:rPr>
          <w:spacing w:val="-3"/>
        </w:rPr>
        <w:t xml:space="preserve"> </w:t>
      </w:r>
      <w:r>
        <w:t>is</w:t>
      </w:r>
      <w:r>
        <w:rPr>
          <w:spacing w:val="-3"/>
        </w:rPr>
        <w:t xml:space="preserve"> </w:t>
      </w:r>
      <w:r>
        <w:t>set</w:t>
      </w:r>
      <w:r>
        <w:rPr>
          <w:spacing w:val="-3"/>
        </w:rPr>
        <w:t xml:space="preserve"> </w:t>
      </w:r>
      <w:r>
        <w:t>out</w:t>
      </w:r>
      <w:r>
        <w:rPr>
          <w:spacing w:val="-3"/>
        </w:rPr>
        <w:t xml:space="preserve"> </w:t>
      </w:r>
      <w:r>
        <w:t>in</w:t>
      </w:r>
    </w:p>
    <w:p w14:paraId="43DD53FF" w14:textId="77777777" w:rsidR="0087739C" w:rsidRDefault="0087739C">
      <w:pPr>
        <w:sectPr w:rsidR="0087739C">
          <w:pgSz w:w="11910" w:h="16840"/>
          <w:pgMar w:top="1600" w:right="1260" w:bottom="880" w:left="1260" w:header="0" w:footer="682" w:gutter="0"/>
          <w:cols w:space="720"/>
        </w:sectPr>
      </w:pPr>
    </w:p>
    <w:p w14:paraId="1CEC33CF" w14:textId="77777777" w:rsidR="0087739C" w:rsidRDefault="00D87D9A">
      <w:pPr>
        <w:pStyle w:val="BodyText"/>
        <w:spacing w:before="61"/>
        <w:ind w:right="140"/>
      </w:pPr>
      <w:r>
        <w:t>its current guidelines, the MSAC accepts other study designs where randomised controlled trials are not available or sufficient, as well as evidence informed by consumer engagement. The</w:t>
      </w:r>
      <w:r>
        <w:rPr>
          <w:spacing w:val="-5"/>
        </w:rPr>
        <w:t xml:space="preserve"> </w:t>
      </w:r>
      <w:r>
        <w:t>MSAC</w:t>
      </w:r>
      <w:r>
        <w:rPr>
          <w:spacing w:val="-3"/>
        </w:rPr>
        <w:t xml:space="preserve"> </w:t>
      </w:r>
      <w:r>
        <w:t>notes</w:t>
      </w:r>
      <w:r>
        <w:rPr>
          <w:spacing w:val="-3"/>
        </w:rPr>
        <w:t xml:space="preserve"> </w:t>
      </w:r>
      <w:r>
        <w:t>that</w:t>
      </w:r>
      <w:r>
        <w:rPr>
          <w:spacing w:val="-3"/>
        </w:rPr>
        <w:t xml:space="preserve"> </w:t>
      </w:r>
      <w:r>
        <w:t>the</w:t>
      </w:r>
      <w:r>
        <w:rPr>
          <w:spacing w:val="-3"/>
        </w:rPr>
        <w:t xml:space="preserve"> </w:t>
      </w:r>
      <w:r>
        <w:t>information</w:t>
      </w:r>
      <w:r>
        <w:rPr>
          <w:spacing w:val="-3"/>
        </w:rPr>
        <w:t xml:space="preserve"> </w:t>
      </w:r>
      <w:r>
        <w:t>it</w:t>
      </w:r>
      <w:r>
        <w:rPr>
          <w:spacing w:val="-3"/>
        </w:rPr>
        <w:t xml:space="preserve"> </w:t>
      </w:r>
      <w:r>
        <w:t>has</w:t>
      </w:r>
      <w:r>
        <w:rPr>
          <w:spacing w:val="-3"/>
        </w:rPr>
        <w:t xml:space="preserve"> </w:t>
      </w:r>
      <w:r>
        <w:t>received</w:t>
      </w:r>
      <w:r>
        <w:rPr>
          <w:spacing w:val="-3"/>
        </w:rPr>
        <w:t xml:space="preserve"> </w:t>
      </w:r>
      <w:r>
        <w:t>from</w:t>
      </w:r>
      <w:r>
        <w:rPr>
          <w:spacing w:val="-3"/>
        </w:rPr>
        <w:t xml:space="preserve"> </w:t>
      </w:r>
      <w:r>
        <w:t>the</w:t>
      </w:r>
      <w:r>
        <w:rPr>
          <w:spacing w:val="-3"/>
        </w:rPr>
        <w:t xml:space="preserve"> </w:t>
      </w:r>
      <w:r>
        <w:t>public</w:t>
      </w:r>
      <w:r>
        <w:rPr>
          <w:spacing w:val="-2"/>
        </w:rPr>
        <w:t xml:space="preserve"> </w:t>
      </w:r>
      <w:r>
        <w:t>has</w:t>
      </w:r>
      <w:r>
        <w:rPr>
          <w:spacing w:val="-1"/>
        </w:rPr>
        <w:t xml:space="preserve"> </w:t>
      </w:r>
      <w:r>
        <w:t>also</w:t>
      </w:r>
      <w:r>
        <w:rPr>
          <w:spacing w:val="-3"/>
        </w:rPr>
        <w:t xml:space="preserve"> </w:t>
      </w:r>
      <w:r>
        <w:t>been</w:t>
      </w:r>
      <w:r>
        <w:rPr>
          <w:spacing w:val="-3"/>
        </w:rPr>
        <w:t xml:space="preserve"> </w:t>
      </w:r>
      <w:r>
        <w:t>informative to its considerations of certain health technologies.</w:t>
      </w:r>
    </w:p>
    <w:p w14:paraId="2C8C3B55" w14:textId="77777777" w:rsidR="0087739C" w:rsidRDefault="0087739C">
      <w:pPr>
        <w:pStyle w:val="BodyText"/>
        <w:ind w:left="0"/>
      </w:pPr>
    </w:p>
    <w:p w14:paraId="1ACCE906" w14:textId="77777777" w:rsidR="0087739C" w:rsidRDefault="00D87D9A">
      <w:pPr>
        <w:pStyle w:val="BodyText"/>
        <w:ind w:right="117"/>
      </w:pPr>
      <w:r>
        <w:t>However, it is important that HTA advisory committees maintain their preference for the best possible</w:t>
      </w:r>
      <w:r>
        <w:rPr>
          <w:spacing w:val="-4"/>
        </w:rPr>
        <w:t xml:space="preserve"> </w:t>
      </w:r>
      <w:r>
        <w:t>study</w:t>
      </w:r>
      <w:r>
        <w:rPr>
          <w:spacing w:val="-3"/>
        </w:rPr>
        <w:t xml:space="preserve"> </w:t>
      </w:r>
      <w:r>
        <w:t>designs.</w:t>
      </w:r>
      <w:r>
        <w:rPr>
          <w:spacing w:val="-3"/>
        </w:rPr>
        <w:t xml:space="preserve"> </w:t>
      </w:r>
      <w:r>
        <w:t>The</w:t>
      </w:r>
      <w:r>
        <w:rPr>
          <w:spacing w:val="-5"/>
        </w:rPr>
        <w:t xml:space="preserve"> </w:t>
      </w:r>
      <w:r>
        <w:t>MSAC</w:t>
      </w:r>
      <w:r>
        <w:rPr>
          <w:spacing w:val="-3"/>
        </w:rPr>
        <w:t xml:space="preserve"> </w:t>
      </w:r>
      <w:r>
        <w:t>already</w:t>
      </w:r>
      <w:r>
        <w:rPr>
          <w:spacing w:val="-3"/>
        </w:rPr>
        <w:t xml:space="preserve"> </w:t>
      </w:r>
      <w:r>
        <w:t>sees</w:t>
      </w:r>
      <w:r>
        <w:rPr>
          <w:spacing w:val="-3"/>
        </w:rPr>
        <w:t xml:space="preserve"> </w:t>
      </w:r>
      <w:r>
        <w:t>applications</w:t>
      </w:r>
      <w:r>
        <w:rPr>
          <w:spacing w:val="-3"/>
        </w:rPr>
        <w:t xml:space="preserve"> </w:t>
      </w:r>
      <w:r>
        <w:t>where</w:t>
      </w:r>
      <w:r>
        <w:rPr>
          <w:spacing w:val="-5"/>
        </w:rPr>
        <w:t xml:space="preserve"> </w:t>
      </w:r>
      <w:r>
        <w:t>the</w:t>
      </w:r>
      <w:r>
        <w:rPr>
          <w:spacing w:val="-1"/>
        </w:rPr>
        <w:t xml:space="preserve"> </w:t>
      </w:r>
      <w:r>
        <w:t>level</w:t>
      </w:r>
      <w:r>
        <w:rPr>
          <w:spacing w:val="-2"/>
        </w:rPr>
        <w:t xml:space="preserve"> </w:t>
      </w:r>
      <w:r>
        <w:t>of</w:t>
      </w:r>
      <w:r>
        <w:rPr>
          <w:spacing w:val="-3"/>
        </w:rPr>
        <w:t xml:space="preserve"> </w:t>
      </w:r>
      <w:r>
        <w:t>evidence</w:t>
      </w:r>
      <w:r>
        <w:rPr>
          <w:spacing w:val="-4"/>
        </w:rPr>
        <w:t xml:space="preserve"> </w:t>
      </w:r>
      <w:r>
        <w:t>is</w:t>
      </w:r>
      <w:r>
        <w:rPr>
          <w:spacing w:val="-3"/>
        </w:rPr>
        <w:t xml:space="preserve"> </w:t>
      </w:r>
      <w:r>
        <w:t xml:space="preserve">too low to provide any confidence about how well health technologies might perform. It is important that standards are maintained so that sponsors are </w:t>
      </w:r>
      <w:proofErr w:type="spellStart"/>
      <w:r>
        <w:t>incentivised</w:t>
      </w:r>
      <w:proofErr w:type="spellEnd"/>
      <w:r>
        <w:t xml:space="preserve"> to undertake and present studies that allow HTA advisory committees and decision-makers to be confident that funding them will improve health outcomes for patients and the wellbeing of the community.</w:t>
      </w:r>
    </w:p>
    <w:p w14:paraId="4214470C" w14:textId="77777777" w:rsidR="0087739C" w:rsidRDefault="00D87D9A">
      <w:pPr>
        <w:pStyle w:val="Heading1"/>
        <w:spacing w:before="274"/>
      </w:pPr>
      <w:r>
        <w:t>Progressing</w:t>
      </w:r>
      <w:r>
        <w:rPr>
          <w:spacing w:val="-4"/>
        </w:rPr>
        <w:t xml:space="preserve"> </w:t>
      </w:r>
      <w:r>
        <w:rPr>
          <w:spacing w:val="-2"/>
        </w:rPr>
        <w:t>reforms</w:t>
      </w:r>
    </w:p>
    <w:p w14:paraId="1EF67639" w14:textId="77777777" w:rsidR="0087739C" w:rsidRDefault="00D87D9A">
      <w:pPr>
        <w:pStyle w:val="BodyText"/>
        <w:ind w:right="124"/>
      </w:pPr>
      <w:r>
        <w:t>The MSAC appreciates that progressing reforms from this Review will be a substantial undertaking, and that reforms will take a significant amount of time and effort to design, consult on and implement. The MSAC is strongly of the view that additional Departmental resourcing</w:t>
      </w:r>
      <w:r>
        <w:rPr>
          <w:spacing w:val="-3"/>
        </w:rPr>
        <w:t xml:space="preserve"> </w:t>
      </w:r>
      <w:r>
        <w:t>would</w:t>
      </w:r>
      <w:r>
        <w:rPr>
          <w:spacing w:val="-3"/>
        </w:rPr>
        <w:t xml:space="preserve"> </w:t>
      </w:r>
      <w:r>
        <w:t>be</w:t>
      </w:r>
      <w:r>
        <w:rPr>
          <w:spacing w:val="-4"/>
        </w:rPr>
        <w:t xml:space="preserve"> </w:t>
      </w:r>
      <w:r>
        <w:t>critical</w:t>
      </w:r>
      <w:r>
        <w:rPr>
          <w:spacing w:val="-3"/>
        </w:rPr>
        <w:t xml:space="preserve"> </w:t>
      </w:r>
      <w:r>
        <w:t>to</w:t>
      </w:r>
      <w:r>
        <w:rPr>
          <w:spacing w:val="-3"/>
        </w:rPr>
        <w:t xml:space="preserve"> </w:t>
      </w:r>
      <w:r>
        <w:t>complete</w:t>
      </w:r>
      <w:r>
        <w:rPr>
          <w:spacing w:val="-3"/>
        </w:rPr>
        <w:t xml:space="preserve"> </w:t>
      </w:r>
      <w:r>
        <w:t>this</w:t>
      </w:r>
      <w:r>
        <w:rPr>
          <w:spacing w:val="-3"/>
        </w:rPr>
        <w:t xml:space="preserve"> </w:t>
      </w:r>
      <w:r>
        <w:t>work</w:t>
      </w:r>
      <w:r>
        <w:rPr>
          <w:spacing w:val="-2"/>
        </w:rPr>
        <w:t xml:space="preserve"> </w:t>
      </w:r>
      <w:r>
        <w:t>effectively</w:t>
      </w:r>
      <w:r>
        <w:rPr>
          <w:spacing w:val="-3"/>
        </w:rPr>
        <w:t xml:space="preserve"> </w:t>
      </w:r>
      <w:r>
        <w:t>noting</w:t>
      </w:r>
      <w:r>
        <w:rPr>
          <w:spacing w:val="-3"/>
        </w:rPr>
        <w:t xml:space="preserve"> </w:t>
      </w:r>
      <w:r>
        <w:t>that</w:t>
      </w:r>
      <w:r>
        <w:rPr>
          <w:spacing w:val="-3"/>
        </w:rPr>
        <w:t xml:space="preserve"> </w:t>
      </w:r>
      <w:r>
        <w:t>existing</w:t>
      </w:r>
      <w:r>
        <w:rPr>
          <w:spacing w:val="-3"/>
        </w:rPr>
        <w:t xml:space="preserve"> </w:t>
      </w:r>
      <w:r>
        <w:t>resources</w:t>
      </w:r>
      <w:r>
        <w:rPr>
          <w:spacing w:val="-3"/>
        </w:rPr>
        <w:t xml:space="preserve"> </w:t>
      </w:r>
      <w:r>
        <w:t>are already stretched by the existing HTA workload.</w:t>
      </w:r>
    </w:p>
    <w:p w14:paraId="70221A88" w14:textId="77777777" w:rsidR="0087739C" w:rsidRDefault="0087739C">
      <w:pPr>
        <w:pStyle w:val="BodyText"/>
        <w:ind w:left="0"/>
      </w:pPr>
    </w:p>
    <w:p w14:paraId="6760CB97" w14:textId="77777777" w:rsidR="0087739C" w:rsidRDefault="00D87D9A">
      <w:pPr>
        <w:pStyle w:val="BodyText"/>
      </w:pPr>
      <w:r>
        <w:t xml:space="preserve">The MSAC appreciates the HTA Policy and Methods Review as part of the Government’s reform agenda to help ensure new medicines and technologies are approved and </w:t>
      </w:r>
      <w:proofErr w:type="spellStart"/>
      <w:r>
        <w:t>subsidised</w:t>
      </w:r>
      <w:proofErr w:type="spellEnd"/>
      <w:r>
        <w:t xml:space="preserve"> safely</w:t>
      </w:r>
      <w:r>
        <w:rPr>
          <w:spacing w:val="-3"/>
        </w:rPr>
        <w:t xml:space="preserve"> </w:t>
      </w:r>
      <w:r>
        <w:t>and</w:t>
      </w:r>
      <w:r>
        <w:rPr>
          <w:spacing w:val="-2"/>
        </w:rPr>
        <w:t xml:space="preserve"> </w:t>
      </w:r>
      <w:r>
        <w:t>effectively.</w:t>
      </w:r>
      <w:r>
        <w:rPr>
          <w:spacing w:val="-2"/>
        </w:rPr>
        <w:t xml:space="preserve"> </w:t>
      </w:r>
      <w:r>
        <w:t>The</w:t>
      </w:r>
      <w:r>
        <w:rPr>
          <w:spacing w:val="-4"/>
        </w:rPr>
        <w:t xml:space="preserve"> </w:t>
      </w:r>
      <w:r>
        <w:t>MSAC</w:t>
      </w:r>
      <w:r>
        <w:rPr>
          <w:spacing w:val="-3"/>
        </w:rPr>
        <w:t xml:space="preserve"> </w:t>
      </w:r>
      <w:r>
        <w:t>would</w:t>
      </w:r>
      <w:r>
        <w:rPr>
          <w:spacing w:val="-3"/>
        </w:rPr>
        <w:t xml:space="preserve"> </w:t>
      </w:r>
      <w:r>
        <w:t>like</w:t>
      </w:r>
      <w:r>
        <w:rPr>
          <w:spacing w:val="-3"/>
        </w:rPr>
        <w:t xml:space="preserve"> </w:t>
      </w:r>
      <w:r>
        <w:t>to</w:t>
      </w:r>
      <w:r>
        <w:rPr>
          <w:spacing w:val="-3"/>
        </w:rPr>
        <w:t xml:space="preserve"> </w:t>
      </w:r>
      <w:r>
        <w:t>thank</w:t>
      </w:r>
      <w:r>
        <w:rPr>
          <w:spacing w:val="-3"/>
        </w:rPr>
        <w:t xml:space="preserve"> </w:t>
      </w:r>
      <w:r>
        <w:t>you</w:t>
      </w:r>
      <w:r>
        <w:rPr>
          <w:spacing w:val="-3"/>
        </w:rPr>
        <w:t xml:space="preserve"> </w:t>
      </w:r>
      <w:r>
        <w:t>again</w:t>
      </w:r>
      <w:r>
        <w:rPr>
          <w:spacing w:val="-3"/>
        </w:rPr>
        <w:t xml:space="preserve"> </w:t>
      </w:r>
      <w:r>
        <w:t>for</w:t>
      </w:r>
      <w:r>
        <w:rPr>
          <w:spacing w:val="-3"/>
        </w:rPr>
        <w:t xml:space="preserve"> </w:t>
      </w:r>
      <w:r>
        <w:t>this</w:t>
      </w:r>
      <w:r>
        <w:rPr>
          <w:spacing w:val="-3"/>
        </w:rPr>
        <w:t xml:space="preserve"> </w:t>
      </w:r>
      <w:r>
        <w:t>early</w:t>
      </w:r>
      <w:r>
        <w:rPr>
          <w:spacing w:val="-3"/>
        </w:rPr>
        <w:t xml:space="preserve"> </w:t>
      </w:r>
      <w:r>
        <w:t>opportunity</w:t>
      </w:r>
      <w:r>
        <w:rPr>
          <w:spacing w:val="-3"/>
        </w:rPr>
        <w:t xml:space="preserve"> </w:t>
      </w:r>
      <w:r>
        <w:t>to provide feedback on the report. The MSAC hopes this will assist you and the Australian</w:t>
      </w:r>
    </w:p>
    <w:p w14:paraId="076F472F" w14:textId="77777777" w:rsidR="0087739C" w:rsidRDefault="00D87D9A">
      <w:pPr>
        <w:pStyle w:val="BodyText"/>
        <w:spacing w:before="1"/>
      </w:pPr>
      <w:r>
        <w:t>Government</w:t>
      </w:r>
      <w:r>
        <w:rPr>
          <w:spacing w:val="-2"/>
        </w:rPr>
        <w:t xml:space="preserve"> </w:t>
      </w:r>
      <w:r>
        <w:t>to</w:t>
      </w:r>
      <w:r>
        <w:rPr>
          <w:spacing w:val="-2"/>
        </w:rPr>
        <w:t xml:space="preserve"> </w:t>
      </w:r>
      <w:r>
        <w:t>respond</w:t>
      </w:r>
      <w:r>
        <w:rPr>
          <w:spacing w:val="-2"/>
        </w:rPr>
        <w:t xml:space="preserve"> </w:t>
      </w:r>
      <w:r>
        <w:t>to</w:t>
      </w:r>
      <w:r>
        <w:rPr>
          <w:spacing w:val="-1"/>
        </w:rPr>
        <w:t xml:space="preserve"> </w:t>
      </w:r>
      <w:r>
        <w:t>the</w:t>
      </w:r>
      <w:r>
        <w:rPr>
          <w:spacing w:val="-2"/>
        </w:rPr>
        <w:t xml:space="preserve"> </w:t>
      </w:r>
      <w:r>
        <w:t>Review’s</w:t>
      </w:r>
      <w:r>
        <w:rPr>
          <w:spacing w:val="-2"/>
        </w:rPr>
        <w:t xml:space="preserve"> recommendations.</w:t>
      </w:r>
    </w:p>
    <w:p w14:paraId="530A9C0E" w14:textId="77777777" w:rsidR="0087739C" w:rsidRDefault="00D87D9A" w:rsidP="00DC7803">
      <w:pPr>
        <w:pStyle w:val="BodyText"/>
        <w:spacing w:before="276" w:after="240"/>
        <w:ind w:left="102"/>
      </w:pPr>
      <w:r>
        <w:t>Yours</w:t>
      </w:r>
      <w:r>
        <w:rPr>
          <w:spacing w:val="-2"/>
        </w:rPr>
        <w:t xml:space="preserve"> sincerely</w:t>
      </w:r>
    </w:p>
    <w:p w14:paraId="5911B7F3" w14:textId="77777777" w:rsidR="0087739C" w:rsidRDefault="00D87D9A" w:rsidP="00DC7803">
      <w:pPr>
        <w:pStyle w:val="BodyText"/>
        <w:spacing w:before="2"/>
        <w:ind w:left="142"/>
        <w:rPr>
          <w:sz w:val="15"/>
        </w:rPr>
      </w:pPr>
      <w:r>
        <w:rPr>
          <w:noProof/>
        </w:rPr>
        <w:drawing>
          <wp:inline distT="0" distB="0" distL="0" distR="0" wp14:anchorId="3E9621F4" wp14:editId="5689B6E3">
            <wp:extent cx="1006213" cy="637032"/>
            <wp:effectExtent l="0" t="0" r="3810" b="0"/>
            <wp:docPr id="2" name="Image 2" descr="Close-up of a signature by Professor J Crai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lose-up of a signature by Professor J Crai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6213" cy="637032"/>
                    </a:xfrm>
                    <a:prstGeom prst="rect">
                      <a:avLst/>
                    </a:prstGeom>
                  </pic:spPr>
                </pic:pic>
              </a:graphicData>
            </a:graphic>
          </wp:inline>
        </w:drawing>
      </w:r>
    </w:p>
    <w:p w14:paraId="17CAD094" w14:textId="77777777" w:rsidR="0087739C" w:rsidRDefault="00D87D9A">
      <w:pPr>
        <w:pStyle w:val="BodyText"/>
        <w:spacing w:before="262"/>
        <w:ind w:right="6716"/>
      </w:pPr>
      <w:r>
        <w:t>Professor</w:t>
      </w:r>
      <w:r>
        <w:rPr>
          <w:spacing w:val="-15"/>
        </w:rPr>
        <w:t xml:space="preserve"> </w:t>
      </w:r>
      <w:r>
        <w:t>Jonathan</w:t>
      </w:r>
      <w:r>
        <w:rPr>
          <w:spacing w:val="-15"/>
        </w:rPr>
        <w:t xml:space="preserve"> </w:t>
      </w:r>
      <w:r>
        <w:t xml:space="preserve">Craig </w:t>
      </w:r>
      <w:r>
        <w:rPr>
          <w:spacing w:val="-4"/>
        </w:rPr>
        <w:t>Chair</w:t>
      </w:r>
    </w:p>
    <w:p w14:paraId="5AB07570" w14:textId="77777777" w:rsidR="0087739C" w:rsidRDefault="00D87D9A">
      <w:pPr>
        <w:pStyle w:val="BodyText"/>
        <w:ind w:left="221" w:right="4832" w:hanging="120"/>
      </w:pPr>
      <w:r>
        <w:t>Medical</w:t>
      </w:r>
      <w:r>
        <w:rPr>
          <w:spacing w:val="-12"/>
        </w:rPr>
        <w:t xml:space="preserve"> </w:t>
      </w:r>
      <w:r>
        <w:t>Services</w:t>
      </w:r>
      <w:r>
        <w:rPr>
          <w:spacing w:val="-12"/>
        </w:rPr>
        <w:t xml:space="preserve"> </w:t>
      </w:r>
      <w:r>
        <w:t>Advisory</w:t>
      </w:r>
      <w:r>
        <w:rPr>
          <w:spacing w:val="-12"/>
        </w:rPr>
        <w:t xml:space="preserve"> </w:t>
      </w:r>
      <w:r>
        <w:t>Committee October 2024</w:t>
      </w:r>
    </w:p>
    <w:sectPr w:rsidR="0087739C">
      <w:pgSz w:w="11910" w:h="16840"/>
      <w:pgMar w:top="1600" w:right="1260" w:bottom="880" w:left="1260" w:header="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13377" w14:textId="77777777" w:rsidR="00BE1F88" w:rsidRDefault="00BE1F88">
      <w:r>
        <w:separator/>
      </w:r>
    </w:p>
  </w:endnote>
  <w:endnote w:type="continuationSeparator" w:id="0">
    <w:p w14:paraId="6FFE7EA5" w14:textId="77777777" w:rsidR="00BE1F88" w:rsidRDefault="00BE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5D204" w14:textId="77777777" w:rsidR="0087739C" w:rsidRDefault="00D87D9A">
    <w:pPr>
      <w:pStyle w:val="BodyText"/>
      <w:spacing w:line="14" w:lineRule="auto"/>
      <w:ind w:left="0"/>
      <w:rPr>
        <w:sz w:val="20"/>
      </w:rPr>
    </w:pPr>
    <w:r>
      <w:rPr>
        <w:noProof/>
      </w:rPr>
      <mc:AlternateContent>
        <mc:Choice Requires="wps">
          <w:drawing>
            <wp:anchor distT="0" distB="0" distL="0" distR="0" simplePos="0" relativeHeight="487534080" behindDoc="1" locked="0" layoutInCell="1" allowOverlap="1" wp14:anchorId="2B08829D" wp14:editId="008782AD">
              <wp:simplePos x="0" y="0"/>
              <wp:positionH relativeFrom="page">
                <wp:posOffset>3703954</wp:posOffset>
              </wp:positionH>
              <wp:positionV relativeFrom="page">
                <wp:posOffset>10119901</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9ACDED1" w14:textId="77777777" w:rsidR="0087739C" w:rsidRDefault="00D87D9A">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B08829D" id="_x0000_t202" coordsize="21600,21600" o:spt="202" path="m,l,21600r21600,l21600,xe">
              <v:stroke joinstyle="miter"/>
              <v:path gradientshapeok="t" o:connecttype="rect"/>
            </v:shapetype>
            <v:shape id="Textbox 1" o:spid="_x0000_s1026" type="#_x0000_t202" style="position:absolute;margin-left:291.65pt;margin-top:796.85pt;width:13pt;height:15.3pt;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" filled="f" stroked="f">
              <v:textbox inset="0,0,0,0">
                <w:txbxContent>
                  <w:p w14:paraId="69ACDED1" w14:textId="77777777" w:rsidR="0087739C" w:rsidRDefault="00D87D9A">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E3AB1" w14:textId="77777777" w:rsidR="00BE1F88" w:rsidRDefault="00BE1F88">
      <w:r>
        <w:separator/>
      </w:r>
    </w:p>
  </w:footnote>
  <w:footnote w:type="continuationSeparator" w:id="0">
    <w:p w14:paraId="36A56290" w14:textId="77777777" w:rsidR="00BE1F88" w:rsidRDefault="00BE1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739C"/>
    <w:rsid w:val="00060A6D"/>
    <w:rsid w:val="00261253"/>
    <w:rsid w:val="006B1B4C"/>
    <w:rsid w:val="007B4418"/>
    <w:rsid w:val="0087739C"/>
    <w:rsid w:val="00BE1F88"/>
    <w:rsid w:val="00D87D9A"/>
    <w:rsid w:val="00DC7803"/>
    <w:rsid w:val="00E35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B4DF"/>
  <w15:docId w15:val="{399F85F7-307C-4453-A73C-5099BF95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sz w:val="24"/>
      <w:szCs w:val="24"/>
    </w:rPr>
  </w:style>
  <w:style w:type="paragraph" w:styleId="Title">
    <w:name w:val="Title"/>
    <w:basedOn w:val="Normal"/>
    <w:uiPriority w:val="10"/>
    <w:qFormat/>
    <w:pPr>
      <w:spacing w:before="131"/>
      <w:ind w:right="2"/>
      <w:jc w:val="center"/>
    </w:pPr>
    <w:rPr>
      <w:rFonts w:ascii="Calibri" w:eastAsia="Calibri" w:hAnsi="Calibri" w:cs="Calibri"/>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sac.gov.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ac.secretariat@health.gov.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1815</Words>
  <Characters>10386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MSAC chair's letter to the Minister regarding the HTA Review</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chair's letter to the Minister regarding the HTA Review</dc:title>
  <dc:subject>Health Technology Assessment Policy and Methods Review</dc:subject>
  <dc:creator>Australian Government Department of Health and Aged Care</dc:creator>
  <cp:keywords>health technologies and digital health</cp:keywords>
  <cp:revision>4</cp:revision>
  <dcterms:created xsi:type="dcterms:W3CDTF">2024-11-15T01:00:00Z</dcterms:created>
  <dcterms:modified xsi:type="dcterms:W3CDTF">2024-12-02T06:08:00Z</dcterms:modified>
</cp:coreProperties>
</file>