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129EA9" w14:textId="69F786A5" w:rsidR="00632C4A" w:rsidRPr="00E36891" w:rsidRDefault="00632C4A">
      <w:pPr>
        <w:pStyle w:val="Covertitle"/>
        <w:rPr>
          <w:rFonts w:cs="Segoe UI"/>
          <w:b/>
          <w:color w:val="FFFFFF" w:themeColor="background1"/>
          <w:sz w:val="64"/>
          <w:szCs w:val="64"/>
        </w:rPr>
      </w:pPr>
      <w:r>
        <w:rPr>
          <w:noProof/>
        </w:rPr>
        <w:drawing>
          <wp:anchor distT="0" distB="0" distL="114300" distR="114300" simplePos="0" relativeHeight="251658242" behindDoc="1" locked="0" layoutInCell="1" allowOverlap="1" wp14:anchorId="4BC1F115" wp14:editId="2B254935">
            <wp:simplePos x="0" y="0"/>
            <wp:positionH relativeFrom="page">
              <wp:align>center</wp:align>
            </wp:positionH>
            <wp:positionV relativeFrom="page">
              <wp:align>center</wp:align>
            </wp:positionV>
            <wp:extent cx="7559998" cy="10693741"/>
            <wp:effectExtent l="0" t="0" r="3175" b="0"/>
            <wp:wrapNone/>
            <wp:docPr id="50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93733391"/>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222643972"/>
              <w:dataBinding w:prefixMappings="xmlns:ns0='http://purl.org/dc/elements/1.1/' xmlns:ns1='http://schemas.openxmlformats.org/package/2006/metadata/core-properties' " w:xpath="/ns1:coreProperties[1]/ns0:title[1]" w:storeItemID="{6C3C8BC8-F283-45AE-878A-BAB7291924A1}"/>
              <w:text/>
            </w:sdtPr>
            <w:sdtEndPr/>
            <w:sdtContent>
              <w:r w:rsidR="00334048">
                <w:rPr>
                  <w:rFonts w:cs="Segoe UI"/>
                  <w:b/>
                  <w:color w:val="FFFFFF" w:themeColor="background1"/>
                  <w:sz w:val="64"/>
                  <w:szCs w:val="64"/>
                </w:rPr>
                <w:t>Interim Evaluation #1 of the Prescribed List Reforms</w:t>
              </w:r>
            </w:sdtContent>
          </w:sdt>
        </w:sdtContent>
      </w:sdt>
    </w:p>
    <w:p w14:paraId="655D6E97" w14:textId="0CC83FBB" w:rsidR="00632C4A" w:rsidRPr="00F75386" w:rsidRDefault="00D40D8C">
      <w:pPr>
        <w:pStyle w:val="CoverPage-Client"/>
        <w:spacing w:before="360"/>
        <w:rPr>
          <w:rFonts w:cs="Segoe UI"/>
          <w:color w:val="F8981D" w:themeColor="accent3"/>
        </w:rPr>
      </w:pPr>
      <w:sdt>
        <w:sdtPr>
          <w:rPr>
            <w:rStyle w:val="CoverPage-ClientChar"/>
            <w:rFonts w:cs="Segoe UI"/>
            <w:color w:val="F8981D" w:themeColor="accent3"/>
          </w:rPr>
          <w:alias w:val="Subject"/>
          <w:tag w:val=""/>
          <w:id w:val="512031033"/>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13104A">
            <w:rPr>
              <w:rStyle w:val="CoverPage-ClientChar"/>
              <w:rFonts w:cs="Segoe UI"/>
              <w:color w:val="F8981D" w:themeColor="accent3"/>
            </w:rPr>
            <w:t>D</w:t>
          </w:r>
          <w:r w:rsidR="007B7B65">
            <w:rPr>
              <w:rStyle w:val="CoverPage-ClientChar"/>
              <w:rFonts w:cs="Segoe UI"/>
              <w:color w:val="F8981D" w:themeColor="accent3"/>
            </w:rPr>
            <w:t>epartment</w:t>
          </w:r>
          <w:r w:rsidR="00632C4A">
            <w:rPr>
              <w:rStyle w:val="CoverPage-ClientChar"/>
              <w:rFonts w:cs="Segoe UI"/>
              <w:color w:val="F8981D" w:themeColor="accent3"/>
            </w:rPr>
            <w:t xml:space="preserve"> of Health and Aged Care</w:t>
          </w:r>
        </w:sdtContent>
      </w:sdt>
    </w:p>
    <w:p w14:paraId="63443C16" w14:textId="145E89F7" w:rsidR="00632C4A" w:rsidRPr="00A321A1" w:rsidRDefault="00D40D8C" w:rsidP="00A321A1">
      <w:pPr>
        <w:pStyle w:val="CoverPage-Date"/>
        <w:spacing w:before="240"/>
        <w:rPr>
          <w:color w:val="FFFFFF" w:themeColor="background1"/>
        </w:rPr>
        <w:sectPr w:rsidR="00632C4A" w:rsidRPr="00A321A1" w:rsidSect="00C048FF">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color w:val="FFFFFF" w:themeColor="background1"/>
            <w:sz w:val="20"/>
            <w:szCs w:val="20"/>
          </w:rPr>
          <w:alias w:val="Publish Date"/>
          <w:tag w:val=""/>
          <w:id w:val="-2124446311"/>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EndPr>
          <w:rPr>
            <w:rStyle w:val="DefaultParagraphFont"/>
            <w:rFonts w:cs="Times New Roman"/>
            <w:sz w:val="24"/>
            <w:szCs w:val="19"/>
          </w:rPr>
        </w:sdtEndPr>
        <w:sdtContent>
          <w:r w:rsidR="00D92BFE">
            <w:rPr>
              <w:rStyle w:val="CoverPage-DateChar"/>
              <w:rFonts w:cs="Segoe UI"/>
              <w:color w:val="FFFFFF" w:themeColor="background1"/>
              <w:sz w:val="20"/>
              <w:szCs w:val="20"/>
            </w:rPr>
            <w:t>2</w:t>
          </w:r>
          <w:r w:rsidR="000F60D4">
            <w:rPr>
              <w:rStyle w:val="CoverPage-DateChar"/>
              <w:rFonts w:cs="Segoe UI"/>
              <w:color w:val="FFFFFF" w:themeColor="background1"/>
              <w:sz w:val="20"/>
              <w:szCs w:val="20"/>
            </w:rPr>
            <w:t xml:space="preserve"> </w:t>
          </w:r>
          <w:r w:rsidR="00790F4C">
            <w:rPr>
              <w:rStyle w:val="CoverPage-DateChar"/>
              <w:rFonts w:cs="Segoe UI"/>
              <w:color w:val="FFFFFF" w:themeColor="background1"/>
              <w:sz w:val="20"/>
              <w:szCs w:val="20"/>
            </w:rPr>
            <w:t>November</w:t>
          </w:r>
          <w:r w:rsidR="000F60D4">
            <w:rPr>
              <w:rStyle w:val="CoverPage-DateChar"/>
              <w:rFonts w:cs="Segoe UI"/>
              <w:color w:val="FFFFFF" w:themeColor="background1"/>
              <w:sz w:val="20"/>
              <w:szCs w:val="20"/>
            </w:rPr>
            <w:t xml:space="preserve"> 2024</w:t>
          </w:r>
        </w:sdtContent>
      </w:sdt>
    </w:p>
    <w:p w14:paraId="77A2047E" w14:textId="2CFB6E8A" w:rsidR="00C76C1E" w:rsidRPr="000E4068" w:rsidRDefault="00C76C1E" w:rsidP="000E4068">
      <w:r w:rsidRPr="000E4068">
        <w:rPr>
          <w:noProof/>
        </w:rPr>
        <w:lastRenderedPageBreak/>
        <w:drawing>
          <wp:anchor distT="0" distB="0" distL="114300" distR="114300" simplePos="0" relativeHeight="251658240" behindDoc="1" locked="0" layoutInCell="1" allowOverlap="1" wp14:anchorId="13D3E495" wp14:editId="50764F7E">
            <wp:simplePos x="0" y="0"/>
            <wp:positionH relativeFrom="page">
              <wp:align>center</wp:align>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Pr="000E4068">
        <w:t>Nous Group 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646F98FC" w14:textId="77777777" w:rsidR="000E4068" w:rsidRDefault="00C76C1E" w:rsidP="000E4068">
      <w:pPr>
        <w:pBdr>
          <w:bottom w:val="single" w:sz="12" w:space="1" w:color="auto"/>
        </w:pBdr>
        <w:spacing w:before="480"/>
        <w:ind w:right="2267"/>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355F4BB6" w14:textId="7B61726C" w:rsidR="00C76C1E" w:rsidRPr="006C6932" w:rsidRDefault="00C76C1E" w:rsidP="000E4068">
      <w:pPr>
        <w:pBdr>
          <w:bottom w:val="single" w:sz="12" w:space="1" w:color="auto"/>
        </w:pBdr>
        <w:spacing w:before="480"/>
        <w:ind w:right="2267"/>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23E84CE7" w14:textId="165A64A1" w:rsidR="00C76C1E" w:rsidRPr="00130FFF" w:rsidRDefault="00C76C1E" w:rsidP="00C76C1E">
      <w:pPr>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632C4A">
        <w:rPr>
          <w:i/>
          <w:sz w:val="16"/>
          <w:szCs w:val="16"/>
        </w:rPr>
        <w:t xml:space="preserve">the </w:t>
      </w:r>
      <w:r w:rsidR="00C0725E">
        <w:rPr>
          <w:i/>
          <w:sz w:val="16"/>
          <w:szCs w:val="16"/>
        </w:rPr>
        <w:t>Department</w:t>
      </w:r>
      <w:r w:rsidR="00632C4A">
        <w:rPr>
          <w:i/>
          <w:sz w:val="16"/>
          <w:szCs w:val="16"/>
        </w:rPr>
        <w:t xml:space="preserve"> of Health and Aged Care</w:t>
      </w:r>
      <w:r w:rsidRPr="00130FFF">
        <w:rPr>
          <w:i/>
          <w:sz w:val="16"/>
          <w:szCs w:val="16"/>
        </w:rPr>
        <w:t xml:space="preserve"> (the </w:t>
      </w:r>
      <w:r w:rsidRPr="00130FFF">
        <w:rPr>
          <w:b/>
          <w:i/>
          <w:sz w:val="16"/>
          <w:szCs w:val="16"/>
        </w:rPr>
        <w:t>Client</w:t>
      </w:r>
      <w:r w:rsidRPr="00130FFF">
        <w:rPr>
          <w:i/>
          <w:sz w:val="16"/>
          <w:szCs w:val="16"/>
        </w:rPr>
        <w:t>).</w:t>
      </w:r>
    </w:p>
    <w:p w14:paraId="21DAEDD8" w14:textId="77777777" w:rsidR="00C76C1E" w:rsidRPr="000970F6" w:rsidRDefault="00C76C1E" w:rsidP="00C76C1E">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6E34C96" w14:textId="77777777" w:rsidR="00C76C1E" w:rsidRDefault="00C76C1E" w:rsidP="00C76C1E">
      <w:pPr>
        <w:rPr>
          <w:i/>
          <w:sz w:val="16"/>
          <w:szCs w:val="16"/>
        </w:rPr>
      </w:pPr>
      <w:r w:rsidRPr="00130FFF">
        <w:rPr>
          <w:noProof/>
          <w:sz w:val="16"/>
          <w:szCs w:val="16"/>
          <w:lang w:eastAsia="en-AU"/>
        </w:rPr>
        <mc:AlternateContent>
          <mc:Choice Requires="wps">
            <w:drawing>
              <wp:anchor distT="0" distB="0" distL="114300" distR="114300" simplePos="0" relativeHeight="251658241" behindDoc="0" locked="0" layoutInCell="0" allowOverlap="1" wp14:anchorId="4A932D33" wp14:editId="65D47B6C">
                <wp:simplePos x="0" y="0"/>
                <wp:positionH relativeFrom="margin">
                  <wp:align>left</wp:align>
                </wp:positionH>
                <wp:positionV relativeFrom="bottomMargin">
                  <wp:posOffset>-426361</wp:posOffset>
                </wp:positionV>
                <wp:extent cx="1720800" cy="313200"/>
                <wp:effectExtent l="0" t="0" r="0" b="0"/>
                <wp:wrapNone/>
                <wp:docPr id="805" name="Text Box 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A4D28"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32D33" id="_x0000_t202" coordsize="21600,21600" o:spt="202" path="m,l,21600r21600,l21600,xe">
                <v:stroke joinstyle="miter"/>
                <v:path gradientshapeok="t" o:connecttype="rect"/>
              </v:shapetype>
              <v:shape id="Text Box 805" o:spid="_x0000_s1026" type="#_x0000_t202" alt="&quot;&quot;" style="position:absolute;margin-left:0;margin-top:-33.5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41BA4D28"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Pr>
          <w:i/>
          <w:sz w:val="16"/>
          <w:szCs w:val="16"/>
        </w:rPr>
        <w:br w:type="page"/>
      </w:r>
    </w:p>
    <w:p w14:paraId="38FDFD85" w14:textId="77777777" w:rsidR="00FD4AB1" w:rsidRPr="00130FFF" w:rsidRDefault="00FD4AB1" w:rsidP="00C76C1E">
      <w:pPr>
        <w:ind w:right="-1"/>
        <w:rPr>
          <w:sz w:val="16"/>
          <w:szCs w:val="16"/>
          <w:lang w:val="en-AU"/>
        </w:rPr>
        <w:sectPr w:rsidR="00FD4AB1" w:rsidRPr="00130FFF" w:rsidSect="00C048FF">
          <w:headerReference w:type="even" r:id="rId17"/>
          <w:headerReference w:type="default" r:id="rId18"/>
          <w:footerReference w:type="default" r:id="rId19"/>
          <w:headerReference w:type="first" r:id="rId20"/>
          <w:pgSz w:w="11907" w:h="16839" w:code="9"/>
          <w:pgMar w:top="5954" w:right="1418" w:bottom="1701" w:left="1559" w:header="737" w:footer="720" w:gutter="0"/>
          <w:pgNumType w:start="1"/>
          <w:cols w:space="720"/>
          <w:docGrid w:linePitch="360"/>
        </w:sectPr>
      </w:pPr>
    </w:p>
    <w:p w14:paraId="002054C7" w14:textId="77777777" w:rsidR="00CF7BA0" w:rsidRPr="00760DDA" w:rsidRDefault="00CF7BA0" w:rsidP="00301B7E">
      <w:pPr>
        <w:pStyle w:val="ContentsHeading"/>
        <w:spacing w:after="360"/>
      </w:pPr>
      <w:r>
        <w:lastRenderedPageBreak/>
        <w:t>Contents</w:t>
      </w:r>
    </w:p>
    <w:p w14:paraId="6F52A7D1" w14:textId="7E47FFC8" w:rsidR="009B5D8D" w:rsidRDefault="008A4363">
      <w:pPr>
        <w:pStyle w:val="TOC1"/>
        <w:tabs>
          <w:tab w:val="right" w:leader="dot" w:pos="9061"/>
        </w:tabs>
        <w:rPr>
          <w:rFonts w:asciiTheme="minorHAnsi" w:eastAsiaTheme="minorEastAsia" w:hAnsiTheme="minorHAnsi"/>
          <w:noProof/>
          <w:kern w:val="2"/>
          <w:sz w:val="24"/>
          <w:szCs w:val="24"/>
          <w:lang w:val="en-AU" w:eastAsia="en-AU"/>
          <w14:ligatures w14:val="standardContextual"/>
        </w:rPr>
      </w:pPr>
      <w:r w:rsidRPr="00760DDA">
        <w:rPr>
          <w:lang w:val="en-AU" w:eastAsia="en-AU"/>
        </w:rPr>
        <w:fldChar w:fldCharType="begin"/>
      </w:r>
      <w:r w:rsidRPr="48A5429A">
        <w:rPr>
          <w:lang w:val="en-AU" w:eastAsia="en-AU"/>
        </w:rPr>
        <w:instrText xml:space="preserve"> TOC \o "1-3" \h \z \u </w:instrText>
      </w:r>
      <w:r w:rsidRPr="00760DDA">
        <w:rPr>
          <w:lang w:val="en-AU" w:eastAsia="en-AU"/>
        </w:rPr>
        <w:fldChar w:fldCharType="separate"/>
      </w:r>
      <w:hyperlink w:anchor="_Toc181405063" w:history="1">
        <w:r w:rsidR="009B5D8D" w:rsidRPr="00BB7E8F">
          <w:rPr>
            <w:rStyle w:val="Hyperlink"/>
            <w:noProof/>
          </w:rPr>
          <w:t>List of Abbreviations</w:t>
        </w:r>
        <w:r w:rsidR="009B5D8D">
          <w:rPr>
            <w:noProof/>
            <w:webHidden/>
          </w:rPr>
          <w:tab/>
        </w:r>
        <w:r w:rsidR="009B5D8D">
          <w:rPr>
            <w:noProof/>
            <w:webHidden/>
          </w:rPr>
          <w:fldChar w:fldCharType="begin"/>
        </w:r>
        <w:r w:rsidR="009B5D8D">
          <w:rPr>
            <w:noProof/>
            <w:webHidden/>
          </w:rPr>
          <w:instrText xml:space="preserve"> PAGEREF _Toc181405063 \h </w:instrText>
        </w:r>
        <w:r w:rsidR="009B5D8D">
          <w:rPr>
            <w:noProof/>
            <w:webHidden/>
          </w:rPr>
        </w:r>
        <w:r w:rsidR="009B5D8D">
          <w:rPr>
            <w:noProof/>
            <w:webHidden/>
          </w:rPr>
          <w:fldChar w:fldCharType="separate"/>
        </w:r>
        <w:r w:rsidR="009B5D8D">
          <w:rPr>
            <w:noProof/>
            <w:webHidden/>
          </w:rPr>
          <w:t>1</w:t>
        </w:r>
        <w:r w:rsidR="009B5D8D">
          <w:rPr>
            <w:noProof/>
            <w:webHidden/>
          </w:rPr>
          <w:fldChar w:fldCharType="end"/>
        </w:r>
      </w:hyperlink>
    </w:p>
    <w:p w14:paraId="50FCF316" w14:textId="4BD70850" w:rsidR="009B5D8D" w:rsidRDefault="009B5D8D">
      <w:pPr>
        <w:pStyle w:val="TOC1"/>
        <w:tabs>
          <w:tab w:val="right" w:leader="dot" w:pos="9061"/>
        </w:tabs>
        <w:rPr>
          <w:rFonts w:asciiTheme="minorHAnsi" w:eastAsiaTheme="minorEastAsia" w:hAnsiTheme="minorHAnsi"/>
          <w:noProof/>
          <w:kern w:val="2"/>
          <w:sz w:val="24"/>
          <w:szCs w:val="24"/>
          <w:lang w:val="en-AU" w:eastAsia="en-AU"/>
          <w14:ligatures w14:val="standardContextual"/>
        </w:rPr>
      </w:pPr>
      <w:hyperlink w:anchor="_Toc181405064" w:history="1">
        <w:r w:rsidRPr="00BB7E8F">
          <w:rPr>
            <w:rStyle w:val="Hyperlink"/>
            <w:noProof/>
          </w:rPr>
          <w:t>Executive Summary</w:t>
        </w:r>
        <w:r>
          <w:rPr>
            <w:noProof/>
            <w:webHidden/>
          </w:rPr>
          <w:tab/>
        </w:r>
        <w:r>
          <w:rPr>
            <w:noProof/>
            <w:webHidden/>
          </w:rPr>
          <w:fldChar w:fldCharType="begin"/>
        </w:r>
        <w:r>
          <w:rPr>
            <w:noProof/>
            <w:webHidden/>
          </w:rPr>
          <w:instrText xml:space="preserve"> PAGEREF _Toc181405064 \h </w:instrText>
        </w:r>
        <w:r>
          <w:rPr>
            <w:noProof/>
            <w:webHidden/>
          </w:rPr>
        </w:r>
        <w:r>
          <w:rPr>
            <w:noProof/>
            <w:webHidden/>
          </w:rPr>
          <w:fldChar w:fldCharType="separate"/>
        </w:r>
        <w:r>
          <w:rPr>
            <w:noProof/>
            <w:webHidden/>
          </w:rPr>
          <w:t>2</w:t>
        </w:r>
        <w:r>
          <w:rPr>
            <w:noProof/>
            <w:webHidden/>
          </w:rPr>
          <w:fldChar w:fldCharType="end"/>
        </w:r>
      </w:hyperlink>
    </w:p>
    <w:p w14:paraId="13067E11" w14:textId="54094CB6" w:rsidR="009B5D8D" w:rsidRDefault="009B5D8D">
      <w:pPr>
        <w:pStyle w:val="TOC1"/>
        <w:tabs>
          <w:tab w:val="left" w:pos="38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5" w:history="1">
        <w:r w:rsidRPr="00BB7E8F">
          <w:rPr>
            <w:rStyle w:val="Hyperlink"/>
            <w:noProof/>
          </w:rPr>
          <w:t>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Introduction</w:t>
        </w:r>
        <w:r>
          <w:rPr>
            <w:noProof/>
            <w:webHidden/>
          </w:rPr>
          <w:tab/>
        </w:r>
        <w:r>
          <w:rPr>
            <w:noProof/>
            <w:webHidden/>
          </w:rPr>
          <w:fldChar w:fldCharType="begin"/>
        </w:r>
        <w:r>
          <w:rPr>
            <w:noProof/>
            <w:webHidden/>
          </w:rPr>
          <w:instrText xml:space="preserve"> PAGEREF _Toc181405065 \h </w:instrText>
        </w:r>
        <w:r>
          <w:rPr>
            <w:noProof/>
            <w:webHidden/>
          </w:rPr>
        </w:r>
        <w:r>
          <w:rPr>
            <w:noProof/>
            <w:webHidden/>
          </w:rPr>
          <w:fldChar w:fldCharType="separate"/>
        </w:r>
        <w:r>
          <w:rPr>
            <w:noProof/>
            <w:webHidden/>
          </w:rPr>
          <w:t>4</w:t>
        </w:r>
        <w:r>
          <w:rPr>
            <w:noProof/>
            <w:webHidden/>
          </w:rPr>
          <w:fldChar w:fldCharType="end"/>
        </w:r>
      </w:hyperlink>
    </w:p>
    <w:p w14:paraId="7B1F1B4D" w14:textId="0BB5438B"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6" w:history="1">
        <w:r w:rsidRPr="00BB7E8F">
          <w:rPr>
            <w:rStyle w:val="Hyperlink"/>
            <w:noProof/>
          </w:rPr>
          <w:t>1.1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The evaluation context</w:t>
        </w:r>
        <w:r>
          <w:rPr>
            <w:noProof/>
            <w:webHidden/>
          </w:rPr>
          <w:tab/>
        </w:r>
        <w:r>
          <w:rPr>
            <w:noProof/>
            <w:webHidden/>
          </w:rPr>
          <w:fldChar w:fldCharType="begin"/>
        </w:r>
        <w:r>
          <w:rPr>
            <w:noProof/>
            <w:webHidden/>
          </w:rPr>
          <w:instrText xml:space="preserve"> PAGEREF _Toc181405066 \h </w:instrText>
        </w:r>
        <w:r>
          <w:rPr>
            <w:noProof/>
            <w:webHidden/>
          </w:rPr>
        </w:r>
        <w:r>
          <w:rPr>
            <w:noProof/>
            <w:webHidden/>
          </w:rPr>
          <w:fldChar w:fldCharType="separate"/>
        </w:r>
        <w:r>
          <w:rPr>
            <w:noProof/>
            <w:webHidden/>
          </w:rPr>
          <w:t>4</w:t>
        </w:r>
        <w:r>
          <w:rPr>
            <w:noProof/>
            <w:webHidden/>
          </w:rPr>
          <w:fldChar w:fldCharType="end"/>
        </w:r>
      </w:hyperlink>
    </w:p>
    <w:p w14:paraId="736763F6" w14:textId="67E5D9CF"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7" w:history="1">
        <w:r w:rsidRPr="00BB7E8F">
          <w:rPr>
            <w:rStyle w:val="Hyperlink"/>
            <w:noProof/>
          </w:rPr>
          <w:t>1.2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Purpose and structure of this report</w:t>
        </w:r>
        <w:r>
          <w:rPr>
            <w:noProof/>
            <w:webHidden/>
          </w:rPr>
          <w:tab/>
        </w:r>
        <w:r>
          <w:rPr>
            <w:noProof/>
            <w:webHidden/>
          </w:rPr>
          <w:fldChar w:fldCharType="begin"/>
        </w:r>
        <w:r>
          <w:rPr>
            <w:noProof/>
            <w:webHidden/>
          </w:rPr>
          <w:instrText xml:space="preserve"> PAGEREF _Toc181405067 \h </w:instrText>
        </w:r>
        <w:r>
          <w:rPr>
            <w:noProof/>
            <w:webHidden/>
          </w:rPr>
        </w:r>
        <w:r>
          <w:rPr>
            <w:noProof/>
            <w:webHidden/>
          </w:rPr>
          <w:fldChar w:fldCharType="separate"/>
        </w:r>
        <w:r>
          <w:rPr>
            <w:noProof/>
            <w:webHidden/>
          </w:rPr>
          <w:t>4</w:t>
        </w:r>
        <w:r>
          <w:rPr>
            <w:noProof/>
            <w:webHidden/>
          </w:rPr>
          <w:fldChar w:fldCharType="end"/>
        </w:r>
      </w:hyperlink>
    </w:p>
    <w:p w14:paraId="6072D278" w14:textId="132F27C5" w:rsidR="009B5D8D" w:rsidRDefault="009B5D8D">
      <w:pPr>
        <w:pStyle w:val="TOC1"/>
        <w:tabs>
          <w:tab w:val="left" w:pos="38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8" w:history="1">
        <w:r w:rsidRPr="00BB7E8F">
          <w:rPr>
            <w:rStyle w:val="Hyperlink"/>
            <w:noProof/>
          </w:rPr>
          <w:t>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Interim findings</w:t>
        </w:r>
        <w:r>
          <w:rPr>
            <w:noProof/>
            <w:webHidden/>
          </w:rPr>
          <w:tab/>
        </w:r>
        <w:r>
          <w:rPr>
            <w:noProof/>
            <w:webHidden/>
          </w:rPr>
          <w:fldChar w:fldCharType="begin"/>
        </w:r>
        <w:r>
          <w:rPr>
            <w:noProof/>
            <w:webHidden/>
          </w:rPr>
          <w:instrText xml:space="preserve"> PAGEREF _Toc181405068 \h </w:instrText>
        </w:r>
        <w:r>
          <w:rPr>
            <w:noProof/>
            <w:webHidden/>
          </w:rPr>
        </w:r>
        <w:r>
          <w:rPr>
            <w:noProof/>
            <w:webHidden/>
          </w:rPr>
          <w:fldChar w:fldCharType="separate"/>
        </w:r>
        <w:r>
          <w:rPr>
            <w:noProof/>
            <w:webHidden/>
          </w:rPr>
          <w:t>5</w:t>
        </w:r>
        <w:r>
          <w:rPr>
            <w:noProof/>
            <w:webHidden/>
          </w:rPr>
          <w:fldChar w:fldCharType="end"/>
        </w:r>
      </w:hyperlink>
    </w:p>
    <w:p w14:paraId="30013A69" w14:textId="6635DC9D"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69" w:history="1">
        <w:r w:rsidRPr="00BB7E8F">
          <w:rPr>
            <w:rStyle w:val="Hyperlink"/>
            <w:noProof/>
          </w:rPr>
          <w:t>2.1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Current state of the reforms</w:t>
        </w:r>
        <w:r>
          <w:rPr>
            <w:noProof/>
            <w:webHidden/>
          </w:rPr>
          <w:tab/>
        </w:r>
        <w:r>
          <w:rPr>
            <w:noProof/>
            <w:webHidden/>
          </w:rPr>
          <w:fldChar w:fldCharType="begin"/>
        </w:r>
        <w:r>
          <w:rPr>
            <w:noProof/>
            <w:webHidden/>
          </w:rPr>
          <w:instrText xml:space="preserve"> PAGEREF _Toc181405069 \h </w:instrText>
        </w:r>
        <w:r>
          <w:rPr>
            <w:noProof/>
            <w:webHidden/>
          </w:rPr>
        </w:r>
        <w:r>
          <w:rPr>
            <w:noProof/>
            <w:webHidden/>
          </w:rPr>
          <w:fldChar w:fldCharType="separate"/>
        </w:r>
        <w:r>
          <w:rPr>
            <w:noProof/>
            <w:webHidden/>
          </w:rPr>
          <w:t>5</w:t>
        </w:r>
        <w:r>
          <w:rPr>
            <w:noProof/>
            <w:webHidden/>
          </w:rPr>
          <w:fldChar w:fldCharType="end"/>
        </w:r>
      </w:hyperlink>
    </w:p>
    <w:p w14:paraId="3A2A8870" w14:textId="0C93F043"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70" w:history="1">
        <w:r w:rsidRPr="00BB7E8F">
          <w:rPr>
            <w:rStyle w:val="Hyperlink"/>
            <w:noProof/>
          </w:rPr>
          <w:t>2.2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Stakeholder engagement</w:t>
        </w:r>
        <w:r>
          <w:rPr>
            <w:noProof/>
            <w:webHidden/>
          </w:rPr>
          <w:tab/>
        </w:r>
        <w:r>
          <w:rPr>
            <w:noProof/>
            <w:webHidden/>
          </w:rPr>
          <w:fldChar w:fldCharType="begin"/>
        </w:r>
        <w:r>
          <w:rPr>
            <w:noProof/>
            <w:webHidden/>
          </w:rPr>
          <w:instrText xml:space="preserve"> PAGEREF _Toc181405070 \h </w:instrText>
        </w:r>
        <w:r>
          <w:rPr>
            <w:noProof/>
            <w:webHidden/>
          </w:rPr>
        </w:r>
        <w:r>
          <w:rPr>
            <w:noProof/>
            <w:webHidden/>
          </w:rPr>
          <w:fldChar w:fldCharType="separate"/>
        </w:r>
        <w:r>
          <w:rPr>
            <w:noProof/>
            <w:webHidden/>
          </w:rPr>
          <w:t>8</w:t>
        </w:r>
        <w:r>
          <w:rPr>
            <w:noProof/>
            <w:webHidden/>
          </w:rPr>
          <w:fldChar w:fldCharType="end"/>
        </w:r>
      </w:hyperlink>
    </w:p>
    <w:p w14:paraId="0CC116AB" w14:textId="50EB2B6C"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71" w:history="1">
        <w:r w:rsidRPr="00BB7E8F">
          <w:rPr>
            <w:rStyle w:val="Hyperlink"/>
            <w:noProof/>
          </w:rPr>
          <w:t>2.3</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1: Improve the alignment of the scheduled benefits of the PL with the prices paid in more competitive markets</w:t>
        </w:r>
        <w:r>
          <w:rPr>
            <w:noProof/>
            <w:webHidden/>
          </w:rPr>
          <w:tab/>
        </w:r>
        <w:r>
          <w:rPr>
            <w:noProof/>
            <w:webHidden/>
          </w:rPr>
          <w:fldChar w:fldCharType="begin"/>
        </w:r>
        <w:r>
          <w:rPr>
            <w:noProof/>
            <w:webHidden/>
          </w:rPr>
          <w:instrText xml:space="preserve"> PAGEREF _Toc181405071 \h </w:instrText>
        </w:r>
        <w:r>
          <w:rPr>
            <w:noProof/>
            <w:webHidden/>
          </w:rPr>
        </w:r>
        <w:r>
          <w:rPr>
            <w:noProof/>
            <w:webHidden/>
          </w:rPr>
          <w:fldChar w:fldCharType="separate"/>
        </w:r>
        <w:r>
          <w:rPr>
            <w:noProof/>
            <w:webHidden/>
          </w:rPr>
          <w:t>9</w:t>
        </w:r>
        <w:r>
          <w:rPr>
            <w:noProof/>
            <w:webHidden/>
          </w:rPr>
          <w:fldChar w:fldCharType="end"/>
        </w:r>
      </w:hyperlink>
    </w:p>
    <w:p w14:paraId="668F59C3" w14:textId="044B03CC" w:rsidR="009B5D8D" w:rsidRDefault="009B5D8D">
      <w:pPr>
        <w:pStyle w:val="TOC3"/>
        <w:rPr>
          <w:rFonts w:eastAsiaTheme="minorEastAsia" w:cstheme="minorBidi"/>
          <w:kern w:val="2"/>
          <w:sz w:val="24"/>
          <w:szCs w:val="24"/>
          <w:lang w:val="en-AU" w:eastAsia="en-AU"/>
          <w14:ligatures w14:val="standardContextual"/>
        </w:rPr>
      </w:pPr>
      <w:hyperlink w:anchor="_Toc181405072" w:history="1">
        <w:r w:rsidRPr="00BB7E8F">
          <w:rPr>
            <w:rStyle w:val="Hyperlink"/>
          </w:rPr>
          <w:t>2.3.1</w:t>
        </w:r>
        <w:r>
          <w:rPr>
            <w:rFonts w:eastAsiaTheme="minorEastAsia" w:cstheme="minorBidi"/>
            <w:kern w:val="2"/>
            <w:sz w:val="24"/>
            <w:szCs w:val="24"/>
            <w:lang w:val="en-AU" w:eastAsia="en-AU"/>
            <w14:ligatures w14:val="standardContextual"/>
          </w:rPr>
          <w:tab/>
        </w:r>
        <w:r w:rsidRPr="00BB7E8F">
          <w:rPr>
            <w:rStyle w:val="Hyperlink"/>
          </w:rPr>
          <w:t>The reforms successfully reduced benefits across 51% of PL items</w:t>
        </w:r>
        <w:r>
          <w:rPr>
            <w:webHidden/>
          </w:rPr>
          <w:tab/>
        </w:r>
        <w:r>
          <w:rPr>
            <w:webHidden/>
          </w:rPr>
          <w:fldChar w:fldCharType="begin"/>
        </w:r>
        <w:r>
          <w:rPr>
            <w:webHidden/>
          </w:rPr>
          <w:instrText xml:space="preserve"> PAGEREF _Toc181405072 \h </w:instrText>
        </w:r>
        <w:r>
          <w:rPr>
            <w:webHidden/>
          </w:rPr>
        </w:r>
        <w:r>
          <w:rPr>
            <w:webHidden/>
          </w:rPr>
          <w:fldChar w:fldCharType="separate"/>
        </w:r>
        <w:r>
          <w:rPr>
            <w:webHidden/>
          </w:rPr>
          <w:t>9</w:t>
        </w:r>
        <w:r>
          <w:rPr>
            <w:webHidden/>
          </w:rPr>
          <w:fldChar w:fldCharType="end"/>
        </w:r>
      </w:hyperlink>
    </w:p>
    <w:p w14:paraId="24737E29" w14:textId="34024ACA" w:rsidR="009B5D8D" w:rsidRDefault="009B5D8D">
      <w:pPr>
        <w:pStyle w:val="TOC3"/>
        <w:rPr>
          <w:rFonts w:eastAsiaTheme="minorEastAsia" w:cstheme="minorBidi"/>
          <w:kern w:val="2"/>
          <w:sz w:val="24"/>
          <w:szCs w:val="24"/>
          <w:lang w:val="en-AU" w:eastAsia="en-AU"/>
          <w14:ligatures w14:val="standardContextual"/>
        </w:rPr>
      </w:pPr>
      <w:hyperlink w:anchor="_Toc181405073" w:history="1">
        <w:r w:rsidRPr="00BB7E8F">
          <w:rPr>
            <w:rStyle w:val="Hyperlink"/>
            <w:rFonts w:asciiTheme="majorHAnsi" w:hAnsiTheme="majorHAnsi" w:cstheme="majorBidi"/>
          </w:rPr>
          <w:t>2.3.2</w:t>
        </w:r>
        <w:r>
          <w:rPr>
            <w:rFonts w:eastAsiaTheme="minorEastAsia" w:cstheme="minorBidi"/>
            <w:kern w:val="2"/>
            <w:sz w:val="24"/>
            <w:szCs w:val="24"/>
            <w:lang w:val="en-AU" w:eastAsia="en-AU"/>
            <w14:ligatures w14:val="standardContextual"/>
          </w:rPr>
          <w:tab/>
        </w:r>
        <w:r w:rsidRPr="00BB7E8F">
          <w:rPr>
            <w:rStyle w:val="Hyperlink"/>
          </w:rPr>
          <w:t>Overall savings to date from benefits reductions are between $282 million and $291 million</w:t>
        </w:r>
        <w:r>
          <w:rPr>
            <w:webHidden/>
          </w:rPr>
          <w:tab/>
        </w:r>
        <w:r>
          <w:rPr>
            <w:webHidden/>
          </w:rPr>
          <w:fldChar w:fldCharType="begin"/>
        </w:r>
        <w:r>
          <w:rPr>
            <w:webHidden/>
          </w:rPr>
          <w:instrText xml:space="preserve"> PAGEREF _Toc181405073 \h </w:instrText>
        </w:r>
        <w:r>
          <w:rPr>
            <w:webHidden/>
          </w:rPr>
        </w:r>
        <w:r>
          <w:rPr>
            <w:webHidden/>
          </w:rPr>
          <w:fldChar w:fldCharType="separate"/>
        </w:r>
        <w:r>
          <w:rPr>
            <w:webHidden/>
          </w:rPr>
          <w:t>11</w:t>
        </w:r>
        <w:r>
          <w:rPr>
            <w:webHidden/>
          </w:rPr>
          <w:fldChar w:fldCharType="end"/>
        </w:r>
      </w:hyperlink>
    </w:p>
    <w:p w14:paraId="7DBBA915" w14:textId="1634E22E" w:rsidR="009B5D8D" w:rsidRDefault="009B5D8D">
      <w:pPr>
        <w:pStyle w:val="TOC3"/>
        <w:rPr>
          <w:rFonts w:eastAsiaTheme="minorEastAsia" w:cstheme="minorBidi"/>
          <w:kern w:val="2"/>
          <w:sz w:val="24"/>
          <w:szCs w:val="24"/>
          <w:lang w:val="en-AU" w:eastAsia="en-AU"/>
          <w14:ligatures w14:val="standardContextual"/>
        </w:rPr>
      </w:pPr>
      <w:hyperlink w:anchor="_Toc181405074" w:history="1">
        <w:r w:rsidRPr="00BB7E8F">
          <w:rPr>
            <w:rStyle w:val="Hyperlink"/>
          </w:rPr>
          <w:t>2.3.3</w:t>
        </w:r>
        <w:r>
          <w:rPr>
            <w:rFonts w:eastAsiaTheme="minorEastAsia" w:cstheme="minorBidi"/>
            <w:kern w:val="2"/>
            <w:sz w:val="24"/>
            <w:szCs w:val="24"/>
            <w:lang w:val="en-AU" w:eastAsia="en-AU"/>
            <w14:ligatures w14:val="standardContextual"/>
          </w:rPr>
          <w:tab/>
        </w:r>
        <w:r w:rsidRPr="00BB7E8F">
          <w:rPr>
            <w:rStyle w:val="Hyperlink"/>
          </w:rPr>
          <w:t>There is a smaller gap between PL benefits and public hospital prices</w:t>
        </w:r>
        <w:r>
          <w:rPr>
            <w:webHidden/>
          </w:rPr>
          <w:tab/>
        </w:r>
        <w:r>
          <w:rPr>
            <w:webHidden/>
          </w:rPr>
          <w:fldChar w:fldCharType="begin"/>
        </w:r>
        <w:r>
          <w:rPr>
            <w:webHidden/>
          </w:rPr>
          <w:instrText xml:space="preserve"> PAGEREF _Toc181405074 \h </w:instrText>
        </w:r>
        <w:r>
          <w:rPr>
            <w:webHidden/>
          </w:rPr>
        </w:r>
        <w:r>
          <w:rPr>
            <w:webHidden/>
          </w:rPr>
          <w:fldChar w:fldCharType="separate"/>
        </w:r>
        <w:r>
          <w:rPr>
            <w:webHidden/>
          </w:rPr>
          <w:t>12</w:t>
        </w:r>
        <w:r>
          <w:rPr>
            <w:webHidden/>
          </w:rPr>
          <w:fldChar w:fldCharType="end"/>
        </w:r>
      </w:hyperlink>
    </w:p>
    <w:p w14:paraId="235281B1" w14:textId="65125C56" w:rsidR="009B5D8D" w:rsidRDefault="009B5D8D">
      <w:pPr>
        <w:pStyle w:val="TOC3"/>
        <w:rPr>
          <w:rFonts w:eastAsiaTheme="minorEastAsia" w:cstheme="minorBidi"/>
          <w:kern w:val="2"/>
          <w:sz w:val="24"/>
          <w:szCs w:val="24"/>
          <w:lang w:val="en-AU" w:eastAsia="en-AU"/>
          <w14:ligatures w14:val="standardContextual"/>
        </w:rPr>
      </w:pPr>
      <w:hyperlink w:anchor="_Toc181405075" w:history="1">
        <w:r w:rsidRPr="00BB7E8F">
          <w:rPr>
            <w:rStyle w:val="Hyperlink"/>
          </w:rPr>
          <w:t>2.3.4</w:t>
        </w:r>
        <w:r>
          <w:rPr>
            <w:rFonts w:eastAsiaTheme="minorEastAsia" w:cstheme="minorBidi"/>
            <w:kern w:val="2"/>
            <w:sz w:val="24"/>
            <w:szCs w:val="24"/>
            <w:lang w:val="en-AU" w:eastAsia="en-AU"/>
            <w14:ligatures w14:val="standardContextual"/>
          </w:rPr>
          <w:tab/>
        </w:r>
        <w:r w:rsidRPr="00BB7E8F">
          <w:rPr>
            <w:rStyle w:val="Hyperlink"/>
          </w:rPr>
          <w:t>The reductions methodology was pragmatic and broadly accepted</w:t>
        </w:r>
        <w:r>
          <w:rPr>
            <w:webHidden/>
          </w:rPr>
          <w:tab/>
        </w:r>
        <w:r>
          <w:rPr>
            <w:webHidden/>
          </w:rPr>
          <w:fldChar w:fldCharType="begin"/>
        </w:r>
        <w:r>
          <w:rPr>
            <w:webHidden/>
          </w:rPr>
          <w:instrText xml:space="preserve"> PAGEREF _Toc181405075 \h </w:instrText>
        </w:r>
        <w:r>
          <w:rPr>
            <w:webHidden/>
          </w:rPr>
        </w:r>
        <w:r>
          <w:rPr>
            <w:webHidden/>
          </w:rPr>
          <w:fldChar w:fldCharType="separate"/>
        </w:r>
        <w:r>
          <w:rPr>
            <w:webHidden/>
          </w:rPr>
          <w:t>15</w:t>
        </w:r>
        <w:r>
          <w:rPr>
            <w:webHidden/>
          </w:rPr>
          <w:fldChar w:fldCharType="end"/>
        </w:r>
      </w:hyperlink>
    </w:p>
    <w:p w14:paraId="2F462EE8" w14:textId="6141CCF0" w:rsidR="009B5D8D" w:rsidRDefault="009B5D8D">
      <w:pPr>
        <w:pStyle w:val="TOC3"/>
        <w:rPr>
          <w:rFonts w:eastAsiaTheme="minorEastAsia" w:cstheme="minorBidi"/>
          <w:kern w:val="2"/>
          <w:sz w:val="24"/>
          <w:szCs w:val="24"/>
          <w:lang w:val="en-AU" w:eastAsia="en-AU"/>
          <w14:ligatures w14:val="standardContextual"/>
        </w:rPr>
      </w:pPr>
      <w:hyperlink w:anchor="_Toc181405076" w:history="1">
        <w:r w:rsidRPr="00BB7E8F">
          <w:rPr>
            <w:rStyle w:val="Hyperlink"/>
          </w:rPr>
          <w:t>2.3.5</w:t>
        </w:r>
        <w:r>
          <w:rPr>
            <w:rFonts w:eastAsiaTheme="minorEastAsia" w:cstheme="minorBidi"/>
            <w:kern w:val="2"/>
            <w:sz w:val="24"/>
            <w:szCs w:val="24"/>
            <w:lang w:val="en-AU" w:eastAsia="en-AU"/>
            <w14:ligatures w14:val="standardContextual"/>
          </w:rPr>
          <w:tab/>
        </w:r>
        <w:r w:rsidRPr="00BB7E8F">
          <w:rPr>
            <w:rStyle w:val="Hyperlink"/>
          </w:rPr>
          <w:t>The reforms handled CIED items separately</w:t>
        </w:r>
        <w:r>
          <w:rPr>
            <w:webHidden/>
          </w:rPr>
          <w:tab/>
        </w:r>
        <w:r>
          <w:rPr>
            <w:webHidden/>
          </w:rPr>
          <w:fldChar w:fldCharType="begin"/>
        </w:r>
        <w:r>
          <w:rPr>
            <w:webHidden/>
          </w:rPr>
          <w:instrText xml:space="preserve"> PAGEREF _Toc181405076 \h </w:instrText>
        </w:r>
        <w:r>
          <w:rPr>
            <w:webHidden/>
          </w:rPr>
        </w:r>
        <w:r>
          <w:rPr>
            <w:webHidden/>
          </w:rPr>
          <w:fldChar w:fldCharType="separate"/>
        </w:r>
        <w:r>
          <w:rPr>
            <w:webHidden/>
          </w:rPr>
          <w:t>17</w:t>
        </w:r>
        <w:r>
          <w:rPr>
            <w:webHidden/>
          </w:rPr>
          <w:fldChar w:fldCharType="end"/>
        </w:r>
      </w:hyperlink>
    </w:p>
    <w:p w14:paraId="32823853" w14:textId="04D9D126" w:rsidR="009B5D8D" w:rsidRDefault="009B5D8D">
      <w:pPr>
        <w:pStyle w:val="TOC3"/>
        <w:rPr>
          <w:rFonts w:eastAsiaTheme="minorEastAsia" w:cstheme="minorBidi"/>
          <w:kern w:val="2"/>
          <w:sz w:val="24"/>
          <w:szCs w:val="24"/>
          <w:lang w:val="en-AU" w:eastAsia="en-AU"/>
          <w14:ligatures w14:val="standardContextual"/>
        </w:rPr>
      </w:pPr>
      <w:hyperlink w:anchor="_Toc181405077" w:history="1">
        <w:r w:rsidRPr="00BB7E8F">
          <w:rPr>
            <w:rStyle w:val="Hyperlink"/>
          </w:rPr>
          <w:t>2.3.6</w:t>
        </w:r>
        <w:r>
          <w:rPr>
            <w:rFonts w:eastAsiaTheme="minorEastAsia" w:cstheme="minorBidi"/>
            <w:kern w:val="2"/>
            <w:sz w:val="24"/>
            <w:szCs w:val="24"/>
            <w:lang w:val="en-AU" w:eastAsia="en-AU"/>
            <w14:ligatures w14:val="standardContextual"/>
          </w:rPr>
          <w:tab/>
        </w:r>
        <w:r w:rsidRPr="00BB7E8F">
          <w:rPr>
            <w:rStyle w:val="Hyperlink"/>
          </w:rPr>
          <w:t>PL benefits are also better aligned with some international markets</w:t>
        </w:r>
        <w:r>
          <w:rPr>
            <w:webHidden/>
          </w:rPr>
          <w:tab/>
        </w:r>
        <w:r>
          <w:rPr>
            <w:webHidden/>
          </w:rPr>
          <w:fldChar w:fldCharType="begin"/>
        </w:r>
        <w:r>
          <w:rPr>
            <w:webHidden/>
          </w:rPr>
          <w:instrText xml:space="preserve"> PAGEREF _Toc181405077 \h </w:instrText>
        </w:r>
        <w:r>
          <w:rPr>
            <w:webHidden/>
          </w:rPr>
        </w:r>
        <w:r>
          <w:rPr>
            <w:webHidden/>
          </w:rPr>
          <w:fldChar w:fldCharType="separate"/>
        </w:r>
        <w:r>
          <w:rPr>
            <w:webHidden/>
          </w:rPr>
          <w:t>19</w:t>
        </w:r>
        <w:r>
          <w:rPr>
            <w:webHidden/>
          </w:rPr>
          <w:fldChar w:fldCharType="end"/>
        </w:r>
      </w:hyperlink>
    </w:p>
    <w:p w14:paraId="48B78AEA" w14:textId="19749C31"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78" w:history="1">
        <w:r w:rsidRPr="00BB7E8F">
          <w:rPr>
            <w:rStyle w:val="Hyperlink"/>
            <w:noProof/>
          </w:rPr>
          <w:t>2.4</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2: Maintain no additional out-of-pocket costs associated with the PL devices for consumers</w:t>
        </w:r>
        <w:r>
          <w:rPr>
            <w:noProof/>
            <w:webHidden/>
          </w:rPr>
          <w:tab/>
        </w:r>
        <w:r>
          <w:rPr>
            <w:noProof/>
            <w:webHidden/>
          </w:rPr>
          <w:fldChar w:fldCharType="begin"/>
        </w:r>
        <w:r>
          <w:rPr>
            <w:noProof/>
            <w:webHidden/>
          </w:rPr>
          <w:instrText xml:space="preserve"> PAGEREF _Toc181405078 \h </w:instrText>
        </w:r>
        <w:r>
          <w:rPr>
            <w:noProof/>
            <w:webHidden/>
          </w:rPr>
        </w:r>
        <w:r>
          <w:rPr>
            <w:noProof/>
            <w:webHidden/>
          </w:rPr>
          <w:fldChar w:fldCharType="separate"/>
        </w:r>
        <w:r>
          <w:rPr>
            <w:noProof/>
            <w:webHidden/>
          </w:rPr>
          <w:t>19</w:t>
        </w:r>
        <w:r>
          <w:rPr>
            <w:noProof/>
            <w:webHidden/>
          </w:rPr>
          <w:fldChar w:fldCharType="end"/>
        </w:r>
      </w:hyperlink>
    </w:p>
    <w:p w14:paraId="445906C7" w14:textId="4127417C" w:rsidR="009B5D8D" w:rsidRDefault="009B5D8D">
      <w:pPr>
        <w:pStyle w:val="TOC3"/>
        <w:rPr>
          <w:rFonts w:eastAsiaTheme="minorEastAsia" w:cstheme="minorBidi"/>
          <w:kern w:val="2"/>
          <w:sz w:val="24"/>
          <w:szCs w:val="24"/>
          <w:lang w:val="en-AU" w:eastAsia="en-AU"/>
          <w14:ligatures w14:val="standardContextual"/>
        </w:rPr>
      </w:pPr>
      <w:hyperlink w:anchor="_Toc181405079" w:history="1">
        <w:r w:rsidRPr="00BB7E8F">
          <w:rPr>
            <w:rStyle w:val="Hyperlink"/>
          </w:rPr>
          <w:t>2.4.1</w:t>
        </w:r>
        <w:r>
          <w:rPr>
            <w:rFonts w:eastAsiaTheme="minorEastAsia" w:cstheme="minorBidi"/>
            <w:kern w:val="2"/>
            <w:sz w:val="24"/>
            <w:szCs w:val="24"/>
            <w:lang w:val="en-AU" w:eastAsia="en-AU"/>
            <w14:ligatures w14:val="standardContextual"/>
          </w:rPr>
          <w:tab/>
        </w:r>
        <w:r w:rsidRPr="00BB7E8F">
          <w:rPr>
            <w:rStyle w:val="Hyperlink"/>
          </w:rPr>
          <w:t>The reforms maintained minimal out-of-pocket costs for PL items</w:t>
        </w:r>
        <w:r>
          <w:rPr>
            <w:webHidden/>
          </w:rPr>
          <w:tab/>
        </w:r>
        <w:r>
          <w:rPr>
            <w:webHidden/>
          </w:rPr>
          <w:fldChar w:fldCharType="begin"/>
        </w:r>
        <w:r>
          <w:rPr>
            <w:webHidden/>
          </w:rPr>
          <w:instrText xml:space="preserve"> PAGEREF _Toc181405079 \h </w:instrText>
        </w:r>
        <w:r>
          <w:rPr>
            <w:webHidden/>
          </w:rPr>
        </w:r>
        <w:r>
          <w:rPr>
            <w:webHidden/>
          </w:rPr>
          <w:fldChar w:fldCharType="separate"/>
        </w:r>
        <w:r>
          <w:rPr>
            <w:webHidden/>
          </w:rPr>
          <w:t>20</w:t>
        </w:r>
        <w:r>
          <w:rPr>
            <w:webHidden/>
          </w:rPr>
          <w:fldChar w:fldCharType="end"/>
        </w:r>
      </w:hyperlink>
    </w:p>
    <w:p w14:paraId="2665DCFB" w14:textId="1D7F825D"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80" w:history="1">
        <w:r w:rsidRPr="00BB7E8F">
          <w:rPr>
            <w:rStyle w:val="Hyperlink"/>
            <w:noProof/>
          </w:rPr>
          <w:t>2.5</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3: Maintain clinician choice of appropriate prostheses for their patients</w:t>
        </w:r>
        <w:r>
          <w:rPr>
            <w:noProof/>
            <w:webHidden/>
          </w:rPr>
          <w:tab/>
        </w:r>
        <w:r>
          <w:rPr>
            <w:noProof/>
            <w:webHidden/>
          </w:rPr>
          <w:fldChar w:fldCharType="begin"/>
        </w:r>
        <w:r>
          <w:rPr>
            <w:noProof/>
            <w:webHidden/>
          </w:rPr>
          <w:instrText xml:space="preserve"> PAGEREF _Toc181405080 \h </w:instrText>
        </w:r>
        <w:r>
          <w:rPr>
            <w:noProof/>
            <w:webHidden/>
          </w:rPr>
        </w:r>
        <w:r>
          <w:rPr>
            <w:noProof/>
            <w:webHidden/>
          </w:rPr>
          <w:fldChar w:fldCharType="separate"/>
        </w:r>
        <w:r>
          <w:rPr>
            <w:noProof/>
            <w:webHidden/>
          </w:rPr>
          <w:t>22</w:t>
        </w:r>
        <w:r>
          <w:rPr>
            <w:noProof/>
            <w:webHidden/>
          </w:rPr>
          <w:fldChar w:fldCharType="end"/>
        </w:r>
      </w:hyperlink>
    </w:p>
    <w:p w14:paraId="2CDB571C" w14:textId="69EA06B2" w:rsidR="009B5D8D" w:rsidRDefault="009B5D8D">
      <w:pPr>
        <w:pStyle w:val="TOC3"/>
        <w:rPr>
          <w:rFonts w:eastAsiaTheme="minorEastAsia" w:cstheme="minorBidi"/>
          <w:kern w:val="2"/>
          <w:sz w:val="24"/>
          <w:szCs w:val="24"/>
          <w:lang w:val="en-AU" w:eastAsia="en-AU"/>
          <w14:ligatures w14:val="standardContextual"/>
        </w:rPr>
      </w:pPr>
      <w:hyperlink w:anchor="_Toc181405081" w:history="1">
        <w:r w:rsidRPr="00BB7E8F">
          <w:rPr>
            <w:rStyle w:val="Hyperlink"/>
          </w:rPr>
          <w:t>2.5.1</w:t>
        </w:r>
        <w:r>
          <w:rPr>
            <w:rFonts w:eastAsiaTheme="minorEastAsia" w:cstheme="minorBidi"/>
            <w:kern w:val="2"/>
            <w:sz w:val="24"/>
            <w:szCs w:val="24"/>
            <w:lang w:val="en-AU" w:eastAsia="en-AU"/>
            <w14:ligatures w14:val="standardContextual"/>
          </w:rPr>
          <w:tab/>
        </w:r>
        <w:r w:rsidRPr="00BB7E8F">
          <w:rPr>
            <w:rStyle w:val="Hyperlink"/>
          </w:rPr>
          <w:t>Clinicians continue to have choice of medical devices and human tissue products</w:t>
        </w:r>
        <w:r>
          <w:rPr>
            <w:webHidden/>
          </w:rPr>
          <w:tab/>
        </w:r>
        <w:r>
          <w:rPr>
            <w:webHidden/>
          </w:rPr>
          <w:fldChar w:fldCharType="begin"/>
        </w:r>
        <w:r>
          <w:rPr>
            <w:webHidden/>
          </w:rPr>
          <w:instrText xml:space="preserve"> PAGEREF _Toc181405081 \h </w:instrText>
        </w:r>
        <w:r>
          <w:rPr>
            <w:webHidden/>
          </w:rPr>
        </w:r>
        <w:r>
          <w:rPr>
            <w:webHidden/>
          </w:rPr>
          <w:fldChar w:fldCharType="separate"/>
        </w:r>
        <w:r>
          <w:rPr>
            <w:webHidden/>
          </w:rPr>
          <w:t>23</w:t>
        </w:r>
        <w:r>
          <w:rPr>
            <w:webHidden/>
          </w:rPr>
          <w:fldChar w:fldCharType="end"/>
        </w:r>
      </w:hyperlink>
    </w:p>
    <w:p w14:paraId="75A9A369" w14:textId="01877C23"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82" w:history="1">
        <w:r w:rsidRPr="00BB7E8F">
          <w:rPr>
            <w:rStyle w:val="Hyperlink"/>
            <w:noProof/>
          </w:rPr>
          <w:t>2.6</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4: Improve the affordability and value of PHI for privately insured Australians</w:t>
        </w:r>
        <w:r>
          <w:rPr>
            <w:noProof/>
            <w:webHidden/>
          </w:rPr>
          <w:tab/>
        </w:r>
        <w:r>
          <w:rPr>
            <w:noProof/>
            <w:webHidden/>
          </w:rPr>
          <w:fldChar w:fldCharType="begin"/>
        </w:r>
        <w:r>
          <w:rPr>
            <w:noProof/>
            <w:webHidden/>
          </w:rPr>
          <w:instrText xml:space="preserve"> PAGEREF _Toc181405082 \h </w:instrText>
        </w:r>
        <w:r>
          <w:rPr>
            <w:noProof/>
            <w:webHidden/>
          </w:rPr>
        </w:r>
        <w:r>
          <w:rPr>
            <w:noProof/>
            <w:webHidden/>
          </w:rPr>
          <w:fldChar w:fldCharType="separate"/>
        </w:r>
        <w:r>
          <w:rPr>
            <w:noProof/>
            <w:webHidden/>
          </w:rPr>
          <w:t>24</w:t>
        </w:r>
        <w:r>
          <w:rPr>
            <w:noProof/>
            <w:webHidden/>
          </w:rPr>
          <w:fldChar w:fldCharType="end"/>
        </w:r>
      </w:hyperlink>
    </w:p>
    <w:p w14:paraId="07EEF5F9" w14:textId="04A4519E" w:rsidR="009B5D8D" w:rsidRDefault="009B5D8D">
      <w:pPr>
        <w:pStyle w:val="TOC3"/>
        <w:rPr>
          <w:rFonts w:eastAsiaTheme="minorEastAsia" w:cstheme="minorBidi"/>
          <w:kern w:val="2"/>
          <w:sz w:val="24"/>
          <w:szCs w:val="24"/>
          <w:lang w:val="en-AU" w:eastAsia="en-AU"/>
          <w14:ligatures w14:val="standardContextual"/>
        </w:rPr>
      </w:pPr>
      <w:hyperlink w:anchor="_Toc181405083" w:history="1">
        <w:r w:rsidRPr="00BB7E8F">
          <w:rPr>
            <w:rStyle w:val="Hyperlink"/>
          </w:rPr>
          <w:t>2.6.1</w:t>
        </w:r>
        <w:r>
          <w:rPr>
            <w:rFonts w:eastAsiaTheme="minorEastAsia" w:cstheme="minorBidi"/>
            <w:kern w:val="2"/>
            <w:sz w:val="24"/>
            <w:szCs w:val="24"/>
            <w:lang w:val="en-AU" w:eastAsia="en-AU"/>
            <w14:ligatures w14:val="standardContextual"/>
          </w:rPr>
          <w:tab/>
        </w:r>
        <w:r w:rsidRPr="00BB7E8F">
          <w:rPr>
            <w:rStyle w:val="Hyperlink"/>
          </w:rPr>
          <w:t>PHI premiums continue to rise</w:t>
        </w:r>
        <w:r>
          <w:rPr>
            <w:webHidden/>
          </w:rPr>
          <w:tab/>
        </w:r>
        <w:r>
          <w:rPr>
            <w:webHidden/>
          </w:rPr>
          <w:fldChar w:fldCharType="begin"/>
        </w:r>
        <w:r>
          <w:rPr>
            <w:webHidden/>
          </w:rPr>
          <w:instrText xml:space="preserve"> PAGEREF _Toc181405083 \h </w:instrText>
        </w:r>
        <w:r>
          <w:rPr>
            <w:webHidden/>
          </w:rPr>
        </w:r>
        <w:r>
          <w:rPr>
            <w:webHidden/>
          </w:rPr>
          <w:fldChar w:fldCharType="separate"/>
        </w:r>
        <w:r>
          <w:rPr>
            <w:webHidden/>
          </w:rPr>
          <w:t>24</w:t>
        </w:r>
        <w:r>
          <w:rPr>
            <w:webHidden/>
          </w:rPr>
          <w:fldChar w:fldCharType="end"/>
        </w:r>
      </w:hyperlink>
    </w:p>
    <w:p w14:paraId="755F0AA0" w14:textId="31D14166" w:rsidR="009B5D8D" w:rsidRDefault="009B5D8D">
      <w:pPr>
        <w:pStyle w:val="TOC3"/>
        <w:rPr>
          <w:rFonts w:eastAsiaTheme="minorEastAsia" w:cstheme="minorBidi"/>
          <w:kern w:val="2"/>
          <w:sz w:val="24"/>
          <w:szCs w:val="24"/>
          <w:lang w:val="en-AU" w:eastAsia="en-AU"/>
          <w14:ligatures w14:val="standardContextual"/>
        </w:rPr>
      </w:pPr>
      <w:hyperlink w:anchor="_Toc181405084" w:history="1">
        <w:r w:rsidRPr="00BB7E8F">
          <w:rPr>
            <w:rStyle w:val="Hyperlink"/>
          </w:rPr>
          <w:t>2.6.2</w:t>
        </w:r>
        <w:r>
          <w:rPr>
            <w:rFonts w:eastAsiaTheme="minorEastAsia" w:cstheme="minorBidi"/>
            <w:kern w:val="2"/>
            <w:sz w:val="24"/>
            <w:szCs w:val="24"/>
            <w:lang w:val="en-AU" w:eastAsia="en-AU"/>
            <w14:ligatures w14:val="standardContextual"/>
          </w:rPr>
          <w:tab/>
        </w:r>
        <w:r w:rsidRPr="00BB7E8F">
          <w:rPr>
            <w:rStyle w:val="Hyperlink"/>
          </w:rPr>
          <w:t>PHI coverage is rising slowly</w:t>
        </w:r>
        <w:r>
          <w:rPr>
            <w:webHidden/>
          </w:rPr>
          <w:tab/>
        </w:r>
        <w:r>
          <w:rPr>
            <w:webHidden/>
          </w:rPr>
          <w:fldChar w:fldCharType="begin"/>
        </w:r>
        <w:r>
          <w:rPr>
            <w:webHidden/>
          </w:rPr>
          <w:instrText xml:space="preserve"> PAGEREF _Toc181405084 \h </w:instrText>
        </w:r>
        <w:r>
          <w:rPr>
            <w:webHidden/>
          </w:rPr>
        </w:r>
        <w:r>
          <w:rPr>
            <w:webHidden/>
          </w:rPr>
          <w:fldChar w:fldCharType="separate"/>
        </w:r>
        <w:r>
          <w:rPr>
            <w:webHidden/>
          </w:rPr>
          <w:t>28</w:t>
        </w:r>
        <w:r>
          <w:rPr>
            <w:webHidden/>
          </w:rPr>
          <w:fldChar w:fldCharType="end"/>
        </w:r>
      </w:hyperlink>
    </w:p>
    <w:p w14:paraId="5A278CAB" w14:textId="208F09D6" w:rsidR="009B5D8D" w:rsidRDefault="009B5D8D">
      <w:pPr>
        <w:pStyle w:val="TOC3"/>
        <w:rPr>
          <w:rFonts w:eastAsiaTheme="minorEastAsia" w:cstheme="minorBidi"/>
          <w:kern w:val="2"/>
          <w:sz w:val="24"/>
          <w:szCs w:val="24"/>
          <w:lang w:val="en-AU" w:eastAsia="en-AU"/>
          <w14:ligatures w14:val="standardContextual"/>
        </w:rPr>
      </w:pPr>
      <w:hyperlink w:anchor="_Toc181405085" w:history="1">
        <w:r w:rsidRPr="00BB7E8F">
          <w:rPr>
            <w:rStyle w:val="Hyperlink"/>
          </w:rPr>
          <w:t>2.6.3</w:t>
        </w:r>
        <w:r>
          <w:rPr>
            <w:rFonts w:eastAsiaTheme="minorEastAsia" w:cstheme="minorBidi"/>
            <w:kern w:val="2"/>
            <w:sz w:val="24"/>
            <w:szCs w:val="24"/>
            <w:lang w:val="en-AU" w:eastAsia="en-AU"/>
            <w14:ligatures w14:val="standardContextual"/>
          </w:rPr>
          <w:tab/>
        </w:r>
        <w:r w:rsidRPr="00BB7E8F">
          <w:rPr>
            <w:rStyle w:val="Hyperlink"/>
          </w:rPr>
          <w:t>Despite lower PL benefits, higher usage is driving up the overall cost of prostheses</w:t>
        </w:r>
        <w:r>
          <w:rPr>
            <w:webHidden/>
          </w:rPr>
          <w:tab/>
        </w:r>
        <w:r>
          <w:rPr>
            <w:webHidden/>
          </w:rPr>
          <w:fldChar w:fldCharType="begin"/>
        </w:r>
        <w:r>
          <w:rPr>
            <w:webHidden/>
          </w:rPr>
          <w:instrText xml:space="preserve"> PAGEREF _Toc181405085 \h </w:instrText>
        </w:r>
        <w:r>
          <w:rPr>
            <w:webHidden/>
          </w:rPr>
        </w:r>
        <w:r>
          <w:rPr>
            <w:webHidden/>
          </w:rPr>
          <w:fldChar w:fldCharType="separate"/>
        </w:r>
        <w:r>
          <w:rPr>
            <w:webHidden/>
          </w:rPr>
          <w:t>29</w:t>
        </w:r>
        <w:r>
          <w:rPr>
            <w:webHidden/>
          </w:rPr>
          <w:fldChar w:fldCharType="end"/>
        </w:r>
      </w:hyperlink>
    </w:p>
    <w:p w14:paraId="3A4C4F5E" w14:textId="7E509393"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86" w:history="1">
        <w:r w:rsidRPr="00BB7E8F">
          <w:rPr>
            <w:rStyle w:val="Hyperlink"/>
            <w:noProof/>
          </w:rPr>
          <w:t>2.7</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5: Clarify the purpose, definition and scope of the PL in legislation</w:t>
        </w:r>
        <w:r>
          <w:rPr>
            <w:noProof/>
            <w:webHidden/>
          </w:rPr>
          <w:tab/>
        </w:r>
        <w:r>
          <w:rPr>
            <w:noProof/>
            <w:webHidden/>
          </w:rPr>
          <w:fldChar w:fldCharType="begin"/>
        </w:r>
        <w:r>
          <w:rPr>
            <w:noProof/>
            <w:webHidden/>
          </w:rPr>
          <w:instrText xml:space="preserve"> PAGEREF _Toc181405086 \h </w:instrText>
        </w:r>
        <w:r>
          <w:rPr>
            <w:noProof/>
            <w:webHidden/>
          </w:rPr>
        </w:r>
        <w:r>
          <w:rPr>
            <w:noProof/>
            <w:webHidden/>
          </w:rPr>
          <w:fldChar w:fldCharType="separate"/>
        </w:r>
        <w:r>
          <w:rPr>
            <w:noProof/>
            <w:webHidden/>
          </w:rPr>
          <w:t>31</w:t>
        </w:r>
        <w:r>
          <w:rPr>
            <w:noProof/>
            <w:webHidden/>
          </w:rPr>
          <w:fldChar w:fldCharType="end"/>
        </w:r>
      </w:hyperlink>
    </w:p>
    <w:p w14:paraId="1C8D9B6C" w14:textId="2D29C94E" w:rsidR="009B5D8D" w:rsidRDefault="009B5D8D">
      <w:pPr>
        <w:pStyle w:val="TOC3"/>
        <w:rPr>
          <w:rFonts w:eastAsiaTheme="minorEastAsia" w:cstheme="minorBidi"/>
          <w:kern w:val="2"/>
          <w:sz w:val="24"/>
          <w:szCs w:val="24"/>
          <w:lang w:val="en-AU" w:eastAsia="en-AU"/>
          <w14:ligatures w14:val="standardContextual"/>
        </w:rPr>
      </w:pPr>
      <w:hyperlink w:anchor="_Toc181405087" w:history="1">
        <w:r w:rsidRPr="00BB7E8F">
          <w:rPr>
            <w:rStyle w:val="Hyperlink"/>
          </w:rPr>
          <w:t>2.7.1</w:t>
        </w:r>
        <w:r>
          <w:rPr>
            <w:rFonts w:eastAsiaTheme="minorEastAsia" w:cstheme="minorBidi"/>
            <w:kern w:val="2"/>
            <w:sz w:val="24"/>
            <w:szCs w:val="24"/>
            <w:lang w:val="en-AU" w:eastAsia="en-AU"/>
            <w14:ligatures w14:val="standardContextual"/>
          </w:rPr>
          <w:tab/>
        </w:r>
        <w:r w:rsidRPr="00BB7E8F">
          <w:rPr>
            <w:rStyle w:val="Hyperlink"/>
          </w:rPr>
          <w:t>The reforms have brought about legislative changes</w:t>
        </w:r>
        <w:r>
          <w:rPr>
            <w:webHidden/>
          </w:rPr>
          <w:tab/>
        </w:r>
        <w:r>
          <w:rPr>
            <w:webHidden/>
          </w:rPr>
          <w:fldChar w:fldCharType="begin"/>
        </w:r>
        <w:r>
          <w:rPr>
            <w:webHidden/>
          </w:rPr>
          <w:instrText xml:space="preserve"> PAGEREF _Toc181405087 \h </w:instrText>
        </w:r>
        <w:r>
          <w:rPr>
            <w:webHidden/>
          </w:rPr>
        </w:r>
        <w:r>
          <w:rPr>
            <w:webHidden/>
          </w:rPr>
          <w:fldChar w:fldCharType="separate"/>
        </w:r>
        <w:r>
          <w:rPr>
            <w:webHidden/>
          </w:rPr>
          <w:t>31</w:t>
        </w:r>
        <w:r>
          <w:rPr>
            <w:webHidden/>
          </w:rPr>
          <w:fldChar w:fldCharType="end"/>
        </w:r>
      </w:hyperlink>
    </w:p>
    <w:p w14:paraId="7F9042A4" w14:textId="2A041902" w:rsidR="009B5D8D" w:rsidRDefault="009B5D8D">
      <w:pPr>
        <w:pStyle w:val="TOC3"/>
        <w:rPr>
          <w:rFonts w:eastAsiaTheme="minorEastAsia" w:cstheme="minorBidi"/>
          <w:kern w:val="2"/>
          <w:sz w:val="24"/>
          <w:szCs w:val="24"/>
          <w:lang w:val="en-AU" w:eastAsia="en-AU"/>
          <w14:ligatures w14:val="standardContextual"/>
        </w:rPr>
      </w:pPr>
      <w:hyperlink w:anchor="_Toc181405088" w:history="1">
        <w:r w:rsidRPr="00BB7E8F">
          <w:rPr>
            <w:rStyle w:val="Hyperlink"/>
          </w:rPr>
          <w:t>2.7.2</w:t>
        </w:r>
        <w:r>
          <w:rPr>
            <w:rFonts w:eastAsiaTheme="minorEastAsia" w:cstheme="minorBidi"/>
            <w:kern w:val="2"/>
            <w:sz w:val="24"/>
            <w:szCs w:val="24"/>
            <w:lang w:val="en-AU" w:eastAsia="en-AU"/>
            <w14:ligatures w14:val="standardContextual"/>
          </w:rPr>
          <w:tab/>
        </w:r>
        <w:r w:rsidRPr="00BB7E8F">
          <w:rPr>
            <w:rStyle w:val="Hyperlink"/>
          </w:rPr>
          <w:t>The definition, purpose and scope of the PL is more clearly defined in the legislation, however more work is required</w:t>
        </w:r>
        <w:r>
          <w:rPr>
            <w:webHidden/>
          </w:rPr>
          <w:tab/>
        </w:r>
        <w:r>
          <w:rPr>
            <w:webHidden/>
          </w:rPr>
          <w:fldChar w:fldCharType="begin"/>
        </w:r>
        <w:r>
          <w:rPr>
            <w:webHidden/>
          </w:rPr>
          <w:instrText xml:space="preserve"> PAGEREF _Toc181405088 \h </w:instrText>
        </w:r>
        <w:r>
          <w:rPr>
            <w:webHidden/>
          </w:rPr>
        </w:r>
        <w:r>
          <w:rPr>
            <w:webHidden/>
          </w:rPr>
          <w:fldChar w:fldCharType="separate"/>
        </w:r>
        <w:r>
          <w:rPr>
            <w:webHidden/>
          </w:rPr>
          <w:t>32</w:t>
        </w:r>
        <w:r>
          <w:rPr>
            <w:webHidden/>
          </w:rPr>
          <w:fldChar w:fldCharType="end"/>
        </w:r>
      </w:hyperlink>
    </w:p>
    <w:p w14:paraId="5C59878F" w14:textId="41B125CF" w:rsidR="009B5D8D" w:rsidRDefault="009B5D8D">
      <w:pPr>
        <w:pStyle w:val="TOC3"/>
        <w:rPr>
          <w:rFonts w:eastAsiaTheme="minorEastAsia" w:cstheme="minorBidi"/>
          <w:kern w:val="2"/>
          <w:sz w:val="24"/>
          <w:szCs w:val="24"/>
          <w:lang w:val="en-AU" w:eastAsia="en-AU"/>
          <w14:ligatures w14:val="standardContextual"/>
        </w:rPr>
      </w:pPr>
      <w:hyperlink w:anchor="_Toc181405089" w:history="1">
        <w:r w:rsidRPr="00BB7E8F">
          <w:rPr>
            <w:rStyle w:val="Hyperlink"/>
          </w:rPr>
          <w:t>2.7.3</w:t>
        </w:r>
        <w:r>
          <w:rPr>
            <w:rFonts w:eastAsiaTheme="minorEastAsia" w:cstheme="minorBidi"/>
            <w:kern w:val="2"/>
            <w:sz w:val="24"/>
            <w:szCs w:val="24"/>
            <w:lang w:val="en-AU" w:eastAsia="en-AU"/>
            <w14:ligatures w14:val="standardContextual"/>
          </w:rPr>
          <w:tab/>
        </w:r>
        <w:r w:rsidRPr="00BB7E8F">
          <w:rPr>
            <w:rStyle w:val="Hyperlink"/>
          </w:rPr>
          <w:t>Progress towards regrouping the PL has been paused</w:t>
        </w:r>
        <w:r>
          <w:rPr>
            <w:webHidden/>
          </w:rPr>
          <w:tab/>
        </w:r>
        <w:r>
          <w:rPr>
            <w:webHidden/>
          </w:rPr>
          <w:fldChar w:fldCharType="begin"/>
        </w:r>
        <w:r>
          <w:rPr>
            <w:webHidden/>
          </w:rPr>
          <w:instrText xml:space="preserve"> PAGEREF _Toc181405089 \h </w:instrText>
        </w:r>
        <w:r>
          <w:rPr>
            <w:webHidden/>
          </w:rPr>
        </w:r>
        <w:r>
          <w:rPr>
            <w:webHidden/>
          </w:rPr>
          <w:fldChar w:fldCharType="separate"/>
        </w:r>
        <w:r>
          <w:rPr>
            <w:webHidden/>
          </w:rPr>
          <w:t>34</w:t>
        </w:r>
        <w:r>
          <w:rPr>
            <w:webHidden/>
          </w:rPr>
          <w:fldChar w:fldCharType="end"/>
        </w:r>
      </w:hyperlink>
    </w:p>
    <w:p w14:paraId="71B26E0F" w14:textId="5FE2CC94" w:rsidR="009B5D8D" w:rsidRDefault="009B5D8D">
      <w:pPr>
        <w:pStyle w:val="TOC3"/>
        <w:rPr>
          <w:rFonts w:eastAsiaTheme="minorEastAsia" w:cstheme="minorBidi"/>
          <w:kern w:val="2"/>
          <w:sz w:val="24"/>
          <w:szCs w:val="24"/>
          <w:lang w:val="en-AU" w:eastAsia="en-AU"/>
          <w14:ligatures w14:val="standardContextual"/>
        </w:rPr>
      </w:pPr>
      <w:hyperlink w:anchor="_Toc181405090" w:history="1">
        <w:r w:rsidRPr="00BB7E8F">
          <w:rPr>
            <w:rStyle w:val="Hyperlink"/>
          </w:rPr>
          <w:t>2.7.4</w:t>
        </w:r>
        <w:r>
          <w:rPr>
            <w:rFonts w:eastAsiaTheme="minorEastAsia" w:cstheme="minorBidi"/>
            <w:kern w:val="2"/>
            <w:sz w:val="24"/>
            <w:szCs w:val="24"/>
            <w:lang w:val="en-AU" w:eastAsia="en-AU"/>
            <w14:ligatures w14:val="standardContextual"/>
          </w:rPr>
          <w:tab/>
        </w:r>
        <w:r w:rsidRPr="00BB7E8F">
          <w:rPr>
            <w:rStyle w:val="Hyperlink"/>
          </w:rPr>
          <w:t>Lack of agreement to alternative funding arrangements has resulted in  GUIs being retained on the PL</w:t>
        </w:r>
        <w:r>
          <w:rPr>
            <w:webHidden/>
          </w:rPr>
          <w:tab/>
        </w:r>
        <w:r>
          <w:rPr>
            <w:webHidden/>
          </w:rPr>
          <w:fldChar w:fldCharType="begin"/>
        </w:r>
        <w:r>
          <w:rPr>
            <w:webHidden/>
          </w:rPr>
          <w:instrText xml:space="preserve"> PAGEREF _Toc181405090 \h </w:instrText>
        </w:r>
        <w:r>
          <w:rPr>
            <w:webHidden/>
          </w:rPr>
        </w:r>
        <w:r>
          <w:rPr>
            <w:webHidden/>
          </w:rPr>
          <w:fldChar w:fldCharType="separate"/>
        </w:r>
        <w:r>
          <w:rPr>
            <w:webHidden/>
          </w:rPr>
          <w:t>37</w:t>
        </w:r>
        <w:r>
          <w:rPr>
            <w:webHidden/>
          </w:rPr>
          <w:fldChar w:fldCharType="end"/>
        </w:r>
      </w:hyperlink>
    </w:p>
    <w:p w14:paraId="653531FA" w14:textId="6F0180D3"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91" w:history="1">
        <w:r w:rsidRPr="00BB7E8F">
          <w:rPr>
            <w:rStyle w:val="Hyperlink"/>
            <w:noProof/>
          </w:rPr>
          <w:t>2.8</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6: Implement new PL assessment pathways aligned to Health Technology Assessment principles and streamline the application process through simple and robust IT infrastructure</w:t>
        </w:r>
        <w:r>
          <w:rPr>
            <w:noProof/>
            <w:webHidden/>
          </w:rPr>
          <w:tab/>
        </w:r>
        <w:r>
          <w:rPr>
            <w:noProof/>
            <w:webHidden/>
          </w:rPr>
          <w:fldChar w:fldCharType="begin"/>
        </w:r>
        <w:r>
          <w:rPr>
            <w:noProof/>
            <w:webHidden/>
          </w:rPr>
          <w:instrText xml:space="preserve"> PAGEREF _Toc181405091 \h </w:instrText>
        </w:r>
        <w:r>
          <w:rPr>
            <w:noProof/>
            <w:webHidden/>
          </w:rPr>
        </w:r>
        <w:r>
          <w:rPr>
            <w:noProof/>
            <w:webHidden/>
          </w:rPr>
          <w:fldChar w:fldCharType="separate"/>
        </w:r>
        <w:r>
          <w:rPr>
            <w:noProof/>
            <w:webHidden/>
          </w:rPr>
          <w:t>40</w:t>
        </w:r>
        <w:r>
          <w:rPr>
            <w:noProof/>
            <w:webHidden/>
          </w:rPr>
          <w:fldChar w:fldCharType="end"/>
        </w:r>
      </w:hyperlink>
    </w:p>
    <w:p w14:paraId="44CB3FD4" w14:textId="15256208" w:rsidR="009B5D8D" w:rsidRDefault="009B5D8D">
      <w:pPr>
        <w:pStyle w:val="TOC3"/>
        <w:rPr>
          <w:rFonts w:eastAsiaTheme="minorEastAsia" w:cstheme="minorBidi"/>
          <w:kern w:val="2"/>
          <w:sz w:val="24"/>
          <w:szCs w:val="24"/>
          <w:lang w:val="en-AU" w:eastAsia="en-AU"/>
          <w14:ligatures w14:val="standardContextual"/>
        </w:rPr>
      </w:pPr>
      <w:hyperlink w:anchor="_Toc181405092" w:history="1">
        <w:r w:rsidRPr="00BB7E8F">
          <w:rPr>
            <w:rStyle w:val="Hyperlink"/>
          </w:rPr>
          <w:t>2.8.1</w:t>
        </w:r>
        <w:r>
          <w:rPr>
            <w:rFonts w:eastAsiaTheme="minorEastAsia" w:cstheme="minorBidi"/>
            <w:kern w:val="2"/>
            <w:sz w:val="24"/>
            <w:szCs w:val="24"/>
            <w:lang w:val="en-AU" w:eastAsia="en-AU"/>
            <w14:ligatures w14:val="standardContextual"/>
          </w:rPr>
          <w:tab/>
        </w:r>
        <w:r w:rsidRPr="00BB7E8F">
          <w:rPr>
            <w:rStyle w:val="Hyperlink"/>
          </w:rPr>
          <w:t>New assessment pathways and governance processes are in place</w:t>
        </w:r>
        <w:r>
          <w:rPr>
            <w:webHidden/>
          </w:rPr>
          <w:tab/>
        </w:r>
        <w:r>
          <w:rPr>
            <w:webHidden/>
          </w:rPr>
          <w:fldChar w:fldCharType="begin"/>
        </w:r>
        <w:r>
          <w:rPr>
            <w:webHidden/>
          </w:rPr>
          <w:instrText xml:space="preserve"> PAGEREF _Toc181405092 \h </w:instrText>
        </w:r>
        <w:r>
          <w:rPr>
            <w:webHidden/>
          </w:rPr>
        </w:r>
        <w:r>
          <w:rPr>
            <w:webHidden/>
          </w:rPr>
          <w:fldChar w:fldCharType="separate"/>
        </w:r>
        <w:r>
          <w:rPr>
            <w:webHidden/>
          </w:rPr>
          <w:t>40</w:t>
        </w:r>
        <w:r>
          <w:rPr>
            <w:webHidden/>
          </w:rPr>
          <w:fldChar w:fldCharType="end"/>
        </w:r>
      </w:hyperlink>
    </w:p>
    <w:p w14:paraId="445C7318" w14:textId="6A7F33CA" w:rsidR="009B5D8D" w:rsidRDefault="009B5D8D">
      <w:pPr>
        <w:pStyle w:val="TOC3"/>
        <w:rPr>
          <w:rFonts w:eastAsiaTheme="minorEastAsia" w:cstheme="minorBidi"/>
          <w:kern w:val="2"/>
          <w:sz w:val="24"/>
          <w:szCs w:val="24"/>
          <w:lang w:val="en-AU" w:eastAsia="en-AU"/>
          <w14:ligatures w14:val="standardContextual"/>
        </w:rPr>
      </w:pPr>
      <w:hyperlink w:anchor="_Toc181405093" w:history="1">
        <w:r w:rsidRPr="00BB7E8F">
          <w:rPr>
            <w:rStyle w:val="Hyperlink"/>
          </w:rPr>
          <w:t>2.8.2</w:t>
        </w:r>
        <w:r>
          <w:rPr>
            <w:rFonts w:eastAsiaTheme="minorEastAsia" w:cstheme="minorBidi"/>
            <w:kern w:val="2"/>
            <w:sz w:val="24"/>
            <w:szCs w:val="24"/>
            <w:lang w:val="en-AU" w:eastAsia="en-AU"/>
            <w14:ligatures w14:val="standardContextual"/>
          </w:rPr>
          <w:tab/>
        </w:r>
        <w:r w:rsidRPr="00BB7E8F">
          <w:rPr>
            <w:rStyle w:val="Hyperlink"/>
          </w:rPr>
          <w:t>Assessment processes post-reform have improved alignment with HTA principles</w:t>
        </w:r>
        <w:r>
          <w:rPr>
            <w:webHidden/>
          </w:rPr>
          <w:tab/>
        </w:r>
        <w:r>
          <w:rPr>
            <w:webHidden/>
          </w:rPr>
          <w:fldChar w:fldCharType="begin"/>
        </w:r>
        <w:r>
          <w:rPr>
            <w:webHidden/>
          </w:rPr>
          <w:instrText xml:space="preserve"> PAGEREF _Toc181405093 \h </w:instrText>
        </w:r>
        <w:r>
          <w:rPr>
            <w:webHidden/>
          </w:rPr>
        </w:r>
        <w:r>
          <w:rPr>
            <w:webHidden/>
          </w:rPr>
          <w:fldChar w:fldCharType="separate"/>
        </w:r>
        <w:r>
          <w:rPr>
            <w:webHidden/>
          </w:rPr>
          <w:t>44</w:t>
        </w:r>
        <w:r>
          <w:rPr>
            <w:webHidden/>
          </w:rPr>
          <w:fldChar w:fldCharType="end"/>
        </w:r>
      </w:hyperlink>
    </w:p>
    <w:p w14:paraId="29B839B6" w14:textId="0D3D8771"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094" w:history="1">
        <w:r w:rsidRPr="00BB7E8F">
          <w:rPr>
            <w:rStyle w:val="Hyperlink"/>
            <w:noProof/>
          </w:rPr>
          <w:t>2.9</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7: Develop and implement PL listing reviews and PL compliance frameworks to safeguard the PL Reforms</w:t>
        </w:r>
        <w:r>
          <w:rPr>
            <w:noProof/>
            <w:webHidden/>
          </w:rPr>
          <w:tab/>
        </w:r>
        <w:r>
          <w:rPr>
            <w:noProof/>
            <w:webHidden/>
          </w:rPr>
          <w:fldChar w:fldCharType="begin"/>
        </w:r>
        <w:r>
          <w:rPr>
            <w:noProof/>
            <w:webHidden/>
          </w:rPr>
          <w:instrText xml:space="preserve"> PAGEREF _Toc181405094 \h </w:instrText>
        </w:r>
        <w:r>
          <w:rPr>
            <w:noProof/>
            <w:webHidden/>
          </w:rPr>
        </w:r>
        <w:r>
          <w:rPr>
            <w:noProof/>
            <w:webHidden/>
          </w:rPr>
          <w:fldChar w:fldCharType="separate"/>
        </w:r>
        <w:r>
          <w:rPr>
            <w:noProof/>
            <w:webHidden/>
          </w:rPr>
          <w:t>46</w:t>
        </w:r>
        <w:r>
          <w:rPr>
            <w:noProof/>
            <w:webHidden/>
          </w:rPr>
          <w:fldChar w:fldCharType="end"/>
        </w:r>
      </w:hyperlink>
    </w:p>
    <w:p w14:paraId="1B8AB45D" w14:textId="5598EFD1" w:rsidR="009B5D8D" w:rsidRDefault="009B5D8D">
      <w:pPr>
        <w:pStyle w:val="TOC3"/>
        <w:rPr>
          <w:rFonts w:eastAsiaTheme="minorEastAsia" w:cstheme="minorBidi"/>
          <w:kern w:val="2"/>
          <w:sz w:val="24"/>
          <w:szCs w:val="24"/>
          <w:lang w:val="en-AU" w:eastAsia="en-AU"/>
          <w14:ligatures w14:val="standardContextual"/>
        </w:rPr>
      </w:pPr>
      <w:hyperlink w:anchor="_Toc181405095" w:history="1">
        <w:r w:rsidRPr="00BB7E8F">
          <w:rPr>
            <w:rStyle w:val="Hyperlink"/>
          </w:rPr>
          <w:t>2.9.1</w:t>
        </w:r>
        <w:r>
          <w:rPr>
            <w:rFonts w:eastAsiaTheme="minorEastAsia" w:cstheme="minorBidi"/>
            <w:kern w:val="2"/>
            <w:sz w:val="24"/>
            <w:szCs w:val="24"/>
            <w:lang w:val="en-AU" w:eastAsia="en-AU"/>
            <w14:ligatures w14:val="standardContextual"/>
          </w:rPr>
          <w:tab/>
        </w:r>
        <w:r w:rsidRPr="00BB7E8F">
          <w:rPr>
            <w:rStyle w:val="Hyperlink"/>
          </w:rPr>
          <w:t>A new post-listing review framework has guided four pilot reviews</w:t>
        </w:r>
        <w:r>
          <w:rPr>
            <w:webHidden/>
          </w:rPr>
          <w:tab/>
        </w:r>
        <w:r>
          <w:rPr>
            <w:webHidden/>
          </w:rPr>
          <w:fldChar w:fldCharType="begin"/>
        </w:r>
        <w:r>
          <w:rPr>
            <w:webHidden/>
          </w:rPr>
          <w:instrText xml:space="preserve"> PAGEREF _Toc181405095 \h </w:instrText>
        </w:r>
        <w:r>
          <w:rPr>
            <w:webHidden/>
          </w:rPr>
        </w:r>
        <w:r>
          <w:rPr>
            <w:webHidden/>
          </w:rPr>
          <w:fldChar w:fldCharType="separate"/>
        </w:r>
        <w:r>
          <w:rPr>
            <w:webHidden/>
          </w:rPr>
          <w:t>46</w:t>
        </w:r>
        <w:r>
          <w:rPr>
            <w:webHidden/>
          </w:rPr>
          <w:fldChar w:fldCharType="end"/>
        </w:r>
      </w:hyperlink>
    </w:p>
    <w:p w14:paraId="333624EF" w14:textId="370CF86A" w:rsidR="009B5D8D" w:rsidRDefault="009B5D8D">
      <w:pPr>
        <w:pStyle w:val="TOC3"/>
        <w:rPr>
          <w:rFonts w:eastAsiaTheme="minorEastAsia" w:cstheme="minorBidi"/>
          <w:kern w:val="2"/>
          <w:sz w:val="24"/>
          <w:szCs w:val="24"/>
          <w:lang w:val="en-AU" w:eastAsia="en-AU"/>
          <w14:ligatures w14:val="standardContextual"/>
        </w:rPr>
      </w:pPr>
      <w:hyperlink w:anchor="_Toc181405096" w:history="1">
        <w:r w:rsidRPr="00BB7E8F">
          <w:rPr>
            <w:rStyle w:val="Hyperlink"/>
          </w:rPr>
          <w:t>2.9.2</w:t>
        </w:r>
        <w:r>
          <w:rPr>
            <w:rFonts w:eastAsiaTheme="minorEastAsia" w:cstheme="minorBidi"/>
            <w:kern w:val="2"/>
            <w:sz w:val="24"/>
            <w:szCs w:val="24"/>
            <w:lang w:val="en-AU" w:eastAsia="en-AU"/>
            <w14:ligatures w14:val="standardContextual"/>
          </w:rPr>
          <w:tab/>
        </w:r>
        <w:r w:rsidRPr="00BB7E8F">
          <w:rPr>
            <w:rStyle w:val="Hyperlink"/>
          </w:rPr>
          <w:t>The Department has established a new compliance strategy</w:t>
        </w:r>
        <w:r>
          <w:rPr>
            <w:webHidden/>
          </w:rPr>
          <w:tab/>
        </w:r>
        <w:r>
          <w:rPr>
            <w:webHidden/>
          </w:rPr>
          <w:fldChar w:fldCharType="begin"/>
        </w:r>
        <w:r>
          <w:rPr>
            <w:webHidden/>
          </w:rPr>
          <w:instrText xml:space="preserve"> PAGEREF _Toc181405096 \h </w:instrText>
        </w:r>
        <w:r>
          <w:rPr>
            <w:webHidden/>
          </w:rPr>
        </w:r>
        <w:r>
          <w:rPr>
            <w:webHidden/>
          </w:rPr>
          <w:fldChar w:fldCharType="separate"/>
        </w:r>
        <w:r>
          <w:rPr>
            <w:webHidden/>
          </w:rPr>
          <w:t>49</w:t>
        </w:r>
        <w:r>
          <w:rPr>
            <w:webHidden/>
          </w:rPr>
          <w:fldChar w:fldCharType="end"/>
        </w:r>
      </w:hyperlink>
    </w:p>
    <w:p w14:paraId="3F33B3CD" w14:textId="468D90B1" w:rsidR="009B5D8D" w:rsidRDefault="009B5D8D">
      <w:pPr>
        <w:pStyle w:val="TOC2"/>
        <w:tabs>
          <w:tab w:val="left" w:pos="960"/>
          <w:tab w:val="right" w:leader="dot" w:pos="9061"/>
        </w:tabs>
        <w:rPr>
          <w:rFonts w:asciiTheme="minorHAnsi" w:eastAsiaTheme="minorEastAsia" w:hAnsiTheme="minorHAnsi"/>
          <w:noProof/>
          <w:kern w:val="2"/>
          <w:sz w:val="24"/>
          <w:szCs w:val="24"/>
          <w:lang w:val="en-AU" w:eastAsia="en-AU"/>
          <w14:ligatures w14:val="standardContextual"/>
        </w:rPr>
      </w:pPr>
      <w:hyperlink w:anchor="_Toc181405097" w:history="1">
        <w:r w:rsidRPr="00BB7E8F">
          <w:rPr>
            <w:rStyle w:val="Hyperlink"/>
            <w:noProof/>
          </w:rPr>
          <w:t>2.10</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Objective 8: Ensure ongoing financial sustainability of PL administration through effective and efficient cost recovery arrangements that are compliant with the AGCF</w:t>
        </w:r>
        <w:r>
          <w:rPr>
            <w:noProof/>
            <w:webHidden/>
          </w:rPr>
          <w:tab/>
        </w:r>
        <w:r>
          <w:rPr>
            <w:noProof/>
            <w:webHidden/>
          </w:rPr>
          <w:fldChar w:fldCharType="begin"/>
        </w:r>
        <w:r>
          <w:rPr>
            <w:noProof/>
            <w:webHidden/>
          </w:rPr>
          <w:instrText xml:space="preserve"> PAGEREF _Toc181405097 \h </w:instrText>
        </w:r>
        <w:r>
          <w:rPr>
            <w:noProof/>
            <w:webHidden/>
          </w:rPr>
        </w:r>
        <w:r>
          <w:rPr>
            <w:noProof/>
            <w:webHidden/>
          </w:rPr>
          <w:fldChar w:fldCharType="separate"/>
        </w:r>
        <w:r>
          <w:rPr>
            <w:noProof/>
            <w:webHidden/>
          </w:rPr>
          <w:t>53</w:t>
        </w:r>
        <w:r>
          <w:rPr>
            <w:noProof/>
            <w:webHidden/>
          </w:rPr>
          <w:fldChar w:fldCharType="end"/>
        </w:r>
      </w:hyperlink>
    </w:p>
    <w:p w14:paraId="3D85842F" w14:textId="5BB938C7" w:rsidR="009B5D8D" w:rsidRDefault="009B5D8D">
      <w:pPr>
        <w:pStyle w:val="TOC3"/>
        <w:rPr>
          <w:rFonts w:eastAsiaTheme="minorEastAsia" w:cstheme="minorBidi"/>
          <w:kern w:val="2"/>
          <w:sz w:val="24"/>
          <w:szCs w:val="24"/>
          <w:lang w:val="en-AU" w:eastAsia="en-AU"/>
          <w14:ligatures w14:val="standardContextual"/>
        </w:rPr>
      </w:pPr>
      <w:hyperlink w:anchor="_Toc181405098" w:history="1">
        <w:r w:rsidRPr="00BB7E8F">
          <w:rPr>
            <w:rStyle w:val="Hyperlink"/>
          </w:rPr>
          <w:t>2.10.1</w:t>
        </w:r>
        <w:r>
          <w:rPr>
            <w:rFonts w:eastAsiaTheme="minorEastAsia" w:cstheme="minorBidi"/>
            <w:kern w:val="2"/>
            <w:sz w:val="24"/>
            <w:szCs w:val="24"/>
            <w:lang w:val="en-AU" w:eastAsia="en-AU"/>
            <w14:ligatures w14:val="standardContextual"/>
          </w:rPr>
          <w:tab/>
        </w:r>
        <w:r w:rsidRPr="00BB7E8F">
          <w:rPr>
            <w:rStyle w:val="Hyperlink"/>
          </w:rPr>
          <w:t>The reforms have updated the PL’s cost recovery arrangements</w:t>
        </w:r>
        <w:r>
          <w:rPr>
            <w:webHidden/>
          </w:rPr>
          <w:tab/>
        </w:r>
        <w:r>
          <w:rPr>
            <w:webHidden/>
          </w:rPr>
          <w:fldChar w:fldCharType="begin"/>
        </w:r>
        <w:r>
          <w:rPr>
            <w:webHidden/>
          </w:rPr>
          <w:instrText xml:space="preserve"> PAGEREF _Toc181405098 \h </w:instrText>
        </w:r>
        <w:r>
          <w:rPr>
            <w:webHidden/>
          </w:rPr>
        </w:r>
        <w:r>
          <w:rPr>
            <w:webHidden/>
          </w:rPr>
          <w:fldChar w:fldCharType="separate"/>
        </w:r>
        <w:r>
          <w:rPr>
            <w:webHidden/>
          </w:rPr>
          <w:t>54</w:t>
        </w:r>
        <w:r>
          <w:rPr>
            <w:webHidden/>
          </w:rPr>
          <w:fldChar w:fldCharType="end"/>
        </w:r>
      </w:hyperlink>
    </w:p>
    <w:p w14:paraId="462CC834" w14:textId="62B78ABC" w:rsidR="009B5D8D" w:rsidRDefault="009B5D8D">
      <w:pPr>
        <w:pStyle w:val="TOC3"/>
        <w:rPr>
          <w:rFonts w:eastAsiaTheme="minorEastAsia" w:cstheme="minorBidi"/>
          <w:kern w:val="2"/>
          <w:sz w:val="24"/>
          <w:szCs w:val="24"/>
          <w:lang w:val="en-AU" w:eastAsia="en-AU"/>
          <w14:ligatures w14:val="standardContextual"/>
        </w:rPr>
      </w:pPr>
      <w:hyperlink w:anchor="_Toc181405099" w:history="1">
        <w:r w:rsidRPr="00BB7E8F">
          <w:rPr>
            <w:rStyle w:val="Hyperlink"/>
          </w:rPr>
          <w:t>2.10.2</w:t>
        </w:r>
        <w:r>
          <w:rPr>
            <w:rFonts w:eastAsiaTheme="minorEastAsia" w:cstheme="minorBidi"/>
            <w:kern w:val="2"/>
            <w:sz w:val="24"/>
            <w:szCs w:val="24"/>
            <w:lang w:val="en-AU" w:eastAsia="en-AU"/>
            <w14:ligatures w14:val="standardContextual"/>
          </w:rPr>
          <w:tab/>
        </w:r>
        <w:r w:rsidRPr="00BB7E8F">
          <w:rPr>
            <w:rStyle w:val="Hyperlink"/>
          </w:rPr>
          <w:t>There is improvement in the financial sustainability of PL administration</w:t>
        </w:r>
        <w:r>
          <w:rPr>
            <w:webHidden/>
          </w:rPr>
          <w:tab/>
        </w:r>
        <w:r>
          <w:rPr>
            <w:webHidden/>
          </w:rPr>
          <w:fldChar w:fldCharType="begin"/>
        </w:r>
        <w:r>
          <w:rPr>
            <w:webHidden/>
          </w:rPr>
          <w:instrText xml:space="preserve"> PAGEREF _Toc181405099 \h </w:instrText>
        </w:r>
        <w:r>
          <w:rPr>
            <w:webHidden/>
          </w:rPr>
        </w:r>
        <w:r>
          <w:rPr>
            <w:webHidden/>
          </w:rPr>
          <w:fldChar w:fldCharType="separate"/>
        </w:r>
        <w:r>
          <w:rPr>
            <w:webHidden/>
          </w:rPr>
          <w:t>55</w:t>
        </w:r>
        <w:r>
          <w:rPr>
            <w:webHidden/>
          </w:rPr>
          <w:fldChar w:fldCharType="end"/>
        </w:r>
      </w:hyperlink>
    </w:p>
    <w:p w14:paraId="3F095785" w14:textId="469E7419" w:rsidR="009B5D8D" w:rsidRDefault="009B5D8D">
      <w:pPr>
        <w:pStyle w:val="TOC3"/>
        <w:rPr>
          <w:rFonts w:eastAsiaTheme="minorEastAsia" w:cstheme="minorBidi"/>
          <w:kern w:val="2"/>
          <w:sz w:val="24"/>
          <w:szCs w:val="24"/>
          <w:lang w:val="en-AU" w:eastAsia="en-AU"/>
          <w14:ligatures w14:val="standardContextual"/>
        </w:rPr>
      </w:pPr>
      <w:hyperlink w:anchor="_Toc181405100" w:history="1">
        <w:r w:rsidRPr="00BB7E8F">
          <w:rPr>
            <w:rStyle w:val="Hyperlink"/>
          </w:rPr>
          <w:t>2.10.3</w:t>
        </w:r>
        <w:r>
          <w:rPr>
            <w:rFonts w:eastAsiaTheme="minorEastAsia" w:cstheme="minorBidi"/>
            <w:kern w:val="2"/>
            <w:sz w:val="24"/>
            <w:szCs w:val="24"/>
            <w:lang w:val="en-AU" w:eastAsia="en-AU"/>
            <w14:ligatures w14:val="standardContextual"/>
          </w:rPr>
          <w:tab/>
        </w:r>
        <w:r w:rsidRPr="00BB7E8F">
          <w:rPr>
            <w:rStyle w:val="Hyperlink"/>
          </w:rPr>
          <w:t>In addition to cost recovery, the Department should ensure it has sufficient resource capacity to administer the PL</w:t>
        </w:r>
        <w:r>
          <w:rPr>
            <w:webHidden/>
          </w:rPr>
          <w:tab/>
        </w:r>
        <w:r>
          <w:rPr>
            <w:webHidden/>
          </w:rPr>
          <w:fldChar w:fldCharType="begin"/>
        </w:r>
        <w:r>
          <w:rPr>
            <w:webHidden/>
          </w:rPr>
          <w:instrText xml:space="preserve"> PAGEREF _Toc181405100 \h </w:instrText>
        </w:r>
        <w:r>
          <w:rPr>
            <w:webHidden/>
          </w:rPr>
        </w:r>
        <w:r>
          <w:rPr>
            <w:webHidden/>
          </w:rPr>
          <w:fldChar w:fldCharType="separate"/>
        </w:r>
        <w:r>
          <w:rPr>
            <w:webHidden/>
          </w:rPr>
          <w:t>56</w:t>
        </w:r>
        <w:r>
          <w:rPr>
            <w:webHidden/>
          </w:rPr>
          <w:fldChar w:fldCharType="end"/>
        </w:r>
      </w:hyperlink>
    </w:p>
    <w:p w14:paraId="646F60FB" w14:textId="7BF530CB" w:rsidR="009B5D8D" w:rsidRDefault="009B5D8D">
      <w:pPr>
        <w:pStyle w:val="TOC1"/>
        <w:tabs>
          <w:tab w:val="left" w:pos="144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1" w:history="1">
        <w:r w:rsidRPr="00BB7E8F">
          <w:rPr>
            <w:rStyle w:val="Hyperlink"/>
            <w:noProof/>
          </w:rPr>
          <w:t>Appendix A</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Methodology</w:t>
        </w:r>
        <w:r>
          <w:rPr>
            <w:noProof/>
            <w:webHidden/>
          </w:rPr>
          <w:tab/>
        </w:r>
        <w:r>
          <w:rPr>
            <w:noProof/>
            <w:webHidden/>
          </w:rPr>
          <w:fldChar w:fldCharType="begin"/>
        </w:r>
        <w:r>
          <w:rPr>
            <w:noProof/>
            <w:webHidden/>
          </w:rPr>
          <w:instrText xml:space="preserve"> PAGEREF _Toc181405101 \h </w:instrText>
        </w:r>
        <w:r>
          <w:rPr>
            <w:noProof/>
            <w:webHidden/>
          </w:rPr>
        </w:r>
        <w:r>
          <w:rPr>
            <w:noProof/>
            <w:webHidden/>
          </w:rPr>
          <w:fldChar w:fldCharType="separate"/>
        </w:r>
        <w:r>
          <w:rPr>
            <w:noProof/>
            <w:webHidden/>
          </w:rPr>
          <w:t>58</w:t>
        </w:r>
        <w:r>
          <w:rPr>
            <w:noProof/>
            <w:webHidden/>
          </w:rPr>
          <w:fldChar w:fldCharType="end"/>
        </w:r>
      </w:hyperlink>
    </w:p>
    <w:p w14:paraId="1FE86AF5" w14:textId="1691E5BD"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2" w:history="1">
        <w:r w:rsidRPr="00BB7E8F">
          <w:rPr>
            <w:rStyle w:val="Hyperlink"/>
            <w:noProof/>
          </w:rPr>
          <w:t>A.1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Purpose and key objectives</w:t>
        </w:r>
        <w:r>
          <w:rPr>
            <w:noProof/>
            <w:webHidden/>
          </w:rPr>
          <w:tab/>
        </w:r>
        <w:r>
          <w:rPr>
            <w:noProof/>
            <w:webHidden/>
          </w:rPr>
          <w:fldChar w:fldCharType="begin"/>
        </w:r>
        <w:r>
          <w:rPr>
            <w:noProof/>
            <w:webHidden/>
          </w:rPr>
          <w:instrText xml:space="preserve"> PAGEREF _Toc181405102 \h </w:instrText>
        </w:r>
        <w:r>
          <w:rPr>
            <w:noProof/>
            <w:webHidden/>
          </w:rPr>
        </w:r>
        <w:r>
          <w:rPr>
            <w:noProof/>
            <w:webHidden/>
          </w:rPr>
          <w:fldChar w:fldCharType="separate"/>
        </w:r>
        <w:r>
          <w:rPr>
            <w:noProof/>
            <w:webHidden/>
          </w:rPr>
          <w:t>58</w:t>
        </w:r>
        <w:r>
          <w:rPr>
            <w:noProof/>
            <w:webHidden/>
          </w:rPr>
          <w:fldChar w:fldCharType="end"/>
        </w:r>
      </w:hyperlink>
    </w:p>
    <w:p w14:paraId="325BF074" w14:textId="761729B2"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3" w:history="1">
        <w:r w:rsidRPr="00BB7E8F">
          <w:rPr>
            <w:rStyle w:val="Hyperlink"/>
            <w:noProof/>
          </w:rPr>
          <w:t>A.2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Evaluation plan and theory of change</w:t>
        </w:r>
        <w:r>
          <w:rPr>
            <w:noProof/>
            <w:webHidden/>
          </w:rPr>
          <w:tab/>
        </w:r>
        <w:r>
          <w:rPr>
            <w:noProof/>
            <w:webHidden/>
          </w:rPr>
          <w:fldChar w:fldCharType="begin"/>
        </w:r>
        <w:r>
          <w:rPr>
            <w:noProof/>
            <w:webHidden/>
          </w:rPr>
          <w:instrText xml:space="preserve"> PAGEREF _Toc181405103 \h </w:instrText>
        </w:r>
        <w:r>
          <w:rPr>
            <w:noProof/>
            <w:webHidden/>
          </w:rPr>
        </w:r>
        <w:r>
          <w:rPr>
            <w:noProof/>
            <w:webHidden/>
          </w:rPr>
          <w:fldChar w:fldCharType="separate"/>
        </w:r>
        <w:r>
          <w:rPr>
            <w:noProof/>
            <w:webHidden/>
          </w:rPr>
          <w:t>58</w:t>
        </w:r>
        <w:r>
          <w:rPr>
            <w:noProof/>
            <w:webHidden/>
          </w:rPr>
          <w:fldChar w:fldCharType="end"/>
        </w:r>
      </w:hyperlink>
    </w:p>
    <w:p w14:paraId="0C245581" w14:textId="1B5D05AA"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4" w:history="1">
        <w:r w:rsidRPr="00BB7E8F">
          <w:rPr>
            <w:rStyle w:val="Hyperlink"/>
            <w:noProof/>
          </w:rPr>
          <w:t>A.3</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Overall approach and KEQs</w:t>
        </w:r>
        <w:r>
          <w:rPr>
            <w:noProof/>
            <w:webHidden/>
          </w:rPr>
          <w:tab/>
        </w:r>
        <w:r>
          <w:rPr>
            <w:noProof/>
            <w:webHidden/>
          </w:rPr>
          <w:fldChar w:fldCharType="begin"/>
        </w:r>
        <w:r>
          <w:rPr>
            <w:noProof/>
            <w:webHidden/>
          </w:rPr>
          <w:instrText xml:space="preserve"> PAGEREF _Toc181405104 \h </w:instrText>
        </w:r>
        <w:r>
          <w:rPr>
            <w:noProof/>
            <w:webHidden/>
          </w:rPr>
        </w:r>
        <w:r>
          <w:rPr>
            <w:noProof/>
            <w:webHidden/>
          </w:rPr>
          <w:fldChar w:fldCharType="separate"/>
        </w:r>
        <w:r>
          <w:rPr>
            <w:noProof/>
            <w:webHidden/>
          </w:rPr>
          <w:t>62</w:t>
        </w:r>
        <w:r>
          <w:rPr>
            <w:noProof/>
            <w:webHidden/>
          </w:rPr>
          <w:fldChar w:fldCharType="end"/>
        </w:r>
      </w:hyperlink>
    </w:p>
    <w:p w14:paraId="68F0F4A7" w14:textId="5E205B2A"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5" w:history="1">
        <w:r w:rsidRPr="00BB7E8F">
          <w:rPr>
            <w:rStyle w:val="Hyperlink"/>
            <w:noProof/>
          </w:rPr>
          <w:t>A.4</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Approach to data collection and engagement</w:t>
        </w:r>
        <w:r>
          <w:rPr>
            <w:noProof/>
            <w:webHidden/>
          </w:rPr>
          <w:tab/>
        </w:r>
        <w:r>
          <w:rPr>
            <w:noProof/>
            <w:webHidden/>
          </w:rPr>
          <w:fldChar w:fldCharType="begin"/>
        </w:r>
        <w:r>
          <w:rPr>
            <w:noProof/>
            <w:webHidden/>
          </w:rPr>
          <w:instrText xml:space="preserve"> PAGEREF _Toc181405105 \h </w:instrText>
        </w:r>
        <w:r>
          <w:rPr>
            <w:noProof/>
            <w:webHidden/>
          </w:rPr>
        </w:r>
        <w:r>
          <w:rPr>
            <w:noProof/>
            <w:webHidden/>
          </w:rPr>
          <w:fldChar w:fldCharType="separate"/>
        </w:r>
        <w:r>
          <w:rPr>
            <w:noProof/>
            <w:webHidden/>
          </w:rPr>
          <w:t>67</w:t>
        </w:r>
        <w:r>
          <w:rPr>
            <w:noProof/>
            <w:webHidden/>
          </w:rPr>
          <w:fldChar w:fldCharType="end"/>
        </w:r>
      </w:hyperlink>
    </w:p>
    <w:p w14:paraId="7EE68CBF" w14:textId="0F86B651" w:rsidR="009B5D8D" w:rsidRDefault="009B5D8D">
      <w:pPr>
        <w:pStyle w:val="TOC1"/>
        <w:tabs>
          <w:tab w:val="left" w:pos="120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6" w:history="1">
        <w:r w:rsidRPr="00BB7E8F">
          <w:rPr>
            <w:rStyle w:val="Hyperlink"/>
            <w:noProof/>
          </w:rPr>
          <w:t>Appendix B</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Measures detail</w:t>
        </w:r>
        <w:r>
          <w:rPr>
            <w:noProof/>
            <w:webHidden/>
          </w:rPr>
          <w:tab/>
        </w:r>
        <w:r>
          <w:rPr>
            <w:noProof/>
            <w:webHidden/>
          </w:rPr>
          <w:fldChar w:fldCharType="begin"/>
        </w:r>
        <w:r>
          <w:rPr>
            <w:noProof/>
            <w:webHidden/>
          </w:rPr>
          <w:instrText xml:space="preserve"> PAGEREF _Toc181405106 \h </w:instrText>
        </w:r>
        <w:r>
          <w:rPr>
            <w:noProof/>
            <w:webHidden/>
          </w:rPr>
        </w:r>
        <w:r>
          <w:rPr>
            <w:noProof/>
            <w:webHidden/>
          </w:rPr>
          <w:fldChar w:fldCharType="separate"/>
        </w:r>
        <w:r>
          <w:rPr>
            <w:noProof/>
            <w:webHidden/>
          </w:rPr>
          <w:t>68</w:t>
        </w:r>
        <w:r>
          <w:rPr>
            <w:noProof/>
            <w:webHidden/>
          </w:rPr>
          <w:fldChar w:fldCharType="end"/>
        </w:r>
      </w:hyperlink>
    </w:p>
    <w:p w14:paraId="6DB272AC" w14:textId="4C1D7628"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7" w:history="1">
        <w:r w:rsidRPr="00BB7E8F">
          <w:rPr>
            <w:rStyle w:val="Hyperlink"/>
            <w:noProof/>
          </w:rPr>
          <w:t>B.1</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1: Reduction in benefits</w:t>
        </w:r>
        <w:r>
          <w:rPr>
            <w:noProof/>
            <w:webHidden/>
          </w:rPr>
          <w:tab/>
        </w:r>
        <w:r>
          <w:rPr>
            <w:noProof/>
            <w:webHidden/>
          </w:rPr>
          <w:fldChar w:fldCharType="begin"/>
        </w:r>
        <w:r>
          <w:rPr>
            <w:noProof/>
            <w:webHidden/>
          </w:rPr>
          <w:instrText xml:space="preserve"> PAGEREF _Toc181405107 \h </w:instrText>
        </w:r>
        <w:r>
          <w:rPr>
            <w:noProof/>
            <w:webHidden/>
          </w:rPr>
        </w:r>
        <w:r>
          <w:rPr>
            <w:noProof/>
            <w:webHidden/>
          </w:rPr>
          <w:fldChar w:fldCharType="separate"/>
        </w:r>
        <w:r>
          <w:rPr>
            <w:noProof/>
            <w:webHidden/>
          </w:rPr>
          <w:t>68</w:t>
        </w:r>
        <w:r>
          <w:rPr>
            <w:noProof/>
            <w:webHidden/>
          </w:rPr>
          <w:fldChar w:fldCharType="end"/>
        </w:r>
      </w:hyperlink>
    </w:p>
    <w:p w14:paraId="71E610EA" w14:textId="765663F2"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8" w:history="1">
        <w:r w:rsidRPr="00BB7E8F">
          <w:rPr>
            <w:rStyle w:val="Hyperlink"/>
            <w:noProof/>
          </w:rPr>
          <w:t>B.2</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2: Change in the size of the gap between PL benefits and prices paid in more competitive markets</w:t>
        </w:r>
        <w:r>
          <w:rPr>
            <w:noProof/>
            <w:webHidden/>
          </w:rPr>
          <w:tab/>
        </w:r>
        <w:r>
          <w:rPr>
            <w:noProof/>
            <w:webHidden/>
          </w:rPr>
          <w:fldChar w:fldCharType="begin"/>
        </w:r>
        <w:r>
          <w:rPr>
            <w:noProof/>
            <w:webHidden/>
          </w:rPr>
          <w:instrText xml:space="preserve"> PAGEREF _Toc181405108 \h </w:instrText>
        </w:r>
        <w:r>
          <w:rPr>
            <w:noProof/>
            <w:webHidden/>
          </w:rPr>
        </w:r>
        <w:r>
          <w:rPr>
            <w:noProof/>
            <w:webHidden/>
          </w:rPr>
          <w:fldChar w:fldCharType="separate"/>
        </w:r>
        <w:r>
          <w:rPr>
            <w:noProof/>
            <w:webHidden/>
          </w:rPr>
          <w:t>69</w:t>
        </w:r>
        <w:r>
          <w:rPr>
            <w:noProof/>
            <w:webHidden/>
          </w:rPr>
          <w:fldChar w:fldCharType="end"/>
        </w:r>
      </w:hyperlink>
    </w:p>
    <w:p w14:paraId="2223D885" w14:textId="223971C0"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09" w:history="1">
        <w:r w:rsidRPr="00BB7E8F">
          <w:rPr>
            <w:rStyle w:val="Hyperlink"/>
            <w:noProof/>
          </w:rPr>
          <w:t>B.3</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3: Change in out-of-pocket expenses related to PL items</w:t>
        </w:r>
        <w:r>
          <w:rPr>
            <w:noProof/>
            <w:webHidden/>
          </w:rPr>
          <w:tab/>
        </w:r>
        <w:r>
          <w:rPr>
            <w:noProof/>
            <w:webHidden/>
          </w:rPr>
          <w:fldChar w:fldCharType="begin"/>
        </w:r>
        <w:r>
          <w:rPr>
            <w:noProof/>
            <w:webHidden/>
          </w:rPr>
          <w:instrText xml:space="preserve"> PAGEREF _Toc181405109 \h </w:instrText>
        </w:r>
        <w:r>
          <w:rPr>
            <w:noProof/>
            <w:webHidden/>
          </w:rPr>
        </w:r>
        <w:r>
          <w:rPr>
            <w:noProof/>
            <w:webHidden/>
          </w:rPr>
          <w:fldChar w:fldCharType="separate"/>
        </w:r>
        <w:r>
          <w:rPr>
            <w:noProof/>
            <w:webHidden/>
          </w:rPr>
          <w:t>74</w:t>
        </w:r>
        <w:r>
          <w:rPr>
            <w:noProof/>
            <w:webHidden/>
          </w:rPr>
          <w:fldChar w:fldCharType="end"/>
        </w:r>
      </w:hyperlink>
    </w:p>
    <w:p w14:paraId="5436355D" w14:textId="0A346B19"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10" w:history="1">
        <w:r w:rsidRPr="00BB7E8F">
          <w:rPr>
            <w:rStyle w:val="Hyperlink"/>
            <w:noProof/>
          </w:rPr>
          <w:t>B.4</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5: Change in utilisation of PL items</w:t>
        </w:r>
        <w:r>
          <w:rPr>
            <w:noProof/>
            <w:webHidden/>
          </w:rPr>
          <w:tab/>
        </w:r>
        <w:r>
          <w:rPr>
            <w:noProof/>
            <w:webHidden/>
          </w:rPr>
          <w:fldChar w:fldCharType="begin"/>
        </w:r>
        <w:r>
          <w:rPr>
            <w:noProof/>
            <w:webHidden/>
          </w:rPr>
          <w:instrText xml:space="preserve"> PAGEREF _Toc181405110 \h </w:instrText>
        </w:r>
        <w:r>
          <w:rPr>
            <w:noProof/>
            <w:webHidden/>
          </w:rPr>
        </w:r>
        <w:r>
          <w:rPr>
            <w:noProof/>
            <w:webHidden/>
          </w:rPr>
          <w:fldChar w:fldCharType="separate"/>
        </w:r>
        <w:r>
          <w:rPr>
            <w:noProof/>
            <w:webHidden/>
          </w:rPr>
          <w:t>75</w:t>
        </w:r>
        <w:r>
          <w:rPr>
            <w:noProof/>
            <w:webHidden/>
          </w:rPr>
          <w:fldChar w:fldCharType="end"/>
        </w:r>
      </w:hyperlink>
    </w:p>
    <w:p w14:paraId="3EAA22D4" w14:textId="7584C774"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11" w:history="1">
        <w:r w:rsidRPr="00BB7E8F">
          <w:rPr>
            <w:rStyle w:val="Hyperlink"/>
            <w:noProof/>
          </w:rPr>
          <w:t>B.5</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7: Change in PHI coverage and for whom</w:t>
        </w:r>
        <w:r>
          <w:rPr>
            <w:noProof/>
            <w:webHidden/>
          </w:rPr>
          <w:tab/>
        </w:r>
        <w:r>
          <w:rPr>
            <w:noProof/>
            <w:webHidden/>
          </w:rPr>
          <w:fldChar w:fldCharType="begin"/>
        </w:r>
        <w:r>
          <w:rPr>
            <w:noProof/>
            <w:webHidden/>
          </w:rPr>
          <w:instrText xml:space="preserve"> PAGEREF _Toc181405111 \h </w:instrText>
        </w:r>
        <w:r>
          <w:rPr>
            <w:noProof/>
            <w:webHidden/>
          </w:rPr>
        </w:r>
        <w:r>
          <w:rPr>
            <w:noProof/>
            <w:webHidden/>
          </w:rPr>
          <w:fldChar w:fldCharType="separate"/>
        </w:r>
        <w:r>
          <w:rPr>
            <w:noProof/>
            <w:webHidden/>
          </w:rPr>
          <w:t>77</w:t>
        </w:r>
        <w:r>
          <w:rPr>
            <w:noProof/>
            <w:webHidden/>
          </w:rPr>
          <w:fldChar w:fldCharType="end"/>
        </w:r>
      </w:hyperlink>
    </w:p>
    <w:p w14:paraId="2006E407" w14:textId="277A297B" w:rsidR="009B5D8D" w:rsidRDefault="009B5D8D">
      <w:pPr>
        <w:pStyle w:val="TOC2"/>
        <w:tabs>
          <w:tab w:val="left" w:pos="720"/>
          <w:tab w:val="right" w:leader="dot" w:pos="9061"/>
        </w:tabs>
        <w:rPr>
          <w:rFonts w:asciiTheme="minorHAnsi" w:eastAsiaTheme="minorEastAsia" w:hAnsiTheme="minorHAnsi"/>
          <w:noProof/>
          <w:kern w:val="2"/>
          <w:sz w:val="24"/>
          <w:szCs w:val="24"/>
          <w:lang w:val="en-AU" w:eastAsia="en-AU"/>
          <w14:ligatures w14:val="standardContextual"/>
        </w:rPr>
      </w:pPr>
      <w:hyperlink w:anchor="_Toc181405112" w:history="1">
        <w:r w:rsidRPr="00BB7E8F">
          <w:rPr>
            <w:rStyle w:val="Hyperlink"/>
            <w:noProof/>
          </w:rPr>
          <w:t>B.6</w:t>
        </w:r>
        <w:r>
          <w:rPr>
            <w:rFonts w:asciiTheme="minorHAnsi" w:eastAsiaTheme="minorEastAsia" w:hAnsiTheme="minorHAnsi"/>
            <w:noProof/>
            <w:kern w:val="2"/>
            <w:sz w:val="24"/>
            <w:szCs w:val="24"/>
            <w:lang w:val="en-AU" w:eastAsia="en-AU"/>
            <w14:ligatures w14:val="standardContextual"/>
          </w:rPr>
          <w:tab/>
        </w:r>
        <w:r w:rsidRPr="00BB7E8F">
          <w:rPr>
            <w:rStyle w:val="Hyperlink"/>
            <w:noProof/>
          </w:rPr>
          <w:t>Indicator 9: Implementation of PL regrouping</w:t>
        </w:r>
        <w:r>
          <w:rPr>
            <w:noProof/>
            <w:webHidden/>
          </w:rPr>
          <w:tab/>
        </w:r>
        <w:r>
          <w:rPr>
            <w:noProof/>
            <w:webHidden/>
          </w:rPr>
          <w:fldChar w:fldCharType="begin"/>
        </w:r>
        <w:r>
          <w:rPr>
            <w:noProof/>
            <w:webHidden/>
          </w:rPr>
          <w:instrText xml:space="preserve"> PAGEREF _Toc181405112 \h </w:instrText>
        </w:r>
        <w:r>
          <w:rPr>
            <w:noProof/>
            <w:webHidden/>
          </w:rPr>
        </w:r>
        <w:r>
          <w:rPr>
            <w:noProof/>
            <w:webHidden/>
          </w:rPr>
          <w:fldChar w:fldCharType="separate"/>
        </w:r>
        <w:r>
          <w:rPr>
            <w:noProof/>
            <w:webHidden/>
          </w:rPr>
          <w:t>78</w:t>
        </w:r>
        <w:r>
          <w:rPr>
            <w:noProof/>
            <w:webHidden/>
          </w:rPr>
          <w:fldChar w:fldCharType="end"/>
        </w:r>
      </w:hyperlink>
    </w:p>
    <w:p w14:paraId="5878CD5E" w14:textId="43669F2F" w:rsidR="000D5CE3" w:rsidRPr="00760DDA" w:rsidRDefault="008A4363" w:rsidP="000D5CE3">
      <w:pPr>
        <w:rPr>
          <w:lang w:val="en-AU" w:eastAsia="en-AU"/>
        </w:rPr>
      </w:pPr>
      <w:r w:rsidRPr="00760DDA">
        <w:rPr>
          <w:lang w:val="en-AU" w:eastAsia="en-AU"/>
        </w:rPr>
        <w:fldChar w:fldCharType="end"/>
      </w:r>
    </w:p>
    <w:p w14:paraId="2D6B78F3" w14:textId="77777777" w:rsidR="00A3197E" w:rsidRPr="00760DDA" w:rsidRDefault="00A3197E" w:rsidP="000D5CE3">
      <w:pPr>
        <w:rPr>
          <w:lang w:val="en-AU" w:eastAsia="en-AU"/>
        </w:rPr>
      </w:pPr>
    </w:p>
    <w:p w14:paraId="0F0BDF0B" w14:textId="39B2CD98" w:rsidR="00A3197E" w:rsidRPr="00760DDA" w:rsidRDefault="00A3197E" w:rsidP="000D5CE3">
      <w:pPr>
        <w:rPr>
          <w:lang w:val="en-AU" w:eastAsia="en-AU"/>
        </w:rPr>
      </w:pPr>
    </w:p>
    <w:p w14:paraId="55785787" w14:textId="77777777" w:rsidR="00347671" w:rsidRPr="00760DDA" w:rsidRDefault="00347671" w:rsidP="000D5CE3">
      <w:pPr>
        <w:rPr>
          <w:lang w:val="en-AU" w:eastAsia="en-AU"/>
        </w:rPr>
      </w:pPr>
    </w:p>
    <w:p w14:paraId="04C2A82B" w14:textId="77777777" w:rsidR="00347671" w:rsidRPr="00760DDA" w:rsidRDefault="00347671" w:rsidP="000D5CE3">
      <w:pPr>
        <w:rPr>
          <w:lang w:val="en-AU" w:eastAsia="en-AU"/>
        </w:rPr>
        <w:sectPr w:rsidR="00347671" w:rsidRPr="00760DDA" w:rsidSect="006059A7">
          <w:pgSz w:w="11907" w:h="16839" w:code="9"/>
          <w:pgMar w:top="1247" w:right="1418" w:bottom="1701" w:left="1418" w:header="720" w:footer="720" w:gutter="0"/>
          <w:cols w:space="720"/>
          <w:docGrid w:linePitch="360"/>
        </w:sectPr>
      </w:pPr>
    </w:p>
    <w:p w14:paraId="3ABA3018" w14:textId="08AF6A9A" w:rsidR="00BC0F96" w:rsidRDefault="00632C4A" w:rsidP="00632C4A">
      <w:pPr>
        <w:pStyle w:val="Heading1"/>
        <w:numPr>
          <w:ilvl w:val="0"/>
          <w:numId w:val="0"/>
        </w:numPr>
      </w:pPr>
      <w:bookmarkStart w:id="0" w:name="_Toc181405063"/>
      <w:r>
        <w:lastRenderedPageBreak/>
        <w:t>List of Abbreviations</w:t>
      </w:r>
      <w:bookmarkEnd w:id="0"/>
    </w:p>
    <w:tbl>
      <w:tblPr>
        <w:tblStyle w:val="NOUSSideHeader1"/>
        <w:tblW w:w="8931" w:type="dxa"/>
        <w:tblLook w:val="04A0" w:firstRow="1" w:lastRow="0" w:firstColumn="1" w:lastColumn="0" w:noHBand="0" w:noVBand="1"/>
      </w:tblPr>
      <w:tblGrid>
        <w:gridCol w:w="1843"/>
        <w:gridCol w:w="7088"/>
      </w:tblGrid>
      <w:tr w:rsidR="00603A7B" w14:paraId="361A7C6D" w14:textId="77777777">
        <w:trPr>
          <w:cnfStyle w:val="100000000000" w:firstRow="1" w:lastRow="0" w:firstColumn="0" w:lastColumn="0" w:oddVBand="0" w:evenVBand="0" w:oddHBand="0" w:evenHBand="0" w:firstRowFirstColumn="0" w:firstRowLastColumn="0" w:lastRowFirstColumn="0" w:lastRowLastColumn="0"/>
        </w:trPr>
        <w:tc>
          <w:tcPr>
            <w:tcW w:w="1843" w:type="dxa"/>
          </w:tcPr>
          <w:p w14:paraId="627D8E28" w14:textId="77777777" w:rsidR="00632C4A" w:rsidRDefault="00632C4A">
            <w:pPr>
              <w:pStyle w:val="TableNheader"/>
              <w:keepNext w:val="0"/>
              <w:keepLines/>
            </w:pPr>
            <w:r>
              <w:t>Term</w:t>
            </w:r>
          </w:p>
        </w:tc>
        <w:tc>
          <w:tcPr>
            <w:tcW w:w="7088" w:type="dxa"/>
          </w:tcPr>
          <w:p w14:paraId="05C372DF" w14:textId="77777777" w:rsidR="00632C4A" w:rsidRDefault="00632C4A">
            <w:pPr>
              <w:pStyle w:val="TableNheader"/>
              <w:keepNext w:val="0"/>
              <w:keepLines/>
            </w:pPr>
            <w:r>
              <w:t>Definition</w:t>
            </w:r>
          </w:p>
        </w:tc>
      </w:tr>
      <w:tr w:rsidR="00AF0E60" w14:paraId="560E8B90"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41134162" w14:textId="350EBFC8" w:rsidR="00AF0E60" w:rsidRDefault="00AF0E60" w:rsidP="00C1798C">
            <w:pPr>
              <w:pStyle w:val="TableNText"/>
              <w:keepNext w:val="0"/>
              <w:keepLines/>
            </w:pPr>
            <w:r w:rsidRPr="00C1798C">
              <w:rPr>
                <w:rFonts w:asciiTheme="majorHAnsi" w:hAnsiTheme="majorHAnsi" w:cstheme="majorHAnsi"/>
              </w:rPr>
              <w:t>ACCC</w:t>
            </w:r>
          </w:p>
        </w:tc>
        <w:tc>
          <w:tcPr>
            <w:tcW w:w="7088" w:type="dxa"/>
          </w:tcPr>
          <w:p w14:paraId="1AC015BC" w14:textId="0685CDAC" w:rsidR="00AF0E60" w:rsidRDefault="00AF0E60" w:rsidP="00AF0E60">
            <w:pPr>
              <w:pStyle w:val="TableNText"/>
              <w:keepNext w:val="0"/>
              <w:keepLines/>
            </w:pPr>
            <w:r w:rsidRPr="00C905FE">
              <w:t>Australian Competition and Consumer Commission</w:t>
            </w:r>
          </w:p>
        </w:tc>
      </w:tr>
      <w:tr w:rsidR="00632C4A" w14:paraId="675C1D65"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312429E8"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CAG</w:t>
            </w:r>
          </w:p>
        </w:tc>
        <w:tc>
          <w:tcPr>
            <w:tcW w:w="7088" w:type="dxa"/>
          </w:tcPr>
          <w:p w14:paraId="5368679F" w14:textId="77777777" w:rsidR="00632C4A" w:rsidRDefault="00632C4A">
            <w:pPr>
              <w:pStyle w:val="TableNText"/>
              <w:keepNext w:val="0"/>
              <w:keepLines/>
            </w:pPr>
            <w:r>
              <w:t>Clinical Advisory Group</w:t>
            </w:r>
          </w:p>
        </w:tc>
      </w:tr>
      <w:tr w:rsidR="0083532A" w14:paraId="68E1CEDC"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7DB0390A" w14:textId="4BC3A6E2" w:rsidR="0083532A" w:rsidRPr="00E66549" w:rsidRDefault="0083532A">
            <w:pPr>
              <w:pStyle w:val="TableNText"/>
              <w:keepNext w:val="0"/>
              <w:keepLines/>
              <w:rPr>
                <w:rFonts w:asciiTheme="majorHAnsi" w:hAnsiTheme="majorHAnsi" w:cstheme="majorHAnsi"/>
              </w:rPr>
            </w:pPr>
            <w:r>
              <w:rPr>
                <w:rFonts w:asciiTheme="majorHAnsi" w:hAnsiTheme="majorHAnsi" w:cstheme="majorHAnsi"/>
              </w:rPr>
              <w:t>CIED</w:t>
            </w:r>
          </w:p>
        </w:tc>
        <w:tc>
          <w:tcPr>
            <w:tcW w:w="7088" w:type="dxa"/>
          </w:tcPr>
          <w:p w14:paraId="6C894325" w14:textId="795ED7DC" w:rsidR="0083532A" w:rsidRDefault="7219F898">
            <w:pPr>
              <w:pStyle w:val="TableNText"/>
              <w:keepNext w:val="0"/>
              <w:keepLines/>
            </w:pPr>
            <w:r>
              <w:t xml:space="preserve">Cardiac Implantable Electronic Device </w:t>
            </w:r>
          </w:p>
        </w:tc>
      </w:tr>
      <w:tr w:rsidR="00E4067A" w14:paraId="5CC0339E"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75C8F848" w14:textId="46CB321D" w:rsidR="00E4067A" w:rsidRDefault="00182355">
            <w:pPr>
              <w:pStyle w:val="TableNText"/>
              <w:keepNext w:val="0"/>
              <w:keepLines/>
              <w:rPr>
                <w:rFonts w:asciiTheme="majorHAnsi" w:hAnsiTheme="majorHAnsi" w:cstheme="majorHAnsi"/>
              </w:rPr>
            </w:pPr>
            <w:r>
              <w:rPr>
                <w:rFonts w:asciiTheme="majorHAnsi" w:hAnsiTheme="majorHAnsi" w:cstheme="majorHAnsi"/>
              </w:rPr>
              <w:t>CI</w:t>
            </w:r>
            <w:r w:rsidR="008F776A">
              <w:rPr>
                <w:rFonts w:asciiTheme="majorHAnsi" w:hAnsiTheme="majorHAnsi" w:cstheme="majorHAnsi"/>
              </w:rPr>
              <w:t>R</w:t>
            </w:r>
            <w:r>
              <w:rPr>
                <w:rFonts w:asciiTheme="majorHAnsi" w:hAnsiTheme="majorHAnsi" w:cstheme="majorHAnsi"/>
              </w:rPr>
              <w:t>G</w:t>
            </w:r>
          </w:p>
        </w:tc>
        <w:tc>
          <w:tcPr>
            <w:tcW w:w="7088" w:type="dxa"/>
          </w:tcPr>
          <w:p w14:paraId="39E9E342" w14:textId="45DCE119" w:rsidR="00E4067A" w:rsidRDefault="008F776A">
            <w:pPr>
              <w:pStyle w:val="TableNText"/>
              <w:keepNext w:val="0"/>
              <w:keepLines/>
            </w:pPr>
            <w:r w:rsidRPr="00C13822">
              <w:t>Clinical Implementation Reference Group</w:t>
            </w:r>
          </w:p>
        </w:tc>
      </w:tr>
      <w:tr w:rsidR="00632C4A" w14:paraId="20341396"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53E09557"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GUI</w:t>
            </w:r>
          </w:p>
        </w:tc>
        <w:tc>
          <w:tcPr>
            <w:tcW w:w="7088" w:type="dxa"/>
          </w:tcPr>
          <w:p w14:paraId="69CE08CA" w14:textId="77777777" w:rsidR="00632C4A" w:rsidRDefault="00632C4A">
            <w:pPr>
              <w:pStyle w:val="TableNText"/>
              <w:keepNext w:val="0"/>
              <w:keepLines/>
            </w:pPr>
            <w:r>
              <w:t>General Use Item</w:t>
            </w:r>
          </w:p>
        </w:tc>
      </w:tr>
      <w:tr w:rsidR="007313EA" w14:paraId="6043861B"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5B32964A" w14:textId="2E4B936B" w:rsidR="007313EA" w:rsidRPr="00E66549" w:rsidRDefault="007313EA">
            <w:pPr>
              <w:pStyle w:val="TableNText"/>
              <w:keepNext w:val="0"/>
              <w:keepLines/>
              <w:rPr>
                <w:rFonts w:asciiTheme="majorHAnsi" w:hAnsiTheme="majorHAnsi" w:cstheme="majorHAnsi"/>
              </w:rPr>
            </w:pPr>
            <w:r>
              <w:rPr>
                <w:rFonts w:asciiTheme="majorHAnsi" w:hAnsiTheme="majorHAnsi" w:cstheme="majorHAnsi"/>
              </w:rPr>
              <w:t>HT</w:t>
            </w:r>
          </w:p>
        </w:tc>
        <w:tc>
          <w:tcPr>
            <w:tcW w:w="7088" w:type="dxa"/>
          </w:tcPr>
          <w:p w14:paraId="3EBC7E3B" w14:textId="1C86FD6A" w:rsidR="007313EA" w:rsidRDefault="007B0DB5">
            <w:pPr>
              <w:pStyle w:val="TableNText"/>
              <w:keepNext w:val="0"/>
              <w:keepLines/>
            </w:pPr>
            <w:r>
              <w:t>Hospital Treatment</w:t>
            </w:r>
            <w:r w:rsidR="005E5E8E">
              <w:t xml:space="preserve"> (Private Health Insurance)</w:t>
            </w:r>
          </w:p>
        </w:tc>
      </w:tr>
      <w:tr w:rsidR="00632C4A" w14:paraId="7B00F31D"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08E0320B"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IHACPA</w:t>
            </w:r>
          </w:p>
        </w:tc>
        <w:tc>
          <w:tcPr>
            <w:tcW w:w="7088" w:type="dxa"/>
          </w:tcPr>
          <w:p w14:paraId="5D00992B" w14:textId="0CE16599" w:rsidR="00632C4A" w:rsidRDefault="00632C4A">
            <w:pPr>
              <w:pStyle w:val="TableNText"/>
              <w:keepNext w:val="0"/>
              <w:keepLines/>
            </w:pPr>
            <w:bookmarkStart w:id="1" w:name="_Hlk172128613"/>
            <w:r>
              <w:t>Independent Hospital and Aged Care Pricing Authority</w:t>
            </w:r>
            <w:bookmarkEnd w:id="1"/>
          </w:p>
        </w:tc>
      </w:tr>
      <w:tr w:rsidR="00632C4A" w14:paraId="2B0CB057"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6E7BA056"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KEQ</w:t>
            </w:r>
          </w:p>
        </w:tc>
        <w:tc>
          <w:tcPr>
            <w:tcW w:w="7088" w:type="dxa"/>
          </w:tcPr>
          <w:p w14:paraId="17C2E660" w14:textId="77777777" w:rsidR="00632C4A" w:rsidRDefault="00632C4A">
            <w:pPr>
              <w:pStyle w:val="TableNText"/>
              <w:keepNext w:val="0"/>
              <w:keepLines/>
            </w:pPr>
            <w:r>
              <w:t>Key Evaluation Question</w:t>
            </w:r>
          </w:p>
        </w:tc>
      </w:tr>
      <w:tr w:rsidR="00A423A6" w14:paraId="7A4F2AEE"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0F5B9EF8" w14:textId="432672A4" w:rsidR="00A423A6" w:rsidRPr="00E66549" w:rsidRDefault="00A423A6">
            <w:pPr>
              <w:pStyle w:val="TableNText"/>
              <w:keepNext w:val="0"/>
              <w:keepLines/>
              <w:rPr>
                <w:rFonts w:asciiTheme="majorHAnsi" w:hAnsiTheme="majorHAnsi" w:cstheme="majorHAnsi"/>
              </w:rPr>
            </w:pPr>
            <w:r>
              <w:rPr>
                <w:rFonts w:asciiTheme="majorHAnsi" w:hAnsiTheme="majorHAnsi" w:cstheme="majorHAnsi"/>
              </w:rPr>
              <w:t>LPP</w:t>
            </w:r>
          </w:p>
        </w:tc>
        <w:tc>
          <w:tcPr>
            <w:tcW w:w="7088" w:type="dxa"/>
          </w:tcPr>
          <w:p w14:paraId="48EE5567" w14:textId="2D28DF2D" w:rsidR="00A423A6" w:rsidRDefault="00A423A6">
            <w:pPr>
              <w:pStyle w:val="TableNText"/>
              <w:keepNext w:val="0"/>
              <w:keepLines/>
            </w:pPr>
            <w:r w:rsidRPr="006E465D">
              <w:t>Liste des Produits et Prestations</w:t>
            </w:r>
          </w:p>
        </w:tc>
      </w:tr>
      <w:tr w:rsidR="00632C4A" w14:paraId="4BB2E1CD"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20D5CDAD" w14:textId="2C6B27E5"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M</w:t>
            </w:r>
            <w:r w:rsidR="009D42D7">
              <w:rPr>
                <w:rFonts w:asciiTheme="majorHAnsi" w:hAnsiTheme="majorHAnsi" w:cstheme="majorHAnsi"/>
              </w:rPr>
              <w:t>O</w:t>
            </w:r>
            <w:r w:rsidRPr="00E66549">
              <w:rPr>
                <w:rFonts w:asciiTheme="majorHAnsi" w:hAnsiTheme="majorHAnsi" w:cstheme="majorHAnsi"/>
              </w:rPr>
              <w:t>U</w:t>
            </w:r>
          </w:p>
        </w:tc>
        <w:tc>
          <w:tcPr>
            <w:tcW w:w="7088" w:type="dxa"/>
          </w:tcPr>
          <w:p w14:paraId="4540380B" w14:textId="77777777" w:rsidR="00632C4A" w:rsidRDefault="00632C4A">
            <w:pPr>
              <w:pStyle w:val="TableNText"/>
              <w:keepNext w:val="0"/>
              <w:keepLines/>
            </w:pPr>
            <w:r>
              <w:t>Memorandum of Understanding</w:t>
            </w:r>
          </w:p>
        </w:tc>
      </w:tr>
      <w:tr w:rsidR="00677023" w14:paraId="721D4477"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218F5B2E" w14:textId="6657E0E1" w:rsidR="00677023" w:rsidRPr="00E66549" w:rsidRDefault="00677023">
            <w:pPr>
              <w:pStyle w:val="TableNText"/>
              <w:keepNext w:val="0"/>
              <w:keepLines/>
              <w:rPr>
                <w:rFonts w:asciiTheme="majorHAnsi" w:hAnsiTheme="majorHAnsi" w:cstheme="majorHAnsi"/>
              </w:rPr>
            </w:pPr>
            <w:r>
              <w:rPr>
                <w:rFonts w:asciiTheme="majorHAnsi" w:hAnsiTheme="majorHAnsi" w:cstheme="majorHAnsi"/>
              </w:rPr>
              <w:t>MDHTAC</w:t>
            </w:r>
          </w:p>
        </w:tc>
        <w:tc>
          <w:tcPr>
            <w:tcW w:w="7088" w:type="dxa"/>
          </w:tcPr>
          <w:p w14:paraId="13A9BF51" w14:textId="2CDFB37F" w:rsidR="00677023" w:rsidRDefault="001F4EF7">
            <w:pPr>
              <w:pStyle w:val="TableNText"/>
              <w:keepNext w:val="0"/>
              <w:keepLines/>
            </w:pPr>
            <w:r>
              <w:t>Medical Devices and Human Tissue Advisory Committee</w:t>
            </w:r>
          </w:p>
        </w:tc>
      </w:tr>
      <w:tr w:rsidR="00632C4A" w14:paraId="2D524DC0"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288D4D37" w14:textId="77777777" w:rsidR="00632C4A" w:rsidRPr="00E66549" w:rsidRDefault="00632C4A">
            <w:pPr>
              <w:pStyle w:val="TableNText"/>
              <w:keepNext w:val="0"/>
              <w:keepLines/>
              <w:rPr>
                <w:rFonts w:asciiTheme="majorHAnsi" w:hAnsiTheme="majorHAnsi" w:cstheme="majorHAnsi"/>
              </w:rPr>
            </w:pPr>
            <w:r>
              <w:rPr>
                <w:rFonts w:asciiTheme="majorHAnsi" w:hAnsiTheme="majorHAnsi" w:cstheme="majorHAnsi"/>
              </w:rPr>
              <w:t>MSAC</w:t>
            </w:r>
          </w:p>
        </w:tc>
        <w:tc>
          <w:tcPr>
            <w:tcW w:w="7088" w:type="dxa"/>
          </w:tcPr>
          <w:p w14:paraId="4FD8055B" w14:textId="77777777" w:rsidR="00632C4A" w:rsidRDefault="00632C4A">
            <w:pPr>
              <w:pStyle w:val="TableNText"/>
              <w:keepNext w:val="0"/>
              <w:keepLines/>
            </w:pPr>
            <w:r w:rsidRPr="0C63581C">
              <w:t>Medical Services Advisory Committee</w:t>
            </w:r>
          </w:p>
        </w:tc>
      </w:tr>
      <w:tr w:rsidR="00223CAD" w14:paraId="3BD32F2D"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18AF6213" w14:textId="7B04BB2F" w:rsidR="00223CAD" w:rsidRDefault="00223CAD">
            <w:pPr>
              <w:pStyle w:val="TableNText"/>
              <w:keepNext w:val="0"/>
              <w:keepLines/>
              <w:rPr>
                <w:rFonts w:asciiTheme="majorHAnsi" w:hAnsiTheme="majorHAnsi" w:cstheme="majorHAnsi"/>
              </w:rPr>
            </w:pPr>
            <w:r>
              <w:rPr>
                <w:rFonts w:asciiTheme="majorHAnsi" w:hAnsiTheme="majorHAnsi" w:cstheme="majorHAnsi"/>
              </w:rPr>
              <w:t>MTAA</w:t>
            </w:r>
          </w:p>
        </w:tc>
        <w:tc>
          <w:tcPr>
            <w:tcW w:w="7088" w:type="dxa"/>
          </w:tcPr>
          <w:p w14:paraId="1B52354B" w14:textId="025F63A5" w:rsidR="00223CAD" w:rsidRPr="0C63581C" w:rsidRDefault="00B72575">
            <w:pPr>
              <w:pStyle w:val="TableNText"/>
              <w:keepNext w:val="0"/>
              <w:keepLines/>
            </w:pPr>
            <w:r>
              <w:t>Medical Technology</w:t>
            </w:r>
            <w:r w:rsidR="0043670B">
              <w:t xml:space="preserve"> Association of Australia</w:t>
            </w:r>
          </w:p>
        </w:tc>
      </w:tr>
      <w:tr w:rsidR="00632C4A" w14:paraId="7B9DD0AF"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497D827C"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PHI</w:t>
            </w:r>
          </w:p>
        </w:tc>
        <w:tc>
          <w:tcPr>
            <w:tcW w:w="7088" w:type="dxa"/>
          </w:tcPr>
          <w:p w14:paraId="6F03B0AD" w14:textId="77777777" w:rsidR="00632C4A" w:rsidRDefault="00632C4A">
            <w:pPr>
              <w:pStyle w:val="TableNText"/>
              <w:keepNext w:val="0"/>
              <w:keepLines/>
            </w:pPr>
            <w:bookmarkStart w:id="2" w:name="_Hlk172128636"/>
            <w:r>
              <w:t>Private Health Insurance</w:t>
            </w:r>
            <w:bookmarkEnd w:id="2"/>
          </w:p>
        </w:tc>
      </w:tr>
      <w:tr w:rsidR="00632C4A" w14:paraId="1F0BB720"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705BC2E1"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PL</w:t>
            </w:r>
          </w:p>
        </w:tc>
        <w:tc>
          <w:tcPr>
            <w:tcW w:w="7088" w:type="dxa"/>
          </w:tcPr>
          <w:p w14:paraId="0B5034F1" w14:textId="7EB88ABD" w:rsidR="00632C4A" w:rsidRDefault="00632C4A">
            <w:pPr>
              <w:pStyle w:val="TableNText"/>
              <w:keepNext w:val="0"/>
              <w:keepLines/>
            </w:pPr>
            <w:r>
              <w:t>Prescribed List of Medical Devices and Human Tissue Products</w:t>
            </w:r>
          </w:p>
        </w:tc>
      </w:tr>
      <w:tr w:rsidR="00632C4A" w14:paraId="7BF30269"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1F7D1B99"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PLAC</w:t>
            </w:r>
          </w:p>
        </w:tc>
        <w:tc>
          <w:tcPr>
            <w:tcW w:w="7088" w:type="dxa"/>
          </w:tcPr>
          <w:p w14:paraId="1D986F50" w14:textId="77777777" w:rsidR="00632C4A" w:rsidRPr="008D734F" w:rsidRDefault="00632C4A">
            <w:pPr>
              <w:pStyle w:val="TableNText"/>
              <w:keepNext w:val="0"/>
              <w:keepLines/>
            </w:pPr>
            <w:r>
              <w:t>Prostheses List Advisory Committee</w:t>
            </w:r>
          </w:p>
        </w:tc>
      </w:tr>
      <w:tr w:rsidR="00632C4A" w14:paraId="4DF84A20" w14:textId="77777777">
        <w:trPr>
          <w:cnfStyle w:val="000000100000" w:firstRow="0" w:lastRow="0" w:firstColumn="0" w:lastColumn="0" w:oddVBand="0" w:evenVBand="0" w:oddHBand="1" w:evenHBand="0" w:firstRowFirstColumn="0" w:firstRowLastColumn="0" w:lastRowFirstColumn="0" w:lastRowLastColumn="0"/>
        </w:trPr>
        <w:tc>
          <w:tcPr>
            <w:tcW w:w="1843" w:type="dxa"/>
          </w:tcPr>
          <w:p w14:paraId="34B078BF" w14:textId="77777777" w:rsidR="00632C4A" w:rsidRPr="00E66549" w:rsidRDefault="00632C4A">
            <w:pPr>
              <w:pStyle w:val="TableNText"/>
              <w:keepNext w:val="0"/>
              <w:keepLines/>
              <w:rPr>
                <w:rFonts w:asciiTheme="majorHAnsi" w:hAnsiTheme="majorHAnsi" w:cstheme="majorHAnsi"/>
              </w:rPr>
            </w:pPr>
            <w:r w:rsidRPr="00E66549">
              <w:rPr>
                <w:rFonts w:asciiTheme="majorHAnsi" w:hAnsiTheme="majorHAnsi" w:cstheme="majorHAnsi"/>
              </w:rPr>
              <w:t>PLRT</w:t>
            </w:r>
          </w:p>
        </w:tc>
        <w:tc>
          <w:tcPr>
            <w:tcW w:w="7088" w:type="dxa"/>
          </w:tcPr>
          <w:p w14:paraId="711501F0" w14:textId="178791BA" w:rsidR="00632C4A" w:rsidRPr="008D734F" w:rsidRDefault="00334048">
            <w:pPr>
              <w:pStyle w:val="TableNText"/>
              <w:keepNext w:val="0"/>
              <w:keepLines/>
            </w:pPr>
            <w:r>
              <w:t xml:space="preserve">Prescribed </w:t>
            </w:r>
            <w:r w:rsidR="00632C4A">
              <w:t>List Reform Taskforce</w:t>
            </w:r>
          </w:p>
        </w:tc>
      </w:tr>
      <w:tr w:rsidR="001B656C" w14:paraId="2EB44750" w14:textId="77777777">
        <w:trPr>
          <w:cnfStyle w:val="000000010000" w:firstRow="0" w:lastRow="0" w:firstColumn="0" w:lastColumn="0" w:oddVBand="0" w:evenVBand="0" w:oddHBand="0" w:evenHBand="1" w:firstRowFirstColumn="0" w:firstRowLastColumn="0" w:lastRowFirstColumn="0" w:lastRowLastColumn="0"/>
        </w:trPr>
        <w:tc>
          <w:tcPr>
            <w:tcW w:w="1843" w:type="dxa"/>
          </w:tcPr>
          <w:p w14:paraId="14464051" w14:textId="3EEFE649" w:rsidR="001B656C" w:rsidRPr="00E66549" w:rsidRDefault="001B656C">
            <w:pPr>
              <w:pStyle w:val="TableNText"/>
              <w:keepNext w:val="0"/>
              <w:keepLines/>
              <w:rPr>
                <w:rFonts w:asciiTheme="majorHAnsi" w:hAnsiTheme="majorHAnsi" w:cstheme="majorHAnsi"/>
              </w:rPr>
            </w:pPr>
            <w:r>
              <w:rPr>
                <w:rFonts w:asciiTheme="majorHAnsi" w:hAnsiTheme="majorHAnsi" w:cstheme="majorHAnsi"/>
              </w:rPr>
              <w:t>SBV</w:t>
            </w:r>
          </w:p>
        </w:tc>
        <w:tc>
          <w:tcPr>
            <w:tcW w:w="7088" w:type="dxa"/>
          </w:tcPr>
          <w:p w14:paraId="661E2D14" w14:textId="4F659109" w:rsidR="001B656C" w:rsidRDefault="007E3883">
            <w:pPr>
              <w:pStyle w:val="TableNText"/>
              <w:keepNext w:val="0"/>
              <w:keepLines/>
            </w:pPr>
            <w:r>
              <w:t>Single Benefit Value</w:t>
            </w:r>
          </w:p>
        </w:tc>
      </w:tr>
    </w:tbl>
    <w:p w14:paraId="6167B59D" w14:textId="77777777" w:rsidR="00632C4A" w:rsidRDefault="00632C4A" w:rsidP="00632C4A">
      <w:pPr>
        <w:rPr>
          <w:lang w:val="en-AU" w:eastAsia="en-AU"/>
        </w:rPr>
      </w:pPr>
    </w:p>
    <w:p w14:paraId="6643CD61" w14:textId="4FA1EB22" w:rsidR="009C3D4F" w:rsidRPr="00446C8A" w:rsidRDefault="00855AC2" w:rsidP="00A91916">
      <w:pPr>
        <w:spacing w:after="160" w:line="259" w:lineRule="auto"/>
        <w:rPr>
          <w:i/>
          <w:iCs/>
          <w:lang w:val="en-AU" w:eastAsia="en-AU"/>
        </w:rPr>
      </w:pPr>
      <w:r w:rsidRPr="00855AC2">
        <w:rPr>
          <w:i/>
          <w:iCs/>
          <w:lang w:val="en-AU" w:eastAsia="en-AU"/>
        </w:rPr>
        <w:t>Following the commencement of</w:t>
      </w:r>
      <w:r w:rsidR="00036560">
        <w:rPr>
          <w:i/>
          <w:iCs/>
          <w:lang w:val="en-AU" w:eastAsia="en-AU"/>
        </w:rPr>
        <w:t xml:space="preserve"> the</w:t>
      </w:r>
      <w:r w:rsidRPr="00855AC2">
        <w:rPr>
          <w:i/>
          <w:iCs/>
          <w:lang w:val="en-AU" w:eastAsia="en-AU"/>
        </w:rPr>
        <w:t xml:space="preserve"> reforms, the Prostheses List has been renamed the Prescribed List of Medical Devices and Human Tissue Products. This report </w:t>
      </w:r>
      <w:r w:rsidR="00E55C65">
        <w:rPr>
          <w:i/>
          <w:iCs/>
          <w:lang w:val="en-AU" w:eastAsia="en-AU"/>
        </w:rPr>
        <w:t>still</w:t>
      </w:r>
      <w:r w:rsidRPr="00855AC2">
        <w:rPr>
          <w:i/>
          <w:iCs/>
          <w:lang w:val="en-AU" w:eastAsia="en-AU"/>
        </w:rPr>
        <w:t xml:space="preserve"> refe</w:t>
      </w:r>
      <w:r w:rsidR="00E55C65">
        <w:rPr>
          <w:i/>
          <w:iCs/>
          <w:lang w:val="en-AU" w:eastAsia="en-AU"/>
        </w:rPr>
        <w:t>rs</w:t>
      </w:r>
      <w:r w:rsidRPr="00855AC2">
        <w:rPr>
          <w:i/>
          <w:iCs/>
          <w:lang w:val="en-AU" w:eastAsia="en-AU"/>
        </w:rPr>
        <w:t xml:space="preserve"> to the 'Prostheses List' in instances where original terminology remains applicable, such as in references to the Prostheses List Advisory Committee. Unless otherwise specified, the terms ‘prostheses,’ ‘items,’ and ‘devices’ refer to the medical devices and human tissue products listed on the Prescribed List.</w:t>
      </w:r>
      <w:r w:rsidR="009C3D4F" w:rsidRPr="00446C8A">
        <w:rPr>
          <w:i/>
          <w:iCs/>
          <w:lang w:val="en-AU" w:eastAsia="en-AU"/>
        </w:rPr>
        <w:br w:type="page"/>
      </w:r>
    </w:p>
    <w:p w14:paraId="53F01E6A" w14:textId="6B1EFD6C" w:rsidR="009C3D4F" w:rsidRDefault="009C3D4F" w:rsidP="009C3D4F">
      <w:pPr>
        <w:pStyle w:val="Heading1"/>
        <w:numPr>
          <w:ilvl w:val="0"/>
          <w:numId w:val="0"/>
        </w:numPr>
      </w:pPr>
      <w:bookmarkStart w:id="3" w:name="_Toc181405064"/>
      <w:r>
        <w:lastRenderedPageBreak/>
        <w:t>Executive Summary</w:t>
      </w:r>
      <w:bookmarkEnd w:id="3"/>
    </w:p>
    <w:p w14:paraId="4163A8F6" w14:textId="127CA293" w:rsidR="005A390C" w:rsidRDefault="78FE0AD9">
      <w:pPr>
        <w:spacing w:after="160" w:line="259" w:lineRule="auto"/>
        <w:rPr>
          <w:lang w:eastAsia="en-AU"/>
        </w:rPr>
      </w:pPr>
      <w:r w:rsidRPr="40A7BA96">
        <w:rPr>
          <w:lang w:eastAsia="en-AU"/>
        </w:rPr>
        <w:t xml:space="preserve">The </w:t>
      </w:r>
      <w:r w:rsidR="00377B06">
        <w:t>Prescribed List of Medical Devices and Human Tissue Products</w:t>
      </w:r>
      <w:r w:rsidR="00377B06" w:rsidRPr="40A7BA96">
        <w:rPr>
          <w:lang w:eastAsia="en-AU"/>
        </w:rPr>
        <w:t xml:space="preserve"> </w:t>
      </w:r>
      <w:r w:rsidR="00377B06">
        <w:rPr>
          <w:lang w:eastAsia="en-AU"/>
        </w:rPr>
        <w:t xml:space="preserve">(PL) </w:t>
      </w:r>
      <w:r w:rsidRPr="40A7BA96">
        <w:rPr>
          <w:lang w:eastAsia="en-AU"/>
        </w:rPr>
        <w:t xml:space="preserve">reform program has </w:t>
      </w:r>
      <w:r w:rsidR="00E27BDD">
        <w:rPr>
          <w:lang w:eastAsia="en-AU"/>
        </w:rPr>
        <w:t>involved a substantial investment</w:t>
      </w:r>
      <w:r w:rsidRPr="40A7BA96">
        <w:rPr>
          <w:lang w:eastAsia="en-AU"/>
        </w:rPr>
        <w:t xml:space="preserve"> of time and effort </w:t>
      </w:r>
      <w:r w:rsidR="00E27BDD">
        <w:rPr>
          <w:lang w:eastAsia="en-AU"/>
        </w:rPr>
        <w:t>from</w:t>
      </w:r>
      <w:r w:rsidRPr="40A7BA96">
        <w:rPr>
          <w:lang w:eastAsia="en-AU"/>
        </w:rPr>
        <w:t xml:space="preserve"> the </w:t>
      </w:r>
      <w:r w:rsidR="0026541B">
        <w:rPr>
          <w:lang w:eastAsia="en-AU"/>
        </w:rPr>
        <w:t xml:space="preserve">Australian </w:t>
      </w:r>
      <w:r w:rsidR="31785A7D" w:rsidRPr="66F58D27">
        <w:rPr>
          <w:lang w:eastAsia="en-AU"/>
        </w:rPr>
        <w:t xml:space="preserve">Government, the </w:t>
      </w:r>
      <w:r w:rsidR="0013104A">
        <w:rPr>
          <w:lang w:eastAsia="en-AU"/>
        </w:rPr>
        <w:t>D</w:t>
      </w:r>
      <w:r w:rsidR="007B7B65">
        <w:rPr>
          <w:lang w:eastAsia="en-AU"/>
        </w:rPr>
        <w:t>epartment</w:t>
      </w:r>
      <w:r w:rsidR="003E3EE7">
        <w:rPr>
          <w:lang w:eastAsia="en-AU"/>
        </w:rPr>
        <w:t xml:space="preserve"> of Health and Aged Care (the </w:t>
      </w:r>
      <w:r w:rsidR="00C0725E">
        <w:rPr>
          <w:lang w:eastAsia="en-AU"/>
        </w:rPr>
        <w:t>Department</w:t>
      </w:r>
      <w:r w:rsidR="003E3EE7">
        <w:rPr>
          <w:lang w:eastAsia="en-AU"/>
        </w:rPr>
        <w:t>)</w:t>
      </w:r>
      <w:r w:rsidR="1070B60C" w:rsidRPr="7E7B33DF">
        <w:rPr>
          <w:lang w:eastAsia="en-AU"/>
        </w:rPr>
        <w:t xml:space="preserve">, </w:t>
      </w:r>
      <w:r w:rsidR="00AA777E">
        <w:t>Independent Hospital and Aged Care Pricing Authority</w:t>
      </w:r>
      <w:r w:rsidR="1070B60C" w:rsidRPr="7E7B33DF">
        <w:rPr>
          <w:lang w:eastAsia="en-AU"/>
        </w:rPr>
        <w:t xml:space="preserve"> </w:t>
      </w:r>
      <w:r w:rsidR="00AA777E">
        <w:rPr>
          <w:lang w:eastAsia="en-AU"/>
        </w:rPr>
        <w:t>(</w:t>
      </w:r>
      <w:r w:rsidR="1070B60C" w:rsidRPr="7E7B33DF">
        <w:rPr>
          <w:lang w:eastAsia="en-AU"/>
        </w:rPr>
        <w:t>IHACPA</w:t>
      </w:r>
      <w:r w:rsidR="00AA777E">
        <w:rPr>
          <w:lang w:eastAsia="en-AU"/>
        </w:rPr>
        <w:t>)</w:t>
      </w:r>
      <w:r w:rsidRPr="40A7BA96">
        <w:rPr>
          <w:lang w:eastAsia="en-AU"/>
        </w:rPr>
        <w:t xml:space="preserve"> and stakeholders across </w:t>
      </w:r>
      <w:r w:rsidR="00886F82">
        <w:t>private health insurance</w:t>
      </w:r>
      <w:r w:rsidR="00AA777E" w:rsidRPr="40A7BA96">
        <w:rPr>
          <w:lang w:eastAsia="en-AU"/>
        </w:rPr>
        <w:t xml:space="preserve"> </w:t>
      </w:r>
      <w:r w:rsidR="00AA777E">
        <w:rPr>
          <w:lang w:eastAsia="en-AU"/>
        </w:rPr>
        <w:t>(</w:t>
      </w:r>
      <w:r w:rsidRPr="40A7BA96">
        <w:rPr>
          <w:lang w:eastAsia="en-AU"/>
        </w:rPr>
        <w:t>PHI</w:t>
      </w:r>
      <w:r w:rsidR="00AA777E">
        <w:rPr>
          <w:lang w:eastAsia="en-AU"/>
        </w:rPr>
        <w:t>)</w:t>
      </w:r>
      <w:r w:rsidRPr="40A7BA96">
        <w:rPr>
          <w:lang w:eastAsia="en-AU"/>
        </w:rPr>
        <w:t xml:space="preserve">, </w:t>
      </w:r>
      <w:r w:rsidR="00283139">
        <w:rPr>
          <w:lang w:eastAsia="en-AU"/>
        </w:rPr>
        <w:t xml:space="preserve">the </w:t>
      </w:r>
      <w:r w:rsidRPr="40A7BA96">
        <w:rPr>
          <w:lang w:eastAsia="en-AU"/>
        </w:rPr>
        <w:t xml:space="preserve">medical </w:t>
      </w:r>
      <w:r w:rsidR="00283139">
        <w:rPr>
          <w:lang w:eastAsia="en-AU"/>
        </w:rPr>
        <w:t>device industry</w:t>
      </w:r>
      <w:r w:rsidRPr="40A7BA96">
        <w:rPr>
          <w:lang w:eastAsia="en-AU"/>
        </w:rPr>
        <w:t>, consumers and clinic</w:t>
      </w:r>
      <w:r w:rsidR="0E312AA3" w:rsidRPr="40A7BA96">
        <w:rPr>
          <w:lang w:eastAsia="en-AU"/>
        </w:rPr>
        <w:t>ians.</w:t>
      </w:r>
      <w:r w:rsidR="00A27BE2">
        <w:rPr>
          <w:lang w:eastAsia="en-AU"/>
        </w:rPr>
        <w:t xml:space="preserve"> </w:t>
      </w:r>
      <w:r w:rsidR="005A390C">
        <w:rPr>
          <w:lang w:eastAsia="en-AU"/>
        </w:rPr>
        <w:t>While</w:t>
      </w:r>
      <w:r w:rsidR="005A390C" w:rsidRPr="005A390C">
        <w:rPr>
          <w:lang w:eastAsia="en-AU"/>
        </w:rPr>
        <w:t xml:space="preserve"> holding a range of divergent views, their collaboration has generated </w:t>
      </w:r>
      <w:r w:rsidR="00C7345B">
        <w:rPr>
          <w:lang w:eastAsia="en-AU"/>
        </w:rPr>
        <w:t xml:space="preserve">significant </w:t>
      </w:r>
      <w:r w:rsidR="005A390C" w:rsidRPr="005A390C">
        <w:rPr>
          <w:lang w:eastAsia="en-AU"/>
        </w:rPr>
        <w:t xml:space="preserve">estimated savings of between $282 million and $291 million for the </w:t>
      </w:r>
      <w:r w:rsidR="00BB6DB6">
        <w:rPr>
          <w:lang w:eastAsia="en-AU"/>
        </w:rPr>
        <w:t xml:space="preserve">Australian </w:t>
      </w:r>
      <w:r w:rsidR="005A390C" w:rsidRPr="005A390C">
        <w:rPr>
          <w:lang w:eastAsia="en-AU"/>
        </w:rPr>
        <w:t>health system over the past two years</w:t>
      </w:r>
      <w:r w:rsidR="004941C2">
        <w:rPr>
          <w:rStyle w:val="FootnoteReference"/>
          <w:lang w:val="en-AU" w:eastAsia="en-AU"/>
        </w:rPr>
        <w:footnoteReference w:id="2"/>
      </w:r>
      <w:r w:rsidR="005A390C" w:rsidRPr="005A390C">
        <w:rPr>
          <w:lang w:eastAsia="en-AU"/>
        </w:rPr>
        <w:t xml:space="preserve">, ultimately putting downward pressure on PHI premiums. This has </w:t>
      </w:r>
      <w:r w:rsidR="00AB6DD8">
        <w:rPr>
          <w:lang w:eastAsia="en-AU"/>
        </w:rPr>
        <w:t xml:space="preserve">resulted in </w:t>
      </w:r>
      <w:r w:rsidR="005A390C" w:rsidRPr="005A390C">
        <w:rPr>
          <w:lang w:eastAsia="en-AU"/>
        </w:rPr>
        <w:t xml:space="preserve">lower premiums </w:t>
      </w:r>
      <w:r w:rsidR="00EA76F4">
        <w:rPr>
          <w:lang w:eastAsia="en-AU"/>
        </w:rPr>
        <w:t>than there otherwise would have been</w:t>
      </w:r>
      <w:r w:rsidR="005A390C" w:rsidRPr="005A390C">
        <w:rPr>
          <w:lang w:eastAsia="en-AU"/>
        </w:rPr>
        <w:t>.</w:t>
      </w:r>
    </w:p>
    <w:p w14:paraId="03768AFC" w14:textId="62867AB6" w:rsidR="00090201" w:rsidRDefault="00DF4153" w:rsidP="0018365B">
      <w:pPr>
        <w:rPr>
          <w:lang w:eastAsia="en-AU"/>
        </w:rPr>
      </w:pPr>
      <w:r w:rsidRPr="00DF4153">
        <w:rPr>
          <w:lang w:eastAsia="en-AU"/>
        </w:rPr>
        <w:t>A key component of the reform</w:t>
      </w:r>
      <w:r w:rsidR="00BC6436">
        <w:rPr>
          <w:lang w:eastAsia="en-AU"/>
        </w:rPr>
        <w:t xml:space="preserve">s </w:t>
      </w:r>
      <w:r w:rsidRPr="00DF4153">
        <w:rPr>
          <w:lang w:eastAsia="en-AU"/>
        </w:rPr>
        <w:t>was a planned series of reductions to PL benefits</w:t>
      </w:r>
      <w:r w:rsidR="00BC6436">
        <w:rPr>
          <w:lang w:eastAsia="en-AU"/>
        </w:rPr>
        <w:t xml:space="preserve">. </w:t>
      </w:r>
      <w:r w:rsidR="002D3D29">
        <w:rPr>
          <w:lang w:eastAsia="en-AU"/>
        </w:rPr>
        <w:t>To date these have been</w:t>
      </w:r>
      <w:r w:rsidRPr="00DF4153">
        <w:rPr>
          <w:lang w:eastAsia="en-AU"/>
        </w:rPr>
        <w:t xml:space="preserve"> </w:t>
      </w:r>
      <w:r w:rsidR="00063CF6">
        <w:rPr>
          <w:lang w:eastAsia="en-AU"/>
        </w:rPr>
        <w:t xml:space="preserve">achieved </w:t>
      </w:r>
      <w:r w:rsidRPr="00DF4153">
        <w:rPr>
          <w:lang w:eastAsia="en-AU"/>
        </w:rPr>
        <w:t>within the original timeframe</w:t>
      </w:r>
      <w:r w:rsidR="007E1AD5">
        <w:rPr>
          <w:lang w:eastAsia="en-AU"/>
        </w:rPr>
        <w:t>s</w:t>
      </w:r>
      <w:r w:rsidRPr="00DF4153">
        <w:rPr>
          <w:lang w:eastAsia="en-AU"/>
        </w:rPr>
        <w:t xml:space="preserve"> set </w:t>
      </w:r>
      <w:r w:rsidR="002516D0">
        <w:rPr>
          <w:lang w:eastAsia="en-AU"/>
        </w:rPr>
        <w:t>out by</w:t>
      </w:r>
      <w:r w:rsidRPr="00DF4153">
        <w:rPr>
          <w:lang w:eastAsia="en-AU"/>
        </w:rPr>
        <w:t xml:space="preserve"> Government, following </w:t>
      </w:r>
      <w:r w:rsidR="007E1AD5">
        <w:rPr>
          <w:lang w:eastAsia="en-AU"/>
        </w:rPr>
        <w:t>an</w:t>
      </w:r>
      <w:r w:rsidR="002516D0">
        <w:rPr>
          <w:lang w:eastAsia="en-AU"/>
        </w:rPr>
        <w:t xml:space="preserve"> agreed</w:t>
      </w:r>
      <w:r w:rsidRPr="00DF4153">
        <w:rPr>
          <w:lang w:eastAsia="en-AU"/>
        </w:rPr>
        <w:t xml:space="preserve"> methodology </w:t>
      </w:r>
      <w:r w:rsidR="00063CF6">
        <w:rPr>
          <w:lang w:eastAsia="en-AU"/>
        </w:rPr>
        <w:t>implemented by</w:t>
      </w:r>
      <w:r w:rsidRPr="00DF4153">
        <w:rPr>
          <w:lang w:eastAsia="en-AU"/>
        </w:rPr>
        <w:t xml:space="preserve"> IHACPA.</w:t>
      </w:r>
      <w:r w:rsidR="00090201">
        <w:rPr>
          <w:lang w:eastAsia="en-AU"/>
        </w:rPr>
        <w:t xml:space="preserve"> </w:t>
      </w:r>
      <w:r w:rsidR="009E0792" w:rsidRPr="009E0792">
        <w:rPr>
          <w:lang w:eastAsia="en-AU"/>
        </w:rPr>
        <w:t>As agreed early in the</w:t>
      </w:r>
      <w:r w:rsidR="009E0792">
        <w:rPr>
          <w:lang w:eastAsia="en-AU"/>
        </w:rPr>
        <w:t xml:space="preserve"> reform</w:t>
      </w:r>
      <w:r w:rsidR="009E0792" w:rsidRPr="009E0792">
        <w:rPr>
          <w:lang w:eastAsia="en-AU"/>
        </w:rPr>
        <w:t xml:space="preserve"> program, reductions to benefits for Cardiac Implantable Medical Device (CIED) items were deferred to allow </w:t>
      </w:r>
      <w:r w:rsidR="0059398C" w:rsidRPr="0059398C">
        <w:rPr>
          <w:lang w:eastAsia="en-AU"/>
        </w:rPr>
        <w:t>for deliberations on technical support services funded by the CIED benefits.</w:t>
      </w:r>
      <w:r w:rsidR="00DD69B7">
        <w:rPr>
          <w:lang w:eastAsia="en-AU"/>
        </w:rPr>
        <w:t xml:space="preserve"> The decision to defer CIED benefit reductions by </w:t>
      </w:r>
      <w:r w:rsidR="00CA21C3">
        <w:rPr>
          <w:lang w:eastAsia="en-AU"/>
        </w:rPr>
        <w:t>one year is estimated to result in $94 million in forgone savings over the five-year period from July 2022 to June 2027</w:t>
      </w:r>
      <w:r w:rsidR="00C32A63" w:rsidRPr="0052390C">
        <w:rPr>
          <w:rStyle w:val="FootnoteReference"/>
          <w:lang w:val="en-AU" w:eastAsia="en-AU"/>
        </w:rPr>
        <w:footnoteReference w:id="3"/>
      </w:r>
      <w:r w:rsidR="00C32A63">
        <w:rPr>
          <w:lang w:val="en-AU" w:eastAsia="en-AU"/>
        </w:rPr>
        <w:t>,</w:t>
      </w:r>
      <w:r w:rsidR="00E926EB">
        <w:rPr>
          <w:lang w:eastAsia="en-AU"/>
        </w:rPr>
        <w:t xml:space="preserve"> noting</w:t>
      </w:r>
      <w:r w:rsidR="00C32A63">
        <w:rPr>
          <w:lang w:eastAsia="en-AU"/>
        </w:rPr>
        <w:t xml:space="preserve"> </w:t>
      </w:r>
      <w:r w:rsidR="00F8612B">
        <w:rPr>
          <w:lang w:eastAsia="en-AU"/>
        </w:rPr>
        <w:t xml:space="preserve">that </w:t>
      </w:r>
      <w:r w:rsidR="00F1353D">
        <w:rPr>
          <w:lang w:eastAsia="en-AU"/>
        </w:rPr>
        <w:t xml:space="preserve">this time allowed for </w:t>
      </w:r>
      <w:r w:rsidR="00C32A63" w:rsidRPr="00EE32AF">
        <w:rPr>
          <w:lang w:eastAsia="en-AU"/>
        </w:rPr>
        <w:t xml:space="preserve">the </w:t>
      </w:r>
      <w:r w:rsidR="00C32A63" w:rsidRPr="00EE32AF">
        <w:t>Medical Services Advisory Committee</w:t>
      </w:r>
      <w:r w:rsidR="00C32A63" w:rsidRPr="00EE32AF">
        <w:rPr>
          <w:lang w:eastAsia="en-AU"/>
        </w:rPr>
        <w:t xml:space="preserve"> (MSAC) </w:t>
      </w:r>
      <w:r w:rsidR="00F1353D">
        <w:rPr>
          <w:lang w:eastAsia="en-AU"/>
        </w:rPr>
        <w:t xml:space="preserve">to provide additional advice </w:t>
      </w:r>
      <w:r w:rsidR="00C32A63" w:rsidRPr="00EE32AF">
        <w:rPr>
          <w:lang w:eastAsia="en-AU"/>
        </w:rPr>
        <w:t xml:space="preserve">to </w:t>
      </w:r>
      <w:r w:rsidR="00C32A63">
        <w:rPr>
          <w:lang w:eastAsia="en-AU"/>
        </w:rPr>
        <w:t>inform</w:t>
      </w:r>
      <w:r w:rsidR="00C32A63" w:rsidRPr="00EE32AF">
        <w:rPr>
          <w:lang w:eastAsia="en-AU"/>
        </w:rPr>
        <w:t xml:space="preserve"> </w:t>
      </w:r>
      <w:r w:rsidR="00397010">
        <w:rPr>
          <w:lang w:eastAsia="en-AU"/>
        </w:rPr>
        <w:t>how CIED benefit reductions should be</w:t>
      </w:r>
      <w:r w:rsidR="00C32A63" w:rsidRPr="00EE32AF">
        <w:rPr>
          <w:lang w:eastAsia="en-AU"/>
        </w:rPr>
        <w:t xml:space="preserve"> calcula</w:t>
      </w:r>
      <w:r w:rsidR="00397010">
        <w:rPr>
          <w:lang w:eastAsia="en-AU"/>
        </w:rPr>
        <w:t>ted.</w:t>
      </w:r>
    </w:p>
    <w:p w14:paraId="4614E74F" w14:textId="174DEA1B" w:rsidR="00D6355B" w:rsidRDefault="3AF9A979" w:rsidP="38BE2503">
      <w:pPr>
        <w:spacing w:after="160" w:line="259" w:lineRule="auto"/>
        <w:rPr>
          <w:lang w:val="en-AU" w:eastAsia="en-AU"/>
        </w:rPr>
      </w:pPr>
      <w:r w:rsidRPr="38BE2503">
        <w:rPr>
          <w:lang w:val="en-AU" w:eastAsia="en-AU"/>
        </w:rPr>
        <w:t xml:space="preserve">The </w:t>
      </w:r>
      <w:r w:rsidR="001C6C8F">
        <w:rPr>
          <w:lang w:val="en-AU" w:eastAsia="en-AU"/>
        </w:rPr>
        <w:t>original</w:t>
      </w:r>
      <w:r w:rsidRPr="38BE2503">
        <w:rPr>
          <w:lang w:val="en-AU" w:eastAsia="en-AU"/>
        </w:rPr>
        <w:t xml:space="preserve"> vision for a more tightly defined, clinically ordered, and manageable </w:t>
      </w:r>
      <w:r w:rsidR="41E397F2" w:rsidRPr="38BE2503">
        <w:rPr>
          <w:lang w:val="en-AU" w:eastAsia="en-AU"/>
        </w:rPr>
        <w:t>PL</w:t>
      </w:r>
      <w:r w:rsidRPr="38BE2503">
        <w:rPr>
          <w:lang w:val="en-AU" w:eastAsia="en-AU"/>
        </w:rPr>
        <w:t xml:space="preserve"> ha</w:t>
      </w:r>
      <w:r w:rsidR="00D5007A">
        <w:rPr>
          <w:lang w:val="en-AU" w:eastAsia="en-AU"/>
        </w:rPr>
        <w:t>s</w:t>
      </w:r>
      <w:r w:rsidRPr="38BE2503">
        <w:rPr>
          <w:lang w:val="en-AU" w:eastAsia="en-AU"/>
        </w:rPr>
        <w:t xml:space="preserve"> </w:t>
      </w:r>
      <w:r w:rsidR="1E0BDA4B" w:rsidRPr="38BE2503">
        <w:rPr>
          <w:lang w:val="en-AU" w:eastAsia="en-AU"/>
        </w:rPr>
        <w:t xml:space="preserve">not </w:t>
      </w:r>
      <w:r w:rsidR="2A988043" w:rsidRPr="490BE0AD">
        <w:rPr>
          <w:lang w:val="en-AU" w:eastAsia="en-AU"/>
        </w:rPr>
        <w:t xml:space="preserve">to date </w:t>
      </w:r>
      <w:r w:rsidRPr="38BE2503">
        <w:rPr>
          <w:lang w:val="en-AU" w:eastAsia="en-AU"/>
        </w:rPr>
        <w:t xml:space="preserve">been </w:t>
      </w:r>
      <w:r w:rsidR="001C6C8F">
        <w:rPr>
          <w:lang w:val="en-AU" w:eastAsia="en-AU"/>
        </w:rPr>
        <w:t>realised</w:t>
      </w:r>
      <w:r w:rsidR="04D75AF4" w:rsidRPr="38BE2503">
        <w:rPr>
          <w:lang w:val="en-AU" w:eastAsia="en-AU"/>
        </w:rPr>
        <w:t xml:space="preserve">. </w:t>
      </w:r>
      <w:r w:rsidR="00C9395B">
        <w:rPr>
          <w:lang w:val="en-AU" w:eastAsia="en-AU"/>
        </w:rPr>
        <w:t>The program of work</w:t>
      </w:r>
      <w:r w:rsidR="50368E45" w:rsidRPr="38BE2503">
        <w:rPr>
          <w:lang w:val="en-AU" w:eastAsia="en-AU"/>
        </w:rPr>
        <w:t xml:space="preserve"> to </w:t>
      </w:r>
      <w:r w:rsidR="00892ABD">
        <w:rPr>
          <w:lang w:val="en-AU" w:eastAsia="en-AU"/>
        </w:rPr>
        <w:t>define the scope</w:t>
      </w:r>
      <w:r w:rsidR="50368E45" w:rsidRPr="38BE2503">
        <w:rPr>
          <w:lang w:val="en-AU" w:eastAsia="en-AU"/>
        </w:rPr>
        <w:t xml:space="preserve"> of the PL in legislation was completed</w:t>
      </w:r>
      <w:r w:rsidR="007F02C3">
        <w:rPr>
          <w:lang w:val="en-AU" w:eastAsia="en-AU"/>
        </w:rPr>
        <w:t xml:space="preserve">, however </w:t>
      </w:r>
      <w:r w:rsidR="50368E45" w:rsidRPr="38BE2503">
        <w:rPr>
          <w:lang w:val="en-AU" w:eastAsia="en-AU"/>
        </w:rPr>
        <w:t xml:space="preserve">the subsequent decision to retain </w:t>
      </w:r>
      <w:r w:rsidR="00616A05">
        <w:t>General Use Item</w:t>
      </w:r>
      <w:r w:rsidR="0091118B">
        <w:t>s</w:t>
      </w:r>
      <w:r w:rsidR="00616A05" w:rsidRPr="38BE2503">
        <w:rPr>
          <w:lang w:val="en-AU" w:eastAsia="en-AU"/>
        </w:rPr>
        <w:t xml:space="preserve"> </w:t>
      </w:r>
      <w:r w:rsidR="0091118B">
        <w:rPr>
          <w:lang w:val="en-AU" w:eastAsia="en-AU"/>
        </w:rPr>
        <w:t>(</w:t>
      </w:r>
      <w:r w:rsidR="50368E45" w:rsidRPr="38BE2503">
        <w:rPr>
          <w:lang w:val="en-AU" w:eastAsia="en-AU"/>
        </w:rPr>
        <w:t>GUIs</w:t>
      </w:r>
      <w:r w:rsidR="0091118B">
        <w:rPr>
          <w:lang w:val="en-AU" w:eastAsia="en-AU"/>
        </w:rPr>
        <w:t>)</w:t>
      </w:r>
      <w:r w:rsidR="50368E45" w:rsidRPr="38BE2503">
        <w:rPr>
          <w:lang w:val="en-AU" w:eastAsia="en-AU"/>
        </w:rPr>
        <w:t xml:space="preserve"> </w:t>
      </w:r>
      <w:r w:rsidR="00603BC4">
        <w:rPr>
          <w:lang w:val="en-AU" w:eastAsia="en-AU"/>
        </w:rPr>
        <w:t xml:space="preserve">on the PL </w:t>
      </w:r>
      <w:r w:rsidR="50368E45" w:rsidRPr="38BE2503">
        <w:rPr>
          <w:lang w:val="en-AU" w:eastAsia="en-AU"/>
        </w:rPr>
        <w:t xml:space="preserve">will </w:t>
      </w:r>
      <w:r w:rsidR="007F02C3">
        <w:rPr>
          <w:lang w:val="en-AU" w:eastAsia="en-AU"/>
        </w:rPr>
        <w:t>necessitate</w:t>
      </w:r>
      <w:r w:rsidR="50368E45" w:rsidRPr="38BE2503">
        <w:rPr>
          <w:lang w:val="en-AU" w:eastAsia="en-AU"/>
        </w:rPr>
        <w:t xml:space="preserve"> further legislative work</w:t>
      </w:r>
      <w:r w:rsidR="001A050D">
        <w:rPr>
          <w:lang w:val="en-AU" w:eastAsia="en-AU"/>
        </w:rPr>
        <w:t>.</w:t>
      </w:r>
      <w:r w:rsidR="00D24D49">
        <w:rPr>
          <w:lang w:val="en-AU" w:eastAsia="en-AU"/>
        </w:rPr>
        <w:t xml:space="preserve"> </w:t>
      </w:r>
    </w:p>
    <w:p w14:paraId="43854F4F" w14:textId="02CDC970" w:rsidR="00A73757" w:rsidRPr="00A73757" w:rsidRDefault="00C71209" w:rsidP="38BE2503">
      <w:pPr>
        <w:spacing w:after="160" w:line="259" w:lineRule="auto"/>
      </w:pPr>
      <w:r w:rsidRPr="00C71209">
        <w:t>The project to regroup the PL along clinical lines</w:t>
      </w:r>
      <w:r>
        <w:t xml:space="preserve">, </w:t>
      </w:r>
      <w:r w:rsidRPr="00C71209">
        <w:t>independent of benefit</w:t>
      </w:r>
      <w:r w:rsidR="00782C68">
        <w:t xml:space="preserve">, </w:t>
      </w:r>
      <w:r w:rsidRPr="00C71209">
        <w:t>to create a transparent and practical grouping structure is currently paused.</w:t>
      </w:r>
      <w:r w:rsidR="00C31A12">
        <w:t xml:space="preserve"> </w:t>
      </w:r>
      <w:r w:rsidR="007F12F6">
        <w:t>Detailed work was</w:t>
      </w:r>
      <w:r w:rsidR="00A73757" w:rsidRPr="00A73757">
        <w:t xml:space="preserve"> undertaken </w:t>
      </w:r>
      <w:r w:rsidR="007F12F6">
        <w:t xml:space="preserve">with </w:t>
      </w:r>
      <w:r w:rsidR="00A73757" w:rsidRPr="00A73757">
        <w:t>clinical advice</w:t>
      </w:r>
      <w:r w:rsidR="007F12F6">
        <w:t xml:space="preserve"> </w:t>
      </w:r>
      <w:r w:rsidR="00C31A12">
        <w:t xml:space="preserve">and input </w:t>
      </w:r>
      <w:r w:rsidR="00A73757" w:rsidRPr="00A73757">
        <w:t>to</w:t>
      </w:r>
      <w:r w:rsidR="00780EF0">
        <w:t xml:space="preserve"> group PL items by clinical use</w:t>
      </w:r>
      <w:r w:rsidR="00A73757" w:rsidRPr="00A73757">
        <w:t xml:space="preserve">. </w:t>
      </w:r>
      <w:r w:rsidR="000B5ABD">
        <w:t>However, the Department encount</w:t>
      </w:r>
      <w:r w:rsidR="009C5CAC">
        <w:t>er</w:t>
      </w:r>
      <w:r w:rsidR="000B5ABD">
        <w:t>ed challenge</w:t>
      </w:r>
      <w:r w:rsidR="009C5CAC">
        <w:t xml:space="preserve">s </w:t>
      </w:r>
      <w:r w:rsidR="00736533">
        <w:t xml:space="preserve">related to mixed-benefit PL groupings </w:t>
      </w:r>
      <w:r w:rsidR="009C5CAC">
        <w:t xml:space="preserve">when applying the proposed </w:t>
      </w:r>
      <w:r w:rsidR="00D33D25">
        <w:t>structure</w:t>
      </w:r>
      <w:r w:rsidR="00C12ACB">
        <w:t>, with s</w:t>
      </w:r>
      <w:r w:rsidR="00F2476E">
        <w:t>takeholders express</w:t>
      </w:r>
      <w:r w:rsidR="00C12ACB">
        <w:t>ing</w:t>
      </w:r>
      <w:r w:rsidR="00F2476E">
        <w:t xml:space="preserve"> differing opinions on the mo</w:t>
      </w:r>
      <w:r w:rsidR="00E2585A">
        <w:t xml:space="preserve">st appropriate </w:t>
      </w:r>
      <w:r w:rsidR="001002DD">
        <w:t xml:space="preserve">method to </w:t>
      </w:r>
      <w:r w:rsidR="008D21D5">
        <w:t>implement this</w:t>
      </w:r>
      <w:r w:rsidR="001002DD">
        <w:t xml:space="preserve">. </w:t>
      </w:r>
      <w:r w:rsidR="00847FE5">
        <w:t>Consequently, t</w:t>
      </w:r>
      <w:r w:rsidR="00847FE5" w:rsidRPr="00A73757">
        <w:t>he previous PL structure remains in place, and the clinical regrouping project is on hold.</w:t>
      </w:r>
    </w:p>
    <w:p w14:paraId="20FE6041" w14:textId="1E78CC50" w:rsidR="000A1119" w:rsidRDefault="008573D1" w:rsidP="0254B43A">
      <w:pPr>
        <w:spacing w:after="160" w:line="259" w:lineRule="auto"/>
        <w:rPr>
          <w:lang w:eastAsia="en-AU"/>
        </w:rPr>
      </w:pPr>
      <w:r w:rsidRPr="0254B43A">
        <w:rPr>
          <w:lang w:eastAsia="en-AU"/>
        </w:rPr>
        <w:t>Considerable effort was</w:t>
      </w:r>
      <w:r w:rsidR="5201B795" w:rsidRPr="0254B43A">
        <w:rPr>
          <w:lang w:eastAsia="en-AU"/>
        </w:rPr>
        <w:t xml:space="preserve"> </w:t>
      </w:r>
      <w:r w:rsidR="00AF4DBC" w:rsidRPr="0254B43A">
        <w:rPr>
          <w:lang w:eastAsia="en-AU"/>
        </w:rPr>
        <w:t>invested</w:t>
      </w:r>
      <w:r w:rsidR="5201B795" w:rsidRPr="0254B43A">
        <w:rPr>
          <w:lang w:eastAsia="en-AU"/>
        </w:rPr>
        <w:t xml:space="preserve"> </w:t>
      </w:r>
      <w:r w:rsidR="00AF4DBC" w:rsidRPr="0254B43A">
        <w:rPr>
          <w:lang w:eastAsia="en-AU"/>
        </w:rPr>
        <w:t>in</w:t>
      </w:r>
      <w:r w:rsidR="5201B795" w:rsidRPr="0254B43A">
        <w:rPr>
          <w:lang w:eastAsia="en-AU"/>
        </w:rPr>
        <w:t xml:space="preserve"> </w:t>
      </w:r>
      <w:r w:rsidR="00AF4DBC" w:rsidRPr="0254B43A">
        <w:rPr>
          <w:lang w:eastAsia="en-AU"/>
        </w:rPr>
        <w:t>pursuing</w:t>
      </w:r>
      <w:r w:rsidR="00507314" w:rsidRPr="0254B43A">
        <w:rPr>
          <w:lang w:eastAsia="en-AU"/>
        </w:rPr>
        <w:t xml:space="preserve"> </w:t>
      </w:r>
      <w:r w:rsidR="00BE56C3" w:rsidRPr="0254B43A">
        <w:rPr>
          <w:lang w:eastAsia="en-AU"/>
        </w:rPr>
        <w:t>a</w:t>
      </w:r>
      <w:r w:rsidR="00D559D7">
        <w:rPr>
          <w:lang w:eastAsia="en-AU"/>
        </w:rPr>
        <w:t>n</w:t>
      </w:r>
      <w:r w:rsidR="5201B795" w:rsidRPr="0254B43A">
        <w:rPr>
          <w:lang w:eastAsia="en-AU"/>
        </w:rPr>
        <w:t xml:space="preserve"> alternative funding arrangement for GUIs</w:t>
      </w:r>
      <w:r w:rsidR="00BE56C3" w:rsidRPr="0254B43A">
        <w:rPr>
          <w:lang w:eastAsia="en-AU"/>
        </w:rPr>
        <w:t xml:space="preserve"> to </w:t>
      </w:r>
      <w:r w:rsidR="00A55293">
        <w:rPr>
          <w:lang w:eastAsia="en-AU"/>
        </w:rPr>
        <w:t xml:space="preserve">facilitate </w:t>
      </w:r>
      <w:r w:rsidR="00974CF3">
        <w:rPr>
          <w:lang w:eastAsia="en-AU"/>
        </w:rPr>
        <w:t xml:space="preserve">their </w:t>
      </w:r>
      <w:r w:rsidR="00BE56C3" w:rsidRPr="0254B43A">
        <w:rPr>
          <w:lang w:eastAsia="en-AU"/>
        </w:rPr>
        <w:t>removal from the PL.</w:t>
      </w:r>
      <w:r w:rsidR="5201B795" w:rsidRPr="0254B43A">
        <w:rPr>
          <w:lang w:eastAsia="en-AU"/>
        </w:rPr>
        <w:t xml:space="preserve"> </w:t>
      </w:r>
      <w:r w:rsidR="00B37A61">
        <w:rPr>
          <w:lang w:eastAsia="en-AU"/>
        </w:rPr>
        <w:t>While</w:t>
      </w:r>
      <w:r w:rsidR="2BF1B37B" w:rsidRPr="0254B43A">
        <w:rPr>
          <w:lang w:eastAsia="en-AU"/>
        </w:rPr>
        <w:t xml:space="preserve"> a significant amount of work </w:t>
      </w:r>
      <w:r w:rsidR="007D7570">
        <w:rPr>
          <w:lang w:eastAsia="en-AU"/>
        </w:rPr>
        <w:t>went into</w:t>
      </w:r>
      <w:r w:rsidR="00BF204F">
        <w:rPr>
          <w:lang w:eastAsia="en-AU"/>
        </w:rPr>
        <w:t xml:space="preserve"> consultation and</w:t>
      </w:r>
      <w:r w:rsidR="007D7570">
        <w:rPr>
          <w:lang w:eastAsia="en-AU"/>
        </w:rPr>
        <w:t xml:space="preserve"> producing a</w:t>
      </w:r>
      <w:r w:rsidR="00BF204F">
        <w:rPr>
          <w:lang w:eastAsia="en-AU"/>
        </w:rPr>
        <w:t xml:space="preserve">n </w:t>
      </w:r>
      <w:r w:rsidR="00E353B6">
        <w:rPr>
          <w:lang w:eastAsia="en-AU"/>
        </w:rPr>
        <w:t xml:space="preserve">alternative funding </w:t>
      </w:r>
      <w:r w:rsidR="00387FE7">
        <w:rPr>
          <w:lang w:eastAsia="en-AU"/>
        </w:rPr>
        <w:t>model</w:t>
      </w:r>
      <w:r w:rsidR="001C380E">
        <w:rPr>
          <w:lang w:eastAsia="en-AU"/>
        </w:rPr>
        <w:t xml:space="preserve">, </w:t>
      </w:r>
      <w:r w:rsidR="00130C7A">
        <w:rPr>
          <w:lang w:eastAsia="en-AU"/>
        </w:rPr>
        <w:t>stakeholders</w:t>
      </w:r>
      <w:r w:rsidR="00387FE7">
        <w:rPr>
          <w:lang w:eastAsia="en-AU"/>
        </w:rPr>
        <w:t xml:space="preserve"> ultimately</w:t>
      </w:r>
      <w:r w:rsidR="00130C7A">
        <w:rPr>
          <w:lang w:eastAsia="en-AU"/>
        </w:rPr>
        <w:t xml:space="preserve"> did not reach consensus on</w:t>
      </w:r>
      <w:r w:rsidR="008A077E">
        <w:rPr>
          <w:lang w:eastAsia="en-AU"/>
        </w:rPr>
        <w:t xml:space="preserve"> proposed</w:t>
      </w:r>
      <w:r w:rsidR="00130C7A">
        <w:rPr>
          <w:lang w:eastAsia="en-AU"/>
        </w:rPr>
        <w:t xml:space="preserve"> </w:t>
      </w:r>
      <w:r w:rsidR="00387FE7">
        <w:rPr>
          <w:lang w:eastAsia="en-AU"/>
        </w:rPr>
        <w:t>arrangements</w:t>
      </w:r>
      <w:r w:rsidR="008A077E">
        <w:rPr>
          <w:lang w:eastAsia="en-AU"/>
        </w:rPr>
        <w:t>, leading to the Government deciding to retain GUIs on the PL.</w:t>
      </w:r>
      <w:r w:rsidR="00074584">
        <w:rPr>
          <w:lang w:eastAsia="en-AU"/>
        </w:rPr>
        <w:t xml:space="preserve"> </w:t>
      </w:r>
      <w:r w:rsidR="00AB03C4" w:rsidRPr="00AB03C4">
        <w:rPr>
          <w:lang w:eastAsia="en-AU"/>
        </w:rPr>
        <w:t xml:space="preserve">Reasons cited for this decision included strong stakeholder feedback regarding </w:t>
      </w:r>
      <w:r w:rsidR="00AA5C23">
        <w:rPr>
          <w:lang w:eastAsia="en-AU"/>
        </w:rPr>
        <w:t>unresolved implementation challenges</w:t>
      </w:r>
      <w:r w:rsidR="009035A7">
        <w:rPr>
          <w:lang w:eastAsia="en-AU"/>
        </w:rPr>
        <w:t xml:space="preserve"> that could lead to </w:t>
      </w:r>
      <w:r w:rsidR="00140E41">
        <w:rPr>
          <w:lang w:eastAsia="en-AU"/>
        </w:rPr>
        <w:t>adverse impacts</w:t>
      </w:r>
      <w:r w:rsidR="00AB03C4" w:rsidRPr="00AB03C4">
        <w:rPr>
          <w:lang w:eastAsia="en-AU"/>
        </w:rPr>
        <w:t>, current financial pressures on the private hospital sector, and the absence of an agreed alternative funding arrangement.</w:t>
      </w:r>
      <w:r w:rsidR="000613BD">
        <w:rPr>
          <w:lang w:eastAsia="en-AU"/>
        </w:rPr>
        <w:t xml:space="preserve"> It </w:t>
      </w:r>
      <w:r w:rsidR="000613BD" w:rsidRPr="000613BD">
        <w:rPr>
          <w:lang w:eastAsia="en-AU"/>
        </w:rPr>
        <w:t xml:space="preserve">is </w:t>
      </w:r>
      <w:r w:rsidR="000613BD">
        <w:rPr>
          <w:lang w:eastAsia="en-AU"/>
        </w:rPr>
        <w:t xml:space="preserve">difficult </w:t>
      </w:r>
      <w:r w:rsidR="000613BD" w:rsidRPr="000613BD">
        <w:rPr>
          <w:lang w:eastAsia="en-AU"/>
        </w:rPr>
        <w:t xml:space="preserve">to quantify the </w:t>
      </w:r>
      <w:r w:rsidR="00A101B8">
        <w:rPr>
          <w:lang w:eastAsia="en-AU"/>
        </w:rPr>
        <w:t xml:space="preserve">financial </w:t>
      </w:r>
      <w:r w:rsidR="000613BD" w:rsidRPr="000613BD">
        <w:rPr>
          <w:lang w:eastAsia="en-AU"/>
        </w:rPr>
        <w:t>impact of</w:t>
      </w:r>
      <w:r w:rsidR="00A101B8">
        <w:rPr>
          <w:lang w:eastAsia="en-AU"/>
        </w:rPr>
        <w:t xml:space="preserve"> the Government’s decision to retain GUIs </w:t>
      </w:r>
      <w:r w:rsidR="00B63D99">
        <w:rPr>
          <w:lang w:eastAsia="en-AU"/>
        </w:rPr>
        <w:t>on the PL,</w:t>
      </w:r>
      <w:r w:rsidR="000613BD" w:rsidRPr="000613BD">
        <w:rPr>
          <w:lang w:eastAsia="en-AU"/>
        </w:rPr>
        <w:t xml:space="preserve"> as the original commitment anticipated an alternative funding model.</w:t>
      </w:r>
      <w:r w:rsidR="006471EE">
        <w:rPr>
          <w:lang w:eastAsia="en-AU"/>
        </w:rPr>
        <w:t xml:space="preserve"> </w:t>
      </w:r>
      <w:r w:rsidR="006471EE" w:rsidRPr="006471EE">
        <w:rPr>
          <w:lang w:eastAsia="en-AU"/>
        </w:rPr>
        <w:t>While there was an expectation of reduced activity through the PL, these costs would have been addressed through other means.</w:t>
      </w:r>
      <w:r w:rsidR="007F5BDE">
        <w:rPr>
          <w:lang w:eastAsia="en-AU"/>
        </w:rPr>
        <w:t xml:space="preserve"> </w:t>
      </w:r>
      <w:r w:rsidR="00290C79">
        <w:rPr>
          <w:lang w:eastAsia="en-AU"/>
        </w:rPr>
        <w:t>I</w:t>
      </w:r>
      <w:r w:rsidR="00140AD1">
        <w:rPr>
          <w:lang w:eastAsia="en-AU"/>
        </w:rPr>
        <w:t>t is estimated that between $228</w:t>
      </w:r>
      <w:r w:rsidR="00F95E0F">
        <w:rPr>
          <w:lang w:eastAsia="en-AU"/>
        </w:rPr>
        <w:t xml:space="preserve"> million and </w:t>
      </w:r>
      <w:r w:rsidR="00AE52FA">
        <w:rPr>
          <w:lang w:eastAsia="en-AU"/>
        </w:rPr>
        <w:t>$2</w:t>
      </w:r>
      <w:r w:rsidR="00850D7C">
        <w:rPr>
          <w:lang w:eastAsia="en-AU"/>
        </w:rPr>
        <w:t>40</w:t>
      </w:r>
      <w:r w:rsidR="00AE52FA">
        <w:rPr>
          <w:lang w:eastAsia="en-AU"/>
        </w:rPr>
        <w:t xml:space="preserve"> million </w:t>
      </w:r>
      <w:r w:rsidR="00315B50">
        <w:rPr>
          <w:lang w:eastAsia="en-AU"/>
        </w:rPr>
        <w:t xml:space="preserve">in benefits </w:t>
      </w:r>
      <w:r w:rsidR="00367658">
        <w:rPr>
          <w:lang w:eastAsia="en-AU"/>
        </w:rPr>
        <w:t>for GUIs</w:t>
      </w:r>
      <w:r w:rsidR="001B1C9A">
        <w:rPr>
          <w:lang w:eastAsia="en-AU"/>
        </w:rPr>
        <w:t xml:space="preserve"> </w:t>
      </w:r>
      <w:r w:rsidR="004B0E70">
        <w:rPr>
          <w:lang w:eastAsia="en-AU"/>
        </w:rPr>
        <w:t>were</w:t>
      </w:r>
      <w:r w:rsidR="001B1C9A">
        <w:rPr>
          <w:lang w:eastAsia="en-AU"/>
        </w:rPr>
        <w:t xml:space="preserve"> funded </w:t>
      </w:r>
      <w:r w:rsidR="003A4565">
        <w:rPr>
          <w:lang w:eastAsia="en-AU"/>
        </w:rPr>
        <w:t>through the PL in FY24.</w:t>
      </w:r>
      <w:r w:rsidR="007569D5">
        <w:rPr>
          <w:rStyle w:val="FootnoteReference"/>
          <w:lang w:eastAsia="en-AU"/>
        </w:rPr>
        <w:footnoteReference w:id="4"/>
      </w:r>
    </w:p>
    <w:p w14:paraId="2D5599BC" w14:textId="13F65099" w:rsidR="14DA4422" w:rsidRPr="00E37CE0" w:rsidRDefault="382C0F5E" w:rsidP="6C8AB6A8">
      <w:pPr>
        <w:spacing w:after="160" w:line="259" w:lineRule="auto"/>
        <w:rPr>
          <w:lang w:eastAsia="en-AU"/>
        </w:rPr>
      </w:pPr>
      <w:r w:rsidRPr="6C8AB6A8">
        <w:rPr>
          <w:lang w:eastAsia="en-AU"/>
        </w:rPr>
        <w:t xml:space="preserve">There are some elements of the reform program which are progressing more slowly than originally anticipated </w:t>
      </w:r>
      <w:r w:rsidR="32E3D54D" w:rsidRPr="6C8AB6A8">
        <w:rPr>
          <w:lang w:eastAsia="en-AU"/>
        </w:rPr>
        <w:t>or</w:t>
      </w:r>
      <w:r w:rsidRPr="6C8AB6A8">
        <w:rPr>
          <w:lang w:eastAsia="en-AU"/>
        </w:rPr>
        <w:t xml:space="preserve"> are yet to be </w:t>
      </w:r>
      <w:r w:rsidR="1325880A" w:rsidRPr="6C8AB6A8">
        <w:rPr>
          <w:lang w:eastAsia="en-AU"/>
        </w:rPr>
        <w:t>sufficiently</w:t>
      </w:r>
      <w:r w:rsidRPr="6C8AB6A8">
        <w:rPr>
          <w:lang w:eastAsia="en-AU"/>
        </w:rPr>
        <w:t xml:space="preserve"> </w:t>
      </w:r>
      <w:r w:rsidR="1325880A" w:rsidRPr="6C8AB6A8">
        <w:rPr>
          <w:lang w:eastAsia="en-AU"/>
        </w:rPr>
        <w:t>implemented to assess their</w:t>
      </w:r>
      <w:r w:rsidRPr="6C8AB6A8">
        <w:rPr>
          <w:lang w:eastAsia="en-AU"/>
        </w:rPr>
        <w:t xml:space="preserve"> impact. </w:t>
      </w:r>
      <w:r w:rsidR="06B68739" w:rsidRPr="6C8AB6A8">
        <w:rPr>
          <w:lang w:eastAsia="en-AU"/>
        </w:rPr>
        <w:t xml:space="preserve">The </w:t>
      </w:r>
      <w:r w:rsidR="00C0725E">
        <w:rPr>
          <w:lang w:eastAsia="en-AU"/>
        </w:rPr>
        <w:t>Department</w:t>
      </w:r>
      <w:r w:rsidR="06B68739" w:rsidRPr="6C8AB6A8">
        <w:rPr>
          <w:lang w:eastAsia="en-AU"/>
        </w:rPr>
        <w:t xml:space="preserve"> has implemented revised </w:t>
      </w:r>
      <w:r w:rsidR="003C24FE">
        <w:rPr>
          <w:lang w:eastAsia="en-AU"/>
        </w:rPr>
        <w:t xml:space="preserve">assessment </w:t>
      </w:r>
      <w:r w:rsidR="00711213">
        <w:rPr>
          <w:lang w:eastAsia="en-AU"/>
        </w:rPr>
        <w:t>p</w:t>
      </w:r>
      <w:r w:rsidR="06B68739" w:rsidRPr="6C8AB6A8">
        <w:rPr>
          <w:lang w:eastAsia="en-AU"/>
        </w:rPr>
        <w:t>athway</w:t>
      </w:r>
      <w:r w:rsidR="0070483C">
        <w:rPr>
          <w:lang w:eastAsia="en-AU"/>
        </w:rPr>
        <w:t xml:space="preserve">s, </w:t>
      </w:r>
      <w:r w:rsidR="007F5D9B">
        <w:rPr>
          <w:lang w:eastAsia="en-AU"/>
        </w:rPr>
        <w:t xml:space="preserve">with a </w:t>
      </w:r>
      <w:r w:rsidR="0B663E5D" w:rsidRPr="1EC5FC02">
        <w:rPr>
          <w:lang w:eastAsia="en-AU"/>
        </w:rPr>
        <w:t>new</w:t>
      </w:r>
      <w:r w:rsidR="00A14D89">
        <w:rPr>
          <w:lang w:eastAsia="en-AU"/>
        </w:rPr>
        <w:t xml:space="preserve"> application</w:t>
      </w:r>
      <w:r w:rsidR="0B663E5D" w:rsidRPr="1EC5FC02">
        <w:rPr>
          <w:lang w:eastAsia="en-AU"/>
        </w:rPr>
        <w:t xml:space="preserve"> </w:t>
      </w:r>
      <w:r w:rsidR="007F5D9B" w:rsidRPr="1EC5FC02">
        <w:rPr>
          <w:lang w:eastAsia="en-AU"/>
        </w:rPr>
        <w:t>tier</w:t>
      </w:r>
      <w:r w:rsidR="482D8A69" w:rsidRPr="1EC5FC02">
        <w:rPr>
          <w:lang w:eastAsia="en-AU"/>
        </w:rPr>
        <w:t xml:space="preserve"> </w:t>
      </w:r>
      <w:r w:rsidR="00AC311E">
        <w:rPr>
          <w:lang w:eastAsia="en-AU"/>
        </w:rPr>
        <w:t xml:space="preserve">allowing </w:t>
      </w:r>
      <w:r w:rsidR="00A74D01">
        <w:rPr>
          <w:lang w:eastAsia="en-AU"/>
        </w:rPr>
        <w:t>for appropriate</w:t>
      </w:r>
      <w:r w:rsidR="00AF3214">
        <w:rPr>
          <w:lang w:eastAsia="en-AU"/>
        </w:rPr>
        <w:t xml:space="preserve"> </w:t>
      </w:r>
      <w:r w:rsidR="009D2712">
        <w:rPr>
          <w:lang w:eastAsia="en-AU"/>
        </w:rPr>
        <w:t>applications</w:t>
      </w:r>
      <w:r w:rsidR="0070483C">
        <w:rPr>
          <w:lang w:eastAsia="en-AU"/>
        </w:rPr>
        <w:t xml:space="preserve"> </w:t>
      </w:r>
      <w:r w:rsidR="005335E8">
        <w:rPr>
          <w:lang w:eastAsia="en-AU"/>
        </w:rPr>
        <w:t>to</w:t>
      </w:r>
      <w:r w:rsidR="009A4F85">
        <w:rPr>
          <w:lang w:eastAsia="en-AU"/>
        </w:rPr>
        <w:t xml:space="preserve"> </w:t>
      </w:r>
      <w:r w:rsidR="00C4153F">
        <w:rPr>
          <w:lang w:eastAsia="en-AU"/>
        </w:rPr>
        <w:t>have more focused assessments</w:t>
      </w:r>
      <w:r w:rsidR="009A4F85">
        <w:rPr>
          <w:lang w:eastAsia="en-AU"/>
        </w:rPr>
        <w:t xml:space="preserve"> </w:t>
      </w:r>
      <w:r w:rsidR="00955199">
        <w:rPr>
          <w:lang w:eastAsia="en-AU"/>
        </w:rPr>
        <w:t>and other</w:t>
      </w:r>
      <w:r w:rsidR="00A74D01">
        <w:rPr>
          <w:lang w:eastAsia="en-AU"/>
        </w:rPr>
        <w:t>s</w:t>
      </w:r>
      <w:r w:rsidR="06B68739" w:rsidRPr="6C8AB6A8">
        <w:rPr>
          <w:lang w:eastAsia="en-AU"/>
        </w:rPr>
        <w:t xml:space="preserve"> </w:t>
      </w:r>
      <w:r w:rsidR="00711213">
        <w:rPr>
          <w:lang w:eastAsia="en-AU"/>
        </w:rPr>
        <w:t xml:space="preserve">to </w:t>
      </w:r>
      <w:r w:rsidR="00A74D01">
        <w:rPr>
          <w:lang w:eastAsia="en-AU"/>
        </w:rPr>
        <w:t xml:space="preserve">have more comprehensive </w:t>
      </w:r>
      <w:r w:rsidR="00532CB5">
        <w:rPr>
          <w:lang w:eastAsia="en-AU"/>
        </w:rPr>
        <w:t>assessment</w:t>
      </w:r>
      <w:r w:rsidR="008E0D25">
        <w:rPr>
          <w:lang w:eastAsia="en-AU"/>
        </w:rPr>
        <w:t>s</w:t>
      </w:r>
      <w:r w:rsidR="00532CB5">
        <w:rPr>
          <w:lang w:eastAsia="en-AU"/>
        </w:rPr>
        <w:t xml:space="preserve">. </w:t>
      </w:r>
      <w:r w:rsidR="00A132C8">
        <w:rPr>
          <w:lang w:eastAsia="en-AU"/>
        </w:rPr>
        <w:t xml:space="preserve">While these tiered </w:t>
      </w:r>
      <w:r w:rsidR="00E47D81">
        <w:rPr>
          <w:lang w:eastAsia="en-AU"/>
        </w:rPr>
        <w:lastRenderedPageBreak/>
        <w:t>pathway</w:t>
      </w:r>
      <w:r w:rsidR="00A132C8">
        <w:rPr>
          <w:lang w:eastAsia="en-AU"/>
        </w:rPr>
        <w:t>s</w:t>
      </w:r>
      <w:r w:rsidR="00E47D81">
        <w:rPr>
          <w:lang w:eastAsia="en-AU"/>
        </w:rPr>
        <w:t xml:space="preserve"> </w:t>
      </w:r>
      <w:r w:rsidR="00A132C8">
        <w:rPr>
          <w:lang w:eastAsia="en-AU"/>
        </w:rPr>
        <w:t xml:space="preserve">are </w:t>
      </w:r>
      <w:r w:rsidR="00E47D81">
        <w:rPr>
          <w:lang w:eastAsia="en-AU"/>
        </w:rPr>
        <w:t>operational</w:t>
      </w:r>
      <w:r w:rsidR="00A132C8">
        <w:rPr>
          <w:lang w:eastAsia="en-AU"/>
        </w:rPr>
        <w:t xml:space="preserve"> (supported by </w:t>
      </w:r>
      <w:r w:rsidR="00A503CF">
        <w:rPr>
          <w:lang w:eastAsia="en-AU"/>
        </w:rPr>
        <w:t xml:space="preserve">the newly </w:t>
      </w:r>
      <w:r w:rsidR="006C077A">
        <w:rPr>
          <w:lang w:eastAsia="en-AU"/>
        </w:rPr>
        <w:t>adopted</w:t>
      </w:r>
      <w:r w:rsidR="00A503CF">
        <w:rPr>
          <w:lang w:eastAsia="en-AU"/>
        </w:rPr>
        <w:t xml:space="preserve"> Health Products Portal</w:t>
      </w:r>
      <w:r w:rsidR="00A015E3">
        <w:rPr>
          <w:lang w:eastAsia="en-AU"/>
        </w:rPr>
        <w:t>)</w:t>
      </w:r>
      <w:r w:rsidR="39F1C4DC" w:rsidRPr="6C8AB6A8">
        <w:rPr>
          <w:lang w:eastAsia="en-AU"/>
        </w:rPr>
        <w:t>, it is too early to assess the overall effective</w:t>
      </w:r>
      <w:r w:rsidR="191BD316" w:rsidRPr="6C8AB6A8">
        <w:rPr>
          <w:lang w:eastAsia="en-AU"/>
        </w:rPr>
        <w:t>ne</w:t>
      </w:r>
      <w:r w:rsidR="39F1C4DC" w:rsidRPr="6C8AB6A8">
        <w:rPr>
          <w:lang w:eastAsia="en-AU"/>
        </w:rPr>
        <w:t xml:space="preserve">ss of this </w:t>
      </w:r>
      <w:r w:rsidR="00BF639A">
        <w:rPr>
          <w:lang w:eastAsia="en-AU"/>
        </w:rPr>
        <w:t>reform project</w:t>
      </w:r>
      <w:r w:rsidR="39F1C4DC" w:rsidRPr="6C8AB6A8">
        <w:rPr>
          <w:lang w:eastAsia="en-AU"/>
        </w:rPr>
        <w:t>.</w:t>
      </w:r>
      <w:r w:rsidR="00522F55">
        <w:rPr>
          <w:lang w:eastAsia="en-AU"/>
        </w:rPr>
        <w:t xml:space="preserve"> </w:t>
      </w:r>
      <w:r w:rsidR="00AE1B6B">
        <w:rPr>
          <w:lang w:eastAsia="en-AU"/>
        </w:rPr>
        <w:t xml:space="preserve">While the </w:t>
      </w:r>
      <w:r w:rsidR="00CF082D">
        <w:rPr>
          <w:lang w:eastAsia="en-AU"/>
        </w:rPr>
        <w:t xml:space="preserve">scope of assessment is narrowed </w:t>
      </w:r>
      <w:r w:rsidR="008044D4">
        <w:rPr>
          <w:lang w:eastAsia="en-AU"/>
        </w:rPr>
        <w:t xml:space="preserve">for some applications, </w:t>
      </w:r>
      <w:r w:rsidR="00E37CE0">
        <w:rPr>
          <w:lang w:eastAsia="en-AU"/>
        </w:rPr>
        <w:t xml:space="preserve">the </w:t>
      </w:r>
      <w:r w:rsidR="00F454E6">
        <w:rPr>
          <w:lang w:eastAsia="en-AU"/>
        </w:rPr>
        <w:t xml:space="preserve">tiered approach </w:t>
      </w:r>
      <w:r w:rsidR="74A9ABDB" w:rsidRPr="0215EE22">
        <w:rPr>
          <w:lang w:eastAsia="en-AU"/>
        </w:rPr>
        <w:t>shows</w:t>
      </w:r>
      <w:r w:rsidR="00C73DB4" w:rsidRPr="00C73DB4">
        <w:rPr>
          <w:lang w:eastAsia="en-AU"/>
        </w:rPr>
        <w:t xml:space="preserve"> early indications of </w:t>
      </w:r>
      <w:r w:rsidR="00FE6004" w:rsidRPr="00C73DB4">
        <w:rPr>
          <w:lang w:eastAsia="en-AU"/>
        </w:rPr>
        <w:t>b</w:t>
      </w:r>
      <w:r w:rsidR="00C73DB4" w:rsidRPr="00C73DB4">
        <w:rPr>
          <w:lang w:eastAsia="en-AU"/>
        </w:rPr>
        <w:t>eing</w:t>
      </w:r>
      <w:r w:rsidR="00785E72" w:rsidRPr="00C73DB4">
        <w:rPr>
          <w:lang w:eastAsia="en-AU"/>
        </w:rPr>
        <w:t xml:space="preserve"> </w:t>
      </w:r>
      <w:r w:rsidR="00C73DB4">
        <w:rPr>
          <w:lang w:eastAsia="en-AU"/>
        </w:rPr>
        <w:t xml:space="preserve">more </w:t>
      </w:r>
      <w:r w:rsidR="00C73DB4" w:rsidRPr="00C73DB4">
        <w:rPr>
          <w:lang w:eastAsia="en-AU"/>
        </w:rPr>
        <w:t>time-consuming</w:t>
      </w:r>
      <w:r w:rsidR="00785E72" w:rsidRPr="00C73DB4">
        <w:rPr>
          <w:lang w:eastAsia="en-AU"/>
        </w:rPr>
        <w:t xml:space="preserve"> and more resource</w:t>
      </w:r>
      <w:r w:rsidR="00B127F0">
        <w:rPr>
          <w:lang w:eastAsia="en-AU"/>
        </w:rPr>
        <w:t>-</w:t>
      </w:r>
      <w:r w:rsidR="00785E72" w:rsidRPr="00C73DB4">
        <w:rPr>
          <w:lang w:eastAsia="en-AU"/>
        </w:rPr>
        <w:t xml:space="preserve">intensive than </w:t>
      </w:r>
      <w:r w:rsidR="00FE6004" w:rsidRPr="00C73DB4">
        <w:rPr>
          <w:lang w:eastAsia="en-AU"/>
        </w:rPr>
        <w:t xml:space="preserve">the Department </w:t>
      </w:r>
      <w:r w:rsidR="27AE5C7B" w:rsidRPr="0F211669">
        <w:rPr>
          <w:lang w:eastAsia="en-AU"/>
        </w:rPr>
        <w:t xml:space="preserve">originally </w:t>
      </w:r>
      <w:r w:rsidR="00785E72" w:rsidRPr="00C73DB4">
        <w:rPr>
          <w:lang w:eastAsia="en-AU"/>
        </w:rPr>
        <w:t>modelle</w:t>
      </w:r>
      <w:r w:rsidR="008721E9">
        <w:rPr>
          <w:lang w:eastAsia="en-AU"/>
        </w:rPr>
        <w:t>d.</w:t>
      </w:r>
    </w:p>
    <w:p w14:paraId="6404E24C" w14:textId="42E89E54" w:rsidR="00D579B9" w:rsidRDefault="00976FBC" w:rsidP="2BFCF35C">
      <w:pPr>
        <w:spacing w:after="160" w:line="259" w:lineRule="auto"/>
        <w:rPr>
          <w:lang w:eastAsia="en-AU"/>
        </w:rPr>
      </w:pPr>
      <w:r>
        <w:rPr>
          <w:lang w:eastAsia="en-AU"/>
        </w:rPr>
        <w:t xml:space="preserve">The </w:t>
      </w:r>
      <w:r w:rsidR="00006553">
        <w:rPr>
          <w:lang w:eastAsia="en-AU"/>
        </w:rPr>
        <w:t xml:space="preserve">reform </w:t>
      </w:r>
      <w:r w:rsidR="00FF66B0">
        <w:rPr>
          <w:lang w:eastAsia="en-AU"/>
        </w:rPr>
        <w:t xml:space="preserve">project looking at </w:t>
      </w:r>
      <w:r>
        <w:rPr>
          <w:lang w:eastAsia="en-AU"/>
        </w:rPr>
        <w:t>compliance</w:t>
      </w:r>
      <w:r w:rsidR="00C33219">
        <w:rPr>
          <w:lang w:eastAsia="en-AU"/>
        </w:rPr>
        <w:t xml:space="preserve"> </w:t>
      </w:r>
      <w:r w:rsidR="004E0C7B">
        <w:rPr>
          <w:lang w:eastAsia="en-AU"/>
        </w:rPr>
        <w:t xml:space="preserve">has not yet progressed </w:t>
      </w:r>
      <w:r w:rsidR="14DA4422" w:rsidRPr="40A7BA96">
        <w:rPr>
          <w:lang w:eastAsia="en-AU"/>
        </w:rPr>
        <w:t xml:space="preserve">sufficiently </w:t>
      </w:r>
      <w:r w:rsidR="004E0C7B">
        <w:rPr>
          <w:lang w:eastAsia="en-AU"/>
        </w:rPr>
        <w:t xml:space="preserve">to </w:t>
      </w:r>
      <w:r w:rsidR="00414B01">
        <w:rPr>
          <w:lang w:eastAsia="en-AU"/>
        </w:rPr>
        <w:t>evaluate its</w:t>
      </w:r>
      <w:r w:rsidR="14DA4422" w:rsidRPr="40A7BA96">
        <w:rPr>
          <w:lang w:eastAsia="en-AU"/>
        </w:rPr>
        <w:t xml:space="preserve"> impact</w:t>
      </w:r>
      <w:r w:rsidR="00167AC8">
        <w:rPr>
          <w:lang w:eastAsia="en-AU"/>
        </w:rPr>
        <w:t xml:space="preserve">. </w:t>
      </w:r>
      <w:r w:rsidR="00B37A61">
        <w:rPr>
          <w:lang w:eastAsia="en-AU"/>
        </w:rPr>
        <w:t>While</w:t>
      </w:r>
      <w:r w:rsidR="14DA4422" w:rsidRPr="40A7BA96">
        <w:rPr>
          <w:lang w:eastAsia="en-AU"/>
        </w:rPr>
        <w:t xml:space="preserve"> </w:t>
      </w:r>
      <w:r w:rsidR="008725FE">
        <w:rPr>
          <w:lang w:eastAsia="en-AU"/>
        </w:rPr>
        <w:t xml:space="preserve">the Department has </w:t>
      </w:r>
      <w:r w:rsidR="004E0C7B">
        <w:rPr>
          <w:lang w:eastAsia="en-AU"/>
        </w:rPr>
        <w:t>established</w:t>
      </w:r>
      <w:r w:rsidR="008725FE">
        <w:rPr>
          <w:lang w:eastAsia="en-AU"/>
        </w:rPr>
        <w:t xml:space="preserve"> a</w:t>
      </w:r>
      <w:r w:rsidR="00587D0E">
        <w:rPr>
          <w:lang w:eastAsia="en-AU"/>
        </w:rPr>
        <w:t xml:space="preserve"> </w:t>
      </w:r>
      <w:r w:rsidR="00167AC8">
        <w:rPr>
          <w:lang w:eastAsia="en-AU"/>
        </w:rPr>
        <w:t xml:space="preserve">compliance </w:t>
      </w:r>
      <w:r w:rsidR="00587D0E">
        <w:rPr>
          <w:lang w:eastAsia="en-AU"/>
        </w:rPr>
        <w:t>strategy</w:t>
      </w:r>
      <w:r w:rsidR="00F75492">
        <w:rPr>
          <w:lang w:eastAsia="en-AU"/>
        </w:rPr>
        <w:t xml:space="preserve">, </w:t>
      </w:r>
      <w:r w:rsidR="00083F3B">
        <w:rPr>
          <w:lang w:eastAsia="en-AU"/>
        </w:rPr>
        <w:t xml:space="preserve">a </w:t>
      </w:r>
      <w:r w:rsidR="00911247">
        <w:rPr>
          <w:lang w:eastAsia="en-AU"/>
        </w:rPr>
        <w:t xml:space="preserve">significant </w:t>
      </w:r>
      <w:r w:rsidR="00083F3B">
        <w:rPr>
          <w:lang w:eastAsia="en-AU"/>
        </w:rPr>
        <w:t xml:space="preserve">amount of </w:t>
      </w:r>
      <w:r w:rsidR="00911247">
        <w:rPr>
          <w:lang w:eastAsia="en-AU"/>
        </w:rPr>
        <w:t xml:space="preserve">work is </w:t>
      </w:r>
      <w:r w:rsidR="00410B16">
        <w:rPr>
          <w:lang w:eastAsia="en-AU"/>
        </w:rPr>
        <w:t xml:space="preserve">still required </w:t>
      </w:r>
      <w:r w:rsidR="00176ACD">
        <w:rPr>
          <w:lang w:eastAsia="en-AU"/>
        </w:rPr>
        <w:t>before it can be put into action</w:t>
      </w:r>
      <w:r w:rsidR="00DE421C">
        <w:rPr>
          <w:lang w:eastAsia="en-AU"/>
        </w:rPr>
        <w:t>.</w:t>
      </w:r>
      <w:r w:rsidR="007735C7">
        <w:rPr>
          <w:lang w:eastAsia="en-AU"/>
        </w:rPr>
        <w:t xml:space="preserve"> </w:t>
      </w:r>
      <w:r w:rsidR="00D579B9" w:rsidRPr="00D579B9">
        <w:rPr>
          <w:lang w:eastAsia="en-AU"/>
        </w:rPr>
        <w:t xml:space="preserve">Although there is a process in place to assess </w:t>
      </w:r>
      <w:r w:rsidR="00091101">
        <w:rPr>
          <w:lang w:eastAsia="en-AU"/>
        </w:rPr>
        <w:t>items</w:t>
      </w:r>
      <w:r w:rsidR="00D579B9" w:rsidRPr="00D579B9">
        <w:rPr>
          <w:lang w:eastAsia="en-AU"/>
        </w:rPr>
        <w:t xml:space="preserve"> on a case-by-case basis when issues are raised with the Department, this process is slow, and </w:t>
      </w:r>
      <w:r w:rsidR="004E5DA0">
        <w:rPr>
          <w:lang w:eastAsia="en-AU"/>
        </w:rPr>
        <w:t xml:space="preserve">stakeholders </w:t>
      </w:r>
      <w:r w:rsidR="00F26CD0">
        <w:rPr>
          <w:lang w:eastAsia="en-AU"/>
        </w:rPr>
        <w:t xml:space="preserve">claim many </w:t>
      </w:r>
      <w:r w:rsidR="00D579B9" w:rsidRPr="00D579B9">
        <w:rPr>
          <w:lang w:eastAsia="en-AU"/>
        </w:rPr>
        <w:t>outstanding errors in the PL reported to the Department have yet to be addressed.</w:t>
      </w:r>
      <w:r w:rsidR="002D12F7" w:rsidRPr="002D12F7">
        <w:t xml:space="preserve"> </w:t>
      </w:r>
      <w:r w:rsidR="002D12F7" w:rsidRPr="002D12F7">
        <w:rPr>
          <w:lang w:eastAsia="en-AU"/>
        </w:rPr>
        <w:t>Achieving best practice assurance and compliance will require additional dedicated resources to ensure timely consideration of these issues.</w:t>
      </w:r>
    </w:p>
    <w:p w14:paraId="332E86E3" w14:textId="093335C6" w:rsidR="000E0484" w:rsidRDefault="000E0484" w:rsidP="00402F50">
      <w:pPr>
        <w:rPr>
          <w:lang w:eastAsia="en-AU"/>
        </w:rPr>
      </w:pPr>
      <w:r w:rsidRPr="000E0484">
        <w:rPr>
          <w:lang w:eastAsia="en-AU"/>
        </w:rPr>
        <w:t xml:space="preserve">The Department has implemented the reform program in a highly consultative and methodical way. Extensive investment in discussion papers, webinars, consultation documents, regular stakeholder meetings, and clinician-led reviews has supported the rollout of the reforms. </w:t>
      </w:r>
      <w:r w:rsidR="00A10644">
        <w:rPr>
          <w:lang w:eastAsia="en-AU"/>
        </w:rPr>
        <w:t>Although this approach</w:t>
      </w:r>
      <w:r w:rsidRPr="000E0484">
        <w:rPr>
          <w:lang w:eastAsia="en-AU"/>
        </w:rPr>
        <w:t xml:space="preserve"> has been resource-intensive, it </w:t>
      </w:r>
      <w:r w:rsidR="006F71EC">
        <w:rPr>
          <w:lang w:eastAsia="en-AU"/>
        </w:rPr>
        <w:t xml:space="preserve">has proven valuable in light of </w:t>
      </w:r>
      <w:r w:rsidRPr="000E0484">
        <w:rPr>
          <w:lang w:eastAsia="en-AU"/>
        </w:rPr>
        <w:t>divergent stakeholder views and the financial impact of the decisions made.</w:t>
      </w:r>
    </w:p>
    <w:p w14:paraId="7842DE64" w14:textId="443FF765" w:rsidR="00E04CC6" w:rsidRDefault="00CE2EBA" w:rsidP="00402F50">
      <w:r>
        <w:rPr>
          <w:lang w:eastAsia="en-AU"/>
        </w:rPr>
        <w:t xml:space="preserve">The </w:t>
      </w:r>
      <w:r w:rsidR="00425A1B">
        <w:rPr>
          <w:lang w:eastAsia="en-AU"/>
        </w:rPr>
        <w:t xml:space="preserve">PL </w:t>
      </w:r>
      <w:r>
        <w:rPr>
          <w:lang w:eastAsia="en-AU"/>
        </w:rPr>
        <w:t>reforms have delivered</w:t>
      </w:r>
      <w:r w:rsidR="029B6A1D" w:rsidRPr="40A7BA96">
        <w:rPr>
          <w:lang w:eastAsia="en-AU"/>
        </w:rPr>
        <w:t xml:space="preserve"> benefit</w:t>
      </w:r>
      <w:r w:rsidR="018E3485" w:rsidRPr="40A7BA96">
        <w:rPr>
          <w:lang w:eastAsia="en-AU"/>
        </w:rPr>
        <w:t>s</w:t>
      </w:r>
      <w:r w:rsidR="029B6A1D" w:rsidRPr="40A7BA96">
        <w:rPr>
          <w:lang w:eastAsia="en-AU"/>
        </w:rPr>
        <w:t xml:space="preserve"> </w:t>
      </w:r>
      <w:r>
        <w:rPr>
          <w:lang w:eastAsia="en-AU"/>
        </w:rPr>
        <w:t xml:space="preserve">to consumers </w:t>
      </w:r>
      <w:r w:rsidR="00BA5AA8">
        <w:rPr>
          <w:lang w:eastAsia="en-AU"/>
        </w:rPr>
        <w:t xml:space="preserve">by </w:t>
      </w:r>
      <w:r w:rsidR="00FD5B9B">
        <w:rPr>
          <w:lang w:eastAsia="en-AU"/>
        </w:rPr>
        <w:t>improving the affordability of PHI</w:t>
      </w:r>
      <w:r w:rsidR="00006BB2">
        <w:rPr>
          <w:lang w:eastAsia="en-AU"/>
        </w:rPr>
        <w:t xml:space="preserve"> while</w:t>
      </w:r>
      <w:r w:rsidR="029B6A1D" w:rsidRPr="40A7BA96">
        <w:rPr>
          <w:lang w:eastAsia="en-AU"/>
        </w:rPr>
        <w:t xml:space="preserve"> maintaining the policy settings </w:t>
      </w:r>
      <w:r w:rsidR="00FF7EC9">
        <w:rPr>
          <w:lang w:eastAsia="en-AU"/>
        </w:rPr>
        <w:t>for clinician choice and</w:t>
      </w:r>
      <w:r w:rsidR="029B6A1D" w:rsidRPr="40A7BA96">
        <w:rPr>
          <w:lang w:eastAsia="en-AU"/>
        </w:rPr>
        <w:t xml:space="preserve"> </w:t>
      </w:r>
      <w:r w:rsidR="007D1593">
        <w:rPr>
          <w:lang w:eastAsia="en-AU"/>
        </w:rPr>
        <w:t>minimal</w:t>
      </w:r>
      <w:r w:rsidR="029B6A1D" w:rsidRPr="40A7BA96">
        <w:rPr>
          <w:lang w:eastAsia="en-AU"/>
        </w:rPr>
        <w:t xml:space="preserve"> out</w:t>
      </w:r>
      <w:r w:rsidR="6CE7EB24" w:rsidRPr="40A7BA96">
        <w:rPr>
          <w:lang w:eastAsia="en-AU"/>
        </w:rPr>
        <w:t>-</w:t>
      </w:r>
      <w:r w:rsidR="029B6A1D" w:rsidRPr="40A7BA96">
        <w:rPr>
          <w:lang w:eastAsia="en-AU"/>
        </w:rPr>
        <w:t>of</w:t>
      </w:r>
      <w:r w:rsidR="022C1EAF" w:rsidRPr="40A7BA96">
        <w:rPr>
          <w:lang w:eastAsia="en-AU"/>
        </w:rPr>
        <w:t>-</w:t>
      </w:r>
      <w:r w:rsidR="029B6A1D" w:rsidRPr="40A7BA96">
        <w:rPr>
          <w:lang w:eastAsia="en-AU"/>
        </w:rPr>
        <w:t>pocke</w:t>
      </w:r>
      <w:r w:rsidR="04C11916" w:rsidRPr="40A7BA96">
        <w:rPr>
          <w:lang w:eastAsia="en-AU"/>
        </w:rPr>
        <w:t>t costs</w:t>
      </w:r>
      <w:r w:rsidR="2BBA150C" w:rsidRPr="40A7BA96">
        <w:rPr>
          <w:lang w:eastAsia="en-AU"/>
        </w:rPr>
        <w:t>.</w:t>
      </w:r>
      <w:r w:rsidR="00FF7EC9">
        <w:rPr>
          <w:lang w:eastAsia="en-AU"/>
        </w:rPr>
        <w:t xml:space="preserve"> </w:t>
      </w:r>
      <w:r w:rsidR="00E04CC6">
        <w:t xml:space="preserve">While PHI premiums are </w:t>
      </w:r>
      <w:r w:rsidR="004E22AB">
        <w:t>lower</w:t>
      </w:r>
      <w:r w:rsidR="00E04CC6">
        <w:t xml:space="preserve"> </w:t>
      </w:r>
      <w:r w:rsidR="00DA0D72">
        <w:t xml:space="preserve">than they otherwise would have been, </w:t>
      </w:r>
      <w:r w:rsidR="006924F4">
        <w:t>the contribution</w:t>
      </w:r>
      <w:r w:rsidR="00D91EEA">
        <w:t xml:space="preserve"> the</w:t>
      </w:r>
      <w:r w:rsidR="006924F4">
        <w:t xml:space="preserve"> PL reforms </w:t>
      </w:r>
      <w:r w:rsidR="009B3FD3">
        <w:t>have made towards containing PHI costs</w:t>
      </w:r>
      <w:r w:rsidR="00A81D45">
        <w:t xml:space="preserve"> can only ever be proportional </w:t>
      </w:r>
      <w:r w:rsidR="00CB3077">
        <w:t>to upward</w:t>
      </w:r>
      <w:r w:rsidR="00335A15">
        <w:t xml:space="preserve"> pressure on PHI premiums from elsewhere.</w:t>
      </w:r>
    </w:p>
    <w:p w14:paraId="7E12F906" w14:textId="4CCBBAB1" w:rsidR="00E04CC6" w:rsidRPr="00402F50" w:rsidRDefault="00E04CC6" w:rsidP="00402F50">
      <w:pPr>
        <w:sectPr w:rsidR="00E04CC6" w:rsidRPr="00402F50" w:rsidSect="006059A7">
          <w:headerReference w:type="even" r:id="rId21"/>
          <w:headerReference w:type="default" r:id="rId22"/>
          <w:footerReference w:type="default" r:id="rId23"/>
          <w:headerReference w:type="first" r:id="rId24"/>
          <w:pgSz w:w="11907" w:h="16839" w:code="9"/>
          <w:pgMar w:top="1247" w:right="1418" w:bottom="1701" w:left="1418" w:header="720" w:footer="720" w:gutter="0"/>
          <w:pgNumType w:start="1"/>
          <w:cols w:space="720"/>
          <w:docGrid w:linePitch="360"/>
        </w:sectPr>
      </w:pPr>
    </w:p>
    <w:p w14:paraId="2817476E" w14:textId="195E1D68" w:rsidR="009C3D4F" w:rsidRDefault="00911E43" w:rsidP="006B3E23">
      <w:pPr>
        <w:pStyle w:val="Heading1"/>
        <w:numPr>
          <w:ilvl w:val="0"/>
          <w:numId w:val="24"/>
        </w:numPr>
      </w:pPr>
      <w:bookmarkStart w:id="4" w:name="_Toc181405065"/>
      <w:r>
        <w:lastRenderedPageBreak/>
        <w:t>Introduction</w:t>
      </w:r>
      <w:bookmarkEnd w:id="4"/>
    </w:p>
    <w:p w14:paraId="553B7E64" w14:textId="555D640B" w:rsidR="00C1164A" w:rsidRDefault="0037767D" w:rsidP="00AC5347">
      <w:pPr>
        <w:pStyle w:val="Heading2"/>
      </w:pPr>
      <w:bookmarkStart w:id="5" w:name="_Toc181405066"/>
      <w:r>
        <w:t>The evaluation context</w:t>
      </w:r>
      <w:bookmarkEnd w:id="5"/>
    </w:p>
    <w:p w14:paraId="67599074" w14:textId="2F1DAC99" w:rsidR="00AC5347" w:rsidRDefault="25EB7B4E" w:rsidP="28E2C4BB">
      <w:r>
        <w:t xml:space="preserve">This interim evaluation report covers the period </w:t>
      </w:r>
      <w:r w:rsidR="00070FFD">
        <w:t xml:space="preserve">from </w:t>
      </w:r>
      <w:r w:rsidR="00C17FDF">
        <w:t>May 2021</w:t>
      </w:r>
      <w:r>
        <w:t xml:space="preserve"> to June 2024.</w:t>
      </w:r>
      <w:r w:rsidR="00C17FDF">
        <w:rPr>
          <w:rStyle w:val="FootnoteReference"/>
        </w:rPr>
        <w:footnoteReference w:id="5"/>
      </w:r>
      <w:r w:rsidR="009A5E9B">
        <w:rPr>
          <w:vertAlign w:val="superscript"/>
        </w:rPr>
        <w:t>,</w:t>
      </w:r>
      <w:r w:rsidR="00162D5A">
        <w:rPr>
          <w:rStyle w:val="FootnoteReference"/>
        </w:rPr>
        <w:footnoteReference w:id="6"/>
      </w:r>
    </w:p>
    <w:p w14:paraId="21970FD5" w14:textId="5B0CFEFC" w:rsidR="00AC5347" w:rsidRPr="00AC5347" w:rsidRDefault="00FC3A67" w:rsidP="00AC5347">
      <w:pPr>
        <w:rPr>
          <w:lang w:eastAsia="en-AU"/>
        </w:rPr>
      </w:pPr>
      <w:r>
        <w:rPr>
          <w:lang w:eastAsia="en-AU"/>
        </w:rPr>
        <w:t xml:space="preserve">Announced </w:t>
      </w:r>
      <w:r w:rsidR="005B2C34">
        <w:rPr>
          <w:lang w:eastAsia="en-AU"/>
        </w:rPr>
        <w:t>on 11 May 2021 in the Australian Federal Budget, t</w:t>
      </w:r>
      <w:r w:rsidR="2ABB167B" w:rsidRPr="28E2C4BB">
        <w:rPr>
          <w:lang w:eastAsia="en-AU"/>
        </w:rPr>
        <w:t xml:space="preserve">he PL reforms commenced </w:t>
      </w:r>
      <w:r w:rsidR="19E8E06E" w:rsidRPr="0A8D45C9">
        <w:rPr>
          <w:lang w:eastAsia="en-AU"/>
        </w:rPr>
        <w:t xml:space="preserve">at a time when </w:t>
      </w:r>
      <w:r w:rsidR="2ABB167B" w:rsidRPr="28E2C4BB">
        <w:rPr>
          <w:lang w:eastAsia="en-AU"/>
        </w:rPr>
        <w:t>the health system was recovering from the COVID</w:t>
      </w:r>
      <w:r w:rsidR="00826C29">
        <w:rPr>
          <w:lang w:eastAsia="en-AU"/>
        </w:rPr>
        <w:t>-19</w:t>
      </w:r>
      <w:r w:rsidR="2ABB167B" w:rsidRPr="28E2C4BB">
        <w:rPr>
          <w:lang w:eastAsia="en-AU"/>
        </w:rPr>
        <w:t xml:space="preserve"> pandemic.</w:t>
      </w:r>
      <w:r w:rsidR="0D480FD3" w:rsidRPr="28E2C4BB">
        <w:rPr>
          <w:lang w:eastAsia="en-AU"/>
        </w:rPr>
        <w:t xml:space="preserve"> </w:t>
      </w:r>
      <w:r w:rsidR="4F68C010" w:rsidRPr="28E2C4BB">
        <w:rPr>
          <w:lang w:eastAsia="en-AU"/>
        </w:rPr>
        <w:t xml:space="preserve">Australia </w:t>
      </w:r>
      <w:r w:rsidR="4F68C010" w:rsidRPr="304CD8F6">
        <w:rPr>
          <w:lang w:eastAsia="en-AU"/>
        </w:rPr>
        <w:t>ha</w:t>
      </w:r>
      <w:r w:rsidR="4AE27ACA" w:rsidRPr="304CD8F6">
        <w:rPr>
          <w:lang w:eastAsia="en-AU"/>
        </w:rPr>
        <w:t>d</w:t>
      </w:r>
      <w:r w:rsidR="00A60CDC">
        <w:rPr>
          <w:lang w:eastAsia="en-AU"/>
        </w:rPr>
        <w:t xml:space="preserve"> </w:t>
      </w:r>
      <w:r w:rsidR="00E62B09">
        <w:rPr>
          <w:lang w:eastAsia="en-AU"/>
        </w:rPr>
        <w:t xml:space="preserve">experienced </w:t>
      </w:r>
      <w:r w:rsidR="4F68C010" w:rsidRPr="28E2C4BB">
        <w:rPr>
          <w:lang w:eastAsia="en-AU"/>
        </w:rPr>
        <w:t>a period of unusual hospital activity levels and</w:t>
      </w:r>
      <w:r w:rsidR="1822CA48" w:rsidRPr="28E2C4BB">
        <w:rPr>
          <w:lang w:eastAsia="en-AU"/>
        </w:rPr>
        <w:t xml:space="preserve"> health care patterns including restrictions to elective surgery, workforce challenges and a re-orientation towards pandemic response activities.</w:t>
      </w:r>
      <w:r w:rsidR="001DC8B6" w:rsidRPr="63662408">
        <w:rPr>
          <w:lang w:eastAsia="en-AU"/>
        </w:rPr>
        <w:t xml:space="preserve"> </w:t>
      </w:r>
      <w:r w:rsidR="450CA417" w:rsidRPr="1AC0984B">
        <w:rPr>
          <w:lang w:eastAsia="en-AU"/>
        </w:rPr>
        <w:t>T</w:t>
      </w:r>
      <w:r w:rsidR="4098E63E" w:rsidRPr="1AC0984B">
        <w:rPr>
          <w:lang w:eastAsia="en-AU"/>
        </w:rPr>
        <w:t>his</w:t>
      </w:r>
      <w:r w:rsidR="4098E63E" w:rsidRPr="28E2C4BB">
        <w:rPr>
          <w:lang w:eastAsia="en-AU"/>
        </w:rPr>
        <w:t xml:space="preserve"> </w:t>
      </w:r>
      <w:r w:rsidR="10C57ED2" w:rsidRPr="28E2C4BB">
        <w:rPr>
          <w:lang w:eastAsia="en-AU"/>
        </w:rPr>
        <w:t>environment</w:t>
      </w:r>
      <w:r w:rsidR="4098E63E" w:rsidRPr="28E2C4BB">
        <w:rPr>
          <w:lang w:eastAsia="en-AU"/>
        </w:rPr>
        <w:t xml:space="preserve"> </w:t>
      </w:r>
      <w:r w:rsidR="4098E63E" w:rsidRPr="0A8D45C9">
        <w:rPr>
          <w:lang w:eastAsia="en-AU"/>
        </w:rPr>
        <w:t>set</w:t>
      </w:r>
      <w:r w:rsidR="51FFBF50" w:rsidRPr="0A8D45C9">
        <w:rPr>
          <w:lang w:eastAsia="en-AU"/>
        </w:rPr>
        <w:t>s</w:t>
      </w:r>
      <w:r w:rsidR="4098E63E" w:rsidRPr="28E2C4BB">
        <w:rPr>
          <w:lang w:eastAsia="en-AU"/>
        </w:rPr>
        <w:t xml:space="preserve"> the backdrop </w:t>
      </w:r>
      <w:r w:rsidR="00122A26">
        <w:rPr>
          <w:lang w:eastAsia="en-AU"/>
        </w:rPr>
        <w:t xml:space="preserve">of a </w:t>
      </w:r>
      <w:r w:rsidR="00BD3D9D">
        <w:rPr>
          <w:lang w:eastAsia="en-AU"/>
        </w:rPr>
        <w:t xml:space="preserve">continued </w:t>
      </w:r>
      <w:r w:rsidR="7A03FF19" w:rsidRPr="3FAE8BD4">
        <w:rPr>
          <w:lang w:eastAsia="en-AU"/>
        </w:rPr>
        <w:t xml:space="preserve">focus </w:t>
      </w:r>
      <w:r w:rsidR="005B6D2B" w:rsidRPr="3FAE8BD4">
        <w:rPr>
          <w:lang w:eastAsia="en-AU"/>
        </w:rPr>
        <w:t>on reforms</w:t>
      </w:r>
      <w:r w:rsidR="47DC28FA" w:rsidRPr="334D16E7">
        <w:rPr>
          <w:lang w:eastAsia="en-AU"/>
        </w:rPr>
        <w:t xml:space="preserve"> to </w:t>
      </w:r>
      <w:r w:rsidR="4098E63E" w:rsidRPr="3FAE8BD4">
        <w:rPr>
          <w:lang w:eastAsia="en-AU"/>
        </w:rPr>
        <w:t>health</w:t>
      </w:r>
      <w:r w:rsidR="4098E63E" w:rsidRPr="28E2C4BB">
        <w:rPr>
          <w:lang w:eastAsia="en-AU"/>
        </w:rPr>
        <w:t xml:space="preserve"> financing </w:t>
      </w:r>
      <w:r w:rsidR="2004BB20" w:rsidRPr="334D16E7">
        <w:rPr>
          <w:lang w:eastAsia="en-AU"/>
        </w:rPr>
        <w:t>arrangements</w:t>
      </w:r>
      <w:r w:rsidR="00774FD1">
        <w:rPr>
          <w:lang w:eastAsia="en-AU"/>
        </w:rPr>
        <w:t xml:space="preserve"> and </w:t>
      </w:r>
      <w:r w:rsidR="2004BB20" w:rsidRPr="334D16E7">
        <w:rPr>
          <w:lang w:eastAsia="en-AU"/>
        </w:rPr>
        <w:t xml:space="preserve">consumer </w:t>
      </w:r>
      <w:r w:rsidR="2004BB20" w:rsidRPr="7FB921FC">
        <w:rPr>
          <w:lang w:eastAsia="en-AU"/>
        </w:rPr>
        <w:t xml:space="preserve">access to private health care, including </w:t>
      </w:r>
      <w:r w:rsidR="2004BB20" w:rsidRPr="67F6EEA7">
        <w:rPr>
          <w:lang w:eastAsia="en-AU"/>
        </w:rPr>
        <w:t xml:space="preserve">elective surgery </w:t>
      </w:r>
      <w:r w:rsidR="4098E63E" w:rsidRPr="67F6EEA7">
        <w:rPr>
          <w:lang w:eastAsia="en-AU"/>
        </w:rPr>
        <w:t>and</w:t>
      </w:r>
      <w:r w:rsidR="4098E63E" w:rsidRPr="28E2C4BB">
        <w:rPr>
          <w:lang w:eastAsia="en-AU"/>
        </w:rPr>
        <w:t xml:space="preserve"> </w:t>
      </w:r>
      <w:r w:rsidR="2E0409B5" w:rsidRPr="0A6FDCCA">
        <w:rPr>
          <w:lang w:eastAsia="en-AU"/>
        </w:rPr>
        <w:t xml:space="preserve">health </w:t>
      </w:r>
      <w:r w:rsidR="00658C3E" w:rsidRPr="28E2C4BB">
        <w:rPr>
          <w:lang w:eastAsia="en-AU"/>
        </w:rPr>
        <w:t xml:space="preserve">system </w:t>
      </w:r>
      <w:r w:rsidR="4098E63E" w:rsidRPr="28E2C4BB">
        <w:rPr>
          <w:lang w:eastAsia="en-AU"/>
        </w:rPr>
        <w:t>reform</w:t>
      </w:r>
      <w:r w:rsidR="00757E51" w:rsidRPr="630EE134">
        <w:rPr>
          <w:lang w:eastAsia="en-AU"/>
        </w:rPr>
        <w:t>.</w:t>
      </w:r>
    </w:p>
    <w:p w14:paraId="16A69DDA" w14:textId="7B769860" w:rsidR="003848C5" w:rsidRDefault="164DEF11" w:rsidP="28E2C4BB">
      <w:pPr>
        <w:rPr>
          <w:lang w:eastAsia="en-AU"/>
        </w:rPr>
      </w:pPr>
      <w:r w:rsidRPr="1F5856EC">
        <w:rPr>
          <w:lang w:eastAsia="en-AU"/>
        </w:rPr>
        <w:t>PHI</w:t>
      </w:r>
      <w:r w:rsidRPr="28E2C4BB">
        <w:rPr>
          <w:lang w:eastAsia="en-AU"/>
        </w:rPr>
        <w:t xml:space="preserve"> </w:t>
      </w:r>
      <w:r w:rsidR="00CA531E">
        <w:rPr>
          <w:lang w:eastAsia="en-AU"/>
        </w:rPr>
        <w:t xml:space="preserve">affordability </w:t>
      </w:r>
      <w:r w:rsidR="241C5E84" w:rsidRPr="1F5856EC">
        <w:rPr>
          <w:lang w:eastAsia="en-AU"/>
        </w:rPr>
        <w:t xml:space="preserve">was </w:t>
      </w:r>
      <w:r w:rsidR="255E45A9" w:rsidRPr="40D8720B">
        <w:rPr>
          <w:lang w:eastAsia="en-AU"/>
        </w:rPr>
        <w:t>topical in May 2021</w:t>
      </w:r>
      <w:r w:rsidR="00CA531E">
        <w:rPr>
          <w:lang w:eastAsia="en-AU"/>
        </w:rPr>
        <w:t xml:space="preserve">, </w:t>
      </w:r>
      <w:r w:rsidR="241C5E84" w:rsidRPr="1F5856EC">
        <w:rPr>
          <w:lang w:eastAsia="en-AU"/>
        </w:rPr>
        <w:t xml:space="preserve">and </w:t>
      </w:r>
      <w:r w:rsidR="255E45A9" w:rsidRPr="40D8720B">
        <w:rPr>
          <w:lang w:eastAsia="en-AU"/>
        </w:rPr>
        <w:t>remain</w:t>
      </w:r>
      <w:r w:rsidR="003026CD">
        <w:rPr>
          <w:lang w:eastAsia="en-AU"/>
        </w:rPr>
        <w:t>s</w:t>
      </w:r>
      <w:r w:rsidR="255E45A9" w:rsidRPr="40D8720B">
        <w:rPr>
          <w:lang w:eastAsia="en-AU"/>
        </w:rPr>
        <w:t xml:space="preserve"> so, with</w:t>
      </w:r>
      <w:r w:rsidR="64CF4C78" w:rsidRPr="40D8720B">
        <w:rPr>
          <w:lang w:eastAsia="en-AU"/>
        </w:rPr>
        <w:t xml:space="preserve"> </w:t>
      </w:r>
      <w:r w:rsidR="4991C77E" w:rsidRPr="630EE134">
        <w:rPr>
          <w:lang w:eastAsia="en-AU"/>
        </w:rPr>
        <w:t xml:space="preserve">PHI </w:t>
      </w:r>
      <w:r w:rsidR="241C5E84" w:rsidRPr="1F5856EC">
        <w:rPr>
          <w:lang w:eastAsia="en-AU"/>
        </w:rPr>
        <w:t>premium</w:t>
      </w:r>
      <w:r w:rsidR="00CA531E">
        <w:rPr>
          <w:lang w:eastAsia="en-AU"/>
        </w:rPr>
        <w:t xml:space="preserve">s </w:t>
      </w:r>
      <w:r w:rsidR="64CF4C78" w:rsidRPr="0055FCEA">
        <w:rPr>
          <w:lang w:eastAsia="en-AU"/>
        </w:rPr>
        <w:t>ris</w:t>
      </w:r>
      <w:r w:rsidR="61F1DC72" w:rsidRPr="0055FCEA">
        <w:rPr>
          <w:lang w:eastAsia="en-AU"/>
        </w:rPr>
        <w:t xml:space="preserve">ing </w:t>
      </w:r>
      <w:r w:rsidR="64CF4C78" w:rsidRPr="0055FCEA">
        <w:rPr>
          <w:lang w:eastAsia="en-AU"/>
        </w:rPr>
        <w:t>annually.</w:t>
      </w:r>
      <w:r w:rsidR="64CF4C78" w:rsidRPr="75B8AB24">
        <w:rPr>
          <w:lang w:eastAsia="en-AU"/>
        </w:rPr>
        <w:t xml:space="preserve"> </w:t>
      </w:r>
      <w:r w:rsidR="008F4D79" w:rsidRPr="008F4D79">
        <w:rPr>
          <w:lang w:eastAsia="en-AU"/>
        </w:rPr>
        <w:t>By better aligning PL benefits with the costs of devices in the public sector, the reforms were aimed at placing downward pressure on rising PHI premiums. This was to be achieved by reducing costs for private health insurers in reimbursing medical devices and human tissue products used in private hospital care. The success (or otherwise) of this element of the reform program is assessed within this broader context.</w:t>
      </w:r>
    </w:p>
    <w:p w14:paraId="71CBC057" w14:textId="67B0945D" w:rsidR="00340FD4" w:rsidRPr="00ED2FDD" w:rsidRDefault="00340FD4" w:rsidP="28E2C4BB">
      <w:pPr>
        <w:rPr>
          <w:lang w:eastAsia="en-AU"/>
        </w:rPr>
      </w:pPr>
      <w:r w:rsidRPr="00340FD4">
        <w:rPr>
          <w:lang w:eastAsia="en-AU"/>
        </w:rPr>
        <w:t>Additionally, the growth of new and novel medical technologies continues</w:t>
      </w:r>
      <w:r w:rsidR="000A6DE5">
        <w:rPr>
          <w:lang w:eastAsia="en-AU"/>
        </w:rPr>
        <w:t>. For this evaluation</w:t>
      </w:r>
      <w:r w:rsidRPr="00340FD4">
        <w:rPr>
          <w:lang w:eastAsia="en-AU"/>
        </w:rPr>
        <w:t xml:space="preserve">, benefit settings for devices incorporating a service component required specific attention, as did decisions around the benefits of GUIs. As new technologies continue to emerge, further challenges for the </w:t>
      </w:r>
      <w:r w:rsidR="007D79B0">
        <w:rPr>
          <w:lang w:eastAsia="en-AU"/>
        </w:rPr>
        <w:t>PL</w:t>
      </w:r>
      <w:r w:rsidRPr="00340FD4">
        <w:rPr>
          <w:lang w:eastAsia="en-AU"/>
        </w:rPr>
        <w:t xml:space="preserve"> are likely, necessitating close consideration of its scope, purpose</w:t>
      </w:r>
      <w:r w:rsidR="007D79B0">
        <w:rPr>
          <w:lang w:eastAsia="en-AU"/>
        </w:rPr>
        <w:t xml:space="preserve"> </w:t>
      </w:r>
      <w:r w:rsidRPr="00340FD4">
        <w:rPr>
          <w:lang w:eastAsia="en-AU"/>
        </w:rPr>
        <w:t>and existing legal framework.</w:t>
      </w:r>
    </w:p>
    <w:p w14:paraId="71298B02" w14:textId="19B00E1A" w:rsidR="69A21A5D" w:rsidRDefault="001A512B" w:rsidP="2BFCF35C">
      <w:pPr>
        <w:rPr>
          <w:lang w:eastAsia="en-AU"/>
        </w:rPr>
      </w:pPr>
      <w:r>
        <w:rPr>
          <w:lang w:eastAsia="en-AU"/>
        </w:rPr>
        <w:t xml:space="preserve">Structural trends in PHI usage and the types of medical procedures being undertaken in private </w:t>
      </w:r>
      <w:r w:rsidR="004D6F12">
        <w:rPr>
          <w:lang w:eastAsia="en-AU"/>
        </w:rPr>
        <w:t>hospitals have</w:t>
      </w:r>
      <w:r w:rsidR="00576586">
        <w:rPr>
          <w:lang w:eastAsia="en-AU"/>
        </w:rPr>
        <w:t xml:space="preserve"> been</w:t>
      </w:r>
      <w:r w:rsidR="005564C7">
        <w:rPr>
          <w:lang w:eastAsia="en-AU"/>
        </w:rPr>
        <w:t xml:space="preserve"> </w:t>
      </w:r>
      <w:r w:rsidR="001D19F1">
        <w:rPr>
          <w:lang w:eastAsia="en-AU"/>
        </w:rPr>
        <w:t>a long</w:t>
      </w:r>
      <w:r w:rsidR="001471DC">
        <w:rPr>
          <w:lang w:eastAsia="en-AU"/>
        </w:rPr>
        <w:t>er-</w:t>
      </w:r>
      <w:r w:rsidR="00AC52CA">
        <w:rPr>
          <w:lang w:eastAsia="en-AU"/>
        </w:rPr>
        <w:t>term</w:t>
      </w:r>
      <w:r w:rsidR="00C15552">
        <w:rPr>
          <w:lang w:eastAsia="en-AU"/>
        </w:rPr>
        <w:t xml:space="preserve"> force at play </w:t>
      </w:r>
      <w:r w:rsidR="00576586">
        <w:rPr>
          <w:lang w:eastAsia="en-AU"/>
        </w:rPr>
        <w:t xml:space="preserve">since </w:t>
      </w:r>
      <w:r w:rsidR="0003657A">
        <w:rPr>
          <w:lang w:eastAsia="en-AU"/>
        </w:rPr>
        <w:t>the announcement of the reforms.</w:t>
      </w:r>
      <w:r w:rsidR="001A6F66">
        <w:rPr>
          <w:lang w:eastAsia="en-AU"/>
        </w:rPr>
        <w:t xml:space="preserve"> </w:t>
      </w:r>
      <w:r w:rsidR="03ACB5E5" w:rsidRPr="558B639B">
        <w:rPr>
          <w:lang w:eastAsia="en-AU"/>
        </w:rPr>
        <w:t xml:space="preserve">Changes in these use </w:t>
      </w:r>
      <w:r w:rsidR="03ACB5E5" w:rsidRPr="7A01AC59">
        <w:rPr>
          <w:lang w:eastAsia="en-AU"/>
        </w:rPr>
        <w:t>patterns</w:t>
      </w:r>
      <w:r w:rsidR="03ACB5E5" w:rsidRPr="0FA6DC10">
        <w:rPr>
          <w:lang w:eastAsia="en-AU"/>
        </w:rPr>
        <w:t xml:space="preserve">, including an older cohort accessing their PHI and an increased volume of </w:t>
      </w:r>
      <w:r w:rsidR="433919B9" w:rsidRPr="0FA6DC10">
        <w:rPr>
          <w:lang w:eastAsia="en-AU"/>
        </w:rPr>
        <w:t>PL</w:t>
      </w:r>
      <w:r w:rsidR="00CF2B66">
        <w:rPr>
          <w:lang w:eastAsia="en-AU"/>
        </w:rPr>
        <w:t>-</w:t>
      </w:r>
      <w:r w:rsidR="433919B9" w:rsidRPr="0FA6DC10">
        <w:rPr>
          <w:lang w:eastAsia="en-AU"/>
        </w:rPr>
        <w:t xml:space="preserve">listed items per procedure, </w:t>
      </w:r>
      <w:r w:rsidR="03ACB5E5" w:rsidRPr="0FA6DC10">
        <w:rPr>
          <w:lang w:eastAsia="en-AU"/>
        </w:rPr>
        <w:t>are</w:t>
      </w:r>
      <w:r w:rsidR="03ACB5E5" w:rsidRPr="7A01AC59">
        <w:rPr>
          <w:lang w:eastAsia="en-AU"/>
        </w:rPr>
        <w:t xml:space="preserve"> </w:t>
      </w:r>
      <w:r w:rsidR="00BA78BA">
        <w:rPr>
          <w:lang w:eastAsia="en-AU"/>
        </w:rPr>
        <w:t>contributing to</w:t>
      </w:r>
      <w:r w:rsidR="03ACB5E5" w:rsidRPr="7A01AC59">
        <w:rPr>
          <w:lang w:eastAsia="en-AU"/>
        </w:rPr>
        <w:t xml:space="preserve"> </w:t>
      </w:r>
      <w:r w:rsidR="0B44CCD7" w:rsidRPr="28E2C4BB">
        <w:rPr>
          <w:lang w:eastAsia="en-AU"/>
        </w:rPr>
        <w:t>pressure on the finan</w:t>
      </w:r>
      <w:r w:rsidR="480A31BB" w:rsidRPr="28E2C4BB">
        <w:rPr>
          <w:lang w:eastAsia="en-AU"/>
        </w:rPr>
        <w:t xml:space="preserve">cial sustainability of private </w:t>
      </w:r>
      <w:r w:rsidR="005E3599">
        <w:rPr>
          <w:lang w:eastAsia="en-AU"/>
        </w:rPr>
        <w:t>healthcare</w:t>
      </w:r>
      <w:r w:rsidR="005E3599" w:rsidRPr="28E2C4BB">
        <w:rPr>
          <w:lang w:eastAsia="en-AU"/>
        </w:rPr>
        <w:t xml:space="preserve"> </w:t>
      </w:r>
      <w:r w:rsidR="480A31BB" w:rsidRPr="28E2C4BB">
        <w:rPr>
          <w:lang w:eastAsia="en-AU"/>
        </w:rPr>
        <w:t xml:space="preserve">under current </w:t>
      </w:r>
      <w:r w:rsidR="32EE36D3" w:rsidRPr="28E2C4BB">
        <w:rPr>
          <w:lang w:eastAsia="en-AU"/>
        </w:rPr>
        <w:t>policy</w:t>
      </w:r>
      <w:r w:rsidR="480A31BB" w:rsidRPr="28E2C4BB">
        <w:rPr>
          <w:lang w:eastAsia="en-AU"/>
        </w:rPr>
        <w:t xml:space="preserve"> settings. </w:t>
      </w:r>
      <w:r w:rsidR="00836252" w:rsidRPr="006C4CC9">
        <w:rPr>
          <w:lang w:eastAsia="en-AU"/>
        </w:rPr>
        <w:t xml:space="preserve">The dialogue surrounding the </w:t>
      </w:r>
      <w:r w:rsidR="0BAE35CA" w:rsidRPr="11B957D8">
        <w:rPr>
          <w:lang w:eastAsia="en-AU"/>
        </w:rPr>
        <w:t xml:space="preserve">financial </w:t>
      </w:r>
      <w:r w:rsidR="00836252" w:rsidRPr="006C4CC9">
        <w:rPr>
          <w:lang w:eastAsia="en-AU"/>
        </w:rPr>
        <w:t>challenges faced by</w:t>
      </w:r>
      <w:r w:rsidR="0BAE35CA" w:rsidRPr="11B957D8">
        <w:rPr>
          <w:lang w:eastAsia="en-AU"/>
        </w:rPr>
        <w:t xml:space="preserve"> private hospitals </w:t>
      </w:r>
      <w:r w:rsidR="004D6F12" w:rsidRPr="00836252">
        <w:rPr>
          <w:lang w:eastAsia="en-AU"/>
        </w:rPr>
        <w:t>provides</w:t>
      </w:r>
      <w:r w:rsidR="0BAE35CA" w:rsidRPr="11B957D8">
        <w:rPr>
          <w:lang w:eastAsia="en-AU"/>
        </w:rPr>
        <w:t xml:space="preserve"> </w:t>
      </w:r>
      <w:r w:rsidR="00A431A1" w:rsidRPr="00836252">
        <w:rPr>
          <w:lang w:eastAsia="en-AU"/>
        </w:rPr>
        <w:t xml:space="preserve">an </w:t>
      </w:r>
      <w:r w:rsidR="0BAE35CA" w:rsidRPr="11B957D8">
        <w:rPr>
          <w:lang w:eastAsia="en-AU"/>
        </w:rPr>
        <w:t xml:space="preserve">important </w:t>
      </w:r>
      <w:r w:rsidR="00836252" w:rsidRPr="00836252">
        <w:rPr>
          <w:lang w:eastAsia="en-AU"/>
        </w:rPr>
        <w:t>context for the reforms,</w:t>
      </w:r>
      <w:r w:rsidR="0BAE35CA" w:rsidRPr="11B957D8">
        <w:rPr>
          <w:lang w:eastAsia="en-AU"/>
        </w:rPr>
        <w:t xml:space="preserve"> </w:t>
      </w:r>
      <w:r w:rsidR="1FEF5A91" w:rsidRPr="3D469805">
        <w:rPr>
          <w:lang w:eastAsia="en-AU"/>
        </w:rPr>
        <w:t>including</w:t>
      </w:r>
      <w:r w:rsidR="0BAE35CA" w:rsidRPr="3D469805">
        <w:rPr>
          <w:lang w:eastAsia="en-AU"/>
        </w:rPr>
        <w:t xml:space="preserve"> </w:t>
      </w:r>
      <w:r w:rsidR="0BAE35CA" w:rsidRPr="11B957D8">
        <w:rPr>
          <w:lang w:eastAsia="en-AU"/>
        </w:rPr>
        <w:t xml:space="preserve">the decision to retain </w:t>
      </w:r>
      <w:r w:rsidR="00836252" w:rsidRPr="00836252">
        <w:rPr>
          <w:lang w:eastAsia="en-AU"/>
        </w:rPr>
        <w:t>GUIs on the PL</w:t>
      </w:r>
      <w:r w:rsidR="480A31BB" w:rsidRPr="11B957D8">
        <w:rPr>
          <w:lang w:eastAsia="en-AU"/>
        </w:rPr>
        <w:t>.</w:t>
      </w:r>
    </w:p>
    <w:p w14:paraId="341CA6D9" w14:textId="77777777" w:rsidR="00AC5347" w:rsidRDefault="00C1164A" w:rsidP="00AC5347">
      <w:pPr>
        <w:pStyle w:val="Heading2"/>
      </w:pPr>
      <w:bookmarkStart w:id="6" w:name="_Toc181405067"/>
      <w:r>
        <w:t>Purpose and structure of this report</w:t>
      </w:r>
      <w:bookmarkEnd w:id="6"/>
    </w:p>
    <w:p w14:paraId="7207879D" w14:textId="5F57AB1E" w:rsidR="00D604B5" w:rsidRDefault="00877DDF">
      <w:r>
        <w:t>The Department commissioned N</w:t>
      </w:r>
      <w:r w:rsidR="00015C7C">
        <w:t>ous to evaluat</w:t>
      </w:r>
      <w:r w:rsidR="003269F3">
        <w:t>e</w:t>
      </w:r>
      <w:r w:rsidR="00015C7C">
        <w:t xml:space="preserve"> the PL </w:t>
      </w:r>
      <w:r w:rsidR="00EC78D4">
        <w:t>r</w:t>
      </w:r>
      <w:r w:rsidR="00015C7C">
        <w:t xml:space="preserve">eforms using </w:t>
      </w:r>
      <w:r w:rsidR="003269F3">
        <w:t xml:space="preserve">the </w:t>
      </w:r>
      <w:r w:rsidR="006B13C1">
        <w:t>P</w:t>
      </w:r>
      <w:r w:rsidR="00044073">
        <w:t xml:space="preserve">rostheses List </w:t>
      </w:r>
      <w:r w:rsidR="003269F3">
        <w:t>Evaluation Framework</w:t>
      </w:r>
      <w:r w:rsidR="00926095">
        <w:t xml:space="preserve"> (see </w:t>
      </w:r>
      <w:r w:rsidR="009F07E5">
        <w:t>Appendix</w:t>
      </w:r>
      <w:r w:rsidR="00926095">
        <w:t xml:space="preserve"> </w:t>
      </w:r>
      <w:r w:rsidR="00926095">
        <w:fldChar w:fldCharType="begin"/>
      </w:r>
      <w:r w:rsidR="00926095">
        <w:instrText xml:space="preserve"> REF _Ref172225544 \r \h </w:instrText>
      </w:r>
      <w:r w:rsidR="00926095">
        <w:fldChar w:fldCharType="separate"/>
      </w:r>
      <w:r w:rsidR="009B5D8D">
        <w:t>A.2</w:t>
      </w:r>
      <w:r w:rsidR="00926095">
        <w:fldChar w:fldCharType="end"/>
      </w:r>
      <w:r w:rsidR="009F07E5">
        <w:t>)</w:t>
      </w:r>
      <w:r w:rsidR="0038238E">
        <w:t xml:space="preserve">. </w:t>
      </w:r>
      <w:r w:rsidR="59FF4727">
        <w:t xml:space="preserve">Building </w:t>
      </w:r>
      <w:r w:rsidR="0038238E">
        <w:t>on a</w:t>
      </w:r>
      <w:r w:rsidR="0076660B">
        <w:t>n evaluation plan and</w:t>
      </w:r>
      <w:r w:rsidR="0038238E">
        <w:t xml:space="preserve"> </w:t>
      </w:r>
      <w:r w:rsidR="59FF4727">
        <w:t xml:space="preserve">baseline </w:t>
      </w:r>
      <w:r w:rsidR="0038238E">
        <w:t>evaluation</w:t>
      </w:r>
      <w:r w:rsidR="59FF4727">
        <w:t xml:space="preserve"> report, this </w:t>
      </w:r>
      <w:r w:rsidR="0038238E">
        <w:t xml:space="preserve">first interim evaluation </w:t>
      </w:r>
      <w:r w:rsidR="59FF4727">
        <w:t xml:space="preserve">report </w:t>
      </w:r>
      <w:r w:rsidR="00EF1E6B">
        <w:t>documents how</w:t>
      </w:r>
      <w:r w:rsidR="59FF4727">
        <w:t xml:space="preserve"> </w:t>
      </w:r>
      <w:r w:rsidR="001278BC">
        <w:t xml:space="preserve">the reforms’ implementation tracks against </w:t>
      </w:r>
      <w:r w:rsidR="00673A18">
        <w:t xml:space="preserve">its </w:t>
      </w:r>
      <w:r w:rsidR="0055307E">
        <w:t>original</w:t>
      </w:r>
      <w:r w:rsidR="00673A18">
        <w:t xml:space="preserve"> program and </w:t>
      </w:r>
      <w:r w:rsidR="59FF4727">
        <w:t xml:space="preserve">draws some initial conclusions about </w:t>
      </w:r>
      <w:r w:rsidR="00673A18">
        <w:t>its</w:t>
      </w:r>
      <w:r w:rsidR="59FF4727">
        <w:t xml:space="preserve"> impact</w:t>
      </w:r>
      <w:r w:rsidR="0E4EC90F">
        <w:t>.</w:t>
      </w:r>
    </w:p>
    <w:p w14:paraId="3D7093F9" w14:textId="47F1A8BB" w:rsidR="65616548" w:rsidRDefault="65616548" w:rsidP="2BFCF35C">
      <w:r>
        <w:t>Th</w:t>
      </w:r>
      <w:r w:rsidR="000F3F2A">
        <w:t>is</w:t>
      </w:r>
      <w:r>
        <w:t xml:space="preserve"> report follows the same structure as the baseline report</w:t>
      </w:r>
      <w:r w:rsidR="00371AC5">
        <w:t xml:space="preserve">. It follows the </w:t>
      </w:r>
      <w:r w:rsidR="7E3D6323">
        <w:t>stated reform</w:t>
      </w:r>
      <w:r>
        <w:t xml:space="preserve"> objectives </w:t>
      </w:r>
      <w:r w:rsidR="002813C8">
        <w:t xml:space="preserve">from the original Evaluation Framework </w:t>
      </w:r>
      <w:r>
        <w:t>a</w:t>
      </w:r>
      <w:r w:rsidR="006C32FC">
        <w:t xml:space="preserve">longside </w:t>
      </w:r>
      <w:r w:rsidR="00371AC5">
        <w:t>a series of reform projects the Department has identified to achieve them.</w:t>
      </w:r>
    </w:p>
    <w:p w14:paraId="6634384C" w14:textId="2B92ECFD" w:rsidR="00722AE6" w:rsidRDefault="00722AE6" w:rsidP="00722AE6">
      <w:r>
        <w:t xml:space="preserve">There are three key evaluation questions (KEQs) </w:t>
      </w:r>
      <w:r w:rsidR="411A7348">
        <w:t xml:space="preserve">this </w:t>
      </w:r>
      <w:r w:rsidR="0F86213F">
        <w:t>evaluation</w:t>
      </w:r>
      <w:r w:rsidR="411A7348">
        <w:t xml:space="preserve"> is considering</w:t>
      </w:r>
      <w:r>
        <w:t>:</w:t>
      </w:r>
    </w:p>
    <w:p w14:paraId="7C60B67D" w14:textId="1E97F4E1" w:rsidR="00722AE6" w:rsidRDefault="00722AE6" w:rsidP="00C350C6">
      <w:pPr>
        <w:pStyle w:val="Listnumbered"/>
      </w:pPr>
      <w:r>
        <w:t xml:space="preserve">Is the PL </w:t>
      </w:r>
      <w:r w:rsidR="000A3C85">
        <w:t>reform program</w:t>
      </w:r>
      <w:r>
        <w:t xml:space="preserve"> being implemented as intended?</w:t>
      </w:r>
    </w:p>
    <w:p w14:paraId="2545D56B" w14:textId="79FC7921" w:rsidR="00722AE6" w:rsidRDefault="00722AE6" w:rsidP="00C350C6">
      <w:pPr>
        <w:pStyle w:val="Listnumbered"/>
      </w:pPr>
      <w:r>
        <w:t xml:space="preserve">Is the PL </w:t>
      </w:r>
      <w:r w:rsidR="000A3C85">
        <w:t>reform program</w:t>
      </w:r>
      <w:r>
        <w:t xml:space="preserve"> achieving the expected outcomes?</w:t>
      </w:r>
    </w:p>
    <w:p w14:paraId="34AA1E01" w14:textId="79B57CA8" w:rsidR="2BFCF35C" w:rsidRDefault="00722AE6" w:rsidP="00C350C6">
      <w:pPr>
        <w:pStyle w:val="Listnumbered"/>
      </w:pPr>
      <w:r>
        <w:t xml:space="preserve">What are the ongoing and future directions, opportunities and priorities for the PL </w:t>
      </w:r>
      <w:r w:rsidR="000A3C85">
        <w:t>reforms</w:t>
      </w:r>
      <w:r>
        <w:t>?</w:t>
      </w:r>
    </w:p>
    <w:p w14:paraId="67C55BDB" w14:textId="713E0F51" w:rsidR="11F9EFE2" w:rsidRDefault="11F9EFE2" w:rsidP="28E2C4BB">
      <w:pPr>
        <w:pStyle w:val="Listnumbered"/>
        <w:numPr>
          <w:ilvl w:val="0"/>
          <w:numId w:val="0"/>
        </w:numPr>
      </w:pPr>
      <w:r>
        <w:t>This</w:t>
      </w:r>
      <w:r w:rsidR="754E39C6">
        <w:t xml:space="preserve"> interim</w:t>
      </w:r>
      <w:r>
        <w:t xml:space="preserve"> report is focused primarily on KEQ 1 and</w:t>
      </w:r>
      <w:r w:rsidR="00284A3C">
        <w:t>,</w:t>
      </w:r>
      <w:r>
        <w:t xml:space="preserve"> where possible</w:t>
      </w:r>
      <w:r w:rsidR="00284A3C">
        <w:t>,</w:t>
      </w:r>
      <w:r>
        <w:t xml:space="preserve"> KEQ 2. </w:t>
      </w:r>
      <w:r w:rsidR="53ED72D0">
        <w:t>Whil</w:t>
      </w:r>
      <w:r w:rsidR="00284A3C">
        <w:t>e</w:t>
      </w:r>
      <w:r w:rsidR="53ED72D0">
        <w:t xml:space="preserve"> there are some initial reflections on KEQ 3, there will be </w:t>
      </w:r>
      <w:r w:rsidR="00284A3C">
        <w:t>greater focus on this evaluation question</w:t>
      </w:r>
      <w:r w:rsidR="53ED72D0">
        <w:t xml:space="preserve"> in </w:t>
      </w:r>
      <w:r w:rsidR="00612279">
        <w:t>subsequent reports</w:t>
      </w:r>
      <w:r w:rsidR="53ED72D0">
        <w:t xml:space="preserve">. </w:t>
      </w:r>
    </w:p>
    <w:p w14:paraId="0AD00FB4" w14:textId="77777777" w:rsidR="00240B61" w:rsidRDefault="00240B61" w:rsidP="28E2C4BB">
      <w:pPr>
        <w:pStyle w:val="Listnumbered"/>
        <w:numPr>
          <w:ilvl w:val="0"/>
          <w:numId w:val="0"/>
        </w:numPr>
        <w:sectPr w:rsidR="00240B61" w:rsidSect="00AA38DC">
          <w:headerReference w:type="even" r:id="rId25"/>
          <w:headerReference w:type="default" r:id="rId26"/>
          <w:footerReference w:type="default" r:id="rId27"/>
          <w:headerReference w:type="first" r:id="rId28"/>
          <w:pgSz w:w="11907" w:h="16839" w:code="9"/>
          <w:pgMar w:top="1247" w:right="1418" w:bottom="1701" w:left="1559" w:header="720" w:footer="720" w:gutter="0"/>
          <w:cols w:space="720"/>
          <w:docGrid w:linePitch="360"/>
        </w:sectPr>
      </w:pPr>
    </w:p>
    <w:p w14:paraId="4991EC08" w14:textId="57A81B75" w:rsidR="2BFCF35C" w:rsidRPr="00ED4886" w:rsidRDefault="00D604B5" w:rsidP="2BFCF35C">
      <w:pPr>
        <w:pStyle w:val="Heading1"/>
      </w:pPr>
      <w:bookmarkStart w:id="7" w:name="_Ref164684499"/>
      <w:bookmarkStart w:id="8" w:name="_Toc181405068"/>
      <w:r>
        <w:lastRenderedPageBreak/>
        <w:t>Interim finding</w:t>
      </w:r>
      <w:r w:rsidR="00A11920">
        <w:t>s</w:t>
      </w:r>
      <w:bookmarkEnd w:id="7"/>
      <w:bookmarkEnd w:id="8"/>
    </w:p>
    <w:p w14:paraId="0047CF17" w14:textId="18CC8121" w:rsidR="1AEB02C2" w:rsidRDefault="004B4DCF" w:rsidP="28E2C4BB">
      <w:pPr>
        <w:pStyle w:val="Heading2"/>
      </w:pPr>
      <w:bookmarkStart w:id="9" w:name="_Toc181405069"/>
      <w:r>
        <w:t>Current state of the reforms</w:t>
      </w:r>
      <w:bookmarkEnd w:id="9"/>
    </w:p>
    <w:p w14:paraId="68B1C797" w14:textId="708CB992" w:rsidR="0092799C" w:rsidRDefault="0092799C" w:rsidP="0092799C">
      <w:pPr>
        <w:pStyle w:val="Caption"/>
        <w:spacing w:before="240" w:after="120"/>
      </w:pPr>
      <w:bookmarkStart w:id="10" w:name="_Ref159507697"/>
      <w:r>
        <w:t xml:space="preserve">Table </w:t>
      </w:r>
      <w:r>
        <w:fldChar w:fldCharType="begin"/>
      </w:r>
      <w:r>
        <w:instrText xml:space="preserve"> SEQ Table \* ARABIC </w:instrText>
      </w:r>
      <w:r>
        <w:fldChar w:fldCharType="separate"/>
      </w:r>
      <w:r w:rsidR="009B5D8D">
        <w:rPr>
          <w:noProof/>
        </w:rPr>
        <w:t>1</w:t>
      </w:r>
      <w:r>
        <w:fldChar w:fldCharType="end"/>
      </w:r>
      <w:bookmarkEnd w:id="10"/>
      <w:r>
        <w:t xml:space="preserve"> | Overview of reform objectives, their baseline position and current progress</w:t>
      </w:r>
    </w:p>
    <w:tbl>
      <w:tblPr>
        <w:tblStyle w:val="NOUSSideHeader1"/>
        <w:tblW w:w="13891" w:type="dxa"/>
        <w:tblLook w:val="04A0" w:firstRow="1" w:lastRow="0" w:firstColumn="1" w:lastColumn="0" w:noHBand="0" w:noVBand="1"/>
      </w:tblPr>
      <w:tblGrid>
        <w:gridCol w:w="1869"/>
        <w:gridCol w:w="1850"/>
        <w:gridCol w:w="1867"/>
        <w:gridCol w:w="1853"/>
        <w:gridCol w:w="1000"/>
        <w:gridCol w:w="2160"/>
        <w:gridCol w:w="3292"/>
      </w:tblGrid>
      <w:tr w:rsidR="00307B63" w14:paraId="17B0CF66" w14:textId="77777777" w:rsidTr="75F13672">
        <w:trPr>
          <w:cnfStyle w:val="100000000000" w:firstRow="1" w:lastRow="0" w:firstColumn="0" w:lastColumn="0" w:oddVBand="0" w:evenVBand="0" w:oddHBand="0" w:evenHBand="0" w:firstRowFirstColumn="0" w:firstRowLastColumn="0" w:lastRowFirstColumn="0" w:lastRowLastColumn="0"/>
        </w:trPr>
        <w:tc>
          <w:tcPr>
            <w:tcW w:w="1883" w:type="dxa"/>
          </w:tcPr>
          <w:p w14:paraId="0742DAD4" w14:textId="77777777" w:rsidR="0092799C" w:rsidRDefault="0092799C">
            <w:pPr>
              <w:pStyle w:val="TableNheader"/>
              <w:keepNext w:val="0"/>
              <w:keepLines/>
            </w:pPr>
            <w:r>
              <w:t>Reform objective</w:t>
            </w:r>
          </w:p>
        </w:tc>
        <w:tc>
          <w:tcPr>
            <w:tcW w:w="1867" w:type="dxa"/>
          </w:tcPr>
          <w:p w14:paraId="2AD1AADE" w14:textId="77777777" w:rsidR="0092799C" w:rsidRDefault="0092799C">
            <w:pPr>
              <w:pStyle w:val="TableNheader"/>
              <w:keepNext w:val="0"/>
              <w:keepLines/>
            </w:pPr>
            <w:r>
              <w:t>Baseline state</w:t>
            </w:r>
          </w:p>
        </w:tc>
        <w:tc>
          <w:tcPr>
            <w:tcW w:w="1883" w:type="dxa"/>
          </w:tcPr>
          <w:p w14:paraId="4894D4CC" w14:textId="77777777" w:rsidR="0092799C" w:rsidRDefault="0092799C">
            <w:pPr>
              <w:pStyle w:val="TableNheader"/>
              <w:keepNext w:val="0"/>
              <w:keepLines/>
            </w:pPr>
            <w:r w:rsidRPr="00D26F5C">
              <w:t>Rationale for objective</w:t>
            </w:r>
          </w:p>
        </w:tc>
        <w:tc>
          <w:tcPr>
            <w:tcW w:w="1869" w:type="dxa"/>
          </w:tcPr>
          <w:p w14:paraId="10B48143" w14:textId="77777777" w:rsidR="0092799C" w:rsidRDefault="0092799C">
            <w:pPr>
              <w:pStyle w:val="TableNheader"/>
              <w:keepNext w:val="0"/>
              <w:keepLines/>
            </w:pPr>
            <w:r w:rsidRPr="00D26F5C">
              <w:t>How it is intended to be achieved</w:t>
            </w:r>
          </w:p>
        </w:tc>
        <w:tc>
          <w:tcPr>
            <w:tcW w:w="1003" w:type="dxa"/>
          </w:tcPr>
          <w:p w14:paraId="77CF9112" w14:textId="3AE288E5" w:rsidR="0092799C" w:rsidRDefault="0092799C">
            <w:pPr>
              <w:pStyle w:val="TableNheader"/>
              <w:keepNext w:val="0"/>
              <w:keepLines/>
            </w:pPr>
            <w:r>
              <w:t>Progress status</w:t>
            </w:r>
          </w:p>
        </w:tc>
        <w:tc>
          <w:tcPr>
            <w:tcW w:w="2044" w:type="dxa"/>
          </w:tcPr>
          <w:p w14:paraId="70FD6668" w14:textId="1FAA81E0" w:rsidR="0092799C" w:rsidRPr="00D26F5C" w:rsidRDefault="0092799C">
            <w:pPr>
              <w:pStyle w:val="TableNheader"/>
              <w:keepNext w:val="0"/>
              <w:keepLines/>
            </w:pPr>
            <w:r>
              <w:t>Progress against reform timetable</w:t>
            </w:r>
          </w:p>
        </w:tc>
        <w:tc>
          <w:tcPr>
            <w:tcW w:w="3342" w:type="dxa"/>
          </w:tcPr>
          <w:p w14:paraId="444EA22F" w14:textId="08426274" w:rsidR="0092799C" w:rsidRPr="00D26F5C" w:rsidRDefault="0092799C" w:rsidP="4C3D96AA">
            <w:pPr>
              <w:pStyle w:val="TableNheader"/>
              <w:keepNext w:val="0"/>
              <w:keepLines/>
              <w:numPr>
                <w:ilvl w:val="0"/>
                <w:numId w:val="0"/>
              </w:numPr>
            </w:pPr>
            <w:r>
              <w:t xml:space="preserve">Impact of reform objective </w:t>
            </w:r>
          </w:p>
        </w:tc>
      </w:tr>
      <w:tr w:rsidR="008D0F98" w14:paraId="56D9C975" w14:textId="77777777" w:rsidTr="75F13672">
        <w:trPr>
          <w:cnfStyle w:val="000000100000" w:firstRow="0" w:lastRow="0" w:firstColumn="0" w:lastColumn="0" w:oddVBand="0" w:evenVBand="0" w:oddHBand="1" w:evenHBand="0" w:firstRowFirstColumn="0" w:firstRowLastColumn="0" w:lastRowFirstColumn="0" w:lastRowLastColumn="0"/>
        </w:trPr>
        <w:tc>
          <w:tcPr>
            <w:tcW w:w="1883" w:type="dxa"/>
          </w:tcPr>
          <w:p w14:paraId="75114C3A"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t>1. Improve the alignment of the scheduled benefits of the PL with the prices paid in more competitive markets</w:t>
            </w:r>
          </w:p>
        </w:tc>
        <w:tc>
          <w:tcPr>
            <w:tcW w:w="1867" w:type="dxa"/>
          </w:tcPr>
          <w:p w14:paraId="33A6348C" w14:textId="22D30CEB" w:rsidR="0092799C" w:rsidRDefault="0092799C">
            <w:pPr>
              <w:pStyle w:val="TableNText"/>
              <w:keepNext w:val="0"/>
              <w:keepLines/>
            </w:pPr>
            <w:r w:rsidRPr="00DA3FE7">
              <w:t>PL benefits are significantly higher than prices in</w:t>
            </w:r>
            <w:r w:rsidR="00883572">
              <w:t xml:space="preserve"> </w:t>
            </w:r>
            <w:r w:rsidRPr="00DA3FE7">
              <w:t>comparable markets.</w:t>
            </w:r>
          </w:p>
        </w:tc>
        <w:tc>
          <w:tcPr>
            <w:tcW w:w="1883" w:type="dxa"/>
          </w:tcPr>
          <w:p w14:paraId="0A3AB2DC" w14:textId="77777777" w:rsidR="0092799C" w:rsidRDefault="0092799C">
            <w:pPr>
              <w:pStyle w:val="TableNText"/>
              <w:keepNext w:val="0"/>
              <w:keepLines/>
            </w:pPr>
            <w:r w:rsidRPr="004E6DD3">
              <w:t xml:space="preserve">High PL benefits </w:t>
            </w:r>
            <w:r>
              <w:t xml:space="preserve">contribute to </w:t>
            </w:r>
            <w:r w:rsidRPr="004E6DD3">
              <w:t xml:space="preserve">PHI </w:t>
            </w:r>
            <w:r>
              <w:t>costs and issues of affordability</w:t>
            </w:r>
            <w:r w:rsidRPr="004E6DD3">
              <w:t>.</w:t>
            </w:r>
          </w:p>
        </w:tc>
        <w:tc>
          <w:tcPr>
            <w:tcW w:w="1869" w:type="dxa"/>
          </w:tcPr>
          <w:p w14:paraId="08EC46CA" w14:textId="77777777" w:rsidR="0092799C" w:rsidRDefault="0092799C">
            <w:pPr>
              <w:pStyle w:val="TableNText"/>
              <w:keepNext w:val="0"/>
              <w:keepLines/>
            </w:pPr>
            <w:r w:rsidRPr="00A4716E">
              <w:t>PL benefits to be reduced incrementally over reform period</w:t>
            </w:r>
            <w:r>
              <w:t xml:space="preserve"> in reference to IHACPA’s public benchmark prices (by 80% of the gap or within a 7% floor for most items)</w:t>
            </w:r>
            <w:r w:rsidRPr="00A4716E">
              <w:t>.</w:t>
            </w:r>
          </w:p>
        </w:tc>
        <w:tc>
          <w:tcPr>
            <w:tcW w:w="862" w:type="dxa"/>
          </w:tcPr>
          <w:p w14:paraId="6B6474F1" w14:textId="77777777" w:rsidR="0092799C" w:rsidRPr="00A365A0" w:rsidRDefault="0092799C">
            <w:pPr>
              <w:pStyle w:val="TableNText"/>
              <w:keepNext w:val="0"/>
              <w:keepLines/>
              <w:jc w:val="center"/>
              <w:rPr>
                <w:highlight w:val="green"/>
              </w:rPr>
            </w:pPr>
            <w:r w:rsidRPr="00005E56">
              <w:rPr>
                <w:noProof/>
                <w:lang w:val="en-US"/>
              </w:rPr>
              <w:drawing>
                <wp:inline distT="0" distB="0" distL="0" distR="0" wp14:anchorId="0787E050" wp14:editId="50189AD3">
                  <wp:extent cx="288000" cy="288000"/>
                  <wp:effectExtent l="0" t="0" r="0" b="0"/>
                  <wp:docPr id="1038124066"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24066"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24154" t="24040" r="24169" b="24025"/>
                          <a:stretch/>
                        </pic:blipFill>
                        <pic:spPr>
                          <a:xfrm>
                            <a:off x="0" y="0"/>
                            <a:ext cx="288000" cy="288000"/>
                          </a:xfrm>
                          <a:prstGeom prst="rect">
                            <a:avLst/>
                          </a:prstGeom>
                        </pic:spPr>
                      </pic:pic>
                    </a:graphicData>
                  </a:graphic>
                </wp:inline>
              </w:drawing>
            </w:r>
          </w:p>
        </w:tc>
        <w:tc>
          <w:tcPr>
            <w:tcW w:w="2185" w:type="dxa"/>
          </w:tcPr>
          <w:p w14:paraId="07E73F49" w14:textId="795C0436" w:rsidR="0092799C" w:rsidRDefault="00405BD8">
            <w:pPr>
              <w:pStyle w:val="TableNText"/>
              <w:keepNext w:val="0"/>
              <w:keepLines/>
            </w:pPr>
            <w:r w:rsidRPr="001536A0">
              <w:rPr>
                <w:rFonts w:asciiTheme="majorHAnsi" w:hAnsiTheme="majorHAnsi" w:cstheme="majorHAnsi"/>
                <w:color w:val="25B3E0" w:themeColor="accent6"/>
              </w:rPr>
              <w:t>On track</w:t>
            </w:r>
            <w:r w:rsidRPr="001536A0">
              <w:rPr>
                <w:color w:val="25B3E0" w:themeColor="accent6"/>
              </w:rPr>
              <w:t xml:space="preserve"> </w:t>
            </w:r>
            <w:r>
              <w:t xml:space="preserve">– </w:t>
            </w:r>
            <w:r w:rsidR="00CE3940">
              <w:t>First two rounds</w:t>
            </w:r>
            <w:r>
              <w:t xml:space="preserve"> of reductions completed</w:t>
            </w:r>
            <w:r w:rsidR="00CE3940">
              <w:t>,</w:t>
            </w:r>
            <w:r>
              <w:t xml:space="preserve"> with </w:t>
            </w:r>
            <w:r w:rsidR="00CE3940">
              <w:t>remainder</w:t>
            </w:r>
            <w:r>
              <w:t xml:space="preserve"> scheduled</w:t>
            </w:r>
            <w:r w:rsidR="00CE3940">
              <w:t xml:space="preserve">. </w:t>
            </w:r>
          </w:p>
        </w:tc>
        <w:tc>
          <w:tcPr>
            <w:tcW w:w="3342" w:type="dxa"/>
          </w:tcPr>
          <w:p w14:paraId="4EB96B26" w14:textId="75FFFE50" w:rsidR="009B3691" w:rsidRDefault="006009A8">
            <w:pPr>
              <w:pStyle w:val="TableNText"/>
              <w:keepNext w:val="0"/>
              <w:keepLines/>
            </w:pPr>
            <w:r>
              <w:t>Benefits have been reduced</w:t>
            </w:r>
            <w:r w:rsidR="0092799C">
              <w:t xml:space="preserve"> across eligible sections of the PL</w:t>
            </w:r>
            <w:r w:rsidR="009B3691">
              <w:t>.</w:t>
            </w:r>
          </w:p>
          <w:p w14:paraId="4317B76E" w14:textId="77777777" w:rsidR="00BC1766" w:rsidRDefault="00BB1BBE" w:rsidP="00855B51">
            <w:pPr>
              <w:pStyle w:val="TableNText"/>
            </w:pPr>
            <w:r w:rsidRPr="00BB1BBE">
              <w:t xml:space="preserve">Benefits are more closely aligned with prices </w:t>
            </w:r>
            <w:r w:rsidR="00044342">
              <w:t>in</w:t>
            </w:r>
            <w:r w:rsidRPr="00BB1BBE">
              <w:t xml:space="preserve"> Australian public hospitals</w:t>
            </w:r>
            <w:r w:rsidR="000473D5">
              <w:t>.</w:t>
            </w:r>
          </w:p>
          <w:p w14:paraId="62E3C3C2" w14:textId="089FDBE7" w:rsidR="0092799C" w:rsidRDefault="00BC1766" w:rsidP="001A6071">
            <w:pPr>
              <w:pStyle w:val="TableNText"/>
            </w:pPr>
            <w:r>
              <w:t>C</w:t>
            </w:r>
            <w:r w:rsidR="008D0F98">
              <w:t xml:space="preserve">ase studies </w:t>
            </w:r>
            <w:r w:rsidR="000077E4">
              <w:t xml:space="preserve">comparing </w:t>
            </w:r>
            <w:r w:rsidR="001A2952">
              <w:t>PL benefits</w:t>
            </w:r>
            <w:r w:rsidR="008D0F98">
              <w:t xml:space="preserve"> </w:t>
            </w:r>
            <w:r w:rsidR="000077E4">
              <w:t>with</w:t>
            </w:r>
            <w:r w:rsidR="001A2952">
              <w:t xml:space="preserve"> prices paid for </w:t>
            </w:r>
            <w:r w:rsidR="00F12499">
              <w:t xml:space="preserve">the same </w:t>
            </w:r>
            <w:r w:rsidR="001A2952">
              <w:t>products in</w:t>
            </w:r>
            <w:r w:rsidR="000077E4">
              <w:t xml:space="preserve"> New Zealand and Fr</w:t>
            </w:r>
            <w:r w:rsidR="001A2952">
              <w:t>ance</w:t>
            </w:r>
            <w:r w:rsidR="008D0F98">
              <w:t xml:space="preserve"> indicat</w:t>
            </w:r>
            <w:r w:rsidR="00D9364B">
              <w:t xml:space="preserve">e </w:t>
            </w:r>
            <w:r w:rsidR="001A2952">
              <w:t>a closer alignment with international markets</w:t>
            </w:r>
            <w:r w:rsidR="00564A31">
              <w:t>.</w:t>
            </w:r>
            <w:r w:rsidR="00D9364B">
              <w:t xml:space="preserve"> </w:t>
            </w:r>
            <w:r w:rsidR="00B34A3E">
              <w:t>However, the case studie</w:t>
            </w:r>
            <w:r w:rsidR="00017053">
              <w:t xml:space="preserve">s </w:t>
            </w:r>
            <w:r w:rsidR="00C6452E">
              <w:t xml:space="preserve">also </w:t>
            </w:r>
            <w:r w:rsidR="00FA1EDF">
              <w:t xml:space="preserve">indicate </w:t>
            </w:r>
            <w:r w:rsidR="0082280B">
              <w:t>the</w:t>
            </w:r>
            <w:r w:rsidR="00307B63">
              <w:t xml:space="preserve"> gap in prices remains substantial</w:t>
            </w:r>
            <w:r>
              <w:t xml:space="preserve"> in some instances</w:t>
            </w:r>
            <w:r w:rsidR="001A6071">
              <w:t>.</w:t>
            </w:r>
          </w:p>
        </w:tc>
      </w:tr>
      <w:tr w:rsidR="008D0F98" w14:paraId="167B3496" w14:textId="77777777" w:rsidTr="75F13672">
        <w:trPr>
          <w:cnfStyle w:val="000000010000" w:firstRow="0" w:lastRow="0" w:firstColumn="0" w:lastColumn="0" w:oddVBand="0" w:evenVBand="0" w:oddHBand="0" w:evenHBand="1" w:firstRowFirstColumn="0" w:firstRowLastColumn="0" w:lastRowFirstColumn="0" w:lastRowLastColumn="0"/>
        </w:trPr>
        <w:tc>
          <w:tcPr>
            <w:tcW w:w="1883" w:type="dxa"/>
          </w:tcPr>
          <w:p w14:paraId="7C12817D" w14:textId="77777777" w:rsidR="0092799C" w:rsidRPr="00DA3FE7" w:rsidRDefault="0092799C">
            <w:pPr>
              <w:pStyle w:val="TableNText"/>
              <w:keepNext w:val="0"/>
              <w:keepLines/>
              <w:rPr>
                <w:rFonts w:asciiTheme="majorHAnsi" w:hAnsiTheme="majorHAnsi" w:cstheme="majorBidi"/>
              </w:rPr>
            </w:pPr>
            <w:r w:rsidRPr="3787E91E">
              <w:rPr>
                <w:rFonts w:asciiTheme="majorHAnsi" w:hAnsiTheme="majorHAnsi" w:cstheme="majorBidi"/>
              </w:rPr>
              <w:t>2. Maintain no additional out-of-pocket costs associated with the PL devices for consumers</w:t>
            </w:r>
          </w:p>
        </w:tc>
        <w:tc>
          <w:tcPr>
            <w:tcW w:w="1867" w:type="dxa"/>
          </w:tcPr>
          <w:p w14:paraId="6CFE9F81" w14:textId="77777777" w:rsidR="0092799C" w:rsidRDefault="0092799C">
            <w:pPr>
              <w:pStyle w:val="TableNText"/>
              <w:keepNext w:val="0"/>
              <w:keepLines/>
            </w:pPr>
            <w:r>
              <w:t>Out-of-pocket costs for devices are charged in &lt;1% of episodes</w:t>
            </w:r>
            <w:r w:rsidRPr="0007003A">
              <w:t>.</w:t>
            </w:r>
          </w:p>
        </w:tc>
        <w:tc>
          <w:tcPr>
            <w:tcW w:w="1883" w:type="dxa"/>
          </w:tcPr>
          <w:p w14:paraId="7F3A04E1" w14:textId="77777777" w:rsidR="0092799C" w:rsidRDefault="0092799C">
            <w:pPr>
              <w:pStyle w:val="TableNText"/>
              <w:keepNext w:val="0"/>
              <w:keepLines/>
            </w:pPr>
            <w:r w:rsidRPr="3787E91E">
              <w:t>Minimising out-of-pocket expenses is important for maintaining access to devices.</w:t>
            </w:r>
          </w:p>
        </w:tc>
        <w:tc>
          <w:tcPr>
            <w:tcW w:w="1869" w:type="dxa"/>
          </w:tcPr>
          <w:p w14:paraId="6FDA3707" w14:textId="77777777" w:rsidR="0092799C" w:rsidRDefault="0092799C">
            <w:pPr>
              <w:pStyle w:val="TableNText"/>
              <w:keepNext w:val="0"/>
              <w:keepLines/>
            </w:pPr>
            <w:r w:rsidRPr="3787E91E">
              <w:t>Maintaining minimal out-of-pocket costs establishes guardrails for the benefit reduction exercise and other policy decisions.</w:t>
            </w:r>
          </w:p>
        </w:tc>
        <w:tc>
          <w:tcPr>
            <w:tcW w:w="862" w:type="dxa"/>
          </w:tcPr>
          <w:p w14:paraId="217DFB29" w14:textId="248689FE" w:rsidR="0092799C" w:rsidRPr="001536A0" w:rsidRDefault="008E4757">
            <w:pPr>
              <w:pStyle w:val="TableNText"/>
              <w:keepNext w:val="0"/>
              <w:keepLines/>
              <w:jc w:val="center"/>
              <w:rPr>
                <w:rFonts w:asciiTheme="majorHAnsi" w:hAnsiTheme="majorHAnsi" w:cstheme="majorHAnsi"/>
                <w:color w:val="25B3E0" w:themeColor="accent6"/>
              </w:rPr>
            </w:pPr>
            <w:r w:rsidRPr="00005E56">
              <w:rPr>
                <w:noProof/>
                <w:lang w:val="en-US"/>
              </w:rPr>
              <w:drawing>
                <wp:inline distT="0" distB="0" distL="0" distR="0" wp14:anchorId="5868AD50" wp14:editId="7E0457B7">
                  <wp:extent cx="288000" cy="288000"/>
                  <wp:effectExtent l="0" t="0" r="0" b="0"/>
                  <wp:docPr id="776717602"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17602"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24154" t="24040" r="24169" b="24025"/>
                          <a:stretch/>
                        </pic:blipFill>
                        <pic:spPr>
                          <a:xfrm>
                            <a:off x="0" y="0"/>
                            <a:ext cx="288000" cy="288000"/>
                          </a:xfrm>
                          <a:prstGeom prst="rect">
                            <a:avLst/>
                          </a:prstGeom>
                        </pic:spPr>
                      </pic:pic>
                    </a:graphicData>
                  </a:graphic>
                </wp:inline>
              </w:drawing>
            </w:r>
          </w:p>
        </w:tc>
        <w:tc>
          <w:tcPr>
            <w:tcW w:w="2185" w:type="dxa"/>
          </w:tcPr>
          <w:p w14:paraId="791911DB" w14:textId="77777777" w:rsidR="0092799C" w:rsidRPr="0009746A" w:rsidRDefault="0092799C">
            <w:pPr>
              <w:pStyle w:val="TableNText"/>
              <w:keepNext w:val="0"/>
              <w:keepLines/>
              <w:rPr>
                <w:highlight w:val="green"/>
              </w:rPr>
            </w:pPr>
            <w:r w:rsidRPr="001536A0">
              <w:rPr>
                <w:rFonts w:asciiTheme="majorHAnsi" w:hAnsiTheme="majorHAnsi" w:cstheme="majorHAnsi"/>
                <w:color w:val="25B3E0" w:themeColor="accent6"/>
              </w:rPr>
              <w:t>On track</w:t>
            </w:r>
            <w:r w:rsidRPr="001536A0">
              <w:rPr>
                <w:color w:val="25B3E0" w:themeColor="accent6"/>
              </w:rPr>
              <w:t xml:space="preserve"> </w:t>
            </w:r>
            <w:r>
              <w:t xml:space="preserve">– </w:t>
            </w:r>
            <w:r w:rsidRPr="002961A3">
              <w:t>Policy settings that drive ‘no out-of-pocket costs’ have been maintained</w:t>
            </w:r>
            <w:r>
              <w:t>.</w:t>
            </w:r>
          </w:p>
        </w:tc>
        <w:tc>
          <w:tcPr>
            <w:tcW w:w="3342" w:type="dxa"/>
          </w:tcPr>
          <w:p w14:paraId="0E4F624F" w14:textId="160CD551" w:rsidR="0092799C" w:rsidRPr="0009746A" w:rsidRDefault="0092799C">
            <w:pPr>
              <w:pStyle w:val="TableNText"/>
              <w:keepNext w:val="0"/>
              <w:keepLines/>
            </w:pPr>
            <w:r>
              <w:t>Out-of-pocket costs for devices continue to be charged in &lt;1% of episodes.</w:t>
            </w:r>
          </w:p>
        </w:tc>
      </w:tr>
      <w:tr w:rsidR="008D0F98" w14:paraId="56201273" w14:textId="77777777" w:rsidTr="75F13672">
        <w:trPr>
          <w:cnfStyle w:val="000000100000" w:firstRow="0" w:lastRow="0" w:firstColumn="0" w:lastColumn="0" w:oddVBand="0" w:evenVBand="0" w:oddHBand="1" w:evenHBand="0" w:firstRowFirstColumn="0" w:firstRowLastColumn="0" w:lastRowFirstColumn="0" w:lastRowLastColumn="0"/>
        </w:trPr>
        <w:tc>
          <w:tcPr>
            <w:tcW w:w="1883" w:type="dxa"/>
          </w:tcPr>
          <w:p w14:paraId="0F9D27B3" w14:textId="77777777" w:rsidR="0092799C" w:rsidRPr="00DA3FE7" w:rsidRDefault="0092799C">
            <w:pPr>
              <w:pStyle w:val="TableNText"/>
              <w:keepNext w:val="0"/>
              <w:keepLines/>
              <w:rPr>
                <w:rFonts w:asciiTheme="majorHAnsi" w:hAnsiTheme="majorHAnsi" w:cstheme="majorBidi"/>
              </w:rPr>
            </w:pPr>
            <w:r w:rsidRPr="3787E91E">
              <w:rPr>
                <w:rFonts w:asciiTheme="majorHAnsi" w:hAnsiTheme="majorHAnsi" w:cstheme="majorBidi"/>
              </w:rPr>
              <w:t>3. Maintain clinician choice of appropriate prostheses for their patients</w:t>
            </w:r>
          </w:p>
        </w:tc>
        <w:tc>
          <w:tcPr>
            <w:tcW w:w="1867" w:type="dxa"/>
          </w:tcPr>
          <w:p w14:paraId="1B08C343" w14:textId="77777777" w:rsidR="0092799C" w:rsidRDefault="0092799C">
            <w:pPr>
              <w:pStyle w:val="TableNText"/>
              <w:keepNext w:val="0"/>
              <w:keepLines/>
            </w:pPr>
            <w:r w:rsidRPr="0007003A">
              <w:t xml:space="preserve">Clinicians have </w:t>
            </w:r>
            <w:r>
              <w:t xml:space="preserve">a </w:t>
            </w:r>
            <w:r w:rsidRPr="0007003A">
              <w:t>choice of PL-listed items.</w:t>
            </w:r>
          </w:p>
        </w:tc>
        <w:tc>
          <w:tcPr>
            <w:tcW w:w="1883" w:type="dxa"/>
          </w:tcPr>
          <w:p w14:paraId="3A37B4E3" w14:textId="77777777" w:rsidR="0092799C" w:rsidRDefault="0092799C">
            <w:pPr>
              <w:pStyle w:val="TableNText"/>
              <w:keepNext w:val="0"/>
              <w:keepLines/>
            </w:pPr>
            <w:r w:rsidRPr="00642C03">
              <w:t xml:space="preserve">Ensuring clinician choice is a core </w:t>
            </w:r>
            <w:r>
              <w:t>principle of</w:t>
            </w:r>
            <w:r w:rsidRPr="00642C03">
              <w:t xml:space="preserve"> the </w:t>
            </w:r>
            <w:r>
              <w:t>PL design</w:t>
            </w:r>
            <w:r w:rsidRPr="00642C03">
              <w:t>.</w:t>
            </w:r>
          </w:p>
        </w:tc>
        <w:tc>
          <w:tcPr>
            <w:tcW w:w="1869" w:type="dxa"/>
          </w:tcPr>
          <w:p w14:paraId="06233040" w14:textId="77777777" w:rsidR="0092799C" w:rsidRDefault="0092799C">
            <w:pPr>
              <w:pStyle w:val="TableNText"/>
              <w:keepNext w:val="0"/>
              <w:keepLines/>
            </w:pPr>
            <w:r w:rsidRPr="3787E91E">
              <w:t>Maintain policy position enabling clinician choice of appropriate prostheses.</w:t>
            </w:r>
          </w:p>
        </w:tc>
        <w:tc>
          <w:tcPr>
            <w:tcW w:w="862" w:type="dxa"/>
          </w:tcPr>
          <w:p w14:paraId="0EFEBB2E" w14:textId="787A5C10" w:rsidR="0092799C" w:rsidRPr="001536A0" w:rsidRDefault="008E4757">
            <w:pPr>
              <w:pStyle w:val="TableNText"/>
              <w:keepNext w:val="0"/>
              <w:keepLines/>
              <w:jc w:val="center"/>
              <w:rPr>
                <w:rFonts w:asciiTheme="majorHAnsi" w:hAnsiTheme="majorHAnsi" w:cstheme="majorHAnsi"/>
                <w:color w:val="25B3E0" w:themeColor="accent6"/>
              </w:rPr>
            </w:pPr>
            <w:r w:rsidRPr="00005E56">
              <w:rPr>
                <w:noProof/>
                <w:lang w:val="en-US"/>
              </w:rPr>
              <w:drawing>
                <wp:inline distT="0" distB="0" distL="0" distR="0" wp14:anchorId="092AC654" wp14:editId="109DCEB9">
                  <wp:extent cx="288000" cy="288000"/>
                  <wp:effectExtent l="0" t="0" r="0" b="0"/>
                  <wp:docPr id="1320669790"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69790"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24154" t="24040" r="24169" b="24025"/>
                          <a:stretch/>
                        </pic:blipFill>
                        <pic:spPr>
                          <a:xfrm>
                            <a:off x="0" y="0"/>
                            <a:ext cx="288000" cy="288000"/>
                          </a:xfrm>
                          <a:prstGeom prst="rect">
                            <a:avLst/>
                          </a:prstGeom>
                        </pic:spPr>
                      </pic:pic>
                    </a:graphicData>
                  </a:graphic>
                </wp:inline>
              </w:drawing>
            </w:r>
          </w:p>
        </w:tc>
        <w:tc>
          <w:tcPr>
            <w:tcW w:w="2185" w:type="dxa"/>
          </w:tcPr>
          <w:p w14:paraId="5D5F8277" w14:textId="77777777" w:rsidR="0092799C" w:rsidRDefault="0092799C">
            <w:pPr>
              <w:pStyle w:val="TableNText"/>
              <w:keepNext w:val="0"/>
              <w:keepLines/>
            </w:pPr>
            <w:r w:rsidRPr="001536A0">
              <w:rPr>
                <w:rFonts w:asciiTheme="majorHAnsi" w:hAnsiTheme="majorHAnsi" w:cstheme="majorHAnsi"/>
                <w:color w:val="25B3E0" w:themeColor="accent6"/>
              </w:rPr>
              <w:t>On track</w:t>
            </w:r>
            <w:r w:rsidRPr="001536A0">
              <w:rPr>
                <w:color w:val="25B3E0" w:themeColor="accent6"/>
              </w:rPr>
              <w:t xml:space="preserve"> </w:t>
            </w:r>
            <w:r>
              <w:t xml:space="preserve">– </w:t>
            </w:r>
            <w:r w:rsidRPr="001536A0">
              <w:t>Policy settings that embed clinician choice have been maintained.</w:t>
            </w:r>
          </w:p>
        </w:tc>
        <w:tc>
          <w:tcPr>
            <w:tcW w:w="3342" w:type="dxa"/>
          </w:tcPr>
          <w:p w14:paraId="341CF642" w14:textId="272DF1FC" w:rsidR="007D025A" w:rsidRDefault="007D025A" w:rsidP="67C4FA72">
            <w:pPr>
              <w:pStyle w:val="TableNText"/>
              <w:keepNext w:val="0"/>
              <w:keepLines/>
              <w:numPr>
                <w:ilvl w:val="0"/>
                <w:numId w:val="0"/>
              </w:numPr>
            </w:pPr>
            <w:r>
              <w:t xml:space="preserve">There is no indication that </w:t>
            </w:r>
            <w:r w:rsidR="005F50BD">
              <w:t>clinician</w:t>
            </w:r>
            <w:r w:rsidR="00567D34">
              <w:t>s’</w:t>
            </w:r>
            <w:r>
              <w:t xml:space="preserve"> choice of</w:t>
            </w:r>
            <w:r w:rsidR="00A21021">
              <w:t xml:space="preserve"> devices listed on the</w:t>
            </w:r>
            <w:r>
              <w:t xml:space="preserve"> PL has </w:t>
            </w:r>
            <w:r w:rsidR="00567D34">
              <w:t xml:space="preserve">been </w:t>
            </w:r>
            <w:r w:rsidR="00E00EA4">
              <w:t>systemically impacted</w:t>
            </w:r>
            <w:r>
              <w:t xml:space="preserve"> </w:t>
            </w:r>
            <w:r w:rsidR="002E1C2A">
              <w:t>by</w:t>
            </w:r>
            <w:r>
              <w:t xml:space="preserve"> the reforms.</w:t>
            </w:r>
          </w:p>
        </w:tc>
      </w:tr>
      <w:tr w:rsidR="008D0F98" w14:paraId="45016623" w14:textId="77777777" w:rsidTr="75F13672">
        <w:trPr>
          <w:cnfStyle w:val="000000010000" w:firstRow="0" w:lastRow="0" w:firstColumn="0" w:lastColumn="0" w:oddVBand="0" w:evenVBand="0" w:oddHBand="0" w:evenHBand="1" w:firstRowFirstColumn="0" w:firstRowLastColumn="0" w:lastRowFirstColumn="0" w:lastRowLastColumn="0"/>
        </w:trPr>
        <w:tc>
          <w:tcPr>
            <w:tcW w:w="1883" w:type="dxa"/>
          </w:tcPr>
          <w:p w14:paraId="2770A2C4"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lastRenderedPageBreak/>
              <w:t>4. Improve the affordability and value of PHI for privately insured Australians</w:t>
            </w:r>
          </w:p>
        </w:tc>
        <w:tc>
          <w:tcPr>
            <w:tcW w:w="1867" w:type="dxa"/>
          </w:tcPr>
          <w:p w14:paraId="2720FCA4" w14:textId="77777777" w:rsidR="0092799C" w:rsidRDefault="0092799C">
            <w:pPr>
              <w:pStyle w:val="TableNText"/>
              <w:keepNext w:val="0"/>
              <w:keepLines/>
            </w:pPr>
            <w:r w:rsidRPr="0007003A">
              <w:t>PHI affordability is currently an issue of concern, participation rates are decreasing and risk profiles increasing.</w:t>
            </w:r>
          </w:p>
        </w:tc>
        <w:tc>
          <w:tcPr>
            <w:tcW w:w="1883" w:type="dxa"/>
          </w:tcPr>
          <w:p w14:paraId="3788E556" w14:textId="77777777" w:rsidR="0092799C" w:rsidRDefault="0092799C">
            <w:pPr>
              <w:pStyle w:val="TableNText"/>
              <w:keepNext w:val="0"/>
              <w:keepLines/>
            </w:pPr>
            <w:r w:rsidRPr="00642C03">
              <w:t>Low PHI participation places strain on the rest of the health system.</w:t>
            </w:r>
          </w:p>
        </w:tc>
        <w:tc>
          <w:tcPr>
            <w:tcW w:w="1869" w:type="dxa"/>
          </w:tcPr>
          <w:p w14:paraId="19D2F234" w14:textId="77777777" w:rsidR="0092799C" w:rsidRDefault="0092799C">
            <w:pPr>
              <w:pStyle w:val="TableNText"/>
              <w:keepNext w:val="0"/>
              <w:keepLines/>
            </w:pPr>
            <w:r w:rsidRPr="3787E91E">
              <w:t>Reduction in PL benefits while maintaining device availability and access.</w:t>
            </w:r>
          </w:p>
        </w:tc>
        <w:tc>
          <w:tcPr>
            <w:tcW w:w="862" w:type="dxa"/>
          </w:tcPr>
          <w:p w14:paraId="4CA28630" w14:textId="7E924F3D" w:rsidR="0092799C" w:rsidRPr="00846933" w:rsidRDefault="00650D4A" w:rsidP="00615AA0">
            <w:pPr>
              <w:pStyle w:val="TableNText"/>
              <w:keepNext w:val="0"/>
              <w:keepLines/>
              <w:jc w:val="center"/>
              <w:rPr>
                <w:highlight w:val="green"/>
              </w:rPr>
            </w:pPr>
            <w:r w:rsidRPr="00005E56">
              <w:rPr>
                <w:noProof/>
                <w:lang w:val="en-US"/>
              </w:rPr>
              <w:drawing>
                <wp:inline distT="0" distB="0" distL="0" distR="0" wp14:anchorId="4DF6DBA2" wp14:editId="27A8921A">
                  <wp:extent cx="288000" cy="288000"/>
                  <wp:effectExtent l="0" t="0" r="0" b="0"/>
                  <wp:docPr id="512981605" name="Graphic 10" descr="Tick outline">
                    <a:extLst xmlns:a="http://schemas.openxmlformats.org/drawingml/2006/main">
                      <a:ext uri="{FF2B5EF4-FFF2-40B4-BE49-F238E27FC236}">
                        <a16:creationId xmlns:a16="http://schemas.microsoft.com/office/drawing/2014/main" id="{696F25E4-07AF-C797-6E1A-07B003AD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81605" name="Graphic 10" descr="Tick outline">
                            <a:extLst>
                              <a:ext uri="{FF2B5EF4-FFF2-40B4-BE49-F238E27FC236}">
                                <a16:creationId xmlns:a16="http://schemas.microsoft.com/office/drawing/2014/main" id="{696F25E4-07AF-C797-6E1A-07B003AD6FE6}"/>
                              </a:ext>
                            </a:extLst>
                          </pic:cNvPr>
                          <pic:cNvPicPr>
                            <a:picLocks noChangeAspect="1"/>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24154" t="24040" r="24169" b="24025"/>
                          <a:stretch/>
                        </pic:blipFill>
                        <pic:spPr>
                          <a:xfrm>
                            <a:off x="0" y="0"/>
                            <a:ext cx="288000" cy="288000"/>
                          </a:xfrm>
                          <a:prstGeom prst="rect">
                            <a:avLst/>
                          </a:prstGeom>
                        </pic:spPr>
                      </pic:pic>
                    </a:graphicData>
                  </a:graphic>
                </wp:inline>
              </w:drawing>
            </w:r>
          </w:p>
        </w:tc>
        <w:tc>
          <w:tcPr>
            <w:tcW w:w="2185" w:type="dxa"/>
          </w:tcPr>
          <w:p w14:paraId="1202BC5A" w14:textId="0075F5AE" w:rsidR="0092799C" w:rsidRDefault="00CE3940">
            <w:pPr>
              <w:pStyle w:val="TableNText"/>
              <w:keepNext w:val="0"/>
              <w:keepLines/>
            </w:pPr>
            <w:r w:rsidRPr="001536A0">
              <w:rPr>
                <w:rFonts w:asciiTheme="majorHAnsi" w:hAnsiTheme="majorHAnsi" w:cstheme="majorHAnsi"/>
                <w:color w:val="25B3E0" w:themeColor="accent6"/>
              </w:rPr>
              <w:t>On track</w:t>
            </w:r>
            <w:r w:rsidRPr="001536A0">
              <w:rPr>
                <w:color w:val="25B3E0" w:themeColor="accent6"/>
              </w:rPr>
              <w:t xml:space="preserve"> </w:t>
            </w:r>
            <w:r>
              <w:t xml:space="preserve">– </w:t>
            </w:r>
            <w:r w:rsidR="00546CFA">
              <w:t xml:space="preserve">Progress achieved through </w:t>
            </w:r>
            <w:r w:rsidR="00D75D3B">
              <w:t>objectives 1-3.</w:t>
            </w:r>
          </w:p>
        </w:tc>
        <w:tc>
          <w:tcPr>
            <w:tcW w:w="3342" w:type="dxa"/>
          </w:tcPr>
          <w:p w14:paraId="0CD993DA" w14:textId="4CD099F6" w:rsidR="00CA08B5" w:rsidRDefault="0092799C" w:rsidP="1293B757">
            <w:pPr>
              <w:pStyle w:val="TableNText"/>
              <w:keepNext w:val="0"/>
              <w:keepLines/>
              <w:numPr>
                <w:ilvl w:val="0"/>
                <w:numId w:val="0"/>
              </w:numPr>
            </w:pPr>
            <w:r>
              <w:t>Savings gained through benefit reductions have placed downward pressure on PHI premiums for consumers.</w:t>
            </w:r>
          </w:p>
          <w:p w14:paraId="7DCB5D79" w14:textId="77777777" w:rsidR="00EA7B71" w:rsidRDefault="00BD322E" w:rsidP="1293B757">
            <w:pPr>
              <w:pStyle w:val="TableNText"/>
              <w:keepNext w:val="0"/>
              <w:keepLines/>
              <w:numPr>
                <w:ilvl w:val="0"/>
                <w:numId w:val="0"/>
              </w:numPr>
            </w:pPr>
            <w:r>
              <w:t>Despite this, the</w:t>
            </w:r>
            <w:r w:rsidR="00727DCD">
              <w:t xml:space="preserve"> </w:t>
            </w:r>
            <w:r w:rsidR="001C59F3">
              <w:t>prop</w:t>
            </w:r>
            <w:r w:rsidR="00727DCD">
              <w:t xml:space="preserve">ortion of PHI hospital treatment benefits paid for prostheses </w:t>
            </w:r>
            <w:r w:rsidR="00CA08B5">
              <w:t xml:space="preserve">has increased due to </w:t>
            </w:r>
            <w:r w:rsidR="00111DB9">
              <w:t>higher utilisation</w:t>
            </w:r>
            <w:r w:rsidR="00CA08B5">
              <w:t xml:space="preserve">. </w:t>
            </w:r>
            <w:r w:rsidR="00C46006">
              <w:t xml:space="preserve">This stems </w:t>
            </w:r>
            <w:r w:rsidR="00F95B4B">
              <w:t xml:space="preserve">both </w:t>
            </w:r>
            <w:r w:rsidR="00C46006">
              <w:t xml:space="preserve">from </w:t>
            </w:r>
            <w:r w:rsidR="00FC6143">
              <w:t xml:space="preserve">an aging membership and </w:t>
            </w:r>
            <w:r w:rsidR="00F95B4B">
              <w:t xml:space="preserve">higher </w:t>
            </w:r>
            <w:r w:rsidR="00A230F2">
              <w:t>prostheses u</w:t>
            </w:r>
            <w:r w:rsidR="00B2050E">
              <w:t xml:space="preserve">tilisation </w:t>
            </w:r>
            <w:r w:rsidR="005C7B43">
              <w:t>per member across age cohorts.</w:t>
            </w:r>
          </w:p>
          <w:p w14:paraId="6610BDF6" w14:textId="23689290" w:rsidR="00957409" w:rsidRDefault="00957409" w:rsidP="1293B757">
            <w:pPr>
              <w:pStyle w:val="TableNText"/>
              <w:keepNext w:val="0"/>
              <w:keepLines/>
              <w:numPr>
                <w:ilvl w:val="0"/>
                <w:numId w:val="0"/>
              </w:numPr>
            </w:pPr>
            <w:r>
              <w:t>The rate of PHI premium growth has also increased.</w:t>
            </w:r>
          </w:p>
          <w:p w14:paraId="0E00852A" w14:textId="2B5F984D" w:rsidR="009D4ED8" w:rsidRDefault="002F718E">
            <w:pPr>
              <w:pStyle w:val="TableNText"/>
              <w:keepNext w:val="0"/>
              <w:keepLines/>
            </w:pPr>
            <w:r>
              <w:t xml:space="preserve">The </w:t>
            </w:r>
            <w:r w:rsidR="006009A8">
              <w:t>v</w:t>
            </w:r>
            <w:r w:rsidR="009D4ED8">
              <w:t xml:space="preserve">alue of PHI </w:t>
            </w:r>
            <w:r w:rsidR="006C6BEA">
              <w:t xml:space="preserve">in relation to PL access has been </w:t>
            </w:r>
            <w:r w:rsidR="009D4ED8">
              <w:t>maintained for consumers.</w:t>
            </w:r>
          </w:p>
        </w:tc>
      </w:tr>
      <w:tr w:rsidR="008D0F98" w14:paraId="5A150505" w14:textId="77777777" w:rsidTr="75F13672">
        <w:trPr>
          <w:cnfStyle w:val="000000100000" w:firstRow="0" w:lastRow="0" w:firstColumn="0" w:lastColumn="0" w:oddVBand="0" w:evenVBand="0" w:oddHBand="1" w:evenHBand="0" w:firstRowFirstColumn="0" w:firstRowLastColumn="0" w:lastRowFirstColumn="0" w:lastRowLastColumn="0"/>
        </w:trPr>
        <w:tc>
          <w:tcPr>
            <w:tcW w:w="1883" w:type="dxa"/>
          </w:tcPr>
          <w:p w14:paraId="61B82A4C" w14:textId="77777777" w:rsidR="0092799C" w:rsidRPr="00DA3FE7" w:rsidRDefault="0092799C">
            <w:pPr>
              <w:pStyle w:val="TableNText"/>
              <w:keepNext w:val="0"/>
              <w:keepLines/>
              <w:rPr>
                <w:rFonts w:asciiTheme="majorHAnsi" w:hAnsiTheme="majorHAnsi" w:cstheme="majorBidi"/>
              </w:rPr>
            </w:pPr>
            <w:r w:rsidRPr="3787E91E">
              <w:rPr>
                <w:rFonts w:asciiTheme="majorHAnsi" w:hAnsiTheme="majorHAnsi" w:cstheme="majorBidi"/>
              </w:rPr>
              <w:t>5. Clarify the purpose, definition and scope of the PL in legislation</w:t>
            </w:r>
          </w:p>
        </w:tc>
        <w:tc>
          <w:tcPr>
            <w:tcW w:w="1867" w:type="dxa"/>
          </w:tcPr>
          <w:p w14:paraId="713BA0CA" w14:textId="77777777" w:rsidR="0092799C" w:rsidRDefault="0092799C">
            <w:pPr>
              <w:pStyle w:val="TableNText"/>
              <w:keepNext w:val="0"/>
              <w:keepLines/>
            </w:pPr>
            <w:r w:rsidRPr="0007003A">
              <w:t>Only high-level definition of PL in legislation.</w:t>
            </w:r>
          </w:p>
          <w:p w14:paraId="179456E7" w14:textId="77777777" w:rsidR="0092799C" w:rsidRDefault="0092799C" w:rsidP="75F13672">
            <w:pPr>
              <w:pStyle w:val="TableNText"/>
              <w:keepNext w:val="0"/>
              <w:keepLines/>
              <w:numPr>
                <w:ilvl w:val="0"/>
                <w:numId w:val="0"/>
              </w:numPr>
            </w:pPr>
            <w:r>
              <w:t>Expanding PL scope over time is seen as a major driver of costs.</w:t>
            </w:r>
          </w:p>
          <w:p w14:paraId="30D69697" w14:textId="77777777" w:rsidR="0092799C" w:rsidRDefault="0092799C">
            <w:pPr>
              <w:pStyle w:val="TableNText"/>
              <w:keepNext w:val="0"/>
              <w:keepLines/>
            </w:pPr>
            <w:r w:rsidRPr="0007003A">
              <w:t>PL structure has become complex and difficult to navigate.</w:t>
            </w:r>
          </w:p>
        </w:tc>
        <w:tc>
          <w:tcPr>
            <w:tcW w:w="1883" w:type="dxa"/>
          </w:tcPr>
          <w:p w14:paraId="335BDAF3" w14:textId="77777777" w:rsidR="0092799C" w:rsidRDefault="0092799C">
            <w:pPr>
              <w:pStyle w:val="TableNText"/>
              <w:keepNext w:val="0"/>
              <w:keepLines/>
            </w:pPr>
            <w:r w:rsidRPr="00642C03">
              <w:t>Lack of clarity and complex structure leads to reduced effectiveness and unwanted outcomes.</w:t>
            </w:r>
          </w:p>
        </w:tc>
        <w:tc>
          <w:tcPr>
            <w:tcW w:w="1869" w:type="dxa"/>
          </w:tcPr>
          <w:p w14:paraId="65EB69AD" w14:textId="77777777" w:rsidR="0092799C" w:rsidRDefault="0092799C">
            <w:pPr>
              <w:pStyle w:val="TableNText"/>
              <w:keepNext w:val="0"/>
              <w:keepLines/>
            </w:pPr>
            <w:r w:rsidRPr="3787E91E">
              <w:t>Establishment of new legislation regarding the PL.</w:t>
            </w:r>
          </w:p>
          <w:p w14:paraId="1342040B" w14:textId="77777777" w:rsidR="0092799C" w:rsidRDefault="0092799C">
            <w:pPr>
              <w:pStyle w:val="TableNText"/>
              <w:keepNext w:val="0"/>
              <w:keepLines/>
            </w:pPr>
            <w:r>
              <w:t>PL groups to be reviewed and restructured.</w:t>
            </w:r>
          </w:p>
          <w:p w14:paraId="66A1C694" w14:textId="77777777" w:rsidR="0092799C" w:rsidRDefault="0092799C">
            <w:pPr>
              <w:pStyle w:val="TableNText"/>
              <w:keepNext w:val="0"/>
              <w:keepLines/>
            </w:pPr>
            <w:r w:rsidRPr="3787E91E">
              <w:t>General use items (GUIs) to be removed from the PL.</w:t>
            </w:r>
          </w:p>
        </w:tc>
        <w:tc>
          <w:tcPr>
            <w:tcW w:w="862" w:type="dxa"/>
          </w:tcPr>
          <w:p w14:paraId="18CDDE38" w14:textId="77777777" w:rsidR="0092799C" w:rsidRDefault="00650D4A" w:rsidP="00615AA0">
            <w:pPr>
              <w:pStyle w:val="TableNText"/>
              <w:keepNext w:val="0"/>
              <w:keepLines/>
              <w:jc w:val="center"/>
              <w:rPr>
                <w:highlight w:val="yellow"/>
              </w:rPr>
            </w:pPr>
            <w:r w:rsidRPr="00822D62">
              <w:rPr>
                <w:rFonts w:asciiTheme="majorHAnsi" w:hAnsiTheme="majorHAnsi" w:cstheme="majorHAnsi"/>
                <w:noProof/>
                <w:color w:val="25B3E0" w:themeColor="accent6"/>
                <w:lang w:val="en-US"/>
              </w:rPr>
              <w:drawing>
                <wp:inline distT="0" distB="0" distL="0" distR="0" wp14:anchorId="6D164338" wp14:editId="31ED843F">
                  <wp:extent cx="288000" cy="288000"/>
                  <wp:effectExtent l="0" t="0" r="0" b="0"/>
                  <wp:docPr id="2008405867"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05867"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9771" t="9359" r="9239" b="9130"/>
                          <a:stretch/>
                        </pic:blipFill>
                        <pic:spPr>
                          <a:xfrm>
                            <a:off x="0" y="0"/>
                            <a:ext cx="288000" cy="288000"/>
                          </a:xfrm>
                          <a:prstGeom prst="rect">
                            <a:avLst/>
                          </a:prstGeom>
                        </pic:spPr>
                      </pic:pic>
                    </a:graphicData>
                  </a:graphic>
                </wp:inline>
              </w:drawing>
            </w:r>
          </w:p>
          <w:p w14:paraId="4A5E4EFE" w14:textId="77777777" w:rsidR="00650D4A" w:rsidRDefault="00650D4A">
            <w:pPr>
              <w:pStyle w:val="TableNText"/>
              <w:keepNext w:val="0"/>
              <w:keepLines/>
              <w:rPr>
                <w:highlight w:val="yellow"/>
              </w:rPr>
            </w:pPr>
          </w:p>
          <w:p w14:paraId="3136A51D" w14:textId="77777777" w:rsidR="00615AA0" w:rsidRDefault="00615AA0">
            <w:pPr>
              <w:pStyle w:val="TableNText"/>
              <w:keepNext w:val="0"/>
              <w:keepLines/>
              <w:rPr>
                <w:highlight w:val="yellow"/>
              </w:rPr>
            </w:pPr>
          </w:p>
          <w:p w14:paraId="11572FE4" w14:textId="77777777" w:rsidR="00615AA0" w:rsidRDefault="00615AA0">
            <w:pPr>
              <w:pStyle w:val="TableNText"/>
              <w:keepNext w:val="0"/>
              <w:keepLines/>
              <w:rPr>
                <w:highlight w:val="yellow"/>
              </w:rPr>
            </w:pPr>
          </w:p>
          <w:p w14:paraId="7D39E37F" w14:textId="77777777" w:rsidR="00615AA0" w:rsidRDefault="00615AA0">
            <w:pPr>
              <w:pStyle w:val="TableNText"/>
              <w:keepNext w:val="0"/>
              <w:keepLines/>
              <w:rPr>
                <w:highlight w:val="yellow"/>
              </w:rPr>
            </w:pPr>
          </w:p>
          <w:p w14:paraId="45752164" w14:textId="77777777" w:rsidR="004C05A8" w:rsidRDefault="004C05A8">
            <w:pPr>
              <w:pStyle w:val="TableNText"/>
              <w:keepNext w:val="0"/>
              <w:keepLines/>
              <w:rPr>
                <w:highlight w:val="yellow"/>
              </w:rPr>
            </w:pPr>
          </w:p>
          <w:p w14:paraId="674BF886" w14:textId="3042FEBF" w:rsidR="0092799C" w:rsidRPr="6F1B8706" w:rsidRDefault="00650D4A" w:rsidP="00615AA0">
            <w:pPr>
              <w:pStyle w:val="TableNText"/>
              <w:keepNext w:val="0"/>
              <w:keepLines/>
              <w:jc w:val="center"/>
              <w:rPr>
                <w:highlight w:val="yellow"/>
              </w:rPr>
            </w:pPr>
            <w:r w:rsidRPr="00822D62">
              <w:rPr>
                <w:rFonts w:asciiTheme="majorHAnsi" w:hAnsiTheme="majorHAnsi" w:cstheme="majorHAnsi"/>
                <w:noProof/>
                <w:color w:val="25B3E0" w:themeColor="accent6"/>
                <w:lang w:val="en-US"/>
              </w:rPr>
              <w:drawing>
                <wp:inline distT="0" distB="0" distL="0" distR="0" wp14:anchorId="1533B7A9" wp14:editId="2F4992E9">
                  <wp:extent cx="288000" cy="288000"/>
                  <wp:effectExtent l="0" t="0" r="0" b="0"/>
                  <wp:docPr id="1890953485" name="Graphic 6" descr="Cross outline">
                    <a:extLst xmlns:a="http://schemas.openxmlformats.org/drawingml/2006/main">
                      <a:ext uri="{FF2B5EF4-FFF2-40B4-BE49-F238E27FC236}">
                        <a16:creationId xmlns:a16="http://schemas.microsoft.com/office/drawing/2014/main" id="{375809FF-B5B3-2652-171A-ECE806814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53485" name="Graphic 6" descr="Cross outline">
                            <a:extLst>
                              <a:ext uri="{FF2B5EF4-FFF2-40B4-BE49-F238E27FC236}">
                                <a16:creationId xmlns:a16="http://schemas.microsoft.com/office/drawing/2014/main" id="{375809FF-B5B3-2652-171A-ECE8068146E3}"/>
                              </a:ext>
                            </a:extLst>
                          </pic:cNvPr>
                          <pic:cNvPicPr>
                            <a:picLocks noChangeAspect="1"/>
                          </pic:cNvPicPr>
                        </pic:nvPicPr>
                        <pic:blipFill rotWithShape="1">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rcRect l="9925" t="9988" r="9867" b="9335"/>
                          <a:stretch/>
                        </pic:blipFill>
                        <pic:spPr>
                          <a:xfrm>
                            <a:off x="0" y="0"/>
                            <a:ext cx="288000" cy="288000"/>
                          </a:xfrm>
                          <a:prstGeom prst="rect">
                            <a:avLst/>
                          </a:prstGeom>
                        </pic:spPr>
                      </pic:pic>
                    </a:graphicData>
                  </a:graphic>
                </wp:inline>
              </w:drawing>
            </w:r>
          </w:p>
        </w:tc>
        <w:tc>
          <w:tcPr>
            <w:tcW w:w="2185" w:type="dxa"/>
          </w:tcPr>
          <w:p w14:paraId="172AF450" w14:textId="4CA92E28" w:rsidR="0092799C" w:rsidRDefault="00CE3940" w:rsidP="75F13672">
            <w:pPr>
              <w:pStyle w:val="TableNText"/>
              <w:keepNext w:val="0"/>
              <w:keepLines/>
              <w:numPr>
                <w:ilvl w:val="0"/>
                <w:numId w:val="0"/>
              </w:numPr>
            </w:pPr>
            <w:r w:rsidRPr="75F13672">
              <w:rPr>
                <w:rFonts w:asciiTheme="majorHAnsi" w:hAnsiTheme="majorHAnsi" w:cstheme="majorBidi"/>
                <w:color w:val="F8981D" w:themeColor="accent3"/>
              </w:rPr>
              <w:t>Ongoing</w:t>
            </w:r>
            <w:r w:rsidRPr="75F13672">
              <w:rPr>
                <w:color w:val="F8981D" w:themeColor="accent3"/>
              </w:rPr>
              <w:t xml:space="preserve"> </w:t>
            </w:r>
            <w:r>
              <w:t xml:space="preserve">– Legislation </w:t>
            </w:r>
            <w:r w:rsidR="00667ACB">
              <w:t xml:space="preserve">addressing purpose, definition and scope has been amended. </w:t>
            </w:r>
            <w:r w:rsidR="00DD00C5">
              <w:t>The decision to retain GUIs</w:t>
            </w:r>
            <w:r w:rsidR="00442E4F" w:rsidRPr="00442E4F">
              <w:t>,</w:t>
            </w:r>
            <w:r w:rsidR="00332DFB">
              <w:t xml:space="preserve"> </w:t>
            </w:r>
            <w:r w:rsidR="00332DFB" w:rsidRPr="00442E4F">
              <w:t>and the final position on services attached to CIEDs</w:t>
            </w:r>
            <w:r w:rsidR="00332DFB">
              <w:t>,</w:t>
            </w:r>
            <w:r w:rsidR="00DD00C5">
              <w:t xml:space="preserve"> will, however, likely require further legislative changes.</w:t>
            </w:r>
          </w:p>
          <w:p w14:paraId="62A79BB5" w14:textId="77777777" w:rsidR="0033411A" w:rsidRDefault="0033411A">
            <w:pPr>
              <w:pStyle w:val="TableNText"/>
              <w:keepNext w:val="0"/>
              <w:keepLines/>
              <w:rPr>
                <w:highlight w:val="yellow"/>
              </w:rPr>
            </w:pPr>
          </w:p>
          <w:p w14:paraId="449787FD" w14:textId="5831C89E" w:rsidR="0033411A" w:rsidRDefault="004C05A8">
            <w:pPr>
              <w:pStyle w:val="TableNText"/>
              <w:keepNext w:val="0"/>
              <w:keepLines/>
              <w:rPr>
                <w:highlight w:val="yellow"/>
              </w:rPr>
            </w:pPr>
            <w:r w:rsidRPr="004C05A8">
              <w:rPr>
                <w:rFonts w:asciiTheme="majorHAnsi" w:hAnsiTheme="majorHAnsi" w:cstheme="majorHAnsi"/>
                <w:color w:val="FF3A40" w:themeColor="accent1"/>
              </w:rPr>
              <w:t>At risk / not achieved</w:t>
            </w:r>
            <w:r w:rsidRPr="004C05A8">
              <w:rPr>
                <w:color w:val="FF3A40" w:themeColor="accent1"/>
              </w:rPr>
              <w:t xml:space="preserve"> </w:t>
            </w:r>
            <w:r w:rsidR="0033411A" w:rsidRPr="004C05A8">
              <w:t>–</w:t>
            </w:r>
            <w:r w:rsidR="0033411A">
              <w:t xml:space="preserve"> </w:t>
            </w:r>
            <w:r>
              <w:t xml:space="preserve">Regrouping has been delayed </w:t>
            </w:r>
            <w:r w:rsidR="000D5B5B">
              <w:t>indefinitely</w:t>
            </w:r>
            <w:r>
              <w:t xml:space="preserve">, and GUIs will </w:t>
            </w:r>
            <w:r w:rsidR="000D5B5B">
              <w:t>no</w:t>
            </w:r>
            <w:r w:rsidR="0007596F">
              <w:t>t</w:t>
            </w:r>
            <w:r w:rsidR="000D5B5B">
              <w:t xml:space="preserve"> be removed from the PL</w:t>
            </w:r>
            <w:r w:rsidR="007F1A15">
              <w:t>.</w:t>
            </w:r>
          </w:p>
          <w:p w14:paraId="1089FEA3" w14:textId="64FEEFA0" w:rsidR="0092799C" w:rsidRPr="000C77D6" w:rsidRDefault="0092799C">
            <w:pPr>
              <w:pStyle w:val="TableNText"/>
              <w:keepNext w:val="0"/>
              <w:keepLines/>
              <w:rPr>
                <w:highlight w:val="red"/>
              </w:rPr>
            </w:pPr>
            <w:r>
              <w:rPr>
                <w:highlight w:val="red"/>
              </w:rPr>
              <w:t xml:space="preserve"> </w:t>
            </w:r>
          </w:p>
        </w:tc>
        <w:tc>
          <w:tcPr>
            <w:tcW w:w="3342" w:type="dxa"/>
          </w:tcPr>
          <w:p w14:paraId="59F8E2A9" w14:textId="22A2BAFC" w:rsidR="00C17463" w:rsidRDefault="0092799C" w:rsidP="00EA7B71">
            <w:pPr>
              <w:pStyle w:val="TableNText"/>
              <w:keepNext w:val="0"/>
              <w:keepLines/>
            </w:pPr>
            <w:r>
              <w:t xml:space="preserve">Legislated changes </w:t>
            </w:r>
            <w:r w:rsidR="00F35FBD">
              <w:t xml:space="preserve">have </w:t>
            </w:r>
            <w:r>
              <w:t xml:space="preserve">incorporated </w:t>
            </w:r>
            <w:r w:rsidR="004D3203">
              <w:t xml:space="preserve">new terminology and </w:t>
            </w:r>
            <w:r>
              <w:t xml:space="preserve">definitions of PL scope. </w:t>
            </w:r>
            <w:r w:rsidR="00D53121">
              <w:t xml:space="preserve">However, </w:t>
            </w:r>
            <w:r w:rsidR="00E22D16">
              <w:t>the</w:t>
            </w:r>
            <w:r w:rsidR="009478AD">
              <w:t xml:space="preserve"> decision to retain GUIs on the PL has </w:t>
            </w:r>
            <w:r w:rsidR="0010550E">
              <w:t xml:space="preserve">diluted </w:t>
            </w:r>
            <w:r w:rsidR="00373AAC">
              <w:t xml:space="preserve">the impact of this </w:t>
            </w:r>
            <w:r w:rsidR="00FD71DF">
              <w:t>change.</w:t>
            </w:r>
            <w:r w:rsidR="00DD00C5">
              <w:t xml:space="preserve"> </w:t>
            </w:r>
          </w:p>
          <w:p w14:paraId="17971099" w14:textId="77777777" w:rsidR="00EA7B71" w:rsidRDefault="00EA7B71" w:rsidP="00EA7B71">
            <w:pPr>
              <w:pStyle w:val="TableNText"/>
              <w:keepNext w:val="0"/>
              <w:keepLines/>
              <w:numPr>
                <w:ilvl w:val="0"/>
                <w:numId w:val="0"/>
              </w:numPr>
            </w:pPr>
          </w:p>
          <w:p w14:paraId="3D6BFCF5" w14:textId="77777777" w:rsidR="00EA7B71" w:rsidRDefault="00EA7B71" w:rsidP="00EA7B71">
            <w:pPr>
              <w:pStyle w:val="TableNText"/>
              <w:keepNext w:val="0"/>
              <w:keepLines/>
              <w:numPr>
                <w:ilvl w:val="0"/>
                <w:numId w:val="0"/>
              </w:numPr>
            </w:pPr>
          </w:p>
          <w:p w14:paraId="577C3A68" w14:textId="45005898" w:rsidR="0092799C" w:rsidRDefault="003D44A7">
            <w:pPr>
              <w:pStyle w:val="TableNText"/>
              <w:keepNext w:val="0"/>
              <w:keepLines/>
            </w:pPr>
            <w:r>
              <w:t>Complexity of mixed benefits arising from the proposed PL r</w:t>
            </w:r>
            <w:r w:rsidR="0092799C">
              <w:t xml:space="preserve">egrouping </w:t>
            </w:r>
            <w:r>
              <w:t xml:space="preserve">framework has complicated regrouping. The </w:t>
            </w:r>
            <w:r w:rsidR="00E851FC">
              <w:t xml:space="preserve">expected benefits of reduced complexity and </w:t>
            </w:r>
            <w:r w:rsidR="008D78A7">
              <w:t xml:space="preserve">increased alignment with clinical use </w:t>
            </w:r>
            <w:r w:rsidR="00332DFB">
              <w:t>have</w:t>
            </w:r>
            <w:r w:rsidR="008D78A7">
              <w:t xml:space="preserve"> not</w:t>
            </w:r>
            <w:r w:rsidR="00332DFB">
              <w:t xml:space="preserve"> been</w:t>
            </w:r>
            <w:r w:rsidR="008D78A7">
              <w:t xml:space="preserve"> achieved. </w:t>
            </w:r>
          </w:p>
          <w:p w14:paraId="53D9801F" w14:textId="7A1E7C88" w:rsidR="0092799C" w:rsidRDefault="0092799C">
            <w:pPr>
              <w:pStyle w:val="TableNText"/>
              <w:keepNext w:val="0"/>
              <w:keepLines/>
            </w:pPr>
            <w:r>
              <w:t xml:space="preserve">GUIs </w:t>
            </w:r>
            <w:r w:rsidR="008D78A7">
              <w:t>will remain on the PL</w:t>
            </w:r>
            <w:r w:rsidR="00323248">
              <w:t xml:space="preserve"> </w:t>
            </w:r>
            <w:r w:rsidR="00986513">
              <w:t xml:space="preserve">and </w:t>
            </w:r>
            <w:r w:rsidR="00FC5164">
              <w:t xml:space="preserve">will </w:t>
            </w:r>
            <w:r w:rsidR="00EC25F7">
              <w:t>not be part of the reforms</w:t>
            </w:r>
            <w:r w:rsidR="00CC6FCD">
              <w:t xml:space="preserve">’ aim to </w:t>
            </w:r>
            <w:r w:rsidR="00ED0FEB">
              <w:t>clarify the</w:t>
            </w:r>
            <w:r w:rsidR="00FC5164">
              <w:t xml:space="preserve"> PL scope.</w:t>
            </w:r>
          </w:p>
        </w:tc>
      </w:tr>
      <w:tr w:rsidR="008D0F98" w14:paraId="2729150C" w14:textId="77777777" w:rsidTr="75F13672">
        <w:trPr>
          <w:cnfStyle w:val="000000010000" w:firstRow="0" w:lastRow="0" w:firstColumn="0" w:lastColumn="0" w:oddVBand="0" w:evenVBand="0" w:oddHBand="0" w:evenHBand="1" w:firstRowFirstColumn="0" w:firstRowLastColumn="0" w:lastRowFirstColumn="0" w:lastRowLastColumn="0"/>
        </w:trPr>
        <w:tc>
          <w:tcPr>
            <w:tcW w:w="1883" w:type="dxa"/>
          </w:tcPr>
          <w:p w14:paraId="736E6FE6"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lastRenderedPageBreak/>
              <w:t>6. Implement new PL assessment pathways aligned to Health Technology Assessment principles and streamline the application process through simple and robust IT infrastructure</w:t>
            </w:r>
          </w:p>
        </w:tc>
        <w:tc>
          <w:tcPr>
            <w:tcW w:w="1867" w:type="dxa"/>
          </w:tcPr>
          <w:p w14:paraId="6EC7B7A6" w14:textId="77777777" w:rsidR="0092799C" w:rsidRDefault="0092799C">
            <w:pPr>
              <w:pStyle w:val="TableNText"/>
              <w:keepNext w:val="0"/>
              <w:keepLines/>
            </w:pPr>
            <w:r w:rsidRPr="0007003A">
              <w:t>No distinct assessment pathways based on complexity.</w:t>
            </w:r>
          </w:p>
          <w:p w14:paraId="7EDD471F" w14:textId="77777777" w:rsidR="0092799C" w:rsidRDefault="0092799C">
            <w:pPr>
              <w:pStyle w:val="TableNText"/>
              <w:keepNext w:val="0"/>
              <w:keepLines/>
            </w:pPr>
            <w:r>
              <w:t>Assessment</w:t>
            </w:r>
            <w:r w:rsidRPr="004E6DD3">
              <w:t xml:space="preserve"> process </w:t>
            </w:r>
            <w:r>
              <w:t>has mixed</w:t>
            </w:r>
            <w:r w:rsidRPr="004E6DD3">
              <w:t xml:space="preserve"> alignment </w:t>
            </w:r>
            <w:r>
              <w:t>with HTA</w:t>
            </w:r>
            <w:r w:rsidRPr="004E6DD3">
              <w:t xml:space="preserve"> principles.</w:t>
            </w:r>
          </w:p>
        </w:tc>
        <w:tc>
          <w:tcPr>
            <w:tcW w:w="1883" w:type="dxa"/>
          </w:tcPr>
          <w:p w14:paraId="09FE7F27" w14:textId="77777777" w:rsidR="0092799C" w:rsidRDefault="0092799C">
            <w:pPr>
              <w:pStyle w:val="TableNText"/>
              <w:keepNext w:val="0"/>
              <w:keepLines/>
            </w:pPr>
            <w:r w:rsidRPr="3787E91E">
              <w:t>Effective and efficient assessment crucial to maintain integrity of the PL.</w:t>
            </w:r>
          </w:p>
        </w:tc>
        <w:tc>
          <w:tcPr>
            <w:tcW w:w="1869" w:type="dxa"/>
          </w:tcPr>
          <w:p w14:paraId="0360BDA2" w14:textId="77777777" w:rsidR="0092799C" w:rsidRDefault="0092799C">
            <w:pPr>
              <w:pStyle w:val="TableNText"/>
              <w:keepNext w:val="0"/>
              <w:keepLines/>
            </w:pPr>
            <w:r w:rsidRPr="3787E91E">
              <w:t>Multi-tiered application process to be established.</w:t>
            </w:r>
          </w:p>
          <w:p w14:paraId="3157A7C0" w14:textId="77777777" w:rsidR="0092799C" w:rsidRDefault="0092799C">
            <w:pPr>
              <w:pStyle w:val="TableNText"/>
              <w:keepNext w:val="0"/>
              <w:keepLines/>
            </w:pPr>
            <w:r>
              <w:t>Changes to assessment governance processes.</w:t>
            </w:r>
          </w:p>
        </w:tc>
        <w:tc>
          <w:tcPr>
            <w:tcW w:w="862" w:type="dxa"/>
          </w:tcPr>
          <w:p w14:paraId="0ACB3790" w14:textId="02D4B95A" w:rsidR="0092799C" w:rsidRPr="00472194" w:rsidRDefault="00D21CB0" w:rsidP="0018476D">
            <w:pPr>
              <w:pStyle w:val="TableNText"/>
              <w:keepNext w:val="0"/>
              <w:keepLines/>
              <w:jc w:val="center"/>
              <w:rPr>
                <w:highlight w:val="green"/>
              </w:rPr>
            </w:pPr>
            <w:r w:rsidRPr="00822D62">
              <w:rPr>
                <w:rFonts w:asciiTheme="majorHAnsi" w:hAnsiTheme="majorHAnsi" w:cstheme="majorHAnsi"/>
                <w:noProof/>
                <w:color w:val="25B3E0" w:themeColor="accent6"/>
                <w:lang w:val="en-US"/>
              </w:rPr>
              <w:drawing>
                <wp:inline distT="0" distB="0" distL="0" distR="0" wp14:anchorId="35D75224" wp14:editId="4F0ECF9B">
                  <wp:extent cx="288000" cy="288000"/>
                  <wp:effectExtent l="0" t="0" r="0" b="0"/>
                  <wp:docPr id="1298865362"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65362"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9771" t="9359" r="9239" b="9130"/>
                          <a:stretch/>
                        </pic:blipFill>
                        <pic:spPr>
                          <a:xfrm>
                            <a:off x="0" y="0"/>
                            <a:ext cx="288000" cy="288000"/>
                          </a:xfrm>
                          <a:prstGeom prst="rect">
                            <a:avLst/>
                          </a:prstGeom>
                        </pic:spPr>
                      </pic:pic>
                    </a:graphicData>
                  </a:graphic>
                </wp:inline>
              </w:drawing>
            </w:r>
          </w:p>
        </w:tc>
        <w:tc>
          <w:tcPr>
            <w:tcW w:w="2185" w:type="dxa"/>
          </w:tcPr>
          <w:p w14:paraId="1AA9B14F" w14:textId="09831906" w:rsidR="0092799C" w:rsidRDefault="0092799C">
            <w:pPr>
              <w:pStyle w:val="TableNText"/>
              <w:keepNext w:val="0"/>
              <w:keepLines/>
              <w:rPr>
                <w:highlight w:val="green"/>
              </w:rPr>
            </w:pPr>
          </w:p>
          <w:p w14:paraId="311F3561" w14:textId="72D41DAA" w:rsidR="0005183E" w:rsidRPr="004B56E2" w:rsidRDefault="00CF2D84" w:rsidP="33731613">
            <w:pPr>
              <w:pStyle w:val="TableNText"/>
              <w:keepNext w:val="0"/>
              <w:keepLines/>
              <w:numPr>
                <w:ilvl w:val="0"/>
                <w:numId w:val="0"/>
              </w:numPr>
              <w:rPr>
                <w:highlight w:val="green"/>
              </w:rPr>
            </w:pPr>
            <w:r w:rsidRPr="33731613">
              <w:rPr>
                <w:rFonts w:asciiTheme="majorHAnsi" w:hAnsiTheme="majorHAnsi" w:cstheme="majorBidi"/>
                <w:color w:val="F8981D" w:themeColor="accent3"/>
              </w:rPr>
              <w:t>Ongoing</w:t>
            </w:r>
            <w:r w:rsidR="00D27693" w:rsidRPr="00CF2D84">
              <w:rPr>
                <w:color w:val="F8981D" w:themeColor="accent3"/>
              </w:rPr>
              <w:t xml:space="preserve"> </w:t>
            </w:r>
            <w:r w:rsidR="00D27693">
              <w:t xml:space="preserve">– </w:t>
            </w:r>
            <w:r w:rsidR="007B3CB0">
              <w:t xml:space="preserve">New governance arrangements are in action and </w:t>
            </w:r>
            <w:r w:rsidR="00C42F27">
              <w:t>new pathways have been implemented</w:t>
            </w:r>
            <w:r w:rsidR="00EE3299">
              <w:t xml:space="preserve"> in a transitional capacity.</w:t>
            </w:r>
          </w:p>
        </w:tc>
        <w:tc>
          <w:tcPr>
            <w:tcW w:w="3342" w:type="dxa"/>
          </w:tcPr>
          <w:p w14:paraId="58E7B8B0" w14:textId="77777777" w:rsidR="0092799C" w:rsidRDefault="0092799C">
            <w:pPr>
              <w:pStyle w:val="TableNText"/>
              <w:keepNext w:val="0"/>
              <w:keepLines/>
            </w:pPr>
            <w:r>
              <w:t>New PL assessment pathways have been implemented</w:t>
            </w:r>
            <w:r w:rsidR="003B04AA">
              <w:t xml:space="preserve"> </w:t>
            </w:r>
            <w:r>
              <w:t>and the transition with sponsors i</w:t>
            </w:r>
            <w:r w:rsidR="007B3CB0">
              <w:t>s</w:t>
            </w:r>
            <w:r>
              <w:t xml:space="preserve"> underway. New governance arrangements have been stood up, with the creation of the MDHTAC and its revised </w:t>
            </w:r>
            <w:r w:rsidR="00332DFB">
              <w:t>supporting</w:t>
            </w:r>
            <w:r>
              <w:t xml:space="preserve"> expert clinical advisory groups.</w:t>
            </w:r>
            <w:r w:rsidR="00AF0681">
              <w:t xml:space="preserve"> </w:t>
            </w:r>
          </w:p>
          <w:p w14:paraId="154F8835" w14:textId="29F997D9" w:rsidR="004B56E2" w:rsidRDefault="00CF2D84" w:rsidP="67C4FA72">
            <w:pPr>
              <w:pStyle w:val="TableNText"/>
              <w:numPr>
                <w:ilvl w:val="0"/>
                <w:numId w:val="0"/>
              </w:numPr>
            </w:pPr>
            <w:r w:rsidRPr="00CF2D84">
              <w:t>The new assessment pathways and application process are yet to demonstrate the expected outcomes.</w:t>
            </w:r>
          </w:p>
        </w:tc>
      </w:tr>
      <w:tr w:rsidR="008D0F98" w14:paraId="6BC1B7F5" w14:textId="77777777" w:rsidTr="75F13672">
        <w:trPr>
          <w:cnfStyle w:val="000000100000" w:firstRow="0" w:lastRow="0" w:firstColumn="0" w:lastColumn="0" w:oddVBand="0" w:evenVBand="0" w:oddHBand="1" w:evenHBand="0" w:firstRowFirstColumn="0" w:firstRowLastColumn="0" w:lastRowFirstColumn="0" w:lastRowLastColumn="0"/>
        </w:trPr>
        <w:tc>
          <w:tcPr>
            <w:tcW w:w="1883" w:type="dxa"/>
          </w:tcPr>
          <w:p w14:paraId="6E19453F"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t>7. Develop and implement PL listing reviews and PL compliance frameworks to safeguard the PL Reform</w:t>
            </w:r>
          </w:p>
        </w:tc>
        <w:tc>
          <w:tcPr>
            <w:tcW w:w="1867" w:type="dxa"/>
          </w:tcPr>
          <w:p w14:paraId="5A82848F" w14:textId="77777777" w:rsidR="0092799C" w:rsidRDefault="0092799C">
            <w:pPr>
              <w:pStyle w:val="TableNText"/>
              <w:keepNext w:val="0"/>
              <w:keepLines/>
            </w:pPr>
            <w:r>
              <w:t>No formal compliance strategy.</w:t>
            </w:r>
          </w:p>
          <w:p w14:paraId="5C2459C2" w14:textId="77777777" w:rsidR="0092799C" w:rsidRDefault="0092799C">
            <w:pPr>
              <w:pStyle w:val="TableNText"/>
              <w:keepNext w:val="0"/>
              <w:keepLines/>
            </w:pPr>
            <w:r>
              <w:t>No formal post-listing review framework.</w:t>
            </w:r>
          </w:p>
        </w:tc>
        <w:tc>
          <w:tcPr>
            <w:tcW w:w="1883" w:type="dxa"/>
          </w:tcPr>
          <w:p w14:paraId="79945252" w14:textId="77777777" w:rsidR="0092799C" w:rsidRDefault="0092799C">
            <w:pPr>
              <w:pStyle w:val="TableNText"/>
              <w:keepNext w:val="0"/>
              <w:keepLines/>
            </w:pPr>
            <w:r w:rsidRPr="00642C03">
              <w:t>Effective compliance crucial to safeguard the PL reform.</w:t>
            </w:r>
          </w:p>
          <w:p w14:paraId="4A2714BE" w14:textId="77777777" w:rsidR="0092799C" w:rsidRDefault="0092799C">
            <w:pPr>
              <w:pStyle w:val="TableNText"/>
              <w:keepNext w:val="0"/>
              <w:keepLines/>
            </w:pPr>
            <w:r w:rsidRPr="3787E91E">
              <w:t>Post-listing review mechanisms important to maintaining the integrity of the PL.</w:t>
            </w:r>
          </w:p>
        </w:tc>
        <w:tc>
          <w:tcPr>
            <w:tcW w:w="1869" w:type="dxa"/>
          </w:tcPr>
          <w:p w14:paraId="585387BA" w14:textId="77777777" w:rsidR="0092799C" w:rsidRDefault="0092799C">
            <w:pPr>
              <w:pStyle w:val="TableNText"/>
              <w:keepNext w:val="0"/>
              <w:keepLines/>
            </w:pPr>
            <w:r>
              <w:t>Development of formal compliance strategy and associated functions.</w:t>
            </w:r>
          </w:p>
          <w:p w14:paraId="178AC815" w14:textId="77777777" w:rsidR="0092799C" w:rsidRDefault="0092799C">
            <w:pPr>
              <w:pStyle w:val="TableNText"/>
              <w:keepNext w:val="0"/>
              <w:keepLines/>
            </w:pPr>
            <w:r>
              <w:t>Development of post-listing review framework and completion of pilots.</w:t>
            </w:r>
          </w:p>
        </w:tc>
        <w:tc>
          <w:tcPr>
            <w:tcW w:w="862" w:type="dxa"/>
          </w:tcPr>
          <w:p w14:paraId="422A9B7B" w14:textId="659DAAB1" w:rsidR="0092799C" w:rsidRPr="000C77D6" w:rsidRDefault="00650D4A" w:rsidP="00650D4A">
            <w:pPr>
              <w:pStyle w:val="TableNText"/>
              <w:keepNext w:val="0"/>
              <w:keepLines/>
              <w:jc w:val="center"/>
              <w:rPr>
                <w:highlight w:val="yellow"/>
              </w:rPr>
            </w:pPr>
            <w:r w:rsidRPr="00822D62">
              <w:rPr>
                <w:rFonts w:asciiTheme="majorHAnsi" w:hAnsiTheme="majorHAnsi" w:cstheme="majorHAnsi"/>
                <w:noProof/>
                <w:color w:val="25B3E0" w:themeColor="accent6"/>
                <w:lang w:val="en-US"/>
              </w:rPr>
              <w:drawing>
                <wp:inline distT="0" distB="0" distL="0" distR="0" wp14:anchorId="6CAA480D" wp14:editId="7A8D9956">
                  <wp:extent cx="288000" cy="288000"/>
                  <wp:effectExtent l="0" t="0" r="0" b="0"/>
                  <wp:docPr id="220054102"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54102"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9771" t="9359" r="9239" b="9130"/>
                          <a:stretch/>
                        </pic:blipFill>
                        <pic:spPr>
                          <a:xfrm>
                            <a:off x="0" y="0"/>
                            <a:ext cx="288000" cy="288000"/>
                          </a:xfrm>
                          <a:prstGeom prst="rect">
                            <a:avLst/>
                          </a:prstGeom>
                        </pic:spPr>
                      </pic:pic>
                    </a:graphicData>
                  </a:graphic>
                </wp:inline>
              </w:drawing>
            </w:r>
          </w:p>
        </w:tc>
        <w:tc>
          <w:tcPr>
            <w:tcW w:w="2185" w:type="dxa"/>
          </w:tcPr>
          <w:p w14:paraId="1DAB9CC2" w14:textId="72B6D32C" w:rsidR="00B9227B" w:rsidRDefault="00B9227B">
            <w:pPr>
              <w:pStyle w:val="TableNText"/>
              <w:keepNext w:val="0"/>
              <w:keepLines/>
            </w:pPr>
            <w:r w:rsidRPr="00194F0F">
              <w:rPr>
                <w:rFonts w:asciiTheme="majorHAnsi" w:hAnsiTheme="majorHAnsi" w:cstheme="majorHAnsi"/>
                <w:color w:val="F8981D" w:themeColor="accent3"/>
              </w:rPr>
              <w:t>Ongoing</w:t>
            </w:r>
            <w:r w:rsidRPr="00BE0B95">
              <w:t xml:space="preserve"> </w:t>
            </w:r>
            <w:r>
              <w:t xml:space="preserve">– </w:t>
            </w:r>
            <w:r w:rsidR="00F9253E">
              <w:t>A c</w:t>
            </w:r>
            <w:r w:rsidR="005F0FC7">
              <w:t xml:space="preserve">ompliance </w:t>
            </w:r>
            <w:r w:rsidR="00F9253E">
              <w:t xml:space="preserve">strategy and framework was developed, with planned legislative </w:t>
            </w:r>
            <w:r w:rsidR="001466C5">
              <w:t xml:space="preserve">changes to increase compliance powers. </w:t>
            </w:r>
          </w:p>
          <w:p w14:paraId="257B7397" w14:textId="4F5C6C72" w:rsidR="0092799C" w:rsidRDefault="003F25FC">
            <w:pPr>
              <w:pStyle w:val="TableNText"/>
              <w:keepNext w:val="0"/>
              <w:keepLines/>
            </w:pPr>
            <w:r>
              <w:t xml:space="preserve">A post listing review framework and </w:t>
            </w:r>
            <w:r w:rsidR="0032676E">
              <w:t>two of the four</w:t>
            </w:r>
            <w:r w:rsidR="00337A02" w:rsidRPr="00BE0B95">
              <w:t xml:space="preserve"> pilot-post listing reviews have been comp</w:t>
            </w:r>
            <w:r w:rsidR="00BE0B95">
              <w:t>l</w:t>
            </w:r>
            <w:r w:rsidR="00337A02" w:rsidRPr="00BE0B95">
              <w:t>eted</w:t>
            </w:r>
            <w:r w:rsidR="00BE0B95">
              <w:t xml:space="preserve">. </w:t>
            </w:r>
            <w:r w:rsidR="00337A02" w:rsidRPr="00BE0B95">
              <w:t xml:space="preserve"> </w:t>
            </w:r>
          </w:p>
        </w:tc>
        <w:tc>
          <w:tcPr>
            <w:tcW w:w="3342" w:type="dxa"/>
          </w:tcPr>
          <w:p w14:paraId="0C0E2094" w14:textId="7FE61E00" w:rsidR="0092799C" w:rsidRDefault="0092799C">
            <w:pPr>
              <w:pStyle w:val="TableNText"/>
              <w:keepNext w:val="0"/>
              <w:keepLines/>
            </w:pPr>
            <w:r>
              <w:t>Implementation of compliance measures has not progressed sufficiently to assess impact.</w:t>
            </w:r>
          </w:p>
          <w:p w14:paraId="15049480" w14:textId="247AD1B3" w:rsidR="0092799C" w:rsidRDefault="0092799C">
            <w:pPr>
              <w:pStyle w:val="TableNText"/>
              <w:keepNext w:val="0"/>
              <w:keepLines/>
            </w:pPr>
            <w:r>
              <w:t xml:space="preserve">Lessons learned from </w:t>
            </w:r>
            <w:r w:rsidR="003F25FC">
              <w:t xml:space="preserve">the </w:t>
            </w:r>
            <w:r>
              <w:t>pilot post</w:t>
            </w:r>
            <w:r w:rsidR="0032676E">
              <w:t>-l</w:t>
            </w:r>
            <w:r>
              <w:t xml:space="preserve">isting reviews </w:t>
            </w:r>
            <w:r w:rsidR="00604CAB">
              <w:t>are not yet available. The evaluation will consider how these findings can</w:t>
            </w:r>
            <w:r>
              <w:t xml:space="preserve"> </w:t>
            </w:r>
            <w:r w:rsidR="00604CAB">
              <w:t>contribute</w:t>
            </w:r>
            <w:r>
              <w:t xml:space="preserve"> to the ongoing </w:t>
            </w:r>
            <w:r w:rsidR="00604CAB">
              <w:t>reform once they are available.</w:t>
            </w:r>
            <w:r>
              <w:t xml:space="preserve">  </w:t>
            </w:r>
          </w:p>
        </w:tc>
      </w:tr>
      <w:tr w:rsidR="008D0F98" w14:paraId="67E3F038" w14:textId="77777777" w:rsidTr="75F13672">
        <w:trPr>
          <w:cnfStyle w:val="000000010000" w:firstRow="0" w:lastRow="0" w:firstColumn="0" w:lastColumn="0" w:oddVBand="0" w:evenVBand="0" w:oddHBand="0" w:evenHBand="1" w:firstRowFirstColumn="0" w:firstRowLastColumn="0" w:lastRowFirstColumn="0" w:lastRowLastColumn="0"/>
        </w:trPr>
        <w:tc>
          <w:tcPr>
            <w:tcW w:w="1883" w:type="dxa"/>
          </w:tcPr>
          <w:p w14:paraId="01BB1A75" w14:textId="77777777" w:rsidR="0092799C" w:rsidRPr="00DA3FE7" w:rsidRDefault="0092799C">
            <w:pPr>
              <w:pStyle w:val="TableNText"/>
              <w:keepNext w:val="0"/>
              <w:keepLines/>
              <w:rPr>
                <w:rFonts w:asciiTheme="majorHAnsi" w:hAnsiTheme="majorHAnsi" w:cstheme="majorHAnsi"/>
              </w:rPr>
            </w:pPr>
            <w:r w:rsidRPr="00DA3FE7">
              <w:rPr>
                <w:rFonts w:asciiTheme="majorHAnsi" w:hAnsiTheme="majorHAnsi" w:cstheme="majorHAnsi"/>
              </w:rPr>
              <w:t>8. Ensure ongoing financial sustainability of PL administration through effective and efficient cost recovery arrangements that are compliant with the Australian Government Charging Framework</w:t>
            </w:r>
          </w:p>
        </w:tc>
        <w:tc>
          <w:tcPr>
            <w:tcW w:w="1867" w:type="dxa"/>
          </w:tcPr>
          <w:p w14:paraId="01F2B613" w14:textId="77777777" w:rsidR="0092799C" w:rsidRDefault="0092799C">
            <w:pPr>
              <w:pStyle w:val="TableNText"/>
              <w:keepNext w:val="0"/>
              <w:keepLines/>
            </w:pPr>
            <w:r w:rsidRPr="004E6DD3">
              <w:t>Historically established cost recovery arrangements are non-sustainable and misaligned with Australian Government Charging Framework.</w:t>
            </w:r>
          </w:p>
        </w:tc>
        <w:tc>
          <w:tcPr>
            <w:tcW w:w="1883" w:type="dxa"/>
          </w:tcPr>
          <w:p w14:paraId="573FB9E4" w14:textId="77777777" w:rsidR="0092799C" w:rsidRDefault="0092799C">
            <w:pPr>
              <w:pStyle w:val="TableNText"/>
              <w:keepNext w:val="0"/>
              <w:keepLines/>
            </w:pPr>
            <w:r w:rsidRPr="004E6DD3">
              <w:t>PL administration should be cost-neutral to Government.</w:t>
            </w:r>
          </w:p>
        </w:tc>
        <w:tc>
          <w:tcPr>
            <w:tcW w:w="1869" w:type="dxa"/>
          </w:tcPr>
          <w:p w14:paraId="42CB3923" w14:textId="77777777" w:rsidR="0092799C" w:rsidRDefault="0092799C">
            <w:pPr>
              <w:pStyle w:val="TableNText"/>
              <w:keepNext w:val="0"/>
              <w:keepLines/>
            </w:pPr>
            <w:r w:rsidRPr="001D3EEE">
              <w:t>Cost recovery arrangements to be revised.</w:t>
            </w:r>
          </w:p>
        </w:tc>
        <w:tc>
          <w:tcPr>
            <w:tcW w:w="862" w:type="dxa"/>
          </w:tcPr>
          <w:p w14:paraId="095BD9B2" w14:textId="795AC040" w:rsidR="0092799C" w:rsidRPr="005B5175" w:rsidRDefault="00650D4A" w:rsidP="00650D4A">
            <w:pPr>
              <w:pStyle w:val="TableNText"/>
              <w:keepNext w:val="0"/>
              <w:keepLines/>
              <w:jc w:val="center"/>
              <w:rPr>
                <w:highlight w:val="yellow"/>
              </w:rPr>
            </w:pPr>
            <w:r w:rsidRPr="00822D62">
              <w:rPr>
                <w:rFonts w:asciiTheme="majorHAnsi" w:hAnsiTheme="majorHAnsi" w:cstheme="majorHAnsi"/>
                <w:noProof/>
                <w:color w:val="25B3E0" w:themeColor="accent6"/>
                <w:lang w:val="en-US"/>
              </w:rPr>
              <w:drawing>
                <wp:inline distT="0" distB="0" distL="0" distR="0" wp14:anchorId="298E579B" wp14:editId="2A5FB720">
                  <wp:extent cx="288000" cy="288000"/>
                  <wp:effectExtent l="0" t="0" r="0" b="0"/>
                  <wp:docPr id="1321969169" name="Graphic 3" descr="Horizontal dash outline">
                    <a:extLst xmlns:a="http://schemas.openxmlformats.org/drawingml/2006/main">
                      <a:ext uri="{FF2B5EF4-FFF2-40B4-BE49-F238E27FC236}">
                        <a16:creationId xmlns:a16="http://schemas.microsoft.com/office/drawing/2014/main" id="{A28BD95C-1769-1BB5-7161-8A40C912A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69169" name="Graphic 3" descr="Horizontal dash outline">
                            <a:extLst>
                              <a:ext uri="{FF2B5EF4-FFF2-40B4-BE49-F238E27FC236}">
                                <a16:creationId xmlns:a16="http://schemas.microsoft.com/office/drawing/2014/main" id="{A28BD95C-1769-1BB5-7161-8A40C912A6B8}"/>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9771" t="9359" r="9239" b="9130"/>
                          <a:stretch/>
                        </pic:blipFill>
                        <pic:spPr>
                          <a:xfrm>
                            <a:off x="0" y="0"/>
                            <a:ext cx="288000" cy="288000"/>
                          </a:xfrm>
                          <a:prstGeom prst="rect">
                            <a:avLst/>
                          </a:prstGeom>
                        </pic:spPr>
                      </pic:pic>
                    </a:graphicData>
                  </a:graphic>
                </wp:inline>
              </w:drawing>
            </w:r>
          </w:p>
        </w:tc>
        <w:tc>
          <w:tcPr>
            <w:tcW w:w="2185" w:type="dxa"/>
          </w:tcPr>
          <w:p w14:paraId="6C1282FF" w14:textId="77777777" w:rsidR="00B21B14" w:rsidRDefault="000443A4" w:rsidP="00B21B14">
            <w:pPr>
              <w:pStyle w:val="TableNText"/>
              <w:keepNext w:val="0"/>
              <w:keepLines/>
            </w:pPr>
            <w:r w:rsidRPr="00194F0F">
              <w:rPr>
                <w:rFonts w:asciiTheme="majorHAnsi" w:hAnsiTheme="majorHAnsi" w:cstheme="majorHAnsi"/>
                <w:color w:val="F8981D" w:themeColor="accent3"/>
              </w:rPr>
              <w:t>Ongoing</w:t>
            </w:r>
            <w:r w:rsidRPr="00BE0B95">
              <w:t xml:space="preserve"> </w:t>
            </w:r>
            <w:r>
              <w:t xml:space="preserve">– </w:t>
            </w:r>
            <w:r w:rsidR="00F9497B">
              <w:t>Revised</w:t>
            </w:r>
            <w:r w:rsidR="005C7F51">
              <w:t xml:space="preserve"> cost recovery arrangements have been designed</w:t>
            </w:r>
            <w:r w:rsidR="005E3063">
              <w:t xml:space="preserve"> and </w:t>
            </w:r>
            <w:r w:rsidR="00F95E7E">
              <w:t>mostly</w:t>
            </w:r>
            <w:r w:rsidR="005E3063">
              <w:t xml:space="preserve"> implemented.</w:t>
            </w:r>
          </w:p>
          <w:p w14:paraId="23BB3D4F" w14:textId="02967FD3" w:rsidR="00B21B14" w:rsidRDefault="00B21B14" w:rsidP="00B21B14">
            <w:pPr>
              <w:pStyle w:val="TableNText"/>
              <w:keepNext w:val="0"/>
              <w:keepLines/>
            </w:pPr>
            <w:r>
              <w:t>The remaining component to be implemented is the PL Levy.</w:t>
            </w:r>
          </w:p>
        </w:tc>
        <w:tc>
          <w:tcPr>
            <w:tcW w:w="3342" w:type="dxa"/>
          </w:tcPr>
          <w:p w14:paraId="612BC9A7" w14:textId="586D7F1E" w:rsidR="0092799C" w:rsidRPr="00627264" w:rsidRDefault="0092799C">
            <w:pPr>
              <w:pStyle w:val="TableNText"/>
              <w:keepNext w:val="0"/>
              <w:keepLines/>
            </w:pPr>
            <w:r w:rsidRPr="00627264">
              <w:t xml:space="preserve">The </w:t>
            </w:r>
            <w:r w:rsidR="00C0725E" w:rsidRPr="00627264">
              <w:t>Department</w:t>
            </w:r>
            <w:r w:rsidRPr="00627264">
              <w:t xml:space="preserve">’s </w:t>
            </w:r>
            <w:r w:rsidR="00F9497B" w:rsidRPr="00627264">
              <w:t>revised</w:t>
            </w:r>
            <w:r w:rsidRPr="00627264">
              <w:t xml:space="preserve"> cost recovery arrangements appear </w:t>
            </w:r>
            <w:r w:rsidR="0038753D" w:rsidRPr="00627264">
              <w:t xml:space="preserve">to be </w:t>
            </w:r>
            <w:r w:rsidRPr="00627264">
              <w:t>fit-for-purpose and</w:t>
            </w:r>
            <w:r w:rsidR="00627264">
              <w:t xml:space="preserve"> are</w:t>
            </w:r>
            <w:r w:rsidRPr="00627264">
              <w:t xml:space="preserve"> aligned with the modernised PL and the Australian Government Charging Framework.</w:t>
            </w:r>
          </w:p>
        </w:tc>
      </w:tr>
    </w:tbl>
    <w:p w14:paraId="417EC3BB" w14:textId="77777777" w:rsidR="00240B61" w:rsidRDefault="00240B61" w:rsidP="00240B61">
      <w:pPr>
        <w:rPr>
          <w:lang w:val="en-AU" w:eastAsia="en-AU"/>
        </w:rPr>
      </w:pPr>
    </w:p>
    <w:p w14:paraId="1D40E781" w14:textId="77777777" w:rsidR="00240B61" w:rsidRDefault="00240B61" w:rsidP="00240B61">
      <w:pPr>
        <w:rPr>
          <w:lang w:val="en-AU" w:eastAsia="en-AU"/>
        </w:rPr>
        <w:sectPr w:rsidR="00240B61" w:rsidSect="004D725C">
          <w:pgSz w:w="16839" w:h="11907" w:orient="landscape" w:code="9"/>
          <w:pgMar w:top="1418" w:right="1418" w:bottom="1418" w:left="1418" w:header="720" w:footer="720" w:gutter="0"/>
          <w:cols w:space="720"/>
          <w:docGrid w:linePitch="360"/>
        </w:sectPr>
      </w:pPr>
    </w:p>
    <w:p w14:paraId="441EBE66" w14:textId="0201A056" w:rsidR="0031385F" w:rsidRDefault="004B4DCF" w:rsidP="0031385F">
      <w:pPr>
        <w:pStyle w:val="Heading2"/>
      </w:pPr>
      <w:bookmarkStart w:id="11" w:name="_Toc181405070"/>
      <w:r>
        <w:lastRenderedPageBreak/>
        <w:t>S</w:t>
      </w:r>
      <w:r w:rsidR="0031385F">
        <w:t xml:space="preserve">takeholder </w:t>
      </w:r>
      <w:r w:rsidR="283FF497">
        <w:t>engagement</w:t>
      </w:r>
      <w:bookmarkEnd w:id="11"/>
    </w:p>
    <w:p w14:paraId="16F53B47" w14:textId="4F096E30" w:rsidR="66E5E745" w:rsidRPr="000E4068" w:rsidRDefault="005B20C9" w:rsidP="000E4068">
      <w:pPr>
        <w:rPr>
          <w:rStyle w:val="Strong"/>
        </w:rPr>
      </w:pPr>
      <w:r w:rsidRPr="000E4068">
        <w:rPr>
          <w:rStyle w:val="Strong"/>
        </w:rPr>
        <w:t>The Department has</w:t>
      </w:r>
      <w:r w:rsidR="78A795DE" w:rsidRPr="000E4068">
        <w:rPr>
          <w:rStyle w:val="Strong"/>
        </w:rPr>
        <w:t xml:space="preserve"> implemented </w:t>
      </w:r>
      <w:r w:rsidRPr="000E4068">
        <w:rPr>
          <w:rStyle w:val="Strong"/>
        </w:rPr>
        <w:t>the r</w:t>
      </w:r>
      <w:r w:rsidR="78A795DE" w:rsidRPr="000E4068">
        <w:rPr>
          <w:rStyle w:val="Strong"/>
        </w:rPr>
        <w:t xml:space="preserve">eforms with </w:t>
      </w:r>
      <w:r w:rsidRPr="000E4068">
        <w:rPr>
          <w:rStyle w:val="Strong"/>
        </w:rPr>
        <w:t xml:space="preserve">a </w:t>
      </w:r>
      <w:r w:rsidR="78A795DE" w:rsidRPr="000E4068">
        <w:rPr>
          <w:rStyle w:val="Strong"/>
        </w:rPr>
        <w:t>high level of stakeholder input and engagement</w:t>
      </w:r>
    </w:p>
    <w:p w14:paraId="69E0F128" w14:textId="77777777" w:rsidR="002F00A0" w:rsidRDefault="002F00A0" w:rsidP="57C6B8F1">
      <w:pPr>
        <w:spacing w:after="160" w:line="259" w:lineRule="auto"/>
        <w:rPr>
          <w:lang w:val="en-AU" w:eastAsia="en-AU"/>
        </w:rPr>
      </w:pPr>
      <w:r w:rsidRPr="002F00A0">
        <w:rPr>
          <w:lang w:val="en-AU" w:eastAsia="en-AU"/>
        </w:rPr>
        <w:t>Stakeholder engagement is vital to any reform program, especially when competing perspectives and financial imperatives are at stake. This is particularly true for the PL reforms, where each decision has varying impacts on industry groups, as well as potential consequences for clinicians and consumers. In some instances, reform actions have clear financial winners and losers. This interim report addresses these issues and emphasises the importance of process, transparency, and the pace of the reform program.</w:t>
      </w:r>
    </w:p>
    <w:p w14:paraId="71CB6598" w14:textId="26328F9F" w:rsidR="003A3D8F" w:rsidRDefault="003A3D8F" w:rsidP="57C6B8F1">
      <w:pPr>
        <w:spacing w:after="160" w:line="259" w:lineRule="auto"/>
        <w:rPr>
          <w:lang w:val="en-AU" w:eastAsia="en-AU"/>
        </w:rPr>
      </w:pPr>
      <w:r w:rsidRPr="003A3D8F">
        <w:rPr>
          <w:lang w:val="en-AU" w:eastAsia="en-AU"/>
        </w:rPr>
        <w:t xml:space="preserve">While the </w:t>
      </w:r>
      <w:r>
        <w:rPr>
          <w:lang w:val="en-AU" w:eastAsia="en-AU"/>
        </w:rPr>
        <w:t>PL</w:t>
      </w:r>
      <w:r w:rsidRPr="003A3D8F">
        <w:rPr>
          <w:lang w:val="en-AU" w:eastAsia="en-AU"/>
        </w:rPr>
        <w:t xml:space="preserve"> serves as part of the financing mechanism for private sector healthcare delivery, decisions made in this context can significantly influence behaviour</w:t>
      </w:r>
      <w:r w:rsidR="002B7470">
        <w:rPr>
          <w:lang w:val="en-AU" w:eastAsia="en-AU"/>
        </w:rPr>
        <w:t xml:space="preserve"> </w:t>
      </w:r>
      <w:r w:rsidRPr="003A3D8F">
        <w:rPr>
          <w:lang w:val="en-AU" w:eastAsia="en-AU"/>
        </w:rPr>
        <w:t xml:space="preserve">across the sector. </w:t>
      </w:r>
      <w:r w:rsidR="007C30C4">
        <w:rPr>
          <w:lang w:val="en-AU" w:eastAsia="en-AU"/>
        </w:rPr>
        <w:t>Changes to the PL</w:t>
      </w:r>
      <w:r w:rsidRPr="003A3D8F">
        <w:rPr>
          <w:lang w:val="en-AU" w:eastAsia="en-AU"/>
        </w:rPr>
        <w:t xml:space="preserve"> can affect the availability and cost of certain types of surgery, ultimately impacting the costs consumers bear through </w:t>
      </w:r>
      <w:r w:rsidR="007C30C4">
        <w:rPr>
          <w:lang w:val="en-AU" w:eastAsia="en-AU"/>
        </w:rPr>
        <w:t>PHI</w:t>
      </w:r>
      <w:r w:rsidRPr="003A3D8F">
        <w:rPr>
          <w:lang w:val="en-AU" w:eastAsia="en-AU"/>
        </w:rPr>
        <w:t xml:space="preserve"> products </w:t>
      </w:r>
      <w:r w:rsidR="005C491F">
        <w:rPr>
          <w:lang w:val="en-AU" w:eastAsia="en-AU"/>
        </w:rPr>
        <w:t>and other channels</w:t>
      </w:r>
      <w:r w:rsidRPr="003A3D8F">
        <w:rPr>
          <w:lang w:val="en-AU" w:eastAsia="en-AU"/>
        </w:rPr>
        <w:t>. Therefore, it is critically important to have an active consumer voice in the policy design, implementation, and assessment of impacts to maintain this perspective.</w:t>
      </w:r>
    </w:p>
    <w:p w14:paraId="3E24CCDA" w14:textId="03632406" w:rsidR="2F30A1E3" w:rsidRDefault="58117A2A" w:rsidP="57C6B8F1">
      <w:pPr>
        <w:spacing w:after="160" w:line="259" w:lineRule="auto"/>
        <w:rPr>
          <w:lang w:val="en-AU" w:eastAsia="en-AU"/>
        </w:rPr>
      </w:pPr>
      <w:r w:rsidRPr="57C6B8F1">
        <w:rPr>
          <w:lang w:val="en-AU" w:eastAsia="en-AU"/>
        </w:rPr>
        <w:t xml:space="preserve">This reform program has been </w:t>
      </w:r>
      <w:r w:rsidR="00F92673" w:rsidRPr="00F92673">
        <w:rPr>
          <w:lang w:val="en-AU" w:eastAsia="en-AU"/>
        </w:rPr>
        <w:t>advanced</w:t>
      </w:r>
      <w:r w:rsidR="51F6BAC3" w:rsidRPr="57C6B8F1">
        <w:rPr>
          <w:lang w:val="en-AU" w:eastAsia="en-AU"/>
        </w:rPr>
        <w:t xml:space="preserve"> </w:t>
      </w:r>
      <w:r w:rsidR="002B3A34">
        <w:rPr>
          <w:lang w:val="en-AU" w:eastAsia="en-AU"/>
        </w:rPr>
        <w:t>by the Department</w:t>
      </w:r>
      <w:r w:rsidR="51F6BAC3" w:rsidRPr="57C6B8F1">
        <w:rPr>
          <w:lang w:val="en-AU" w:eastAsia="en-AU"/>
        </w:rPr>
        <w:t xml:space="preserve"> in a transparent </w:t>
      </w:r>
      <w:r w:rsidR="00F92673" w:rsidRPr="00F92673">
        <w:rPr>
          <w:lang w:val="en-AU" w:eastAsia="en-AU"/>
        </w:rPr>
        <w:t>manner, allowing</w:t>
      </w:r>
      <w:r w:rsidR="51F6BAC3" w:rsidRPr="57C6B8F1">
        <w:rPr>
          <w:lang w:val="en-AU" w:eastAsia="en-AU"/>
        </w:rPr>
        <w:t xml:space="preserve"> engagement </w:t>
      </w:r>
      <w:r w:rsidR="00F92673" w:rsidRPr="00F92673">
        <w:rPr>
          <w:lang w:val="en-AU" w:eastAsia="en-AU"/>
        </w:rPr>
        <w:t>from</w:t>
      </w:r>
      <w:r w:rsidR="51F6BAC3" w:rsidRPr="57C6B8F1">
        <w:rPr>
          <w:lang w:val="en-AU" w:eastAsia="en-AU"/>
        </w:rPr>
        <w:t xml:space="preserve"> all stakeholders. </w:t>
      </w:r>
      <w:r w:rsidR="00F92673" w:rsidRPr="00F92673">
        <w:rPr>
          <w:lang w:val="en-AU" w:eastAsia="en-AU"/>
        </w:rPr>
        <w:t xml:space="preserve">Feedback from stakeholders </w:t>
      </w:r>
      <w:r w:rsidR="00347001">
        <w:rPr>
          <w:lang w:val="en-AU" w:eastAsia="en-AU"/>
        </w:rPr>
        <w:t>through</w:t>
      </w:r>
      <w:r w:rsidR="00347001" w:rsidRPr="00F92673">
        <w:rPr>
          <w:lang w:val="en-AU" w:eastAsia="en-AU"/>
        </w:rPr>
        <w:t xml:space="preserve"> </w:t>
      </w:r>
      <w:r w:rsidR="602EF643" w:rsidRPr="57C6B8F1">
        <w:rPr>
          <w:lang w:val="en-AU" w:eastAsia="en-AU"/>
        </w:rPr>
        <w:t xml:space="preserve">the </w:t>
      </w:r>
      <w:r w:rsidR="00347001">
        <w:rPr>
          <w:lang w:val="en-AU" w:eastAsia="en-AU"/>
        </w:rPr>
        <w:t>evaluation</w:t>
      </w:r>
      <w:r w:rsidR="00347001" w:rsidRPr="57C6B8F1">
        <w:rPr>
          <w:lang w:val="en-AU" w:eastAsia="en-AU"/>
        </w:rPr>
        <w:t xml:space="preserve"> </w:t>
      </w:r>
      <w:r w:rsidR="00F92673" w:rsidRPr="00F92673">
        <w:rPr>
          <w:lang w:val="en-AU" w:eastAsia="en-AU"/>
        </w:rPr>
        <w:t>indicates strong</w:t>
      </w:r>
      <w:r w:rsidR="66DF9306" w:rsidRPr="57C6B8F1">
        <w:rPr>
          <w:lang w:val="en-AU" w:eastAsia="en-AU"/>
        </w:rPr>
        <w:t xml:space="preserve"> </w:t>
      </w:r>
      <w:r w:rsidR="602EF643" w:rsidRPr="57C6B8F1">
        <w:rPr>
          <w:lang w:val="en-AU" w:eastAsia="en-AU"/>
        </w:rPr>
        <w:t xml:space="preserve">support for </w:t>
      </w:r>
      <w:r w:rsidR="00F1397A">
        <w:rPr>
          <w:lang w:val="en-AU" w:eastAsia="en-AU"/>
        </w:rPr>
        <w:t xml:space="preserve">the </w:t>
      </w:r>
      <w:r w:rsidR="007303FE">
        <w:rPr>
          <w:lang w:val="en-AU" w:eastAsia="en-AU"/>
        </w:rPr>
        <w:t>reforms’</w:t>
      </w:r>
      <w:r w:rsidR="00F1397A">
        <w:rPr>
          <w:lang w:val="en-AU" w:eastAsia="en-AU"/>
        </w:rPr>
        <w:t xml:space="preserve"> </w:t>
      </w:r>
      <w:r w:rsidR="00F92673" w:rsidRPr="00F92673">
        <w:rPr>
          <w:lang w:val="en-AU" w:eastAsia="en-AU"/>
        </w:rPr>
        <w:t xml:space="preserve">approach to </w:t>
      </w:r>
      <w:r w:rsidR="602EF643" w:rsidRPr="57C6B8F1">
        <w:rPr>
          <w:lang w:val="en-AU" w:eastAsia="en-AU"/>
        </w:rPr>
        <w:t xml:space="preserve">consultation and engagement </w:t>
      </w:r>
      <w:r w:rsidR="0001DECF" w:rsidRPr="668F87A7">
        <w:rPr>
          <w:lang w:val="en-AU" w:eastAsia="en-AU"/>
        </w:rPr>
        <w:t xml:space="preserve">in </w:t>
      </w:r>
      <w:r w:rsidR="00F92673" w:rsidRPr="00F92673">
        <w:rPr>
          <w:lang w:val="en-AU" w:eastAsia="en-AU"/>
        </w:rPr>
        <w:t>most</w:t>
      </w:r>
      <w:r w:rsidR="0001DECF" w:rsidRPr="668F87A7">
        <w:rPr>
          <w:lang w:val="en-AU" w:eastAsia="en-AU"/>
        </w:rPr>
        <w:t xml:space="preserve"> cases</w:t>
      </w:r>
      <w:r w:rsidR="602EF643" w:rsidRPr="668F87A7">
        <w:rPr>
          <w:lang w:val="en-AU" w:eastAsia="en-AU"/>
        </w:rPr>
        <w:t>.</w:t>
      </w:r>
      <w:r w:rsidR="602EF643" w:rsidRPr="57C6B8F1">
        <w:rPr>
          <w:lang w:val="en-AU" w:eastAsia="en-AU"/>
        </w:rPr>
        <w:t xml:space="preserve"> </w:t>
      </w:r>
      <w:r w:rsidR="00677E4E">
        <w:rPr>
          <w:lang w:val="en-AU" w:eastAsia="en-AU"/>
        </w:rPr>
        <w:t xml:space="preserve">While </w:t>
      </w:r>
      <w:r w:rsidR="00F92673" w:rsidRPr="00F92673">
        <w:rPr>
          <w:lang w:val="en-AU" w:eastAsia="en-AU"/>
        </w:rPr>
        <w:t xml:space="preserve">some </w:t>
      </w:r>
      <w:r w:rsidR="00677E4E">
        <w:rPr>
          <w:lang w:val="en-AU" w:eastAsia="en-AU"/>
        </w:rPr>
        <w:t xml:space="preserve">stakeholders </w:t>
      </w:r>
      <w:r w:rsidR="00F92673" w:rsidRPr="00F92673">
        <w:rPr>
          <w:lang w:val="en-AU" w:eastAsia="en-AU"/>
        </w:rPr>
        <w:t>noted instances</w:t>
      </w:r>
      <w:r w:rsidR="1C75FA17" w:rsidRPr="57C6B8F1">
        <w:rPr>
          <w:lang w:val="en-AU" w:eastAsia="en-AU"/>
        </w:rPr>
        <w:t xml:space="preserve"> where </w:t>
      </w:r>
      <w:r w:rsidR="00F92673" w:rsidRPr="00F92673">
        <w:rPr>
          <w:lang w:val="en-AU" w:eastAsia="en-AU"/>
        </w:rPr>
        <w:t>timelines</w:t>
      </w:r>
      <w:r w:rsidR="00E52574">
        <w:rPr>
          <w:lang w:val="en-AU" w:eastAsia="en-AU"/>
        </w:rPr>
        <w:t xml:space="preserve"> for input</w:t>
      </w:r>
      <w:r w:rsidR="1C75FA17" w:rsidRPr="57C6B8F1">
        <w:rPr>
          <w:lang w:val="en-AU" w:eastAsia="en-AU"/>
        </w:rPr>
        <w:t xml:space="preserve"> were </w:t>
      </w:r>
      <w:r w:rsidR="00F92673" w:rsidRPr="00F92673">
        <w:rPr>
          <w:lang w:val="en-AU" w:eastAsia="en-AU"/>
        </w:rPr>
        <w:t>shortened</w:t>
      </w:r>
      <w:r w:rsidR="1C75FA17" w:rsidRPr="57C6B8F1">
        <w:rPr>
          <w:lang w:val="en-AU" w:eastAsia="en-AU"/>
        </w:rPr>
        <w:t xml:space="preserve"> </w:t>
      </w:r>
      <w:r w:rsidR="2A63BA3C" w:rsidRPr="57C6B8F1">
        <w:rPr>
          <w:lang w:val="en-AU" w:eastAsia="en-AU"/>
        </w:rPr>
        <w:t xml:space="preserve">or engagement </w:t>
      </w:r>
      <w:r w:rsidR="00F92673" w:rsidRPr="00F92673">
        <w:rPr>
          <w:lang w:val="en-AU" w:eastAsia="en-AU"/>
        </w:rPr>
        <w:t xml:space="preserve">opportunities </w:t>
      </w:r>
      <w:r w:rsidR="2A63BA3C" w:rsidRPr="57C6B8F1">
        <w:rPr>
          <w:lang w:val="en-AU" w:eastAsia="en-AU"/>
        </w:rPr>
        <w:t>limited</w:t>
      </w:r>
      <w:r w:rsidR="4C26BD05" w:rsidRPr="57C6B8F1">
        <w:rPr>
          <w:lang w:val="en-AU" w:eastAsia="en-AU"/>
        </w:rPr>
        <w:t xml:space="preserve">, </w:t>
      </w:r>
      <w:r w:rsidR="00F92673" w:rsidRPr="00F92673">
        <w:rPr>
          <w:lang w:val="en-AU" w:eastAsia="en-AU"/>
        </w:rPr>
        <w:t>overall, the substantial effort</w:t>
      </w:r>
      <w:r w:rsidR="00F1397A">
        <w:rPr>
          <w:lang w:val="en-AU" w:eastAsia="en-AU"/>
        </w:rPr>
        <w:t xml:space="preserve"> the Department has</w:t>
      </w:r>
      <w:r w:rsidR="00F92673" w:rsidRPr="00F92673">
        <w:rPr>
          <w:lang w:val="en-AU" w:eastAsia="en-AU"/>
        </w:rPr>
        <w:t xml:space="preserve"> invested</w:t>
      </w:r>
      <w:r w:rsidR="4C26BD05" w:rsidRPr="57C6B8F1">
        <w:rPr>
          <w:lang w:val="en-AU" w:eastAsia="en-AU"/>
        </w:rPr>
        <w:t xml:space="preserve"> in consultation and engagement has been </w:t>
      </w:r>
      <w:r w:rsidR="00F92673" w:rsidRPr="00F92673">
        <w:rPr>
          <w:lang w:val="en-AU" w:eastAsia="en-AU"/>
        </w:rPr>
        <w:t>acknowledged and appreciated.</w:t>
      </w:r>
      <w:r w:rsidR="00677E4E">
        <w:rPr>
          <w:rStyle w:val="FootnoteReference"/>
          <w:lang w:val="en-AU" w:eastAsia="en-AU"/>
        </w:rPr>
        <w:footnoteReference w:id="7"/>
      </w:r>
    </w:p>
    <w:p w14:paraId="51F249F5" w14:textId="7DBABD39" w:rsidR="2F30A1E3" w:rsidRDefault="51F6BAC3" w:rsidP="2F30A1E3">
      <w:pPr>
        <w:spacing w:after="160" w:line="259" w:lineRule="auto"/>
        <w:rPr>
          <w:lang w:val="en-AU" w:eastAsia="en-AU"/>
        </w:rPr>
      </w:pPr>
      <w:r w:rsidRPr="57C6B8F1">
        <w:rPr>
          <w:lang w:val="en-AU" w:eastAsia="en-AU"/>
        </w:rPr>
        <w:t>Th</w:t>
      </w:r>
      <w:r w:rsidR="6F298E82" w:rsidRPr="57C6B8F1">
        <w:rPr>
          <w:lang w:val="en-AU" w:eastAsia="en-AU"/>
        </w:rPr>
        <w:t xml:space="preserve">e </w:t>
      </w:r>
      <w:r w:rsidR="00C0725E">
        <w:rPr>
          <w:lang w:val="en-AU" w:eastAsia="en-AU"/>
        </w:rPr>
        <w:t>Department</w:t>
      </w:r>
      <w:r w:rsidR="6F298E82" w:rsidRPr="57C6B8F1">
        <w:rPr>
          <w:lang w:val="en-AU" w:eastAsia="en-AU"/>
        </w:rPr>
        <w:t xml:space="preserve"> has </w:t>
      </w:r>
      <w:r w:rsidR="00630F78">
        <w:rPr>
          <w:lang w:val="en-AU" w:eastAsia="en-AU"/>
        </w:rPr>
        <w:t>utilised</w:t>
      </w:r>
      <w:r w:rsidR="6F298E82" w:rsidRPr="57C6B8F1">
        <w:rPr>
          <w:lang w:val="en-AU" w:eastAsia="en-AU"/>
        </w:rPr>
        <w:t xml:space="preserve"> a range of consultation and engagement tools </w:t>
      </w:r>
      <w:r w:rsidR="00630F78">
        <w:rPr>
          <w:lang w:val="en-AU" w:eastAsia="en-AU"/>
        </w:rPr>
        <w:t xml:space="preserve">throughout the reform program </w:t>
      </w:r>
      <w:r w:rsidR="6F298E82" w:rsidRPr="57C6B8F1">
        <w:rPr>
          <w:lang w:val="en-AU" w:eastAsia="en-AU"/>
        </w:rPr>
        <w:t>including:</w:t>
      </w:r>
    </w:p>
    <w:p w14:paraId="0CDFAC37" w14:textId="4C078323" w:rsidR="7C359725" w:rsidRDefault="0000641E" w:rsidP="000E13DF">
      <w:pPr>
        <w:pStyle w:val="Bullet"/>
      </w:pPr>
      <w:r>
        <w:t>d</w:t>
      </w:r>
      <w:r w:rsidR="51F6BAC3">
        <w:t xml:space="preserve">iscussion papers </w:t>
      </w:r>
    </w:p>
    <w:p w14:paraId="61523F77" w14:textId="0002132E" w:rsidR="51F6BAC3" w:rsidRDefault="0000641E" w:rsidP="000E13DF">
      <w:pPr>
        <w:pStyle w:val="Bullet"/>
      </w:pPr>
      <w:r>
        <w:t>r</w:t>
      </w:r>
      <w:r w:rsidR="51F6BAC3" w:rsidRPr="3DFDFFE4">
        <w:t xml:space="preserve">egular forums and direct </w:t>
      </w:r>
      <w:r w:rsidR="51F6BAC3" w:rsidRPr="715EE4A2">
        <w:t xml:space="preserve">stakeholder </w:t>
      </w:r>
      <w:r w:rsidR="51F6BAC3" w:rsidRPr="78CA0875">
        <w:t>engagements</w:t>
      </w:r>
    </w:p>
    <w:p w14:paraId="5D961FE4" w14:textId="102AE8F6" w:rsidR="51F6BAC3" w:rsidRDefault="0000641E" w:rsidP="000E13DF">
      <w:pPr>
        <w:pStyle w:val="Bullet"/>
      </w:pPr>
      <w:r>
        <w:t>w</w:t>
      </w:r>
      <w:r w:rsidR="51F6BAC3" w:rsidRPr="78CA0875">
        <w:t xml:space="preserve">ebinars </w:t>
      </w:r>
      <w:r w:rsidR="51F6BAC3" w:rsidRPr="20266C4F">
        <w:t xml:space="preserve">on key topics </w:t>
      </w:r>
    </w:p>
    <w:p w14:paraId="6B30792F" w14:textId="6CB9A428" w:rsidR="20266C4F" w:rsidRDefault="51F6BAC3" w:rsidP="000E13DF">
      <w:pPr>
        <w:pStyle w:val="Bullet"/>
      </w:pPr>
      <w:r w:rsidRPr="7A8A842B">
        <w:t xml:space="preserve">PHI circulars </w:t>
      </w:r>
    </w:p>
    <w:p w14:paraId="76E97917" w14:textId="0079E6E2" w:rsidR="51F6BAC3" w:rsidRDefault="0000641E" w:rsidP="000E13DF">
      <w:pPr>
        <w:pStyle w:val="Bullet"/>
      </w:pPr>
      <w:r>
        <w:t>c</w:t>
      </w:r>
      <w:r w:rsidR="51F6BAC3" w:rsidRPr="4DC86F24">
        <w:t>linical advisory</w:t>
      </w:r>
      <w:r w:rsidR="00523520">
        <w:t xml:space="preserve"> and reference</w:t>
      </w:r>
      <w:r w:rsidR="51F6BAC3" w:rsidRPr="4DC86F24">
        <w:t xml:space="preserve"> groups</w:t>
      </w:r>
      <w:r>
        <w:t>.</w:t>
      </w:r>
    </w:p>
    <w:p w14:paraId="070E10F1" w14:textId="59066C4C" w:rsidR="0031385F" w:rsidRDefault="00165CC3" w:rsidP="000E4068">
      <w:pPr>
        <w:spacing w:after="160" w:line="259" w:lineRule="auto"/>
        <w:rPr>
          <w:lang w:val="en-AU" w:eastAsia="en-AU"/>
        </w:rPr>
      </w:pPr>
      <w:r w:rsidRPr="00165CC3">
        <w:rPr>
          <w:lang w:val="en-AU" w:eastAsia="en-AU"/>
        </w:rPr>
        <w:t>Extensive</w:t>
      </w:r>
      <w:r w:rsidR="51F6BAC3" w:rsidRPr="136EAC4E">
        <w:rPr>
          <w:lang w:val="en-AU" w:eastAsia="en-AU"/>
        </w:rPr>
        <w:t xml:space="preserve"> stakeholder engagement </w:t>
      </w:r>
      <w:r w:rsidRPr="00165CC3">
        <w:rPr>
          <w:lang w:val="en-AU" w:eastAsia="en-AU"/>
        </w:rPr>
        <w:t>requires significant resources</w:t>
      </w:r>
      <w:r w:rsidR="51F6BAC3" w:rsidRPr="136EAC4E">
        <w:rPr>
          <w:lang w:val="en-AU" w:eastAsia="en-AU"/>
        </w:rPr>
        <w:t xml:space="preserve"> but </w:t>
      </w:r>
      <w:r w:rsidRPr="00165CC3">
        <w:rPr>
          <w:lang w:val="en-AU" w:eastAsia="en-AU"/>
        </w:rPr>
        <w:t>aligns</w:t>
      </w:r>
      <w:r w:rsidR="51F6BAC3" w:rsidRPr="136EAC4E">
        <w:rPr>
          <w:lang w:val="en-AU" w:eastAsia="en-AU"/>
        </w:rPr>
        <w:t xml:space="preserve"> with principles of good </w:t>
      </w:r>
      <w:r w:rsidRPr="00165CC3">
        <w:rPr>
          <w:lang w:val="en-AU" w:eastAsia="en-AU"/>
        </w:rPr>
        <w:t>governance and transparent</w:t>
      </w:r>
      <w:r w:rsidR="51F6BAC3" w:rsidRPr="136EAC4E">
        <w:rPr>
          <w:lang w:val="en-AU" w:eastAsia="en-AU"/>
        </w:rPr>
        <w:t xml:space="preserve"> decision</w:t>
      </w:r>
      <w:r w:rsidRPr="00165CC3">
        <w:rPr>
          <w:lang w:val="en-AU" w:eastAsia="en-AU"/>
        </w:rPr>
        <w:t>-</w:t>
      </w:r>
      <w:r w:rsidR="51F6BAC3" w:rsidRPr="136EAC4E">
        <w:rPr>
          <w:lang w:val="en-AU" w:eastAsia="en-AU"/>
        </w:rPr>
        <w:t xml:space="preserve">making. </w:t>
      </w:r>
      <w:r w:rsidR="000622DF">
        <w:rPr>
          <w:lang w:val="en-AU" w:eastAsia="en-AU"/>
        </w:rPr>
        <w:t>As the reform</w:t>
      </w:r>
      <w:r w:rsidR="000E11E5">
        <w:rPr>
          <w:lang w:val="en-AU" w:eastAsia="en-AU"/>
        </w:rPr>
        <w:t>s</w:t>
      </w:r>
      <w:r w:rsidR="000622DF">
        <w:rPr>
          <w:lang w:val="en-AU" w:eastAsia="en-AU"/>
        </w:rPr>
        <w:t xml:space="preserve"> progres</w:t>
      </w:r>
      <w:r w:rsidR="000E11E5">
        <w:rPr>
          <w:lang w:val="en-AU" w:eastAsia="en-AU"/>
        </w:rPr>
        <w:t>s</w:t>
      </w:r>
      <w:r w:rsidR="000622DF">
        <w:rPr>
          <w:lang w:val="en-AU" w:eastAsia="en-AU"/>
        </w:rPr>
        <w:t xml:space="preserve">, the Department will need to carefully target its engagement efforts according to its </w:t>
      </w:r>
      <w:r w:rsidR="000E11E5">
        <w:rPr>
          <w:lang w:val="en-AU" w:eastAsia="en-AU"/>
        </w:rPr>
        <w:t xml:space="preserve">remaining </w:t>
      </w:r>
      <w:r w:rsidR="000622DF">
        <w:rPr>
          <w:lang w:val="en-AU" w:eastAsia="en-AU"/>
        </w:rPr>
        <w:t xml:space="preserve">implementation </w:t>
      </w:r>
      <w:r w:rsidR="000E11E5">
        <w:rPr>
          <w:lang w:val="en-AU" w:eastAsia="en-AU"/>
        </w:rPr>
        <w:t>priorit</w:t>
      </w:r>
      <w:r w:rsidR="0042211B">
        <w:rPr>
          <w:lang w:val="en-AU" w:eastAsia="en-AU"/>
        </w:rPr>
        <w:t>ies.</w:t>
      </w:r>
    </w:p>
    <w:p w14:paraId="38218B9D" w14:textId="341B7937" w:rsidR="003128B1" w:rsidRDefault="003128B1">
      <w:pPr>
        <w:spacing w:after="160" w:line="259" w:lineRule="auto"/>
        <w:rPr>
          <w:lang w:val="en-AU" w:eastAsia="en-AU"/>
        </w:rPr>
      </w:pPr>
      <w:r>
        <w:rPr>
          <w:lang w:val="en-AU" w:eastAsia="en-AU"/>
        </w:rPr>
        <w:br w:type="page"/>
      </w:r>
    </w:p>
    <w:p w14:paraId="4A1F42B0" w14:textId="4F91DDE6" w:rsidR="00A7598A" w:rsidRDefault="003128B1" w:rsidP="00A7598A">
      <w:pPr>
        <w:pStyle w:val="Heading2"/>
      </w:pPr>
      <w:bookmarkStart w:id="12" w:name="_Ref172292503"/>
      <w:bookmarkStart w:id="13" w:name="_Toc181405071"/>
      <w:r>
        <w:lastRenderedPageBreak/>
        <w:t xml:space="preserve">Objective 1: </w:t>
      </w:r>
      <w:bookmarkStart w:id="14" w:name="_Ref159095636"/>
      <w:bookmarkStart w:id="15" w:name="_Ref160185071"/>
      <w:bookmarkStart w:id="16" w:name="_Toc164439315"/>
      <w:r w:rsidR="00A7598A">
        <w:t>Improve the alignment of the scheduled benefits of the PL with the prices paid in more competitive markets</w:t>
      </w:r>
      <w:bookmarkEnd w:id="12"/>
      <w:bookmarkEnd w:id="13"/>
      <w:bookmarkEnd w:id="14"/>
      <w:bookmarkEnd w:id="15"/>
      <w:bookmarkEnd w:id="16"/>
    </w:p>
    <w:p w14:paraId="78CB9B7D" w14:textId="550B07C6" w:rsidR="00F54866" w:rsidRPr="001E4460" w:rsidRDefault="00F54866" w:rsidP="00E506B8">
      <w:pPr>
        <w:rPr>
          <w:i/>
        </w:rPr>
      </w:pPr>
      <w:r w:rsidRPr="001E4460">
        <w:rPr>
          <w:i/>
        </w:rPr>
        <w:t xml:space="preserve">This </w:t>
      </w:r>
      <w:r w:rsidR="005C6B81" w:rsidRPr="001E4460">
        <w:rPr>
          <w:i/>
        </w:rPr>
        <w:t xml:space="preserve">section considers the </w:t>
      </w:r>
      <w:r w:rsidR="00733D3A" w:rsidRPr="001E4460">
        <w:rPr>
          <w:i/>
        </w:rPr>
        <w:t xml:space="preserve">PL reforms’ </w:t>
      </w:r>
      <w:r w:rsidR="00445402" w:rsidRPr="001E4460">
        <w:rPr>
          <w:i/>
        </w:rPr>
        <w:t xml:space="preserve">reduction </w:t>
      </w:r>
      <w:r w:rsidR="00A44467" w:rsidRPr="001E4460">
        <w:rPr>
          <w:i/>
        </w:rPr>
        <w:t>of</w:t>
      </w:r>
      <w:r w:rsidR="00445402" w:rsidRPr="001E4460">
        <w:rPr>
          <w:i/>
        </w:rPr>
        <w:t xml:space="preserve"> benefits and the resulting change in the size of the gap between PL benefits and prices paid in more </w:t>
      </w:r>
      <w:r w:rsidR="007C21B5">
        <w:rPr>
          <w:i/>
          <w:iCs/>
        </w:rPr>
        <w:t>competitive markets</w:t>
      </w:r>
      <w:r w:rsidR="00445402" w:rsidRPr="001E4460">
        <w:rPr>
          <w:i/>
        </w:rPr>
        <w:t>.</w:t>
      </w:r>
      <w:r w:rsidR="00080E76" w:rsidRPr="001E4460">
        <w:rPr>
          <w:i/>
        </w:rPr>
        <w:t xml:space="preserve"> It</w:t>
      </w:r>
      <w:r w:rsidR="005F02BA" w:rsidRPr="001E4460">
        <w:rPr>
          <w:i/>
        </w:rPr>
        <w:t xml:space="preserve"> </w:t>
      </w:r>
      <w:r w:rsidR="00DE32D4" w:rsidRPr="001E4460">
        <w:rPr>
          <w:i/>
        </w:rPr>
        <w:t>also</w:t>
      </w:r>
      <w:r w:rsidR="005F02BA" w:rsidRPr="001E4460">
        <w:rPr>
          <w:i/>
        </w:rPr>
        <w:t xml:space="preserve"> considers the </w:t>
      </w:r>
      <w:r w:rsidR="006F36AD" w:rsidRPr="001E4460">
        <w:rPr>
          <w:i/>
        </w:rPr>
        <w:t xml:space="preserve">benefit reduction methodology, </w:t>
      </w:r>
      <w:r w:rsidR="00625DE3" w:rsidRPr="001E4460">
        <w:rPr>
          <w:i/>
        </w:rPr>
        <w:t xml:space="preserve">estimates the overall savings associated with </w:t>
      </w:r>
      <w:r w:rsidR="002A13A9" w:rsidRPr="001E4460">
        <w:rPr>
          <w:i/>
        </w:rPr>
        <w:t xml:space="preserve">benefit reductions </w:t>
      </w:r>
      <w:r w:rsidR="00CE5055" w:rsidRPr="001E4460">
        <w:rPr>
          <w:i/>
        </w:rPr>
        <w:t xml:space="preserve">and summarises </w:t>
      </w:r>
      <w:r w:rsidR="0073572D" w:rsidRPr="001E4460">
        <w:rPr>
          <w:i/>
        </w:rPr>
        <w:t xml:space="preserve">stakeholder perspectives on the remaining gap </w:t>
      </w:r>
      <w:r w:rsidR="001B0A40" w:rsidRPr="001E4460">
        <w:rPr>
          <w:i/>
        </w:rPr>
        <w:t>between PL benefits and more competitive markets.</w:t>
      </w:r>
    </w:p>
    <w:p w14:paraId="4F87195E" w14:textId="732743C6" w:rsidR="00347925" w:rsidRDefault="00347925" w:rsidP="00347925">
      <w:pPr>
        <w:pStyle w:val="Caption"/>
        <w:rPr>
          <w:lang w:eastAsia="en-AU"/>
        </w:rPr>
      </w:pPr>
      <w:r>
        <w:t xml:space="preserve">Figure </w:t>
      </w:r>
      <w:r>
        <w:fldChar w:fldCharType="begin"/>
      </w:r>
      <w:r>
        <w:instrText xml:space="preserve"> SEQ Figure \* ARABIC </w:instrText>
      </w:r>
      <w:r>
        <w:fldChar w:fldCharType="separate"/>
      </w:r>
      <w:r w:rsidR="009B5D8D">
        <w:rPr>
          <w:noProof/>
        </w:rPr>
        <w:t>1</w:t>
      </w:r>
      <w:r>
        <w:fldChar w:fldCharType="end"/>
      </w:r>
      <w:r>
        <w:t xml:space="preserve"> | Reform projects related to reform objective 1</w:t>
      </w:r>
    </w:p>
    <w:p w14:paraId="0CE5091D" w14:textId="77777777" w:rsidR="00347925" w:rsidRPr="007E560F" w:rsidRDefault="00347925" w:rsidP="00347925">
      <w:pPr>
        <w:rPr>
          <w:lang w:eastAsia="en-AU"/>
        </w:rPr>
      </w:pPr>
      <w:r w:rsidRPr="00EA4322">
        <w:rPr>
          <w:noProof/>
          <w:lang w:eastAsia="en-AU"/>
        </w:rPr>
        <w:drawing>
          <wp:inline distT="0" distB="0" distL="0" distR="0" wp14:anchorId="499B4878" wp14:editId="13228AEB">
            <wp:extent cx="5670550" cy="1034415"/>
            <wp:effectExtent l="0" t="0" r="6350" b="0"/>
            <wp:docPr id="1613832358" name="Picture 1" descr="A figure showing that reform objective 1. Alignment of scheduled benefits is connected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32358" name="Picture 1" descr="A figure showing that reform objective 1. Alignment of scheduled benefits is connected to benefit reductions."/>
                    <pic:cNvPicPr/>
                  </pic:nvPicPr>
                  <pic:blipFill>
                    <a:blip r:embed="rId35"/>
                    <a:stretch>
                      <a:fillRect/>
                    </a:stretch>
                  </pic:blipFill>
                  <pic:spPr>
                    <a:xfrm>
                      <a:off x="0" y="0"/>
                      <a:ext cx="5670550" cy="1034415"/>
                    </a:xfrm>
                    <a:prstGeom prst="rect">
                      <a:avLst/>
                    </a:prstGeom>
                  </pic:spPr>
                </pic:pic>
              </a:graphicData>
            </a:graphic>
          </wp:inline>
        </w:drawing>
      </w:r>
    </w:p>
    <w:p w14:paraId="7BDD47F4" w14:textId="0D73A3CF" w:rsidR="009B341C" w:rsidRDefault="00655D35" w:rsidP="009F0AAD">
      <w:pPr>
        <w:pStyle w:val="Heading3"/>
      </w:pPr>
      <w:bookmarkStart w:id="17" w:name="_Toc181405072"/>
      <w:bookmarkStart w:id="18" w:name="_Ref159168034"/>
      <w:bookmarkStart w:id="19" w:name="_Toc164439316"/>
      <w:r>
        <w:t xml:space="preserve">The reforms successfully reduced benefits across </w:t>
      </w:r>
      <w:r w:rsidR="00AD50CA">
        <w:t>51</w:t>
      </w:r>
      <w:r>
        <w:t>% of PL items</w:t>
      </w:r>
      <w:bookmarkEnd w:id="17"/>
    </w:p>
    <w:p w14:paraId="15A8077E" w14:textId="5A318EFB" w:rsidR="31FCE4E2" w:rsidRDefault="008217E3" w:rsidP="55FBA261">
      <w:pPr>
        <w:pStyle w:val="Heading4"/>
      </w:pPr>
      <w:r>
        <w:t>The reforms</w:t>
      </w:r>
      <w:r w:rsidR="057CE861">
        <w:t xml:space="preserve"> </w:t>
      </w:r>
      <w:r w:rsidR="00266EF7">
        <w:t>adhered to the agreed schedule of reductions</w:t>
      </w:r>
      <w:r w:rsidR="00EA7973">
        <w:t xml:space="preserve"> </w:t>
      </w:r>
    </w:p>
    <w:p w14:paraId="42D1983A" w14:textId="2DD26929" w:rsidR="00440C4F" w:rsidRDefault="00BE5EBA" w:rsidP="009F0AAD">
      <w:pPr>
        <w:rPr>
          <w:lang w:val="en-AU" w:eastAsia="en-AU"/>
        </w:rPr>
      </w:pPr>
      <w:r>
        <w:rPr>
          <w:lang w:val="en-AU" w:eastAsia="en-AU"/>
        </w:rPr>
        <w:t xml:space="preserve">The reforms established three </w:t>
      </w:r>
      <w:r w:rsidR="00AA37CF">
        <w:rPr>
          <w:lang w:val="en-AU" w:eastAsia="en-AU"/>
        </w:rPr>
        <w:t>main rounds of benefit reductions</w:t>
      </w:r>
      <w:r w:rsidR="000E054D">
        <w:rPr>
          <w:lang w:val="en-AU" w:eastAsia="en-AU"/>
        </w:rPr>
        <w:t xml:space="preserve">. </w:t>
      </w:r>
      <w:r w:rsidR="00E414F8">
        <w:rPr>
          <w:lang w:val="en-AU" w:eastAsia="en-AU"/>
        </w:rPr>
        <w:t xml:space="preserve">In line with the reductions schedule documented in the </w:t>
      </w:r>
      <w:r w:rsidR="00932BF0">
        <w:rPr>
          <w:lang w:val="en-AU" w:eastAsia="en-AU"/>
        </w:rPr>
        <w:t>Memorandum of Understanding</w:t>
      </w:r>
      <w:r w:rsidR="00E414F8">
        <w:rPr>
          <w:lang w:val="en-AU" w:eastAsia="en-AU"/>
        </w:rPr>
        <w:t xml:space="preserve"> </w:t>
      </w:r>
      <w:r w:rsidR="00932BF0">
        <w:rPr>
          <w:lang w:val="en-AU" w:eastAsia="en-AU"/>
        </w:rPr>
        <w:t>(</w:t>
      </w:r>
      <w:r w:rsidR="00E414F8">
        <w:rPr>
          <w:lang w:val="en-AU" w:eastAsia="en-AU"/>
        </w:rPr>
        <w:t>M</w:t>
      </w:r>
      <w:r w:rsidR="006277D5">
        <w:rPr>
          <w:lang w:val="en-AU" w:eastAsia="en-AU"/>
        </w:rPr>
        <w:t>O</w:t>
      </w:r>
      <w:r w:rsidR="00E414F8">
        <w:rPr>
          <w:lang w:val="en-AU" w:eastAsia="en-AU"/>
        </w:rPr>
        <w:t>U</w:t>
      </w:r>
      <w:r w:rsidR="00932BF0">
        <w:rPr>
          <w:lang w:val="en-AU" w:eastAsia="en-AU"/>
        </w:rPr>
        <w:t>)</w:t>
      </w:r>
      <w:r w:rsidR="00E414F8">
        <w:rPr>
          <w:lang w:val="en-AU" w:eastAsia="en-AU"/>
        </w:rPr>
        <w:t xml:space="preserve"> between the </w:t>
      </w:r>
      <w:r w:rsidR="007215B7">
        <w:rPr>
          <w:lang w:val="en-AU" w:eastAsia="en-AU"/>
        </w:rPr>
        <w:t xml:space="preserve">then </w:t>
      </w:r>
      <w:r w:rsidR="00E414F8">
        <w:rPr>
          <w:lang w:val="en-AU" w:eastAsia="en-AU"/>
        </w:rPr>
        <w:t xml:space="preserve">Minister and the </w:t>
      </w:r>
      <w:r w:rsidR="00195FE4">
        <w:rPr>
          <w:lang w:val="en-AU" w:eastAsia="en-AU"/>
        </w:rPr>
        <w:t>Medical Technology Association of Australia</w:t>
      </w:r>
      <w:r w:rsidR="00E414F8">
        <w:rPr>
          <w:lang w:val="en-AU" w:eastAsia="en-AU"/>
        </w:rPr>
        <w:t xml:space="preserve"> </w:t>
      </w:r>
      <w:r w:rsidR="00195FE4">
        <w:rPr>
          <w:lang w:val="en-AU" w:eastAsia="en-AU"/>
        </w:rPr>
        <w:t>(</w:t>
      </w:r>
      <w:r w:rsidR="00E414F8">
        <w:rPr>
          <w:lang w:val="en-AU" w:eastAsia="en-AU"/>
        </w:rPr>
        <w:t>MTAA</w:t>
      </w:r>
      <w:r w:rsidR="00195FE4">
        <w:rPr>
          <w:lang w:val="en-AU" w:eastAsia="en-AU"/>
        </w:rPr>
        <w:t>)</w:t>
      </w:r>
      <w:r w:rsidR="00E414F8">
        <w:rPr>
          <w:lang w:val="en-AU" w:eastAsia="en-AU"/>
        </w:rPr>
        <w:t xml:space="preserve">, </w:t>
      </w:r>
      <w:r w:rsidR="001D4E26">
        <w:rPr>
          <w:lang w:val="en-AU" w:eastAsia="en-AU"/>
        </w:rPr>
        <w:t>t</w:t>
      </w:r>
      <w:r w:rsidR="000B2A95" w:rsidRPr="5CC9011F">
        <w:rPr>
          <w:lang w:val="en-AU" w:eastAsia="en-AU"/>
        </w:rPr>
        <w:t>he</w:t>
      </w:r>
      <w:r w:rsidR="000B2A95">
        <w:rPr>
          <w:lang w:val="en-AU" w:eastAsia="en-AU"/>
        </w:rPr>
        <w:t xml:space="preserve"> </w:t>
      </w:r>
      <w:r w:rsidR="00C0725E">
        <w:rPr>
          <w:lang w:val="en-AU" w:eastAsia="en-AU"/>
        </w:rPr>
        <w:t>Department</w:t>
      </w:r>
      <w:r w:rsidR="000B2A95">
        <w:rPr>
          <w:lang w:val="en-AU" w:eastAsia="en-AU"/>
        </w:rPr>
        <w:t xml:space="preserve"> and IHACPA </w:t>
      </w:r>
      <w:r w:rsidR="00780920">
        <w:rPr>
          <w:lang w:val="en-AU" w:eastAsia="en-AU"/>
        </w:rPr>
        <w:t>conducted the first two rounds of benefit reductions on 1 July 2022 and 1 July 2023</w:t>
      </w:r>
      <w:r w:rsidR="009B30D6">
        <w:rPr>
          <w:lang w:val="en-AU" w:eastAsia="en-AU"/>
        </w:rPr>
        <w:t>.</w:t>
      </w:r>
      <w:r w:rsidR="00AD67BC">
        <w:rPr>
          <w:lang w:val="en-AU" w:eastAsia="en-AU"/>
        </w:rPr>
        <w:t xml:space="preserve"> </w:t>
      </w:r>
      <w:r w:rsidR="003B2F48">
        <w:rPr>
          <w:lang w:val="en-AU" w:eastAsia="en-AU"/>
        </w:rPr>
        <w:t xml:space="preserve">As planned, GUIs were subject to accelerated reductions and CIED items </w:t>
      </w:r>
      <w:r w:rsidR="00250882">
        <w:rPr>
          <w:lang w:val="en-AU" w:eastAsia="en-AU"/>
        </w:rPr>
        <w:t>had their first round of reductions on 1 July 2023.</w:t>
      </w:r>
      <w:r w:rsidR="007356A7">
        <w:rPr>
          <w:lang w:val="en-AU" w:eastAsia="en-AU"/>
        </w:rPr>
        <w:t xml:space="preserve"> </w:t>
      </w:r>
      <w:r w:rsidR="007356A7">
        <w:rPr>
          <w:lang w:val="en-AU" w:eastAsia="en-AU"/>
        </w:rPr>
        <w:fldChar w:fldCharType="begin"/>
      </w:r>
      <w:r w:rsidR="007356A7">
        <w:rPr>
          <w:lang w:val="en-AU" w:eastAsia="en-AU"/>
        </w:rPr>
        <w:instrText xml:space="preserve"> REF _Ref172227858 \h </w:instrText>
      </w:r>
      <w:r w:rsidR="007356A7">
        <w:rPr>
          <w:lang w:val="en-AU" w:eastAsia="en-AU"/>
        </w:rPr>
      </w:r>
      <w:r w:rsidR="007356A7">
        <w:rPr>
          <w:lang w:val="en-AU" w:eastAsia="en-AU"/>
        </w:rPr>
        <w:fldChar w:fldCharType="separate"/>
      </w:r>
      <w:r w:rsidR="009B5D8D">
        <w:t xml:space="preserve">Figure </w:t>
      </w:r>
      <w:r w:rsidR="009B5D8D">
        <w:rPr>
          <w:noProof/>
        </w:rPr>
        <w:t>2</w:t>
      </w:r>
      <w:r w:rsidR="007356A7">
        <w:rPr>
          <w:lang w:val="en-AU" w:eastAsia="en-AU"/>
        </w:rPr>
        <w:fldChar w:fldCharType="end"/>
      </w:r>
      <w:r w:rsidR="007356A7">
        <w:rPr>
          <w:lang w:val="en-AU" w:eastAsia="en-AU"/>
        </w:rPr>
        <w:t xml:space="preserve"> summarises the timeline of benefit reductions.</w:t>
      </w:r>
    </w:p>
    <w:p w14:paraId="78D67414" w14:textId="2FC034DC" w:rsidR="00581F5D" w:rsidRDefault="00581F5D" w:rsidP="00581F5D">
      <w:pPr>
        <w:pStyle w:val="Caption"/>
      </w:pPr>
      <w:bookmarkStart w:id="20" w:name="_Ref172227858"/>
      <w:r>
        <w:lastRenderedPageBreak/>
        <w:t xml:space="preserve">Figure </w:t>
      </w:r>
      <w:r>
        <w:fldChar w:fldCharType="begin"/>
      </w:r>
      <w:r>
        <w:instrText xml:space="preserve"> SEQ Figure \* ARABIC </w:instrText>
      </w:r>
      <w:r>
        <w:fldChar w:fldCharType="separate"/>
      </w:r>
      <w:r w:rsidR="009B5D8D">
        <w:rPr>
          <w:noProof/>
        </w:rPr>
        <w:t>2</w:t>
      </w:r>
      <w:r>
        <w:fldChar w:fldCharType="end"/>
      </w:r>
      <w:bookmarkEnd w:id="20"/>
      <w:r>
        <w:t xml:space="preserve"> | Timeline of benefit reductions</w:t>
      </w:r>
    </w:p>
    <w:p w14:paraId="043DAD8A" w14:textId="44B51BCD" w:rsidR="00AD67D7" w:rsidRPr="00F027F1" w:rsidRDefault="00C5397C" w:rsidP="00581F5D">
      <w:pPr>
        <w:rPr>
          <w:lang w:val="en-AU"/>
        </w:rPr>
      </w:pPr>
      <w:r w:rsidRPr="00C5397C">
        <w:rPr>
          <w:noProof/>
          <w:lang w:val="en-AU"/>
        </w:rPr>
        <w:drawing>
          <wp:inline distT="0" distB="0" distL="0" distR="0" wp14:anchorId="72F865F4" wp14:editId="5E933A56">
            <wp:extent cx="5760085" cy="4498975"/>
            <wp:effectExtent l="0" t="0" r="0" b="0"/>
            <wp:docPr id="2146820816" name="Picture 1" descr="A figure showing the timeline of benefit reductions during the reform period. Key dates for benefit reductions of Part A of the Prescribed List, General Use Items (GUIs) and Cardiac Implantable Electronic Devices (CIEDs) are shown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20816" name="Picture 1" descr="A figure showing the timeline of benefit reductions during the reform period. Key dates for benefit reductions of Part A of the Prescribed List, General Use Items (GUIs) and Cardiac Implantable Electronic Devices (CIEDs) are shown in different colours. "/>
                    <pic:cNvPicPr/>
                  </pic:nvPicPr>
                  <pic:blipFill>
                    <a:blip r:embed="rId36"/>
                    <a:stretch>
                      <a:fillRect/>
                    </a:stretch>
                  </pic:blipFill>
                  <pic:spPr>
                    <a:xfrm>
                      <a:off x="0" y="0"/>
                      <a:ext cx="5760085" cy="4498975"/>
                    </a:xfrm>
                    <a:prstGeom prst="rect">
                      <a:avLst/>
                    </a:prstGeom>
                  </pic:spPr>
                </pic:pic>
              </a:graphicData>
            </a:graphic>
          </wp:inline>
        </w:drawing>
      </w:r>
    </w:p>
    <w:p w14:paraId="5F48BE59" w14:textId="787815CC" w:rsidR="00A1496C" w:rsidRDefault="00A1496C" w:rsidP="00A1496C">
      <w:pPr>
        <w:rPr>
          <w:rStyle w:val="FootnoteReference"/>
          <w:lang w:val="en-AU" w:eastAsia="en-AU"/>
        </w:rPr>
      </w:pPr>
      <w:r w:rsidRPr="0099536F">
        <w:rPr>
          <w:lang w:val="en-AU" w:eastAsia="en-AU"/>
        </w:rPr>
        <w:t xml:space="preserve">In overall terms, </w:t>
      </w:r>
      <w:r w:rsidR="00787CE8">
        <w:rPr>
          <w:lang w:val="en-AU" w:eastAsia="en-AU"/>
        </w:rPr>
        <w:t>51</w:t>
      </w:r>
      <w:r w:rsidRPr="0099536F">
        <w:rPr>
          <w:lang w:val="en-AU" w:eastAsia="en-AU"/>
        </w:rPr>
        <w:t>% of all items on Parts A, C and D had their benefits reduced</w:t>
      </w:r>
      <w:r w:rsidR="00945AE7">
        <w:rPr>
          <w:lang w:val="en-AU" w:eastAsia="en-AU"/>
        </w:rPr>
        <w:t xml:space="preserve"> in the first two rounds of reductions</w:t>
      </w:r>
      <w:r w:rsidRPr="0099536F">
        <w:rPr>
          <w:lang w:val="en-AU" w:eastAsia="en-AU"/>
        </w:rPr>
        <w:t>.</w:t>
      </w:r>
      <w:r>
        <w:rPr>
          <w:rStyle w:val="FootnoteReference"/>
          <w:lang w:val="en-AU" w:eastAsia="en-AU"/>
        </w:rPr>
        <w:footnoteReference w:id="8"/>
      </w:r>
      <w:r>
        <w:rPr>
          <w:lang w:val="en-AU" w:eastAsia="en-AU"/>
        </w:rPr>
        <w:t xml:space="preserve"> This represents a significant reduction of the PL items with benefits higher than</w:t>
      </w:r>
      <w:r w:rsidR="00517FAA">
        <w:rPr>
          <w:lang w:val="en-AU" w:eastAsia="en-AU"/>
        </w:rPr>
        <w:t xml:space="preserve"> </w:t>
      </w:r>
      <w:r>
        <w:rPr>
          <w:lang w:val="en-AU" w:eastAsia="en-AU"/>
        </w:rPr>
        <w:t>prices in the public sector.</w:t>
      </w:r>
      <w:r w:rsidR="004C602D">
        <w:rPr>
          <w:lang w:val="en-AU" w:eastAsia="en-AU"/>
        </w:rPr>
        <w:t xml:space="preserve"> </w:t>
      </w:r>
      <w:r w:rsidR="00787CE8">
        <w:rPr>
          <w:lang w:val="en-AU" w:eastAsia="en-AU"/>
        </w:rPr>
        <w:t xml:space="preserve">Around </w:t>
      </w:r>
      <w:r w:rsidR="004C602D">
        <w:rPr>
          <w:lang w:val="en-AU" w:eastAsia="en-AU"/>
        </w:rPr>
        <w:t xml:space="preserve">1% of </w:t>
      </w:r>
      <w:r w:rsidR="00A637DE">
        <w:rPr>
          <w:lang w:val="en-AU" w:eastAsia="en-AU"/>
        </w:rPr>
        <w:t>items</w:t>
      </w:r>
      <w:r w:rsidR="00DD158C">
        <w:rPr>
          <w:lang w:val="en-AU" w:eastAsia="en-AU"/>
        </w:rPr>
        <w:t xml:space="preserve"> were from Part C and </w:t>
      </w:r>
      <w:r w:rsidR="00946799">
        <w:rPr>
          <w:lang w:val="en-AU" w:eastAsia="en-AU"/>
        </w:rPr>
        <w:t>not in scope,</w:t>
      </w:r>
      <w:r w:rsidR="00DD158C">
        <w:rPr>
          <w:lang w:val="en-AU" w:eastAsia="en-AU"/>
        </w:rPr>
        <w:t xml:space="preserve"> </w:t>
      </w:r>
      <w:r w:rsidR="008E0422">
        <w:rPr>
          <w:lang w:val="en-AU" w:eastAsia="en-AU"/>
        </w:rPr>
        <w:t xml:space="preserve">leaving </w:t>
      </w:r>
      <w:r w:rsidR="0079080C">
        <w:rPr>
          <w:lang w:val="en-AU" w:eastAsia="en-AU"/>
        </w:rPr>
        <w:t xml:space="preserve">an estimated </w:t>
      </w:r>
      <w:r w:rsidR="00787CE8">
        <w:rPr>
          <w:lang w:val="en-AU" w:eastAsia="en-AU"/>
        </w:rPr>
        <w:t>48</w:t>
      </w:r>
      <w:r w:rsidR="0079080C">
        <w:rPr>
          <w:lang w:val="en-AU" w:eastAsia="en-AU"/>
        </w:rPr>
        <w:t xml:space="preserve">% of </w:t>
      </w:r>
      <w:r w:rsidR="00417EA3">
        <w:rPr>
          <w:lang w:val="en-AU" w:eastAsia="en-AU"/>
        </w:rPr>
        <w:t xml:space="preserve">items </w:t>
      </w:r>
      <w:r w:rsidR="005B529B">
        <w:rPr>
          <w:lang w:val="en-AU" w:eastAsia="en-AU"/>
        </w:rPr>
        <w:t xml:space="preserve">being at or below the 7% </w:t>
      </w:r>
      <w:r w:rsidR="00647B25">
        <w:rPr>
          <w:lang w:val="en-AU" w:eastAsia="en-AU"/>
        </w:rPr>
        <w:t xml:space="preserve">price floor established by the MoU, and therefore </w:t>
      </w:r>
      <w:r w:rsidR="003C1F3F">
        <w:rPr>
          <w:lang w:val="en-AU" w:eastAsia="en-AU"/>
        </w:rPr>
        <w:t>not subject to reductions.</w:t>
      </w:r>
      <w:r w:rsidR="00945AE7">
        <w:rPr>
          <w:rStyle w:val="FootnoteReference"/>
          <w:lang w:val="en-AU" w:eastAsia="en-AU"/>
        </w:rPr>
        <w:footnoteReference w:id="9"/>
      </w:r>
      <w:r w:rsidR="00347DF8">
        <w:rPr>
          <w:lang w:val="en-AU" w:eastAsia="en-AU"/>
        </w:rPr>
        <w:t xml:space="preserve"> </w:t>
      </w:r>
      <w:r w:rsidR="00347DF8">
        <w:rPr>
          <w:lang w:val="en-AU" w:eastAsia="en-AU"/>
        </w:rPr>
        <w:fldChar w:fldCharType="begin"/>
      </w:r>
      <w:r w:rsidR="00347DF8">
        <w:rPr>
          <w:lang w:val="en-AU" w:eastAsia="en-AU"/>
        </w:rPr>
        <w:instrText xml:space="preserve"> REF _Ref172228624 \h </w:instrText>
      </w:r>
      <w:r w:rsidR="00347DF8">
        <w:rPr>
          <w:lang w:val="en-AU" w:eastAsia="en-AU"/>
        </w:rPr>
      </w:r>
      <w:r w:rsidR="00347DF8">
        <w:rPr>
          <w:lang w:val="en-AU" w:eastAsia="en-AU"/>
        </w:rPr>
        <w:fldChar w:fldCharType="separate"/>
      </w:r>
      <w:r w:rsidR="009B5D8D">
        <w:t xml:space="preserve">Figure </w:t>
      </w:r>
      <w:r w:rsidR="009B5D8D">
        <w:rPr>
          <w:noProof/>
        </w:rPr>
        <w:t>3</w:t>
      </w:r>
      <w:r w:rsidR="00347DF8">
        <w:rPr>
          <w:lang w:val="en-AU" w:eastAsia="en-AU"/>
        </w:rPr>
        <w:fldChar w:fldCharType="end"/>
      </w:r>
      <w:r w:rsidR="00347DF8">
        <w:rPr>
          <w:lang w:val="en-AU" w:eastAsia="en-AU"/>
        </w:rPr>
        <w:t xml:space="preserve"> shows the breakdown of items subject to reductions by PL category.</w:t>
      </w:r>
    </w:p>
    <w:p w14:paraId="44D8DC83" w14:textId="72037B94" w:rsidR="003740C3" w:rsidRDefault="003740C3" w:rsidP="003740C3">
      <w:pPr>
        <w:pStyle w:val="Caption"/>
        <w:rPr>
          <w:lang w:val="en-US"/>
        </w:rPr>
      </w:pPr>
      <w:bookmarkStart w:id="21" w:name="_Ref172228624"/>
      <w:r>
        <w:lastRenderedPageBreak/>
        <w:t xml:space="preserve">Figure </w:t>
      </w:r>
      <w:r>
        <w:fldChar w:fldCharType="begin"/>
      </w:r>
      <w:r>
        <w:instrText xml:space="preserve"> SEQ Figure \* ARABIC </w:instrText>
      </w:r>
      <w:r>
        <w:fldChar w:fldCharType="separate"/>
      </w:r>
      <w:r w:rsidR="009B5D8D">
        <w:rPr>
          <w:noProof/>
        </w:rPr>
        <w:t>3</w:t>
      </w:r>
      <w:r>
        <w:fldChar w:fldCharType="end"/>
      </w:r>
      <w:bookmarkEnd w:id="21"/>
      <w:r>
        <w:t xml:space="preserve"> | </w:t>
      </w:r>
      <w:r w:rsidRPr="0089004A">
        <w:rPr>
          <w:lang w:val="en-US"/>
        </w:rPr>
        <w:t>PL items subject to reform reductions (Parts A and D, excluding CIED items)</w:t>
      </w:r>
      <w:r>
        <w:rPr>
          <w:rStyle w:val="FootnoteReference"/>
          <w:lang w:val="en-US"/>
        </w:rPr>
        <w:footnoteReference w:id="10"/>
      </w:r>
    </w:p>
    <w:p w14:paraId="4E90652E" w14:textId="77777777" w:rsidR="003740C3" w:rsidRPr="0089004A" w:rsidRDefault="003740C3" w:rsidP="003740C3">
      <w:r w:rsidRPr="0089004A">
        <w:rPr>
          <w:noProof/>
        </w:rPr>
        <w:drawing>
          <wp:inline distT="0" distB="0" distL="0" distR="0" wp14:anchorId="14867C84" wp14:editId="0FA0EE83">
            <wp:extent cx="5750398" cy="2777320"/>
            <wp:effectExtent l="0" t="0" r="3175" b="4445"/>
            <wp:docPr id="2143047053" name="Picture 1" descr="A graph showing the PL items that were subject to benefit reductions by PL category. The graph shows the percentage of the items in each category that did have benefits reduced and the percentage in each category where benefits were not redu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47053" name="Picture 1" descr="A graph showing the PL items that were subject to benefit reductions by PL category. The graph shows the percentage of the items in each category that did have benefits reduced and the percentage in each category where benefits were not reduced. "/>
                    <pic:cNvPicPr/>
                  </pic:nvPicPr>
                  <pic:blipFill>
                    <a:blip r:embed="rId37"/>
                    <a:stretch>
                      <a:fillRect/>
                    </a:stretch>
                  </pic:blipFill>
                  <pic:spPr>
                    <a:xfrm>
                      <a:off x="0" y="0"/>
                      <a:ext cx="5759046" cy="2781497"/>
                    </a:xfrm>
                    <a:prstGeom prst="rect">
                      <a:avLst/>
                    </a:prstGeom>
                  </pic:spPr>
                </pic:pic>
              </a:graphicData>
            </a:graphic>
          </wp:inline>
        </w:drawing>
      </w:r>
    </w:p>
    <w:p w14:paraId="052455BC" w14:textId="7F318B2E" w:rsidR="009B559D" w:rsidRPr="00F9596A" w:rsidRDefault="009B559D" w:rsidP="009B559D">
      <w:pPr>
        <w:rPr>
          <w:i/>
          <w:iCs/>
        </w:rPr>
      </w:pPr>
      <w:r w:rsidRPr="00F9596A">
        <w:rPr>
          <w:i/>
          <w:iCs/>
        </w:rPr>
        <w:t xml:space="preserve">See </w:t>
      </w:r>
      <w:r w:rsidR="00D7793A" w:rsidRPr="00F9596A">
        <w:rPr>
          <w:i/>
          <w:iCs/>
        </w:rPr>
        <w:fldChar w:fldCharType="begin"/>
      </w:r>
      <w:r w:rsidR="00D7793A" w:rsidRPr="00F9596A">
        <w:rPr>
          <w:i/>
          <w:iCs/>
        </w:rPr>
        <w:instrText xml:space="preserve"> REF _Ref169169557 \h </w:instrText>
      </w:r>
      <w:r w:rsidR="00F9596A" w:rsidRPr="00F9596A">
        <w:rPr>
          <w:i/>
          <w:iCs/>
        </w:rPr>
        <w:instrText xml:space="preserve"> \* MERGEFORMAT </w:instrText>
      </w:r>
      <w:r w:rsidR="00D7793A" w:rsidRPr="00F9596A">
        <w:rPr>
          <w:i/>
          <w:iCs/>
        </w:rPr>
      </w:r>
      <w:r w:rsidR="00D7793A" w:rsidRPr="00F9596A">
        <w:rPr>
          <w:i/>
          <w:iCs/>
        </w:rPr>
        <w:fldChar w:fldCharType="separate"/>
      </w:r>
      <w:r w:rsidR="009B5D8D" w:rsidRPr="009B5D8D">
        <w:rPr>
          <w:i/>
          <w:iCs/>
        </w:rPr>
        <w:t xml:space="preserve">Table </w:t>
      </w:r>
      <w:r w:rsidR="009B5D8D" w:rsidRPr="009B5D8D">
        <w:rPr>
          <w:i/>
          <w:iCs/>
          <w:noProof/>
        </w:rPr>
        <w:t>28</w:t>
      </w:r>
      <w:r w:rsidR="00D7793A" w:rsidRPr="00F9596A">
        <w:rPr>
          <w:i/>
          <w:iCs/>
        </w:rPr>
        <w:fldChar w:fldCharType="end"/>
      </w:r>
      <w:r w:rsidR="00D7793A" w:rsidRPr="00F9596A">
        <w:rPr>
          <w:i/>
          <w:iCs/>
        </w:rPr>
        <w:t xml:space="preserve"> i</w:t>
      </w:r>
      <w:r w:rsidR="00F9596A" w:rsidRPr="00F9596A">
        <w:rPr>
          <w:i/>
          <w:iCs/>
        </w:rPr>
        <w:t>n</w:t>
      </w:r>
      <w:r w:rsidR="00D7793A" w:rsidRPr="00F9596A">
        <w:rPr>
          <w:i/>
          <w:iCs/>
        </w:rPr>
        <w:t xml:space="preserve"> </w:t>
      </w:r>
      <w:r w:rsidR="00F9596A" w:rsidRPr="00F9596A">
        <w:rPr>
          <w:i/>
          <w:iCs/>
        </w:rPr>
        <w:t xml:space="preserve">Appendix </w:t>
      </w:r>
      <w:r w:rsidR="00F9596A" w:rsidRPr="00F9596A">
        <w:rPr>
          <w:i/>
          <w:iCs/>
        </w:rPr>
        <w:fldChar w:fldCharType="begin"/>
      </w:r>
      <w:r w:rsidR="00F9596A" w:rsidRPr="00F9596A">
        <w:rPr>
          <w:i/>
          <w:iCs/>
        </w:rPr>
        <w:instrText xml:space="preserve"> REF _Ref181389825 \r \h  \* MERGEFORMAT </w:instrText>
      </w:r>
      <w:r w:rsidR="00F9596A" w:rsidRPr="00F9596A">
        <w:rPr>
          <w:i/>
          <w:iCs/>
        </w:rPr>
      </w:r>
      <w:r w:rsidR="00F9596A" w:rsidRPr="00F9596A">
        <w:rPr>
          <w:i/>
          <w:iCs/>
        </w:rPr>
        <w:fldChar w:fldCharType="separate"/>
      </w:r>
      <w:r w:rsidR="009B5D8D">
        <w:rPr>
          <w:i/>
          <w:iCs/>
        </w:rPr>
        <w:t>B.6</w:t>
      </w:r>
      <w:r w:rsidR="00F9596A" w:rsidRPr="00F9596A">
        <w:rPr>
          <w:i/>
          <w:iCs/>
        </w:rPr>
        <w:fldChar w:fldCharType="end"/>
      </w:r>
      <w:r w:rsidR="00F9596A">
        <w:rPr>
          <w:i/>
          <w:iCs/>
        </w:rPr>
        <w:t xml:space="preserve"> for </w:t>
      </w:r>
      <w:r w:rsidR="00341FEA">
        <w:rPr>
          <w:i/>
          <w:iCs/>
        </w:rPr>
        <w:t>a list of the 13 PL categories.</w:t>
      </w:r>
    </w:p>
    <w:p w14:paraId="6460A9E8" w14:textId="2C02DEA6" w:rsidR="0014490E" w:rsidRDefault="0014490E" w:rsidP="0014490E">
      <w:pPr>
        <w:pStyle w:val="Heading4"/>
      </w:pPr>
      <w:r>
        <w:t>Part C items were excluded from benefit reductions</w:t>
      </w:r>
    </w:p>
    <w:p w14:paraId="6F572324" w14:textId="62FDCF2B" w:rsidR="000E195F" w:rsidRDefault="0080162F" w:rsidP="58312701">
      <w:pPr>
        <w:rPr>
          <w:lang w:val="en-AU" w:eastAsia="en-AU"/>
        </w:rPr>
      </w:pPr>
      <w:r>
        <w:rPr>
          <w:lang w:val="en-AU" w:eastAsia="en-AU"/>
        </w:rPr>
        <w:t xml:space="preserve">The 133 items </w:t>
      </w:r>
      <w:r w:rsidR="00353989">
        <w:rPr>
          <w:lang w:val="en-AU" w:eastAsia="en-AU"/>
        </w:rPr>
        <w:t xml:space="preserve">on Part C of the November 2023 PL have the same benefits as they did (or would have had) </w:t>
      </w:r>
      <w:r w:rsidR="006E6313">
        <w:rPr>
          <w:lang w:val="en-AU" w:eastAsia="en-AU"/>
        </w:rPr>
        <w:t>on the March 2022 PL.</w:t>
      </w:r>
      <w:r w:rsidR="00C914AE">
        <w:rPr>
          <w:lang w:val="en-AU" w:eastAsia="en-AU"/>
        </w:rPr>
        <w:t xml:space="preserve"> </w:t>
      </w:r>
      <w:r w:rsidR="00601273">
        <w:rPr>
          <w:lang w:val="en-AU" w:eastAsia="en-AU"/>
        </w:rPr>
        <w:t>IHACPA included Part C items</w:t>
      </w:r>
      <w:r w:rsidR="00D7133C">
        <w:rPr>
          <w:lang w:val="en-AU" w:eastAsia="en-AU"/>
        </w:rPr>
        <w:t xml:space="preserve"> in the</w:t>
      </w:r>
      <w:r w:rsidR="00942A9E">
        <w:rPr>
          <w:lang w:val="en-AU" w:eastAsia="en-AU"/>
        </w:rPr>
        <w:t>ir public benchmarking exercise</w:t>
      </w:r>
      <w:r w:rsidR="00FC03CF">
        <w:rPr>
          <w:lang w:val="en-AU" w:eastAsia="en-AU"/>
        </w:rPr>
        <w:t>, however</w:t>
      </w:r>
      <w:r w:rsidR="003D67D2">
        <w:rPr>
          <w:lang w:val="en-AU" w:eastAsia="en-AU"/>
        </w:rPr>
        <w:t xml:space="preserve">, </w:t>
      </w:r>
      <w:r w:rsidR="563DE3EF" w:rsidRPr="2DD4DC73">
        <w:rPr>
          <w:lang w:val="en-AU" w:eastAsia="en-AU"/>
        </w:rPr>
        <w:t>no additional</w:t>
      </w:r>
      <w:r w:rsidR="00602F3A">
        <w:rPr>
          <w:lang w:val="en-AU" w:eastAsia="en-AU"/>
        </w:rPr>
        <w:t xml:space="preserve"> documentation </w:t>
      </w:r>
      <w:r w:rsidR="5F633927" w:rsidRPr="68102C08">
        <w:rPr>
          <w:lang w:val="en-AU" w:eastAsia="en-AU"/>
        </w:rPr>
        <w:t>citing an intention to apply</w:t>
      </w:r>
      <w:r w:rsidR="00BF3B16">
        <w:rPr>
          <w:lang w:val="en-AU" w:eastAsia="en-AU"/>
        </w:rPr>
        <w:t xml:space="preserve"> (</w:t>
      </w:r>
      <w:r w:rsidR="00F335DC">
        <w:rPr>
          <w:lang w:val="en-AU" w:eastAsia="en-AU"/>
        </w:rPr>
        <w:t>or not apply)</w:t>
      </w:r>
      <w:r w:rsidR="00FD62EB">
        <w:rPr>
          <w:lang w:val="en-AU" w:eastAsia="en-AU"/>
        </w:rPr>
        <w:t xml:space="preserve"> </w:t>
      </w:r>
      <w:r w:rsidR="5F633927" w:rsidRPr="68102C08">
        <w:rPr>
          <w:lang w:val="en-AU" w:eastAsia="en-AU"/>
        </w:rPr>
        <w:t xml:space="preserve">benefit reductions to </w:t>
      </w:r>
      <w:r w:rsidR="5F633927" w:rsidRPr="7F02D220">
        <w:rPr>
          <w:lang w:val="en-AU" w:eastAsia="en-AU"/>
        </w:rPr>
        <w:t>Part C ha</w:t>
      </w:r>
      <w:r w:rsidR="00F335DC">
        <w:rPr>
          <w:lang w:val="en-AU" w:eastAsia="en-AU"/>
        </w:rPr>
        <w:t xml:space="preserve">s </w:t>
      </w:r>
      <w:r w:rsidR="5F633927" w:rsidRPr="7F02D220">
        <w:rPr>
          <w:lang w:val="en-AU" w:eastAsia="en-AU"/>
        </w:rPr>
        <w:t>been sourced.</w:t>
      </w:r>
    </w:p>
    <w:p w14:paraId="73D1D5C3" w14:textId="21F6F772" w:rsidR="002E60E6" w:rsidRPr="003A19D6" w:rsidRDefault="00E96A94" w:rsidP="58312701">
      <w:pPr>
        <w:rPr>
          <w:lang w:val="en-AU" w:eastAsia="en-AU"/>
        </w:rPr>
      </w:pPr>
      <w:r>
        <w:rPr>
          <w:lang w:val="en-AU" w:eastAsia="en-AU"/>
        </w:rPr>
        <w:t>I</w:t>
      </w:r>
      <w:r w:rsidR="070215DC">
        <w:rPr>
          <w:lang w:val="en-AU" w:eastAsia="en-AU"/>
        </w:rPr>
        <w:t>t is likely that</w:t>
      </w:r>
      <w:r>
        <w:rPr>
          <w:lang w:val="en-AU" w:eastAsia="en-AU"/>
        </w:rPr>
        <w:t xml:space="preserve"> Part C</w:t>
      </w:r>
      <w:r w:rsidR="00B9107A">
        <w:rPr>
          <w:lang w:val="en-AU" w:eastAsia="en-AU"/>
        </w:rPr>
        <w:t xml:space="preserve"> was</w:t>
      </w:r>
      <w:r w:rsidR="00016673">
        <w:rPr>
          <w:lang w:val="en-AU" w:eastAsia="en-AU"/>
        </w:rPr>
        <w:t xml:space="preserve"> not included in </w:t>
      </w:r>
      <w:r w:rsidR="004617FD">
        <w:rPr>
          <w:lang w:val="en-AU" w:eastAsia="en-AU"/>
        </w:rPr>
        <w:t xml:space="preserve">the benefit reductions </w:t>
      </w:r>
      <w:r w:rsidR="00B9107A">
        <w:rPr>
          <w:lang w:val="en-AU" w:eastAsia="en-AU"/>
        </w:rPr>
        <w:t xml:space="preserve">as these items </w:t>
      </w:r>
      <w:r w:rsidR="00DB1E0A">
        <w:rPr>
          <w:lang w:val="en-AU" w:eastAsia="en-AU"/>
        </w:rPr>
        <w:t xml:space="preserve">have already been </w:t>
      </w:r>
      <w:r w:rsidR="00B606EA">
        <w:rPr>
          <w:lang w:val="en-AU" w:eastAsia="en-AU"/>
        </w:rPr>
        <w:t xml:space="preserve">subject to </w:t>
      </w:r>
      <w:r w:rsidR="00DB1E0A">
        <w:rPr>
          <w:lang w:val="en-AU" w:eastAsia="en-AU"/>
        </w:rPr>
        <w:t xml:space="preserve">more considerable rigour </w:t>
      </w:r>
      <w:r w:rsidR="003A67E4">
        <w:rPr>
          <w:lang w:val="en-AU" w:eastAsia="en-AU"/>
        </w:rPr>
        <w:t xml:space="preserve">in </w:t>
      </w:r>
      <w:r w:rsidR="008D3959">
        <w:rPr>
          <w:lang w:val="en-AU" w:eastAsia="en-AU"/>
        </w:rPr>
        <w:t xml:space="preserve">the </w:t>
      </w:r>
      <w:r w:rsidR="008457FD">
        <w:rPr>
          <w:lang w:val="en-AU" w:eastAsia="en-AU"/>
        </w:rPr>
        <w:t xml:space="preserve">assessment of </w:t>
      </w:r>
      <w:r w:rsidR="00681C12">
        <w:rPr>
          <w:lang w:val="en-AU" w:eastAsia="en-AU"/>
        </w:rPr>
        <w:t>their clinical efficacy</w:t>
      </w:r>
      <w:r w:rsidR="00BB111C">
        <w:rPr>
          <w:lang w:val="en-AU" w:eastAsia="en-AU"/>
        </w:rPr>
        <w:t>,</w:t>
      </w:r>
      <w:r w:rsidR="004F4EEB">
        <w:rPr>
          <w:lang w:val="en-AU" w:eastAsia="en-AU"/>
        </w:rPr>
        <w:t xml:space="preserve"> and are more likely to have </w:t>
      </w:r>
      <w:r w:rsidR="004064CE">
        <w:rPr>
          <w:lang w:val="en-AU" w:eastAsia="en-AU"/>
        </w:rPr>
        <w:t>undergone a Medical Services Advisory Committee (MSAC) appr</w:t>
      </w:r>
      <w:r w:rsidR="00147C4D">
        <w:rPr>
          <w:lang w:val="en-AU" w:eastAsia="en-AU"/>
        </w:rPr>
        <w:t>aisal</w:t>
      </w:r>
      <w:r w:rsidR="00145C04">
        <w:rPr>
          <w:lang w:val="en-AU" w:eastAsia="en-AU"/>
        </w:rPr>
        <w:t xml:space="preserve"> in the determination of their benefits.</w:t>
      </w:r>
      <w:r w:rsidR="00036B6E">
        <w:rPr>
          <w:rStyle w:val="FootnoteReference"/>
          <w:lang w:val="en-AU" w:eastAsia="en-AU"/>
        </w:rPr>
        <w:footnoteReference w:id="11"/>
      </w:r>
      <w:r w:rsidR="002D17DC">
        <w:rPr>
          <w:lang w:val="en-AU" w:eastAsia="en-AU"/>
        </w:rPr>
        <w:t xml:space="preserve"> </w:t>
      </w:r>
      <w:r w:rsidR="0066196D">
        <w:rPr>
          <w:lang w:val="en-AU" w:eastAsia="en-AU"/>
        </w:rPr>
        <w:t xml:space="preserve">While </w:t>
      </w:r>
      <w:r w:rsidR="00DE75A4">
        <w:rPr>
          <w:lang w:val="en-AU" w:eastAsia="en-AU"/>
        </w:rPr>
        <w:t xml:space="preserve">Nous has not been provided </w:t>
      </w:r>
      <w:r w:rsidR="006F7F2D">
        <w:rPr>
          <w:lang w:val="en-AU" w:eastAsia="en-AU"/>
        </w:rPr>
        <w:t xml:space="preserve">any data about the </w:t>
      </w:r>
      <w:r w:rsidR="009F5E67">
        <w:rPr>
          <w:lang w:val="en-AU" w:eastAsia="en-AU"/>
        </w:rPr>
        <w:t>gap between PL benefits and public benchmarks</w:t>
      </w:r>
      <w:r w:rsidR="000A7DC9">
        <w:rPr>
          <w:lang w:val="en-AU" w:eastAsia="en-AU"/>
        </w:rPr>
        <w:t xml:space="preserve"> </w:t>
      </w:r>
      <w:r w:rsidR="006F7F2D">
        <w:rPr>
          <w:lang w:val="en-AU" w:eastAsia="en-AU"/>
        </w:rPr>
        <w:t>for Part C items</w:t>
      </w:r>
      <w:r w:rsidR="006D5AA7">
        <w:rPr>
          <w:lang w:val="en-AU" w:eastAsia="en-AU"/>
        </w:rPr>
        <w:t xml:space="preserve"> to verify</w:t>
      </w:r>
      <w:r w:rsidR="00F359C0">
        <w:rPr>
          <w:lang w:val="en-AU" w:eastAsia="en-AU"/>
        </w:rPr>
        <w:t xml:space="preserve">, </w:t>
      </w:r>
      <w:r w:rsidR="00752FEF">
        <w:rPr>
          <w:lang w:val="en-AU" w:eastAsia="en-AU"/>
        </w:rPr>
        <w:t xml:space="preserve">it is the </w:t>
      </w:r>
      <w:r w:rsidR="00C0725E">
        <w:rPr>
          <w:lang w:val="en-AU" w:eastAsia="en-AU"/>
        </w:rPr>
        <w:t>Department</w:t>
      </w:r>
      <w:r w:rsidR="006D5AA7">
        <w:rPr>
          <w:lang w:val="en-AU" w:eastAsia="en-AU"/>
        </w:rPr>
        <w:t xml:space="preserve">’s opinion that these items </w:t>
      </w:r>
      <w:r w:rsidR="0088720F">
        <w:rPr>
          <w:lang w:val="en-AU" w:eastAsia="en-AU"/>
        </w:rPr>
        <w:t xml:space="preserve">are </w:t>
      </w:r>
      <w:r w:rsidR="00CF14A3">
        <w:rPr>
          <w:lang w:val="en-AU" w:eastAsia="en-AU"/>
        </w:rPr>
        <w:t xml:space="preserve">already </w:t>
      </w:r>
      <w:r w:rsidR="00320E08">
        <w:rPr>
          <w:lang w:val="en-AU" w:eastAsia="en-AU"/>
        </w:rPr>
        <w:t xml:space="preserve">more aligned to their market value than </w:t>
      </w:r>
      <w:r w:rsidR="00AD4F8E">
        <w:rPr>
          <w:lang w:val="en-AU" w:eastAsia="en-AU"/>
        </w:rPr>
        <w:t>other parts of the PL.</w:t>
      </w:r>
    </w:p>
    <w:p w14:paraId="7196FC02" w14:textId="1A6DA26E" w:rsidR="006760FB" w:rsidRPr="00F43C5B" w:rsidRDefault="006731F6" w:rsidP="00AF064C">
      <w:pPr>
        <w:pStyle w:val="Heading3"/>
        <w:rPr>
          <w:rFonts w:asciiTheme="majorHAnsi" w:hAnsiTheme="majorHAnsi" w:cstheme="majorBidi"/>
        </w:rPr>
      </w:pPr>
      <w:bookmarkStart w:id="22" w:name="_Ref178285385"/>
      <w:bookmarkStart w:id="23" w:name="_Toc181405073"/>
      <w:r w:rsidRPr="002D7937">
        <w:t>O</w:t>
      </w:r>
      <w:r w:rsidR="006C4A0A" w:rsidRPr="002D7937">
        <w:t xml:space="preserve">verall savings </w:t>
      </w:r>
      <w:r w:rsidR="00504F4D">
        <w:t xml:space="preserve">to date from </w:t>
      </w:r>
      <w:r w:rsidR="006C4A0A" w:rsidRPr="002D7937">
        <w:t xml:space="preserve">benefits reductions </w:t>
      </w:r>
      <w:r w:rsidR="002A6143" w:rsidRPr="002D7937">
        <w:t xml:space="preserve">are </w:t>
      </w:r>
      <w:r w:rsidR="165AEE47" w:rsidRPr="002D7937">
        <w:t>between $282 million and $291 million</w:t>
      </w:r>
      <w:bookmarkEnd w:id="22"/>
      <w:bookmarkEnd w:id="23"/>
    </w:p>
    <w:p w14:paraId="36170DC1" w14:textId="77777777" w:rsidR="00F94A3B" w:rsidRDefault="00F94A3B" w:rsidP="00F94A3B">
      <w:pPr>
        <w:pStyle w:val="Heading4"/>
      </w:pPr>
      <w:r>
        <w:t>The reforms have generated significant savings to date</w:t>
      </w:r>
    </w:p>
    <w:p w14:paraId="797848D2" w14:textId="342D4DB4" w:rsidR="00F73BB1" w:rsidRDefault="000E0200" w:rsidP="00E86F67">
      <w:pPr>
        <w:rPr>
          <w:lang w:val="en-AU" w:eastAsia="en-AU"/>
        </w:rPr>
      </w:pPr>
      <w:r>
        <w:rPr>
          <w:lang w:val="en-AU" w:eastAsia="en-AU"/>
        </w:rPr>
        <w:t>B</w:t>
      </w:r>
      <w:r w:rsidR="000B1AC4">
        <w:rPr>
          <w:lang w:val="en-AU" w:eastAsia="en-AU"/>
        </w:rPr>
        <w:t>enefit reductions implemented through the</w:t>
      </w:r>
      <w:r w:rsidR="0049629F">
        <w:rPr>
          <w:lang w:val="en-AU" w:eastAsia="en-AU"/>
        </w:rPr>
        <w:t xml:space="preserve"> PL</w:t>
      </w:r>
      <w:r w:rsidR="000B1AC4">
        <w:rPr>
          <w:lang w:val="en-AU" w:eastAsia="en-AU"/>
        </w:rPr>
        <w:t xml:space="preserve"> </w:t>
      </w:r>
      <w:r w:rsidR="00720EC8">
        <w:rPr>
          <w:lang w:val="en-AU" w:eastAsia="en-AU"/>
        </w:rPr>
        <w:t xml:space="preserve">reforms </w:t>
      </w:r>
      <w:r>
        <w:rPr>
          <w:lang w:val="en-AU" w:eastAsia="en-AU"/>
        </w:rPr>
        <w:t xml:space="preserve">are estimated to </w:t>
      </w:r>
      <w:r w:rsidR="00720EC8">
        <w:rPr>
          <w:lang w:val="en-AU" w:eastAsia="en-AU"/>
        </w:rPr>
        <w:t xml:space="preserve">have generated </w:t>
      </w:r>
      <w:r w:rsidR="000B4A45">
        <w:rPr>
          <w:lang w:val="en-AU" w:eastAsia="en-AU"/>
        </w:rPr>
        <w:t>between $282 million and $291 million in savings between July 2022 and June 2024</w:t>
      </w:r>
      <w:r w:rsidR="008E7C47">
        <w:rPr>
          <w:lang w:val="en-AU" w:eastAsia="en-AU"/>
        </w:rPr>
        <w:t>.</w:t>
      </w:r>
      <w:r w:rsidR="008E7C47">
        <w:rPr>
          <w:rStyle w:val="FootnoteReference"/>
          <w:lang w:val="en-AU" w:eastAsia="en-AU"/>
        </w:rPr>
        <w:footnoteReference w:id="12"/>
      </w:r>
      <w:r w:rsidR="00425166">
        <w:rPr>
          <w:lang w:val="en-AU" w:eastAsia="en-AU"/>
        </w:rPr>
        <w:t xml:space="preserve"> </w:t>
      </w:r>
      <w:r w:rsidR="00FF1B32">
        <w:rPr>
          <w:lang w:val="en-AU" w:eastAsia="en-AU"/>
        </w:rPr>
        <w:t>These savings</w:t>
      </w:r>
      <w:r w:rsidR="00904C7E">
        <w:rPr>
          <w:lang w:val="en-AU" w:eastAsia="en-AU"/>
        </w:rPr>
        <w:t xml:space="preserve"> </w:t>
      </w:r>
      <w:r w:rsidR="004610F7">
        <w:rPr>
          <w:lang w:val="en-AU" w:eastAsia="en-AU"/>
        </w:rPr>
        <w:t>r</w:t>
      </w:r>
      <w:r w:rsidR="000C6854">
        <w:rPr>
          <w:lang w:val="en-AU" w:eastAsia="en-AU"/>
        </w:rPr>
        <w:t>epresent</w:t>
      </w:r>
      <w:r w:rsidR="00C60036">
        <w:rPr>
          <w:lang w:val="en-AU" w:eastAsia="en-AU"/>
        </w:rPr>
        <w:t xml:space="preserve"> </w:t>
      </w:r>
      <w:r w:rsidR="000C6854">
        <w:rPr>
          <w:lang w:val="en-AU" w:eastAsia="en-AU"/>
        </w:rPr>
        <w:t>lower</w:t>
      </w:r>
      <w:r w:rsidR="00904C7E">
        <w:rPr>
          <w:lang w:val="en-AU" w:eastAsia="en-AU"/>
        </w:rPr>
        <w:t xml:space="preserve"> insurance benefits paid for medical device</w:t>
      </w:r>
      <w:r w:rsidR="00A50983">
        <w:rPr>
          <w:lang w:val="en-AU" w:eastAsia="en-AU"/>
        </w:rPr>
        <w:t>s</w:t>
      </w:r>
      <w:r w:rsidR="00925228">
        <w:rPr>
          <w:lang w:val="en-AU" w:eastAsia="en-AU"/>
        </w:rPr>
        <w:t xml:space="preserve"> </w:t>
      </w:r>
      <w:r w:rsidR="00301976">
        <w:rPr>
          <w:lang w:val="en-AU" w:eastAsia="en-AU"/>
        </w:rPr>
        <w:t xml:space="preserve">accessed by consumers in </w:t>
      </w:r>
      <w:r w:rsidR="00C1606C">
        <w:rPr>
          <w:lang w:val="en-AU" w:eastAsia="en-AU"/>
        </w:rPr>
        <w:t xml:space="preserve">private hospitals. </w:t>
      </w:r>
      <w:r w:rsidR="00925228">
        <w:rPr>
          <w:lang w:val="en-AU" w:eastAsia="en-AU"/>
        </w:rPr>
        <w:t>Consequently, consumers are benefitting from</w:t>
      </w:r>
      <w:r w:rsidR="006F1615">
        <w:rPr>
          <w:lang w:val="en-AU" w:eastAsia="en-AU"/>
        </w:rPr>
        <w:t xml:space="preserve"> PHI premiums that are lower than they would have been without </w:t>
      </w:r>
      <w:r w:rsidR="00F73BB1">
        <w:rPr>
          <w:lang w:val="en-AU" w:eastAsia="en-AU"/>
        </w:rPr>
        <w:t>the reforms.</w:t>
      </w:r>
    </w:p>
    <w:p w14:paraId="6F42BA40" w14:textId="5E707300" w:rsidR="00371369" w:rsidRDefault="00A55FFE" w:rsidP="00E86F67">
      <w:pPr>
        <w:rPr>
          <w:lang w:val="en-AU" w:eastAsia="en-AU"/>
        </w:rPr>
      </w:pPr>
      <w:r>
        <w:rPr>
          <w:lang w:val="en-AU" w:eastAsia="en-AU"/>
        </w:rPr>
        <w:t>For the five years from July 2022 to June 2027, the reforms are estimated to generate between $1,</w:t>
      </w:r>
      <w:r w:rsidR="0044595E">
        <w:rPr>
          <w:lang w:val="en-AU" w:eastAsia="en-AU"/>
        </w:rPr>
        <w:t>040</w:t>
      </w:r>
      <w:r>
        <w:rPr>
          <w:lang w:val="en-AU" w:eastAsia="en-AU"/>
        </w:rPr>
        <w:t xml:space="preserve"> million and $1,17</w:t>
      </w:r>
      <w:r w:rsidR="0044595E">
        <w:rPr>
          <w:lang w:val="en-AU" w:eastAsia="en-AU"/>
        </w:rPr>
        <w:t>0</w:t>
      </w:r>
      <w:r>
        <w:rPr>
          <w:lang w:val="en-AU" w:eastAsia="en-AU"/>
        </w:rPr>
        <w:t xml:space="preserve"> million in projected savings.</w:t>
      </w:r>
      <w:r>
        <w:rPr>
          <w:rStyle w:val="FootnoteReference"/>
          <w:lang w:val="en-AU" w:eastAsia="en-AU"/>
        </w:rPr>
        <w:footnoteReference w:id="13"/>
      </w:r>
      <w:r w:rsidR="00A024AA">
        <w:rPr>
          <w:lang w:val="en-AU" w:eastAsia="en-AU"/>
        </w:rPr>
        <w:t xml:space="preserve"> </w:t>
      </w:r>
      <w:r w:rsidR="009F303E">
        <w:rPr>
          <w:lang w:val="en-AU" w:eastAsia="en-AU"/>
        </w:rPr>
        <w:t xml:space="preserve">These additional savings include the final round of benefit </w:t>
      </w:r>
      <w:r w:rsidR="0008574B">
        <w:rPr>
          <w:lang w:val="en-AU" w:eastAsia="en-AU"/>
        </w:rPr>
        <w:lastRenderedPageBreak/>
        <w:t>reductions</w:t>
      </w:r>
      <w:r w:rsidR="008B5265">
        <w:rPr>
          <w:lang w:val="en-AU" w:eastAsia="en-AU"/>
        </w:rPr>
        <w:t xml:space="preserve"> for Part A of the PL and further reductions for CIEDs. Overall, the benefit reductions are </w:t>
      </w:r>
      <w:r w:rsidR="00613186">
        <w:rPr>
          <w:lang w:val="en-AU" w:eastAsia="en-AU"/>
        </w:rPr>
        <w:t xml:space="preserve">achieving the desired effect of </w:t>
      </w:r>
      <w:r w:rsidR="00BF78B0">
        <w:rPr>
          <w:lang w:val="en-AU" w:eastAsia="en-AU"/>
        </w:rPr>
        <w:t xml:space="preserve">sustained </w:t>
      </w:r>
      <w:r w:rsidR="00613186">
        <w:rPr>
          <w:lang w:val="en-AU" w:eastAsia="en-AU"/>
        </w:rPr>
        <w:t xml:space="preserve">lower benefit levels for </w:t>
      </w:r>
      <w:r w:rsidR="00BF78B0">
        <w:rPr>
          <w:lang w:val="en-AU" w:eastAsia="en-AU"/>
        </w:rPr>
        <w:t>items across the PL.</w:t>
      </w:r>
    </w:p>
    <w:p w14:paraId="7A093E5E" w14:textId="0B1D4150" w:rsidR="00B61544" w:rsidRDefault="000E4D56" w:rsidP="00E86F67">
      <w:pPr>
        <w:rPr>
          <w:lang w:val="en-AU" w:eastAsia="en-AU"/>
        </w:rPr>
      </w:pPr>
      <w:r>
        <w:rPr>
          <w:lang w:val="en-AU" w:eastAsia="en-AU"/>
        </w:rPr>
        <w:t>In the aggregate, t</w:t>
      </w:r>
      <w:r w:rsidR="00B61544">
        <w:rPr>
          <w:lang w:val="en-AU" w:eastAsia="en-AU"/>
        </w:rPr>
        <w:t xml:space="preserve">hese estimates </w:t>
      </w:r>
      <w:r w:rsidR="009B72BC">
        <w:rPr>
          <w:lang w:val="en-AU" w:eastAsia="en-AU"/>
        </w:rPr>
        <w:t xml:space="preserve">of overall savings </w:t>
      </w:r>
      <w:r w:rsidR="00B61544">
        <w:rPr>
          <w:lang w:val="en-AU" w:eastAsia="en-AU"/>
        </w:rPr>
        <w:t xml:space="preserve">are </w:t>
      </w:r>
      <w:r w:rsidR="009B72BC">
        <w:rPr>
          <w:lang w:val="en-AU" w:eastAsia="en-AU"/>
        </w:rPr>
        <w:t>broadly</w:t>
      </w:r>
      <w:r w:rsidR="00DD7599">
        <w:rPr>
          <w:lang w:val="en-AU" w:eastAsia="en-AU"/>
        </w:rPr>
        <w:t xml:space="preserve"> consistent with </w:t>
      </w:r>
      <w:r w:rsidR="002D0F18">
        <w:rPr>
          <w:lang w:val="en-AU" w:eastAsia="en-AU"/>
        </w:rPr>
        <w:t>IHACPA’s initial estimates of overall savings</w:t>
      </w:r>
      <w:r w:rsidR="00F940B0">
        <w:rPr>
          <w:rStyle w:val="FootnoteReference"/>
          <w:lang w:val="en-AU" w:eastAsia="en-AU"/>
        </w:rPr>
        <w:footnoteReference w:id="14"/>
      </w:r>
      <w:r w:rsidR="002D0F18">
        <w:rPr>
          <w:lang w:val="en-AU" w:eastAsia="en-AU"/>
        </w:rPr>
        <w:t xml:space="preserve"> conducted earlier </w:t>
      </w:r>
      <w:r w:rsidR="007D4AFC">
        <w:rPr>
          <w:lang w:val="en-AU" w:eastAsia="en-AU"/>
        </w:rPr>
        <w:t>in the reforms</w:t>
      </w:r>
      <w:r>
        <w:rPr>
          <w:lang w:val="en-AU" w:eastAsia="en-AU"/>
        </w:rPr>
        <w:t>.</w:t>
      </w:r>
      <w:r w:rsidR="00E403AF">
        <w:rPr>
          <w:lang w:val="en-AU" w:eastAsia="en-AU"/>
        </w:rPr>
        <w:t xml:space="preserve"> See Appendix </w:t>
      </w:r>
      <w:r w:rsidR="00E80405">
        <w:rPr>
          <w:lang w:val="en-AU" w:eastAsia="en-AU"/>
        </w:rPr>
        <w:fldChar w:fldCharType="begin"/>
      </w:r>
      <w:r w:rsidR="00E80405">
        <w:rPr>
          <w:lang w:val="en-AU" w:eastAsia="en-AU"/>
        </w:rPr>
        <w:instrText xml:space="preserve"> REF _Ref178289749 \r \h </w:instrText>
      </w:r>
      <w:r w:rsidR="00E80405">
        <w:rPr>
          <w:lang w:val="en-AU" w:eastAsia="en-AU"/>
        </w:rPr>
      </w:r>
      <w:r w:rsidR="00E80405">
        <w:rPr>
          <w:lang w:val="en-AU" w:eastAsia="en-AU"/>
        </w:rPr>
        <w:fldChar w:fldCharType="separate"/>
      </w:r>
      <w:r w:rsidR="009B5D8D">
        <w:rPr>
          <w:lang w:val="en-AU" w:eastAsia="en-AU"/>
        </w:rPr>
        <w:t>B.2</w:t>
      </w:r>
      <w:r w:rsidR="00E80405">
        <w:rPr>
          <w:lang w:val="en-AU" w:eastAsia="en-AU"/>
        </w:rPr>
        <w:fldChar w:fldCharType="end"/>
      </w:r>
      <w:r w:rsidR="00E80405">
        <w:rPr>
          <w:lang w:val="en-AU" w:eastAsia="en-AU"/>
        </w:rPr>
        <w:t xml:space="preserve"> for </w:t>
      </w:r>
      <w:r w:rsidR="00317238">
        <w:rPr>
          <w:lang w:val="en-AU" w:eastAsia="en-AU"/>
        </w:rPr>
        <w:t>further detail</w:t>
      </w:r>
      <w:r w:rsidR="00662794">
        <w:rPr>
          <w:lang w:val="en-AU" w:eastAsia="en-AU"/>
        </w:rPr>
        <w:t>.</w:t>
      </w:r>
    </w:p>
    <w:p w14:paraId="2D778732" w14:textId="77777777" w:rsidR="00F94A3B" w:rsidRPr="0021134B" w:rsidRDefault="00F94A3B" w:rsidP="00F94A3B">
      <w:pPr>
        <w:pStyle w:val="Heading4"/>
      </w:pPr>
      <w:r w:rsidRPr="0021134B">
        <w:t>Delays to reform actions impacted the savings achieved</w:t>
      </w:r>
    </w:p>
    <w:p w14:paraId="339C8FF1" w14:textId="710E8334" w:rsidR="008874DE" w:rsidRDefault="00E63B1E" w:rsidP="30C89A2F">
      <w:pPr>
        <w:rPr>
          <w:lang w:val="en-AU" w:eastAsia="en-AU"/>
        </w:rPr>
      </w:pPr>
      <w:r>
        <w:rPr>
          <w:lang w:val="en-AU" w:eastAsia="en-AU"/>
        </w:rPr>
        <w:t xml:space="preserve">An </w:t>
      </w:r>
      <w:r w:rsidR="00DA457B">
        <w:rPr>
          <w:lang w:val="en-AU" w:eastAsia="en-AU"/>
        </w:rPr>
        <w:t xml:space="preserve">MOU between the </w:t>
      </w:r>
      <w:r w:rsidR="00414F83">
        <w:rPr>
          <w:lang w:val="en-AU" w:eastAsia="en-AU"/>
        </w:rPr>
        <w:t>then Australian Government and the MTAA</w:t>
      </w:r>
      <w:r w:rsidR="008874DE">
        <w:rPr>
          <w:lang w:val="en-AU" w:eastAsia="en-AU"/>
        </w:rPr>
        <w:t xml:space="preserve"> in March 2022 </w:t>
      </w:r>
      <w:r w:rsidR="0027785D">
        <w:rPr>
          <w:lang w:val="en-AU" w:eastAsia="en-AU"/>
        </w:rPr>
        <w:t xml:space="preserve">determined that </w:t>
      </w:r>
      <w:r w:rsidR="007A03A1">
        <w:rPr>
          <w:lang w:val="en-AU" w:eastAsia="en-AU"/>
        </w:rPr>
        <w:t xml:space="preserve">benefit reductions to </w:t>
      </w:r>
      <w:r w:rsidR="00833DFF">
        <w:rPr>
          <w:lang w:val="en-AU" w:eastAsia="en-AU"/>
        </w:rPr>
        <w:t xml:space="preserve">CIEDs would be deferred by </w:t>
      </w:r>
      <w:r w:rsidR="009F34EF">
        <w:rPr>
          <w:lang w:val="en-AU" w:eastAsia="en-AU"/>
        </w:rPr>
        <w:t>one year</w:t>
      </w:r>
      <w:r w:rsidR="00021335">
        <w:rPr>
          <w:lang w:val="en-AU" w:eastAsia="en-AU"/>
        </w:rPr>
        <w:t xml:space="preserve"> to allow time to seek advice on technical support services that are being by funded by the PL benefit.</w:t>
      </w:r>
      <w:r w:rsidR="007019A8">
        <w:rPr>
          <w:rStyle w:val="FootnoteReference"/>
          <w:lang w:val="en-AU" w:eastAsia="en-AU"/>
        </w:rPr>
        <w:footnoteReference w:id="15"/>
      </w:r>
      <w:r w:rsidR="00021335">
        <w:rPr>
          <w:lang w:val="en-AU" w:eastAsia="en-AU"/>
        </w:rPr>
        <w:t xml:space="preserve"> </w:t>
      </w:r>
      <w:r w:rsidR="00BD18CE">
        <w:rPr>
          <w:lang w:val="en-AU" w:eastAsia="en-AU"/>
        </w:rPr>
        <w:t xml:space="preserve">The </w:t>
      </w:r>
      <w:r w:rsidR="00B007B4">
        <w:rPr>
          <w:lang w:val="en-AU" w:eastAsia="en-AU"/>
        </w:rPr>
        <w:t xml:space="preserve">MSAC </w:t>
      </w:r>
      <w:r w:rsidR="00AC59D9">
        <w:rPr>
          <w:lang w:val="en-AU" w:eastAsia="en-AU"/>
        </w:rPr>
        <w:t xml:space="preserve">undertook </w:t>
      </w:r>
      <w:r w:rsidR="00425EF4">
        <w:rPr>
          <w:lang w:val="en-AU" w:eastAsia="en-AU"/>
        </w:rPr>
        <w:t>work in consultation with the MTAA</w:t>
      </w:r>
      <w:r w:rsidR="00464D46">
        <w:rPr>
          <w:lang w:val="en-AU" w:eastAsia="en-AU"/>
        </w:rPr>
        <w:t xml:space="preserve"> and provided </w:t>
      </w:r>
      <w:r w:rsidR="004F6037">
        <w:rPr>
          <w:lang w:val="en-AU" w:eastAsia="en-AU"/>
        </w:rPr>
        <w:t>the Department</w:t>
      </w:r>
      <w:r w:rsidR="00D46D47">
        <w:rPr>
          <w:lang w:val="en-AU" w:eastAsia="en-AU"/>
        </w:rPr>
        <w:t xml:space="preserve"> </w:t>
      </w:r>
      <w:r w:rsidR="00BD18CE">
        <w:rPr>
          <w:lang w:val="en-AU" w:eastAsia="en-AU"/>
        </w:rPr>
        <w:t xml:space="preserve">advice </w:t>
      </w:r>
      <w:r w:rsidR="00631C29">
        <w:rPr>
          <w:lang w:val="en-AU" w:eastAsia="en-AU"/>
        </w:rPr>
        <w:t xml:space="preserve">of </w:t>
      </w:r>
      <w:r w:rsidR="003064C2">
        <w:rPr>
          <w:lang w:val="en-AU" w:eastAsia="en-AU"/>
        </w:rPr>
        <w:t xml:space="preserve">the </w:t>
      </w:r>
      <w:r w:rsidR="0056757A">
        <w:rPr>
          <w:lang w:val="en-AU" w:eastAsia="en-AU"/>
        </w:rPr>
        <w:t>proportion</w:t>
      </w:r>
      <w:r w:rsidR="00E158EF">
        <w:rPr>
          <w:lang w:val="en-AU" w:eastAsia="en-AU"/>
        </w:rPr>
        <w:t>s</w:t>
      </w:r>
      <w:r w:rsidR="00C56E12">
        <w:rPr>
          <w:lang w:val="en-AU" w:eastAsia="en-AU"/>
        </w:rPr>
        <w:t xml:space="preserve"> </w:t>
      </w:r>
      <w:r w:rsidR="0056757A">
        <w:rPr>
          <w:lang w:val="en-AU" w:eastAsia="en-AU"/>
        </w:rPr>
        <w:t xml:space="preserve">of the </w:t>
      </w:r>
      <w:r w:rsidR="00D85109">
        <w:rPr>
          <w:lang w:val="en-AU" w:eastAsia="en-AU"/>
        </w:rPr>
        <w:t xml:space="preserve">PL </w:t>
      </w:r>
      <w:r w:rsidR="0056757A">
        <w:rPr>
          <w:lang w:val="en-AU" w:eastAsia="en-AU"/>
        </w:rPr>
        <w:t xml:space="preserve">benefit </w:t>
      </w:r>
      <w:r w:rsidR="00D85109">
        <w:rPr>
          <w:lang w:val="en-AU" w:eastAsia="en-AU"/>
        </w:rPr>
        <w:t xml:space="preserve">that represent the device </w:t>
      </w:r>
      <w:r w:rsidR="00015CC5">
        <w:rPr>
          <w:lang w:val="en-AU" w:eastAsia="en-AU"/>
        </w:rPr>
        <w:t>component</w:t>
      </w:r>
      <w:r w:rsidR="00AF1C91">
        <w:rPr>
          <w:lang w:val="en-AU" w:eastAsia="en-AU"/>
        </w:rPr>
        <w:t xml:space="preserve"> </w:t>
      </w:r>
      <w:r w:rsidR="00A9267C">
        <w:rPr>
          <w:lang w:val="en-AU" w:eastAsia="en-AU"/>
        </w:rPr>
        <w:t xml:space="preserve">and </w:t>
      </w:r>
      <w:r w:rsidR="00E158EF">
        <w:rPr>
          <w:lang w:val="en-AU" w:eastAsia="en-AU"/>
        </w:rPr>
        <w:t>technical support services component</w:t>
      </w:r>
      <w:r w:rsidR="00BD2278">
        <w:rPr>
          <w:lang w:val="en-AU" w:eastAsia="en-AU"/>
        </w:rPr>
        <w:t xml:space="preserve"> (see section </w:t>
      </w:r>
      <w:r w:rsidR="00BD2278">
        <w:rPr>
          <w:lang w:val="en-AU" w:eastAsia="en-AU"/>
        </w:rPr>
        <w:fldChar w:fldCharType="begin"/>
      </w:r>
      <w:r w:rsidR="00BD2278">
        <w:rPr>
          <w:lang w:val="en-AU" w:eastAsia="en-AU"/>
        </w:rPr>
        <w:instrText xml:space="preserve"> REF _Ref178285385 \r \h </w:instrText>
      </w:r>
      <w:r w:rsidR="00BD2278">
        <w:rPr>
          <w:lang w:val="en-AU" w:eastAsia="en-AU"/>
        </w:rPr>
      </w:r>
      <w:r w:rsidR="00BD2278">
        <w:rPr>
          <w:lang w:val="en-AU" w:eastAsia="en-AU"/>
        </w:rPr>
        <w:fldChar w:fldCharType="separate"/>
      </w:r>
      <w:r w:rsidR="009B5D8D">
        <w:rPr>
          <w:lang w:val="en-AU" w:eastAsia="en-AU"/>
        </w:rPr>
        <w:t>2.3.2</w:t>
      </w:r>
      <w:r w:rsidR="00BD2278">
        <w:rPr>
          <w:lang w:val="en-AU" w:eastAsia="en-AU"/>
        </w:rPr>
        <w:fldChar w:fldCharType="end"/>
      </w:r>
      <w:r w:rsidR="00BD2278">
        <w:rPr>
          <w:lang w:val="en-AU" w:eastAsia="en-AU"/>
        </w:rPr>
        <w:t>)</w:t>
      </w:r>
      <w:r w:rsidR="00E158EF">
        <w:rPr>
          <w:lang w:val="en-AU" w:eastAsia="en-AU"/>
        </w:rPr>
        <w:t>.</w:t>
      </w:r>
      <w:r w:rsidR="007045F3">
        <w:rPr>
          <w:lang w:val="en-AU" w:eastAsia="en-AU"/>
        </w:rPr>
        <w:t xml:space="preserve"> The first </w:t>
      </w:r>
      <w:r w:rsidR="0012377A">
        <w:rPr>
          <w:lang w:val="en-AU" w:eastAsia="en-AU"/>
        </w:rPr>
        <w:t xml:space="preserve">round of CIED benefit reductions </w:t>
      </w:r>
      <w:r w:rsidR="00351685">
        <w:rPr>
          <w:lang w:val="en-AU" w:eastAsia="en-AU"/>
        </w:rPr>
        <w:t xml:space="preserve">then </w:t>
      </w:r>
      <w:r w:rsidR="00126EC3">
        <w:rPr>
          <w:lang w:val="en-AU" w:eastAsia="en-AU"/>
        </w:rPr>
        <w:t xml:space="preserve">occurred </w:t>
      </w:r>
      <w:r w:rsidR="00971CA7">
        <w:rPr>
          <w:lang w:val="en-AU" w:eastAsia="en-AU"/>
        </w:rPr>
        <w:t xml:space="preserve">on </w:t>
      </w:r>
      <w:r w:rsidR="009F6486">
        <w:rPr>
          <w:lang w:val="en-AU" w:eastAsia="en-AU"/>
        </w:rPr>
        <w:t>1 July 2023.</w:t>
      </w:r>
    </w:p>
    <w:p w14:paraId="5F2E59F0" w14:textId="565E8C6C" w:rsidR="005A34DA" w:rsidRDefault="00EC469F" w:rsidP="30C89A2F">
      <w:pPr>
        <w:rPr>
          <w:lang w:val="en-AU" w:eastAsia="en-AU"/>
        </w:rPr>
      </w:pPr>
      <w:r w:rsidRPr="30C89A2F">
        <w:rPr>
          <w:lang w:val="en-AU" w:eastAsia="en-AU"/>
        </w:rPr>
        <w:t>The</w:t>
      </w:r>
      <w:r w:rsidRPr="0052390C">
        <w:rPr>
          <w:lang w:val="en-AU" w:eastAsia="en-AU"/>
        </w:rPr>
        <w:t xml:space="preserve"> decision to defer benefit reductions </w:t>
      </w:r>
      <w:r w:rsidR="00E7167D">
        <w:rPr>
          <w:lang w:val="en-AU" w:eastAsia="en-AU"/>
        </w:rPr>
        <w:t xml:space="preserve">of </w:t>
      </w:r>
      <w:r w:rsidRPr="0052390C">
        <w:rPr>
          <w:lang w:val="en-AU" w:eastAsia="en-AU"/>
        </w:rPr>
        <w:t xml:space="preserve">CIEDs by one year </w:t>
      </w:r>
      <w:r w:rsidR="00695DF8">
        <w:rPr>
          <w:lang w:val="en-AU" w:eastAsia="en-AU"/>
        </w:rPr>
        <w:t>is</w:t>
      </w:r>
      <w:r w:rsidR="009B0D2C">
        <w:rPr>
          <w:lang w:val="en-AU" w:eastAsia="en-AU"/>
        </w:rPr>
        <w:t xml:space="preserve"> projected to </w:t>
      </w:r>
      <w:r w:rsidRPr="0052390C">
        <w:rPr>
          <w:lang w:val="en-AU" w:eastAsia="en-AU"/>
        </w:rPr>
        <w:t>result in an estimated $94 million in</w:t>
      </w:r>
      <w:r w:rsidR="00500D66">
        <w:rPr>
          <w:lang w:val="en-AU" w:eastAsia="en-AU"/>
        </w:rPr>
        <w:t xml:space="preserve"> </w:t>
      </w:r>
      <w:r w:rsidRPr="0052390C">
        <w:rPr>
          <w:lang w:val="en-AU" w:eastAsia="en-AU"/>
        </w:rPr>
        <w:t>forgone savings over</w:t>
      </w:r>
      <w:r w:rsidR="00F35002">
        <w:rPr>
          <w:lang w:val="en-AU" w:eastAsia="en-AU"/>
        </w:rPr>
        <w:t xml:space="preserve"> </w:t>
      </w:r>
      <w:r w:rsidR="00BB7315">
        <w:rPr>
          <w:lang w:val="en-AU" w:eastAsia="en-AU"/>
        </w:rPr>
        <w:t>the</w:t>
      </w:r>
      <w:r w:rsidRPr="0052390C">
        <w:rPr>
          <w:lang w:val="en-AU" w:eastAsia="en-AU"/>
        </w:rPr>
        <w:t xml:space="preserve"> five-year period</w:t>
      </w:r>
      <w:r w:rsidR="00BB7315">
        <w:rPr>
          <w:lang w:val="en-AU" w:eastAsia="en-AU"/>
        </w:rPr>
        <w:t xml:space="preserve"> from July 2022 to June 2027</w:t>
      </w:r>
      <w:r w:rsidRPr="0052390C">
        <w:rPr>
          <w:lang w:val="en-AU" w:eastAsia="en-AU"/>
        </w:rPr>
        <w:t>.</w:t>
      </w:r>
      <w:r w:rsidR="005119E4" w:rsidRPr="0052390C">
        <w:rPr>
          <w:rStyle w:val="FootnoteReference"/>
          <w:lang w:val="en-AU" w:eastAsia="en-AU"/>
        </w:rPr>
        <w:footnoteReference w:id="16"/>
      </w:r>
    </w:p>
    <w:p w14:paraId="3693834D" w14:textId="02EAA017" w:rsidR="00DC4AB2" w:rsidRDefault="00860567" w:rsidP="00127F2B">
      <w:pPr>
        <w:rPr>
          <w:lang w:val="en-AU" w:eastAsia="en-AU"/>
        </w:rPr>
      </w:pPr>
      <w:r w:rsidRPr="00860567">
        <w:rPr>
          <w:lang w:val="en-AU" w:eastAsia="en-AU"/>
        </w:rPr>
        <w:t xml:space="preserve">The </w:t>
      </w:r>
      <w:r w:rsidR="00435FAE">
        <w:rPr>
          <w:lang w:val="en-AU" w:eastAsia="en-AU"/>
        </w:rPr>
        <w:t xml:space="preserve">Australian Government and MTAA agreement </w:t>
      </w:r>
      <w:r w:rsidRPr="00860567">
        <w:rPr>
          <w:lang w:val="en-AU" w:eastAsia="en-AU"/>
        </w:rPr>
        <w:t xml:space="preserve">to defer </w:t>
      </w:r>
      <w:r w:rsidR="00DA241E">
        <w:rPr>
          <w:lang w:val="en-AU" w:eastAsia="en-AU"/>
        </w:rPr>
        <w:t xml:space="preserve">CIED </w:t>
      </w:r>
      <w:r w:rsidRPr="00860567">
        <w:rPr>
          <w:lang w:val="en-AU" w:eastAsia="en-AU"/>
        </w:rPr>
        <w:t xml:space="preserve">reductions allowed the Department to seek industry consultation and independent advice on the value of technical support services associated with CIED items, </w:t>
      </w:r>
      <w:r w:rsidR="00435914">
        <w:rPr>
          <w:lang w:val="en-AU" w:eastAsia="en-AU"/>
        </w:rPr>
        <w:t>thereby</w:t>
      </w:r>
      <w:r w:rsidR="00E84D68">
        <w:rPr>
          <w:lang w:val="en-AU" w:eastAsia="en-AU"/>
        </w:rPr>
        <w:t xml:space="preserve"> avoiding</w:t>
      </w:r>
      <w:r w:rsidRPr="00860567">
        <w:rPr>
          <w:lang w:val="en-AU" w:eastAsia="en-AU"/>
        </w:rPr>
        <w:t xml:space="preserve"> disruption to consumer access to these services. However, this delay also postponed any action to reduce the </w:t>
      </w:r>
      <w:r w:rsidRPr="006944BC">
        <w:rPr>
          <w:i/>
          <w:iCs/>
          <w:lang w:val="en-AU" w:eastAsia="en-AU"/>
        </w:rPr>
        <w:t>device component</w:t>
      </w:r>
      <w:r w:rsidRPr="00860567">
        <w:rPr>
          <w:lang w:val="en-AU" w:eastAsia="en-AU"/>
        </w:rPr>
        <w:t xml:space="preserve"> of CIED benefits</w:t>
      </w:r>
      <w:r w:rsidR="0010083C">
        <w:rPr>
          <w:lang w:val="en-AU" w:eastAsia="en-AU"/>
        </w:rPr>
        <w:t xml:space="preserve">. </w:t>
      </w:r>
      <w:r w:rsidR="00421380">
        <w:rPr>
          <w:lang w:val="en-AU" w:eastAsia="en-AU"/>
        </w:rPr>
        <w:t>A</w:t>
      </w:r>
      <w:r w:rsidR="00F90611">
        <w:rPr>
          <w:lang w:val="en-AU" w:eastAsia="en-AU"/>
        </w:rPr>
        <w:t xml:space="preserve"> portion of the </w:t>
      </w:r>
      <w:r w:rsidR="006E71FC">
        <w:rPr>
          <w:lang w:val="en-AU" w:eastAsia="en-AU"/>
        </w:rPr>
        <w:t>estimated $94 million in forgone savings</w:t>
      </w:r>
      <w:r w:rsidR="00421380">
        <w:rPr>
          <w:lang w:val="en-AU" w:eastAsia="en-AU"/>
        </w:rPr>
        <w:t xml:space="preserve"> could </w:t>
      </w:r>
      <w:r w:rsidR="00DC18DC">
        <w:rPr>
          <w:lang w:val="en-AU" w:eastAsia="en-AU"/>
        </w:rPr>
        <w:t xml:space="preserve">have </w:t>
      </w:r>
      <w:r w:rsidR="00E178D9">
        <w:rPr>
          <w:lang w:val="en-AU" w:eastAsia="en-AU"/>
        </w:rPr>
        <w:t xml:space="preserve">been realised </w:t>
      </w:r>
      <w:r w:rsidR="002A3AB1">
        <w:rPr>
          <w:lang w:val="en-AU" w:eastAsia="en-AU"/>
        </w:rPr>
        <w:t xml:space="preserve">if the reforms instead took a cautious approach </w:t>
      </w:r>
      <w:r w:rsidR="005C389E">
        <w:rPr>
          <w:lang w:val="en-AU" w:eastAsia="en-AU"/>
        </w:rPr>
        <w:t xml:space="preserve">to reducing CIED benefits in the first round (based on a conservative estimate </w:t>
      </w:r>
      <w:r w:rsidR="00140D58">
        <w:rPr>
          <w:lang w:val="en-AU" w:eastAsia="en-AU"/>
        </w:rPr>
        <w:t xml:space="preserve">of the device component representing </w:t>
      </w:r>
      <w:r w:rsidR="005C389E">
        <w:rPr>
          <w:lang w:val="en-AU" w:eastAsia="en-AU"/>
        </w:rPr>
        <w:t>50%</w:t>
      </w:r>
      <w:r w:rsidR="00054DA4">
        <w:rPr>
          <w:lang w:val="en-AU" w:eastAsia="en-AU"/>
        </w:rPr>
        <w:t xml:space="preserve"> of</w:t>
      </w:r>
      <w:r w:rsidR="00140D58">
        <w:rPr>
          <w:lang w:val="en-AU" w:eastAsia="en-AU"/>
        </w:rPr>
        <w:t xml:space="preserve"> total benefit</w:t>
      </w:r>
      <w:r w:rsidR="00D8084B">
        <w:rPr>
          <w:lang w:val="en-AU" w:eastAsia="en-AU"/>
        </w:rPr>
        <w:t xml:space="preserve">, </w:t>
      </w:r>
      <w:r w:rsidR="005C389E">
        <w:rPr>
          <w:lang w:val="en-AU" w:eastAsia="en-AU"/>
        </w:rPr>
        <w:t>for example)</w:t>
      </w:r>
      <w:r w:rsidR="00586888">
        <w:rPr>
          <w:lang w:val="en-AU" w:eastAsia="en-AU"/>
        </w:rPr>
        <w:t xml:space="preserve">, </w:t>
      </w:r>
      <w:r w:rsidR="00651795">
        <w:rPr>
          <w:lang w:val="en-AU" w:eastAsia="en-AU"/>
        </w:rPr>
        <w:t xml:space="preserve">while seeking </w:t>
      </w:r>
      <w:r w:rsidR="00471190">
        <w:rPr>
          <w:lang w:val="en-AU" w:eastAsia="en-AU"/>
        </w:rPr>
        <w:t>further advice on the technical support services component in tandem.</w:t>
      </w:r>
    </w:p>
    <w:p w14:paraId="4B504AD9" w14:textId="7279B7D4" w:rsidR="00E7515C" w:rsidRPr="00096BC6" w:rsidRDefault="007723DA" w:rsidP="00E7515C">
      <w:pPr>
        <w:pStyle w:val="Heading3"/>
      </w:pPr>
      <w:bookmarkStart w:id="24" w:name="_Toc181405074"/>
      <w:r>
        <w:t>The</w:t>
      </w:r>
      <w:r w:rsidR="00E46B5E">
        <w:t>re is a smaller</w:t>
      </w:r>
      <w:r>
        <w:t xml:space="preserve"> </w:t>
      </w:r>
      <w:r w:rsidR="00E46B5E">
        <w:t>gap</w:t>
      </w:r>
      <w:r w:rsidR="00DE7510">
        <w:t xml:space="preserve"> between PL </w:t>
      </w:r>
      <w:r>
        <w:t xml:space="preserve">benefits and </w:t>
      </w:r>
      <w:r w:rsidR="00E46B5E">
        <w:t>public hospital</w:t>
      </w:r>
      <w:r w:rsidR="00C07E54">
        <w:t xml:space="preserve"> prices</w:t>
      </w:r>
      <w:bookmarkEnd w:id="24"/>
    </w:p>
    <w:p w14:paraId="3287E564" w14:textId="7C8BD441" w:rsidR="004D7F7B" w:rsidRDefault="004D7F7B" w:rsidP="004D7F7B">
      <w:pPr>
        <w:pStyle w:val="Heading4"/>
      </w:pPr>
      <w:r>
        <w:t xml:space="preserve">The median gap </w:t>
      </w:r>
      <w:r w:rsidR="00F22D64">
        <w:t>of</w:t>
      </w:r>
      <w:r>
        <w:t xml:space="preserve"> items </w:t>
      </w:r>
      <w:r w:rsidR="00E30AC4">
        <w:t xml:space="preserve">with benefits </w:t>
      </w:r>
      <w:r w:rsidR="00507A39">
        <w:t xml:space="preserve">above </w:t>
      </w:r>
      <w:r w:rsidR="00E30AC4">
        <w:t>their public benchmarks</w:t>
      </w:r>
      <w:r>
        <w:t xml:space="preserve"> fell from $177 to $61</w:t>
      </w:r>
      <w:r w:rsidR="00507A39">
        <w:t>, while the median gap for all item</w:t>
      </w:r>
      <w:r w:rsidR="004A774D">
        <w:t xml:space="preserve">s </w:t>
      </w:r>
      <w:r w:rsidR="00465988">
        <w:t>fell from $24 to $12</w:t>
      </w:r>
    </w:p>
    <w:p w14:paraId="010E5143" w14:textId="4DE0248D" w:rsidR="00C271AF" w:rsidRDefault="004E3E2A" w:rsidP="005E28B1">
      <w:pPr>
        <w:rPr>
          <w:lang w:val="en-AU" w:eastAsia="en-AU"/>
        </w:rPr>
      </w:pPr>
      <w:r>
        <w:rPr>
          <w:lang w:val="en-AU" w:eastAsia="en-AU"/>
        </w:rPr>
        <w:t>A</w:t>
      </w:r>
      <w:r w:rsidR="000476D6">
        <w:rPr>
          <w:lang w:val="en-AU" w:eastAsia="en-AU"/>
        </w:rPr>
        <w:t xml:space="preserve"> </w:t>
      </w:r>
      <w:r>
        <w:rPr>
          <w:lang w:val="en-AU" w:eastAsia="en-AU"/>
        </w:rPr>
        <w:t>smaller</w:t>
      </w:r>
      <w:r w:rsidR="000476D6">
        <w:rPr>
          <w:lang w:val="en-AU" w:eastAsia="en-AU"/>
        </w:rPr>
        <w:t xml:space="preserve"> gap between PL </w:t>
      </w:r>
      <w:r w:rsidR="00865C9F">
        <w:rPr>
          <w:lang w:val="en-AU" w:eastAsia="en-AU"/>
        </w:rPr>
        <w:t>items’</w:t>
      </w:r>
      <w:r w:rsidR="000476D6">
        <w:rPr>
          <w:lang w:val="en-AU" w:eastAsia="en-AU"/>
        </w:rPr>
        <w:t xml:space="preserve"> benefits and </w:t>
      </w:r>
      <w:r w:rsidR="002F745A">
        <w:rPr>
          <w:lang w:val="en-AU" w:eastAsia="en-AU"/>
        </w:rPr>
        <w:t xml:space="preserve">public </w:t>
      </w:r>
      <w:r w:rsidR="00865C9F">
        <w:rPr>
          <w:lang w:val="en-AU" w:eastAsia="en-AU"/>
        </w:rPr>
        <w:t>benchmarks (</w:t>
      </w:r>
      <w:r w:rsidR="001B0D49">
        <w:rPr>
          <w:lang w:val="en-AU" w:eastAsia="en-AU"/>
        </w:rPr>
        <w:t xml:space="preserve">Weighted Average Prices </w:t>
      </w:r>
      <w:r w:rsidR="00865C9F">
        <w:rPr>
          <w:lang w:val="en-AU" w:eastAsia="en-AU"/>
        </w:rPr>
        <w:t>compiled by IHACPA)</w:t>
      </w:r>
      <w:r w:rsidR="00043E96">
        <w:rPr>
          <w:lang w:val="en-AU" w:eastAsia="en-AU"/>
        </w:rPr>
        <w:t xml:space="preserve"> </w:t>
      </w:r>
      <w:r>
        <w:rPr>
          <w:lang w:val="en-AU" w:eastAsia="en-AU"/>
        </w:rPr>
        <w:t xml:space="preserve">across the board </w:t>
      </w:r>
      <w:r w:rsidR="00D45907">
        <w:rPr>
          <w:lang w:val="en-AU" w:eastAsia="en-AU"/>
        </w:rPr>
        <w:t xml:space="preserve">indicates </w:t>
      </w:r>
      <w:r>
        <w:rPr>
          <w:lang w:val="en-AU" w:eastAsia="en-AU"/>
        </w:rPr>
        <w:t xml:space="preserve">the </w:t>
      </w:r>
      <w:r w:rsidR="00CB5118">
        <w:rPr>
          <w:lang w:val="en-AU" w:eastAsia="en-AU"/>
        </w:rPr>
        <w:t xml:space="preserve">benefit reductions are achieving </w:t>
      </w:r>
      <w:r w:rsidR="20B88510">
        <w:rPr>
          <w:lang w:val="en-AU" w:eastAsia="en-AU"/>
        </w:rPr>
        <w:t xml:space="preserve">the </w:t>
      </w:r>
      <w:r w:rsidR="2A722FD5">
        <w:rPr>
          <w:lang w:val="en-AU" w:eastAsia="en-AU"/>
        </w:rPr>
        <w:t xml:space="preserve">stated objective </w:t>
      </w:r>
      <w:r w:rsidR="003B75A6">
        <w:rPr>
          <w:lang w:val="en-AU" w:eastAsia="en-AU"/>
        </w:rPr>
        <w:t xml:space="preserve">of improving the alignment of </w:t>
      </w:r>
      <w:r w:rsidR="00F024FC">
        <w:rPr>
          <w:lang w:val="en-AU" w:eastAsia="en-AU"/>
        </w:rPr>
        <w:t>PL benefits with more</w:t>
      </w:r>
      <w:r w:rsidR="00D45907">
        <w:rPr>
          <w:lang w:val="en-AU" w:eastAsia="en-AU"/>
        </w:rPr>
        <w:t xml:space="preserve"> </w:t>
      </w:r>
      <w:r w:rsidR="005831D9">
        <w:rPr>
          <w:lang w:val="en-AU" w:eastAsia="en-AU"/>
        </w:rPr>
        <w:t>competitive markets.</w:t>
      </w:r>
      <w:r w:rsidR="00C271AF">
        <w:rPr>
          <w:lang w:val="en-AU" w:eastAsia="en-AU"/>
        </w:rPr>
        <w:t xml:space="preserve"> </w:t>
      </w:r>
      <w:r w:rsidR="00FF3B71">
        <w:rPr>
          <w:lang w:val="en-AU" w:eastAsia="en-AU"/>
        </w:rPr>
        <w:fldChar w:fldCharType="begin"/>
      </w:r>
      <w:r w:rsidR="00FF3B71">
        <w:rPr>
          <w:lang w:val="en-AU" w:eastAsia="en-AU"/>
        </w:rPr>
        <w:instrText xml:space="preserve"> REF _Ref172234912 \h </w:instrText>
      </w:r>
      <w:r w:rsidR="00FF3B71">
        <w:rPr>
          <w:lang w:val="en-AU" w:eastAsia="en-AU"/>
        </w:rPr>
      </w:r>
      <w:r w:rsidR="00FF3B71">
        <w:rPr>
          <w:lang w:val="en-AU" w:eastAsia="en-AU"/>
        </w:rPr>
        <w:fldChar w:fldCharType="separate"/>
      </w:r>
      <w:r w:rsidR="009B5D8D">
        <w:t xml:space="preserve">Figure </w:t>
      </w:r>
      <w:r w:rsidR="009B5D8D">
        <w:rPr>
          <w:noProof/>
        </w:rPr>
        <w:t>4</w:t>
      </w:r>
      <w:r w:rsidR="00FF3B71">
        <w:rPr>
          <w:lang w:val="en-AU" w:eastAsia="en-AU"/>
        </w:rPr>
        <w:fldChar w:fldCharType="end"/>
      </w:r>
      <w:r w:rsidR="00FF3B71">
        <w:rPr>
          <w:lang w:val="en-AU" w:eastAsia="en-AU"/>
        </w:rPr>
        <w:t xml:space="preserve"> shows that </w:t>
      </w:r>
      <w:r w:rsidR="0059646E">
        <w:rPr>
          <w:lang w:val="en-AU" w:eastAsia="en-AU"/>
        </w:rPr>
        <w:t xml:space="preserve">the median gap for all items </w:t>
      </w:r>
      <w:r w:rsidR="001A2E63">
        <w:rPr>
          <w:lang w:val="en-AU" w:eastAsia="en-AU"/>
        </w:rPr>
        <w:t xml:space="preserve">fell from </w:t>
      </w:r>
      <w:r w:rsidR="00E3086D">
        <w:rPr>
          <w:lang w:val="en-AU" w:eastAsia="en-AU"/>
        </w:rPr>
        <w:t xml:space="preserve">$24 to $12 </w:t>
      </w:r>
      <w:r w:rsidR="007A36C5">
        <w:rPr>
          <w:lang w:val="en-AU" w:eastAsia="en-AU"/>
        </w:rPr>
        <w:t xml:space="preserve">after benefit reductions in July 2022 and July 2023. </w:t>
      </w:r>
      <w:r w:rsidR="006E7DAC">
        <w:rPr>
          <w:lang w:val="en-AU" w:eastAsia="en-AU"/>
        </w:rPr>
        <w:t xml:space="preserve">Looking at </w:t>
      </w:r>
      <w:r w:rsidR="005B2B9C">
        <w:rPr>
          <w:lang w:val="en-AU" w:eastAsia="en-AU"/>
        </w:rPr>
        <w:t>the</w:t>
      </w:r>
      <w:r w:rsidR="005F6980">
        <w:rPr>
          <w:lang w:val="en-AU" w:eastAsia="en-AU"/>
        </w:rPr>
        <w:t xml:space="preserve"> items </w:t>
      </w:r>
      <w:r w:rsidR="00CE4AF3">
        <w:rPr>
          <w:lang w:val="en-AU" w:eastAsia="en-AU"/>
        </w:rPr>
        <w:t xml:space="preserve">where a gap </w:t>
      </w:r>
      <w:r w:rsidR="00F27E77">
        <w:rPr>
          <w:lang w:val="en-AU" w:eastAsia="en-AU"/>
        </w:rPr>
        <w:t>was</w:t>
      </w:r>
      <w:r w:rsidR="00CE4AF3">
        <w:rPr>
          <w:lang w:val="en-AU" w:eastAsia="en-AU"/>
        </w:rPr>
        <w:t xml:space="preserve"> present</w:t>
      </w:r>
      <w:r w:rsidR="005B2B9C">
        <w:rPr>
          <w:lang w:val="en-AU" w:eastAsia="en-AU"/>
        </w:rPr>
        <w:t xml:space="preserve"> (approximately half</w:t>
      </w:r>
      <w:r w:rsidR="00B41953">
        <w:rPr>
          <w:lang w:val="en-AU" w:eastAsia="en-AU"/>
        </w:rPr>
        <w:t xml:space="preserve"> of </w:t>
      </w:r>
      <w:r w:rsidR="005B2B9C">
        <w:rPr>
          <w:lang w:val="en-AU" w:eastAsia="en-AU"/>
        </w:rPr>
        <w:t>all PL items),</w:t>
      </w:r>
      <w:r w:rsidR="00B41953">
        <w:rPr>
          <w:lang w:val="en-AU" w:eastAsia="en-AU"/>
        </w:rPr>
        <w:t xml:space="preserve"> the median </w:t>
      </w:r>
      <w:r w:rsidR="00B44F91">
        <w:rPr>
          <w:lang w:val="en-AU" w:eastAsia="en-AU"/>
        </w:rPr>
        <w:t xml:space="preserve">gap fell </w:t>
      </w:r>
      <w:r w:rsidR="00D40062">
        <w:rPr>
          <w:lang w:val="en-AU" w:eastAsia="en-AU"/>
        </w:rPr>
        <w:t>from $</w:t>
      </w:r>
      <w:r w:rsidR="005A5A41">
        <w:rPr>
          <w:lang w:val="en-AU" w:eastAsia="en-AU"/>
        </w:rPr>
        <w:t xml:space="preserve">177 </w:t>
      </w:r>
      <w:r w:rsidR="00B44F91">
        <w:rPr>
          <w:lang w:val="en-AU" w:eastAsia="en-AU"/>
        </w:rPr>
        <w:t>to $</w:t>
      </w:r>
      <w:r w:rsidR="00031DF5">
        <w:rPr>
          <w:lang w:val="en-AU" w:eastAsia="en-AU"/>
        </w:rPr>
        <w:t>61</w:t>
      </w:r>
      <w:r w:rsidR="005A5A41">
        <w:rPr>
          <w:lang w:val="en-AU" w:eastAsia="en-AU"/>
        </w:rPr>
        <w:t>.</w:t>
      </w:r>
      <w:r w:rsidR="005B5478">
        <w:rPr>
          <w:rStyle w:val="FootnoteReference"/>
          <w:lang w:val="en-AU" w:eastAsia="en-AU"/>
        </w:rPr>
        <w:footnoteReference w:id="17"/>
      </w:r>
    </w:p>
    <w:p w14:paraId="5732464E" w14:textId="689C753B" w:rsidR="00C8055C" w:rsidRDefault="00C8055C" w:rsidP="00C8055C">
      <w:pPr>
        <w:pStyle w:val="Caption"/>
      </w:pPr>
      <w:bookmarkStart w:id="25" w:name="_Ref172234912"/>
      <w:r>
        <w:lastRenderedPageBreak/>
        <w:t xml:space="preserve">Figure </w:t>
      </w:r>
      <w:r>
        <w:fldChar w:fldCharType="begin"/>
      </w:r>
      <w:r>
        <w:instrText xml:space="preserve"> SEQ Figure \* ARABIC </w:instrText>
      </w:r>
      <w:r>
        <w:fldChar w:fldCharType="separate"/>
      </w:r>
      <w:r w:rsidR="009B5D8D">
        <w:rPr>
          <w:noProof/>
        </w:rPr>
        <w:t>4</w:t>
      </w:r>
      <w:r>
        <w:fldChar w:fldCharType="end"/>
      </w:r>
      <w:bookmarkEnd w:id="25"/>
      <w:r>
        <w:t xml:space="preserve"> | Median gap with public benchmark prices</w:t>
      </w:r>
      <w:r w:rsidR="00C540DF">
        <w:t xml:space="preserve"> (Parts A and D, excluding CIEDs)</w:t>
      </w:r>
      <w:r w:rsidR="005B5478">
        <w:rPr>
          <w:rStyle w:val="FootnoteReference"/>
        </w:rPr>
        <w:footnoteReference w:id="18"/>
      </w:r>
    </w:p>
    <w:p w14:paraId="5F99504B" w14:textId="33E0160B" w:rsidR="00C8055C" w:rsidRPr="00C8055C" w:rsidRDefault="00E143D3" w:rsidP="00C8055C">
      <w:pPr>
        <w:rPr>
          <w:lang w:val="en-AU"/>
        </w:rPr>
      </w:pPr>
      <w:r w:rsidRPr="00E143D3">
        <w:rPr>
          <w:noProof/>
          <w:lang w:val="en-AU"/>
        </w:rPr>
        <w:drawing>
          <wp:inline distT="0" distB="0" distL="0" distR="0" wp14:anchorId="36BA7A3D" wp14:editId="3C967748">
            <wp:extent cx="5760085" cy="2127885"/>
            <wp:effectExtent l="0" t="0" r="0" b="5715"/>
            <wp:docPr id="834883681" name="Picture 21" descr="A figure that compares the median gap for items on the PL to the public benchmark prices from prior to first reductions and after July 2023 red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3681" name="Picture 21" descr="A figure that compares the median gap for items on the PL to the public benchmark prices from prior to first reductions and after July 2023 reductions. "/>
                    <pic:cNvPicPr/>
                  </pic:nvPicPr>
                  <pic:blipFill>
                    <a:blip r:embed="rId38"/>
                    <a:stretch>
                      <a:fillRect/>
                    </a:stretch>
                  </pic:blipFill>
                  <pic:spPr>
                    <a:xfrm>
                      <a:off x="0" y="0"/>
                      <a:ext cx="5760085" cy="2127885"/>
                    </a:xfrm>
                    <a:prstGeom prst="rect">
                      <a:avLst/>
                    </a:prstGeom>
                  </pic:spPr>
                </pic:pic>
              </a:graphicData>
            </a:graphic>
          </wp:inline>
        </w:drawing>
      </w:r>
    </w:p>
    <w:p w14:paraId="42CAA611" w14:textId="53549EA2" w:rsidR="000C1376" w:rsidRPr="00C8055C" w:rsidRDefault="00797A85" w:rsidP="00C8055C">
      <w:pPr>
        <w:rPr>
          <w:lang w:val="en-AU"/>
        </w:rPr>
      </w:pPr>
      <w:r>
        <w:rPr>
          <w:lang w:val="en-AU"/>
        </w:rPr>
        <w:fldChar w:fldCharType="begin"/>
      </w:r>
      <w:r>
        <w:rPr>
          <w:lang w:val="en-AU"/>
        </w:rPr>
        <w:instrText xml:space="preserve"> REF _Ref172235492 \h </w:instrText>
      </w:r>
      <w:r>
        <w:rPr>
          <w:lang w:val="en-AU"/>
        </w:rPr>
      </w:r>
      <w:r>
        <w:rPr>
          <w:lang w:val="en-AU"/>
        </w:rPr>
        <w:fldChar w:fldCharType="separate"/>
      </w:r>
      <w:r w:rsidR="009B5D8D">
        <w:t xml:space="preserve">Table </w:t>
      </w:r>
      <w:r w:rsidR="009B5D8D">
        <w:rPr>
          <w:noProof/>
        </w:rPr>
        <w:t>2</w:t>
      </w:r>
      <w:r>
        <w:rPr>
          <w:lang w:val="en-AU"/>
        </w:rPr>
        <w:fldChar w:fldCharType="end"/>
      </w:r>
      <w:r>
        <w:rPr>
          <w:lang w:val="en-AU"/>
        </w:rPr>
        <w:t xml:space="preserve"> shows that there is a </w:t>
      </w:r>
      <w:r w:rsidR="00E1720C">
        <w:rPr>
          <w:lang w:val="en-AU"/>
        </w:rPr>
        <w:t xml:space="preserve">closer alignment of benefits with public hospital prices </w:t>
      </w:r>
      <w:r>
        <w:rPr>
          <w:lang w:val="en-AU"/>
        </w:rPr>
        <w:t>across all PL categories.</w:t>
      </w:r>
      <w:r w:rsidR="002D6F65">
        <w:rPr>
          <w:lang w:val="en-AU"/>
        </w:rPr>
        <w:t xml:space="preserve"> </w:t>
      </w:r>
      <w:r w:rsidR="000D5C3C">
        <w:rPr>
          <w:lang w:val="en-AU"/>
        </w:rPr>
        <w:t xml:space="preserve">The median gap </w:t>
      </w:r>
      <w:r w:rsidR="003F46BD">
        <w:rPr>
          <w:lang w:val="en-AU"/>
        </w:rPr>
        <w:t xml:space="preserve">(for items where a gap exists) </w:t>
      </w:r>
      <w:r w:rsidR="00CF15F7">
        <w:rPr>
          <w:lang w:val="en-AU"/>
        </w:rPr>
        <w:t xml:space="preserve">has fallen below 15% for all categories except for the cardiac category </w:t>
      </w:r>
      <w:r w:rsidR="00BD7BE1">
        <w:rPr>
          <w:lang w:val="en-AU"/>
        </w:rPr>
        <w:t>(CIEDs excluded)</w:t>
      </w:r>
      <w:r w:rsidR="002F7EB1">
        <w:rPr>
          <w:lang w:val="en-AU"/>
        </w:rPr>
        <w:t xml:space="preserve">. </w:t>
      </w:r>
      <w:r w:rsidR="00CD1210">
        <w:rPr>
          <w:lang w:val="en-AU"/>
        </w:rPr>
        <w:t xml:space="preserve">For </w:t>
      </w:r>
      <w:r w:rsidR="007E0BA3">
        <w:rPr>
          <w:lang w:val="en-AU"/>
        </w:rPr>
        <w:t xml:space="preserve">non-CIED cardiac </w:t>
      </w:r>
      <w:r w:rsidR="00EC52AD">
        <w:rPr>
          <w:lang w:val="en-AU"/>
        </w:rPr>
        <w:t>items</w:t>
      </w:r>
      <w:r w:rsidR="007E0BA3">
        <w:rPr>
          <w:lang w:val="en-AU"/>
        </w:rPr>
        <w:t>, there remains a</w:t>
      </w:r>
      <w:r w:rsidR="00F95455">
        <w:rPr>
          <w:lang w:val="en-AU"/>
        </w:rPr>
        <w:t xml:space="preserve"> median gap of 81% ($</w:t>
      </w:r>
      <w:r w:rsidR="00C4474E">
        <w:rPr>
          <w:lang w:val="en-AU"/>
        </w:rPr>
        <w:t>628) after two rounds of reductions.</w:t>
      </w:r>
    </w:p>
    <w:p w14:paraId="7F2E15FF" w14:textId="317A6357" w:rsidR="005E28B1" w:rsidRDefault="005E28B1" w:rsidP="005E28B1">
      <w:pPr>
        <w:pStyle w:val="Caption"/>
        <w:spacing w:before="240" w:after="120"/>
      </w:pPr>
      <w:bookmarkStart w:id="26" w:name="_Ref172235492"/>
      <w:r>
        <w:t xml:space="preserve">Table </w:t>
      </w:r>
      <w:r>
        <w:fldChar w:fldCharType="begin"/>
      </w:r>
      <w:r>
        <w:instrText xml:space="preserve"> SEQ Table \* ARABIC </w:instrText>
      </w:r>
      <w:r>
        <w:fldChar w:fldCharType="separate"/>
      </w:r>
      <w:r w:rsidR="009B5D8D">
        <w:rPr>
          <w:noProof/>
        </w:rPr>
        <w:t>2</w:t>
      </w:r>
      <w:r>
        <w:fldChar w:fldCharType="end"/>
      </w:r>
      <w:bookmarkEnd w:id="26"/>
      <w:r>
        <w:t xml:space="preserve"> | </w:t>
      </w:r>
      <w:bookmarkStart w:id="27" w:name="OLE_LINK3"/>
      <w:r>
        <w:t xml:space="preserve">Gap between PL benefits and public benchmark prices </w:t>
      </w:r>
      <w:r w:rsidR="001E0D34">
        <w:t>for</w:t>
      </w:r>
      <w:r>
        <w:t xml:space="preserve"> items </w:t>
      </w:r>
      <w:r w:rsidR="001E0D34">
        <w:t xml:space="preserve">where a gap is present </w:t>
      </w:r>
      <w:r>
        <w:t>(Parts A and D, excluding CIED</w:t>
      </w:r>
      <w:r w:rsidR="009B2982">
        <w:t>s</w:t>
      </w:r>
      <w:r>
        <w:t>)</w:t>
      </w:r>
      <w:bookmarkEnd w:id="27"/>
      <w:r>
        <w:rPr>
          <w:rStyle w:val="FootnoteReference"/>
        </w:rPr>
        <w:footnoteReference w:id="19"/>
      </w:r>
    </w:p>
    <w:tbl>
      <w:tblPr>
        <w:tblStyle w:val="NOUS"/>
        <w:tblW w:w="9072" w:type="dxa"/>
        <w:tblLook w:val="04A0" w:firstRow="1" w:lastRow="0" w:firstColumn="1" w:lastColumn="0" w:noHBand="0" w:noVBand="1"/>
      </w:tblPr>
      <w:tblGrid>
        <w:gridCol w:w="3018"/>
        <w:gridCol w:w="1478"/>
        <w:gridCol w:w="1478"/>
        <w:gridCol w:w="1478"/>
        <w:gridCol w:w="1620"/>
      </w:tblGrid>
      <w:tr w:rsidR="005E28B1" w14:paraId="749BB126" w14:textId="77777777" w:rsidTr="009A0060">
        <w:trPr>
          <w:cnfStyle w:val="100000000000" w:firstRow="1" w:lastRow="0" w:firstColumn="0" w:lastColumn="0" w:oddVBand="0" w:evenVBand="0" w:oddHBand="0" w:evenHBand="0" w:firstRowFirstColumn="0" w:firstRowLastColumn="0" w:lastRowFirstColumn="0" w:lastRowLastColumn="0"/>
        </w:trPr>
        <w:tc>
          <w:tcPr>
            <w:tcW w:w="3018" w:type="dxa"/>
            <w:vAlign w:val="center"/>
          </w:tcPr>
          <w:p w14:paraId="260ED272" w14:textId="77777777" w:rsidR="005E28B1" w:rsidRDefault="005E28B1">
            <w:pPr>
              <w:pStyle w:val="TableNheader"/>
            </w:pPr>
            <w:r w:rsidRPr="0059516F">
              <w:rPr>
                <w:b w:val="0"/>
                <w:bCs/>
              </w:rPr>
              <w:t>Categories</w:t>
            </w:r>
          </w:p>
        </w:tc>
        <w:tc>
          <w:tcPr>
            <w:tcW w:w="1478" w:type="dxa"/>
            <w:vAlign w:val="center"/>
          </w:tcPr>
          <w:p w14:paraId="21AC2E2A" w14:textId="77777777" w:rsidR="005E28B1" w:rsidRDefault="005E28B1">
            <w:pPr>
              <w:pStyle w:val="TableNheader"/>
              <w:jc w:val="center"/>
            </w:pPr>
            <w:r w:rsidRPr="0059516F">
              <w:rPr>
                <w:b w:val="0"/>
                <w:bCs/>
              </w:rPr>
              <w:t>Median gap $</w:t>
            </w:r>
          </w:p>
        </w:tc>
        <w:tc>
          <w:tcPr>
            <w:tcW w:w="1478" w:type="dxa"/>
            <w:vAlign w:val="center"/>
          </w:tcPr>
          <w:p w14:paraId="6573D76C" w14:textId="77777777" w:rsidR="005E28B1" w:rsidRDefault="005E28B1">
            <w:pPr>
              <w:pStyle w:val="TableNheader"/>
              <w:jc w:val="center"/>
            </w:pPr>
            <w:r>
              <w:rPr>
                <w:b w:val="0"/>
                <w:bCs/>
              </w:rPr>
              <w:t>Gap $ change</w:t>
            </w:r>
          </w:p>
        </w:tc>
        <w:tc>
          <w:tcPr>
            <w:tcW w:w="1478" w:type="dxa"/>
          </w:tcPr>
          <w:p w14:paraId="281C4618" w14:textId="77777777" w:rsidR="005E28B1" w:rsidRDefault="005E28B1">
            <w:pPr>
              <w:pStyle w:val="TableNheader"/>
              <w:jc w:val="center"/>
            </w:pPr>
            <w:r w:rsidRPr="0059516F">
              <w:rPr>
                <w:b w:val="0"/>
                <w:bCs/>
              </w:rPr>
              <w:t>Median gap %</w:t>
            </w:r>
          </w:p>
        </w:tc>
        <w:tc>
          <w:tcPr>
            <w:tcW w:w="1620" w:type="dxa"/>
          </w:tcPr>
          <w:p w14:paraId="5FB9C3DC" w14:textId="77777777" w:rsidR="005E28B1" w:rsidRDefault="005E28B1">
            <w:pPr>
              <w:pStyle w:val="TableNheader"/>
              <w:jc w:val="center"/>
            </w:pPr>
            <w:r>
              <w:rPr>
                <w:b w:val="0"/>
                <w:bCs/>
              </w:rPr>
              <w:t>Gap % change</w:t>
            </w:r>
          </w:p>
        </w:tc>
      </w:tr>
      <w:tr w:rsidR="005E28B1" w14:paraId="7FC9B352" w14:textId="77777777" w:rsidTr="009A0060">
        <w:tc>
          <w:tcPr>
            <w:tcW w:w="3018" w:type="dxa"/>
          </w:tcPr>
          <w:p w14:paraId="13E80408" w14:textId="77777777" w:rsidR="005E28B1" w:rsidRDefault="005E28B1">
            <w:pPr>
              <w:pStyle w:val="TableNText"/>
            </w:pPr>
            <w:r w:rsidRPr="00E919F0">
              <w:rPr>
                <w:rFonts w:asciiTheme="majorHAnsi" w:hAnsiTheme="majorHAnsi" w:cstheme="majorHAnsi"/>
              </w:rPr>
              <w:t>01 - Ophthalmic</w:t>
            </w:r>
          </w:p>
        </w:tc>
        <w:tc>
          <w:tcPr>
            <w:tcW w:w="1478" w:type="dxa"/>
          </w:tcPr>
          <w:p w14:paraId="46EF58E2" w14:textId="77777777" w:rsidR="005E28B1" w:rsidRDefault="005E28B1">
            <w:pPr>
              <w:pStyle w:val="TableNText"/>
              <w:jc w:val="center"/>
            </w:pPr>
            <w:r w:rsidRPr="007F6215">
              <w:t>$33</w:t>
            </w:r>
          </w:p>
        </w:tc>
        <w:tc>
          <w:tcPr>
            <w:tcW w:w="1478" w:type="dxa"/>
          </w:tcPr>
          <w:p w14:paraId="6731B5DC" w14:textId="77777777" w:rsidR="005E28B1" w:rsidRPr="00CE0611" w:rsidRDefault="005E28B1">
            <w:pPr>
              <w:pStyle w:val="TableNText"/>
              <w:jc w:val="center"/>
              <w:rPr>
                <w:color w:val="F25E21" w:themeColor="accent2"/>
              </w:rPr>
            </w:pPr>
            <w:r w:rsidRPr="00CE0611">
              <w:rPr>
                <w:color w:val="F25E21" w:themeColor="accent2"/>
              </w:rPr>
              <w:t xml:space="preserve">-$25 </w:t>
            </w:r>
          </w:p>
        </w:tc>
        <w:tc>
          <w:tcPr>
            <w:tcW w:w="1478" w:type="dxa"/>
          </w:tcPr>
          <w:p w14:paraId="791A9801" w14:textId="77777777" w:rsidR="005E28B1" w:rsidRDefault="005E28B1">
            <w:pPr>
              <w:pStyle w:val="TableNText"/>
              <w:jc w:val="center"/>
            </w:pPr>
            <w:r w:rsidRPr="00814A1C">
              <w:t>13%</w:t>
            </w:r>
          </w:p>
        </w:tc>
        <w:tc>
          <w:tcPr>
            <w:tcW w:w="1620" w:type="dxa"/>
          </w:tcPr>
          <w:p w14:paraId="0C464B76" w14:textId="77777777" w:rsidR="005E28B1" w:rsidRPr="00766CEB" w:rsidRDefault="005E28B1">
            <w:pPr>
              <w:pStyle w:val="TableNText"/>
              <w:jc w:val="center"/>
              <w:rPr>
                <w:color w:val="F25E21" w:themeColor="accent2"/>
              </w:rPr>
            </w:pPr>
            <w:r w:rsidRPr="00766CEB">
              <w:rPr>
                <w:color w:val="F25E21" w:themeColor="accent2"/>
              </w:rPr>
              <w:t>-14%</w:t>
            </w:r>
          </w:p>
        </w:tc>
      </w:tr>
      <w:tr w:rsidR="005E28B1" w14:paraId="63C7E625" w14:textId="77777777" w:rsidTr="009A0060">
        <w:tc>
          <w:tcPr>
            <w:tcW w:w="3018" w:type="dxa"/>
          </w:tcPr>
          <w:p w14:paraId="77F15F99" w14:textId="77777777" w:rsidR="005E28B1" w:rsidRDefault="005E28B1">
            <w:pPr>
              <w:pStyle w:val="TableNText"/>
            </w:pPr>
            <w:r w:rsidRPr="00E919F0">
              <w:rPr>
                <w:rFonts w:asciiTheme="majorHAnsi" w:hAnsiTheme="majorHAnsi" w:cstheme="majorHAnsi"/>
              </w:rPr>
              <w:t>02 - Ear, Nose &amp; Throat</w:t>
            </w:r>
          </w:p>
        </w:tc>
        <w:tc>
          <w:tcPr>
            <w:tcW w:w="1478" w:type="dxa"/>
          </w:tcPr>
          <w:p w14:paraId="01ED78E1" w14:textId="77777777" w:rsidR="005E28B1" w:rsidRDefault="005E28B1">
            <w:pPr>
              <w:pStyle w:val="TableNText"/>
              <w:jc w:val="center"/>
            </w:pPr>
            <w:r w:rsidRPr="007F6215">
              <w:t>$24</w:t>
            </w:r>
          </w:p>
        </w:tc>
        <w:tc>
          <w:tcPr>
            <w:tcW w:w="1478" w:type="dxa"/>
          </w:tcPr>
          <w:p w14:paraId="0E4312CD" w14:textId="77777777" w:rsidR="005E28B1" w:rsidRPr="00CE0611" w:rsidRDefault="005E28B1">
            <w:pPr>
              <w:pStyle w:val="TableNText"/>
              <w:jc w:val="center"/>
              <w:rPr>
                <w:color w:val="F25E21" w:themeColor="accent2"/>
              </w:rPr>
            </w:pPr>
            <w:r w:rsidRPr="00CE0611">
              <w:rPr>
                <w:color w:val="F25E21" w:themeColor="accent2"/>
              </w:rPr>
              <w:t xml:space="preserve">-$21 </w:t>
            </w:r>
          </w:p>
        </w:tc>
        <w:tc>
          <w:tcPr>
            <w:tcW w:w="1478" w:type="dxa"/>
          </w:tcPr>
          <w:p w14:paraId="3E350BC1" w14:textId="77777777" w:rsidR="005E28B1" w:rsidRDefault="005E28B1">
            <w:pPr>
              <w:pStyle w:val="TableNText"/>
              <w:jc w:val="center"/>
            </w:pPr>
            <w:r w:rsidRPr="00814A1C">
              <w:t>12%</w:t>
            </w:r>
          </w:p>
        </w:tc>
        <w:tc>
          <w:tcPr>
            <w:tcW w:w="1620" w:type="dxa"/>
          </w:tcPr>
          <w:p w14:paraId="1410CE52" w14:textId="77777777" w:rsidR="005E28B1" w:rsidRPr="00766CEB" w:rsidRDefault="005E28B1">
            <w:pPr>
              <w:pStyle w:val="TableNText"/>
              <w:jc w:val="center"/>
              <w:rPr>
                <w:color w:val="F25E21" w:themeColor="accent2"/>
              </w:rPr>
            </w:pPr>
            <w:r w:rsidRPr="00766CEB">
              <w:rPr>
                <w:color w:val="F25E21" w:themeColor="accent2"/>
              </w:rPr>
              <w:t>-6%</w:t>
            </w:r>
          </w:p>
        </w:tc>
      </w:tr>
      <w:tr w:rsidR="005E28B1" w14:paraId="60C1F0C1" w14:textId="77777777" w:rsidTr="009A0060">
        <w:tc>
          <w:tcPr>
            <w:tcW w:w="3018" w:type="dxa"/>
          </w:tcPr>
          <w:p w14:paraId="06D508CA" w14:textId="77777777" w:rsidR="005E28B1" w:rsidRDefault="005E28B1">
            <w:pPr>
              <w:pStyle w:val="TableNText"/>
            </w:pPr>
            <w:r w:rsidRPr="00E919F0">
              <w:rPr>
                <w:rFonts w:asciiTheme="majorHAnsi" w:hAnsiTheme="majorHAnsi" w:cstheme="majorHAnsi"/>
              </w:rPr>
              <w:t>03 - General Miscellaneous</w:t>
            </w:r>
          </w:p>
        </w:tc>
        <w:tc>
          <w:tcPr>
            <w:tcW w:w="1478" w:type="dxa"/>
          </w:tcPr>
          <w:p w14:paraId="35BEDDB6" w14:textId="77777777" w:rsidR="005E28B1" w:rsidRDefault="005E28B1">
            <w:pPr>
              <w:pStyle w:val="TableNText"/>
              <w:jc w:val="center"/>
            </w:pPr>
            <w:r w:rsidRPr="007F6215">
              <w:t>$4</w:t>
            </w:r>
          </w:p>
        </w:tc>
        <w:tc>
          <w:tcPr>
            <w:tcW w:w="1478" w:type="dxa"/>
          </w:tcPr>
          <w:p w14:paraId="764C6F06" w14:textId="77777777" w:rsidR="005E28B1" w:rsidRPr="00CE0611" w:rsidRDefault="005E28B1">
            <w:pPr>
              <w:pStyle w:val="TableNText"/>
              <w:jc w:val="center"/>
              <w:rPr>
                <w:color w:val="F25E21" w:themeColor="accent2"/>
              </w:rPr>
            </w:pPr>
            <w:r w:rsidRPr="00CE0611">
              <w:rPr>
                <w:color w:val="F25E21" w:themeColor="accent2"/>
              </w:rPr>
              <w:t xml:space="preserve">-$25 </w:t>
            </w:r>
          </w:p>
        </w:tc>
        <w:tc>
          <w:tcPr>
            <w:tcW w:w="1478" w:type="dxa"/>
          </w:tcPr>
          <w:p w14:paraId="6D4C2633" w14:textId="77777777" w:rsidR="005E28B1" w:rsidRDefault="005E28B1">
            <w:pPr>
              <w:pStyle w:val="TableNText"/>
              <w:jc w:val="center"/>
            </w:pPr>
            <w:r w:rsidRPr="00814A1C">
              <w:t>3%</w:t>
            </w:r>
          </w:p>
        </w:tc>
        <w:tc>
          <w:tcPr>
            <w:tcW w:w="1620" w:type="dxa"/>
          </w:tcPr>
          <w:p w14:paraId="1D625775" w14:textId="77777777" w:rsidR="005E28B1" w:rsidRPr="00766CEB" w:rsidRDefault="005E28B1">
            <w:pPr>
              <w:pStyle w:val="TableNText"/>
              <w:jc w:val="center"/>
              <w:rPr>
                <w:color w:val="F25E21" w:themeColor="accent2"/>
              </w:rPr>
            </w:pPr>
            <w:r w:rsidRPr="00766CEB">
              <w:rPr>
                <w:color w:val="F25E21" w:themeColor="accent2"/>
              </w:rPr>
              <w:t>-9%</w:t>
            </w:r>
          </w:p>
        </w:tc>
      </w:tr>
      <w:tr w:rsidR="005E28B1" w14:paraId="35B62BE4" w14:textId="77777777" w:rsidTr="009A0060">
        <w:tc>
          <w:tcPr>
            <w:tcW w:w="3018" w:type="dxa"/>
          </w:tcPr>
          <w:p w14:paraId="0B3E005F" w14:textId="77777777" w:rsidR="005E28B1" w:rsidRDefault="005E28B1">
            <w:pPr>
              <w:pStyle w:val="TableNText"/>
            </w:pPr>
            <w:r w:rsidRPr="00E919F0">
              <w:rPr>
                <w:rFonts w:asciiTheme="majorHAnsi" w:hAnsiTheme="majorHAnsi" w:cstheme="majorHAnsi"/>
              </w:rPr>
              <w:t>04 - Neurosurgical</w:t>
            </w:r>
          </w:p>
        </w:tc>
        <w:tc>
          <w:tcPr>
            <w:tcW w:w="1478" w:type="dxa"/>
          </w:tcPr>
          <w:p w14:paraId="64A0F156" w14:textId="77777777" w:rsidR="005E28B1" w:rsidRDefault="005E28B1">
            <w:pPr>
              <w:pStyle w:val="TableNText"/>
              <w:jc w:val="center"/>
            </w:pPr>
            <w:r w:rsidRPr="007F6215">
              <w:t>$57</w:t>
            </w:r>
          </w:p>
        </w:tc>
        <w:tc>
          <w:tcPr>
            <w:tcW w:w="1478" w:type="dxa"/>
          </w:tcPr>
          <w:p w14:paraId="0D574C42" w14:textId="77777777" w:rsidR="005E28B1" w:rsidRPr="00CE0611" w:rsidRDefault="005E28B1">
            <w:pPr>
              <w:pStyle w:val="TableNText"/>
              <w:jc w:val="center"/>
              <w:rPr>
                <w:color w:val="F25E21" w:themeColor="accent2"/>
              </w:rPr>
            </w:pPr>
            <w:r w:rsidRPr="00CE0611">
              <w:rPr>
                <w:color w:val="F25E21" w:themeColor="accent2"/>
              </w:rPr>
              <w:t xml:space="preserve">-$161 </w:t>
            </w:r>
          </w:p>
        </w:tc>
        <w:tc>
          <w:tcPr>
            <w:tcW w:w="1478" w:type="dxa"/>
          </w:tcPr>
          <w:p w14:paraId="6915358C" w14:textId="77777777" w:rsidR="005E28B1" w:rsidRDefault="005E28B1">
            <w:pPr>
              <w:pStyle w:val="TableNText"/>
              <w:jc w:val="center"/>
            </w:pPr>
            <w:r w:rsidRPr="00814A1C">
              <w:t>9%</w:t>
            </w:r>
          </w:p>
        </w:tc>
        <w:tc>
          <w:tcPr>
            <w:tcW w:w="1620" w:type="dxa"/>
          </w:tcPr>
          <w:p w14:paraId="6DB43730" w14:textId="77777777" w:rsidR="005E28B1" w:rsidRPr="00766CEB" w:rsidRDefault="005E28B1">
            <w:pPr>
              <w:pStyle w:val="TableNText"/>
              <w:jc w:val="center"/>
              <w:rPr>
                <w:color w:val="F25E21" w:themeColor="accent2"/>
              </w:rPr>
            </w:pPr>
            <w:r w:rsidRPr="00766CEB">
              <w:rPr>
                <w:color w:val="F25E21" w:themeColor="accent2"/>
              </w:rPr>
              <w:t>-12%</w:t>
            </w:r>
          </w:p>
        </w:tc>
      </w:tr>
      <w:tr w:rsidR="005E28B1" w14:paraId="49B3255D" w14:textId="77777777" w:rsidTr="009A0060">
        <w:tc>
          <w:tcPr>
            <w:tcW w:w="3018" w:type="dxa"/>
          </w:tcPr>
          <w:p w14:paraId="28BEA29F" w14:textId="77777777" w:rsidR="005E28B1" w:rsidRDefault="005E28B1">
            <w:pPr>
              <w:pStyle w:val="TableNText"/>
            </w:pPr>
            <w:r w:rsidRPr="00E919F0">
              <w:rPr>
                <w:rFonts w:asciiTheme="majorHAnsi" w:hAnsiTheme="majorHAnsi" w:cstheme="majorHAnsi"/>
              </w:rPr>
              <w:t>05 - Urogenital</w:t>
            </w:r>
          </w:p>
        </w:tc>
        <w:tc>
          <w:tcPr>
            <w:tcW w:w="1478" w:type="dxa"/>
          </w:tcPr>
          <w:p w14:paraId="34716A9B" w14:textId="77777777" w:rsidR="005E28B1" w:rsidRDefault="005E28B1">
            <w:pPr>
              <w:pStyle w:val="TableNText"/>
              <w:jc w:val="center"/>
            </w:pPr>
            <w:r w:rsidRPr="007F6215">
              <w:t>$22</w:t>
            </w:r>
          </w:p>
        </w:tc>
        <w:tc>
          <w:tcPr>
            <w:tcW w:w="1478" w:type="dxa"/>
          </w:tcPr>
          <w:p w14:paraId="7E1382AA" w14:textId="77777777" w:rsidR="005E28B1" w:rsidRPr="00CE0611" w:rsidRDefault="005E28B1">
            <w:pPr>
              <w:pStyle w:val="TableNText"/>
              <w:jc w:val="center"/>
              <w:rPr>
                <w:color w:val="F25E21" w:themeColor="accent2"/>
              </w:rPr>
            </w:pPr>
            <w:r w:rsidRPr="00CE0611">
              <w:rPr>
                <w:color w:val="F25E21" w:themeColor="accent2"/>
              </w:rPr>
              <w:t xml:space="preserve">-$22 </w:t>
            </w:r>
          </w:p>
        </w:tc>
        <w:tc>
          <w:tcPr>
            <w:tcW w:w="1478" w:type="dxa"/>
          </w:tcPr>
          <w:p w14:paraId="4D88A31A" w14:textId="77777777" w:rsidR="005E28B1" w:rsidRDefault="005E28B1">
            <w:pPr>
              <w:pStyle w:val="TableNText"/>
              <w:jc w:val="center"/>
            </w:pPr>
            <w:r w:rsidRPr="00814A1C">
              <w:t>13%</w:t>
            </w:r>
          </w:p>
        </w:tc>
        <w:tc>
          <w:tcPr>
            <w:tcW w:w="1620" w:type="dxa"/>
          </w:tcPr>
          <w:p w14:paraId="0DE5F34A" w14:textId="77777777" w:rsidR="005E28B1" w:rsidRPr="00766CEB" w:rsidRDefault="005E28B1">
            <w:pPr>
              <w:pStyle w:val="TableNText"/>
              <w:jc w:val="center"/>
              <w:rPr>
                <w:color w:val="F25E21" w:themeColor="accent2"/>
              </w:rPr>
            </w:pPr>
            <w:r w:rsidRPr="00766CEB">
              <w:rPr>
                <w:color w:val="F25E21" w:themeColor="accent2"/>
              </w:rPr>
              <w:t>-18%</w:t>
            </w:r>
          </w:p>
        </w:tc>
      </w:tr>
      <w:tr w:rsidR="005E28B1" w14:paraId="0FDAE379" w14:textId="77777777" w:rsidTr="009A0060">
        <w:tc>
          <w:tcPr>
            <w:tcW w:w="3018" w:type="dxa"/>
          </w:tcPr>
          <w:p w14:paraId="78AD4590" w14:textId="77777777" w:rsidR="005E28B1" w:rsidRDefault="005E28B1">
            <w:pPr>
              <w:pStyle w:val="TableNText"/>
            </w:pPr>
            <w:r w:rsidRPr="00E919F0">
              <w:rPr>
                <w:rFonts w:asciiTheme="majorHAnsi" w:hAnsiTheme="majorHAnsi" w:cstheme="majorHAnsi"/>
              </w:rPr>
              <w:t>06 - Specialist Orthopaedic</w:t>
            </w:r>
          </w:p>
        </w:tc>
        <w:tc>
          <w:tcPr>
            <w:tcW w:w="1478" w:type="dxa"/>
          </w:tcPr>
          <w:p w14:paraId="2A528AEB" w14:textId="77777777" w:rsidR="005E28B1" w:rsidRDefault="005E28B1">
            <w:pPr>
              <w:pStyle w:val="TableNText"/>
              <w:jc w:val="center"/>
            </w:pPr>
            <w:r w:rsidRPr="007F6215">
              <w:t>$48</w:t>
            </w:r>
          </w:p>
        </w:tc>
        <w:tc>
          <w:tcPr>
            <w:tcW w:w="1478" w:type="dxa"/>
          </w:tcPr>
          <w:p w14:paraId="3BA81889" w14:textId="77777777" w:rsidR="005E28B1" w:rsidRPr="00CE0611" w:rsidRDefault="005E28B1">
            <w:pPr>
              <w:pStyle w:val="TableNText"/>
              <w:jc w:val="center"/>
              <w:rPr>
                <w:color w:val="F25E21" w:themeColor="accent2"/>
              </w:rPr>
            </w:pPr>
            <w:r w:rsidRPr="00CE0611">
              <w:rPr>
                <w:color w:val="F25E21" w:themeColor="accent2"/>
              </w:rPr>
              <w:t xml:space="preserve">-$117 </w:t>
            </w:r>
          </w:p>
        </w:tc>
        <w:tc>
          <w:tcPr>
            <w:tcW w:w="1478" w:type="dxa"/>
          </w:tcPr>
          <w:p w14:paraId="3AC21E54" w14:textId="77777777" w:rsidR="005E28B1" w:rsidRDefault="005E28B1">
            <w:pPr>
              <w:pStyle w:val="TableNText"/>
              <w:jc w:val="center"/>
            </w:pPr>
            <w:r w:rsidRPr="00814A1C">
              <w:t>13%</w:t>
            </w:r>
          </w:p>
        </w:tc>
        <w:tc>
          <w:tcPr>
            <w:tcW w:w="1620" w:type="dxa"/>
          </w:tcPr>
          <w:p w14:paraId="44125F32" w14:textId="77777777" w:rsidR="005E28B1" w:rsidRPr="00766CEB" w:rsidRDefault="005E28B1">
            <w:pPr>
              <w:pStyle w:val="TableNText"/>
              <w:jc w:val="center"/>
              <w:rPr>
                <w:color w:val="F25E21" w:themeColor="accent2"/>
              </w:rPr>
            </w:pPr>
            <w:r w:rsidRPr="00766CEB">
              <w:rPr>
                <w:color w:val="F25E21" w:themeColor="accent2"/>
              </w:rPr>
              <w:t>-30%</w:t>
            </w:r>
          </w:p>
        </w:tc>
      </w:tr>
      <w:tr w:rsidR="005E28B1" w14:paraId="601776B0" w14:textId="77777777" w:rsidTr="009A0060">
        <w:tc>
          <w:tcPr>
            <w:tcW w:w="3018" w:type="dxa"/>
          </w:tcPr>
          <w:p w14:paraId="5B55586C" w14:textId="77777777" w:rsidR="005E28B1" w:rsidRDefault="005E28B1">
            <w:pPr>
              <w:pStyle w:val="TableNText"/>
            </w:pPr>
            <w:r w:rsidRPr="00E919F0">
              <w:rPr>
                <w:rFonts w:asciiTheme="majorHAnsi" w:hAnsiTheme="majorHAnsi" w:cstheme="majorHAnsi"/>
              </w:rPr>
              <w:t>07 - Plastic and Reconstructive</w:t>
            </w:r>
          </w:p>
        </w:tc>
        <w:tc>
          <w:tcPr>
            <w:tcW w:w="1478" w:type="dxa"/>
          </w:tcPr>
          <w:p w14:paraId="742DFB4D" w14:textId="77777777" w:rsidR="005E28B1" w:rsidRDefault="005E28B1">
            <w:pPr>
              <w:pStyle w:val="TableNText"/>
              <w:jc w:val="center"/>
            </w:pPr>
            <w:r w:rsidRPr="007F6215">
              <w:t>$48</w:t>
            </w:r>
          </w:p>
        </w:tc>
        <w:tc>
          <w:tcPr>
            <w:tcW w:w="1478" w:type="dxa"/>
          </w:tcPr>
          <w:p w14:paraId="230EB189" w14:textId="77777777" w:rsidR="005E28B1" w:rsidRPr="00CE0611" w:rsidRDefault="005E28B1">
            <w:pPr>
              <w:pStyle w:val="TableNText"/>
              <w:jc w:val="center"/>
              <w:rPr>
                <w:color w:val="F25E21" w:themeColor="accent2"/>
              </w:rPr>
            </w:pPr>
            <w:r w:rsidRPr="00CE0611">
              <w:rPr>
                <w:color w:val="F25E21" w:themeColor="accent2"/>
              </w:rPr>
              <w:t xml:space="preserve">-$92 </w:t>
            </w:r>
          </w:p>
        </w:tc>
        <w:tc>
          <w:tcPr>
            <w:tcW w:w="1478" w:type="dxa"/>
          </w:tcPr>
          <w:p w14:paraId="05BD924A" w14:textId="77777777" w:rsidR="005E28B1" w:rsidRDefault="005E28B1">
            <w:pPr>
              <w:pStyle w:val="TableNText"/>
              <w:jc w:val="center"/>
            </w:pPr>
            <w:r w:rsidRPr="00814A1C">
              <w:t>13%</w:t>
            </w:r>
          </w:p>
        </w:tc>
        <w:tc>
          <w:tcPr>
            <w:tcW w:w="1620" w:type="dxa"/>
          </w:tcPr>
          <w:p w14:paraId="54A1D93A" w14:textId="77777777" w:rsidR="005E28B1" w:rsidRPr="00766CEB" w:rsidRDefault="005E28B1">
            <w:pPr>
              <w:pStyle w:val="TableNText"/>
              <w:jc w:val="center"/>
              <w:rPr>
                <w:color w:val="F25E21" w:themeColor="accent2"/>
              </w:rPr>
            </w:pPr>
            <w:r w:rsidRPr="00766CEB">
              <w:rPr>
                <w:color w:val="F25E21" w:themeColor="accent2"/>
              </w:rPr>
              <w:t>-15%</w:t>
            </w:r>
          </w:p>
        </w:tc>
      </w:tr>
      <w:tr w:rsidR="005E28B1" w14:paraId="38063528" w14:textId="77777777" w:rsidTr="009A0060">
        <w:tc>
          <w:tcPr>
            <w:tcW w:w="3018" w:type="dxa"/>
          </w:tcPr>
          <w:p w14:paraId="7F3117FF" w14:textId="36BC772B" w:rsidR="005E28B1" w:rsidRDefault="005E28B1">
            <w:pPr>
              <w:pStyle w:val="TableNText"/>
            </w:pPr>
            <w:r w:rsidRPr="00E919F0">
              <w:rPr>
                <w:rFonts w:asciiTheme="majorHAnsi" w:hAnsiTheme="majorHAnsi" w:cstheme="majorHAnsi"/>
              </w:rPr>
              <w:t>08 - Cardiac</w:t>
            </w:r>
            <w:r w:rsidR="00EB5C43">
              <w:t xml:space="preserve"> </w:t>
            </w:r>
            <w:r w:rsidR="00EB5C43" w:rsidRPr="00EB5C43">
              <w:rPr>
                <w:rFonts w:asciiTheme="majorHAnsi" w:hAnsiTheme="majorHAnsi" w:cstheme="majorHAnsi"/>
              </w:rPr>
              <w:t>(excluding CIEDs)</w:t>
            </w:r>
          </w:p>
        </w:tc>
        <w:tc>
          <w:tcPr>
            <w:tcW w:w="1478" w:type="dxa"/>
          </w:tcPr>
          <w:p w14:paraId="19729E94" w14:textId="77777777" w:rsidR="005E28B1" w:rsidRDefault="005E28B1">
            <w:pPr>
              <w:pStyle w:val="TableNText"/>
              <w:jc w:val="center"/>
            </w:pPr>
            <w:r w:rsidRPr="007F6215">
              <w:t>$628</w:t>
            </w:r>
          </w:p>
        </w:tc>
        <w:tc>
          <w:tcPr>
            <w:tcW w:w="1478" w:type="dxa"/>
          </w:tcPr>
          <w:p w14:paraId="5D3A60DE" w14:textId="77777777" w:rsidR="005E28B1" w:rsidRPr="00CE0611" w:rsidRDefault="005E28B1">
            <w:pPr>
              <w:pStyle w:val="TableNText"/>
              <w:jc w:val="center"/>
              <w:rPr>
                <w:color w:val="F25E21" w:themeColor="accent2"/>
              </w:rPr>
            </w:pPr>
            <w:r w:rsidRPr="00CE0611">
              <w:rPr>
                <w:color w:val="F25E21" w:themeColor="accent2"/>
              </w:rPr>
              <w:t xml:space="preserve">-$869 </w:t>
            </w:r>
          </w:p>
        </w:tc>
        <w:tc>
          <w:tcPr>
            <w:tcW w:w="1478" w:type="dxa"/>
          </w:tcPr>
          <w:p w14:paraId="23A2FAF8" w14:textId="77777777" w:rsidR="005E28B1" w:rsidRDefault="005E28B1">
            <w:pPr>
              <w:pStyle w:val="TableNText"/>
              <w:jc w:val="center"/>
            </w:pPr>
            <w:r w:rsidRPr="00814A1C">
              <w:t>81%</w:t>
            </w:r>
          </w:p>
        </w:tc>
        <w:tc>
          <w:tcPr>
            <w:tcW w:w="1620" w:type="dxa"/>
          </w:tcPr>
          <w:p w14:paraId="3E82B929" w14:textId="77777777" w:rsidR="005E28B1" w:rsidRPr="00766CEB" w:rsidRDefault="005E28B1">
            <w:pPr>
              <w:pStyle w:val="TableNText"/>
              <w:jc w:val="center"/>
              <w:rPr>
                <w:color w:val="F25E21" w:themeColor="accent2"/>
              </w:rPr>
            </w:pPr>
            <w:r w:rsidRPr="00766CEB">
              <w:rPr>
                <w:color w:val="F25E21" w:themeColor="accent2"/>
              </w:rPr>
              <w:t>-106%</w:t>
            </w:r>
          </w:p>
        </w:tc>
      </w:tr>
      <w:tr w:rsidR="005E28B1" w14:paraId="01B2D849" w14:textId="77777777" w:rsidTr="009A0060">
        <w:tc>
          <w:tcPr>
            <w:tcW w:w="3018" w:type="dxa"/>
          </w:tcPr>
          <w:p w14:paraId="61322283" w14:textId="77777777" w:rsidR="005E28B1" w:rsidRDefault="005E28B1">
            <w:pPr>
              <w:pStyle w:val="TableNText"/>
            </w:pPr>
            <w:r w:rsidRPr="00E919F0">
              <w:rPr>
                <w:rFonts w:asciiTheme="majorHAnsi" w:hAnsiTheme="majorHAnsi" w:cstheme="majorHAnsi"/>
              </w:rPr>
              <w:t>09 - Cardiothoracic</w:t>
            </w:r>
          </w:p>
        </w:tc>
        <w:tc>
          <w:tcPr>
            <w:tcW w:w="1478" w:type="dxa"/>
          </w:tcPr>
          <w:p w14:paraId="5B62D368" w14:textId="77777777" w:rsidR="005E28B1" w:rsidRDefault="005E28B1">
            <w:pPr>
              <w:pStyle w:val="TableNText"/>
              <w:jc w:val="center"/>
            </w:pPr>
            <w:r w:rsidRPr="007F6215">
              <w:t>$138</w:t>
            </w:r>
          </w:p>
        </w:tc>
        <w:tc>
          <w:tcPr>
            <w:tcW w:w="1478" w:type="dxa"/>
          </w:tcPr>
          <w:p w14:paraId="7955121F" w14:textId="77777777" w:rsidR="005E28B1" w:rsidRPr="00CE0611" w:rsidRDefault="005E28B1">
            <w:pPr>
              <w:pStyle w:val="TableNText"/>
              <w:jc w:val="center"/>
              <w:rPr>
                <w:color w:val="F25E21" w:themeColor="accent2"/>
              </w:rPr>
            </w:pPr>
            <w:r w:rsidRPr="00CE0611">
              <w:rPr>
                <w:color w:val="F25E21" w:themeColor="accent2"/>
              </w:rPr>
              <w:t xml:space="preserve">-$518 </w:t>
            </w:r>
          </w:p>
        </w:tc>
        <w:tc>
          <w:tcPr>
            <w:tcW w:w="1478" w:type="dxa"/>
          </w:tcPr>
          <w:p w14:paraId="4FA52B31" w14:textId="77777777" w:rsidR="005E28B1" w:rsidRDefault="005E28B1">
            <w:pPr>
              <w:pStyle w:val="TableNText"/>
              <w:jc w:val="center"/>
            </w:pPr>
            <w:r w:rsidRPr="00814A1C">
              <w:t>5%</w:t>
            </w:r>
          </w:p>
        </w:tc>
        <w:tc>
          <w:tcPr>
            <w:tcW w:w="1620" w:type="dxa"/>
          </w:tcPr>
          <w:p w14:paraId="0E76E16D" w14:textId="77777777" w:rsidR="005E28B1" w:rsidRPr="00766CEB" w:rsidRDefault="005E28B1">
            <w:pPr>
              <w:pStyle w:val="TableNText"/>
              <w:jc w:val="center"/>
              <w:rPr>
                <w:color w:val="F25E21" w:themeColor="accent2"/>
              </w:rPr>
            </w:pPr>
            <w:r w:rsidRPr="00766CEB">
              <w:rPr>
                <w:color w:val="F25E21" w:themeColor="accent2"/>
              </w:rPr>
              <w:t>-18%</w:t>
            </w:r>
          </w:p>
        </w:tc>
      </w:tr>
      <w:tr w:rsidR="005E28B1" w14:paraId="48DA37AA" w14:textId="77777777" w:rsidTr="009A0060">
        <w:tc>
          <w:tcPr>
            <w:tcW w:w="3018" w:type="dxa"/>
          </w:tcPr>
          <w:p w14:paraId="45201926" w14:textId="77777777" w:rsidR="005E28B1" w:rsidRDefault="005E28B1">
            <w:pPr>
              <w:pStyle w:val="TableNText"/>
            </w:pPr>
            <w:r w:rsidRPr="00E919F0">
              <w:rPr>
                <w:rFonts w:asciiTheme="majorHAnsi" w:hAnsiTheme="majorHAnsi" w:cstheme="majorHAnsi"/>
              </w:rPr>
              <w:t>10 - Vascular</w:t>
            </w:r>
          </w:p>
        </w:tc>
        <w:tc>
          <w:tcPr>
            <w:tcW w:w="1478" w:type="dxa"/>
          </w:tcPr>
          <w:p w14:paraId="7B719C39" w14:textId="77777777" w:rsidR="005E28B1" w:rsidRDefault="005E28B1">
            <w:pPr>
              <w:pStyle w:val="TableNText"/>
              <w:jc w:val="center"/>
            </w:pPr>
            <w:r w:rsidRPr="007F6215">
              <w:t>$96</w:t>
            </w:r>
          </w:p>
        </w:tc>
        <w:tc>
          <w:tcPr>
            <w:tcW w:w="1478" w:type="dxa"/>
          </w:tcPr>
          <w:p w14:paraId="50832A3F" w14:textId="77777777" w:rsidR="005E28B1" w:rsidRPr="00CE0611" w:rsidRDefault="005E28B1">
            <w:pPr>
              <w:pStyle w:val="TableNText"/>
              <w:jc w:val="center"/>
              <w:rPr>
                <w:color w:val="F25E21" w:themeColor="accent2"/>
              </w:rPr>
            </w:pPr>
            <w:r w:rsidRPr="00CE0611">
              <w:rPr>
                <w:color w:val="F25E21" w:themeColor="accent2"/>
              </w:rPr>
              <w:t xml:space="preserve">-$177 </w:t>
            </w:r>
          </w:p>
        </w:tc>
        <w:tc>
          <w:tcPr>
            <w:tcW w:w="1478" w:type="dxa"/>
          </w:tcPr>
          <w:p w14:paraId="52F89052" w14:textId="77777777" w:rsidR="005E28B1" w:rsidRDefault="005E28B1">
            <w:pPr>
              <w:pStyle w:val="TableNText"/>
              <w:jc w:val="center"/>
            </w:pPr>
            <w:r w:rsidRPr="00814A1C">
              <w:t>14%</w:t>
            </w:r>
          </w:p>
        </w:tc>
        <w:tc>
          <w:tcPr>
            <w:tcW w:w="1620" w:type="dxa"/>
          </w:tcPr>
          <w:p w14:paraId="24C58709" w14:textId="77777777" w:rsidR="005E28B1" w:rsidRPr="00766CEB" w:rsidRDefault="005E28B1">
            <w:pPr>
              <w:pStyle w:val="TableNText"/>
              <w:jc w:val="center"/>
              <w:rPr>
                <w:color w:val="F25E21" w:themeColor="accent2"/>
              </w:rPr>
            </w:pPr>
            <w:r w:rsidRPr="00766CEB">
              <w:rPr>
                <w:color w:val="F25E21" w:themeColor="accent2"/>
              </w:rPr>
              <w:t>-31%</w:t>
            </w:r>
          </w:p>
        </w:tc>
      </w:tr>
      <w:tr w:rsidR="005E28B1" w14:paraId="5CA18311" w14:textId="77777777" w:rsidTr="009A0060">
        <w:tc>
          <w:tcPr>
            <w:tcW w:w="3018" w:type="dxa"/>
          </w:tcPr>
          <w:p w14:paraId="769654F6" w14:textId="77777777" w:rsidR="005E28B1" w:rsidRDefault="005E28B1">
            <w:pPr>
              <w:pStyle w:val="TableNText"/>
            </w:pPr>
            <w:r w:rsidRPr="00E919F0">
              <w:rPr>
                <w:rFonts w:asciiTheme="majorHAnsi" w:hAnsiTheme="majorHAnsi" w:cstheme="majorHAnsi"/>
              </w:rPr>
              <w:t>11 - Hip</w:t>
            </w:r>
          </w:p>
        </w:tc>
        <w:tc>
          <w:tcPr>
            <w:tcW w:w="1478" w:type="dxa"/>
          </w:tcPr>
          <w:p w14:paraId="00466A44" w14:textId="77777777" w:rsidR="005E28B1" w:rsidRDefault="005E28B1">
            <w:pPr>
              <w:pStyle w:val="TableNText"/>
              <w:jc w:val="center"/>
            </w:pPr>
            <w:r w:rsidRPr="007F6215">
              <w:t>$89</w:t>
            </w:r>
          </w:p>
        </w:tc>
        <w:tc>
          <w:tcPr>
            <w:tcW w:w="1478" w:type="dxa"/>
          </w:tcPr>
          <w:p w14:paraId="286760C9" w14:textId="77777777" w:rsidR="005E28B1" w:rsidRPr="00CE0611" w:rsidRDefault="005E28B1">
            <w:pPr>
              <w:pStyle w:val="TableNText"/>
              <w:jc w:val="center"/>
              <w:rPr>
                <w:color w:val="F25E21" w:themeColor="accent2"/>
              </w:rPr>
            </w:pPr>
            <w:r w:rsidRPr="00CE0611">
              <w:rPr>
                <w:color w:val="F25E21" w:themeColor="accent2"/>
              </w:rPr>
              <w:t xml:space="preserve">-$125 </w:t>
            </w:r>
          </w:p>
        </w:tc>
        <w:tc>
          <w:tcPr>
            <w:tcW w:w="1478" w:type="dxa"/>
          </w:tcPr>
          <w:p w14:paraId="20F8CDB3" w14:textId="77777777" w:rsidR="005E28B1" w:rsidRDefault="005E28B1">
            <w:pPr>
              <w:pStyle w:val="TableNText"/>
              <w:jc w:val="center"/>
            </w:pPr>
            <w:r w:rsidRPr="00814A1C">
              <w:t>8%</w:t>
            </w:r>
          </w:p>
        </w:tc>
        <w:tc>
          <w:tcPr>
            <w:tcW w:w="1620" w:type="dxa"/>
          </w:tcPr>
          <w:p w14:paraId="03F80341" w14:textId="77777777" w:rsidR="005E28B1" w:rsidRPr="00766CEB" w:rsidRDefault="005E28B1">
            <w:pPr>
              <w:pStyle w:val="TableNText"/>
              <w:jc w:val="center"/>
              <w:rPr>
                <w:color w:val="F25E21" w:themeColor="accent2"/>
              </w:rPr>
            </w:pPr>
            <w:r w:rsidRPr="00766CEB">
              <w:rPr>
                <w:color w:val="F25E21" w:themeColor="accent2"/>
              </w:rPr>
              <w:t>-7%</w:t>
            </w:r>
          </w:p>
        </w:tc>
      </w:tr>
      <w:tr w:rsidR="005E28B1" w14:paraId="35F72209" w14:textId="77777777" w:rsidTr="009A0060">
        <w:tc>
          <w:tcPr>
            <w:tcW w:w="3018" w:type="dxa"/>
          </w:tcPr>
          <w:p w14:paraId="3B2E14B1" w14:textId="77777777" w:rsidR="005E28B1" w:rsidRDefault="005E28B1">
            <w:pPr>
              <w:pStyle w:val="TableNText"/>
            </w:pPr>
            <w:r w:rsidRPr="00E919F0">
              <w:rPr>
                <w:rFonts w:asciiTheme="majorHAnsi" w:hAnsiTheme="majorHAnsi" w:cstheme="majorHAnsi"/>
              </w:rPr>
              <w:t>12 - Knee</w:t>
            </w:r>
          </w:p>
        </w:tc>
        <w:tc>
          <w:tcPr>
            <w:tcW w:w="1478" w:type="dxa"/>
          </w:tcPr>
          <w:p w14:paraId="71DCAB41" w14:textId="77777777" w:rsidR="005E28B1" w:rsidRDefault="005E28B1">
            <w:pPr>
              <w:pStyle w:val="TableNText"/>
              <w:jc w:val="center"/>
            </w:pPr>
            <w:r w:rsidRPr="007F6215">
              <w:t>$103</w:t>
            </w:r>
          </w:p>
        </w:tc>
        <w:tc>
          <w:tcPr>
            <w:tcW w:w="1478" w:type="dxa"/>
          </w:tcPr>
          <w:p w14:paraId="39A2DE77" w14:textId="77777777" w:rsidR="005E28B1" w:rsidRPr="00CE0611" w:rsidRDefault="005E28B1">
            <w:pPr>
              <w:pStyle w:val="TableNText"/>
              <w:jc w:val="center"/>
              <w:rPr>
                <w:color w:val="F25E21" w:themeColor="accent2"/>
              </w:rPr>
            </w:pPr>
            <w:r w:rsidRPr="00CE0611">
              <w:rPr>
                <w:color w:val="F25E21" w:themeColor="accent2"/>
              </w:rPr>
              <w:t xml:space="preserve">-$129 </w:t>
            </w:r>
          </w:p>
        </w:tc>
        <w:tc>
          <w:tcPr>
            <w:tcW w:w="1478" w:type="dxa"/>
          </w:tcPr>
          <w:p w14:paraId="383D4CD4" w14:textId="77777777" w:rsidR="005E28B1" w:rsidRDefault="005E28B1">
            <w:pPr>
              <w:pStyle w:val="TableNText"/>
              <w:jc w:val="center"/>
            </w:pPr>
            <w:r w:rsidRPr="00814A1C">
              <w:t>8%</w:t>
            </w:r>
          </w:p>
        </w:tc>
        <w:tc>
          <w:tcPr>
            <w:tcW w:w="1620" w:type="dxa"/>
          </w:tcPr>
          <w:p w14:paraId="22B93370" w14:textId="77777777" w:rsidR="005E28B1" w:rsidRPr="00766CEB" w:rsidRDefault="005E28B1">
            <w:pPr>
              <w:pStyle w:val="TableNText"/>
              <w:jc w:val="center"/>
              <w:rPr>
                <w:color w:val="F25E21" w:themeColor="accent2"/>
              </w:rPr>
            </w:pPr>
            <w:r w:rsidRPr="00766CEB">
              <w:rPr>
                <w:color w:val="F25E21" w:themeColor="accent2"/>
              </w:rPr>
              <w:t>-3%</w:t>
            </w:r>
          </w:p>
        </w:tc>
      </w:tr>
      <w:tr w:rsidR="005E28B1" w14:paraId="55BBB6FC" w14:textId="77777777" w:rsidTr="009A0060">
        <w:tc>
          <w:tcPr>
            <w:tcW w:w="3018" w:type="dxa"/>
          </w:tcPr>
          <w:p w14:paraId="64E17EA5" w14:textId="77777777" w:rsidR="005E28B1" w:rsidRDefault="005E28B1">
            <w:pPr>
              <w:pStyle w:val="TableNText"/>
            </w:pPr>
            <w:r w:rsidRPr="00E919F0">
              <w:rPr>
                <w:rFonts w:asciiTheme="majorHAnsi" w:hAnsiTheme="majorHAnsi" w:cstheme="majorHAnsi"/>
              </w:rPr>
              <w:t>13 - Spinal</w:t>
            </w:r>
          </w:p>
        </w:tc>
        <w:tc>
          <w:tcPr>
            <w:tcW w:w="1478" w:type="dxa"/>
          </w:tcPr>
          <w:p w14:paraId="39C475CE" w14:textId="77777777" w:rsidR="005E28B1" w:rsidRDefault="005E28B1">
            <w:pPr>
              <w:pStyle w:val="TableNText"/>
              <w:jc w:val="center"/>
            </w:pPr>
            <w:r w:rsidRPr="007F6215">
              <w:t>$65</w:t>
            </w:r>
          </w:p>
        </w:tc>
        <w:tc>
          <w:tcPr>
            <w:tcW w:w="1478" w:type="dxa"/>
          </w:tcPr>
          <w:p w14:paraId="40E82EF6" w14:textId="77777777" w:rsidR="005E28B1" w:rsidRPr="00CE0611" w:rsidRDefault="005E28B1">
            <w:pPr>
              <w:pStyle w:val="TableNText"/>
              <w:jc w:val="center"/>
              <w:rPr>
                <w:color w:val="F25E21" w:themeColor="accent2"/>
              </w:rPr>
            </w:pPr>
            <w:r w:rsidRPr="00CE0611">
              <w:rPr>
                <w:color w:val="F25E21" w:themeColor="accent2"/>
              </w:rPr>
              <w:t xml:space="preserve">-$174 </w:t>
            </w:r>
          </w:p>
        </w:tc>
        <w:tc>
          <w:tcPr>
            <w:tcW w:w="1478" w:type="dxa"/>
          </w:tcPr>
          <w:p w14:paraId="265E6604" w14:textId="77777777" w:rsidR="005E28B1" w:rsidRDefault="005E28B1">
            <w:pPr>
              <w:pStyle w:val="TableNText"/>
              <w:jc w:val="center"/>
            </w:pPr>
            <w:r w:rsidRPr="00814A1C">
              <w:t>7%</w:t>
            </w:r>
          </w:p>
        </w:tc>
        <w:tc>
          <w:tcPr>
            <w:tcW w:w="1620" w:type="dxa"/>
          </w:tcPr>
          <w:p w14:paraId="0E7C6858" w14:textId="77777777" w:rsidR="005E28B1" w:rsidRPr="00766CEB" w:rsidRDefault="005E28B1">
            <w:pPr>
              <w:pStyle w:val="TableNText"/>
              <w:jc w:val="center"/>
              <w:rPr>
                <w:color w:val="F25E21" w:themeColor="accent2"/>
              </w:rPr>
            </w:pPr>
            <w:r w:rsidRPr="00766CEB">
              <w:rPr>
                <w:color w:val="F25E21" w:themeColor="accent2"/>
              </w:rPr>
              <w:t>-11%</w:t>
            </w:r>
          </w:p>
        </w:tc>
      </w:tr>
      <w:tr w:rsidR="005E28B1" w14:paraId="7B28FE29" w14:textId="77777777" w:rsidTr="009A0060">
        <w:tc>
          <w:tcPr>
            <w:tcW w:w="3018" w:type="dxa"/>
          </w:tcPr>
          <w:p w14:paraId="1D67B22C" w14:textId="77777777" w:rsidR="005E28B1" w:rsidRDefault="005E28B1">
            <w:pPr>
              <w:pStyle w:val="TableNText"/>
            </w:pPr>
            <w:r w:rsidRPr="00E919F0">
              <w:rPr>
                <w:rFonts w:asciiTheme="majorHAnsi" w:hAnsiTheme="majorHAnsi" w:cstheme="majorHAnsi"/>
              </w:rPr>
              <w:t>Total</w:t>
            </w:r>
          </w:p>
        </w:tc>
        <w:tc>
          <w:tcPr>
            <w:tcW w:w="1478" w:type="dxa"/>
          </w:tcPr>
          <w:p w14:paraId="2E2B068C" w14:textId="77777777" w:rsidR="005E28B1" w:rsidRDefault="005E28B1">
            <w:pPr>
              <w:pStyle w:val="TableNText"/>
              <w:jc w:val="center"/>
            </w:pPr>
            <w:r w:rsidRPr="0084192E">
              <w:rPr>
                <w:rFonts w:asciiTheme="majorHAnsi" w:hAnsiTheme="majorHAnsi" w:cstheme="majorHAnsi"/>
              </w:rPr>
              <w:t>$61</w:t>
            </w:r>
          </w:p>
        </w:tc>
        <w:tc>
          <w:tcPr>
            <w:tcW w:w="1478" w:type="dxa"/>
          </w:tcPr>
          <w:p w14:paraId="43A6E40E" w14:textId="77777777" w:rsidR="005E28B1" w:rsidRPr="00CE0611" w:rsidRDefault="005E28B1">
            <w:pPr>
              <w:pStyle w:val="TableNText"/>
              <w:jc w:val="center"/>
              <w:rPr>
                <w:rFonts w:asciiTheme="majorHAnsi" w:hAnsiTheme="majorHAnsi" w:cstheme="majorHAnsi"/>
                <w:color w:val="F25E21" w:themeColor="accent2"/>
              </w:rPr>
            </w:pPr>
            <w:r w:rsidRPr="00CE0611">
              <w:rPr>
                <w:rFonts w:asciiTheme="majorHAnsi" w:hAnsiTheme="majorHAnsi" w:cstheme="majorHAnsi"/>
                <w:color w:val="F25E21" w:themeColor="accent2"/>
              </w:rPr>
              <w:t xml:space="preserve">-$116 </w:t>
            </w:r>
          </w:p>
        </w:tc>
        <w:tc>
          <w:tcPr>
            <w:tcW w:w="1478" w:type="dxa"/>
          </w:tcPr>
          <w:p w14:paraId="7487B397" w14:textId="77777777" w:rsidR="005E28B1" w:rsidRPr="00D46C85" w:rsidRDefault="005E28B1">
            <w:pPr>
              <w:pStyle w:val="TableNText"/>
              <w:jc w:val="center"/>
              <w:rPr>
                <w:rFonts w:asciiTheme="majorHAnsi" w:hAnsiTheme="majorHAnsi" w:cstheme="majorHAnsi"/>
              </w:rPr>
            </w:pPr>
            <w:r w:rsidRPr="00D46C85">
              <w:rPr>
                <w:rFonts w:asciiTheme="majorHAnsi" w:hAnsiTheme="majorHAnsi" w:cstheme="majorHAnsi"/>
              </w:rPr>
              <w:t>9%</w:t>
            </w:r>
          </w:p>
        </w:tc>
        <w:tc>
          <w:tcPr>
            <w:tcW w:w="1620" w:type="dxa"/>
          </w:tcPr>
          <w:p w14:paraId="1501A523" w14:textId="77777777" w:rsidR="005E28B1" w:rsidRPr="00766CEB" w:rsidRDefault="005E28B1">
            <w:pPr>
              <w:pStyle w:val="TableNText"/>
              <w:jc w:val="center"/>
              <w:rPr>
                <w:rFonts w:asciiTheme="majorHAnsi" w:hAnsiTheme="majorHAnsi" w:cstheme="majorHAnsi"/>
                <w:color w:val="F25E21" w:themeColor="accent2"/>
              </w:rPr>
            </w:pPr>
            <w:r w:rsidRPr="00766CEB">
              <w:rPr>
                <w:rFonts w:asciiTheme="majorHAnsi" w:hAnsiTheme="majorHAnsi" w:cstheme="majorHAnsi"/>
                <w:color w:val="F25E21" w:themeColor="accent2"/>
              </w:rPr>
              <w:t>-16%</w:t>
            </w:r>
          </w:p>
        </w:tc>
      </w:tr>
    </w:tbl>
    <w:p w14:paraId="6EAB71EA" w14:textId="77777777" w:rsidR="005E28B1" w:rsidRDefault="005E28B1" w:rsidP="005E28B1">
      <w:pPr>
        <w:rPr>
          <w:lang w:val="en-AU" w:eastAsia="en-AU"/>
        </w:rPr>
      </w:pPr>
    </w:p>
    <w:p w14:paraId="0A68AE83" w14:textId="36A82DF2" w:rsidR="004F7CF7" w:rsidRDefault="00662279" w:rsidP="004F7CF7">
      <w:r>
        <w:lastRenderedPageBreak/>
        <w:fldChar w:fldCharType="begin"/>
      </w:r>
      <w:r>
        <w:instrText xml:space="preserve"> REF _Ref172236011 \h </w:instrText>
      </w:r>
      <w:r>
        <w:fldChar w:fldCharType="separate"/>
      </w:r>
      <w:r w:rsidR="009B5D8D">
        <w:t xml:space="preserve">Figure </w:t>
      </w:r>
      <w:r w:rsidR="009B5D8D">
        <w:rPr>
          <w:noProof/>
        </w:rPr>
        <w:t>5</w:t>
      </w:r>
      <w:r>
        <w:fldChar w:fldCharType="end"/>
      </w:r>
      <w:r>
        <w:t xml:space="preserve"> shows the distribution of i</w:t>
      </w:r>
      <w:r w:rsidR="00737AC9">
        <w:t xml:space="preserve">tem gaps </w:t>
      </w:r>
      <w:r w:rsidR="00F154B5">
        <w:t>after the July 2023 reductions compared to baseline.</w:t>
      </w:r>
      <w:r w:rsidR="00DB342E">
        <w:t xml:space="preserve"> </w:t>
      </w:r>
      <w:r w:rsidR="004C60A2">
        <w:t xml:space="preserve">The dark blue </w:t>
      </w:r>
      <w:r w:rsidR="00FD3F9E">
        <w:t>areas</w:t>
      </w:r>
      <w:r w:rsidR="0006062F">
        <w:t xml:space="preserve"> on the right hand side of the </w:t>
      </w:r>
      <w:r w:rsidR="00F645D6">
        <w:t>figure</w:t>
      </w:r>
      <w:r w:rsidR="0043196F">
        <w:t xml:space="preserve"> show the reforms have </w:t>
      </w:r>
      <w:r w:rsidR="00D679F1">
        <w:t>significant</w:t>
      </w:r>
      <w:r w:rsidR="00C601EF">
        <w:t>ly</w:t>
      </w:r>
      <w:r w:rsidR="00D679F1">
        <w:t xml:space="preserve"> reduc</w:t>
      </w:r>
      <w:r w:rsidR="00C601EF">
        <w:t>ed</w:t>
      </w:r>
      <w:r w:rsidR="00D679F1">
        <w:t xml:space="preserve"> the items </w:t>
      </w:r>
      <w:r w:rsidR="00603025">
        <w:t xml:space="preserve">with </w:t>
      </w:r>
      <w:r w:rsidR="005F35FF">
        <w:t xml:space="preserve">large </w:t>
      </w:r>
      <w:r w:rsidR="004C60A2">
        <w:t>gaps</w:t>
      </w:r>
      <w:r w:rsidR="006F49E1">
        <w:t xml:space="preserve">. </w:t>
      </w:r>
      <w:r w:rsidR="00AA0B47">
        <w:t>Compared to baseline,</w:t>
      </w:r>
      <w:r w:rsidR="006F49E1">
        <w:t xml:space="preserve"> </w:t>
      </w:r>
      <w:r w:rsidR="0044257C">
        <w:t>432 few</w:t>
      </w:r>
      <w:r w:rsidR="00CE7DC8">
        <w:t>er</w:t>
      </w:r>
      <w:r w:rsidR="0044257C">
        <w:t xml:space="preserve"> PL items have a gap greater than 91%</w:t>
      </w:r>
      <w:r w:rsidR="00717CA4">
        <w:t xml:space="preserve"> </w:t>
      </w:r>
      <w:r w:rsidR="00AA0B47">
        <w:t xml:space="preserve">and 1,916 new PL items have a reduced gap </w:t>
      </w:r>
      <w:r w:rsidR="51103FF7">
        <w:t>of</w:t>
      </w:r>
      <w:r w:rsidR="00AA0B47">
        <w:t xml:space="preserve"> less than 7%.</w:t>
      </w:r>
      <w:r w:rsidR="007A25DF">
        <w:rPr>
          <w:rStyle w:val="FootnoteReference"/>
        </w:rPr>
        <w:footnoteReference w:id="20"/>
      </w:r>
    </w:p>
    <w:p w14:paraId="423E0423" w14:textId="5DA922F4" w:rsidR="005E28B1" w:rsidRDefault="005E28B1" w:rsidP="005E28B1">
      <w:pPr>
        <w:pStyle w:val="Caption"/>
      </w:pPr>
      <w:bookmarkStart w:id="28" w:name="_Ref172236011"/>
      <w:r>
        <w:t xml:space="preserve">Figure </w:t>
      </w:r>
      <w:r>
        <w:fldChar w:fldCharType="begin"/>
      </w:r>
      <w:r>
        <w:instrText xml:space="preserve"> SEQ Figure \* ARABIC </w:instrText>
      </w:r>
      <w:r>
        <w:fldChar w:fldCharType="separate"/>
      </w:r>
      <w:r w:rsidR="009B5D8D">
        <w:rPr>
          <w:noProof/>
        </w:rPr>
        <w:t>5</w:t>
      </w:r>
      <w:r>
        <w:fldChar w:fldCharType="end"/>
      </w:r>
      <w:bookmarkEnd w:id="28"/>
      <w:r>
        <w:t xml:space="preserve"> | </w:t>
      </w:r>
      <w:r w:rsidRPr="008B2E1D">
        <w:t>Percentage gap between PL benefits and public benchmark prices</w:t>
      </w:r>
      <w:r>
        <w:t xml:space="preserve"> as at the November 2023 PL update (excluding CIED items)</w:t>
      </w:r>
      <w:r>
        <w:rPr>
          <w:rStyle w:val="FootnoteReference"/>
        </w:rPr>
        <w:footnoteReference w:id="21"/>
      </w:r>
    </w:p>
    <w:p w14:paraId="60317C5E" w14:textId="4E10ACD6" w:rsidR="005E28B1" w:rsidRPr="001E5395" w:rsidRDefault="005D7881" w:rsidP="005E28B1">
      <w:pPr>
        <w:rPr>
          <w:lang w:val="en-AU"/>
        </w:rPr>
      </w:pPr>
      <w:r w:rsidRPr="005D7881">
        <w:rPr>
          <w:noProof/>
          <w:lang w:val="en-AU"/>
        </w:rPr>
        <w:drawing>
          <wp:inline distT="0" distB="0" distL="0" distR="0" wp14:anchorId="70C36614" wp14:editId="1DD794B5">
            <wp:extent cx="5760085" cy="3550285"/>
            <wp:effectExtent l="0" t="0" r="0" b="0"/>
            <wp:docPr id="692526694" name="Picture 1" descr="A graph that shows the percentage gap size between PL benefits and public benchmark prices, comparing the baseline to the November 2023 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26694" name="Picture 1" descr="A graph that shows the percentage gap size between PL benefits and public benchmark prices, comparing the baseline to the November 2023 PL. "/>
                    <pic:cNvPicPr/>
                  </pic:nvPicPr>
                  <pic:blipFill>
                    <a:blip r:embed="rId39"/>
                    <a:stretch>
                      <a:fillRect/>
                    </a:stretch>
                  </pic:blipFill>
                  <pic:spPr>
                    <a:xfrm>
                      <a:off x="0" y="0"/>
                      <a:ext cx="5760085" cy="3550285"/>
                    </a:xfrm>
                    <a:prstGeom prst="rect">
                      <a:avLst/>
                    </a:prstGeom>
                  </pic:spPr>
                </pic:pic>
              </a:graphicData>
            </a:graphic>
          </wp:inline>
        </w:drawing>
      </w:r>
    </w:p>
    <w:p w14:paraId="43316C7B" w14:textId="76D42BDE" w:rsidR="00B64539" w:rsidRPr="00132999" w:rsidRDefault="001908C8" w:rsidP="00132999">
      <w:pPr>
        <w:pStyle w:val="Heading4"/>
      </w:pPr>
      <w:r>
        <w:t xml:space="preserve">Stakeholders </w:t>
      </w:r>
      <w:r w:rsidR="00C82CA9">
        <w:t>expressed varying opinions about the current gap</w:t>
      </w:r>
      <w:r w:rsidR="00B64539">
        <w:t xml:space="preserve"> between the public and private secto</w:t>
      </w:r>
      <w:r w:rsidR="00132999">
        <w:t xml:space="preserve">r </w:t>
      </w:r>
    </w:p>
    <w:p w14:paraId="40A633A9" w14:textId="77777777" w:rsidR="007B7D06" w:rsidRDefault="000E7C5A" w:rsidP="67A34CD3">
      <w:pPr>
        <w:rPr>
          <w:lang w:val="en-AU" w:eastAsia="en-AU"/>
        </w:rPr>
      </w:pPr>
      <w:r w:rsidRPr="00C905FE">
        <w:rPr>
          <w:lang w:val="en-AU" w:eastAsia="en-AU"/>
        </w:rPr>
        <w:t>Parameters around</w:t>
      </w:r>
      <w:r w:rsidR="00A82FE9" w:rsidRPr="00C905FE">
        <w:rPr>
          <w:lang w:val="en-AU" w:eastAsia="en-AU"/>
        </w:rPr>
        <w:t xml:space="preserve"> methodology for calculating benefit reductions under the reforms </w:t>
      </w:r>
      <w:r w:rsidRPr="00C905FE">
        <w:rPr>
          <w:lang w:val="en-AU" w:eastAsia="en-AU"/>
        </w:rPr>
        <w:t xml:space="preserve">were set out </w:t>
      </w:r>
      <w:r w:rsidR="004E746D" w:rsidRPr="00C905FE">
        <w:rPr>
          <w:lang w:val="en-AU" w:eastAsia="en-AU"/>
        </w:rPr>
        <w:t xml:space="preserve">in a </w:t>
      </w:r>
      <w:r w:rsidR="003A7C36">
        <w:rPr>
          <w:lang w:val="en-AU" w:eastAsia="en-AU"/>
        </w:rPr>
        <w:t>M</w:t>
      </w:r>
      <w:r w:rsidR="009D42D7">
        <w:rPr>
          <w:lang w:val="en-AU" w:eastAsia="en-AU"/>
        </w:rPr>
        <w:t>O</w:t>
      </w:r>
      <w:r w:rsidR="003A7C36">
        <w:rPr>
          <w:lang w:val="en-AU" w:eastAsia="en-AU"/>
        </w:rPr>
        <w:t>U</w:t>
      </w:r>
      <w:r w:rsidR="004E746D" w:rsidRPr="00C905FE">
        <w:rPr>
          <w:lang w:val="en-AU" w:eastAsia="en-AU"/>
        </w:rPr>
        <w:t xml:space="preserve"> between the </w:t>
      </w:r>
      <w:r w:rsidR="00FF4A87">
        <w:rPr>
          <w:lang w:val="en-AU" w:eastAsia="en-AU"/>
        </w:rPr>
        <w:t xml:space="preserve">then </w:t>
      </w:r>
      <w:r w:rsidR="004E746D" w:rsidRPr="00C905FE">
        <w:rPr>
          <w:lang w:val="en-AU" w:eastAsia="en-AU"/>
        </w:rPr>
        <w:t xml:space="preserve">Australian Government and the MTAA </w:t>
      </w:r>
      <w:r w:rsidR="00B97D27" w:rsidRPr="00C905FE">
        <w:rPr>
          <w:lang w:val="en-AU" w:eastAsia="en-AU"/>
        </w:rPr>
        <w:t xml:space="preserve">signed on </w:t>
      </w:r>
      <w:r w:rsidR="004E746D" w:rsidRPr="00C905FE">
        <w:rPr>
          <w:lang w:val="en-AU" w:eastAsia="en-AU"/>
        </w:rPr>
        <w:t xml:space="preserve">12 </w:t>
      </w:r>
      <w:r w:rsidR="00B97D27" w:rsidRPr="00C905FE">
        <w:rPr>
          <w:lang w:val="en-AU" w:eastAsia="en-AU"/>
        </w:rPr>
        <w:t>March 2022.</w:t>
      </w:r>
      <w:r w:rsidR="007462A9">
        <w:rPr>
          <w:rStyle w:val="FootnoteReference"/>
          <w:lang w:val="en-AU" w:eastAsia="en-AU"/>
        </w:rPr>
        <w:footnoteReference w:id="22"/>
      </w:r>
      <w:r w:rsidR="00B82192" w:rsidRPr="00C905FE">
        <w:rPr>
          <w:lang w:val="en-AU" w:eastAsia="en-AU"/>
        </w:rPr>
        <w:t xml:space="preserve"> This included </w:t>
      </w:r>
      <w:r w:rsidR="002E6F01" w:rsidRPr="00C905FE">
        <w:rPr>
          <w:lang w:val="en-AU" w:eastAsia="en-AU"/>
        </w:rPr>
        <w:t>the requirement</w:t>
      </w:r>
      <w:r w:rsidR="00A6071C" w:rsidRPr="00C905FE">
        <w:rPr>
          <w:lang w:val="en-AU" w:eastAsia="en-AU"/>
        </w:rPr>
        <w:t xml:space="preserve"> to not reduce devices with a current gap between prices paid in the public hospital system and </w:t>
      </w:r>
      <w:r w:rsidR="00B11410" w:rsidRPr="00C905FE">
        <w:rPr>
          <w:lang w:val="en-AU" w:eastAsia="en-AU"/>
        </w:rPr>
        <w:t>PL</w:t>
      </w:r>
      <w:r w:rsidR="0029593C" w:rsidRPr="00C905FE">
        <w:rPr>
          <w:lang w:val="en-AU" w:eastAsia="en-AU"/>
        </w:rPr>
        <w:t xml:space="preserve"> of less than 7%.</w:t>
      </w:r>
      <w:r w:rsidR="00287AAF">
        <w:rPr>
          <w:lang w:val="en-AU" w:eastAsia="en-AU"/>
        </w:rPr>
        <w:t xml:space="preserve"> </w:t>
      </w:r>
    </w:p>
    <w:p w14:paraId="4A07B0DE" w14:textId="77777777" w:rsidR="003D093B" w:rsidRDefault="007B7D06" w:rsidP="000946F3">
      <w:pPr>
        <w:rPr>
          <w:lang w:val="en-AU" w:eastAsia="en-AU"/>
        </w:rPr>
      </w:pPr>
      <w:r>
        <w:rPr>
          <w:lang w:val="en-AU" w:eastAsia="en-AU"/>
        </w:rPr>
        <w:t xml:space="preserve">The </w:t>
      </w:r>
      <w:r w:rsidR="006C7375" w:rsidRPr="00C905FE">
        <w:rPr>
          <w:lang w:val="en-AU" w:eastAsia="en-AU"/>
        </w:rPr>
        <w:t>A</w:t>
      </w:r>
      <w:r w:rsidR="0098069F" w:rsidRPr="00C905FE">
        <w:rPr>
          <w:lang w:val="en-AU" w:eastAsia="en-AU"/>
        </w:rPr>
        <w:t>ustralian Competition and Consumer Commission (ACCC) has stated that th</w:t>
      </w:r>
      <w:r w:rsidR="00675700" w:rsidRPr="00C905FE">
        <w:rPr>
          <w:lang w:val="en-AU" w:eastAsia="en-AU"/>
        </w:rPr>
        <w:t xml:space="preserve">e floor imposed by the MOU on benefit reductions </w:t>
      </w:r>
      <w:r w:rsidR="00F27991">
        <w:rPr>
          <w:lang w:val="en-AU" w:eastAsia="en-AU"/>
        </w:rPr>
        <w:t>will</w:t>
      </w:r>
      <w:r w:rsidR="00675700" w:rsidRPr="00C905FE">
        <w:rPr>
          <w:lang w:val="en-AU" w:eastAsia="en-AU"/>
        </w:rPr>
        <w:t xml:space="preserve"> likely </w:t>
      </w:r>
      <w:r w:rsidR="00F27991">
        <w:rPr>
          <w:lang w:val="en-AU" w:eastAsia="en-AU"/>
        </w:rPr>
        <w:t>have</w:t>
      </w:r>
      <w:r w:rsidR="00675700" w:rsidRPr="00C905FE">
        <w:rPr>
          <w:lang w:val="en-AU" w:eastAsia="en-AU"/>
        </w:rPr>
        <w:t xml:space="preserve"> a distortionary impact on the price of devices in the private sector</w:t>
      </w:r>
      <w:r w:rsidR="00132999" w:rsidRPr="00C905FE">
        <w:rPr>
          <w:lang w:val="en-AU" w:eastAsia="en-AU"/>
        </w:rPr>
        <w:t xml:space="preserve"> and lead to some PL benefits remaining inflated compared to prices in the public system</w:t>
      </w:r>
      <w:r w:rsidR="00B64539">
        <w:rPr>
          <w:lang w:val="en-AU" w:eastAsia="en-AU"/>
        </w:rPr>
        <w:t>.</w:t>
      </w:r>
      <w:r w:rsidR="00287AAF">
        <w:rPr>
          <w:rStyle w:val="FootnoteReference"/>
          <w:lang w:val="en-AU" w:eastAsia="en-AU"/>
        </w:rPr>
        <w:footnoteReference w:id="23"/>
      </w:r>
    </w:p>
    <w:p w14:paraId="0A7A8053" w14:textId="73637836" w:rsidR="003D093B" w:rsidRDefault="00991010" w:rsidP="000946F3">
      <w:pPr>
        <w:rPr>
          <w:lang w:val="en-AU" w:eastAsia="en-AU"/>
        </w:rPr>
      </w:pPr>
      <w:r>
        <w:rPr>
          <w:lang w:val="en-AU" w:eastAsia="en-AU"/>
        </w:rPr>
        <w:t xml:space="preserve">This perspective is shared by private health </w:t>
      </w:r>
      <w:r w:rsidR="009F1410">
        <w:rPr>
          <w:lang w:val="en-AU" w:eastAsia="en-AU"/>
        </w:rPr>
        <w:t>insurance providers</w:t>
      </w:r>
      <w:r>
        <w:rPr>
          <w:lang w:val="en-AU" w:eastAsia="en-AU"/>
        </w:rPr>
        <w:t xml:space="preserve"> who are not satisfied with the remaining gap between </w:t>
      </w:r>
      <w:r w:rsidR="0016353E">
        <w:rPr>
          <w:lang w:val="en-AU" w:eastAsia="en-AU"/>
        </w:rPr>
        <w:t>PL and public hospital prices</w:t>
      </w:r>
      <w:r w:rsidR="005456F1">
        <w:rPr>
          <w:lang w:val="en-AU" w:eastAsia="en-AU"/>
        </w:rPr>
        <w:t xml:space="preserve"> </w:t>
      </w:r>
      <w:r w:rsidR="004D20F3">
        <w:rPr>
          <w:lang w:val="en-AU" w:eastAsia="en-AU"/>
        </w:rPr>
        <w:t xml:space="preserve">post benefit reductions, </w:t>
      </w:r>
      <w:r w:rsidR="005456F1">
        <w:rPr>
          <w:lang w:val="en-AU" w:eastAsia="en-AU"/>
        </w:rPr>
        <w:t xml:space="preserve">and </w:t>
      </w:r>
      <w:r w:rsidR="00E34C44">
        <w:rPr>
          <w:lang w:val="en-AU" w:eastAsia="en-AU"/>
        </w:rPr>
        <w:t xml:space="preserve">are of the view </w:t>
      </w:r>
      <w:r w:rsidR="005456F1">
        <w:rPr>
          <w:lang w:val="en-AU" w:eastAsia="en-AU"/>
        </w:rPr>
        <w:t xml:space="preserve">that </w:t>
      </w:r>
      <w:r w:rsidR="004D20F3">
        <w:rPr>
          <w:lang w:val="en-AU" w:eastAsia="en-AU"/>
        </w:rPr>
        <w:t>the reform</w:t>
      </w:r>
      <w:r w:rsidR="00E34C44">
        <w:rPr>
          <w:lang w:val="en-AU" w:eastAsia="en-AU"/>
        </w:rPr>
        <w:t>s</w:t>
      </w:r>
      <w:r w:rsidR="005456F1">
        <w:rPr>
          <w:lang w:val="en-AU" w:eastAsia="en-AU"/>
        </w:rPr>
        <w:t xml:space="preserve"> </w:t>
      </w:r>
      <w:r w:rsidR="004D20F3">
        <w:rPr>
          <w:lang w:val="en-AU" w:eastAsia="en-AU"/>
        </w:rPr>
        <w:t>has</w:t>
      </w:r>
      <w:r w:rsidR="005456F1">
        <w:rPr>
          <w:lang w:val="en-AU" w:eastAsia="en-AU"/>
        </w:rPr>
        <w:t xml:space="preserve"> been held back by the 7% floor set out in the MOU</w:t>
      </w:r>
      <w:r w:rsidR="004D20F3">
        <w:rPr>
          <w:lang w:val="en-AU" w:eastAsia="en-AU"/>
        </w:rPr>
        <w:t>.</w:t>
      </w:r>
      <w:r w:rsidR="0080752E">
        <w:rPr>
          <w:lang w:val="en-AU" w:eastAsia="en-AU"/>
        </w:rPr>
        <w:t xml:space="preserve"> </w:t>
      </w:r>
      <w:r w:rsidR="003D093B">
        <w:rPr>
          <w:lang w:val="en-AU" w:eastAsia="en-AU"/>
        </w:rPr>
        <w:t>However, s</w:t>
      </w:r>
      <w:r w:rsidR="00CD28CD">
        <w:rPr>
          <w:lang w:val="en-AU" w:eastAsia="en-AU"/>
        </w:rPr>
        <w:t>ponsors maintain the 7% floor is justified to account for</w:t>
      </w:r>
      <w:r w:rsidR="00623771">
        <w:rPr>
          <w:lang w:val="en-AU" w:eastAsia="en-AU"/>
        </w:rPr>
        <w:t xml:space="preserve"> </w:t>
      </w:r>
      <w:r w:rsidR="00CD28CD">
        <w:rPr>
          <w:lang w:val="en-AU" w:eastAsia="en-AU"/>
        </w:rPr>
        <w:t xml:space="preserve">differences between the </w:t>
      </w:r>
      <w:r w:rsidR="34915734" w:rsidRPr="7F3309C3">
        <w:rPr>
          <w:lang w:val="en-AU" w:eastAsia="en-AU"/>
        </w:rPr>
        <w:t>operation of</w:t>
      </w:r>
      <w:r w:rsidR="00CD28CD" w:rsidRPr="6E9496D1">
        <w:rPr>
          <w:lang w:val="en-AU" w:eastAsia="en-AU"/>
        </w:rPr>
        <w:t xml:space="preserve"> </w:t>
      </w:r>
      <w:r w:rsidR="00CD28CD">
        <w:rPr>
          <w:lang w:val="en-AU" w:eastAsia="en-AU"/>
        </w:rPr>
        <w:t>public and private markets.</w:t>
      </w:r>
    </w:p>
    <w:p w14:paraId="6D9A7DEB" w14:textId="38E0AAA1" w:rsidR="00240882" w:rsidRPr="00132999" w:rsidRDefault="0039626E" w:rsidP="000946F3">
      <w:pPr>
        <w:rPr>
          <w:highlight w:val="yellow"/>
          <w:lang w:val="en-AU" w:eastAsia="en-AU"/>
        </w:rPr>
      </w:pPr>
      <w:r>
        <w:rPr>
          <w:lang w:val="en-AU" w:eastAsia="en-AU"/>
        </w:rPr>
        <w:t xml:space="preserve">Further stakeholder perspectives on the remaining gap are set out in </w:t>
      </w:r>
      <w:r w:rsidR="00584B53">
        <w:rPr>
          <w:lang w:val="en-AU" w:eastAsia="en-AU"/>
        </w:rPr>
        <w:fldChar w:fldCharType="begin"/>
      </w:r>
      <w:r w:rsidR="00584B53">
        <w:rPr>
          <w:lang w:val="en-AU" w:eastAsia="en-AU"/>
        </w:rPr>
        <w:instrText xml:space="preserve"> REF _Ref172225626 \h </w:instrText>
      </w:r>
      <w:r w:rsidR="00584B53">
        <w:rPr>
          <w:lang w:val="en-AU" w:eastAsia="en-AU"/>
        </w:rPr>
      </w:r>
      <w:r w:rsidR="00584B53">
        <w:rPr>
          <w:lang w:val="en-AU" w:eastAsia="en-AU"/>
        </w:rPr>
        <w:fldChar w:fldCharType="separate"/>
      </w:r>
      <w:r w:rsidR="009B5D8D">
        <w:t xml:space="preserve">Table </w:t>
      </w:r>
      <w:r w:rsidR="009B5D8D">
        <w:rPr>
          <w:noProof/>
        </w:rPr>
        <w:t>3</w:t>
      </w:r>
      <w:r w:rsidR="00584B53">
        <w:rPr>
          <w:lang w:val="en-AU" w:eastAsia="en-AU"/>
        </w:rPr>
        <w:fldChar w:fldCharType="end"/>
      </w:r>
      <w:r w:rsidR="00584B53">
        <w:rPr>
          <w:lang w:val="en-AU" w:eastAsia="en-AU"/>
        </w:rPr>
        <w:t>.</w:t>
      </w:r>
    </w:p>
    <w:p w14:paraId="42A04FD6" w14:textId="197DD43A" w:rsidR="00CE7B20" w:rsidRPr="00CE7B20" w:rsidRDefault="00CE7B20" w:rsidP="00CE7B20">
      <w:pPr>
        <w:pStyle w:val="Caption"/>
      </w:pPr>
      <w:bookmarkStart w:id="29" w:name="_Ref172225626"/>
      <w:bookmarkStart w:id="30" w:name="_Ref169524599"/>
      <w:r>
        <w:lastRenderedPageBreak/>
        <w:t xml:space="preserve">Table </w:t>
      </w:r>
      <w:r>
        <w:fldChar w:fldCharType="begin"/>
      </w:r>
      <w:r>
        <w:instrText xml:space="preserve"> SEQ Table \* ARABIC </w:instrText>
      </w:r>
      <w:r>
        <w:fldChar w:fldCharType="separate"/>
      </w:r>
      <w:r w:rsidR="009B5D8D">
        <w:rPr>
          <w:noProof/>
        </w:rPr>
        <w:t>3</w:t>
      </w:r>
      <w:r>
        <w:fldChar w:fldCharType="end"/>
      </w:r>
      <w:bookmarkEnd w:id="29"/>
      <w:r>
        <w:t xml:space="preserve"> | </w:t>
      </w:r>
      <w:r w:rsidRPr="00766200">
        <w:t>Stakeholder perspectives on the current gap between the PL and public hospital prices</w:t>
      </w:r>
      <w:bookmarkEnd w:id="30"/>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1D21D7" w:rsidRPr="00E2213C" w14:paraId="45869492" w14:textId="77777777" w:rsidTr="004251B2">
        <w:trPr>
          <w:trHeight w:val="346"/>
        </w:trPr>
        <w:tc>
          <w:tcPr>
            <w:tcW w:w="1348" w:type="pct"/>
            <w:gridSpan w:val="2"/>
            <w:shd w:val="clear" w:color="auto" w:fill="E6E6E1" w:themeFill="accent5"/>
            <w:vAlign w:val="center"/>
          </w:tcPr>
          <w:p w14:paraId="566D0769" w14:textId="77777777" w:rsidR="001D21D7" w:rsidRPr="00E2213C" w:rsidRDefault="001D21D7"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2FC2215C" w14:textId="77777777" w:rsidR="001D21D7" w:rsidRPr="00E2213C" w:rsidRDefault="001D21D7"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1D21D7" w:rsidRPr="00E2213C" w14:paraId="6AE8C1A0" w14:textId="77777777" w:rsidTr="004251B2">
        <w:trPr>
          <w:trHeight w:val="510"/>
        </w:trPr>
        <w:tc>
          <w:tcPr>
            <w:tcW w:w="554" w:type="pct"/>
            <w:shd w:val="clear" w:color="auto" w:fill="00264D" w:themeFill="background2"/>
            <w:vAlign w:val="center"/>
          </w:tcPr>
          <w:p w14:paraId="56FE902F" w14:textId="77777777" w:rsidR="001D21D7" w:rsidRPr="00E2213C" w:rsidRDefault="001D21D7" w:rsidP="004251B2">
            <w:pPr>
              <w:spacing w:before="40" w:after="40"/>
              <w:jc w:val="center"/>
              <w:rPr>
                <w:i/>
                <w:iCs/>
              </w:rPr>
            </w:pPr>
            <w:r w:rsidRPr="00E2213C">
              <w:rPr>
                <w:i/>
                <w:iCs/>
                <w:noProof/>
              </w:rPr>
              <mc:AlternateContent>
                <mc:Choice Requires="wps">
                  <w:drawing>
                    <wp:inline distT="0" distB="0" distL="0" distR="0" wp14:anchorId="0ED7A0FF" wp14:editId="1CC7C232">
                      <wp:extent cx="320633" cy="314696"/>
                      <wp:effectExtent l="0" t="0" r="3810" b="9525"/>
                      <wp:docPr id="1496608580" name="Freeform: Shape 1496608580"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71D4639E" id="Freeform: Shape 1496608580" o:spid="_x0000_s1026" alt="Icon of a person wearing a healthcare worker outfit"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7EEE5188" w14:textId="77777777" w:rsidR="001D21D7" w:rsidRPr="00E2213C" w:rsidRDefault="001D21D7"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17BAD548" w14:textId="31E7C32A" w:rsidR="001D21D7" w:rsidRDefault="004C508E" w:rsidP="002A27A0">
            <w:pPr>
              <w:pStyle w:val="TableNBullet"/>
            </w:pPr>
            <w:r>
              <w:t>The</w:t>
            </w:r>
            <w:r w:rsidR="005A7CA1">
              <w:t xml:space="preserve"> improvements to align pricing has improved consumer position to access PL items, as the key purpose of the PL. </w:t>
            </w:r>
          </w:p>
          <w:p w14:paraId="7594DCD5" w14:textId="4A83395A" w:rsidR="001D21D7" w:rsidRPr="00196216" w:rsidRDefault="39AA6303" w:rsidP="002A27A0">
            <w:pPr>
              <w:pStyle w:val="TableNBullet"/>
              <w:rPr>
                <w:lang w:val="en-US"/>
              </w:rPr>
            </w:pPr>
            <w:r w:rsidRPr="01F0A183">
              <w:rPr>
                <w:lang w:val="en-US"/>
              </w:rPr>
              <w:t>There is</w:t>
            </w:r>
            <w:r w:rsidR="00CA0B38" w:rsidRPr="2BB81676">
              <w:rPr>
                <w:lang w:val="en-US"/>
              </w:rPr>
              <w:t xml:space="preserve"> anecdotal evidence that sponsors are introducing </w:t>
            </w:r>
            <w:r w:rsidR="00196216" w:rsidRPr="2BB81676">
              <w:rPr>
                <w:lang w:val="en-US"/>
              </w:rPr>
              <w:t xml:space="preserve">additional charges for associated products and services to recoup losses, </w:t>
            </w:r>
            <w:r w:rsidR="00F264A3">
              <w:rPr>
                <w:lang w:val="en-US"/>
              </w:rPr>
              <w:t xml:space="preserve">which could </w:t>
            </w:r>
            <w:r w:rsidR="00463ED5" w:rsidRPr="2BB81676">
              <w:rPr>
                <w:lang w:val="en-US"/>
              </w:rPr>
              <w:t xml:space="preserve">dilute </w:t>
            </w:r>
            <w:r w:rsidR="00196216" w:rsidRPr="2BB81676">
              <w:rPr>
                <w:lang w:val="en-US"/>
              </w:rPr>
              <w:t>the positive impact of the reform</w:t>
            </w:r>
            <w:r w:rsidR="00463ED5" w:rsidRPr="2BB81676">
              <w:rPr>
                <w:lang w:val="en-US"/>
              </w:rPr>
              <w:t xml:space="preserve">. </w:t>
            </w:r>
          </w:p>
        </w:tc>
      </w:tr>
      <w:tr w:rsidR="001D21D7" w:rsidRPr="00E2213C" w14:paraId="534CCB31" w14:textId="77777777" w:rsidTr="00CC1D28">
        <w:trPr>
          <w:trHeight w:val="421"/>
        </w:trPr>
        <w:tc>
          <w:tcPr>
            <w:tcW w:w="554" w:type="pct"/>
            <w:shd w:val="clear" w:color="auto" w:fill="00264D" w:themeFill="background2"/>
            <w:vAlign w:val="center"/>
          </w:tcPr>
          <w:p w14:paraId="7E5906D7" w14:textId="77777777" w:rsidR="001D21D7" w:rsidRPr="00E2213C" w:rsidRDefault="001D21D7" w:rsidP="004251B2">
            <w:pPr>
              <w:spacing w:before="40" w:after="40"/>
              <w:jc w:val="center"/>
              <w:rPr>
                <w:i/>
                <w:iCs/>
              </w:rPr>
            </w:pPr>
            <w:r w:rsidRPr="00E2213C">
              <w:rPr>
                <w:i/>
                <w:iCs/>
                <w:noProof/>
              </w:rPr>
              <mc:AlternateContent>
                <mc:Choice Requires="wps">
                  <w:drawing>
                    <wp:inline distT="0" distB="0" distL="0" distR="0" wp14:anchorId="44FD9D98" wp14:editId="35A1B919">
                      <wp:extent cx="292311" cy="292311"/>
                      <wp:effectExtent l="0" t="0" r="0" b="0"/>
                      <wp:docPr id="737053393" name="Freeform: Shape 737053393"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DCE7076" id="Freeform: Shape 737053393"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38685FB7" w14:textId="77777777" w:rsidR="001D21D7" w:rsidRPr="00E2213C" w:rsidRDefault="001D21D7"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shd w:val="clear" w:color="auto" w:fill="auto"/>
          </w:tcPr>
          <w:p w14:paraId="3DA9196C" w14:textId="329D7A80" w:rsidR="006B7B41" w:rsidRDefault="006A76E3" w:rsidP="002A27A0">
            <w:pPr>
              <w:pStyle w:val="TableNBullet"/>
            </w:pPr>
            <w:r>
              <w:t xml:space="preserve">The </w:t>
            </w:r>
            <w:r w:rsidR="00E134EB">
              <w:t xml:space="preserve">PL benefit amounts are still </w:t>
            </w:r>
            <w:r w:rsidR="27E3BADE">
              <w:t xml:space="preserve">considered </w:t>
            </w:r>
            <w:r w:rsidR="00E134EB">
              <w:t>potentially higher than what may be generated under competitive market mechanisms, including manufacturing scale being achieved, efficien</w:t>
            </w:r>
            <w:r w:rsidR="006B7B41">
              <w:t xml:space="preserve">cy, new market entrants. </w:t>
            </w:r>
          </w:p>
          <w:p w14:paraId="2B14AD65" w14:textId="39F0FCF3" w:rsidR="004A1513" w:rsidRPr="00B22C22" w:rsidRDefault="5D6FC465" w:rsidP="00B22C22">
            <w:pPr>
              <w:pStyle w:val="TableNBullet"/>
              <w:rPr>
                <w:lang w:val="en-US"/>
              </w:rPr>
            </w:pPr>
            <w:r w:rsidRPr="41CE9A86">
              <w:rPr>
                <w:lang w:val="en-US"/>
              </w:rPr>
              <w:t>The</w:t>
            </w:r>
            <w:r w:rsidR="006B7B41" w:rsidRPr="2BB81676">
              <w:rPr>
                <w:lang w:val="en-US"/>
              </w:rPr>
              <w:t xml:space="preserve"> </w:t>
            </w:r>
            <w:r w:rsidR="00CC1D28" w:rsidRPr="2BB81676">
              <w:rPr>
                <w:lang w:val="en-US"/>
              </w:rPr>
              <w:t>‘</w:t>
            </w:r>
            <w:r w:rsidR="006B7B41" w:rsidRPr="2BB81676">
              <w:rPr>
                <w:lang w:val="en-US"/>
              </w:rPr>
              <w:t>the artificial floor</w:t>
            </w:r>
            <w:r w:rsidR="00CC1D28" w:rsidRPr="2BB81676">
              <w:rPr>
                <w:lang w:val="en-US"/>
              </w:rPr>
              <w:t>’ of 7% for eligibility for benefit reductions</w:t>
            </w:r>
            <w:r w:rsidR="006B7B41" w:rsidRPr="2BB81676">
              <w:rPr>
                <w:lang w:val="en-US"/>
              </w:rPr>
              <w:t xml:space="preserve"> </w:t>
            </w:r>
            <w:r w:rsidR="0046170F" w:rsidRPr="0046170F">
              <w:rPr>
                <w:lang w:val="en-US"/>
              </w:rPr>
              <w:t xml:space="preserve">and </w:t>
            </w:r>
            <w:r w:rsidR="006755C0">
              <w:rPr>
                <w:lang w:val="en-US"/>
              </w:rPr>
              <w:t>the</w:t>
            </w:r>
            <w:r w:rsidR="006755C0">
              <w:t xml:space="preserve"> condition that benefits should only be reduced by</w:t>
            </w:r>
            <w:r w:rsidR="0046170F" w:rsidRPr="0046170F">
              <w:rPr>
                <w:lang w:val="en-US"/>
              </w:rPr>
              <w:t xml:space="preserve"> </w:t>
            </w:r>
            <w:r w:rsidR="006755C0">
              <w:rPr>
                <w:lang w:val="en-US"/>
              </w:rPr>
              <w:t>a</w:t>
            </w:r>
            <w:r w:rsidR="0046170F" w:rsidRPr="0046170F">
              <w:rPr>
                <w:lang w:val="en-US"/>
              </w:rPr>
              <w:t xml:space="preserve"> maximum of 80% of the gap should </w:t>
            </w:r>
            <w:r w:rsidR="00E8058B">
              <w:rPr>
                <w:lang w:val="en-US"/>
              </w:rPr>
              <w:t>b</w:t>
            </w:r>
            <w:r w:rsidR="00E8058B">
              <w:t>e</w:t>
            </w:r>
            <w:r w:rsidR="0046170F" w:rsidRPr="0046170F">
              <w:rPr>
                <w:lang w:val="en-US"/>
              </w:rPr>
              <w:t xml:space="preserve"> removed.</w:t>
            </w:r>
          </w:p>
        </w:tc>
      </w:tr>
      <w:tr w:rsidR="001D21D7" w:rsidRPr="00E2213C" w14:paraId="0BA33291" w14:textId="77777777" w:rsidTr="004251B2">
        <w:trPr>
          <w:trHeight w:val="857"/>
        </w:trPr>
        <w:tc>
          <w:tcPr>
            <w:tcW w:w="554" w:type="pct"/>
            <w:shd w:val="clear" w:color="auto" w:fill="00264D" w:themeFill="background2"/>
            <w:vAlign w:val="center"/>
          </w:tcPr>
          <w:p w14:paraId="441BE5ED" w14:textId="77777777" w:rsidR="001D21D7" w:rsidRPr="00E2213C" w:rsidRDefault="001D21D7" w:rsidP="004251B2">
            <w:pPr>
              <w:spacing w:before="40" w:after="40"/>
              <w:jc w:val="center"/>
              <w:rPr>
                <w:i/>
                <w:iCs/>
              </w:rPr>
            </w:pPr>
            <w:r w:rsidRPr="00E2213C">
              <w:rPr>
                <w:i/>
                <w:iCs/>
                <w:noProof/>
              </w:rPr>
              <w:drawing>
                <wp:inline distT="0" distB="0" distL="0" distR="0" wp14:anchorId="4B12888B" wp14:editId="0826DA18">
                  <wp:extent cx="309245" cy="336734"/>
                  <wp:effectExtent l="0" t="0" r="0" b="6350"/>
                  <wp:docPr id="276216555" name="Graphic 276216555"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16555" name="Graphic 276216555"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7D5087BD" w14:textId="77777777" w:rsidR="001D21D7" w:rsidRPr="00E2213C" w:rsidRDefault="001D21D7"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5445AE3D" w14:textId="7E80A4E1" w:rsidR="0039626E" w:rsidRDefault="00122A67" w:rsidP="002A27A0">
            <w:pPr>
              <w:pStyle w:val="TableNBullet"/>
            </w:pPr>
            <w:r>
              <w:t>The b</w:t>
            </w:r>
            <w:r w:rsidR="0039626E">
              <w:t>enefit reductions proceeded in line with the MOU.</w:t>
            </w:r>
          </w:p>
          <w:p w14:paraId="2E4441F5" w14:textId="370C0F2F" w:rsidR="001D21D7" w:rsidRPr="00E2213C" w:rsidRDefault="00DD4812" w:rsidP="002A27A0">
            <w:pPr>
              <w:pStyle w:val="TableNBullet"/>
            </w:pPr>
            <w:r>
              <w:t>The</w:t>
            </w:r>
            <w:r w:rsidR="001D21D7">
              <w:t xml:space="preserve"> </w:t>
            </w:r>
            <w:r w:rsidR="00B14FCB">
              <w:t>PL benefits</w:t>
            </w:r>
            <w:r w:rsidR="001D21D7">
              <w:t xml:space="preserve"> are</w:t>
            </w:r>
            <w:r w:rsidR="00E134EB">
              <w:t xml:space="preserve"> now</w:t>
            </w:r>
            <w:r w:rsidR="001D21D7">
              <w:t xml:space="preserve"> objectively better </w:t>
            </w:r>
            <w:r w:rsidR="001D21D7" w:rsidDel="00DD5B82">
              <w:t>aligned</w:t>
            </w:r>
            <w:r w:rsidR="00DD5B82">
              <w:t>;</w:t>
            </w:r>
            <w:r w:rsidR="009A001E">
              <w:t xml:space="preserve"> </w:t>
            </w:r>
            <w:r w:rsidR="005A783C">
              <w:t>however,</w:t>
            </w:r>
            <w:r w:rsidR="009A001E">
              <w:t xml:space="preserve"> some reductions have been bluntly applied resulting </w:t>
            </w:r>
            <w:r w:rsidR="00E134EB">
              <w:t xml:space="preserve">in the benefits of </w:t>
            </w:r>
            <w:r w:rsidR="0007187F">
              <w:t xml:space="preserve">some </w:t>
            </w:r>
            <w:r w:rsidR="009A001E">
              <w:t xml:space="preserve">groupings </w:t>
            </w:r>
            <w:r w:rsidR="00E134EB">
              <w:t xml:space="preserve">falling below the public sector price. </w:t>
            </w:r>
          </w:p>
        </w:tc>
      </w:tr>
      <w:tr w:rsidR="00252F94" w:rsidRPr="00E2213C" w14:paraId="3270CED1" w14:textId="77777777" w:rsidTr="004251B2">
        <w:trPr>
          <w:trHeight w:val="857"/>
        </w:trPr>
        <w:tc>
          <w:tcPr>
            <w:tcW w:w="554" w:type="pct"/>
            <w:shd w:val="clear" w:color="auto" w:fill="00264D" w:themeFill="background2"/>
            <w:vAlign w:val="center"/>
          </w:tcPr>
          <w:p w14:paraId="4B69692B" w14:textId="09A11C14" w:rsidR="00252F94" w:rsidRPr="00E2213C" w:rsidRDefault="007F59FC" w:rsidP="004251B2">
            <w:pPr>
              <w:spacing w:before="40" w:after="40"/>
              <w:jc w:val="center"/>
              <w:rPr>
                <w:i/>
                <w:iCs/>
                <w:noProof/>
              </w:rPr>
            </w:pPr>
            <w:r>
              <w:rPr>
                <w:noProof/>
              </w:rPr>
              <w:drawing>
                <wp:inline distT="0" distB="0" distL="0" distR="0" wp14:anchorId="04BEE9FC" wp14:editId="09848940">
                  <wp:extent cx="267970" cy="323215"/>
                  <wp:effectExtent l="0" t="0" r="0" b="635"/>
                  <wp:docPr id="103011897"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1897"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25F46A18" w14:textId="368A3525" w:rsidR="00252F94" w:rsidRPr="00E2213C" w:rsidRDefault="00252F94" w:rsidP="004251B2">
            <w:pPr>
              <w:spacing w:before="40" w:after="40"/>
              <w:rPr>
                <w:rFonts w:asciiTheme="majorHAnsi" w:hAnsiTheme="majorHAnsi" w:cstheme="majorBidi"/>
                <w:sz w:val="18"/>
                <w:szCs w:val="18"/>
              </w:rPr>
            </w:pPr>
            <w:r w:rsidRPr="1DA0A736">
              <w:rPr>
                <w:rFonts w:asciiTheme="majorHAnsi" w:hAnsiTheme="majorHAnsi" w:cstheme="majorBidi"/>
                <w:sz w:val="18"/>
                <w:szCs w:val="18"/>
              </w:rPr>
              <w:t>Clinician</w:t>
            </w:r>
            <w:r w:rsidR="00CC06F2">
              <w:rPr>
                <w:rFonts w:asciiTheme="majorHAnsi" w:hAnsiTheme="majorHAnsi" w:cstheme="majorBidi"/>
                <w:sz w:val="18"/>
                <w:szCs w:val="18"/>
              </w:rPr>
              <w:t xml:space="preserve"> </w:t>
            </w:r>
            <w:r w:rsidR="00494AF7">
              <w:rPr>
                <w:rFonts w:asciiTheme="majorHAnsi" w:hAnsiTheme="majorHAnsi" w:cstheme="majorBidi"/>
                <w:sz w:val="18"/>
                <w:szCs w:val="18"/>
              </w:rPr>
              <w:t>representative</w:t>
            </w:r>
          </w:p>
        </w:tc>
        <w:tc>
          <w:tcPr>
            <w:tcW w:w="3652" w:type="pct"/>
          </w:tcPr>
          <w:p w14:paraId="6DEFD93D" w14:textId="0396DB1E" w:rsidR="00252F94" w:rsidRDefault="00A07F65" w:rsidP="005A783C">
            <w:pPr>
              <w:pStyle w:val="TableNBullet"/>
            </w:pPr>
            <w:r w:rsidRPr="00A07F65">
              <w:rPr>
                <w:lang w:val="en-US"/>
              </w:rPr>
              <w:t xml:space="preserve">The progression </w:t>
            </w:r>
            <w:r w:rsidR="005A783C">
              <w:rPr>
                <w:lang w:val="en-US"/>
              </w:rPr>
              <w:t>of</w:t>
            </w:r>
            <w:r w:rsidRPr="00A07F65">
              <w:rPr>
                <w:lang w:val="en-US"/>
              </w:rPr>
              <w:t xml:space="preserve"> benefit reductions has been satisfactory</w:t>
            </w:r>
            <w:r>
              <w:rPr>
                <w:lang w:val="en-US"/>
              </w:rPr>
              <w:t xml:space="preserve">. </w:t>
            </w:r>
            <w:r w:rsidR="005A783C">
              <w:rPr>
                <w:lang w:val="en-US"/>
              </w:rPr>
              <w:t xml:space="preserve">Seeking the lowest prices </w:t>
            </w:r>
            <w:r w:rsidR="007E11BF">
              <w:t xml:space="preserve">possible </w:t>
            </w:r>
            <w:r w:rsidR="00B84D99">
              <w:t xml:space="preserve">for prostheses is desirable </w:t>
            </w:r>
            <w:r w:rsidR="005A783C">
              <w:t>so long as</w:t>
            </w:r>
            <w:r w:rsidR="00B84D99">
              <w:t xml:space="preserve"> </w:t>
            </w:r>
            <w:r w:rsidR="007E11BF">
              <w:t>these prices</w:t>
            </w:r>
            <w:r w:rsidR="00EB28E1">
              <w:t xml:space="preserve"> remain financially viable for medical device companies. </w:t>
            </w:r>
          </w:p>
          <w:p w14:paraId="17A60D85" w14:textId="0BA9C2B0" w:rsidR="00CF3166" w:rsidRDefault="00226C5D" w:rsidP="002A27A0">
            <w:pPr>
              <w:pStyle w:val="TableNBullet"/>
            </w:pPr>
            <w:r>
              <w:t xml:space="preserve">It was reasonable to </w:t>
            </w:r>
            <w:r w:rsidR="382C1C56">
              <w:t>i</w:t>
            </w:r>
            <w:r w:rsidR="1632AEE0">
              <w:t>mplement</w:t>
            </w:r>
            <w:r w:rsidR="00A7062B">
              <w:t xml:space="preserve"> a PL </w:t>
            </w:r>
            <w:r w:rsidR="00DD7689">
              <w:t>price floor</w:t>
            </w:r>
            <w:r w:rsidR="00A7062B">
              <w:t xml:space="preserve"> as</w:t>
            </w:r>
            <w:r w:rsidR="00DD7689">
              <w:t xml:space="preserve"> lower pricing arrangements are possible in the public hospitals, achieved by public hospitals </w:t>
            </w:r>
            <w:r w:rsidR="00466510">
              <w:t>being able to guarantee a higher volume of purchased devices.</w:t>
            </w:r>
          </w:p>
          <w:p w14:paraId="2C96DB89" w14:textId="3687651C" w:rsidR="007E11BF" w:rsidRDefault="00CF3166" w:rsidP="002A27A0">
            <w:pPr>
              <w:pStyle w:val="TableNBullet"/>
            </w:pPr>
            <w:r>
              <w:t xml:space="preserve">CIEDs have the biggest </w:t>
            </w:r>
            <w:r w:rsidR="0033229D">
              <w:t>discrepancy</w:t>
            </w:r>
            <w:r>
              <w:t xml:space="preserve"> in price between public and private sector</w:t>
            </w:r>
            <w:r w:rsidR="00665F26">
              <w:t>s</w:t>
            </w:r>
            <w:r>
              <w:t xml:space="preserve">. </w:t>
            </w:r>
            <w:r w:rsidR="0033229D">
              <w:t>This necessitates these devices to</w:t>
            </w:r>
            <w:r w:rsidR="00DD5B82">
              <w:t xml:space="preserve"> </w:t>
            </w:r>
            <w:r>
              <w:t>undergo a review and be re-negotiated.</w:t>
            </w:r>
            <w:r w:rsidR="00466510">
              <w:t xml:space="preserve"> </w:t>
            </w:r>
          </w:p>
        </w:tc>
      </w:tr>
    </w:tbl>
    <w:p w14:paraId="5D574935" w14:textId="77777777" w:rsidR="00AB4F28" w:rsidRDefault="00AB4F28" w:rsidP="00AB4F28">
      <w:pPr>
        <w:pStyle w:val="Heading3"/>
      </w:pPr>
      <w:bookmarkStart w:id="31" w:name="_Toc181405075"/>
      <w:r>
        <w:t>The reductions methodology was pragmatic and broadly accepted</w:t>
      </w:r>
      <w:bookmarkEnd w:id="31"/>
    </w:p>
    <w:p w14:paraId="78A0594E" w14:textId="6E175D07" w:rsidR="00AB4F28" w:rsidRDefault="00AB4F28" w:rsidP="00AB4F28">
      <w:pPr>
        <w:pStyle w:val="Heading4"/>
      </w:pPr>
      <w:r>
        <w:t xml:space="preserve">The </w:t>
      </w:r>
      <w:r w:rsidR="00C0725E">
        <w:t>Department</w:t>
      </w:r>
      <w:r>
        <w:t xml:space="preserve"> and IHACPA developed a methodology with stakeholders</w:t>
      </w:r>
    </w:p>
    <w:p w14:paraId="3A8F0A7C" w14:textId="4A2E6775" w:rsidR="00AB4F28" w:rsidRPr="00EE4A48" w:rsidRDefault="00AB4F28" w:rsidP="00AB4F28">
      <w:r>
        <w:t>In December 2021, IHACPA published the methodology to determine a benchmark price for prostheses in Australian public hospitals.</w:t>
      </w:r>
      <w:r>
        <w:rPr>
          <w:rStyle w:val="FootnoteReference"/>
        </w:rPr>
        <w:footnoteReference w:id="24"/>
      </w:r>
      <w:r w:rsidR="00DB1F09">
        <w:t xml:space="preserve"> </w:t>
      </w:r>
      <w:r>
        <w:t xml:space="preserve">These public sector </w:t>
      </w:r>
      <w:r w:rsidR="00260813">
        <w:t>Weighted Average Prices</w:t>
      </w:r>
      <w:r>
        <w:t xml:space="preserve"> allowed the </w:t>
      </w:r>
      <w:r w:rsidR="00C0725E">
        <w:t>Department</w:t>
      </w:r>
      <w:r>
        <w:t xml:space="preserve"> and IHACPA to </w:t>
      </w:r>
      <w:r w:rsidR="00183006">
        <w:t>determine</w:t>
      </w:r>
      <w:r>
        <w:t xml:space="preserve"> the gap between the PL benefits </w:t>
      </w:r>
      <w:r w:rsidR="00260813">
        <w:t>and their public benchmarks</w:t>
      </w:r>
      <w:r w:rsidR="00262B99">
        <w:t xml:space="preserve">, </w:t>
      </w:r>
      <w:r w:rsidR="00ED2921">
        <w:t>est</w:t>
      </w:r>
      <w:r w:rsidR="007D20B0">
        <w:t>ablishing a benchmark for</w:t>
      </w:r>
      <w:r w:rsidR="00223B71">
        <w:t xml:space="preserve"> calcul</w:t>
      </w:r>
      <w:r w:rsidR="00183006">
        <w:t>at</w:t>
      </w:r>
      <w:r w:rsidR="0097109E">
        <w:t>ing</w:t>
      </w:r>
      <w:r>
        <w:t xml:space="preserve"> </w:t>
      </w:r>
      <w:r w:rsidR="0097109E">
        <w:t>and applying</w:t>
      </w:r>
      <w:r>
        <w:t xml:space="preserve"> benefit reductions. </w:t>
      </w:r>
      <w:r w:rsidR="002A4F00">
        <w:t>A</w:t>
      </w:r>
      <w:r>
        <w:t xml:space="preserve"> final report was complete in March 2022</w:t>
      </w:r>
      <w:r w:rsidR="002A4F00">
        <w:t>,</w:t>
      </w:r>
      <w:r>
        <w:rPr>
          <w:rStyle w:val="FootnoteReference"/>
        </w:rPr>
        <w:footnoteReference w:id="25"/>
      </w:r>
      <w:r>
        <w:t xml:space="preserve"> following consultation with stakeholders.</w:t>
      </w:r>
    </w:p>
    <w:p w14:paraId="1C920859" w14:textId="77777777" w:rsidR="00AB4F28" w:rsidRDefault="00AB4F28" w:rsidP="00AB4F28">
      <w:pPr>
        <w:pStyle w:val="Heading4"/>
      </w:pPr>
      <w:r>
        <w:t>Reductions were made with reference to prices in the Australian public sector</w:t>
      </w:r>
    </w:p>
    <w:p w14:paraId="2956F4E2" w14:textId="1D2D72DB" w:rsidR="00AB4F28" w:rsidRDefault="00AB4F28" w:rsidP="00AB4F28">
      <w:pPr>
        <w:pStyle w:val="Bullet"/>
        <w:numPr>
          <w:ilvl w:val="0"/>
          <w:numId w:val="0"/>
        </w:numPr>
      </w:pPr>
      <w:r>
        <w:t xml:space="preserve">Determining reductions through reference to the Australian public sector enabled the </w:t>
      </w:r>
      <w:r w:rsidR="00C0725E">
        <w:t>Department</w:t>
      </w:r>
      <w:r>
        <w:t xml:space="preserve"> and IHACPA to adopt a standard calculation t</w:t>
      </w:r>
      <w:r w:rsidR="000B1866">
        <w:t xml:space="preserve">hat could be </w:t>
      </w:r>
      <w:r>
        <w:t>appl</w:t>
      </w:r>
      <w:r w:rsidR="000B1866">
        <w:t xml:space="preserve">ied to </w:t>
      </w:r>
      <w:r>
        <w:t xml:space="preserve">items </w:t>
      </w:r>
      <w:r w:rsidR="000B1866">
        <w:t>broadly across</w:t>
      </w:r>
      <w:r>
        <w:t xml:space="preserve"> the PL. Though stakeholders have pointed to market differences across the </w:t>
      </w:r>
      <w:r w:rsidR="00ED7BFA">
        <w:t xml:space="preserve">private and public </w:t>
      </w:r>
      <w:r>
        <w:t>sectors,</w:t>
      </w:r>
      <w:r>
        <w:rPr>
          <w:rStyle w:val="FootnoteReference"/>
        </w:rPr>
        <w:footnoteReference w:id="26"/>
      </w:r>
      <w:r>
        <w:t xml:space="preserve"> the large overlap of devices used in Australian private and public hospitals enabled IHACPA to perform benchmarking for all benefit groups on Parts A and C of the PL with the assistance of </w:t>
      </w:r>
      <w:r w:rsidR="00EE3A7C">
        <w:t xml:space="preserve">the </w:t>
      </w:r>
      <w:r>
        <w:t>MTAA and sponsors.</w:t>
      </w:r>
      <w:r w:rsidR="00F514A2">
        <w:rPr>
          <w:rStyle w:val="FootnoteReference"/>
        </w:rPr>
        <w:footnoteReference w:id="27"/>
      </w:r>
    </w:p>
    <w:p w14:paraId="20C081C5" w14:textId="51C58AC6" w:rsidR="008B6312" w:rsidRDefault="00AB4F28" w:rsidP="00AB4F28">
      <w:pPr>
        <w:pStyle w:val="Bullet"/>
        <w:numPr>
          <w:ilvl w:val="0"/>
          <w:numId w:val="0"/>
        </w:numPr>
      </w:pPr>
      <w:r>
        <w:t>While Australian public sector prices are a suitable reference for the reforms to achieve its objective of improving the alignment of PL benefits with more competitive markets, it should be noted that public sector prices and PL benefits are not independent of each other, and the ‘competitive’ market price is likely lower than the public reference price for most PL items. It is common practice fo</w:t>
      </w:r>
      <w:r w:rsidR="007657EB">
        <w:t xml:space="preserve">r </w:t>
      </w:r>
      <w:r>
        <w:t xml:space="preserve">sponsors to use PL benefits as </w:t>
      </w:r>
      <w:r>
        <w:lastRenderedPageBreak/>
        <w:t>their ‘list prices’ for public hospitals; the default price from which discounts are negotiated, sometimes through volume and market share agreements.</w:t>
      </w:r>
      <w:r w:rsidR="007E5B5A">
        <w:t xml:space="preserve"> </w:t>
      </w:r>
      <w:r w:rsidR="0018042A" w:rsidRPr="0018042A">
        <w:t xml:space="preserve">This is reinforced by government procurement agencies commonly requesting </w:t>
      </w:r>
      <w:r w:rsidR="00DB3A20">
        <w:t xml:space="preserve">that </w:t>
      </w:r>
      <w:r w:rsidR="0018042A" w:rsidRPr="0018042A">
        <w:t>MedTech companies provide PL benefit</w:t>
      </w:r>
      <w:r w:rsidR="00A955A9">
        <w:t>s</w:t>
      </w:r>
      <w:r w:rsidR="0018042A" w:rsidRPr="0018042A">
        <w:t xml:space="preserve"> as </w:t>
      </w:r>
      <w:r w:rsidR="00A35177">
        <w:t xml:space="preserve">a </w:t>
      </w:r>
      <w:r w:rsidR="0018042A" w:rsidRPr="0018042A">
        <w:t>reference alongside the</w:t>
      </w:r>
      <w:r w:rsidR="005D560F">
        <w:t>i</w:t>
      </w:r>
      <w:r w:rsidR="00891C7E">
        <w:t>r tendered</w:t>
      </w:r>
      <w:r w:rsidR="0018042A" w:rsidRPr="0018042A">
        <w:t xml:space="preserve"> price</w:t>
      </w:r>
      <w:r w:rsidR="00A955A9">
        <w:t xml:space="preserve">s during </w:t>
      </w:r>
      <w:r w:rsidR="00A874B0">
        <w:t>procurement processes</w:t>
      </w:r>
      <w:r w:rsidR="00282299">
        <w:t xml:space="preserve"> and requiring</w:t>
      </w:r>
      <w:r w:rsidR="0018042A" w:rsidRPr="0018042A">
        <w:t xml:space="preserve"> that the tendered price be below or equal to the PL benefit.</w:t>
      </w:r>
      <w:r w:rsidR="0018042A">
        <w:t xml:space="preserve"> </w:t>
      </w:r>
      <w:r>
        <w:t>This has an anchoring effect on public sector price negotiations for medical devices. International pricing that is significantly lower than Australian pricing is another indication that the Australian market could sustain benefits levels lower than the public benchmarks.</w:t>
      </w:r>
    </w:p>
    <w:p w14:paraId="195630EC" w14:textId="2F5A8B4F" w:rsidR="00AB4F28" w:rsidRDefault="00AB4F28" w:rsidP="00AB4F28">
      <w:pPr>
        <w:pStyle w:val="Bullet"/>
        <w:numPr>
          <w:ilvl w:val="0"/>
          <w:numId w:val="0"/>
        </w:numPr>
      </w:pPr>
      <w:r>
        <w:t>However, IHACPA considers Australian jurisdictions to have sufficiently competitive procurement processes to be a suitable reference for the purposes of the reforms.</w:t>
      </w:r>
      <w:r>
        <w:rPr>
          <w:rStyle w:val="FootnoteReference"/>
        </w:rPr>
        <w:footnoteReference w:id="28"/>
      </w:r>
      <w:r>
        <w:t xml:space="preserve"> With a lack of feasible alternat</w:t>
      </w:r>
      <w:r w:rsidR="002B736C">
        <w:t>ive</w:t>
      </w:r>
      <w:r>
        <w:t xml:space="preserve"> options,</w:t>
      </w:r>
      <w:r>
        <w:rPr>
          <w:rStyle w:val="FootnoteReference"/>
        </w:rPr>
        <w:footnoteReference w:id="29"/>
      </w:r>
      <w:r>
        <w:t xml:space="preserve"> and in a complex stakeholder environment where cooperation with industry is required, establishing public sector reference prices has enabled the </w:t>
      </w:r>
      <w:r w:rsidR="00C0725E">
        <w:t>Department</w:t>
      </w:r>
      <w:r>
        <w:t xml:space="preserve"> to successful</w:t>
      </w:r>
      <w:r w:rsidR="000E2D8F">
        <w:t>ly</w:t>
      </w:r>
      <w:r>
        <w:t xml:space="preserve"> improve the alignment of PL benefits with more competitive markets across a large proportion of items.</w:t>
      </w:r>
    </w:p>
    <w:p w14:paraId="1A9F84F6" w14:textId="77777777" w:rsidR="00AB4F28" w:rsidRDefault="00AB4F28" w:rsidP="00AB4F28">
      <w:pPr>
        <w:pStyle w:val="Heading4"/>
      </w:pPr>
      <w:r>
        <w:t>Stakeholders have expressed varied perspectives on the methodology</w:t>
      </w:r>
    </w:p>
    <w:p w14:paraId="2116F731" w14:textId="4CE8FCE0" w:rsidR="006233CB" w:rsidRDefault="00AB4F28" w:rsidP="67A34CD3">
      <w:pPr>
        <w:pStyle w:val="Bullet"/>
        <w:numPr>
          <w:ilvl w:val="0"/>
          <w:numId w:val="0"/>
        </w:numPr>
      </w:pPr>
      <w:r>
        <w:t xml:space="preserve">Stakeholders have expressed different views about </w:t>
      </w:r>
      <w:r w:rsidR="002E3317">
        <w:t>reductions methodology</w:t>
      </w:r>
      <w:r>
        <w:t xml:space="preserve">. </w:t>
      </w:r>
      <w:r w:rsidR="00F343F8">
        <w:t xml:space="preserve">Broadly accepting </w:t>
      </w:r>
      <w:r w:rsidR="001469F4">
        <w:t xml:space="preserve">of </w:t>
      </w:r>
      <w:r w:rsidR="00216CE7">
        <w:t>the decision to</w:t>
      </w:r>
      <w:r w:rsidR="001469F4">
        <w:t xml:space="preserve"> benchmark against</w:t>
      </w:r>
      <w:r w:rsidR="00F343F8">
        <w:t xml:space="preserve"> the </w:t>
      </w:r>
      <w:r w:rsidR="001469F4">
        <w:t>public sector</w:t>
      </w:r>
      <w:r w:rsidR="00927CB5">
        <w:t xml:space="preserve"> (though not </w:t>
      </w:r>
      <w:r w:rsidR="000C07DC">
        <w:t>exclusively)</w:t>
      </w:r>
      <w:r w:rsidR="00F343F8">
        <w:t xml:space="preserve">, stakeholders disagreed </w:t>
      </w:r>
      <w:r w:rsidR="00A85BC8">
        <w:t>about the inclusion of a 7% price floor</w:t>
      </w:r>
      <w:r w:rsidR="008B7F4D">
        <w:t>.</w:t>
      </w:r>
      <w:r>
        <w:t xml:space="preserve"> Private health insurers note that the approach is deficient in terms of generating the greatest quantum of value to consumers.</w:t>
      </w:r>
      <w:r>
        <w:rPr>
          <w:rStyle w:val="FootnoteReference"/>
        </w:rPr>
        <w:footnoteReference w:id="30"/>
      </w:r>
      <w:r>
        <w:t xml:space="preserve"> Medical device manufacturers argued that the contracting arrangements between public and private settings vary and maintained the position that it would not be appropriate for prices on the PL to perfectly align with the prices on the public market.</w:t>
      </w:r>
      <w:r w:rsidR="000C07DC">
        <w:t xml:space="preserve"> Private </w:t>
      </w:r>
      <w:r w:rsidR="00162666">
        <w:t>healthcare provide</w:t>
      </w:r>
      <w:r w:rsidR="00D67600">
        <w:t xml:space="preserve">rs </w:t>
      </w:r>
      <w:r w:rsidR="00A54B1C">
        <w:t xml:space="preserve">expressed that </w:t>
      </w:r>
      <w:r w:rsidR="00EC0FD5">
        <w:t>the 7% price floor was a useful compromise to progress the reforms.</w:t>
      </w:r>
    </w:p>
    <w:p w14:paraId="7E808CCD" w14:textId="25B5CA0E" w:rsidR="00AB4F28" w:rsidRPr="003B29B0" w:rsidRDefault="00AB4F28" w:rsidP="00AB4F28">
      <w:pPr>
        <w:pStyle w:val="Caption"/>
      </w:pPr>
      <w:r>
        <w:t xml:space="preserve">Table </w:t>
      </w:r>
      <w:r>
        <w:fldChar w:fldCharType="begin"/>
      </w:r>
      <w:r>
        <w:instrText xml:space="preserve"> SEQ Table \* ARABIC </w:instrText>
      </w:r>
      <w:r>
        <w:fldChar w:fldCharType="separate"/>
      </w:r>
      <w:r w:rsidR="009B5D8D">
        <w:rPr>
          <w:noProof/>
        </w:rPr>
        <w:t>4</w:t>
      </w:r>
      <w:r>
        <w:fldChar w:fldCharType="end"/>
      </w:r>
      <w:r>
        <w:t xml:space="preserve"> | Stakeholder perspectives on the benefit reductions methodology</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AB4F28" w:rsidRPr="00E2213C" w14:paraId="40E09715" w14:textId="77777777">
        <w:trPr>
          <w:trHeight w:val="346"/>
        </w:trPr>
        <w:tc>
          <w:tcPr>
            <w:tcW w:w="1348" w:type="pct"/>
            <w:gridSpan w:val="2"/>
            <w:shd w:val="clear" w:color="auto" w:fill="E6E6E1" w:themeFill="accent5"/>
            <w:vAlign w:val="center"/>
          </w:tcPr>
          <w:p w14:paraId="24A69BDF" w14:textId="77777777" w:rsidR="00AB4F28" w:rsidRPr="00E2213C" w:rsidRDefault="00AB4F28">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26B6762E" w14:textId="77777777" w:rsidR="00AB4F28" w:rsidRPr="00E2213C" w:rsidRDefault="00AB4F28">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AB4F28" w:rsidRPr="00E2213C" w14:paraId="22F385E1" w14:textId="77777777">
        <w:trPr>
          <w:trHeight w:val="510"/>
        </w:trPr>
        <w:tc>
          <w:tcPr>
            <w:tcW w:w="554" w:type="pct"/>
            <w:shd w:val="clear" w:color="auto" w:fill="00264D" w:themeFill="background2"/>
            <w:vAlign w:val="center"/>
          </w:tcPr>
          <w:p w14:paraId="0310C857" w14:textId="77777777" w:rsidR="00AB4F28" w:rsidRPr="00E2213C" w:rsidRDefault="00AB4F28">
            <w:pPr>
              <w:spacing w:before="40" w:after="40"/>
              <w:jc w:val="center"/>
              <w:rPr>
                <w:i/>
                <w:iCs/>
              </w:rPr>
            </w:pPr>
            <w:r w:rsidRPr="00E2213C">
              <w:rPr>
                <w:i/>
                <w:iCs/>
                <w:noProof/>
              </w:rPr>
              <mc:AlternateContent>
                <mc:Choice Requires="wps">
                  <w:drawing>
                    <wp:inline distT="0" distB="0" distL="0" distR="0" wp14:anchorId="72FAA25C" wp14:editId="772E62D7">
                      <wp:extent cx="320633" cy="314696"/>
                      <wp:effectExtent l="0" t="0" r="3810" b="9525"/>
                      <wp:docPr id="1960810663" name="Freeform: Shape 1960810663"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3F20BE9F" id="Freeform: Shape 1960810663"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35E25E90" w14:textId="77777777" w:rsidR="00AB4F28" w:rsidRPr="00E2213C" w:rsidRDefault="00AB4F28">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050D5EBE" w14:textId="1F06400B" w:rsidR="00AB4F28" w:rsidRDefault="4CFF7EB5" w:rsidP="00FF46B0">
            <w:pPr>
              <w:pStyle w:val="TableNBullet"/>
            </w:pPr>
            <w:r>
              <w:t>B</w:t>
            </w:r>
            <w:r w:rsidR="00AB4F28">
              <w:t xml:space="preserve">enchmarking the PL against the Australian public sector was a positive </w:t>
            </w:r>
            <w:r w:rsidR="00116C86">
              <w:t>and robust methodology</w:t>
            </w:r>
            <w:r w:rsidR="00B27B9F">
              <w:t>,</w:t>
            </w:r>
            <w:r w:rsidR="00AB4F28">
              <w:t xml:space="preserve"> and it has produced material savings for the sector. </w:t>
            </w:r>
          </w:p>
          <w:p w14:paraId="13A8E16D" w14:textId="376FB93B" w:rsidR="00330511" w:rsidRDefault="35097898" w:rsidP="00FF46B0">
            <w:pPr>
              <w:pStyle w:val="TableNBullet"/>
            </w:pPr>
            <w:r>
              <w:t>The</w:t>
            </w:r>
            <w:r w:rsidR="00330511">
              <w:t xml:space="preserve"> use of a 7%</w:t>
            </w:r>
            <w:r w:rsidR="008D163A">
              <w:t xml:space="preserve"> floor was a useful compromise</w:t>
            </w:r>
            <w:r w:rsidR="00EF4F72">
              <w:t xml:space="preserve"> to achieve overall reform.</w:t>
            </w:r>
            <w:r w:rsidR="00330511">
              <w:t xml:space="preserve"> </w:t>
            </w:r>
          </w:p>
          <w:p w14:paraId="4852938E" w14:textId="12E08C76" w:rsidR="001D4AB7" w:rsidRPr="00EB5ED4" w:rsidRDefault="00A60915" w:rsidP="00FF46B0">
            <w:pPr>
              <w:pStyle w:val="TableNBullet"/>
            </w:pPr>
            <w:r>
              <w:rPr>
                <w:rFonts w:eastAsiaTheme="minorEastAsia"/>
              </w:rPr>
              <w:t>The p</w:t>
            </w:r>
            <w:r w:rsidR="00EF4F72">
              <w:rPr>
                <w:rFonts w:eastAsiaTheme="minorEastAsia"/>
              </w:rPr>
              <w:t>has</w:t>
            </w:r>
            <w:r w:rsidR="00EF4F72">
              <w:t>ing of reductions</w:t>
            </w:r>
            <w:r w:rsidR="001D4AB7">
              <w:t xml:space="preserve"> </w:t>
            </w:r>
            <w:r w:rsidR="00003587">
              <w:t>was</w:t>
            </w:r>
            <w:r w:rsidR="001D4AB7">
              <w:t xml:space="preserve"> generally appropriate and provided industry with </w:t>
            </w:r>
            <w:r w:rsidR="00EF4F72">
              <w:t xml:space="preserve">sufficient </w:t>
            </w:r>
            <w:r w:rsidR="001D4AB7">
              <w:t xml:space="preserve">time to adapt to the new prices. </w:t>
            </w:r>
            <w:r w:rsidR="00B27B9F">
              <w:t>Were</w:t>
            </w:r>
            <w:r w:rsidR="001D4AB7">
              <w:t xml:space="preserve"> appreciative of Department attempts to provide additional forward notice </w:t>
            </w:r>
            <w:r w:rsidR="00385155">
              <w:t>of</w:t>
            </w:r>
            <w:r w:rsidR="001D4AB7">
              <w:t xml:space="preserve"> </w:t>
            </w:r>
            <w:r w:rsidR="00EF4F72">
              <w:t xml:space="preserve">reduction announcements </w:t>
            </w:r>
            <w:r w:rsidR="00385155">
              <w:t>to</w:t>
            </w:r>
            <w:r w:rsidR="00EF4F72">
              <w:t xml:space="preserve"> </w:t>
            </w:r>
            <w:r w:rsidR="001D4AB7">
              <w:t>hospitals</w:t>
            </w:r>
            <w:r w:rsidR="00EF4F72">
              <w:t xml:space="preserve">, noting that 10 business days is not generally enough time. </w:t>
            </w:r>
          </w:p>
        </w:tc>
      </w:tr>
      <w:tr w:rsidR="00AB4F28" w:rsidRPr="00E2213C" w14:paraId="48C8D4FC" w14:textId="77777777">
        <w:trPr>
          <w:trHeight w:val="421"/>
        </w:trPr>
        <w:tc>
          <w:tcPr>
            <w:tcW w:w="554" w:type="pct"/>
            <w:shd w:val="clear" w:color="auto" w:fill="00264D" w:themeFill="background2"/>
            <w:vAlign w:val="center"/>
          </w:tcPr>
          <w:p w14:paraId="7363D3AA" w14:textId="77777777" w:rsidR="00AB4F28" w:rsidRPr="00E2213C" w:rsidRDefault="00AB4F28">
            <w:pPr>
              <w:spacing w:before="40" w:after="40"/>
              <w:jc w:val="center"/>
              <w:rPr>
                <w:i/>
                <w:iCs/>
              </w:rPr>
            </w:pPr>
            <w:r w:rsidRPr="00E2213C">
              <w:rPr>
                <w:i/>
                <w:iCs/>
                <w:noProof/>
              </w:rPr>
              <mc:AlternateContent>
                <mc:Choice Requires="wps">
                  <w:drawing>
                    <wp:inline distT="0" distB="0" distL="0" distR="0" wp14:anchorId="18D76861" wp14:editId="1E66317F">
                      <wp:extent cx="292311" cy="292311"/>
                      <wp:effectExtent l="0" t="0" r="0" b="0"/>
                      <wp:docPr id="656016909" name="Freeform: Shape 656016909" descr="Icon of a medical cros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8895CF2" id="Freeform: Shape 656016909" o:spid="_x0000_s1026" alt="Icon of a medical cross &#10;"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57BC132C" w14:textId="77777777" w:rsidR="00AB4F28" w:rsidRPr="00E2213C" w:rsidRDefault="00AB4F28">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082E5E47" w14:textId="2FB0C5E5" w:rsidR="00AB4F28" w:rsidRDefault="3C569130" w:rsidP="00307545">
            <w:pPr>
              <w:pStyle w:val="TableNBullet"/>
            </w:pPr>
            <w:r w:rsidRPr="68A23866">
              <w:t>T</w:t>
            </w:r>
            <w:r w:rsidR="00AB4F28" w:rsidRPr="68A23866">
              <w:t>he</w:t>
            </w:r>
            <w:r w:rsidR="00AB4F28" w:rsidRPr="2BB81676">
              <w:t xml:space="preserve"> methodology was constrained due to limited access to the lowest available public prices, and reliance on device company figures, resulting in insufficient benefit reductions. </w:t>
            </w:r>
          </w:p>
          <w:p w14:paraId="62EC301D" w14:textId="77777777" w:rsidR="000F1987" w:rsidRDefault="000F1987" w:rsidP="00307545">
            <w:pPr>
              <w:pStyle w:val="TableNBullet"/>
            </w:pPr>
            <w:r w:rsidRPr="000F1987">
              <w:t>The decision not to compare benefits internationally was flawed, as larger savings would have been feasible if benefits had been benchmarked to comparable overseas markets.</w:t>
            </w:r>
          </w:p>
          <w:p w14:paraId="56324813" w14:textId="7333AABB" w:rsidR="00613A31" w:rsidRDefault="000F1987" w:rsidP="00307545">
            <w:pPr>
              <w:pStyle w:val="TableNBullet"/>
            </w:pPr>
            <w:r>
              <w:t xml:space="preserve">The </w:t>
            </w:r>
            <w:r w:rsidR="00241A74">
              <w:t>ra</w:t>
            </w:r>
            <w:r w:rsidR="23EC2248">
              <w:t>tionale</w:t>
            </w:r>
            <w:r w:rsidR="005D165B">
              <w:t xml:space="preserve"> for accepting</w:t>
            </w:r>
            <w:r w:rsidR="005F4566">
              <w:t xml:space="preserve"> </w:t>
            </w:r>
            <w:r w:rsidR="00F42FED">
              <w:t xml:space="preserve">a </w:t>
            </w:r>
            <w:r w:rsidR="005D165B">
              <w:t xml:space="preserve">7% floor </w:t>
            </w:r>
            <w:r w:rsidR="00F42FED">
              <w:t>and the condition that benefits should only be reduced by 80% of the gap was</w:t>
            </w:r>
            <w:r w:rsidR="005D165B">
              <w:t xml:space="preserve"> not transparent and has</w:t>
            </w:r>
            <w:r w:rsidR="00E23EE0">
              <w:t xml:space="preserve"> ensured </w:t>
            </w:r>
            <w:r w:rsidR="008E368F">
              <w:t xml:space="preserve">PL device </w:t>
            </w:r>
            <w:r w:rsidR="00E23EE0">
              <w:t>benefit</w:t>
            </w:r>
            <w:r w:rsidR="008E368F">
              <w:t>s</w:t>
            </w:r>
            <w:r w:rsidR="00E23EE0">
              <w:t xml:space="preserve"> remain </w:t>
            </w:r>
            <w:r w:rsidR="008E368F">
              <w:t xml:space="preserve">at inflated levels </w:t>
            </w:r>
            <w:r w:rsidR="00E23EE0">
              <w:t xml:space="preserve">well above public sector benchmarks. </w:t>
            </w:r>
          </w:p>
          <w:p w14:paraId="738A4001" w14:textId="74E4ABD3" w:rsidR="00E23EE0" w:rsidRDefault="00E23EE0" w:rsidP="45D76065">
            <w:pPr>
              <w:pStyle w:val="TableNBullet"/>
            </w:pPr>
            <w:r>
              <w:t>Phasing of reduction over years not months, including delays to CIEDs</w:t>
            </w:r>
            <w:r w:rsidR="00241A74">
              <w:t xml:space="preserve">, </w:t>
            </w:r>
            <w:r>
              <w:t xml:space="preserve">did not have a sound economic grounding, as </w:t>
            </w:r>
            <w:r w:rsidR="00C04212">
              <w:t>inventory</w:t>
            </w:r>
            <w:r>
              <w:t xml:space="preserve"> cycles do not operate on a multi-year basis.</w:t>
            </w:r>
          </w:p>
          <w:p w14:paraId="3FD0D003" w14:textId="48718F65" w:rsidR="00A07677" w:rsidRPr="00E2213C" w:rsidRDefault="00241A74" w:rsidP="00FF46B0">
            <w:pPr>
              <w:pStyle w:val="TableNBullet"/>
            </w:pPr>
            <w:r>
              <w:t>CIEDs</w:t>
            </w:r>
            <w:r w:rsidR="002A682B">
              <w:t xml:space="preserve"> on the PL</w:t>
            </w:r>
            <w:r w:rsidR="00A07677">
              <w:t xml:space="preserve"> are </w:t>
            </w:r>
            <w:r w:rsidR="23320AF2">
              <w:t xml:space="preserve">still considered </w:t>
            </w:r>
            <w:r w:rsidR="00A07677">
              <w:t xml:space="preserve">overpriced and </w:t>
            </w:r>
            <w:r w:rsidR="002A682B">
              <w:t xml:space="preserve">benefit amounts deemed attributable to their technical support service coverage is inflated. </w:t>
            </w:r>
          </w:p>
        </w:tc>
      </w:tr>
      <w:tr w:rsidR="00AB4F28" w:rsidRPr="00E2213C" w14:paraId="5EFB9142" w14:textId="77777777">
        <w:trPr>
          <w:trHeight w:val="857"/>
        </w:trPr>
        <w:tc>
          <w:tcPr>
            <w:tcW w:w="554" w:type="pct"/>
            <w:shd w:val="clear" w:color="auto" w:fill="00264D" w:themeFill="background2"/>
            <w:vAlign w:val="center"/>
          </w:tcPr>
          <w:p w14:paraId="5B9FB5D7" w14:textId="77777777" w:rsidR="00AB4F28" w:rsidRPr="00E2213C" w:rsidRDefault="00AB4F28">
            <w:pPr>
              <w:spacing w:before="40" w:after="40"/>
              <w:jc w:val="center"/>
              <w:rPr>
                <w:i/>
                <w:iCs/>
              </w:rPr>
            </w:pPr>
            <w:r w:rsidRPr="00E2213C">
              <w:rPr>
                <w:i/>
                <w:iCs/>
                <w:noProof/>
              </w:rPr>
              <w:lastRenderedPageBreak/>
              <w:drawing>
                <wp:inline distT="0" distB="0" distL="0" distR="0" wp14:anchorId="21B7FCD1" wp14:editId="3B257CE9">
                  <wp:extent cx="309245" cy="336734"/>
                  <wp:effectExtent l="0" t="0" r="0" b="6350"/>
                  <wp:docPr id="1089863615" name="Graphic 2"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63615" name="Graphic 2"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190FE155" w14:textId="77777777" w:rsidR="00AB4F28" w:rsidRPr="00E2213C" w:rsidRDefault="00AB4F28">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3CD2C92F" w14:textId="38F74AF0" w:rsidR="00DF223A" w:rsidRPr="00DF223A" w:rsidRDefault="414B50B6" w:rsidP="002A2239">
            <w:pPr>
              <w:pStyle w:val="TableNBullet"/>
            </w:pPr>
            <w:r w:rsidRPr="7729BFAC">
              <w:t>T</w:t>
            </w:r>
            <w:r w:rsidR="00944D37" w:rsidRPr="7729BFAC">
              <w:t>he</w:t>
            </w:r>
            <w:r w:rsidR="00944D37">
              <w:t xml:space="preserve"> </w:t>
            </w:r>
            <w:r w:rsidR="00AB4F28" w:rsidRPr="2BB81676">
              <w:t>public hospital market was the most appropriate comparison</w:t>
            </w:r>
            <w:r w:rsidR="00944D37">
              <w:t>.</w:t>
            </w:r>
          </w:p>
          <w:p w14:paraId="114446C2" w14:textId="348311D3" w:rsidR="00AB4F28" w:rsidRPr="00DF223A" w:rsidRDefault="00DF223A" w:rsidP="45D76065">
            <w:pPr>
              <w:pStyle w:val="TableNBullet"/>
            </w:pPr>
            <w:r>
              <w:rPr>
                <w:lang w:val="en-US"/>
              </w:rPr>
              <w:t>The</w:t>
            </w:r>
            <w:r w:rsidR="00AB4F28" w:rsidRPr="2BB81676">
              <w:rPr>
                <w:lang w:val="en-US"/>
              </w:rPr>
              <w:t xml:space="preserve"> remaining gaps between the PL and the public prices </w:t>
            </w:r>
            <w:r w:rsidR="00240E30" w:rsidRPr="2BB81676">
              <w:rPr>
                <w:lang w:val="en-US"/>
              </w:rPr>
              <w:t>are</w:t>
            </w:r>
            <w:r w:rsidR="00AB4F28" w:rsidRPr="2BB81676">
              <w:rPr>
                <w:lang w:val="en-US"/>
              </w:rPr>
              <w:t xml:space="preserve"> reflective of the public market’s use of guaranteed volume to lower price, which would limit choice in the private market. </w:t>
            </w:r>
          </w:p>
          <w:p w14:paraId="6FBC1C4B" w14:textId="04801DEA" w:rsidR="00DF223A" w:rsidRPr="00DF223A" w:rsidRDefault="00B141C6" w:rsidP="45D76065">
            <w:pPr>
              <w:pStyle w:val="TableNBullet"/>
            </w:pPr>
            <w:r>
              <w:t>The s</w:t>
            </w:r>
            <w:r w:rsidR="00DF223A">
              <w:t xml:space="preserve">cope of products included in reductions was appropriate. </w:t>
            </w:r>
          </w:p>
          <w:p w14:paraId="39F35FE1" w14:textId="513D19A0" w:rsidR="00AB4F28" w:rsidRPr="00F219A6" w:rsidRDefault="00A17D87" w:rsidP="45D76065">
            <w:pPr>
              <w:pStyle w:val="TableNBullet"/>
              <w:rPr>
                <w:lang w:val="en-US"/>
              </w:rPr>
            </w:pPr>
            <w:r>
              <w:rPr>
                <w:lang w:val="en-US"/>
              </w:rPr>
              <w:t>T</w:t>
            </w:r>
            <w:r w:rsidR="00AB4F28" w:rsidRPr="2BB81676">
              <w:rPr>
                <w:lang w:val="en-US"/>
              </w:rPr>
              <w:t xml:space="preserve">he lack of independence between the two markets, as some jurisdictions have clauses that require prices to match PL benefits if the PL benefit is lower, creating circular pressure that impacts suppliers. </w:t>
            </w:r>
          </w:p>
          <w:p w14:paraId="035B41E5" w14:textId="516EFFA6" w:rsidR="00F219A6" w:rsidRPr="00E2213C" w:rsidRDefault="00F219A6" w:rsidP="002A2239">
            <w:pPr>
              <w:pStyle w:val="TableNBullet"/>
            </w:pPr>
            <w:r>
              <w:t xml:space="preserve">Handling of CIED reductions was </w:t>
            </w:r>
            <w:r w:rsidR="4D0186AC">
              <w:t xml:space="preserve">considered </w:t>
            </w:r>
            <w:r>
              <w:t xml:space="preserve">reasonable and appropriate and recognised the impact of drastic cuts to </w:t>
            </w:r>
            <w:r w:rsidR="008D29D5">
              <w:t>patient</w:t>
            </w:r>
            <w:r>
              <w:t xml:space="preserve"> services. </w:t>
            </w:r>
          </w:p>
        </w:tc>
      </w:tr>
      <w:tr w:rsidR="00466510" w:rsidRPr="00E2213C" w14:paraId="21028A30" w14:textId="77777777">
        <w:trPr>
          <w:trHeight w:val="857"/>
        </w:trPr>
        <w:tc>
          <w:tcPr>
            <w:tcW w:w="554" w:type="pct"/>
            <w:shd w:val="clear" w:color="auto" w:fill="00264D" w:themeFill="background2"/>
            <w:vAlign w:val="center"/>
          </w:tcPr>
          <w:p w14:paraId="0BFD7917" w14:textId="6CA8DB29" w:rsidR="00466510" w:rsidRPr="00E2213C" w:rsidRDefault="00466510" w:rsidP="00466510">
            <w:pPr>
              <w:spacing w:before="40" w:after="40"/>
              <w:jc w:val="center"/>
              <w:rPr>
                <w:i/>
                <w:iCs/>
                <w:noProof/>
              </w:rPr>
            </w:pPr>
            <w:r>
              <w:rPr>
                <w:noProof/>
              </w:rPr>
              <w:drawing>
                <wp:inline distT="0" distB="0" distL="0" distR="0" wp14:anchorId="24EC9B39" wp14:editId="336BCCC5">
                  <wp:extent cx="267970" cy="323215"/>
                  <wp:effectExtent l="0" t="0" r="0" b="635"/>
                  <wp:docPr id="982276657"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76657"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161B149D" w14:textId="2029C092" w:rsidR="00466510" w:rsidRPr="00E2213C" w:rsidRDefault="00466510" w:rsidP="00466510">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F11DA0">
              <w:rPr>
                <w:rFonts w:asciiTheme="majorHAnsi" w:hAnsiTheme="majorHAnsi" w:cstheme="majorHAnsi"/>
                <w:sz w:val="18"/>
                <w:szCs w:val="20"/>
              </w:rPr>
              <w:t xml:space="preserve"> representative</w:t>
            </w:r>
          </w:p>
        </w:tc>
        <w:tc>
          <w:tcPr>
            <w:tcW w:w="3652" w:type="pct"/>
          </w:tcPr>
          <w:p w14:paraId="6A5D384B" w14:textId="13F837D6" w:rsidR="00466510" w:rsidRDefault="002837C9" w:rsidP="00466510">
            <w:pPr>
              <w:pStyle w:val="TableNBullet"/>
            </w:pPr>
            <w:r>
              <w:t>The use of</w:t>
            </w:r>
            <w:r w:rsidR="004C0242">
              <w:t xml:space="preserve"> Australia’s public hospital system</w:t>
            </w:r>
            <w:r w:rsidR="00C26551">
              <w:t xml:space="preserve"> as the comparator for medical device benchmarking</w:t>
            </w:r>
            <w:r>
              <w:t xml:space="preserve"> was appropriate and </w:t>
            </w:r>
            <w:r w:rsidR="00D260E9">
              <w:t xml:space="preserve">the best comparator available. </w:t>
            </w:r>
          </w:p>
          <w:p w14:paraId="19BE44AC" w14:textId="6EBF8023" w:rsidR="00C26551" w:rsidRDefault="00C26551" w:rsidP="00466510">
            <w:pPr>
              <w:pStyle w:val="TableNBullet"/>
            </w:pPr>
            <w:r>
              <w:t xml:space="preserve">Comparison to other countries is less </w:t>
            </w:r>
            <w:r w:rsidR="00D260E9">
              <w:t xml:space="preserve">helpful as there are </w:t>
            </w:r>
            <w:r w:rsidR="009B4851">
              <w:t>substantial</w:t>
            </w:r>
            <w:r w:rsidR="00D260E9">
              <w:t xml:space="preserve"> contextual differences that may not be captured, including</w:t>
            </w:r>
            <w:r w:rsidR="00FE56BD">
              <w:t xml:space="preserve"> who holds device inventory, and what services are provided with the device</w:t>
            </w:r>
            <w:r w:rsidR="00D3510F">
              <w:t>.</w:t>
            </w:r>
            <w:r w:rsidR="00FE56BD">
              <w:t xml:space="preserve"> </w:t>
            </w:r>
          </w:p>
          <w:p w14:paraId="27F299C9" w14:textId="1F78BDD8" w:rsidR="009B4851" w:rsidRPr="7729BFAC" w:rsidRDefault="009B4851" w:rsidP="00466510">
            <w:pPr>
              <w:pStyle w:val="TableNBullet"/>
            </w:pPr>
            <w:r>
              <w:t>If international comparators are used</w:t>
            </w:r>
            <w:r w:rsidR="001C5681">
              <w:t xml:space="preserve">, the most appropriate items to compare would be high cost and high use medical devices such as cataracts and hip and knee devices. </w:t>
            </w:r>
          </w:p>
        </w:tc>
      </w:tr>
    </w:tbl>
    <w:p w14:paraId="07C7A7DC" w14:textId="034672B1" w:rsidR="00532674" w:rsidRDefault="00912B3D" w:rsidP="00532674">
      <w:pPr>
        <w:pStyle w:val="Heading3"/>
      </w:pPr>
      <w:bookmarkStart w:id="32" w:name="_Ref172296251"/>
      <w:bookmarkStart w:id="33" w:name="_Toc181405076"/>
      <w:r>
        <w:t>The reforms handled CIED items separately</w:t>
      </w:r>
      <w:bookmarkEnd w:id="32"/>
      <w:bookmarkEnd w:id="33"/>
    </w:p>
    <w:p w14:paraId="4632E3E0" w14:textId="0A4200FC" w:rsidR="001B5366" w:rsidRPr="0030521B" w:rsidRDefault="004136F3" w:rsidP="001B5366">
      <w:pPr>
        <w:rPr>
          <w:rFonts w:ascii="Segoe UI Semibold" w:eastAsia="Times New Roman" w:hAnsi="Segoe UI Semibold" w:cs="Times New Roman"/>
          <w:color w:val="00264D" w:themeColor="background2"/>
          <w:sz w:val="22"/>
          <w:lang w:val="en-AU" w:eastAsia="en-AU"/>
        </w:rPr>
      </w:pPr>
      <w:r>
        <w:rPr>
          <w:rFonts w:ascii="Segoe UI Semibold" w:eastAsia="Times New Roman" w:hAnsi="Segoe UI Semibold" w:cs="Times New Roman"/>
          <w:color w:val="00264D" w:themeColor="background2"/>
          <w:sz w:val="22"/>
          <w:lang w:val="en-AU" w:eastAsia="en-AU"/>
        </w:rPr>
        <w:t>The reforms considered a tech</w:t>
      </w:r>
      <w:r w:rsidR="00D66110">
        <w:rPr>
          <w:rFonts w:ascii="Segoe UI Semibold" w:eastAsia="Times New Roman" w:hAnsi="Segoe UI Semibold" w:cs="Times New Roman"/>
          <w:color w:val="00264D" w:themeColor="background2"/>
          <w:sz w:val="22"/>
          <w:lang w:val="en-AU" w:eastAsia="en-AU"/>
        </w:rPr>
        <w:t>nical support services component of CIED</w:t>
      </w:r>
      <w:r w:rsidR="001B5366" w:rsidRPr="2FCFA45A">
        <w:rPr>
          <w:rFonts w:ascii="Segoe UI Semibold" w:eastAsia="Times New Roman" w:hAnsi="Segoe UI Semibold" w:cs="Times New Roman"/>
          <w:color w:val="00264D" w:themeColor="background2"/>
          <w:sz w:val="22"/>
          <w:lang w:val="en-AU" w:eastAsia="en-AU"/>
        </w:rPr>
        <w:t xml:space="preserve"> </w:t>
      </w:r>
      <w:r w:rsidR="000E1F63" w:rsidRPr="2FCFA45A">
        <w:rPr>
          <w:rFonts w:ascii="Segoe UI Semibold" w:eastAsia="Times New Roman" w:hAnsi="Segoe UI Semibold" w:cs="Times New Roman"/>
          <w:color w:val="00264D" w:themeColor="background2"/>
          <w:sz w:val="22"/>
          <w:lang w:val="en-AU" w:eastAsia="en-AU"/>
        </w:rPr>
        <w:t>benefits</w:t>
      </w:r>
    </w:p>
    <w:p w14:paraId="1C4EB421" w14:textId="10AD1F98" w:rsidR="001F42A6" w:rsidRDefault="00713FDF" w:rsidP="00DE79A3">
      <w:pPr>
        <w:rPr>
          <w:lang w:val="en-AU" w:eastAsia="en-AU"/>
        </w:rPr>
      </w:pPr>
      <w:r>
        <w:rPr>
          <w:lang w:val="en-AU" w:eastAsia="en-AU"/>
        </w:rPr>
        <w:t>At</w:t>
      </w:r>
      <w:r w:rsidR="15987854">
        <w:rPr>
          <w:lang w:val="en-AU" w:eastAsia="en-AU"/>
        </w:rPr>
        <w:t xml:space="preserve"> the </w:t>
      </w:r>
      <w:r>
        <w:rPr>
          <w:lang w:val="en-AU" w:eastAsia="en-AU"/>
        </w:rPr>
        <w:t>outset</w:t>
      </w:r>
      <w:r w:rsidR="15987854">
        <w:rPr>
          <w:lang w:val="en-AU" w:eastAsia="en-AU"/>
        </w:rPr>
        <w:t xml:space="preserve"> of </w:t>
      </w:r>
      <w:r>
        <w:rPr>
          <w:lang w:val="en-AU" w:eastAsia="en-AU"/>
        </w:rPr>
        <w:t>the reforms</w:t>
      </w:r>
      <w:r w:rsidR="15987854">
        <w:rPr>
          <w:lang w:val="en-AU" w:eastAsia="en-AU"/>
        </w:rPr>
        <w:t>, it was</w:t>
      </w:r>
      <w:r w:rsidR="00E91EF3">
        <w:rPr>
          <w:lang w:val="en-AU" w:eastAsia="en-AU"/>
        </w:rPr>
        <w:t xml:space="preserve"> </w:t>
      </w:r>
      <w:r w:rsidR="004A0C72" w:rsidRPr="004A0C72">
        <w:rPr>
          <w:lang w:val="en-AU" w:eastAsia="en-AU"/>
        </w:rPr>
        <w:t xml:space="preserve">recognised that additional work was required to establish benefit reductions on </w:t>
      </w:r>
      <w:r w:rsidR="004A0C72">
        <w:rPr>
          <w:lang w:val="en-AU" w:eastAsia="en-AU"/>
        </w:rPr>
        <w:t>Cardiac Implantable Electronic Devices (CIEDs)</w:t>
      </w:r>
      <w:r w:rsidR="007049EB">
        <w:rPr>
          <w:lang w:val="en-AU" w:eastAsia="en-AU"/>
        </w:rPr>
        <w:t xml:space="preserve">. </w:t>
      </w:r>
      <w:r w:rsidR="00E51875">
        <w:rPr>
          <w:lang w:val="en-AU" w:eastAsia="en-AU"/>
        </w:rPr>
        <w:t xml:space="preserve">For </w:t>
      </w:r>
      <w:r w:rsidR="00124FD9">
        <w:rPr>
          <w:lang w:val="en-AU" w:eastAsia="en-AU"/>
        </w:rPr>
        <w:t xml:space="preserve">patients in </w:t>
      </w:r>
      <w:r w:rsidR="00E51875">
        <w:rPr>
          <w:lang w:val="en-AU" w:eastAsia="en-AU"/>
        </w:rPr>
        <w:t>private hospitals, t</w:t>
      </w:r>
      <w:r w:rsidR="007049EB">
        <w:rPr>
          <w:lang w:val="en-AU" w:eastAsia="en-AU"/>
        </w:rPr>
        <w:t xml:space="preserve">he benefit </w:t>
      </w:r>
      <w:r w:rsidR="00470ECE">
        <w:rPr>
          <w:lang w:val="en-AU" w:eastAsia="en-AU"/>
        </w:rPr>
        <w:t>for</w:t>
      </w:r>
      <w:r w:rsidR="00B10C26">
        <w:rPr>
          <w:lang w:val="en-AU" w:eastAsia="en-AU"/>
        </w:rPr>
        <w:t xml:space="preserve"> CIEDs </w:t>
      </w:r>
      <w:r w:rsidR="00AB23AC">
        <w:rPr>
          <w:lang w:val="en-AU" w:eastAsia="en-AU"/>
        </w:rPr>
        <w:t xml:space="preserve">covers </w:t>
      </w:r>
      <w:r w:rsidR="0093584A">
        <w:rPr>
          <w:lang w:val="en-AU" w:eastAsia="en-AU"/>
        </w:rPr>
        <w:t>both t</w:t>
      </w:r>
      <w:r w:rsidR="00830459">
        <w:rPr>
          <w:lang w:val="en-AU" w:eastAsia="en-AU"/>
        </w:rPr>
        <w:t xml:space="preserve">he </w:t>
      </w:r>
      <w:r w:rsidR="00470ECE">
        <w:rPr>
          <w:lang w:val="en-AU" w:eastAsia="en-AU"/>
        </w:rPr>
        <w:t xml:space="preserve">cost of the device and the cost </w:t>
      </w:r>
      <w:r w:rsidR="0093584A">
        <w:rPr>
          <w:lang w:val="en-AU" w:eastAsia="en-AU"/>
        </w:rPr>
        <w:t xml:space="preserve">of the technical services that come with managing </w:t>
      </w:r>
      <w:r w:rsidR="00A82A24">
        <w:rPr>
          <w:lang w:val="en-AU" w:eastAsia="en-AU"/>
        </w:rPr>
        <w:t>the devices after implantation</w:t>
      </w:r>
      <w:r w:rsidR="00306DEA">
        <w:rPr>
          <w:lang w:val="en-AU" w:eastAsia="en-AU"/>
        </w:rPr>
        <w:t xml:space="preserve">. While </w:t>
      </w:r>
      <w:r w:rsidR="00845509">
        <w:rPr>
          <w:lang w:val="en-AU" w:eastAsia="en-AU"/>
        </w:rPr>
        <w:t>these two</w:t>
      </w:r>
      <w:r w:rsidR="00306DEA">
        <w:rPr>
          <w:lang w:val="en-AU" w:eastAsia="en-AU"/>
        </w:rPr>
        <w:t xml:space="preserve"> components are not separately identified on the PL, </w:t>
      </w:r>
      <w:r w:rsidR="00B40711">
        <w:rPr>
          <w:lang w:val="en-AU" w:eastAsia="en-AU"/>
        </w:rPr>
        <w:t>sponsors</w:t>
      </w:r>
      <w:r w:rsidR="00845509">
        <w:rPr>
          <w:lang w:val="en-AU" w:eastAsia="en-AU"/>
        </w:rPr>
        <w:t xml:space="preserve"> advise</w:t>
      </w:r>
      <w:r w:rsidR="00095456">
        <w:rPr>
          <w:lang w:val="en-AU" w:eastAsia="en-AU"/>
        </w:rPr>
        <w:t xml:space="preserve"> that CIED benefits</w:t>
      </w:r>
      <w:r w:rsidR="00152EB6">
        <w:rPr>
          <w:lang w:val="en-AU" w:eastAsia="en-AU"/>
        </w:rPr>
        <w:t xml:space="preserve"> </w:t>
      </w:r>
      <w:r w:rsidR="008962E8">
        <w:rPr>
          <w:lang w:val="en-AU" w:eastAsia="en-AU"/>
        </w:rPr>
        <w:t>are at a level</w:t>
      </w:r>
      <w:r w:rsidR="00FF2303">
        <w:rPr>
          <w:lang w:val="en-AU" w:eastAsia="en-AU"/>
        </w:rPr>
        <w:t xml:space="preserve"> </w:t>
      </w:r>
      <w:r w:rsidR="008962E8">
        <w:rPr>
          <w:lang w:val="en-AU" w:eastAsia="en-AU"/>
        </w:rPr>
        <w:t>that</w:t>
      </w:r>
      <w:r w:rsidR="00FF2303">
        <w:rPr>
          <w:lang w:val="en-AU" w:eastAsia="en-AU"/>
        </w:rPr>
        <w:t xml:space="preserve"> </w:t>
      </w:r>
      <w:r w:rsidR="00572097">
        <w:rPr>
          <w:lang w:val="en-AU" w:eastAsia="en-AU"/>
        </w:rPr>
        <w:t xml:space="preserve">enabled </w:t>
      </w:r>
      <w:r w:rsidR="002A5C11">
        <w:rPr>
          <w:lang w:val="en-AU" w:eastAsia="en-AU"/>
        </w:rPr>
        <w:t>them to employ cardiac technicians to ensure CIEDs are functioning correctly and review any alerts sent by these devices</w:t>
      </w:r>
      <w:r w:rsidR="00B118DD">
        <w:rPr>
          <w:lang w:val="en-AU" w:eastAsia="en-AU"/>
        </w:rPr>
        <w:t xml:space="preserve"> at no</w:t>
      </w:r>
      <w:r w:rsidR="00294AFC">
        <w:rPr>
          <w:lang w:val="en-AU" w:eastAsia="en-AU"/>
        </w:rPr>
        <w:t xml:space="preserve"> additional cost to the consumer</w:t>
      </w:r>
      <w:r w:rsidR="002A5C11">
        <w:rPr>
          <w:lang w:val="en-AU" w:eastAsia="en-AU"/>
        </w:rPr>
        <w:t>.</w:t>
      </w:r>
      <w:r w:rsidR="006527F0">
        <w:rPr>
          <w:lang w:val="en-AU" w:eastAsia="en-AU"/>
        </w:rPr>
        <w:t xml:space="preserve"> </w:t>
      </w:r>
      <w:r w:rsidR="00616ED6" w:rsidRPr="00616ED6">
        <w:rPr>
          <w:lang w:val="en-AU" w:eastAsia="en-AU"/>
        </w:rPr>
        <w:t>To ensure</w:t>
      </w:r>
      <w:r w:rsidR="00CE3926">
        <w:rPr>
          <w:lang w:val="en-AU" w:eastAsia="en-AU"/>
        </w:rPr>
        <w:t xml:space="preserve"> the </w:t>
      </w:r>
      <w:r w:rsidR="00FC388E">
        <w:rPr>
          <w:lang w:val="en-AU" w:eastAsia="en-AU"/>
        </w:rPr>
        <w:t xml:space="preserve">battery powered </w:t>
      </w:r>
      <w:r w:rsidR="00981137">
        <w:rPr>
          <w:lang w:val="en-AU" w:eastAsia="en-AU"/>
        </w:rPr>
        <w:t xml:space="preserve">electronic </w:t>
      </w:r>
      <w:r w:rsidR="00FC388E">
        <w:rPr>
          <w:lang w:val="en-AU" w:eastAsia="en-AU"/>
        </w:rPr>
        <w:t>devices</w:t>
      </w:r>
      <w:r w:rsidR="00616ED6" w:rsidRPr="00616ED6">
        <w:rPr>
          <w:lang w:val="en-AU" w:eastAsia="en-AU"/>
        </w:rPr>
        <w:t xml:space="preserve"> work optimally and for as long as possible, they </w:t>
      </w:r>
      <w:r w:rsidR="00616ED6">
        <w:rPr>
          <w:lang w:val="en-AU" w:eastAsia="en-AU"/>
        </w:rPr>
        <w:t>are</w:t>
      </w:r>
      <w:r w:rsidR="00616ED6" w:rsidRPr="00616ED6">
        <w:rPr>
          <w:lang w:val="en-AU" w:eastAsia="en-AU"/>
        </w:rPr>
        <w:t xml:space="preserve"> checked regularly by</w:t>
      </w:r>
      <w:r w:rsidR="00616ED6">
        <w:rPr>
          <w:lang w:val="en-AU" w:eastAsia="en-AU"/>
        </w:rPr>
        <w:t xml:space="preserve"> these</w:t>
      </w:r>
      <w:r w:rsidR="00616ED6" w:rsidRPr="00616ED6">
        <w:rPr>
          <w:lang w:val="en-AU" w:eastAsia="en-AU"/>
        </w:rPr>
        <w:t xml:space="preserve"> technicians (1–4 times </w:t>
      </w:r>
      <w:r w:rsidR="00616ED6" w:rsidRPr="000D7B1E">
        <w:rPr>
          <w:lang w:val="en-AU" w:eastAsia="en-AU"/>
        </w:rPr>
        <w:t>a year) as well as when the patient experiences medical issues including possible heart problems.</w:t>
      </w:r>
      <w:r w:rsidR="001E1F6E" w:rsidRPr="000D7B1E">
        <w:rPr>
          <w:rStyle w:val="FootnoteReference"/>
          <w:lang w:val="en-AU" w:eastAsia="en-AU"/>
        </w:rPr>
        <w:footnoteReference w:id="31"/>
      </w:r>
    </w:p>
    <w:p w14:paraId="5D819253" w14:textId="1B4AD0CA" w:rsidR="00907145" w:rsidRDefault="001E1F6E" w:rsidP="00907145">
      <w:pPr>
        <w:rPr>
          <w:lang w:val="en-AU" w:eastAsia="en-AU"/>
        </w:rPr>
      </w:pPr>
      <w:r>
        <w:rPr>
          <w:lang w:val="en-AU" w:eastAsia="en-AU"/>
        </w:rPr>
        <w:t xml:space="preserve">Industry </w:t>
      </w:r>
      <w:r w:rsidR="001B2D90">
        <w:rPr>
          <w:lang w:val="en-AU" w:eastAsia="en-AU"/>
        </w:rPr>
        <w:t xml:space="preserve">raised </w:t>
      </w:r>
      <w:r>
        <w:rPr>
          <w:lang w:val="en-AU" w:eastAsia="en-AU"/>
        </w:rPr>
        <w:t>concer</w:t>
      </w:r>
      <w:r w:rsidR="00095456">
        <w:rPr>
          <w:lang w:val="en-AU" w:eastAsia="en-AU"/>
        </w:rPr>
        <w:t>ns</w:t>
      </w:r>
      <w:r>
        <w:rPr>
          <w:lang w:val="en-AU" w:eastAsia="en-AU"/>
        </w:rPr>
        <w:t xml:space="preserve"> </w:t>
      </w:r>
      <w:r w:rsidR="005D0A65">
        <w:rPr>
          <w:lang w:val="en-AU" w:eastAsia="en-AU"/>
        </w:rPr>
        <w:t xml:space="preserve">that the schedule of benefit reductions </w:t>
      </w:r>
      <w:r w:rsidR="00FB1D01">
        <w:rPr>
          <w:lang w:val="en-AU" w:eastAsia="en-AU"/>
        </w:rPr>
        <w:t>would impact on their ability to provide these services to</w:t>
      </w:r>
      <w:r w:rsidR="002F4CF7">
        <w:rPr>
          <w:lang w:val="en-AU" w:eastAsia="en-AU"/>
        </w:rPr>
        <w:t xml:space="preserve"> CIED</w:t>
      </w:r>
      <w:r w:rsidR="00FB1D01">
        <w:rPr>
          <w:lang w:val="en-AU" w:eastAsia="en-AU"/>
        </w:rPr>
        <w:t xml:space="preserve"> patients</w:t>
      </w:r>
      <w:r w:rsidR="00316F2C">
        <w:rPr>
          <w:lang w:val="en-AU" w:eastAsia="en-AU"/>
        </w:rPr>
        <w:t xml:space="preserve">, and the proposed benefit reductions would have implications for both the </w:t>
      </w:r>
      <w:r w:rsidR="00120076">
        <w:rPr>
          <w:lang w:val="en-AU" w:eastAsia="en-AU"/>
        </w:rPr>
        <w:t>private and public secto</w:t>
      </w:r>
      <w:r w:rsidR="00316F2C">
        <w:rPr>
          <w:lang w:val="en-AU" w:eastAsia="en-AU"/>
        </w:rPr>
        <w:t>r</w:t>
      </w:r>
      <w:r w:rsidR="00AC4C2E">
        <w:rPr>
          <w:lang w:val="en-AU" w:eastAsia="en-AU"/>
        </w:rPr>
        <w:t>.</w:t>
      </w:r>
      <w:r w:rsidR="005309C1">
        <w:rPr>
          <w:rStyle w:val="FootnoteReference"/>
          <w:lang w:val="en-AU" w:eastAsia="en-AU"/>
        </w:rPr>
        <w:footnoteReference w:id="32"/>
      </w:r>
      <w:r w:rsidR="008D0925">
        <w:rPr>
          <w:lang w:val="en-AU" w:eastAsia="en-AU"/>
        </w:rPr>
        <w:t xml:space="preserve"> </w:t>
      </w:r>
      <w:r w:rsidR="002B61A4">
        <w:rPr>
          <w:lang w:val="en-AU" w:eastAsia="en-AU"/>
        </w:rPr>
        <w:t xml:space="preserve">Industry </w:t>
      </w:r>
      <w:r w:rsidR="00907145">
        <w:rPr>
          <w:lang w:val="en-AU" w:eastAsia="en-AU"/>
        </w:rPr>
        <w:t>state</w:t>
      </w:r>
      <w:r w:rsidR="00C10837">
        <w:rPr>
          <w:lang w:val="en-AU" w:eastAsia="en-AU"/>
        </w:rPr>
        <w:t>s</w:t>
      </w:r>
      <w:r w:rsidR="002B61A4">
        <w:rPr>
          <w:lang w:val="en-AU" w:eastAsia="en-AU"/>
        </w:rPr>
        <w:t xml:space="preserve"> that CIED benefit amounts </w:t>
      </w:r>
      <w:r w:rsidR="006976C1">
        <w:rPr>
          <w:lang w:val="en-AU" w:eastAsia="en-AU"/>
        </w:rPr>
        <w:t>enable sponsors to provide technical support services to private patients free of charge and to cross-subsidise the provision of similar services to public patients.</w:t>
      </w:r>
      <w:r w:rsidR="00907145">
        <w:rPr>
          <w:lang w:val="en-AU" w:eastAsia="en-AU"/>
        </w:rPr>
        <w:t xml:space="preserve"> </w:t>
      </w:r>
      <w:r w:rsidR="00071DDD">
        <w:rPr>
          <w:lang w:val="en-AU" w:eastAsia="en-AU"/>
        </w:rPr>
        <w:t>They have e</w:t>
      </w:r>
      <w:r w:rsidR="00071DDD" w:rsidRPr="00F77B91">
        <w:rPr>
          <w:lang w:val="en-AU" w:eastAsia="en-AU"/>
        </w:rPr>
        <w:t>stimate</w:t>
      </w:r>
      <w:r w:rsidR="00071DDD">
        <w:rPr>
          <w:lang w:val="en-AU" w:eastAsia="en-AU"/>
        </w:rPr>
        <w:t>d that</w:t>
      </w:r>
      <w:r w:rsidR="00071DDD" w:rsidRPr="00F77B91">
        <w:rPr>
          <w:lang w:val="en-AU" w:eastAsia="en-AU"/>
        </w:rPr>
        <w:t xml:space="preserve"> up to</w:t>
      </w:r>
      <w:r w:rsidR="00071DDD" w:rsidRPr="002F4CF7">
        <w:rPr>
          <w:lang w:val="en-AU" w:eastAsia="en-AU"/>
        </w:rPr>
        <w:t xml:space="preserve"> 17% of all services provided by </w:t>
      </w:r>
      <w:r w:rsidR="00071DDD">
        <w:rPr>
          <w:lang w:val="en-AU" w:eastAsia="en-AU"/>
        </w:rPr>
        <w:t>private cardiac technicians</w:t>
      </w:r>
      <w:r w:rsidR="00071DDD" w:rsidRPr="002F4CF7">
        <w:rPr>
          <w:lang w:val="en-AU" w:eastAsia="en-AU"/>
        </w:rPr>
        <w:t xml:space="preserve"> </w:t>
      </w:r>
      <w:r w:rsidR="00071DDD">
        <w:rPr>
          <w:lang w:val="en-AU" w:eastAsia="en-AU"/>
        </w:rPr>
        <w:t xml:space="preserve">are performed in a </w:t>
      </w:r>
      <w:r w:rsidR="00071DDD" w:rsidRPr="002F4CF7">
        <w:rPr>
          <w:lang w:val="en-AU" w:eastAsia="en-AU"/>
        </w:rPr>
        <w:t>public hospital</w:t>
      </w:r>
      <w:r w:rsidR="00071DDD">
        <w:rPr>
          <w:lang w:val="en-AU" w:eastAsia="en-AU"/>
        </w:rPr>
        <w:t>.</w:t>
      </w:r>
      <w:r w:rsidR="00071DDD">
        <w:rPr>
          <w:rStyle w:val="FootnoteReference"/>
          <w:lang w:val="en-AU" w:eastAsia="en-AU"/>
        </w:rPr>
        <w:footnoteReference w:id="33"/>
      </w:r>
      <w:r w:rsidR="00071DDD">
        <w:rPr>
          <w:lang w:val="en-AU" w:eastAsia="en-AU"/>
        </w:rPr>
        <w:t xml:space="preserve"> Medical device technicians </w:t>
      </w:r>
      <w:r w:rsidR="00071DDD" w:rsidRPr="00314BAA">
        <w:rPr>
          <w:lang w:val="en-AU" w:eastAsia="en-AU"/>
        </w:rPr>
        <w:t xml:space="preserve">are not reimbursed for providing </w:t>
      </w:r>
      <w:r w:rsidR="00567DB8">
        <w:rPr>
          <w:lang w:val="en-AU" w:eastAsia="en-AU"/>
        </w:rPr>
        <w:t>CIED technical</w:t>
      </w:r>
      <w:r w:rsidR="00071DDD" w:rsidRPr="00314BAA">
        <w:rPr>
          <w:lang w:val="en-AU" w:eastAsia="en-AU"/>
        </w:rPr>
        <w:t xml:space="preserve"> services in the public system and some public hospitals rely heavily on </w:t>
      </w:r>
      <w:r w:rsidR="00071DDD">
        <w:rPr>
          <w:lang w:val="en-AU" w:eastAsia="en-AU"/>
        </w:rPr>
        <w:t>this support</w:t>
      </w:r>
      <w:r w:rsidR="00071DDD" w:rsidRPr="00314BAA">
        <w:rPr>
          <w:lang w:val="en-AU" w:eastAsia="en-AU"/>
        </w:rPr>
        <w:t xml:space="preserve">, especially </w:t>
      </w:r>
      <w:r w:rsidR="00071DDD">
        <w:rPr>
          <w:lang w:val="en-AU" w:eastAsia="en-AU"/>
        </w:rPr>
        <w:t xml:space="preserve">for </w:t>
      </w:r>
      <w:r w:rsidR="00071DDD" w:rsidRPr="00314BAA">
        <w:rPr>
          <w:lang w:val="en-AU" w:eastAsia="en-AU"/>
        </w:rPr>
        <w:t>out</w:t>
      </w:r>
      <w:r w:rsidR="00071DDD">
        <w:rPr>
          <w:lang w:val="en-AU" w:eastAsia="en-AU"/>
        </w:rPr>
        <w:t>-</w:t>
      </w:r>
      <w:r w:rsidR="00071DDD" w:rsidRPr="00314BAA">
        <w:rPr>
          <w:lang w:val="en-AU" w:eastAsia="en-AU"/>
        </w:rPr>
        <w:t>of</w:t>
      </w:r>
      <w:r w:rsidR="00071DDD">
        <w:rPr>
          <w:lang w:val="en-AU" w:eastAsia="en-AU"/>
        </w:rPr>
        <w:t>-</w:t>
      </w:r>
      <w:r w:rsidR="00071DDD" w:rsidRPr="00314BAA">
        <w:rPr>
          <w:lang w:val="en-AU" w:eastAsia="en-AU"/>
        </w:rPr>
        <w:t xml:space="preserve">hours and </w:t>
      </w:r>
      <w:r w:rsidR="00071DDD">
        <w:rPr>
          <w:lang w:val="en-AU" w:eastAsia="en-AU"/>
        </w:rPr>
        <w:t>more</w:t>
      </w:r>
      <w:r w:rsidR="00071DDD" w:rsidRPr="00314BAA">
        <w:rPr>
          <w:lang w:val="en-AU" w:eastAsia="en-AU"/>
        </w:rPr>
        <w:t xml:space="preserve"> complex cases.</w:t>
      </w:r>
      <w:r w:rsidR="00071DDD">
        <w:rPr>
          <w:lang w:val="en-AU" w:eastAsia="en-AU"/>
        </w:rPr>
        <w:t xml:space="preserve"> </w:t>
      </w:r>
      <w:r w:rsidR="00907145">
        <w:rPr>
          <w:lang w:val="en-AU" w:eastAsia="en-AU"/>
        </w:rPr>
        <w:t xml:space="preserve">This meant that </w:t>
      </w:r>
      <w:r w:rsidR="00793E30">
        <w:rPr>
          <w:lang w:val="en-AU" w:eastAsia="en-AU"/>
        </w:rPr>
        <w:t xml:space="preserve">industry did not believe it was appropriate to </w:t>
      </w:r>
      <w:r w:rsidR="00A85ACA">
        <w:rPr>
          <w:lang w:val="en-AU" w:eastAsia="en-AU"/>
        </w:rPr>
        <w:t xml:space="preserve">benchmark CIED benefits to public prices, as these </w:t>
      </w:r>
      <w:r w:rsidR="00907145">
        <w:rPr>
          <w:lang w:val="en-AU" w:eastAsia="en-AU"/>
        </w:rPr>
        <w:t>represent the public hospital market value for the CIED device only, and no associated technical services are reimbursable in the public system.</w:t>
      </w:r>
    </w:p>
    <w:p w14:paraId="4DB43E4A" w14:textId="31D115AE" w:rsidR="00CB2337" w:rsidRDefault="00CB2337" w:rsidP="00CB2337">
      <w:pPr>
        <w:pStyle w:val="Heading4"/>
      </w:pPr>
      <w:r>
        <w:t>Benefit reductions were deferred for CIEDs to allow for MSAC to consider the value of technical support services</w:t>
      </w:r>
    </w:p>
    <w:p w14:paraId="6E7A8E88" w14:textId="67C93444" w:rsidR="00342458" w:rsidRDefault="00260C59" w:rsidP="00975945">
      <w:pPr>
        <w:rPr>
          <w:lang w:val="en-AU" w:eastAsia="en-AU"/>
        </w:rPr>
      </w:pPr>
      <w:r>
        <w:rPr>
          <w:lang w:val="en-AU" w:eastAsia="en-AU"/>
        </w:rPr>
        <w:t xml:space="preserve">The </w:t>
      </w:r>
      <w:r w:rsidR="007215B7">
        <w:rPr>
          <w:lang w:val="en-AU" w:eastAsia="en-AU"/>
        </w:rPr>
        <w:t xml:space="preserve">then </w:t>
      </w:r>
      <w:r>
        <w:rPr>
          <w:lang w:val="en-AU" w:eastAsia="en-AU"/>
        </w:rPr>
        <w:t>Minister</w:t>
      </w:r>
      <w:r w:rsidR="001703B8" w:rsidRPr="004A0C72">
        <w:rPr>
          <w:lang w:val="en-AU" w:eastAsia="en-AU"/>
        </w:rPr>
        <w:t xml:space="preserve"> </w:t>
      </w:r>
      <w:r w:rsidR="00F060AF">
        <w:rPr>
          <w:lang w:val="en-AU" w:eastAsia="en-AU"/>
        </w:rPr>
        <w:t xml:space="preserve">had </w:t>
      </w:r>
      <w:r w:rsidR="001703B8" w:rsidRPr="004A0C72">
        <w:rPr>
          <w:lang w:val="en-AU" w:eastAsia="en-AU"/>
        </w:rPr>
        <w:t xml:space="preserve">agreed to </w:t>
      </w:r>
      <w:r w:rsidR="00E85345">
        <w:rPr>
          <w:lang w:val="en-AU" w:eastAsia="en-AU"/>
        </w:rPr>
        <w:t>an alternative</w:t>
      </w:r>
      <w:r w:rsidR="002271CD" w:rsidRPr="004A0C72">
        <w:rPr>
          <w:lang w:val="en-AU" w:eastAsia="en-AU"/>
        </w:rPr>
        <w:t xml:space="preserve"> schedule of benefit reductions for </w:t>
      </w:r>
      <w:r w:rsidR="00A863E7">
        <w:rPr>
          <w:lang w:val="en-AU" w:eastAsia="en-AU"/>
        </w:rPr>
        <w:t xml:space="preserve">CIEDs to </w:t>
      </w:r>
      <w:r w:rsidR="00410DCE">
        <w:rPr>
          <w:lang w:val="en-AU" w:eastAsia="en-AU"/>
        </w:rPr>
        <w:t xml:space="preserve">allow for </w:t>
      </w:r>
      <w:r w:rsidR="00410DCE" w:rsidRPr="00342458">
        <w:t xml:space="preserve">consideration by MSAC on the value of </w:t>
      </w:r>
      <w:r w:rsidR="00410DCE">
        <w:t xml:space="preserve">CIED </w:t>
      </w:r>
      <w:r w:rsidR="00410DCE" w:rsidRPr="00342458">
        <w:t>technical support services</w:t>
      </w:r>
      <w:r w:rsidR="00410DCE">
        <w:t xml:space="preserve">, </w:t>
      </w:r>
      <w:r w:rsidR="00410DCE" w:rsidRPr="00342458">
        <w:rPr>
          <w:lang w:val="en-AU" w:eastAsia="en-AU"/>
        </w:rPr>
        <w:t>as outlined in the March 2022 M</w:t>
      </w:r>
      <w:r w:rsidR="008A6423">
        <w:rPr>
          <w:lang w:val="en-AU" w:eastAsia="en-AU"/>
        </w:rPr>
        <w:t>O</w:t>
      </w:r>
      <w:r w:rsidR="00410DCE" w:rsidRPr="00342458">
        <w:rPr>
          <w:lang w:val="en-AU" w:eastAsia="en-AU"/>
        </w:rPr>
        <w:t xml:space="preserve">U </w:t>
      </w:r>
      <w:r w:rsidR="00410DCE" w:rsidRPr="00342458">
        <w:rPr>
          <w:lang w:val="en-AU" w:eastAsia="en-AU"/>
        </w:rPr>
        <w:lastRenderedPageBreak/>
        <w:t>with MTAA</w:t>
      </w:r>
      <w:r w:rsidR="00410DCE">
        <w:rPr>
          <w:lang w:val="en-AU" w:eastAsia="en-AU"/>
        </w:rPr>
        <w:t xml:space="preserve">. </w:t>
      </w:r>
      <w:r w:rsidR="00AA0099">
        <w:rPr>
          <w:lang w:val="en-AU" w:eastAsia="en-AU"/>
        </w:rPr>
        <w:t xml:space="preserve">The </w:t>
      </w:r>
      <w:r w:rsidR="00AA0099" w:rsidRPr="00342458">
        <w:rPr>
          <w:lang w:val="en-AU" w:eastAsia="en-AU"/>
        </w:rPr>
        <w:t xml:space="preserve">first price </w:t>
      </w:r>
      <w:r w:rsidR="00AA0099" w:rsidRPr="00342458">
        <w:t>reduction for CIEDs was deferred by 12 months</w:t>
      </w:r>
      <w:r w:rsidR="00AA0099">
        <w:t xml:space="preserve"> and</w:t>
      </w:r>
      <w:r w:rsidR="00A866FE">
        <w:t xml:space="preserve"> reductions were</w:t>
      </w:r>
      <w:r w:rsidR="00AA0099">
        <w:t xml:space="preserve"> </w:t>
      </w:r>
      <w:r w:rsidR="00AA0099" w:rsidRPr="00342458">
        <w:rPr>
          <w:lang w:val="en-AU" w:eastAsia="en-AU"/>
        </w:rPr>
        <w:t>scheduled to take place on 1 July 2023 (40%), 1 July 2024 (20%) and 1 July 2025 (20%) respectively.</w:t>
      </w:r>
      <w:r w:rsidR="00AA0099" w:rsidRPr="00342458">
        <w:rPr>
          <w:rStyle w:val="FootnoteReference"/>
          <w:lang w:val="en-AU" w:eastAsia="en-AU"/>
        </w:rPr>
        <w:footnoteReference w:id="34"/>
      </w:r>
      <w:r w:rsidR="009B6E47">
        <w:rPr>
          <w:lang w:val="en-AU" w:eastAsia="en-AU"/>
        </w:rPr>
        <w:t xml:space="preserve"> </w:t>
      </w:r>
    </w:p>
    <w:p w14:paraId="260BA7D1" w14:textId="1DB42264" w:rsidR="00987236" w:rsidRDefault="005E306F" w:rsidP="00975945">
      <w:pPr>
        <w:rPr>
          <w:lang w:val="en-AU" w:eastAsia="en-AU"/>
        </w:rPr>
      </w:pPr>
      <w:r>
        <w:rPr>
          <w:lang w:val="en-AU" w:eastAsia="en-AU"/>
        </w:rPr>
        <w:t>In May 2023</w:t>
      </w:r>
      <w:r w:rsidR="008F3683">
        <w:rPr>
          <w:lang w:val="en-AU" w:eastAsia="en-AU"/>
        </w:rPr>
        <w:t>,</w:t>
      </w:r>
      <w:r>
        <w:rPr>
          <w:lang w:val="en-AU" w:eastAsia="en-AU"/>
        </w:rPr>
        <w:t xml:space="preserve"> t</w:t>
      </w:r>
      <w:r w:rsidR="00324010">
        <w:rPr>
          <w:lang w:val="en-AU" w:eastAsia="en-AU"/>
        </w:rPr>
        <w:t xml:space="preserve">he </w:t>
      </w:r>
      <w:r w:rsidR="009C739A">
        <w:rPr>
          <w:lang w:val="en-AU" w:eastAsia="en-AU"/>
        </w:rPr>
        <w:t>D</w:t>
      </w:r>
      <w:r w:rsidR="00324010">
        <w:rPr>
          <w:lang w:val="en-AU" w:eastAsia="en-AU"/>
        </w:rPr>
        <w:t xml:space="preserve">epartment </w:t>
      </w:r>
      <w:r w:rsidR="00CA2A49">
        <w:rPr>
          <w:lang w:val="en-AU" w:eastAsia="en-AU"/>
        </w:rPr>
        <w:t xml:space="preserve">announced </w:t>
      </w:r>
      <w:r w:rsidR="00C94620">
        <w:rPr>
          <w:lang w:val="en-AU" w:eastAsia="en-AU"/>
        </w:rPr>
        <w:t xml:space="preserve">via a PHI </w:t>
      </w:r>
      <w:r>
        <w:rPr>
          <w:lang w:val="en-AU" w:eastAsia="en-AU"/>
        </w:rPr>
        <w:t>c</w:t>
      </w:r>
      <w:r w:rsidR="00C94620">
        <w:rPr>
          <w:lang w:val="en-AU" w:eastAsia="en-AU"/>
        </w:rPr>
        <w:t xml:space="preserve">ircular that </w:t>
      </w:r>
      <w:r w:rsidR="00CA2A49">
        <w:rPr>
          <w:lang w:val="en-AU" w:eastAsia="en-AU"/>
        </w:rPr>
        <w:t xml:space="preserve">an estimate-based reduction </w:t>
      </w:r>
      <w:r w:rsidR="00A67631">
        <w:rPr>
          <w:lang w:val="en-AU" w:eastAsia="en-AU"/>
        </w:rPr>
        <w:t xml:space="preserve">approach to CIEDs </w:t>
      </w:r>
      <w:r w:rsidR="00781AFE">
        <w:rPr>
          <w:lang w:val="en-AU" w:eastAsia="en-AU"/>
        </w:rPr>
        <w:t xml:space="preserve">would be used </w:t>
      </w:r>
      <w:r w:rsidR="00CA2A49">
        <w:rPr>
          <w:lang w:val="en-AU" w:eastAsia="en-AU"/>
        </w:rPr>
        <w:t>to</w:t>
      </w:r>
      <w:r w:rsidR="00324010">
        <w:rPr>
          <w:lang w:val="en-AU" w:eastAsia="en-AU"/>
        </w:rPr>
        <w:t xml:space="preserve"> enable the first reduction to occur on 1 July 2023</w:t>
      </w:r>
      <w:r w:rsidR="003A61A1">
        <w:rPr>
          <w:lang w:val="en-AU" w:eastAsia="en-AU"/>
        </w:rPr>
        <w:t>. This was done to not disrupt</w:t>
      </w:r>
      <w:r w:rsidR="0008537F">
        <w:rPr>
          <w:lang w:val="en-AU" w:eastAsia="en-AU"/>
        </w:rPr>
        <w:t xml:space="preserve"> existing CIED service arrangements </w:t>
      </w:r>
      <w:r>
        <w:rPr>
          <w:lang w:val="en-AU" w:eastAsia="en-AU"/>
        </w:rPr>
        <w:t>while</w:t>
      </w:r>
      <w:r w:rsidR="00D17210">
        <w:rPr>
          <w:lang w:val="en-AU" w:eastAsia="en-AU"/>
        </w:rPr>
        <w:t xml:space="preserve"> the </w:t>
      </w:r>
      <w:r>
        <w:rPr>
          <w:lang w:val="en-AU" w:eastAsia="en-AU"/>
        </w:rPr>
        <w:t>work of</w:t>
      </w:r>
      <w:r w:rsidR="00987236">
        <w:rPr>
          <w:lang w:val="en-AU" w:eastAsia="en-AU"/>
        </w:rPr>
        <w:t xml:space="preserve"> the</w:t>
      </w:r>
      <w:r>
        <w:rPr>
          <w:lang w:val="en-AU" w:eastAsia="en-AU"/>
        </w:rPr>
        <w:t xml:space="preserve"> </w:t>
      </w:r>
      <w:r w:rsidR="00F64DE6">
        <w:rPr>
          <w:lang w:val="en-AU" w:eastAsia="en-AU"/>
        </w:rPr>
        <w:t xml:space="preserve">MSAC </w:t>
      </w:r>
      <w:r>
        <w:rPr>
          <w:lang w:val="en-AU" w:eastAsia="en-AU"/>
        </w:rPr>
        <w:t>was</w:t>
      </w:r>
      <w:r w:rsidR="006042FB">
        <w:rPr>
          <w:lang w:val="en-AU" w:eastAsia="en-AU"/>
        </w:rPr>
        <w:t xml:space="preserve"> </w:t>
      </w:r>
      <w:r>
        <w:rPr>
          <w:lang w:val="en-AU" w:eastAsia="en-AU"/>
        </w:rPr>
        <w:t>ongoing</w:t>
      </w:r>
      <w:r w:rsidR="009B313B">
        <w:rPr>
          <w:lang w:val="en-AU" w:eastAsia="en-AU"/>
        </w:rPr>
        <w:t xml:space="preserve"> to provide advice on the reasonable cost of </w:t>
      </w:r>
      <w:r w:rsidR="00AA112D">
        <w:rPr>
          <w:lang w:val="en-AU" w:eastAsia="en-AU"/>
        </w:rPr>
        <w:t xml:space="preserve">technical support services of CIEDs. </w:t>
      </w:r>
      <w:r w:rsidR="0008537F">
        <w:rPr>
          <w:lang w:val="en-AU" w:eastAsia="en-AU"/>
        </w:rPr>
        <w:t>This</w:t>
      </w:r>
      <w:r w:rsidR="00615A1E">
        <w:rPr>
          <w:lang w:val="en-AU" w:eastAsia="en-AU"/>
        </w:rPr>
        <w:t xml:space="preserve"> </w:t>
      </w:r>
      <w:r w:rsidR="00727AF7">
        <w:rPr>
          <w:lang w:val="en-AU" w:eastAsia="en-AU"/>
        </w:rPr>
        <w:t xml:space="preserve">first </w:t>
      </w:r>
      <w:r w:rsidR="00615A1E">
        <w:rPr>
          <w:lang w:val="en-AU" w:eastAsia="en-AU"/>
        </w:rPr>
        <w:t>benefit reduction</w:t>
      </w:r>
      <w:r w:rsidR="002F59D7">
        <w:rPr>
          <w:lang w:val="en-AU" w:eastAsia="en-AU"/>
        </w:rPr>
        <w:t xml:space="preserve"> of 40%</w:t>
      </w:r>
      <w:r w:rsidR="00187847">
        <w:rPr>
          <w:lang w:val="en-AU" w:eastAsia="en-AU"/>
        </w:rPr>
        <w:t xml:space="preserve"> of the gap</w:t>
      </w:r>
      <w:r w:rsidR="00615A1E">
        <w:rPr>
          <w:lang w:val="en-AU" w:eastAsia="en-AU"/>
        </w:rPr>
        <w:t xml:space="preserve"> </w:t>
      </w:r>
      <w:r w:rsidR="004A50F9">
        <w:rPr>
          <w:lang w:val="en-AU" w:eastAsia="en-AU"/>
        </w:rPr>
        <w:t xml:space="preserve">applied </w:t>
      </w:r>
      <w:r w:rsidR="00727AF7">
        <w:rPr>
          <w:lang w:val="en-AU" w:eastAsia="en-AU"/>
        </w:rPr>
        <w:t xml:space="preserve">only </w:t>
      </w:r>
      <w:r w:rsidR="00615A1E">
        <w:rPr>
          <w:lang w:val="en-AU" w:eastAsia="en-AU"/>
        </w:rPr>
        <w:t xml:space="preserve">to </w:t>
      </w:r>
      <w:r w:rsidR="004A50F9">
        <w:rPr>
          <w:lang w:val="en-AU" w:eastAsia="en-AU"/>
        </w:rPr>
        <w:t xml:space="preserve">an estimate of the amount that corresponded to the actual </w:t>
      </w:r>
      <w:r w:rsidR="00615A1E">
        <w:rPr>
          <w:lang w:val="en-AU" w:eastAsia="en-AU"/>
        </w:rPr>
        <w:t>device component</w:t>
      </w:r>
      <w:r w:rsidR="00727AF7">
        <w:rPr>
          <w:lang w:val="en-AU" w:eastAsia="en-AU"/>
        </w:rPr>
        <w:t xml:space="preserve"> of the benefit</w:t>
      </w:r>
      <w:r w:rsidR="00DF3171">
        <w:rPr>
          <w:lang w:val="en-AU" w:eastAsia="en-AU"/>
        </w:rPr>
        <w:t xml:space="preserve">, </w:t>
      </w:r>
      <w:r w:rsidR="004A50F9">
        <w:rPr>
          <w:lang w:val="en-AU" w:eastAsia="en-AU"/>
        </w:rPr>
        <w:t xml:space="preserve">which was </w:t>
      </w:r>
      <w:r w:rsidR="00DF3171">
        <w:rPr>
          <w:lang w:val="en-AU" w:eastAsia="en-AU"/>
        </w:rPr>
        <w:t>estimated as 54%.</w:t>
      </w:r>
      <w:r w:rsidR="00F3552F">
        <w:rPr>
          <w:rStyle w:val="FootnoteReference"/>
          <w:lang w:val="en-AU" w:eastAsia="en-AU"/>
        </w:rPr>
        <w:footnoteReference w:id="35"/>
      </w:r>
      <w:r w:rsidR="00951271">
        <w:rPr>
          <w:lang w:val="en-AU" w:eastAsia="en-AU"/>
        </w:rPr>
        <w:t xml:space="preserve"> </w:t>
      </w:r>
      <w:r w:rsidR="00312986">
        <w:rPr>
          <w:lang w:val="en-AU" w:eastAsia="en-AU"/>
        </w:rPr>
        <w:t>The device component</w:t>
      </w:r>
      <w:r w:rsidR="001E241F">
        <w:rPr>
          <w:lang w:val="en-AU" w:eastAsia="en-AU"/>
        </w:rPr>
        <w:t xml:space="preserve"> of CIEDs</w:t>
      </w:r>
      <w:r w:rsidR="00312986">
        <w:rPr>
          <w:lang w:val="en-AU" w:eastAsia="en-AU"/>
        </w:rPr>
        <w:t xml:space="preserve"> was later re-calculated as 56.3%</w:t>
      </w:r>
      <w:r w:rsidR="001E241F">
        <w:rPr>
          <w:lang w:val="en-AU" w:eastAsia="en-AU"/>
        </w:rPr>
        <w:t xml:space="preserve"> of the total benefit f</w:t>
      </w:r>
      <w:r w:rsidR="00F33FFA">
        <w:rPr>
          <w:lang w:val="en-AU" w:eastAsia="en-AU"/>
        </w:rPr>
        <w:t xml:space="preserve">ollowing </w:t>
      </w:r>
      <w:r w:rsidR="00947B9C">
        <w:rPr>
          <w:lang w:val="en-AU" w:eastAsia="en-AU"/>
        </w:rPr>
        <w:t>correction of certification costs provided by industry</w:t>
      </w:r>
      <w:r w:rsidR="00277A18">
        <w:rPr>
          <w:lang w:val="en-AU" w:eastAsia="en-AU"/>
        </w:rPr>
        <w:t>.</w:t>
      </w:r>
      <w:r w:rsidR="00630A90">
        <w:rPr>
          <w:rStyle w:val="FootnoteReference"/>
          <w:lang w:val="en-AU" w:eastAsia="en-AU"/>
        </w:rPr>
        <w:footnoteReference w:id="36"/>
      </w:r>
      <w:r w:rsidR="006F7386">
        <w:rPr>
          <w:lang w:val="en-AU" w:eastAsia="en-AU"/>
        </w:rPr>
        <w:t xml:space="preserve"> </w:t>
      </w:r>
      <w:r w:rsidR="001E241F">
        <w:rPr>
          <w:lang w:val="en-AU" w:eastAsia="en-AU"/>
        </w:rPr>
        <w:t>The</w:t>
      </w:r>
      <w:r w:rsidR="008904D9">
        <w:rPr>
          <w:lang w:val="en-AU" w:eastAsia="en-AU"/>
        </w:rPr>
        <w:t xml:space="preserve"> </w:t>
      </w:r>
      <w:r w:rsidR="00485912">
        <w:rPr>
          <w:lang w:val="en-AU" w:eastAsia="en-AU"/>
        </w:rPr>
        <w:t xml:space="preserve">Department announced </w:t>
      </w:r>
      <w:r w:rsidR="00540474">
        <w:rPr>
          <w:lang w:val="en-AU" w:eastAsia="en-AU"/>
        </w:rPr>
        <w:t>it</w:t>
      </w:r>
      <w:r w:rsidR="006F7386">
        <w:rPr>
          <w:lang w:val="en-AU" w:eastAsia="en-AU"/>
        </w:rPr>
        <w:t xml:space="preserve"> </w:t>
      </w:r>
      <w:r w:rsidR="004C25AE">
        <w:rPr>
          <w:lang w:val="en-AU" w:eastAsia="en-AU"/>
        </w:rPr>
        <w:t>would use this updated figure to calculate the second reduction of 20% of the gap on 1 July 202</w:t>
      </w:r>
      <w:r w:rsidR="00987236">
        <w:rPr>
          <w:lang w:val="en-AU" w:eastAsia="en-AU"/>
        </w:rPr>
        <w:t xml:space="preserve">4. </w:t>
      </w:r>
      <w:r w:rsidR="001E35A5">
        <w:rPr>
          <w:lang w:val="en-AU" w:eastAsia="en-AU"/>
        </w:rPr>
        <w:t xml:space="preserve">This was implemented </w:t>
      </w:r>
      <w:r w:rsidR="007563BE">
        <w:rPr>
          <w:lang w:val="en-AU" w:eastAsia="en-AU"/>
        </w:rPr>
        <w:t xml:space="preserve">in a way where the </w:t>
      </w:r>
      <w:r w:rsidR="00E705D0">
        <w:rPr>
          <w:lang w:val="en-AU" w:eastAsia="en-AU"/>
        </w:rPr>
        <w:t>2.3% d</w:t>
      </w:r>
      <w:r w:rsidR="007563BE">
        <w:rPr>
          <w:lang w:val="en-AU" w:eastAsia="en-AU"/>
        </w:rPr>
        <w:t>ifference between</w:t>
      </w:r>
      <w:r w:rsidR="00E705D0">
        <w:rPr>
          <w:lang w:val="en-AU" w:eastAsia="en-AU"/>
        </w:rPr>
        <w:t xml:space="preserve"> the</w:t>
      </w:r>
      <w:r w:rsidR="007563BE">
        <w:rPr>
          <w:lang w:val="en-AU" w:eastAsia="en-AU"/>
        </w:rPr>
        <w:t xml:space="preserve"> </w:t>
      </w:r>
      <w:r w:rsidR="00E705D0">
        <w:rPr>
          <w:lang w:val="en-AU" w:eastAsia="en-AU"/>
        </w:rPr>
        <w:t xml:space="preserve">initial estimate and subsequent re-calculation </w:t>
      </w:r>
      <w:r w:rsidR="00967CC0">
        <w:rPr>
          <w:lang w:val="en-AU" w:eastAsia="en-AU"/>
        </w:rPr>
        <w:t>was accounted for</w:t>
      </w:r>
      <w:r w:rsidR="006B7C74">
        <w:rPr>
          <w:lang w:val="en-AU" w:eastAsia="en-AU"/>
        </w:rPr>
        <w:t>.</w:t>
      </w:r>
      <w:r w:rsidR="0024479A">
        <w:rPr>
          <w:rStyle w:val="FootnoteReference"/>
          <w:lang w:val="en-AU" w:eastAsia="en-AU"/>
        </w:rPr>
        <w:footnoteReference w:id="37"/>
      </w:r>
    </w:p>
    <w:p w14:paraId="1B9BD54B" w14:textId="1A87B981" w:rsidR="00627292" w:rsidRDefault="00627292" w:rsidP="00975945">
      <w:pPr>
        <w:rPr>
          <w:rFonts w:ascii="Segoe UI Semibold" w:eastAsia="Times New Roman" w:hAnsi="Segoe UI Semibold" w:cs="Times New Roman"/>
          <w:color w:val="00264D" w:themeColor="background2"/>
          <w:sz w:val="22"/>
          <w:szCs w:val="19"/>
          <w:lang w:val="en-AU" w:eastAsia="en-AU"/>
        </w:rPr>
      </w:pPr>
      <w:r>
        <w:rPr>
          <w:rFonts w:ascii="Segoe UI Semibold" w:eastAsia="Times New Roman" w:hAnsi="Segoe UI Semibold" w:cs="Times New Roman"/>
          <w:color w:val="00264D" w:themeColor="background2"/>
          <w:sz w:val="22"/>
          <w:szCs w:val="19"/>
          <w:lang w:val="en-AU" w:eastAsia="en-AU"/>
        </w:rPr>
        <w:t>Stakeholder c</w:t>
      </w:r>
      <w:r w:rsidRPr="00627292">
        <w:rPr>
          <w:rFonts w:ascii="Segoe UI Semibold" w:eastAsia="Times New Roman" w:hAnsi="Segoe UI Semibold" w:cs="Times New Roman"/>
          <w:color w:val="00264D" w:themeColor="background2"/>
          <w:sz w:val="22"/>
          <w:szCs w:val="19"/>
          <w:lang w:val="en-AU" w:eastAsia="en-AU"/>
        </w:rPr>
        <w:t xml:space="preserve">onsultation </w:t>
      </w:r>
      <w:r>
        <w:rPr>
          <w:rFonts w:ascii="Segoe UI Semibold" w:eastAsia="Times New Roman" w:hAnsi="Segoe UI Semibold" w:cs="Times New Roman"/>
          <w:color w:val="00264D" w:themeColor="background2"/>
          <w:sz w:val="22"/>
          <w:szCs w:val="19"/>
          <w:lang w:val="en-AU" w:eastAsia="en-AU"/>
        </w:rPr>
        <w:t>about</w:t>
      </w:r>
      <w:r w:rsidRPr="00627292">
        <w:rPr>
          <w:rFonts w:ascii="Segoe UI Semibold" w:eastAsia="Times New Roman" w:hAnsi="Segoe UI Semibold" w:cs="Times New Roman"/>
          <w:color w:val="00264D" w:themeColor="background2"/>
          <w:sz w:val="22"/>
          <w:szCs w:val="19"/>
          <w:lang w:val="en-AU" w:eastAsia="en-AU"/>
        </w:rPr>
        <w:t xml:space="preserve"> CIED</w:t>
      </w:r>
      <w:r>
        <w:rPr>
          <w:rFonts w:ascii="Segoe UI Semibold" w:eastAsia="Times New Roman" w:hAnsi="Segoe UI Semibold" w:cs="Times New Roman"/>
          <w:color w:val="00264D" w:themeColor="background2"/>
          <w:sz w:val="22"/>
          <w:szCs w:val="19"/>
          <w:lang w:val="en-AU" w:eastAsia="en-AU"/>
        </w:rPr>
        <w:t>s</w:t>
      </w:r>
      <w:r w:rsidRPr="00627292">
        <w:rPr>
          <w:rFonts w:ascii="Segoe UI Semibold" w:eastAsia="Times New Roman" w:hAnsi="Segoe UI Semibold" w:cs="Times New Roman"/>
          <w:color w:val="00264D" w:themeColor="background2"/>
          <w:sz w:val="22"/>
          <w:szCs w:val="19"/>
          <w:lang w:val="en-AU" w:eastAsia="en-AU"/>
        </w:rPr>
        <w:t xml:space="preserve"> </w:t>
      </w:r>
      <w:r>
        <w:rPr>
          <w:rFonts w:ascii="Segoe UI Semibold" w:eastAsia="Times New Roman" w:hAnsi="Segoe UI Semibold" w:cs="Times New Roman"/>
          <w:color w:val="00264D" w:themeColor="background2"/>
          <w:sz w:val="22"/>
          <w:szCs w:val="19"/>
          <w:lang w:val="en-AU" w:eastAsia="en-AU"/>
        </w:rPr>
        <w:t>is</w:t>
      </w:r>
      <w:r w:rsidRPr="00627292">
        <w:rPr>
          <w:rFonts w:ascii="Segoe UI Semibold" w:eastAsia="Times New Roman" w:hAnsi="Segoe UI Semibold" w:cs="Times New Roman"/>
          <w:color w:val="00264D" w:themeColor="background2"/>
          <w:sz w:val="22"/>
          <w:szCs w:val="19"/>
          <w:lang w:val="en-AU" w:eastAsia="en-AU"/>
        </w:rPr>
        <w:t xml:space="preserve"> ongoing following the finalisation of the MSAC assessment.</w:t>
      </w:r>
    </w:p>
    <w:p w14:paraId="16979F64" w14:textId="65D25DD4" w:rsidR="00AB4F28" w:rsidRPr="002373B7" w:rsidRDefault="004504ED" w:rsidP="002373B7">
      <w:pPr>
        <w:rPr>
          <w:lang w:val="en-AU" w:eastAsia="en-AU"/>
        </w:rPr>
      </w:pPr>
      <w:r w:rsidRPr="00060DBB">
        <w:rPr>
          <w:lang w:val="en-AU" w:eastAsia="en-AU"/>
        </w:rPr>
        <w:t xml:space="preserve">The MSAC </w:t>
      </w:r>
      <w:r w:rsidR="003E6757" w:rsidRPr="00060DBB">
        <w:rPr>
          <w:lang w:val="en-AU" w:eastAsia="en-AU"/>
        </w:rPr>
        <w:t>provided advice to the Minister</w:t>
      </w:r>
      <w:r w:rsidR="00DF5CA0">
        <w:rPr>
          <w:lang w:val="en-AU" w:eastAsia="en-AU"/>
        </w:rPr>
        <w:t xml:space="preserve"> in July 2023</w:t>
      </w:r>
      <w:r w:rsidR="003E6757" w:rsidRPr="00060DBB">
        <w:rPr>
          <w:lang w:val="en-AU" w:eastAsia="en-AU"/>
        </w:rPr>
        <w:t xml:space="preserve"> </w:t>
      </w:r>
      <w:r w:rsidR="00DF5CA0">
        <w:rPr>
          <w:lang w:val="en-AU" w:eastAsia="en-AU"/>
        </w:rPr>
        <w:t>following</w:t>
      </w:r>
      <w:r w:rsidR="003E6757" w:rsidRPr="00060DBB">
        <w:rPr>
          <w:lang w:val="en-AU" w:eastAsia="en-AU"/>
        </w:rPr>
        <w:t xml:space="preserve"> </w:t>
      </w:r>
      <w:r w:rsidRPr="00060DBB">
        <w:rPr>
          <w:lang w:val="en-AU" w:eastAsia="en-AU"/>
        </w:rPr>
        <w:t xml:space="preserve">their assessment of </w:t>
      </w:r>
      <w:r w:rsidR="007832CB">
        <w:rPr>
          <w:lang w:val="en-AU" w:eastAsia="en-AU"/>
        </w:rPr>
        <w:t xml:space="preserve">the MTAA Cardiac Forum’s </w:t>
      </w:r>
      <w:r w:rsidR="00DF5CA0">
        <w:rPr>
          <w:lang w:val="en-AU" w:eastAsia="en-AU"/>
        </w:rPr>
        <w:t>a</w:t>
      </w:r>
      <w:r w:rsidRPr="00DF5CA0">
        <w:rPr>
          <w:lang w:val="en-AU" w:eastAsia="en-AU"/>
        </w:rPr>
        <w:t xml:space="preserve">pplication </w:t>
      </w:r>
      <w:r w:rsidR="00DF5CA0">
        <w:rPr>
          <w:lang w:val="en-AU" w:eastAsia="en-AU"/>
        </w:rPr>
        <w:t>(</w:t>
      </w:r>
      <w:r w:rsidRPr="00DF5CA0">
        <w:rPr>
          <w:lang w:val="en-AU" w:eastAsia="en-AU"/>
        </w:rPr>
        <w:t xml:space="preserve">No. 1724 – Cardiac technical support services provided by </w:t>
      </w:r>
      <w:r w:rsidR="00026C72" w:rsidRPr="00DF5CA0">
        <w:rPr>
          <w:lang w:val="en-AU" w:eastAsia="en-AU"/>
        </w:rPr>
        <w:t>industry employed technicians</w:t>
      </w:r>
      <w:r w:rsidR="00DF5CA0">
        <w:rPr>
          <w:lang w:val="en-AU" w:eastAsia="en-AU"/>
        </w:rPr>
        <w:t>)</w:t>
      </w:r>
      <w:r w:rsidR="00DF5CA0">
        <w:rPr>
          <w:i/>
          <w:iCs/>
          <w:lang w:val="en-AU" w:eastAsia="en-AU"/>
        </w:rPr>
        <w:t xml:space="preserve">. </w:t>
      </w:r>
      <w:r w:rsidR="00DF5CA0">
        <w:rPr>
          <w:lang w:val="en-AU" w:eastAsia="en-AU"/>
        </w:rPr>
        <w:t>A</w:t>
      </w:r>
      <w:r w:rsidR="00026C72" w:rsidRPr="00060DBB">
        <w:rPr>
          <w:lang w:val="en-AU" w:eastAsia="en-AU"/>
        </w:rPr>
        <w:t xml:space="preserve"> redacted public summary document for this application was published on</w:t>
      </w:r>
      <w:r w:rsidR="003E6757" w:rsidRPr="00060DBB">
        <w:rPr>
          <w:lang w:val="en-AU" w:eastAsia="en-AU"/>
        </w:rPr>
        <w:t>line on</w:t>
      </w:r>
      <w:r w:rsidR="00026C72" w:rsidRPr="00060DBB">
        <w:rPr>
          <w:lang w:val="en-AU" w:eastAsia="en-AU"/>
        </w:rPr>
        <w:t xml:space="preserve"> 16 April 2024.</w:t>
      </w:r>
      <w:r w:rsidR="005437F0">
        <w:rPr>
          <w:rStyle w:val="FootnoteReference"/>
          <w:lang w:val="en-AU" w:eastAsia="en-AU"/>
        </w:rPr>
        <w:footnoteReference w:id="38"/>
      </w:r>
      <w:r w:rsidR="00060DBB">
        <w:rPr>
          <w:lang w:val="en-AU" w:eastAsia="en-AU"/>
        </w:rPr>
        <w:t xml:space="preserve"> </w:t>
      </w:r>
      <w:r w:rsidR="008A03F2" w:rsidRPr="00060DBB">
        <w:rPr>
          <w:lang w:val="en-AU" w:eastAsia="en-AU"/>
        </w:rPr>
        <w:t xml:space="preserve">In their advice, MSAC provided advice on how to calculate the reasonable cost of cardiac technical support </w:t>
      </w:r>
      <w:r w:rsidR="007C1EAF" w:rsidRPr="00060DBB">
        <w:rPr>
          <w:lang w:val="en-AU" w:eastAsia="en-AU"/>
        </w:rPr>
        <w:t>services and noted it may be reasonable to include some services that are provided to public hospital patients until</w:t>
      </w:r>
      <w:r w:rsidR="008E512B" w:rsidRPr="00060DBB">
        <w:rPr>
          <w:lang w:val="en-AU" w:eastAsia="en-AU"/>
        </w:rPr>
        <w:t xml:space="preserve"> longer-term</w:t>
      </w:r>
      <w:r w:rsidR="007C1EAF" w:rsidRPr="00060DBB">
        <w:rPr>
          <w:lang w:val="en-AU" w:eastAsia="en-AU"/>
        </w:rPr>
        <w:t xml:space="preserve"> reform can </w:t>
      </w:r>
      <w:r w:rsidR="008E512B" w:rsidRPr="00060DBB">
        <w:rPr>
          <w:lang w:val="en-AU" w:eastAsia="en-AU"/>
        </w:rPr>
        <w:t>address</w:t>
      </w:r>
      <w:r w:rsidR="007C1EAF" w:rsidRPr="00060DBB">
        <w:rPr>
          <w:lang w:val="en-AU" w:eastAsia="en-AU"/>
        </w:rPr>
        <w:t xml:space="preserve"> how these services are funded. </w:t>
      </w:r>
      <w:r w:rsidR="006E6B42" w:rsidRPr="00060DBB">
        <w:rPr>
          <w:lang w:val="en-AU" w:eastAsia="en-AU"/>
        </w:rPr>
        <w:t>Ultimately</w:t>
      </w:r>
      <w:r w:rsidR="007D768B">
        <w:rPr>
          <w:lang w:val="en-AU" w:eastAsia="en-AU"/>
        </w:rPr>
        <w:t>,</w:t>
      </w:r>
      <w:r w:rsidR="006E6B42" w:rsidRPr="00060DBB">
        <w:rPr>
          <w:lang w:val="en-AU" w:eastAsia="en-AU"/>
        </w:rPr>
        <w:t xml:space="preserve"> MSAC </w:t>
      </w:r>
      <w:r w:rsidR="001A319A">
        <w:rPr>
          <w:lang w:val="en-AU" w:eastAsia="en-AU"/>
        </w:rPr>
        <w:t xml:space="preserve">has </w:t>
      </w:r>
      <w:r w:rsidR="002373B7">
        <w:rPr>
          <w:lang w:val="en-AU" w:eastAsia="en-AU"/>
        </w:rPr>
        <w:t>stated</w:t>
      </w:r>
      <w:r w:rsidR="00904F29">
        <w:rPr>
          <w:lang w:val="en-AU" w:eastAsia="en-AU"/>
        </w:rPr>
        <w:t xml:space="preserve"> </w:t>
      </w:r>
      <w:r w:rsidR="001A319A">
        <w:rPr>
          <w:lang w:val="en-AU" w:eastAsia="en-AU"/>
        </w:rPr>
        <w:t xml:space="preserve">that funding the </w:t>
      </w:r>
      <w:r w:rsidR="00CC0160">
        <w:rPr>
          <w:lang w:val="en-AU" w:eastAsia="en-AU"/>
        </w:rPr>
        <w:t xml:space="preserve">follow-up cardiac support services for </w:t>
      </w:r>
      <w:r w:rsidR="00F16F39">
        <w:rPr>
          <w:lang w:val="en-AU" w:eastAsia="en-AU"/>
        </w:rPr>
        <w:t>public and private patients through the PL results in a lack of transparency in how these services are provided and funded</w:t>
      </w:r>
      <w:r w:rsidR="0037171C">
        <w:t xml:space="preserve">. </w:t>
      </w:r>
      <w:r w:rsidR="00F16F39">
        <w:t>Their advice notes that</w:t>
      </w:r>
      <w:r w:rsidR="004A7AF1" w:rsidRPr="00060DBB">
        <w:t xml:space="preserve"> </w:t>
      </w:r>
      <w:r w:rsidR="00F16F39">
        <w:t>preferably</w:t>
      </w:r>
      <w:r w:rsidR="004A7AF1" w:rsidRPr="00060DBB">
        <w:t xml:space="preserve"> the benefit should be limited to the cost of the principal CIED and associated per-implantation costs</w:t>
      </w:r>
      <w:r w:rsidR="00E171AF">
        <w:t xml:space="preserve"> only</w:t>
      </w:r>
      <w:r w:rsidR="004A7AF1" w:rsidRPr="00060DBB">
        <w:t xml:space="preserve">. However, </w:t>
      </w:r>
      <w:r w:rsidR="00060DBB" w:rsidRPr="00060DBB">
        <w:t>in order not to compromise the current care of patients with CIEDs or inadvertently increase any out-of</w:t>
      </w:r>
      <w:r w:rsidR="002373B7">
        <w:t>-</w:t>
      </w:r>
      <w:r w:rsidR="00060DBB" w:rsidRPr="00060DBB">
        <w:t>pocket costs associated with the receipt of these services, the MSAC advised that the costs for these follow-up services be excluded from the current staged PL benefit reductions</w:t>
      </w:r>
      <w:r w:rsidR="002373B7">
        <w:t xml:space="preserve">. </w:t>
      </w:r>
      <w:r w:rsidR="00FA19F5">
        <w:t xml:space="preserve">MSAC also noted that </w:t>
      </w:r>
      <w:r w:rsidR="002373B7">
        <w:t>f</w:t>
      </w:r>
      <w:r w:rsidR="00060DBB" w:rsidRPr="00060DBB">
        <w:t xml:space="preserve">urther consideration </w:t>
      </w:r>
      <w:r w:rsidR="002373B7">
        <w:t>of</w:t>
      </w:r>
      <w:r w:rsidR="00060DBB" w:rsidRPr="00060DBB">
        <w:t xml:space="preserve"> alternative models of care for patients with CIEDs and how funding of these services can be transitioned out of the PL benefit amount</w:t>
      </w:r>
      <w:r w:rsidR="00FA19F5">
        <w:t xml:space="preserve"> should be pursued</w:t>
      </w:r>
      <w:r w:rsidR="00060DBB" w:rsidRPr="00060DBB">
        <w:t>.</w:t>
      </w:r>
      <w:r w:rsidR="00FA19F5">
        <w:rPr>
          <w:rStyle w:val="FootnoteReference"/>
        </w:rPr>
        <w:footnoteReference w:id="39"/>
      </w:r>
      <w:r w:rsidR="00060DBB" w:rsidRPr="00060DBB">
        <w:t xml:space="preserve"> </w:t>
      </w:r>
      <w:r w:rsidR="00060DBB" w:rsidRPr="002373B7">
        <w:rPr>
          <w:lang w:val="en-AU" w:eastAsia="en-AU"/>
        </w:rPr>
        <w:t xml:space="preserve">The </w:t>
      </w:r>
      <w:r w:rsidR="005C2225">
        <w:rPr>
          <w:lang w:val="en-AU" w:eastAsia="en-AU"/>
        </w:rPr>
        <w:t>D</w:t>
      </w:r>
      <w:r w:rsidR="00060DBB" w:rsidRPr="002373B7">
        <w:rPr>
          <w:lang w:val="en-AU" w:eastAsia="en-AU"/>
        </w:rPr>
        <w:t xml:space="preserve">epartment has subsequently announced </w:t>
      </w:r>
      <w:r w:rsidR="005C2225">
        <w:rPr>
          <w:lang w:val="en-AU" w:eastAsia="en-AU"/>
        </w:rPr>
        <w:t xml:space="preserve">it </w:t>
      </w:r>
      <w:r w:rsidR="00060DBB" w:rsidRPr="002373B7">
        <w:rPr>
          <w:lang w:val="en-AU" w:eastAsia="en-AU"/>
        </w:rPr>
        <w:t>will be conducting public consultation on how to implement the MSAC advice.</w:t>
      </w:r>
      <w:r w:rsidR="00FA19F5">
        <w:rPr>
          <w:rStyle w:val="FootnoteReference"/>
          <w:lang w:val="en-AU" w:eastAsia="en-AU"/>
        </w:rPr>
        <w:footnoteReference w:id="40"/>
      </w:r>
    </w:p>
    <w:p w14:paraId="51CA7BF2" w14:textId="6673DCAB" w:rsidR="00AB4F28" w:rsidRDefault="00AB4F28" w:rsidP="00AB4F28">
      <w:pPr>
        <w:pStyle w:val="Heading4"/>
      </w:pPr>
      <w:r>
        <w:t>The</w:t>
      </w:r>
      <w:r w:rsidR="16242ABC">
        <w:t xml:space="preserve"> current</w:t>
      </w:r>
      <w:r>
        <w:t xml:space="preserve"> gap between CIED PL benefits and public prices are unknown to this evaluation</w:t>
      </w:r>
      <w:r w:rsidR="60651EE1">
        <w:t xml:space="preserve"> </w:t>
      </w:r>
    </w:p>
    <w:p w14:paraId="214332BE" w14:textId="2D5D5B98" w:rsidR="00783840" w:rsidRDefault="00AA76F3" w:rsidP="009C4844">
      <w:r>
        <w:t>Nous</w:t>
      </w:r>
      <w:r w:rsidR="0045486E">
        <w:t xml:space="preserve"> has not been provided</w:t>
      </w:r>
      <w:r w:rsidR="000A6370">
        <w:t xml:space="preserve"> </w:t>
      </w:r>
      <w:r w:rsidR="009C4844">
        <w:t xml:space="preserve">data </w:t>
      </w:r>
      <w:r w:rsidR="008C4FE3">
        <w:t>showing</w:t>
      </w:r>
      <w:r w:rsidR="009C4844">
        <w:t xml:space="preserve"> the gap between PL benefits and public prices</w:t>
      </w:r>
      <w:r w:rsidR="00433FED">
        <w:t xml:space="preserve"> for CIED items</w:t>
      </w:r>
      <w:r w:rsidR="00601A9A">
        <w:t>.</w:t>
      </w:r>
      <w:r w:rsidR="00932A56">
        <w:t xml:space="preserve"> </w:t>
      </w:r>
      <w:r w:rsidR="002465E0">
        <w:t>CIED</w:t>
      </w:r>
      <w:r w:rsidR="00FB1527">
        <w:t xml:space="preserve"> items were </w:t>
      </w:r>
      <w:r w:rsidR="00D60540">
        <w:t>additionally</w:t>
      </w:r>
      <w:r w:rsidR="00FB1527">
        <w:t xml:space="preserve"> </w:t>
      </w:r>
      <w:r w:rsidR="5D025090">
        <w:t>excluded from</w:t>
      </w:r>
      <w:r w:rsidR="00D725B0">
        <w:t xml:space="preserve"> </w:t>
      </w:r>
      <w:r w:rsidR="00FB1527">
        <w:t>aggregated</w:t>
      </w:r>
      <w:r w:rsidR="00075CB9">
        <w:t xml:space="preserve"> gap analysis</w:t>
      </w:r>
      <w:r w:rsidR="00FB1527">
        <w:t xml:space="preserve"> </w:t>
      </w:r>
      <w:r w:rsidR="00C850AA">
        <w:t>provided</w:t>
      </w:r>
      <w:r w:rsidR="00DF2919">
        <w:t xml:space="preserve"> </w:t>
      </w:r>
      <w:r w:rsidR="000B25B3">
        <w:t>to Nous for</w:t>
      </w:r>
      <w:r w:rsidR="00DF2919">
        <w:t xml:space="preserve"> the evaluation</w:t>
      </w:r>
      <w:r w:rsidR="00C850AA">
        <w:t xml:space="preserve"> </w:t>
      </w:r>
      <w:r w:rsidR="00DF2919">
        <w:t>(see</w:t>
      </w:r>
      <w:r w:rsidR="008669F9">
        <w:t xml:space="preserve"> </w:t>
      </w:r>
      <w:r w:rsidR="008669F9">
        <w:fldChar w:fldCharType="begin"/>
      </w:r>
      <w:r w:rsidR="008669F9">
        <w:instrText xml:space="preserve"> REF _Ref172235492 \h </w:instrText>
      </w:r>
      <w:r w:rsidR="008669F9">
        <w:fldChar w:fldCharType="separate"/>
      </w:r>
      <w:r w:rsidR="009B5D8D">
        <w:t xml:space="preserve">Table </w:t>
      </w:r>
      <w:r w:rsidR="009B5D8D">
        <w:rPr>
          <w:noProof/>
        </w:rPr>
        <w:t>2</w:t>
      </w:r>
      <w:r w:rsidR="008669F9">
        <w:fldChar w:fldCharType="end"/>
      </w:r>
      <w:r w:rsidR="008669F9">
        <w:t>)</w:t>
      </w:r>
      <w:r w:rsidR="00924298">
        <w:t>.</w:t>
      </w:r>
      <w:r w:rsidR="00FC33FC">
        <w:t xml:space="preserve"> </w:t>
      </w:r>
      <w:r w:rsidR="000217EF">
        <w:t>As a result,</w:t>
      </w:r>
      <w:r w:rsidR="198BF86C">
        <w:t xml:space="preserve"> </w:t>
      </w:r>
      <w:r w:rsidR="00FE61E4">
        <w:t xml:space="preserve">progress </w:t>
      </w:r>
      <w:r w:rsidR="29FB7714">
        <w:t>towards</w:t>
      </w:r>
      <w:r w:rsidR="00FE61E4">
        <w:t xml:space="preserve"> aligning </w:t>
      </w:r>
      <w:r w:rsidR="002A22A9">
        <w:t>CIED benefits with more competitive markets</w:t>
      </w:r>
      <w:r w:rsidR="047FAE80">
        <w:t xml:space="preserve"> cannot be quantified</w:t>
      </w:r>
      <w:r w:rsidR="002A22A9">
        <w:t>.</w:t>
      </w:r>
    </w:p>
    <w:p w14:paraId="6E62E380" w14:textId="1B38DD54" w:rsidR="00252E3A" w:rsidRDefault="00932A56" w:rsidP="009C4844">
      <w:r>
        <w:t xml:space="preserve">The evaluation is </w:t>
      </w:r>
      <w:r w:rsidR="00911F94">
        <w:t xml:space="preserve">also </w:t>
      </w:r>
      <w:r w:rsidR="00C31933">
        <w:t>un</w:t>
      </w:r>
      <w:r w:rsidR="00911F94">
        <w:t>able to</w:t>
      </w:r>
      <w:r w:rsidR="0082682F">
        <w:t xml:space="preserve"> accurately</w:t>
      </w:r>
      <w:r w:rsidR="00911F94">
        <w:t xml:space="preserve"> estimate the</w:t>
      </w:r>
      <w:r w:rsidR="00060B41">
        <w:t xml:space="preserve"> current</w:t>
      </w:r>
      <w:r w:rsidR="00911F94">
        <w:t xml:space="preserve"> gap</w:t>
      </w:r>
      <w:r w:rsidR="0012078C">
        <w:t xml:space="preserve"> as the </w:t>
      </w:r>
      <w:r w:rsidR="00552C1C">
        <w:t>delayed schedule of reductions and determination of the technical services component mak</w:t>
      </w:r>
      <w:r w:rsidR="0012078C">
        <w:t>es</w:t>
      </w:r>
      <w:r w:rsidR="00552C1C">
        <w:t xml:space="preserve"> it difficult to perform a</w:t>
      </w:r>
      <w:r w:rsidR="0082682F">
        <w:t xml:space="preserve"> </w:t>
      </w:r>
      <w:r w:rsidR="0012078C">
        <w:t xml:space="preserve">backcalculation using </w:t>
      </w:r>
      <w:r w:rsidR="00C31933">
        <w:t>only t</w:t>
      </w:r>
      <w:r w:rsidR="0012078C">
        <w:t xml:space="preserve">he </w:t>
      </w:r>
      <w:r w:rsidR="00C31933">
        <w:t>published PL schedules.</w:t>
      </w:r>
      <w:r w:rsidR="00B907E5">
        <w:t xml:space="preserve"> </w:t>
      </w:r>
      <w:r w:rsidR="00C824B2">
        <w:t xml:space="preserve">However, </w:t>
      </w:r>
      <w:r w:rsidR="006C27ED">
        <w:t xml:space="preserve">243 of the 273 CIED items on the November 2023 PL have lower benefits than prior PLs, indicating the </w:t>
      </w:r>
      <w:r w:rsidR="00CA5CE7">
        <w:t>prevalence of items with a gap</w:t>
      </w:r>
      <w:r w:rsidR="006C27ED">
        <w:t xml:space="preserve"> </w:t>
      </w:r>
      <w:r w:rsidR="00580D1C">
        <w:t xml:space="preserve">is higher </w:t>
      </w:r>
      <w:r w:rsidR="00D86A2E">
        <w:t xml:space="preserve">for CIED items </w:t>
      </w:r>
      <w:r w:rsidR="006C27ED">
        <w:t>(</w:t>
      </w:r>
      <w:r w:rsidR="00530D32">
        <w:t>after controlling for the technical services component)</w:t>
      </w:r>
      <w:r w:rsidR="006C27ED">
        <w:t xml:space="preserve"> </w:t>
      </w:r>
      <w:r w:rsidR="00530D32">
        <w:t xml:space="preserve">than </w:t>
      </w:r>
      <w:r w:rsidR="006C27ED">
        <w:t>all 13 PL categories.</w:t>
      </w:r>
      <w:r w:rsidR="00394EA4">
        <w:t xml:space="preserve"> </w:t>
      </w:r>
      <w:r w:rsidR="00D96D0B">
        <w:t xml:space="preserve">At </w:t>
      </w:r>
      <w:r w:rsidR="00394EA4">
        <w:t xml:space="preserve">baseline, </w:t>
      </w:r>
      <w:r w:rsidR="00D96D0B">
        <w:t xml:space="preserve">prior to reductions, </w:t>
      </w:r>
      <w:r w:rsidR="00257D18">
        <w:lastRenderedPageBreak/>
        <w:t xml:space="preserve">the evaluation </w:t>
      </w:r>
      <w:r w:rsidR="00F75BE9">
        <w:t xml:space="preserve">team </w:t>
      </w:r>
      <w:r w:rsidR="00257D18">
        <w:t>estimated the median gap of CIED</w:t>
      </w:r>
      <w:r w:rsidR="00F75BE9">
        <w:t xml:space="preserve"> devices</w:t>
      </w:r>
      <w:r w:rsidR="00257D18">
        <w:t xml:space="preserve"> to be</w:t>
      </w:r>
      <w:r w:rsidR="00C348E2">
        <w:t xml:space="preserve"> approximately</w:t>
      </w:r>
      <w:r w:rsidR="00257D18">
        <w:t xml:space="preserve"> $19,6</w:t>
      </w:r>
      <w:r w:rsidR="00E91580">
        <w:t>00</w:t>
      </w:r>
      <w:r w:rsidR="00257D18">
        <w:t xml:space="preserve"> </w:t>
      </w:r>
      <w:r w:rsidR="00D96D0B">
        <w:t>(</w:t>
      </w:r>
      <w:r w:rsidR="00DD095F">
        <w:t>188</w:t>
      </w:r>
      <w:r w:rsidR="00D96D0B">
        <w:t>% gap) and</w:t>
      </w:r>
      <w:r w:rsidR="00C348E2">
        <w:t xml:space="preserve"> no less than </w:t>
      </w:r>
      <w:r w:rsidR="006D27C6">
        <w:t>$17,</w:t>
      </w:r>
      <w:r w:rsidR="0049270A">
        <w:t>600</w:t>
      </w:r>
      <w:r w:rsidR="006D27C6">
        <w:t xml:space="preserve"> (144% gap).</w:t>
      </w:r>
      <w:r w:rsidR="00C37EEF">
        <w:rPr>
          <w:rStyle w:val="FootnoteReference"/>
        </w:rPr>
        <w:footnoteReference w:id="41"/>
      </w:r>
    </w:p>
    <w:p w14:paraId="061E96B6" w14:textId="446FBEDA" w:rsidR="00E53460" w:rsidRDefault="00534139" w:rsidP="00E53460">
      <w:pPr>
        <w:pStyle w:val="Heading3"/>
      </w:pPr>
      <w:bookmarkStart w:id="34" w:name="_Toc181405077"/>
      <w:r>
        <w:t>PL benefits are also better aligned</w:t>
      </w:r>
      <w:r w:rsidR="0042232C">
        <w:t xml:space="preserve"> </w:t>
      </w:r>
      <w:r w:rsidR="003D3F5F">
        <w:t>with some</w:t>
      </w:r>
      <w:r w:rsidR="0042232C">
        <w:t xml:space="preserve"> international markets</w:t>
      </w:r>
      <w:bookmarkEnd w:id="34"/>
    </w:p>
    <w:p w14:paraId="1E234CBF" w14:textId="2F5F4CC3" w:rsidR="001E701E" w:rsidRDefault="0099139E" w:rsidP="00534139">
      <w:r>
        <w:t xml:space="preserve">Objective 1 of the reforms </w:t>
      </w:r>
      <w:r w:rsidR="00E13503">
        <w:t xml:space="preserve">is to </w:t>
      </w:r>
      <w:r w:rsidR="003B1D9A">
        <w:t>“Improve the alignment of the scheduled benefits of the PL with the</w:t>
      </w:r>
      <w:r w:rsidR="003B1D9A" w:rsidRPr="004942D4">
        <w:t xml:space="preserve"> prices paid</w:t>
      </w:r>
      <w:r w:rsidR="003B1D9A" w:rsidRPr="00C13D2A">
        <w:rPr>
          <w:i/>
          <w:iCs/>
        </w:rPr>
        <w:t xml:space="preserve"> in more</w:t>
      </w:r>
      <w:r w:rsidR="003B1D9A" w:rsidRPr="00C13D2A">
        <w:rPr>
          <w:i/>
        </w:rPr>
        <w:t xml:space="preserve"> competitive markets</w:t>
      </w:r>
      <w:r w:rsidR="003B1D9A">
        <w:t>”</w:t>
      </w:r>
      <w:r w:rsidR="0023329D">
        <w:t xml:space="preserve">. </w:t>
      </w:r>
      <w:r w:rsidR="00AD7687">
        <w:t>In addition</w:t>
      </w:r>
      <w:r w:rsidR="006125E0">
        <w:t xml:space="preserve"> to comparisons with the Australian public sector, the evaluation has taken a case study approach to </w:t>
      </w:r>
      <w:r w:rsidR="0036666D">
        <w:t>comparing PL benefits with prices in international markets</w:t>
      </w:r>
      <w:r w:rsidR="000F1AD8">
        <w:t xml:space="preserve"> </w:t>
      </w:r>
      <w:r w:rsidR="00C7702C">
        <w:t>(</w:t>
      </w:r>
      <w:r w:rsidR="003107AE">
        <w:t xml:space="preserve">see methodology in </w:t>
      </w:r>
      <w:r w:rsidR="003107AE" w:rsidRPr="00C74197">
        <w:rPr>
          <w:lang w:val="en-AU" w:eastAsia="en-AU"/>
        </w:rPr>
        <w:fldChar w:fldCharType="begin"/>
      </w:r>
      <w:r w:rsidR="003107AE" w:rsidRPr="00C74197">
        <w:rPr>
          <w:lang w:val="en-AU" w:eastAsia="en-AU"/>
        </w:rPr>
        <w:instrText xml:space="preserve"> REF _Ref168587867 \r \h </w:instrText>
      </w:r>
      <w:r w:rsidR="003107AE">
        <w:rPr>
          <w:lang w:val="en-AU" w:eastAsia="en-AU"/>
        </w:rPr>
        <w:instrText xml:space="preserve"> \* MERGEFORMAT </w:instrText>
      </w:r>
      <w:r w:rsidR="003107AE" w:rsidRPr="00C74197">
        <w:rPr>
          <w:lang w:val="en-AU" w:eastAsia="en-AU"/>
        </w:rPr>
      </w:r>
      <w:r w:rsidR="003107AE" w:rsidRPr="00C74197">
        <w:rPr>
          <w:lang w:val="en-AU" w:eastAsia="en-AU"/>
        </w:rPr>
        <w:fldChar w:fldCharType="separate"/>
      </w:r>
      <w:r w:rsidR="009B5D8D">
        <w:rPr>
          <w:lang w:val="en-AU" w:eastAsia="en-AU"/>
        </w:rPr>
        <w:t>Appendix B</w:t>
      </w:r>
      <w:r w:rsidR="003107AE" w:rsidRPr="00C74197">
        <w:rPr>
          <w:lang w:val="en-AU" w:eastAsia="en-AU"/>
        </w:rPr>
        <w:fldChar w:fldCharType="end"/>
      </w:r>
      <w:r w:rsidR="003107AE" w:rsidRPr="00C74197">
        <w:rPr>
          <w:lang w:val="en-AU" w:eastAsia="en-AU"/>
        </w:rPr>
        <w:t>, indicator 2).</w:t>
      </w:r>
    </w:p>
    <w:p w14:paraId="4A4529EE" w14:textId="70B30F3C" w:rsidR="003D3F5F" w:rsidRDefault="003D3F5F" w:rsidP="003D3F5F">
      <w:pPr>
        <w:pStyle w:val="Heading4"/>
      </w:pPr>
      <w:r>
        <w:t xml:space="preserve">PL benefits declined while </w:t>
      </w:r>
      <w:r w:rsidR="00CC5E33">
        <w:t>prices in New Zealand and France held steady</w:t>
      </w:r>
    </w:p>
    <w:p w14:paraId="770D7F22" w14:textId="771031A4" w:rsidR="00A41839" w:rsidRDefault="00724AA3" w:rsidP="00A6483D">
      <w:pPr>
        <w:rPr>
          <w:lang w:val="en-AU" w:eastAsia="en-AU"/>
        </w:rPr>
      </w:pPr>
      <w:r>
        <w:rPr>
          <w:lang w:val="en-AU" w:eastAsia="en-AU"/>
        </w:rPr>
        <w:t>Three</w:t>
      </w:r>
      <w:r w:rsidR="00470121">
        <w:rPr>
          <w:lang w:val="en-AU" w:eastAsia="en-AU"/>
        </w:rPr>
        <w:t xml:space="preserve"> </w:t>
      </w:r>
      <w:r>
        <w:rPr>
          <w:lang w:val="en-AU" w:eastAsia="en-AU"/>
        </w:rPr>
        <w:t xml:space="preserve">case studies </w:t>
      </w:r>
      <w:r w:rsidR="00517323">
        <w:rPr>
          <w:lang w:val="en-AU" w:eastAsia="en-AU"/>
        </w:rPr>
        <w:t>indicate</w:t>
      </w:r>
      <w:r w:rsidR="005E1D88">
        <w:rPr>
          <w:lang w:val="en-AU" w:eastAsia="en-AU"/>
        </w:rPr>
        <w:t xml:space="preserve"> </w:t>
      </w:r>
      <w:r w:rsidR="007828ED">
        <w:rPr>
          <w:lang w:val="en-AU" w:eastAsia="en-AU"/>
        </w:rPr>
        <w:t xml:space="preserve">that </w:t>
      </w:r>
      <w:r w:rsidR="00573599">
        <w:rPr>
          <w:lang w:val="en-AU" w:eastAsia="en-AU"/>
        </w:rPr>
        <w:t xml:space="preserve">the reforms have better aligned PL benefits with international </w:t>
      </w:r>
      <w:r w:rsidR="00573599" w:rsidRPr="00C74197">
        <w:rPr>
          <w:lang w:val="en-AU" w:eastAsia="en-AU"/>
        </w:rPr>
        <w:t>markets</w:t>
      </w:r>
      <w:r w:rsidR="001B2F09" w:rsidRPr="00C74197">
        <w:rPr>
          <w:lang w:val="en-AU" w:eastAsia="en-AU"/>
        </w:rPr>
        <w:t xml:space="preserve"> (see</w:t>
      </w:r>
      <w:r w:rsidR="00256422" w:rsidRPr="00C74197">
        <w:rPr>
          <w:lang w:val="en-AU" w:eastAsia="en-AU"/>
        </w:rPr>
        <w:t xml:space="preserve"> </w:t>
      </w:r>
      <w:r w:rsidR="00256422" w:rsidRPr="00C74197">
        <w:rPr>
          <w:lang w:val="en-AU" w:eastAsia="en-AU"/>
        </w:rPr>
        <w:fldChar w:fldCharType="begin"/>
      </w:r>
      <w:r w:rsidR="00256422" w:rsidRPr="00C74197">
        <w:rPr>
          <w:lang w:val="en-AU" w:eastAsia="en-AU"/>
        </w:rPr>
        <w:instrText xml:space="preserve"> REF _Ref168587867 \r \h </w:instrText>
      </w:r>
      <w:r w:rsidR="00C74197">
        <w:rPr>
          <w:lang w:val="en-AU" w:eastAsia="en-AU"/>
        </w:rPr>
        <w:instrText xml:space="preserve"> \* MERGEFORMAT </w:instrText>
      </w:r>
      <w:r w:rsidR="00256422" w:rsidRPr="00C74197">
        <w:rPr>
          <w:lang w:val="en-AU" w:eastAsia="en-AU"/>
        </w:rPr>
      </w:r>
      <w:r w:rsidR="00256422" w:rsidRPr="00C74197">
        <w:rPr>
          <w:lang w:val="en-AU" w:eastAsia="en-AU"/>
        </w:rPr>
        <w:fldChar w:fldCharType="separate"/>
      </w:r>
      <w:r w:rsidR="009B5D8D">
        <w:rPr>
          <w:lang w:val="en-AU" w:eastAsia="en-AU"/>
        </w:rPr>
        <w:t>Appendix B</w:t>
      </w:r>
      <w:r w:rsidR="00256422" w:rsidRPr="00C74197">
        <w:rPr>
          <w:lang w:val="en-AU" w:eastAsia="en-AU"/>
        </w:rPr>
        <w:fldChar w:fldCharType="end"/>
      </w:r>
      <w:r w:rsidR="00256422" w:rsidRPr="00C74197">
        <w:rPr>
          <w:lang w:val="en-AU" w:eastAsia="en-AU"/>
        </w:rPr>
        <w:t xml:space="preserve">, indicator </w:t>
      </w:r>
      <w:r w:rsidR="00C74197" w:rsidRPr="00C74197">
        <w:rPr>
          <w:lang w:val="en-AU" w:eastAsia="en-AU"/>
        </w:rPr>
        <w:t>2</w:t>
      </w:r>
      <w:r w:rsidR="001B2F09" w:rsidRPr="00C74197">
        <w:rPr>
          <w:lang w:val="en-AU" w:eastAsia="en-AU"/>
        </w:rPr>
        <w:t>).</w:t>
      </w:r>
      <w:r w:rsidR="001B2F09">
        <w:rPr>
          <w:lang w:val="en-AU" w:eastAsia="en-AU"/>
        </w:rPr>
        <w:t xml:space="preserve"> </w:t>
      </w:r>
      <w:r w:rsidR="00CE11C9">
        <w:rPr>
          <w:lang w:val="en-AU" w:eastAsia="en-AU"/>
        </w:rPr>
        <w:t xml:space="preserve">All three of the benefit group case studies chosen </w:t>
      </w:r>
      <w:r w:rsidR="005F05EE">
        <w:rPr>
          <w:lang w:val="en-AU" w:eastAsia="en-AU"/>
        </w:rPr>
        <w:t>at the baseline evaluation</w:t>
      </w:r>
      <w:r w:rsidR="00CE11C9">
        <w:rPr>
          <w:lang w:val="en-AU" w:eastAsia="en-AU"/>
        </w:rPr>
        <w:t xml:space="preserve"> were subject to reductions</w:t>
      </w:r>
      <w:r w:rsidR="005209E1">
        <w:rPr>
          <w:lang w:val="en-AU" w:eastAsia="en-AU"/>
        </w:rPr>
        <w:t xml:space="preserve">, </w:t>
      </w:r>
      <w:r w:rsidR="00E2630D">
        <w:rPr>
          <w:lang w:val="en-AU" w:eastAsia="en-AU"/>
        </w:rPr>
        <w:t>declin</w:t>
      </w:r>
      <w:r w:rsidR="00802F15">
        <w:rPr>
          <w:lang w:val="en-AU" w:eastAsia="en-AU"/>
        </w:rPr>
        <w:t>ing</w:t>
      </w:r>
      <w:r w:rsidR="00E2630D">
        <w:rPr>
          <w:lang w:val="en-AU" w:eastAsia="en-AU"/>
        </w:rPr>
        <w:t xml:space="preserve"> by 36%, 8% and 1% respectively from </w:t>
      </w:r>
      <w:r w:rsidR="00802F15">
        <w:rPr>
          <w:lang w:val="en-AU" w:eastAsia="en-AU"/>
        </w:rPr>
        <w:t>July 2021 to July 2023.</w:t>
      </w:r>
      <w:r w:rsidR="00D542BC">
        <w:rPr>
          <w:lang w:val="en-AU" w:eastAsia="en-AU"/>
        </w:rPr>
        <w:t xml:space="preserve"> During this time, </w:t>
      </w:r>
      <w:r w:rsidR="00894851">
        <w:rPr>
          <w:lang w:val="en-AU" w:eastAsia="en-AU"/>
        </w:rPr>
        <w:t>New Zealand Pharmac prices increased</w:t>
      </w:r>
      <w:r w:rsidR="00C3440A">
        <w:rPr>
          <w:lang w:val="en-AU" w:eastAsia="en-AU"/>
        </w:rPr>
        <w:t xml:space="preserve"> </w:t>
      </w:r>
      <w:r w:rsidR="00DB5F0A">
        <w:rPr>
          <w:lang w:val="en-AU" w:eastAsia="en-AU"/>
        </w:rPr>
        <w:t>slightly</w:t>
      </w:r>
      <w:r w:rsidR="0051459F">
        <w:rPr>
          <w:lang w:val="en-AU" w:eastAsia="en-AU"/>
        </w:rPr>
        <w:t xml:space="preserve"> (an average</w:t>
      </w:r>
      <w:r w:rsidR="00C3440A">
        <w:rPr>
          <w:lang w:val="en-AU" w:eastAsia="en-AU"/>
        </w:rPr>
        <w:t xml:space="preserve"> of</w:t>
      </w:r>
      <w:r w:rsidR="0051459F">
        <w:rPr>
          <w:lang w:val="en-AU" w:eastAsia="en-AU"/>
        </w:rPr>
        <w:t xml:space="preserve"> 1.1% across the </w:t>
      </w:r>
      <w:r w:rsidR="00C3440A">
        <w:rPr>
          <w:lang w:val="en-AU" w:eastAsia="en-AU"/>
        </w:rPr>
        <w:t>13 products</w:t>
      </w:r>
      <w:r w:rsidR="0051459F">
        <w:rPr>
          <w:lang w:val="en-AU" w:eastAsia="en-AU"/>
        </w:rPr>
        <w:t>)</w:t>
      </w:r>
      <w:r w:rsidR="00DB5F0A">
        <w:rPr>
          <w:lang w:val="en-AU" w:eastAsia="en-AU"/>
        </w:rPr>
        <w:t xml:space="preserve"> </w:t>
      </w:r>
      <w:r w:rsidR="005F05EE">
        <w:rPr>
          <w:lang w:val="en-AU" w:eastAsia="en-AU"/>
        </w:rPr>
        <w:t>while</w:t>
      </w:r>
      <w:r w:rsidR="00C3440A">
        <w:rPr>
          <w:lang w:val="en-AU" w:eastAsia="en-AU"/>
        </w:rPr>
        <w:t xml:space="preserve"> French </w:t>
      </w:r>
      <w:r w:rsidR="00CA374D">
        <w:rPr>
          <w:lang w:val="en-AU" w:eastAsia="en-AU"/>
        </w:rPr>
        <w:t>Liste des Produits et Prestations (</w:t>
      </w:r>
      <w:r w:rsidR="00C3440A">
        <w:rPr>
          <w:lang w:val="en-AU" w:eastAsia="en-AU"/>
        </w:rPr>
        <w:t>LPP</w:t>
      </w:r>
      <w:r w:rsidR="00CA374D">
        <w:rPr>
          <w:lang w:val="en-AU" w:eastAsia="en-AU"/>
        </w:rPr>
        <w:t>)</w:t>
      </w:r>
      <w:r w:rsidR="00C3440A">
        <w:rPr>
          <w:lang w:val="en-AU" w:eastAsia="en-AU"/>
        </w:rPr>
        <w:t xml:space="preserve"> prices </w:t>
      </w:r>
      <w:r w:rsidR="00504345">
        <w:rPr>
          <w:lang w:val="en-AU" w:eastAsia="en-AU"/>
        </w:rPr>
        <w:t>did not change</w:t>
      </w:r>
      <w:r w:rsidR="000D119D">
        <w:rPr>
          <w:lang w:val="en-AU" w:eastAsia="en-AU"/>
        </w:rPr>
        <w:t>. The result</w:t>
      </w:r>
      <w:r w:rsidR="00427D7E">
        <w:rPr>
          <w:lang w:val="en-AU" w:eastAsia="en-AU"/>
        </w:rPr>
        <w:t xml:space="preserve">ing </w:t>
      </w:r>
      <w:r w:rsidR="002B6D3F">
        <w:rPr>
          <w:lang w:val="en-AU" w:eastAsia="en-AU"/>
        </w:rPr>
        <w:t>small</w:t>
      </w:r>
      <w:r w:rsidR="00C74197">
        <w:rPr>
          <w:lang w:val="en-AU" w:eastAsia="en-AU"/>
        </w:rPr>
        <w:t>er</w:t>
      </w:r>
      <w:r w:rsidR="002B6D3F">
        <w:rPr>
          <w:lang w:val="en-AU" w:eastAsia="en-AU"/>
        </w:rPr>
        <w:t xml:space="preserve"> gap</w:t>
      </w:r>
      <w:r w:rsidR="005F05EE">
        <w:rPr>
          <w:lang w:val="en-AU" w:eastAsia="en-AU"/>
        </w:rPr>
        <w:t>s</w:t>
      </w:r>
      <w:r w:rsidR="006B325D">
        <w:rPr>
          <w:lang w:val="en-AU" w:eastAsia="en-AU"/>
        </w:rPr>
        <w:t xml:space="preserve"> across </w:t>
      </w:r>
      <w:r w:rsidR="00336E60">
        <w:rPr>
          <w:lang w:val="en-AU" w:eastAsia="en-AU"/>
        </w:rPr>
        <w:t>all three case studies</w:t>
      </w:r>
      <w:r w:rsidR="00FD2DD0">
        <w:rPr>
          <w:lang w:val="en-AU" w:eastAsia="en-AU"/>
        </w:rPr>
        <w:t xml:space="preserve"> </w:t>
      </w:r>
      <w:r w:rsidR="00845ACC">
        <w:rPr>
          <w:lang w:val="en-AU" w:eastAsia="en-AU"/>
        </w:rPr>
        <w:t>indicat</w:t>
      </w:r>
      <w:r w:rsidR="00DA25DF">
        <w:rPr>
          <w:lang w:val="en-AU" w:eastAsia="en-AU"/>
        </w:rPr>
        <w:t>e</w:t>
      </w:r>
      <w:r w:rsidR="00845ACC">
        <w:rPr>
          <w:lang w:val="en-AU" w:eastAsia="en-AU"/>
        </w:rPr>
        <w:t xml:space="preserve"> the</w:t>
      </w:r>
      <w:r w:rsidR="00FD2DD0">
        <w:rPr>
          <w:lang w:val="en-AU" w:eastAsia="en-AU"/>
        </w:rPr>
        <w:t xml:space="preserve"> reforms </w:t>
      </w:r>
      <w:r w:rsidR="002B6D3F">
        <w:rPr>
          <w:lang w:val="en-AU" w:eastAsia="en-AU"/>
        </w:rPr>
        <w:t xml:space="preserve">are thus far achieving </w:t>
      </w:r>
      <w:r w:rsidR="00845ACC">
        <w:rPr>
          <w:lang w:val="en-AU" w:eastAsia="en-AU"/>
        </w:rPr>
        <w:t>their intended objective.</w:t>
      </w:r>
    </w:p>
    <w:p w14:paraId="5C28E187" w14:textId="6CC1A126" w:rsidR="00AC3905" w:rsidRDefault="00336E60" w:rsidP="00A6483D">
      <w:pPr>
        <w:pStyle w:val="Heading4"/>
      </w:pPr>
      <w:r>
        <w:t xml:space="preserve">However, </w:t>
      </w:r>
      <w:r w:rsidR="00F9130D">
        <w:t>the reform</w:t>
      </w:r>
      <w:r w:rsidR="00D47D64">
        <w:t>s have had mixed</w:t>
      </w:r>
      <w:r w:rsidR="00F9130D">
        <w:t xml:space="preserve"> </w:t>
      </w:r>
      <w:r w:rsidR="00AC3905">
        <w:t xml:space="preserve">success in meaningfully addressing the absolute gap with </w:t>
      </w:r>
      <w:r w:rsidR="00CD7810">
        <w:t>the French m</w:t>
      </w:r>
      <w:r w:rsidR="00AC3905">
        <w:t>arket</w:t>
      </w:r>
    </w:p>
    <w:p w14:paraId="77A57D1F" w14:textId="0464174A" w:rsidR="003463E6" w:rsidRDefault="00F149C7" w:rsidP="0004485E">
      <w:pPr>
        <w:rPr>
          <w:lang w:val="en-AU" w:eastAsia="en-AU"/>
        </w:rPr>
      </w:pPr>
      <w:r>
        <w:rPr>
          <w:lang w:val="en-AU" w:eastAsia="en-AU"/>
        </w:rPr>
        <w:t>Despite some improvement in alignment</w:t>
      </w:r>
      <w:r w:rsidR="007B24BB">
        <w:rPr>
          <w:lang w:val="en-AU" w:eastAsia="en-AU"/>
        </w:rPr>
        <w:t xml:space="preserve"> across the board</w:t>
      </w:r>
      <w:r>
        <w:rPr>
          <w:lang w:val="en-AU" w:eastAsia="en-AU"/>
        </w:rPr>
        <w:t xml:space="preserve">, </w:t>
      </w:r>
      <w:r w:rsidR="0075124D">
        <w:rPr>
          <w:lang w:val="en-AU" w:eastAsia="en-AU"/>
        </w:rPr>
        <w:t>i</w:t>
      </w:r>
      <w:r w:rsidR="00E52F36">
        <w:rPr>
          <w:lang w:val="en-AU" w:eastAsia="en-AU"/>
        </w:rPr>
        <w:t xml:space="preserve">t is worth noting that the </w:t>
      </w:r>
      <w:r w:rsidR="00E05E59">
        <w:rPr>
          <w:lang w:val="en-AU" w:eastAsia="en-AU"/>
        </w:rPr>
        <w:t xml:space="preserve">case studies suggest the </w:t>
      </w:r>
      <w:r w:rsidR="000001B7">
        <w:rPr>
          <w:lang w:val="en-AU" w:eastAsia="en-AU"/>
        </w:rPr>
        <w:t xml:space="preserve">magnitude of the </w:t>
      </w:r>
      <w:r w:rsidR="00E52F36">
        <w:rPr>
          <w:lang w:val="en-AU" w:eastAsia="en-AU"/>
        </w:rPr>
        <w:t xml:space="preserve">gap </w:t>
      </w:r>
      <w:r w:rsidR="00B02007">
        <w:rPr>
          <w:lang w:val="en-AU" w:eastAsia="en-AU"/>
        </w:rPr>
        <w:t xml:space="preserve">between </w:t>
      </w:r>
      <w:r w:rsidR="005D3EA0">
        <w:rPr>
          <w:lang w:val="en-AU" w:eastAsia="en-AU"/>
        </w:rPr>
        <w:t xml:space="preserve">PL benefits and prices listed on the </w:t>
      </w:r>
      <w:r w:rsidR="00CA374D">
        <w:rPr>
          <w:lang w:val="en-AU" w:eastAsia="en-AU"/>
        </w:rPr>
        <w:t>French LPP</w:t>
      </w:r>
      <w:r w:rsidR="00D84744">
        <w:rPr>
          <w:lang w:val="en-AU" w:eastAsia="en-AU"/>
        </w:rPr>
        <w:t xml:space="preserve"> remain</w:t>
      </w:r>
      <w:r w:rsidR="00C92747">
        <w:rPr>
          <w:lang w:val="en-AU" w:eastAsia="en-AU"/>
        </w:rPr>
        <w:t>s</w:t>
      </w:r>
      <w:r w:rsidR="00D84744">
        <w:rPr>
          <w:lang w:val="en-AU" w:eastAsia="en-AU"/>
        </w:rPr>
        <w:t xml:space="preserve"> substantial</w:t>
      </w:r>
      <w:r w:rsidR="00E63CAA">
        <w:rPr>
          <w:lang w:val="en-AU" w:eastAsia="en-AU"/>
        </w:rPr>
        <w:t xml:space="preserve">, </w:t>
      </w:r>
      <w:r w:rsidR="00E63CAA" w:rsidRPr="005C57AD">
        <w:rPr>
          <w:lang w:val="en-AU" w:eastAsia="en-AU"/>
        </w:rPr>
        <w:t xml:space="preserve">and the reforms </w:t>
      </w:r>
      <w:r w:rsidR="008668CA" w:rsidRPr="005C57AD">
        <w:rPr>
          <w:lang w:val="en-AU" w:eastAsia="en-AU"/>
        </w:rPr>
        <w:t xml:space="preserve">have </w:t>
      </w:r>
      <w:r w:rsidR="000772D0" w:rsidRPr="005C57AD">
        <w:rPr>
          <w:lang w:val="en-AU" w:eastAsia="en-AU"/>
        </w:rPr>
        <w:t xml:space="preserve">had </w:t>
      </w:r>
      <w:r w:rsidR="00D000BF" w:rsidRPr="005C57AD">
        <w:rPr>
          <w:lang w:val="en-AU" w:eastAsia="en-AU"/>
        </w:rPr>
        <w:t>mix</w:t>
      </w:r>
      <w:r w:rsidR="00C372F6" w:rsidRPr="005C57AD">
        <w:rPr>
          <w:lang w:val="en-AU" w:eastAsia="en-AU"/>
        </w:rPr>
        <w:t>ed</w:t>
      </w:r>
      <w:r w:rsidR="00D000BF" w:rsidRPr="005C57AD">
        <w:rPr>
          <w:lang w:val="en-AU" w:eastAsia="en-AU"/>
        </w:rPr>
        <w:t xml:space="preserve"> </w:t>
      </w:r>
      <w:r w:rsidR="000772D0" w:rsidRPr="005C57AD">
        <w:rPr>
          <w:lang w:val="en-AU" w:eastAsia="en-AU"/>
        </w:rPr>
        <w:t>su</w:t>
      </w:r>
      <w:r w:rsidR="00A97CD0" w:rsidRPr="005C57AD">
        <w:rPr>
          <w:lang w:val="en-AU" w:eastAsia="en-AU"/>
        </w:rPr>
        <w:t xml:space="preserve">ccess </w:t>
      </w:r>
      <w:r w:rsidR="004F7137">
        <w:rPr>
          <w:lang w:val="en-AU" w:eastAsia="en-AU"/>
        </w:rPr>
        <w:t xml:space="preserve">in meaningfully decreasing </w:t>
      </w:r>
      <w:r w:rsidR="00217CB8">
        <w:rPr>
          <w:lang w:val="en-AU" w:eastAsia="en-AU"/>
        </w:rPr>
        <w:t>this in</w:t>
      </w:r>
      <w:r w:rsidR="005C57AD" w:rsidRPr="005C57AD">
        <w:rPr>
          <w:lang w:val="en-AU" w:eastAsia="en-AU"/>
        </w:rPr>
        <w:t xml:space="preserve"> absolute </w:t>
      </w:r>
      <w:r w:rsidR="00217CB8">
        <w:rPr>
          <w:lang w:val="en-AU" w:eastAsia="en-AU"/>
        </w:rPr>
        <w:t>terms</w:t>
      </w:r>
      <w:r w:rsidR="00D40DD2">
        <w:rPr>
          <w:lang w:val="en-AU" w:eastAsia="en-AU"/>
        </w:rPr>
        <w:t>:</w:t>
      </w:r>
    </w:p>
    <w:p w14:paraId="0CF7F75D" w14:textId="27F982CE" w:rsidR="00A70478" w:rsidRDefault="00F958DE" w:rsidP="007826B8">
      <w:pPr>
        <w:pStyle w:val="Bullet"/>
      </w:pPr>
      <w:r>
        <w:t>A case study of knee implants</w:t>
      </w:r>
      <w:r w:rsidR="001833A0">
        <w:t xml:space="preserve"> (</w:t>
      </w:r>
      <w:r w:rsidR="00301CCA">
        <w:t>12.08.01 PL benefit group</w:t>
      </w:r>
      <w:r w:rsidR="001A1DA8">
        <w:t xml:space="preserve">; </w:t>
      </w:r>
      <w:r w:rsidR="00301CCA">
        <w:t xml:space="preserve">see </w:t>
      </w:r>
      <w:r w:rsidR="0017692F">
        <w:fldChar w:fldCharType="begin"/>
      </w:r>
      <w:r w:rsidR="0017692F">
        <w:instrText xml:space="preserve"> REF _Ref168585866 \h </w:instrText>
      </w:r>
      <w:r w:rsidR="0017692F">
        <w:fldChar w:fldCharType="separate"/>
      </w:r>
      <w:r w:rsidR="009B5D8D">
        <w:t xml:space="preserve">Figure </w:t>
      </w:r>
      <w:r w:rsidR="009B5D8D">
        <w:rPr>
          <w:noProof/>
        </w:rPr>
        <w:t>30</w:t>
      </w:r>
      <w:r w:rsidR="0017692F">
        <w:fldChar w:fldCharType="end"/>
      </w:r>
      <w:r w:rsidR="00934148">
        <w:t xml:space="preserve"> in </w:t>
      </w:r>
      <w:r w:rsidR="00934148">
        <w:fldChar w:fldCharType="begin"/>
      </w:r>
      <w:r w:rsidR="00934148">
        <w:instrText xml:space="preserve"> REF _Ref168587998 \r \h </w:instrText>
      </w:r>
      <w:r w:rsidR="00934148">
        <w:fldChar w:fldCharType="separate"/>
      </w:r>
      <w:r w:rsidR="009B5D8D">
        <w:t>Appendix B</w:t>
      </w:r>
      <w:r w:rsidR="00934148">
        <w:fldChar w:fldCharType="end"/>
      </w:r>
      <w:r w:rsidR="001833A0">
        <w:t>)</w:t>
      </w:r>
      <w:r w:rsidR="004121DF">
        <w:t xml:space="preserve"> </w:t>
      </w:r>
      <w:r w:rsidR="00B00BBA">
        <w:t xml:space="preserve">shows the </w:t>
      </w:r>
      <w:r w:rsidR="00BB2003">
        <w:t xml:space="preserve">reforms have decreased the gap </w:t>
      </w:r>
      <w:r w:rsidR="00E6037B">
        <w:t xml:space="preserve">between the French and Australian markets from $321 (158% gap) in 2021 to $182 (90%) in 2023—a </w:t>
      </w:r>
      <w:r w:rsidR="00D47D64">
        <w:t>significant improve</w:t>
      </w:r>
      <w:r w:rsidR="003D594C">
        <w:t>ment in alignment.</w:t>
      </w:r>
    </w:p>
    <w:p w14:paraId="0278BB94" w14:textId="0BCACF5C" w:rsidR="00F11A6B" w:rsidRPr="001B452A" w:rsidRDefault="00301CCA" w:rsidP="0004485E">
      <w:pPr>
        <w:pStyle w:val="Bullet"/>
      </w:pPr>
      <w:r>
        <w:t xml:space="preserve">On the </w:t>
      </w:r>
      <w:r w:rsidR="00104102">
        <w:t xml:space="preserve">other hand, a case study of </w:t>
      </w:r>
      <w:r w:rsidR="00231740">
        <w:t>spinal fusion cages</w:t>
      </w:r>
      <w:r w:rsidR="00531622">
        <w:t xml:space="preserve"> (</w:t>
      </w:r>
      <w:r w:rsidR="001A1DA8">
        <w:t xml:space="preserve">13.10.01.02 PL benefit group; see </w:t>
      </w:r>
      <w:r w:rsidR="001912AC">
        <w:fldChar w:fldCharType="begin"/>
      </w:r>
      <w:r w:rsidR="001912AC">
        <w:instrText xml:space="preserve"> REF _Ref168588570 \h </w:instrText>
      </w:r>
      <w:r w:rsidR="001912AC">
        <w:fldChar w:fldCharType="separate"/>
      </w:r>
      <w:r w:rsidR="009B5D8D">
        <w:t xml:space="preserve">Figure </w:t>
      </w:r>
      <w:r w:rsidR="009B5D8D">
        <w:rPr>
          <w:noProof/>
        </w:rPr>
        <w:t>32</w:t>
      </w:r>
      <w:r w:rsidR="001912AC">
        <w:fldChar w:fldCharType="end"/>
      </w:r>
      <w:r w:rsidR="001912AC">
        <w:t xml:space="preserve"> </w:t>
      </w:r>
      <w:r w:rsidR="001912AC">
        <w:rPr>
          <w:noProof/>
        </w:rPr>
        <w:t xml:space="preserve">in </w:t>
      </w:r>
      <w:r w:rsidR="001912AC">
        <w:fldChar w:fldCharType="begin"/>
      </w:r>
      <w:r w:rsidR="001912AC">
        <w:instrText xml:space="preserve"> REF _Ref168587998 \r \h </w:instrText>
      </w:r>
      <w:r w:rsidR="001912AC">
        <w:fldChar w:fldCharType="separate"/>
      </w:r>
      <w:r w:rsidR="009B5D8D">
        <w:t>Appendix B</w:t>
      </w:r>
      <w:r w:rsidR="001912AC">
        <w:fldChar w:fldCharType="end"/>
      </w:r>
      <w:r w:rsidR="001912AC">
        <w:t xml:space="preserve">) </w:t>
      </w:r>
      <w:r w:rsidR="008174A4">
        <w:t xml:space="preserve">shows the </w:t>
      </w:r>
      <w:r w:rsidR="007435BA">
        <w:t xml:space="preserve">PL benefit remains around </w:t>
      </w:r>
      <w:r w:rsidR="0027753D">
        <w:t xml:space="preserve">six times the LPP price, despite </w:t>
      </w:r>
      <w:r w:rsidR="00B95F5D">
        <w:t xml:space="preserve">a </w:t>
      </w:r>
      <w:r w:rsidR="00AD7C39">
        <w:t xml:space="preserve">benefit </w:t>
      </w:r>
      <w:r w:rsidR="00B95F5D">
        <w:t>reduction in July 2022 and again in July 202</w:t>
      </w:r>
      <w:r w:rsidR="00AD7C39">
        <w:t>3.</w:t>
      </w:r>
    </w:p>
    <w:p w14:paraId="1CDE0CE9" w14:textId="49A08E7F" w:rsidR="0054055B" w:rsidRDefault="0054055B" w:rsidP="0054055B">
      <w:pPr>
        <w:pStyle w:val="Heading2"/>
      </w:pPr>
      <w:bookmarkStart w:id="35" w:name="_Toc181405078"/>
      <w:r>
        <w:t>Objective 2: Maintain no additional out-of-pocket costs associated with the PL devices for consumers</w:t>
      </w:r>
      <w:bookmarkEnd w:id="18"/>
      <w:bookmarkEnd w:id="19"/>
      <w:bookmarkEnd w:id="35"/>
    </w:p>
    <w:p w14:paraId="2B9A9143" w14:textId="7EF76550" w:rsidR="00FA6FB1" w:rsidRPr="00784FCC" w:rsidRDefault="00FA6FB1" w:rsidP="00FA6FB1">
      <w:pPr>
        <w:rPr>
          <w:i/>
          <w:iCs/>
        </w:rPr>
      </w:pPr>
      <w:r w:rsidRPr="00784FCC">
        <w:rPr>
          <w:i/>
          <w:iCs/>
        </w:rPr>
        <w:t xml:space="preserve">This section considers </w:t>
      </w:r>
      <w:r w:rsidR="00F3542F" w:rsidRPr="00784FCC">
        <w:rPr>
          <w:i/>
          <w:iCs/>
        </w:rPr>
        <w:t xml:space="preserve">any change in out-of-pocket costs </w:t>
      </w:r>
      <w:r w:rsidR="007900BA" w:rsidRPr="00784FCC">
        <w:rPr>
          <w:i/>
          <w:iCs/>
        </w:rPr>
        <w:t xml:space="preserve">related to </w:t>
      </w:r>
      <w:r w:rsidR="00103779" w:rsidRPr="00784FCC">
        <w:rPr>
          <w:i/>
          <w:iCs/>
        </w:rPr>
        <w:t>PL items</w:t>
      </w:r>
      <w:r w:rsidR="00C37F0C" w:rsidRPr="00784FCC">
        <w:rPr>
          <w:i/>
          <w:iCs/>
        </w:rPr>
        <w:t>. It examines the prevalence of a gap payment for PL items and the average gap payment for</w:t>
      </w:r>
      <w:r w:rsidR="003D316A" w:rsidRPr="00784FCC">
        <w:rPr>
          <w:i/>
          <w:iCs/>
        </w:rPr>
        <w:t xml:space="preserve"> PL-listed items.</w:t>
      </w:r>
    </w:p>
    <w:p w14:paraId="236E64A8" w14:textId="7D8DBBD4" w:rsidR="00423022" w:rsidRDefault="00423022" w:rsidP="00423022">
      <w:pPr>
        <w:pStyle w:val="Caption"/>
        <w:rPr>
          <w:lang w:eastAsia="en-AU"/>
        </w:rPr>
      </w:pPr>
      <w:r>
        <w:lastRenderedPageBreak/>
        <w:t xml:space="preserve">Figure </w:t>
      </w:r>
      <w:r>
        <w:fldChar w:fldCharType="begin"/>
      </w:r>
      <w:r>
        <w:instrText xml:space="preserve"> SEQ Figure \* ARABIC </w:instrText>
      </w:r>
      <w:r>
        <w:fldChar w:fldCharType="separate"/>
      </w:r>
      <w:r w:rsidR="009B5D8D">
        <w:rPr>
          <w:noProof/>
        </w:rPr>
        <w:t>6</w:t>
      </w:r>
      <w:r>
        <w:fldChar w:fldCharType="end"/>
      </w:r>
      <w:r>
        <w:t xml:space="preserve"> | Reform projects related to reform objective 2</w:t>
      </w:r>
    </w:p>
    <w:p w14:paraId="5D1848D0" w14:textId="77777777" w:rsidR="00423022" w:rsidRPr="0001681C" w:rsidRDefault="00423022" w:rsidP="00423022">
      <w:pPr>
        <w:rPr>
          <w:lang w:eastAsia="en-AU"/>
        </w:rPr>
      </w:pPr>
      <w:r w:rsidRPr="005B600B">
        <w:rPr>
          <w:noProof/>
          <w:lang w:eastAsia="en-AU"/>
        </w:rPr>
        <w:drawing>
          <wp:inline distT="0" distB="0" distL="0" distR="0" wp14:anchorId="07AE2DDB" wp14:editId="6AE702C9">
            <wp:extent cx="5750308" cy="1473959"/>
            <wp:effectExtent l="0" t="0" r="3175" b="0"/>
            <wp:docPr id="813561773" name="Picture 1" descr="A figure showing reform objective 2. Maintain no additional out-of-pocket costs is maintained through guardrails on benefit reductions. Objective 2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61773" name="Picture 1" descr="A figure showing reform objective 2. Maintain no additional out-of-pocket costs is maintained through guardrails on benefit reductions. Objective 2 is also connected with a dotted line to benefit reductions."/>
                    <pic:cNvPicPr/>
                  </pic:nvPicPr>
                  <pic:blipFill>
                    <a:blip r:embed="rId43"/>
                    <a:stretch>
                      <a:fillRect/>
                    </a:stretch>
                  </pic:blipFill>
                  <pic:spPr>
                    <a:xfrm>
                      <a:off x="0" y="0"/>
                      <a:ext cx="5777529" cy="1480937"/>
                    </a:xfrm>
                    <a:prstGeom prst="rect">
                      <a:avLst/>
                    </a:prstGeom>
                  </pic:spPr>
                </pic:pic>
              </a:graphicData>
            </a:graphic>
          </wp:inline>
        </w:drawing>
      </w:r>
    </w:p>
    <w:p w14:paraId="3573D910" w14:textId="7D48D617" w:rsidR="0054055B" w:rsidRDefault="00DA07C0" w:rsidP="006D238D">
      <w:pPr>
        <w:pStyle w:val="Heading3"/>
      </w:pPr>
      <w:bookmarkStart w:id="36" w:name="_Toc181405079"/>
      <w:r>
        <w:t>The reforms maintained minimal out-of-pocket costs</w:t>
      </w:r>
      <w:r w:rsidR="00024342">
        <w:t xml:space="preserve"> for PL items</w:t>
      </w:r>
      <w:bookmarkEnd w:id="36"/>
    </w:p>
    <w:p w14:paraId="457FC839" w14:textId="72C5C8F0" w:rsidR="004B2339" w:rsidRDefault="004B2339" w:rsidP="413BAAC5">
      <w:pPr>
        <w:rPr>
          <w:lang w:eastAsia="en-AU"/>
        </w:rPr>
      </w:pPr>
      <w:r>
        <w:rPr>
          <w:lang w:eastAsia="en-AU"/>
        </w:rPr>
        <w:t>The introduction of the PL reforms has maintained low out-of-pocket costs for consumers</w:t>
      </w:r>
      <w:r w:rsidR="73778CA2">
        <w:rPr>
          <w:lang w:eastAsia="en-AU"/>
        </w:rPr>
        <w:t xml:space="preserve"> and achieved the reform objective of no additional out-of-pocket costs</w:t>
      </w:r>
      <w:r>
        <w:rPr>
          <w:lang w:eastAsia="en-AU"/>
        </w:rPr>
        <w:t xml:space="preserve">. </w:t>
      </w:r>
    </w:p>
    <w:p w14:paraId="7F5FE769" w14:textId="2E48CD81" w:rsidR="004B2339" w:rsidRDefault="004B2339" w:rsidP="004B2339">
      <w:pPr>
        <w:rPr>
          <w:lang w:eastAsia="en-AU"/>
        </w:rPr>
      </w:pPr>
      <w:r>
        <w:rPr>
          <w:lang w:eastAsia="en-AU"/>
        </w:rPr>
        <w:t>Data shows changes in the frequency and the average amount of gap payments,</w:t>
      </w:r>
      <w:r>
        <w:rPr>
          <w:rStyle w:val="FootnoteReference"/>
          <w:lang w:eastAsia="en-AU"/>
        </w:rPr>
        <w:footnoteReference w:id="42"/>
      </w:r>
      <w:r>
        <w:rPr>
          <w:lang w:eastAsia="en-AU"/>
        </w:rPr>
        <w:t xml:space="preserve"> yet there is no clear evidence linking these changes to the PL reforms, considering the variations are within historical norms. While there has been an uptick in the frequency of gap payments, the average payment amount has declined, a trend consistent with the period before the reforms were implemented.</w:t>
      </w:r>
    </w:p>
    <w:p w14:paraId="1D3DB429" w14:textId="77777777" w:rsidR="004B2339" w:rsidRPr="00DC2C9F" w:rsidRDefault="004B2339" w:rsidP="004B2339">
      <w:pPr>
        <w:rPr>
          <w:lang w:eastAsia="en-AU"/>
        </w:rPr>
      </w:pPr>
      <w:r>
        <w:rPr>
          <w:lang w:eastAsia="en-AU"/>
        </w:rPr>
        <w:t>Continued monitoring of these metrics is necessary, despite the current stability in out-of-pocket costs, to determine if the changes in gap payment frequency and average amounts deviate from historical trends in subsequent years.</w:t>
      </w:r>
    </w:p>
    <w:p w14:paraId="63355D0A" w14:textId="549D2C4D" w:rsidR="004B2339" w:rsidRPr="00DC2C9F" w:rsidRDefault="004B2339" w:rsidP="004B2339">
      <w:pPr>
        <w:keepNext/>
        <w:spacing w:before="240" w:after="60"/>
        <w:outlineLvl w:val="3"/>
        <w:rPr>
          <w:rFonts w:ascii="Segoe UI Semibold" w:eastAsia="Times New Roman" w:hAnsi="Segoe UI Semibold" w:cs="Times New Roman"/>
          <w:color w:val="00264D" w:themeColor="background2"/>
          <w:sz w:val="22"/>
          <w:szCs w:val="19"/>
          <w:lang w:eastAsia="en-AU"/>
        </w:rPr>
      </w:pPr>
      <w:r w:rsidRPr="00DC2C9F">
        <w:rPr>
          <w:rFonts w:ascii="Segoe UI Semibold" w:eastAsia="Times New Roman" w:hAnsi="Segoe UI Semibold" w:cs="Times New Roman"/>
          <w:color w:val="00264D" w:themeColor="background2"/>
          <w:sz w:val="22"/>
          <w:szCs w:val="19"/>
          <w:lang w:eastAsia="en-AU"/>
        </w:rPr>
        <w:t xml:space="preserve">The prevalence of gap payments for PL items was </w:t>
      </w:r>
      <w:r w:rsidR="00777764">
        <w:rPr>
          <w:rFonts w:ascii="Segoe UI Semibold" w:eastAsia="Times New Roman" w:hAnsi="Segoe UI Semibold" w:cs="Times New Roman"/>
          <w:color w:val="00264D" w:themeColor="background2"/>
          <w:sz w:val="22"/>
          <w:szCs w:val="19"/>
          <w:lang w:eastAsia="en-AU"/>
        </w:rPr>
        <w:t>less than 1%</w:t>
      </w:r>
    </w:p>
    <w:p w14:paraId="113F21CD" w14:textId="20561074" w:rsidR="004B2339" w:rsidRDefault="004B2339" w:rsidP="004B2339">
      <w:pPr>
        <w:rPr>
          <w:lang w:eastAsia="en-AU"/>
        </w:rPr>
      </w:pPr>
      <w:r>
        <w:rPr>
          <w:lang w:eastAsia="en-AU"/>
        </w:rPr>
        <w:fldChar w:fldCharType="begin"/>
      </w:r>
      <w:r>
        <w:rPr>
          <w:lang w:eastAsia="en-AU"/>
        </w:rPr>
        <w:instrText xml:space="preserve"> REF _Ref172837470 \h </w:instrText>
      </w:r>
      <w:r>
        <w:rPr>
          <w:lang w:eastAsia="en-AU"/>
        </w:rPr>
      </w:r>
      <w:r>
        <w:rPr>
          <w:lang w:eastAsia="en-AU"/>
        </w:rPr>
        <w:fldChar w:fldCharType="separate"/>
      </w:r>
      <w:r w:rsidR="009B5D8D">
        <w:t xml:space="preserve">Figure </w:t>
      </w:r>
      <w:r w:rsidR="009B5D8D">
        <w:rPr>
          <w:noProof/>
        </w:rPr>
        <w:t>7</w:t>
      </w:r>
      <w:r>
        <w:rPr>
          <w:lang w:eastAsia="en-AU"/>
        </w:rPr>
        <w:fldChar w:fldCharType="end"/>
      </w:r>
      <w:r>
        <w:rPr>
          <w:lang w:eastAsia="en-AU"/>
        </w:rPr>
        <w:t xml:space="preserve"> shows a low prevalence of gap payments across the PL, with only 0.65% of </w:t>
      </w:r>
      <w:r w:rsidR="00174FDB">
        <w:rPr>
          <w:lang w:eastAsia="en-AU"/>
        </w:rPr>
        <w:t>all PL items used</w:t>
      </w:r>
      <w:r w:rsidR="006063F9">
        <w:rPr>
          <w:lang w:eastAsia="en-AU"/>
        </w:rPr>
        <w:t xml:space="preserve"> in FY23</w:t>
      </w:r>
      <w:r w:rsidR="00174FDB">
        <w:rPr>
          <w:lang w:eastAsia="en-AU"/>
        </w:rPr>
        <w:t xml:space="preserve"> resulting in </w:t>
      </w:r>
      <w:r>
        <w:rPr>
          <w:lang w:eastAsia="en-AU"/>
        </w:rPr>
        <w:t xml:space="preserve">gap payments exceeding $1. </w:t>
      </w:r>
      <w:r>
        <w:rPr>
          <w:lang w:eastAsia="en-AU"/>
        </w:rPr>
        <w:fldChar w:fldCharType="begin"/>
      </w:r>
      <w:r>
        <w:rPr>
          <w:lang w:eastAsia="en-AU"/>
        </w:rPr>
        <w:instrText xml:space="preserve"> REF _Ref173003386 \h </w:instrText>
      </w:r>
      <w:r>
        <w:rPr>
          <w:lang w:eastAsia="en-AU"/>
        </w:rPr>
      </w:r>
      <w:r>
        <w:rPr>
          <w:lang w:eastAsia="en-AU"/>
        </w:rPr>
        <w:fldChar w:fldCharType="separate"/>
      </w:r>
      <w:r w:rsidR="009B5D8D">
        <w:t xml:space="preserve">Table </w:t>
      </w:r>
      <w:r w:rsidR="009B5D8D">
        <w:rPr>
          <w:noProof/>
        </w:rPr>
        <w:t>25</w:t>
      </w:r>
      <w:r>
        <w:rPr>
          <w:lang w:eastAsia="en-AU"/>
        </w:rPr>
        <w:fldChar w:fldCharType="end"/>
      </w:r>
      <w:r w:rsidR="00BE3A00">
        <w:rPr>
          <w:lang w:eastAsia="en-AU"/>
        </w:rPr>
        <w:t xml:space="preserve"> (s</w:t>
      </w:r>
      <w:r w:rsidR="002803BC">
        <w:rPr>
          <w:lang w:eastAsia="en-AU"/>
        </w:rPr>
        <w:t xml:space="preserve">ee </w:t>
      </w:r>
      <w:r w:rsidR="002803BC">
        <w:rPr>
          <w:lang w:eastAsia="en-AU"/>
        </w:rPr>
        <w:fldChar w:fldCharType="begin"/>
      </w:r>
      <w:r w:rsidR="002803BC">
        <w:rPr>
          <w:lang w:eastAsia="en-AU"/>
        </w:rPr>
        <w:instrText xml:space="preserve"> REF _Ref168587867 \r \h </w:instrText>
      </w:r>
      <w:r w:rsidR="002803BC">
        <w:rPr>
          <w:lang w:eastAsia="en-AU"/>
        </w:rPr>
      </w:r>
      <w:r w:rsidR="002803BC">
        <w:rPr>
          <w:lang w:eastAsia="en-AU"/>
        </w:rPr>
        <w:fldChar w:fldCharType="separate"/>
      </w:r>
      <w:r w:rsidR="009B5D8D">
        <w:rPr>
          <w:lang w:eastAsia="en-AU"/>
        </w:rPr>
        <w:t>Appendix B</w:t>
      </w:r>
      <w:r w:rsidR="002803BC">
        <w:rPr>
          <w:lang w:eastAsia="en-AU"/>
        </w:rPr>
        <w:fldChar w:fldCharType="end"/>
      </w:r>
      <w:r w:rsidR="002803BC">
        <w:rPr>
          <w:lang w:eastAsia="en-AU"/>
        </w:rPr>
        <w:t>, indicator 3)</w:t>
      </w:r>
      <w:r>
        <w:rPr>
          <w:lang w:eastAsia="en-AU"/>
        </w:rPr>
        <w:t xml:space="preserve"> indicates that this minor increase in prevalence is consistent across most Part A PL categories. During FY23, the year following the initial round of benefit reductions, there is a noted rise in gap payment prevalence. Nevertheless, this increase remains within the historically normal range, as evidenced by a 0.66% prevalence recorded in FY19, well before the implementation of the PL reforms.</w:t>
      </w:r>
    </w:p>
    <w:p w14:paraId="3E006ECB" w14:textId="2B071579" w:rsidR="004B2339" w:rsidRDefault="004B2339" w:rsidP="004B2339">
      <w:pPr>
        <w:rPr>
          <w:lang w:eastAsia="en-AU"/>
        </w:rPr>
      </w:pPr>
      <w:r>
        <w:rPr>
          <w:lang w:eastAsia="en-AU"/>
        </w:rPr>
        <w:t xml:space="preserve">The persistently low prevalence of gap payments indicates that the PL reforms </w:t>
      </w:r>
      <w:r w:rsidRPr="0521665A">
        <w:rPr>
          <w:lang w:eastAsia="en-AU"/>
        </w:rPr>
        <w:t>are</w:t>
      </w:r>
      <w:r>
        <w:rPr>
          <w:lang w:eastAsia="en-AU"/>
        </w:rPr>
        <w:t xml:space="preserve"> largely achieving their aim of minimising out-of-pocket expenses. However, should the prevalence continue to increase following subsequent benefit reductions, a more detailed analysis may be warranted.</w:t>
      </w:r>
    </w:p>
    <w:p w14:paraId="133E142B" w14:textId="6FE2ACF1" w:rsidR="006443FE" w:rsidRDefault="004B2339" w:rsidP="006443FE">
      <w:pPr>
        <w:pStyle w:val="Caption"/>
      </w:pPr>
      <w:bookmarkStart w:id="37" w:name="_Ref172837470"/>
      <w:r>
        <w:lastRenderedPageBreak/>
        <w:t xml:space="preserve">Figure </w:t>
      </w:r>
      <w:r>
        <w:fldChar w:fldCharType="begin"/>
      </w:r>
      <w:r>
        <w:instrText xml:space="preserve"> SEQ Figure \* ARABIC </w:instrText>
      </w:r>
      <w:r>
        <w:fldChar w:fldCharType="separate"/>
      </w:r>
      <w:r w:rsidR="009B5D8D">
        <w:rPr>
          <w:noProof/>
        </w:rPr>
        <w:t>7</w:t>
      </w:r>
      <w:r>
        <w:fldChar w:fldCharType="end"/>
      </w:r>
      <w:bookmarkEnd w:id="37"/>
      <w:r>
        <w:t xml:space="preserve"> | Prevalence of gap payments greater than $1</w:t>
      </w:r>
      <w:r>
        <w:rPr>
          <w:rStyle w:val="FootnoteReference"/>
        </w:rPr>
        <w:footnoteReference w:id="43"/>
      </w:r>
    </w:p>
    <w:p w14:paraId="77639E23" w14:textId="6468C553" w:rsidR="004B2339" w:rsidRPr="00AA0C08" w:rsidRDefault="00AA0C08" w:rsidP="004B2339">
      <w:pPr>
        <w:rPr>
          <w:lang w:val="en-AU"/>
        </w:rPr>
      </w:pPr>
      <w:r>
        <w:rPr>
          <w:noProof/>
          <w:lang w:val="en-AU"/>
        </w:rPr>
        <w:drawing>
          <wp:inline distT="0" distB="0" distL="0" distR="0" wp14:anchorId="31084849" wp14:editId="3EB31234">
            <wp:extent cx="5760085" cy="3536315"/>
            <wp:effectExtent l="0" t="0" r="0" b="6985"/>
            <wp:docPr id="333481769" name="Picture 23" descr="A graph showing the prevalence of gap payments for PL items, where the gap is greater than $1. The graph shows a percentage for each financial year from 2017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81769" name="Picture 23" descr="A graph showing the prevalence of gap payments for PL items, where the gap is greater than $1. The graph shows a percentage for each financial year from 2017 to 2023. "/>
                    <pic:cNvPicPr/>
                  </pic:nvPicPr>
                  <pic:blipFill>
                    <a:blip r:embed="rId44">
                      <a:extLst>
                        <a:ext uri="{28A0092B-C50C-407E-A947-70E740481C1C}">
                          <a14:useLocalDpi xmlns:a14="http://schemas.microsoft.com/office/drawing/2010/main" val="0"/>
                        </a:ext>
                      </a:extLst>
                    </a:blip>
                    <a:stretch>
                      <a:fillRect/>
                    </a:stretch>
                  </pic:blipFill>
                  <pic:spPr>
                    <a:xfrm>
                      <a:off x="0" y="0"/>
                      <a:ext cx="5760085" cy="3536315"/>
                    </a:xfrm>
                    <a:prstGeom prst="rect">
                      <a:avLst/>
                    </a:prstGeom>
                  </pic:spPr>
                </pic:pic>
              </a:graphicData>
            </a:graphic>
          </wp:inline>
        </w:drawing>
      </w:r>
    </w:p>
    <w:p w14:paraId="569F066B" w14:textId="1D4D7482" w:rsidR="006163A6" w:rsidRPr="00DC2C9F" w:rsidRDefault="006163A6" w:rsidP="006163A6">
      <w:pPr>
        <w:keepNext/>
        <w:spacing w:before="240" w:after="60"/>
        <w:outlineLvl w:val="3"/>
        <w:rPr>
          <w:rFonts w:ascii="Segoe UI Semibold" w:eastAsia="Times New Roman" w:hAnsi="Segoe UI Semibold" w:cs="Times New Roman"/>
          <w:color w:val="00264D" w:themeColor="background2"/>
          <w:sz w:val="22"/>
          <w:lang w:eastAsia="en-AU"/>
        </w:rPr>
      </w:pPr>
      <w:r w:rsidRPr="67C4FA72">
        <w:rPr>
          <w:rFonts w:ascii="Segoe UI Semibold" w:eastAsia="Times New Roman" w:hAnsi="Segoe UI Semibold" w:cs="Times New Roman"/>
          <w:color w:val="00264D" w:themeColor="background2"/>
          <w:sz w:val="22"/>
          <w:lang w:eastAsia="en-AU"/>
        </w:rPr>
        <w:t>The average gap payment for PL-listed items was $1</w:t>
      </w:r>
      <w:r w:rsidR="00C34A03">
        <w:rPr>
          <w:rFonts w:ascii="Segoe UI Semibold" w:eastAsia="Times New Roman" w:hAnsi="Segoe UI Semibold" w:cs="Times New Roman"/>
          <w:color w:val="00264D" w:themeColor="background2"/>
          <w:sz w:val="22"/>
          <w:lang w:eastAsia="en-AU"/>
        </w:rPr>
        <w:t>2</w:t>
      </w:r>
      <w:r w:rsidR="00575D30">
        <w:rPr>
          <w:rFonts w:ascii="Segoe UI Semibold" w:eastAsia="Times New Roman" w:hAnsi="Segoe UI Semibold" w:cs="Times New Roman"/>
          <w:color w:val="00264D" w:themeColor="background2"/>
          <w:sz w:val="22"/>
          <w:lang w:eastAsia="en-AU"/>
        </w:rPr>
        <w:t>3</w:t>
      </w:r>
    </w:p>
    <w:p w14:paraId="2DC61429" w14:textId="025972FB" w:rsidR="006163A6" w:rsidRDefault="006163A6" w:rsidP="006163A6">
      <w:r>
        <w:rPr>
          <w:lang w:eastAsia="en-AU"/>
        </w:rPr>
        <w:fldChar w:fldCharType="begin"/>
      </w:r>
      <w:r>
        <w:rPr>
          <w:lang w:eastAsia="en-AU"/>
        </w:rPr>
        <w:instrText xml:space="preserve"> REF _Ref173003586 \h </w:instrText>
      </w:r>
      <w:r>
        <w:rPr>
          <w:lang w:eastAsia="en-AU"/>
        </w:rPr>
      </w:r>
      <w:r>
        <w:rPr>
          <w:lang w:eastAsia="en-AU"/>
        </w:rPr>
        <w:fldChar w:fldCharType="separate"/>
      </w:r>
      <w:r w:rsidR="009B5D8D">
        <w:t xml:space="preserve">Figure </w:t>
      </w:r>
      <w:r w:rsidR="009B5D8D">
        <w:rPr>
          <w:noProof/>
        </w:rPr>
        <w:t>8</w:t>
      </w:r>
      <w:r>
        <w:rPr>
          <w:lang w:eastAsia="en-AU"/>
        </w:rPr>
        <w:fldChar w:fldCharType="end"/>
      </w:r>
      <w:r>
        <w:rPr>
          <w:lang w:eastAsia="en-AU"/>
        </w:rPr>
        <w:t xml:space="preserve"> shows that since baseline, there has been a </w:t>
      </w:r>
      <w:r w:rsidRPr="008F3459">
        <w:rPr>
          <w:lang w:eastAsia="en-AU"/>
        </w:rPr>
        <w:t xml:space="preserve">significant decrease </w:t>
      </w:r>
      <w:r>
        <w:t xml:space="preserve">in the average gap payment for items listed on the PL where a gap payment is made. The average gap payment for such items in FY23 </w:t>
      </w:r>
      <w:r w:rsidR="00F94D02">
        <w:t>was</w:t>
      </w:r>
      <w:r>
        <w:t xml:space="preserve"> $</w:t>
      </w:r>
      <w:r w:rsidR="00F94D02">
        <w:t>123</w:t>
      </w:r>
      <w:r>
        <w:t>, down from $2</w:t>
      </w:r>
      <w:r w:rsidR="00F94D02">
        <w:t>70</w:t>
      </w:r>
      <w:r>
        <w:t xml:space="preserve"> in FY21. </w:t>
      </w:r>
      <w:r w:rsidR="003F03A3">
        <w:fldChar w:fldCharType="begin"/>
      </w:r>
      <w:r w:rsidR="003F03A3">
        <w:instrText xml:space="preserve"> REF _Ref176952615 \h </w:instrText>
      </w:r>
      <w:r w:rsidR="003F03A3">
        <w:fldChar w:fldCharType="separate"/>
      </w:r>
      <w:r w:rsidR="009B5D8D">
        <w:t xml:space="preserve">Table </w:t>
      </w:r>
      <w:r w:rsidR="009B5D8D">
        <w:rPr>
          <w:noProof/>
        </w:rPr>
        <w:t>26</w:t>
      </w:r>
      <w:r w:rsidR="003F03A3">
        <w:fldChar w:fldCharType="end"/>
      </w:r>
      <w:r w:rsidR="003F03A3">
        <w:t xml:space="preserve"> </w:t>
      </w:r>
      <w:r w:rsidR="003F03A3">
        <w:rPr>
          <w:lang w:eastAsia="en-AU"/>
        </w:rPr>
        <w:t xml:space="preserve">(see </w:t>
      </w:r>
      <w:r w:rsidR="003F03A3">
        <w:rPr>
          <w:lang w:eastAsia="en-AU"/>
        </w:rPr>
        <w:fldChar w:fldCharType="begin"/>
      </w:r>
      <w:r w:rsidR="003F03A3">
        <w:rPr>
          <w:lang w:eastAsia="en-AU"/>
        </w:rPr>
        <w:instrText xml:space="preserve"> REF _Ref168587867 \r \h </w:instrText>
      </w:r>
      <w:r w:rsidR="003F03A3">
        <w:rPr>
          <w:lang w:eastAsia="en-AU"/>
        </w:rPr>
      </w:r>
      <w:r w:rsidR="003F03A3">
        <w:rPr>
          <w:lang w:eastAsia="en-AU"/>
        </w:rPr>
        <w:fldChar w:fldCharType="separate"/>
      </w:r>
      <w:r w:rsidR="009B5D8D">
        <w:rPr>
          <w:lang w:eastAsia="en-AU"/>
        </w:rPr>
        <w:t>Appendix B</w:t>
      </w:r>
      <w:r w:rsidR="003F03A3">
        <w:rPr>
          <w:lang w:eastAsia="en-AU"/>
        </w:rPr>
        <w:fldChar w:fldCharType="end"/>
      </w:r>
      <w:r w:rsidR="003F03A3">
        <w:rPr>
          <w:lang w:eastAsia="en-AU"/>
        </w:rPr>
        <w:t xml:space="preserve">, indicator 3) </w:t>
      </w:r>
      <w:r>
        <w:t>reveals that this decrease spans all categories within Part A of the PL. However, as with changes in prevalence, the average gap payment falls within historical norms, as indicated by a comparable average of $</w:t>
      </w:r>
      <w:r w:rsidR="00957D05">
        <w:t>12</w:t>
      </w:r>
      <w:r w:rsidR="00F94D02">
        <w:t>9</w:t>
      </w:r>
      <w:r>
        <w:t xml:space="preserve"> in FY1</w:t>
      </w:r>
      <w:r w:rsidR="00957D05">
        <w:t>8 and $</w:t>
      </w:r>
      <w:r w:rsidR="009D2A35">
        <w:t>9</w:t>
      </w:r>
      <w:r w:rsidR="00F94D02">
        <w:t>2</w:t>
      </w:r>
      <w:r w:rsidR="009D2A35">
        <w:t xml:space="preserve"> in FY19</w:t>
      </w:r>
      <w:r>
        <w:t>.</w:t>
      </w:r>
    </w:p>
    <w:p w14:paraId="230021D8" w14:textId="77777777" w:rsidR="006163A6" w:rsidRDefault="006163A6" w:rsidP="006163A6">
      <w:r>
        <w:t>The recent trends in both the average prevalence of gap payments and their corresponding values align with established historical patterns, where a rise in the prevalence of gap payments typically coincides with a reduction in their average value.</w:t>
      </w:r>
    </w:p>
    <w:p w14:paraId="571F10BE" w14:textId="437BD1D3" w:rsidR="006163A6" w:rsidRDefault="006163A6" w:rsidP="006163A6">
      <w:pPr>
        <w:pStyle w:val="Caption"/>
      </w:pPr>
      <w:bookmarkStart w:id="38" w:name="_Ref173003586"/>
      <w:bookmarkStart w:id="39" w:name="_Ref173003581"/>
      <w:r>
        <w:lastRenderedPageBreak/>
        <w:t xml:space="preserve">Figure </w:t>
      </w:r>
      <w:r>
        <w:fldChar w:fldCharType="begin"/>
      </w:r>
      <w:r>
        <w:instrText xml:space="preserve"> SEQ Figure \* ARABIC </w:instrText>
      </w:r>
      <w:r>
        <w:fldChar w:fldCharType="separate"/>
      </w:r>
      <w:r w:rsidR="009B5D8D">
        <w:rPr>
          <w:noProof/>
        </w:rPr>
        <w:t>8</w:t>
      </w:r>
      <w:r>
        <w:fldChar w:fldCharType="end"/>
      </w:r>
      <w:bookmarkEnd w:id="38"/>
      <w:r>
        <w:t xml:space="preserve"> | Average gap payment when gap payment is greater than $1</w:t>
      </w:r>
      <w:r>
        <w:rPr>
          <w:rStyle w:val="FootnoteReference"/>
        </w:rPr>
        <w:footnoteReference w:id="44"/>
      </w:r>
      <w:bookmarkEnd w:id="39"/>
    </w:p>
    <w:p w14:paraId="48948D5F" w14:textId="2D48EDAF" w:rsidR="006443FE" w:rsidRPr="006443FE" w:rsidRDefault="00094B8B" w:rsidP="006443FE">
      <w:pPr>
        <w:rPr>
          <w:lang w:val="en-AU"/>
        </w:rPr>
      </w:pPr>
      <w:r w:rsidRPr="00094B8B">
        <w:rPr>
          <w:noProof/>
          <w:lang w:val="en-AU"/>
        </w:rPr>
        <w:drawing>
          <wp:inline distT="0" distB="0" distL="0" distR="0" wp14:anchorId="57520C1A" wp14:editId="178EBF88">
            <wp:extent cx="5760085" cy="3522980"/>
            <wp:effectExtent l="0" t="0" r="0" b="1270"/>
            <wp:docPr id="2067374788" name="Picture 1" descr="A graph showing the average gap payment for PL items, where the gap is greater than $1. The graph shows a dollar amount for each financial year from 2017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74788" name="Picture 1" descr="A graph showing the average gap payment for PL items, where the gap is greater than $1. The graph shows a dollar amount for each financial year from 2017 to 2023. "/>
                    <pic:cNvPicPr/>
                  </pic:nvPicPr>
                  <pic:blipFill>
                    <a:blip r:embed="rId45"/>
                    <a:stretch>
                      <a:fillRect/>
                    </a:stretch>
                  </pic:blipFill>
                  <pic:spPr>
                    <a:xfrm>
                      <a:off x="0" y="0"/>
                      <a:ext cx="5760085" cy="3522980"/>
                    </a:xfrm>
                    <a:prstGeom prst="rect">
                      <a:avLst/>
                    </a:prstGeom>
                  </pic:spPr>
                </pic:pic>
              </a:graphicData>
            </a:graphic>
          </wp:inline>
        </w:drawing>
      </w:r>
    </w:p>
    <w:p w14:paraId="3B5A443B" w14:textId="620086F3" w:rsidR="00146015" w:rsidRDefault="00146015" w:rsidP="00146015">
      <w:pPr>
        <w:pStyle w:val="Heading2"/>
      </w:pPr>
      <w:bookmarkStart w:id="40" w:name="_Ref159168037"/>
      <w:bookmarkStart w:id="41" w:name="_Toc164439317"/>
      <w:bookmarkStart w:id="42" w:name="_Toc181405080"/>
      <w:r>
        <w:t>Objective 3: Maintain clinician choice of appropriate prostheses for their patients</w:t>
      </w:r>
      <w:bookmarkEnd w:id="40"/>
      <w:bookmarkEnd w:id="41"/>
      <w:bookmarkEnd w:id="42"/>
    </w:p>
    <w:p w14:paraId="4DF235F7" w14:textId="77065A6D" w:rsidR="008C7DC8" w:rsidRPr="00784FCC" w:rsidRDefault="00C00716" w:rsidP="008C7DC8">
      <w:pPr>
        <w:rPr>
          <w:i/>
          <w:iCs/>
          <w:lang w:val="en-AU" w:eastAsia="en-AU"/>
        </w:rPr>
      </w:pPr>
      <w:r w:rsidRPr="00784FCC">
        <w:rPr>
          <w:i/>
          <w:iCs/>
          <w:lang w:val="en-AU" w:eastAsia="en-AU"/>
        </w:rPr>
        <w:t xml:space="preserve">This section </w:t>
      </w:r>
      <w:r w:rsidR="00E64AB4" w:rsidRPr="00784FCC">
        <w:rPr>
          <w:i/>
          <w:iCs/>
          <w:lang w:val="en-AU" w:eastAsia="en-AU"/>
        </w:rPr>
        <w:t xml:space="preserve">focuses on examining </w:t>
      </w:r>
      <w:r w:rsidRPr="00784FCC">
        <w:rPr>
          <w:i/>
          <w:iCs/>
          <w:lang w:val="en-AU" w:eastAsia="en-AU"/>
        </w:rPr>
        <w:t xml:space="preserve">any change in </w:t>
      </w:r>
      <w:r w:rsidR="00E64AB4" w:rsidRPr="00784FCC">
        <w:rPr>
          <w:i/>
          <w:iCs/>
          <w:lang w:val="en-AU" w:eastAsia="en-AU"/>
        </w:rPr>
        <w:t xml:space="preserve">clinicians’ </w:t>
      </w:r>
      <w:r w:rsidRPr="00784FCC">
        <w:rPr>
          <w:i/>
          <w:iCs/>
          <w:lang w:val="en-AU" w:eastAsia="en-AU"/>
        </w:rPr>
        <w:t xml:space="preserve">experience of </w:t>
      </w:r>
      <w:r w:rsidR="00E64AB4" w:rsidRPr="00784FCC">
        <w:rPr>
          <w:i/>
          <w:iCs/>
          <w:lang w:val="en-AU" w:eastAsia="en-AU"/>
        </w:rPr>
        <w:t xml:space="preserve">choosing prostheses, while </w:t>
      </w:r>
      <w:r w:rsidR="00F607D8" w:rsidRPr="00784FCC">
        <w:rPr>
          <w:i/>
          <w:iCs/>
          <w:lang w:val="en-AU" w:eastAsia="en-AU"/>
        </w:rPr>
        <w:t xml:space="preserve">considering changes in </w:t>
      </w:r>
      <w:r w:rsidR="004D5420" w:rsidRPr="00784FCC">
        <w:rPr>
          <w:i/>
          <w:iCs/>
          <w:lang w:val="en-AU" w:eastAsia="en-AU"/>
        </w:rPr>
        <w:t xml:space="preserve">consumer access </w:t>
      </w:r>
      <w:r w:rsidR="275F2802" w:rsidRPr="32E405BE">
        <w:rPr>
          <w:i/>
          <w:iCs/>
          <w:lang w:val="en-AU" w:eastAsia="en-AU"/>
        </w:rPr>
        <w:t>because</w:t>
      </w:r>
      <w:r w:rsidR="275F2802" w:rsidRPr="301A66AD">
        <w:rPr>
          <w:i/>
          <w:iCs/>
          <w:lang w:val="en-AU" w:eastAsia="en-AU"/>
        </w:rPr>
        <w:t xml:space="preserve"> of</w:t>
      </w:r>
      <w:r w:rsidR="004D5420" w:rsidRPr="00784FCC">
        <w:rPr>
          <w:i/>
          <w:iCs/>
          <w:lang w:val="en-AU" w:eastAsia="en-AU"/>
        </w:rPr>
        <w:t xml:space="preserve"> the reforms more broadly. It also considers </w:t>
      </w:r>
      <w:r w:rsidR="00A67401" w:rsidRPr="00784FCC">
        <w:rPr>
          <w:i/>
          <w:iCs/>
          <w:lang w:val="en-AU" w:eastAsia="en-AU"/>
        </w:rPr>
        <w:t>changes in the utilisation of PL items as a</w:t>
      </w:r>
      <w:r w:rsidR="001C67A7" w:rsidRPr="00784FCC">
        <w:rPr>
          <w:i/>
          <w:iCs/>
          <w:lang w:val="en-AU" w:eastAsia="en-AU"/>
        </w:rPr>
        <w:t xml:space="preserve"> potential</w:t>
      </w:r>
      <w:r w:rsidR="00A67401" w:rsidRPr="00784FCC">
        <w:rPr>
          <w:i/>
          <w:iCs/>
          <w:lang w:val="en-AU" w:eastAsia="en-AU"/>
        </w:rPr>
        <w:t xml:space="preserve"> indicator fo</w:t>
      </w:r>
      <w:r w:rsidR="001C67A7" w:rsidRPr="00784FCC">
        <w:rPr>
          <w:i/>
          <w:iCs/>
          <w:lang w:val="en-AU" w:eastAsia="en-AU"/>
        </w:rPr>
        <w:t xml:space="preserve">r </w:t>
      </w:r>
      <w:r w:rsidR="005B6ED1" w:rsidRPr="00784FCC">
        <w:rPr>
          <w:i/>
          <w:iCs/>
          <w:lang w:val="en-AU" w:eastAsia="en-AU"/>
        </w:rPr>
        <w:t xml:space="preserve">changes in </w:t>
      </w:r>
      <w:r w:rsidR="006F3043" w:rsidRPr="00784FCC">
        <w:rPr>
          <w:i/>
          <w:iCs/>
          <w:lang w:val="en-AU" w:eastAsia="en-AU"/>
        </w:rPr>
        <w:t>clinician choice</w:t>
      </w:r>
      <w:r w:rsidR="005B6ED1" w:rsidRPr="00784FCC">
        <w:rPr>
          <w:i/>
          <w:iCs/>
          <w:lang w:val="en-AU" w:eastAsia="en-AU"/>
        </w:rPr>
        <w:t>, consumer access and clinical outcomes.</w:t>
      </w:r>
    </w:p>
    <w:p w14:paraId="437BECD8" w14:textId="4E6B4A7D" w:rsidR="00701C7E" w:rsidRPr="00324C72" w:rsidRDefault="00701C7E" w:rsidP="00701C7E">
      <w:pPr>
        <w:pStyle w:val="Caption"/>
        <w:rPr>
          <w:lang w:eastAsia="en-AU"/>
        </w:rPr>
      </w:pPr>
      <w:r>
        <w:t xml:space="preserve">Figure </w:t>
      </w:r>
      <w:r>
        <w:fldChar w:fldCharType="begin"/>
      </w:r>
      <w:r>
        <w:instrText xml:space="preserve"> SEQ Figure \* ARABIC </w:instrText>
      </w:r>
      <w:r>
        <w:fldChar w:fldCharType="separate"/>
      </w:r>
      <w:r w:rsidR="009B5D8D">
        <w:rPr>
          <w:noProof/>
        </w:rPr>
        <w:t>9</w:t>
      </w:r>
      <w:r>
        <w:fldChar w:fldCharType="end"/>
      </w:r>
      <w:r>
        <w:t xml:space="preserve"> | Reform projects related to reform objective 3</w:t>
      </w:r>
    </w:p>
    <w:p w14:paraId="0439FB94" w14:textId="77777777" w:rsidR="00701C7E" w:rsidRPr="00A70DFA" w:rsidRDefault="00701C7E" w:rsidP="00701C7E">
      <w:pPr>
        <w:rPr>
          <w:lang w:eastAsia="en-AU"/>
        </w:rPr>
      </w:pPr>
      <w:r w:rsidRPr="00C05F06">
        <w:rPr>
          <w:noProof/>
          <w:lang w:eastAsia="en-AU"/>
        </w:rPr>
        <w:drawing>
          <wp:inline distT="0" distB="0" distL="0" distR="0" wp14:anchorId="3F751FD4" wp14:editId="65D3B42E">
            <wp:extent cx="5704764" cy="1459730"/>
            <wp:effectExtent l="0" t="0" r="0" b="7620"/>
            <wp:docPr id="2044549995" name="Picture 1" descr="A figure showing reform objective 3. Maintain clinician choice is maintain baseline policy position. Objective 3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49995" name="Picture 1" descr="A figure showing reform objective 3. Maintain clinician choice is maintain baseline policy position. Objective 3 is also connected with a dotted line to benefit reductions."/>
                    <pic:cNvPicPr/>
                  </pic:nvPicPr>
                  <pic:blipFill>
                    <a:blip r:embed="rId46"/>
                    <a:stretch>
                      <a:fillRect/>
                    </a:stretch>
                  </pic:blipFill>
                  <pic:spPr>
                    <a:xfrm>
                      <a:off x="0" y="0"/>
                      <a:ext cx="5707622" cy="1460461"/>
                    </a:xfrm>
                    <a:prstGeom prst="rect">
                      <a:avLst/>
                    </a:prstGeom>
                  </pic:spPr>
                </pic:pic>
              </a:graphicData>
            </a:graphic>
          </wp:inline>
        </w:drawing>
      </w:r>
    </w:p>
    <w:p w14:paraId="388E094A" w14:textId="748B2DD6" w:rsidR="006D2AE0" w:rsidRDefault="1CD2C4D3" w:rsidP="006D2AE0">
      <w:pPr>
        <w:pStyle w:val="Heading3"/>
      </w:pPr>
      <w:bookmarkStart w:id="43" w:name="_Toc181405081"/>
      <w:r>
        <w:lastRenderedPageBreak/>
        <w:t xml:space="preserve">Clinicians </w:t>
      </w:r>
      <w:r w:rsidR="00DB0024" w:rsidRPr="00987591">
        <w:t>continue to have</w:t>
      </w:r>
      <w:r>
        <w:t xml:space="preserve"> choice of medical devices and human tissue </w:t>
      </w:r>
      <w:r w:rsidR="350BCCC3">
        <w:t>products</w:t>
      </w:r>
      <w:bookmarkEnd w:id="43"/>
    </w:p>
    <w:p w14:paraId="009EDC99" w14:textId="1CE1982D" w:rsidR="00CD32E8" w:rsidRDefault="00987591" w:rsidP="00392A7F">
      <w:pPr>
        <w:pStyle w:val="Heading4"/>
      </w:pPr>
      <w:r w:rsidRPr="00987591">
        <w:t>The policy setting supporting clinician choice ha</w:t>
      </w:r>
      <w:r w:rsidR="0027023E">
        <w:t xml:space="preserve">s </w:t>
      </w:r>
      <w:r w:rsidRPr="00987591">
        <w:t>remained constant</w:t>
      </w:r>
    </w:p>
    <w:p w14:paraId="0A3FA74F" w14:textId="32E7C5DF" w:rsidR="350BCCC3" w:rsidRDefault="350BCCC3" w:rsidP="00AF0CF8">
      <w:r>
        <w:t xml:space="preserve">One of the principles underpinning the </w:t>
      </w:r>
      <w:r w:rsidR="004F473A">
        <w:t>reforms</w:t>
      </w:r>
      <w:r>
        <w:t xml:space="preserve"> </w:t>
      </w:r>
      <w:r w:rsidR="00572C32">
        <w:t>is</w:t>
      </w:r>
      <w:r>
        <w:t xml:space="preserve"> the maintenance of clinician choice. </w:t>
      </w:r>
      <w:r w:rsidR="00D6450D">
        <w:t xml:space="preserve">The ability for clinicians to </w:t>
      </w:r>
      <w:r w:rsidR="00787D4A">
        <w:t xml:space="preserve">have uninhibited choice </w:t>
      </w:r>
      <w:r w:rsidR="006A7A07">
        <w:t>of device</w:t>
      </w:r>
      <w:r w:rsidR="00D120A2">
        <w:t xml:space="preserve"> is </w:t>
      </w:r>
      <w:r w:rsidR="006A7A07">
        <w:t xml:space="preserve">a key </w:t>
      </w:r>
      <w:r w:rsidR="006F1A4E">
        <w:t>principle</w:t>
      </w:r>
      <w:r w:rsidR="006A7A07">
        <w:t xml:space="preserve"> of the PL</w:t>
      </w:r>
      <w:r w:rsidR="00F22051">
        <w:t xml:space="preserve"> in </w:t>
      </w:r>
      <w:r w:rsidR="001C18E8">
        <w:t xml:space="preserve">providing </w:t>
      </w:r>
      <w:r w:rsidR="004328D3">
        <w:t>privately insured Australians guaranteed access to appropriate medical devices and human tissue products.</w:t>
      </w:r>
      <w:r w:rsidR="004328D3" w:rsidRPr="0BCC15EA">
        <w:rPr>
          <w:rStyle w:val="FootnoteReference"/>
        </w:rPr>
        <w:footnoteReference w:id="45"/>
      </w:r>
      <w:r w:rsidR="004328D3">
        <w:t xml:space="preserve"> </w:t>
      </w:r>
      <w:r>
        <w:t>This principle is expressed in the</w:t>
      </w:r>
      <w:r w:rsidR="00DD32EC">
        <w:t xml:space="preserve"> application requirements</w:t>
      </w:r>
      <w:r>
        <w:t xml:space="preserve"> for the PL where any item on the list </w:t>
      </w:r>
      <w:r w:rsidR="00082648">
        <w:t>is</w:t>
      </w:r>
      <w:r>
        <w:t xml:space="preserve"> available for clinicians to access for a procedure in a private hosp</w:t>
      </w:r>
      <w:r w:rsidR="6070B025">
        <w:t>ital</w:t>
      </w:r>
      <w:r w:rsidR="000E7225">
        <w:t>, subject to it satisfying</w:t>
      </w:r>
      <w:r w:rsidR="6070B025">
        <w:t xml:space="preserve"> the tests </w:t>
      </w:r>
      <w:r w:rsidR="000E7225">
        <w:t xml:space="preserve">outlined in the </w:t>
      </w:r>
      <w:r w:rsidR="0013062D">
        <w:t>PL Guide.</w:t>
      </w:r>
      <w:r w:rsidR="009B54DF">
        <w:rPr>
          <w:rStyle w:val="FootnoteReference"/>
        </w:rPr>
        <w:footnoteReference w:id="46"/>
      </w:r>
    </w:p>
    <w:p w14:paraId="238D836E" w14:textId="350F63CF" w:rsidR="002F6114" w:rsidRDefault="007450D1" w:rsidP="002F6114">
      <w:pPr>
        <w:spacing w:after="160" w:line="259" w:lineRule="auto"/>
      </w:pPr>
      <w:r>
        <w:t xml:space="preserve">Throughout the reforms, the policy </w:t>
      </w:r>
      <w:r w:rsidR="00720E64">
        <w:t>setting support</w:t>
      </w:r>
      <w:r w:rsidR="00510A09">
        <w:t>ing</w:t>
      </w:r>
      <w:r w:rsidR="00720E64">
        <w:t xml:space="preserve"> clinician choice has not changed. </w:t>
      </w:r>
      <w:r w:rsidR="002F6114">
        <w:t>Recent changes to maintain listing of GUIs on the PL has also meant that these products remain available for use by clinicians and reimbursable by PHI.</w:t>
      </w:r>
    </w:p>
    <w:p w14:paraId="56408D13" w14:textId="65C581C4" w:rsidR="004F2A2E" w:rsidRDefault="004F2A2E" w:rsidP="004F2A2E">
      <w:pPr>
        <w:pStyle w:val="Heading4"/>
      </w:pPr>
      <w:bookmarkStart w:id="44" w:name="_Hlk178068600"/>
      <w:r w:rsidRPr="004F2A2E">
        <w:t xml:space="preserve">Utilisation </w:t>
      </w:r>
      <w:bookmarkEnd w:id="44"/>
      <w:r w:rsidRPr="004F2A2E">
        <w:t>data indicates that benefit reductions are not reducing access to certain devices</w:t>
      </w:r>
    </w:p>
    <w:p w14:paraId="025DA1B8" w14:textId="4AC8A573" w:rsidR="001542E3" w:rsidRDefault="004F2A2E" w:rsidP="0095621B">
      <w:r>
        <w:rPr>
          <w:lang w:val="en-AU" w:eastAsia="en-AU"/>
        </w:rPr>
        <w:t xml:space="preserve">Analysis of PL device utilisation data indicates that benefit reductions are not associated with reduced device usage, suggesting the reforms are not reducing access to certain devices in a systemic way. Summarised in </w:t>
      </w:r>
      <w:r>
        <w:rPr>
          <w:lang w:val="en-AU" w:eastAsia="en-AU"/>
        </w:rPr>
        <w:fldChar w:fldCharType="begin"/>
      </w:r>
      <w:r>
        <w:rPr>
          <w:lang w:val="en-AU" w:eastAsia="en-AU"/>
        </w:rPr>
        <w:instrText xml:space="preserve"> REF _Ref172117895 \h </w:instrText>
      </w:r>
      <w:r>
        <w:rPr>
          <w:lang w:val="en-AU" w:eastAsia="en-AU"/>
        </w:rPr>
      </w:r>
      <w:r>
        <w:rPr>
          <w:lang w:val="en-AU" w:eastAsia="en-AU"/>
        </w:rPr>
        <w:fldChar w:fldCharType="separate"/>
      </w:r>
      <w:r w:rsidR="009B5D8D">
        <w:t xml:space="preserve">Table </w:t>
      </w:r>
      <w:r w:rsidR="009B5D8D">
        <w:rPr>
          <w:noProof/>
        </w:rPr>
        <w:t>27</w:t>
      </w:r>
      <w:r>
        <w:rPr>
          <w:lang w:val="en-AU" w:eastAsia="en-AU"/>
        </w:rPr>
        <w:fldChar w:fldCharType="end"/>
      </w:r>
      <w:r>
        <w:rPr>
          <w:lang w:val="en-AU" w:eastAsia="en-AU"/>
        </w:rPr>
        <w:t xml:space="preserve"> in </w:t>
      </w:r>
      <w:r>
        <w:fldChar w:fldCharType="begin"/>
      </w:r>
      <w:r>
        <w:instrText xml:space="preserve"> REF _Ref168587998 \r \h </w:instrText>
      </w:r>
      <w:r>
        <w:fldChar w:fldCharType="separate"/>
      </w:r>
      <w:r w:rsidR="009B5D8D">
        <w:t>Appendix B</w:t>
      </w:r>
      <w:r>
        <w:fldChar w:fldCharType="end"/>
      </w:r>
      <w:r>
        <w:t xml:space="preserve">, </w:t>
      </w:r>
      <w:r>
        <w:rPr>
          <w:lang w:val="en-AU" w:eastAsia="en-AU"/>
        </w:rPr>
        <w:t>regression analysis was undertaken to determine whether there is a relationship between the change in item benefits and the change in item utilisation at the benefit group level. No statistically significant relationship could be found looking at all the benefit groups subject to reductions. When including only the benefit groups with annual volumes over 100, a statistically significant relationship was found, however the model explained a very small amount of the variance in utilisation (</w:t>
      </w:r>
      <w:r w:rsidRPr="00C8117A">
        <w:t>R</w:t>
      </w:r>
      <w:r w:rsidRPr="00C8117A">
        <w:rPr>
          <w:vertAlign w:val="superscript"/>
        </w:rPr>
        <w:t>2</w:t>
      </w:r>
      <w:r>
        <w:t xml:space="preserve"> = 0.01). Even so, the relationship was negative (decline in benefits explains an increase in utilisation), suggesting this relationship is more likely the result of other factors or noise in the data. Focusing the regression only on benefit groups which have had a large benefit reduction (&gt;10%) also does not yield any significant results. At a systemic level, the evaluation cannot find evidence supporting a reduction in access (or even use) or certain PL devices </w:t>
      </w:r>
      <w:r w:rsidR="5B4C2622">
        <w:t>because of</w:t>
      </w:r>
      <w:r>
        <w:t xml:space="preserve"> benefit reductions. It is still possible that there are specific outlier cases where listed products have been impacted. The evaluation will continue to monitor this measure, both in engagement with stakeholders and future data analysis as results become available.</w:t>
      </w:r>
    </w:p>
    <w:p w14:paraId="6BB1D177" w14:textId="77777777" w:rsidR="001542E3" w:rsidRDefault="001542E3" w:rsidP="001542E3">
      <w:pPr>
        <w:pStyle w:val="Heading4"/>
      </w:pPr>
      <w:r>
        <w:t>Stakeholders have reported service withdrawal because of a post-listing review outcome</w:t>
      </w:r>
    </w:p>
    <w:p w14:paraId="5EBA4947" w14:textId="15F6F6F3" w:rsidR="00D92F1B" w:rsidRDefault="001542E3" w:rsidP="00D92F1B">
      <w:pPr>
        <w:spacing w:after="160" w:line="259" w:lineRule="auto"/>
      </w:pPr>
      <w:r>
        <w:t xml:space="preserve">On 18 October 2023, a new condition was applied for </w:t>
      </w:r>
      <w:r w:rsidRPr="00FA2C2A">
        <w:t>PL reimbursement on billing codes for surgical guides and biomodels</w:t>
      </w:r>
      <w:r>
        <w:t xml:space="preserve">. This followed the outcome of a post-listing review stating that </w:t>
      </w:r>
      <w:r w:rsidRPr="000B0A41">
        <w:t xml:space="preserve">a maximum of 3 surgical guides and/or 3 biomodels </w:t>
      </w:r>
      <w:r>
        <w:t>would be</w:t>
      </w:r>
      <w:r w:rsidRPr="000B0A41">
        <w:t xml:space="preserve"> eligible for reimbursement </w:t>
      </w:r>
      <w:r>
        <w:t>for a</w:t>
      </w:r>
      <w:r w:rsidRPr="000B0A41">
        <w:t xml:space="preserve"> craniomaxillofacial procedure (a surgical procedure with single admission to theatre for a patient)</w:t>
      </w:r>
      <w:r>
        <w:t>.</w:t>
      </w:r>
      <w:r>
        <w:rPr>
          <w:rStyle w:val="FootnoteReference"/>
        </w:rPr>
        <w:footnoteReference w:id="47"/>
      </w:r>
      <w:r>
        <w:t xml:space="preserve"> A stakeholder suggested that as a result some hospitals</w:t>
      </w:r>
      <w:r w:rsidRPr="0082477E">
        <w:t xml:space="preserve"> </w:t>
      </w:r>
      <w:r>
        <w:t>have withdrawn</w:t>
      </w:r>
      <w:r w:rsidRPr="0082477E">
        <w:t xml:space="preserve"> from the provision of services </w:t>
      </w:r>
      <w:r>
        <w:t>that use</w:t>
      </w:r>
      <w:r w:rsidRPr="0082477E">
        <w:t xml:space="preserve"> these </w:t>
      </w:r>
      <w:r>
        <w:t>surgical guides and biomodels</w:t>
      </w:r>
      <w:r w:rsidRPr="0082477E">
        <w:t xml:space="preserve"> because they </w:t>
      </w:r>
      <w:r>
        <w:t>were</w:t>
      </w:r>
      <w:r w:rsidRPr="0082477E">
        <w:t xml:space="preserve"> no longer viable</w:t>
      </w:r>
      <w:r>
        <w:t>.</w:t>
      </w:r>
      <w:r>
        <w:rPr>
          <w:rStyle w:val="FootnoteReference"/>
        </w:rPr>
        <w:footnoteReference w:id="48"/>
      </w:r>
      <w:r w:rsidR="5FC8CD9D">
        <w:t xml:space="preserve"> This is an example of the </w:t>
      </w:r>
      <w:r w:rsidR="1226464A">
        <w:t xml:space="preserve">complex </w:t>
      </w:r>
      <w:r w:rsidR="5FC8CD9D">
        <w:t>interaction between clinical settings</w:t>
      </w:r>
      <w:r w:rsidR="328C7E16">
        <w:t xml:space="preserve"> driving quality of care</w:t>
      </w:r>
      <w:r w:rsidR="5FC8CD9D">
        <w:t>, price and access</w:t>
      </w:r>
      <w:r w:rsidR="5A5C4593">
        <w:t>. Whil</w:t>
      </w:r>
      <w:r w:rsidR="007D62C5">
        <w:t>e</w:t>
      </w:r>
      <w:r w:rsidR="5A5C4593">
        <w:t xml:space="preserve"> businesses will make decisions based on</w:t>
      </w:r>
      <w:r w:rsidR="007D62C5">
        <w:t xml:space="preserve"> the</w:t>
      </w:r>
      <w:r w:rsidR="5A5C4593">
        <w:t xml:space="preserve"> market, it is important that </w:t>
      </w:r>
      <w:r w:rsidR="612CDAB8">
        <w:t>clinician</w:t>
      </w:r>
      <w:r w:rsidR="5A5C4593">
        <w:t xml:space="preserve"> choice is understood in the context of access to products in line with their clinical </w:t>
      </w:r>
      <w:r w:rsidR="3912DB15">
        <w:t>efficacy</w:t>
      </w:r>
      <w:r w:rsidR="00171D91">
        <w:t xml:space="preserve">. This example shows </w:t>
      </w:r>
      <w:r w:rsidR="3912DB15">
        <w:t xml:space="preserve">the ability of </w:t>
      </w:r>
      <w:r w:rsidR="1D0EB2EB">
        <w:t xml:space="preserve">the PL </w:t>
      </w:r>
      <w:r w:rsidR="3912DB15">
        <w:t xml:space="preserve">reforms to reset </w:t>
      </w:r>
      <w:r w:rsidR="00171D91">
        <w:t>clinical</w:t>
      </w:r>
      <w:r w:rsidR="3912DB15">
        <w:t xml:space="preserve"> settings </w:t>
      </w:r>
      <w:r w:rsidR="765E0FB6">
        <w:t>through post market reviews</w:t>
      </w:r>
      <w:r w:rsidR="3912DB15">
        <w:t xml:space="preserve"> as new evidence emerges.</w:t>
      </w:r>
    </w:p>
    <w:p w14:paraId="28F1FFB1" w14:textId="3FC93952" w:rsidR="0095621B" w:rsidRDefault="0095621B" w:rsidP="0095621B">
      <w:pPr>
        <w:pStyle w:val="Heading4"/>
      </w:pPr>
      <w:r>
        <w:t xml:space="preserve">Ongoing monitoring of </w:t>
      </w:r>
      <w:r w:rsidR="007C3681">
        <w:t>the PL is required to examine any unintended consequences of the reform on clinician choice</w:t>
      </w:r>
    </w:p>
    <w:p w14:paraId="01CEAC09" w14:textId="011EB16A" w:rsidR="004F473A" w:rsidRDefault="002E2362" w:rsidP="6EFDEFF5">
      <w:pPr>
        <w:spacing w:after="160" w:line="259" w:lineRule="auto"/>
        <w:rPr>
          <w:lang w:val="en-AU" w:eastAsia="en-AU"/>
        </w:rPr>
      </w:pPr>
      <w:r w:rsidRPr="19F248D6">
        <w:rPr>
          <w:lang w:eastAsia="en-AU"/>
        </w:rPr>
        <w:t>In evaluating these reforms</w:t>
      </w:r>
      <w:r w:rsidR="6939E593" w:rsidRPr="19F248D6">
        <w:rPr>
          <w:lang w:eastAsia="en-AU"/>
        </w:rPr>
        <w:t xml:space="preserve"> over the longer term</w:t>
      </w:r>
      <w:r w:rsidRPr="19F248D6">
        <w:rPr>
          <w:lang w:eastAsia="en-AU"/>
        </w:rPr>
        <w:t xml:space="preserve">, it is important to examine any potential unintended effects on device choice for clinicians due to </w:t>
      </w:r>
      <w:r w:rsidR="683597C5" w:rsidRPr="19F248D6">
        <w:rPr>
          <w:lang w:eastAsia="en-AU"/>
        </w:rPr>
        <w:t xml:space="preserve">the impact of </w:t>
      </w:r>
      <w:r w:rsidRPr="19F248D6">
        <w:rPr>
          <w:lang w:eastAsia="en-AU"/>
        </w:rPr>
        <w:t xml:space="preserve">benefit reductions </w:t>
      </w:r>
      <w:r w:rsidR="1CD68F78" w:rsidRPr="19F248D6">
        <w:rPr>
          <w:lang w:eastAsia="en-AU"/>
        </w:rPr>
        <w:t>in combination with the impact of</w:t>
      </w:r>
      <w:r w:rsidRPr="19F248D6">
        <w:rPr>
          <w:lang w:eastAsia="en-AU"/>
        </w:rPr>
        <w:t xml:space="preserve"> the new annual cost recovery levy per PL item</w:t>
      </w:r>
      <w:r w:rsidR="41DF6A33" w:rsidRPr="19F248D6">
        <w:rPr>
          <w:lang w:eastAsia="en-AU"/>
        </w:rPr>
        <w:t xml:space="preserve"> on the market</w:t>
      </w:r>
      <w:r w:rsidRPr="19F248D6">
        <w:rPr>
          <w:lang w:eastAsia="en-AU"/>
        </w:rPr>
        <w:t xml:space="preserve">. For example, medical device </w:t>
      </w:r>
      <w:r w:rsidRPr="19F248D6">
        <w:rPr>
          <w:lang w:eastAsia="en-AU"/>
        </w:rPr>
        <w:lastRenderedPageBreak/>
        <w:t xml:space="preserve">sponsors might withdraw some products from the PL if they deem it not cost effective to maintain offerings with low utilisation or low profit margins, which increases their inventory risk. </w:t>
      </w:r>
      <w:r w:rsidR="00DF307F" w:rsidRPr="19F248D6">
        <w:rPr>
          <w:lang w:eastAsia="en-AU"/>
        </w:rPr>
        <w:t xml:space="preserve">A clinician </w:t>
      </w:r>
      <w:r w:rsidR="007E1F4C" w:rsidRPr="19F248D6">
        <w:rPr>
          <w:lang w:eastAsia="en-AU"/>
        </w:rPr>
        <w:t xml:space="preserve">consulted in the evaluation </w:t>
      </w:r>
      <w:r w:rsidR="000439DE" w:rsidRPr="19F248D6">
        <w:rPr>
          <w:lang w:eastAsia="en-AU"/>
        </w:rPr>
        <w:t xml:space="preserve">described the </w:t>
      </w:r>
      <w:r w:rsidRPr="19F248D6">
        <w:rPr>
          <w:lang w:eastAsia="en-AU"/>
        </w:rPr>
        <w:t xml:space="preserve">recent removal of an orthopaedic device occasionally used in surgery for patients with a specific anatomy from the PL, presumably because the sponsor was sensitive to the item’s low usage rate. </w:t>
      </w:r>
      <w:r w:rsidR="00980090" w:rsidRPr="19F248D6">
        <w:rPr>
          <w:lang w:eastAsia="en-AU"/>
        </w:rPr>
        <w:t>This</w:t>
      </w:r>
      <w:r w:rsidRPr="19F248D6">
        <w:rPr>
          <w:lang w:eastAsia="en-AU"/>
        </w:rPr>
        <w:t xml:space="preserve"> highlights the need for ongoing monitoring of PL device listing data</w:t>
      </w:r>
      <w:r w:rsidR="00975D8F" w:rsidRPr="19F248D6">
        <w:rPr>
          <w:lang w:eastAsia="en-AU"/>
        </w:rPr>
        <w:t xml:space="preserve"> throughout the evaluation</w:t>
      </w:r>
      <w:r w:rsidRPr="19F248D6">
        <w:rPr>
          <w:lang w:eastAsia="en-AU"/>
        </w:rPr>
        <w:t xml:space="preserve">. Future data should be examined for signs </w:t>
      </w:r>
      <w:r w:rsidR="2A82D83F" w:rsidRPr="19F248D6">
        <w:rPr>
          <w:lang w:eastAsia="en-AU"/>
        </w:rPr>
        <w:t>of any</w:t>
      </w:r>
      <w:r w:rsidRPr="19F248D6">
        <w:rPr>
          <w:lang w:eastAsia="en-AU"/>
        </w:rPr>
        <w:t xml:space="preserve"> narrowing of product offerings by sponsors, or if the range of products on the PL is diminishing compared to the public system, which could devalue private health insurance and private hospital surgery for patients. </w:t>
      </w:r>
    </w:p>
    <w:p w14:paraId="119A1202" w14:textId="5EE14035" w:rsidR="004F473A" w:rsidRDefault="008C7703" w:rsidP="00935231">
      <w:pPr>
        <w:spacing w:after="160" w:line="259" w:lineRule="auto"/>
        <w:rPr>
          <w:lang w:val="en-AU" w:eastAsia="en-AU"/>
        </w:rPr>
      </w:pPr>
      <w:r>
        <w:t>Overall, s</w:t>
      </w:r>
      <w:r w:rsidR="00C971AD">
        <w:t xml:space="preserve">takeholders have </w:t>
      </w:r>
      <w:r w:rsidR="00FC4060">
        <w:t xml:space="preserve">noted that </w:t>
      </w:r>
      <w:r w:rsidR="00156DC0">
        <w:t xml:space="preserve">it may be too </w:t>
      </w:r>
      <w:r w:rsidR="00E80A94">
        <w:t xml:space="preserve">early </w:t>
      </w:r>
      <w:r w:rsidR="0038278A">
        <w:t xml:space="preserve">to assess the impact </w:t>
      </w:r>
      <w:r w:rsidR="00E15473">
        <w:t xml:space="preserve">of the reforms </w:t>
      </w:r>
      <w:r w:rsidR="0038278A">
        <w:t>on clinician choice and patient access</w:t>
      </w:r>
      <w:r w:rsidR="00883E7F">
        <w:t xml:space="preserve">. </w:t>
      </w:r>
      <w:r w:rsidR="00087A72">
        <w:t>Stakeholders have also expressed concern that clinician choice will be impacted by the Department’s</w:t>
      </w:r>
      <w:r w:rsidR="0003002A">
        <w:t xml:space="preserve"> current</w:t>
      </w:r>
      <w:r w:rsidR="00087A72">
        <w:t xml:space="preserve"> approach towards GUIs </w:t>
      </w:r>
      <w:r w:rsidR="00CB3447">
        <w:t xml:space="preserve">which permits sponsors to only list </w:t>
      </w:r>
      <w:r w:rsidR="00C552F3">
        <w:t>new GUIs under current PL groupings</w:t>
      </w:r>
      <w:r w:rsidR="00273115">
        <w:t>, which is further discussed in</w:t>
      </w:r>
      <w:r w:rsidR="00C06DCE">
        <w:t xml:space="preserve"> </w:t>
      </w:r>
      <w:r w:rsidR="00A5493F">
        <w:t>s</w:t>
      </w:r>
      <w:r w:rsidR="00C06DCE">
        <w:t xml:space="preserve">ection </w:t>
      </w:r>
      <w:r w:rsidR="000F45B0">
        <w:fldChar w:fldCharType="begin"/>
      </w:r>
      <w:r w:rsidR="000F45B0">
        <w:instrText xml:space="preserve"> REF _Ref178069709 \w \h </w:instrText>
      </w:r>
      <w:r w:rsidR="000F45B0">
        <w:fldChar w:fldCharType="separate"/>
      </w:r>
      <w:r w:rsidR="009B5D8D">
        <w:t>2.7.4</w:t>
      </w:r>
      <w:r w:rsidR="000F45B0">
        <w:fldChar w:fldCharType="end"/>
      </w:r>
      <w:r w:rsidR="00A5493F">
        <w:t>.</w:t>
      </w:r>
      <w:r w:rsidR="002F6CBD">
        <w:rPr>
          <w:rStyle w:val="FootnoteReference"/>
        </w:rPr>
        <w:footnoteReference w:id="49"/>
      </w:r>
      <w:r w:rsidR="00087A72">
        <w:t xml:space="preserve"> </w:t>
      </w:r>
      <w:r w:rsidR="00A64D19">
        <w:t xml:space="preserve">This evaluation will continue </w:t>
      </w:r>
      <w:r w:rsidR="0038367A">
        <w:t xml:space="preserve">to engage stakeholders </w:t>
      </w:r>
      <w:r w:rsidR="00994248">
        <w:t xml:space="preserve">and seek </w:t>
      </w:r>
      <w:r w:rsidR="00FE5D43">
        <w:t xml:space="preserve">other information to </w:t>
      </w:r>
      <w:r w:rsidR="00A64D19">
        <w:t>monitor</w:t>
      </w:r>
      <w:r w:rsidR="00087A72">
        <w:t xml:space="preserve"> clinician choice</w:t>
      </w:r>
      <w:r w:rsidR="00A64D19">
        <w:t xml:space="preserve"> </w:t>
      </w:r>
      <w:r w:rsidR="005930AF">
        <w:t>as the</w:t>
      </w:r>
      <w:r w:rsidR="00A64D19">
        <w:t xml:space="preserve"> </w:t>
      </w:r>
      <w:r w:rsidR="00FE5D43">
        <w:t>reform program progresses.</w:t>
      </w:r>
      <w:r w:rsidR="007B79D9">
        <w:t xml:space="preserve"> </w:t>
      </w:r>
      <w:r w:rsidR="00B31CB3">
        <w:t xml:space="preserve">Of particular importance will be continuing </w:t>
      </w:r>
      <w:r w:rsidR="002C6FCF">
        <w:t xml:space="preserve">to engage with clinicians </w:t>
      </w:r>
      <w:r w:rsidR="00971898">
        <w:t>directly</w:t>
      </w:r>
      <w:r w:rsidR="009543C4">
        <w:t>,</w:t>
      </w:r>
      <w:r w:rsidR="00971898">
        <w:t xml:space="preserve"> </w:t>
      </w:r>
      <w:r w:rsidR="00EC266C">
        <w:t>to understand their perceptions of choice and how, if at all, this has changed.</w:t>
      </w:r>
    </w:p>
    <w:p w14:paraId="427B813E" w14:textId="0A4539F5" w:rsidR="009E6739" w:rsidRDefault="009E6739" w:rsidP="009E6739">
      <w:pPr>
        <w:pStyle w:val="Heading2"/>
      </w:pPr>
      <w:bookmarkStart w:id="45" w:name="_Ref159872912"/>
      <w:bookmarkStart w:id="46" w:name="_Toc164439318"/>
      <w:bookmarkStart w:id="47" w:name="_Toc181405082"/>
      <w:r>
        <w:t>Objective 4: Improve the affordability and value of PHI for privately insured Australians</w:t>
      </w:r>
      <w:bookmarkEnd w:id="45"/>
      <w:bookmarkEnd w:id="46"/>
      <w:bookmarkEnd w:id="47"/>
    </w:p>
    <w:p w14:paraId="35F566E8" w14:textId="1B087E7B" w:rsidR="00846349" w:rsidRPr="00784FCC" w:rsidRDefault="004047AB" w:rsidP="004047AB">
      <w:pPr>
        <w:rPr>
          <w:i/>
          <w:iCs/>
          <w:lang w:val="en-AU" w:eastAsia="en-AU"/>
        </w:rPr>
      </w:pPr>
      <w:r w:rsidRPr="00784FCC">
        <w:rPr>
          <w:i/>
          <w:iCs/>
          <w:lang w:val="en-AU" w:eastAsia="en-AU"/>
        </w:rPr>
        <w:t>Foundational to the reforms is the</w:t>
      </w:r>
      <w:r w:rsidR="00484C84" w:rsidRPr="00784FCC">
        <w:rPr>
          <w:i/>
          <w:iCs/>
          <w:lang w:val="en-AU" w:eastAsia="en-AU"/>
        </w:rPr>
        <w:t xml:space="preserve"> objective to improve the affordability and value of PHI. This section considers </w:t>
      </w:r>
      <w:r w:rsidR="00550796" w:rsidRPr="00784FCC">
        <w:rPr>
          <w:i/>
          <w:iCs/>
          <w:lang w:val="en-AU" w:eastAsia="en-AU"/>
        </w:rPr>
        <w:t xml:space="preserve">changes in PHI premium increases </w:t>
      </w:r>
      <w:r w:rsidR="00025BE8" w:rsidRPr="00784FCC">
        <w:rPr>
          <w:i/>
          <w:iCs/>
          <w:lang w:val="en-AU" w:eastAsia="en-AU"/>
        </w:rPr>
        <w:t>to examine the affordability of PHI. It looks at premium price changes over time</w:t>
      </w:r>
      <w:r w:rsidR="00846349" w:rsidRPr="00784FCC">
        <w:rPr>
          <w:i/>
          <w:iCs/>
          <w:lang w:val="en-AU" w:eastAsia="en-AU"/>
        </w:rPr>
        <w:t xml:space="preserve"> and </w:t>
      </w:r>
      <w:r w:rsidR="00025BE8" w:rsidRPr="00784FCC">
        <w:rPr>
          <w:i/>
          <w:iCs/>
          <w:lang w:val="en-AU" w:eastAsia="en-AU"/>
        </w:rPr>
        <w:t>any changes in PHI premiums that can be related to PL expenditure</w:t>
      </w:r>
      <w:r w:rsidR="00846349" w:rsidRPr="00784FCC">
        <w:rPr>
          <w:i/>
          <w:iCs/>
          <w:lang w:val="en-AU" w:eastAsia="en-AU"/>
        </w:rPr>
        <w:t>. This section also considers changes in PHI coverage and for whom</w:t>
      </w:r>
      <w:r w:rsidR="00410B29" w:rsidRPr="00784FCC">
        <w:rPr>
          <w:i/>
          <w:iCs/>
          <w:lang w:val="en-AU" w:eastAsia="en-AU"/>
        </w:rPr>
        <w:t xml:space="preserve"> to examine the value of PHI. It looks at coverage by demographic group and utilisation of PL items.</w:t>
      </w:r>
    </w:p>
    <w:p w14:paraId="4F82F461" w14:textId="11038622" w:rsidR="00026575" w:rsidRPr="00227CE1" w:rsidRDefault="00026575" w:rsidP="00026575">
      <w:pPr>
        <w:pStyle w:val="Caption"/>
        <w:rPr>
          <w:lang w:eastAsia="en-AU"/>
        </w:rPr>
      </w:pPr>
      <w:r>
        <w:t xml:space="preserve">Figure </w:t>
      </w:r>
      <w:r>
        <w:fldChar w:fldCharType="begin"/>
      </w:r>
      <w:r>
        <w:instrText xml:space="preserve"> SEQ Figure \* ARABIC </w:instrText>
      </w:r>
      <w:r>
        <w:fldChar w:fldCharType="separate"/>
      </w:r>
      <w:r w:rsidR="009B5D8D">
        <w:rPr>
          <w:noProof/>
        </w:rPr>
        <w:t>10</w:t>
      </w:r>
      <w:r>
        <w:fldChar w:fldCharType="end"/>
      </w:r>
      <w:r>
        <w:t xml:space="preserve"> | Reform projects related to reform objective 4</w:t>
      </w:r>
    </w:p>
    <w:p w14:paraId="53BF42BC" w14:textId="43FDFAAE" w:rsidR="008A63EC" w:rsidRDefault="00026575" w:rsidP="008A63EC">
      <w:pPr>
        <w:rPr>
          <w:lang w:eastAsia="en-AU"/>
        </w:rPr>
      </w:pPr>
      <w:r w:rsidRPr="00052064">
        <w:rPr>
          <w:noProof/>
          <w:lang w:eastAsia="en-AU"/>
        </w:rPr>
        <w:drawing>
          <wp:inline distT="0" distB="0" distL="0" distR="0" wp14:anchorId="2D2036A3" wp14:editId="51BD38DE">
            <wp:extent cx="5878279" cy="1508078"/>
            <wp:effectExtent l="0" t="0" r="0" b="0"/>
            <wp:docPr id="110633269" name="Picture 1" descr="A figure showing reform objective 4. Affordability and value of PHI is achieved through objectives 1, 2 and 3. Objective 4 is also connected with a dotted line to benefit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3269" name="Picture 1" descr="A figure showing reform objective 4. Affordability and value of PHI is achieved through objectives 1, 2 and 3. Objective 4 is also connected with a dotted line to benefit reductions."/>
                    <pic:cNvPicPr/>
                  </pic:nvPicPr>
                  <pic:blipFill>
                    <a:blip r:embed="rId47"/>
                    <a:stretch>
                      <a:fillRect/>
                    </a:stretch>
                  </pic:blipFill>
                  <pic:spPr>
                    <a:xfrm>
                      <a:off x="0" y="0"/>
                      <a:ext cx="5907357" cy="1515538"/>
                    </a:xfrm>
                    <a:prstGeom prst="rect">
                      <a:avLst/>
                    </a:prstGeom>
                  </pic:spPr>
                </pic:pic>
              </a:graphicData>
            </a:graphic>
          </wp:inline>
        </w:drawing>
      </w:r>
    </w:p>
    <w:p w14:paraId="75D18A43" w14:textId="56C05151" w:rsidR="008171CE" w:rsidRDefault="00092EF1" w:rsidP="008171CE">
      <w:pPr>
        <w:pStyle w:val="Heading3"/>
      </w:pPr>
      <w:bookmarkStart w:id="48" w:name="_Toc181405083"/>
      <w:r>
        <w:t>PHI premiums continue to rise</w:t>
      </w:r>
      <w:bookmarkEnd w:id="48"/>
    </w:p>
    <w:p w14:paraId="0CD8113C" w14:textId="77777777" w:rsidR="00296CC0" w:rsidRDefault="00296CC0" w:rsidP="00296CC0">
      <w:pPr>
        <w:pStyle w:val="Heading4"/>
      </w:pPr>
      <w:r>
        <w:t xml:space="preserve">Annual premium prices are rising at an increasing rate after a period of smaller increases </w:t>
      </w:r>
    </w:p>
    <w:p w14:paraId="3EF1DCFC" w14:textId="00108CDC" w:rsidR="00BC48C8" w:rsidRDefault="00BC48C8" w:rsidP="00BC48C8">
      <w:r>
        <w:t xml:space="preserve">Australian PHI premiums increased by an average of 2.7% in 2022, followed by 2.9% in 2023, as shown in </w:t>
      </w:r>
      <w:r w:rsidR="00104B78">
        <w:fldChar w:fldCharType="begin"/>
      </w:r>
      <w:r w:rsidR="00104B78">
        <w:instrText xml:space="preserve"> REF _Ref172247905 \h </w:instrText>
      </w:r>
      <w:r w:rsidR="00104B78">
        <w:fldChar w:fldCharType="separate"/>
      </w:r>
      <w:r w:rsidR="009B5D8D">
        <w:t xml:space="preserve">Figure </w:t>
      </w:r>
      <w:r w:rsidR="009B5D8D">
        <w:rPr>
          <w:noProof/>
        </w:rPr>
        <w:t>11</w:t>
      </w:r>
      <w:r w:rsidR="00104B78">
        <w:fldChar w:fldCharType="end"/>
      </w:r>
      <w:r>
        <w:t xml:space="preserve">. </w:t>
      </w:r>
      <w:r w:rsidRPr="009D49DC">
        <w:t>Between 2016 and 2023, PHI premiums have increased by an average of 3.6% annually (</w:t>
      </w:r>
      <w:r w:rsidR="001F4B1D">
        <w:t>0.7</w:t>
      </w:r>
      <w:r w:rsidRPr="009D49DC">
        <w:t xml:space="preserve">% above the Consumer Price Index, which increased by an average of </w:t>
      </w:r>
      <w:r w:rsidR="00F24DAE">
        <w:t>2.8</w:t>
      </w:r>
      <w:r w:rsidRPr="009D49DC">
        <w:t>% in the same period).</w:t>
      </w:r>
      <w:r w:rsidR="00F24DAE">
        <w:rPr>
          <w:rStyle w:val="FootnoteReference"/>
        </w:rPr>
        <w:footnoteReference w:id="50"/>
      </w:r>
      <w:r w:rsidRPr="009D49DC">
        <w:t xml:space="preserve"> </w:t>
      </w:r>
      <w:r>
        <w:t xml:space="preserve">The 2023 premium increase is the first in recent years to be higher than the year prior, as PHI premiums </w:t>
      </w:r>
      <w:r w:rsidR="00E133C2">
        <w:t xml:space="preserve">increased but at </w:t>
      </w:r>
      <w:r>
        <w:t>a steadily declining rate between 2016 and 2022.</w:t>
      </w:r>
    </w:p>
    <w:p w14:paraId="5FB7894F" w14:textId="6BA96FBF" w:rsidR="00BC48C8" w:rsidRDefault="00BC48C8" w:rsidP="00BC48C8">
      <w:pPr>
        <w:pStyle w:val="Caption"/>
      </w:pPr>
      <w:bookmarkStart w:id="49" w:name="_Ref172247905"/>
      <w:r>
        <w:lastRenderedPageBreak/>
        <w:t xml:space="preserve">Figure </w:t>
      </w:r>
      <w:r>
        <w:fldChar w:fldCharType="begin"/>
      </w:r>
      <w:r>
        <w:instrText xml:space="preserve"> SEQ Figure \* ARABIC </w:instrText>
      </w:r>
      <w:r>
        <w:fldChar w:fldCharType="separate"/>
      </w:r>
      <w:r w:rsidR="009B5D8D">
        <w:rPr>
          <w:noProof/>
        </w:rPr>
        <w:t>11</w:t>
      </w:r>
      <w:r>
        <w:fldChar w:fldCharType="end"/>
      </w:r>
      <w:bookmarkEnd w:id="49"/>
      <w:r>
        <w:t xml:space="preserve"> | Average year-on-year insurance premium changes (as % of prior year premiums)</w:t>
      </w:r>
      <w:r>
        <w:rPr>
          <w:rStyle w:val="FootnoteReference"/>
        </w:rPr>
        <w:footnoteReference w:id="51"/>
      </w:r>
    </w:p>
    <w:p w14:paraId="4A265865" w14:textId="23874ED8" w:rsidR="00166B8F" w:rsidRPr="001309FE" w:rsidRDefault="00CC6C8A" w:rsidP="001309FE">
      <w:pPr>
        <w:rPr>
          <w:lang w:val="en-AU" w:eastAsia="en-AU"/>
        </w:rPr>
      </w:pPr>
      <w:r w:rsidRPr="00CC6C8A">
        <w:rPr>
          <w:noProof/>
          <w:lang w:val="en-AU" w:eastAsia="en-AU"/>
        </w:rPr>
        <w:drawing>
          <wp:inline distT="0" distB="0" distL="0" distR="0" wp14:anchorId="18E86DA4" wp14:editId="4F405E81">
            <wp:extent cx="5760085" cy="2456815"/>
            <wp:effectExtent l="0" t="0" r="0" b="635"/>
            <wp:docPr id="1922313793" name="Picture 1" descr="A graph showing average year-on-year insurance premium price changes as % of prior year premiums. A line shows the average price changes from 2016 to 2023 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13793" name="Picture 1" descr="A graph showing average year-on-year insurance premium price changes as % of prior year premiums. A line shows the average price changes from 2016 to 2023 is 3.6%."/>
                    <pic:cNvPicPr/>
                  </pic:nvPicPr>
                  <pic:blipFill>
                    <a:blip r:embed="rId48"/>
                    <a:stretch>
                      <a:fillRect/>
                    </a:stretch>
                  </pic:blipFill>
                  <pic:spPr>
                    <a:xfrm>
                      <a:off x="0" y="0"/>
                      <a:ext cx="5760085" cy="2456815"/>
                    </a:xfrm>
                    <a:prstGeom prst="rect">
                      <a:avLst/>
                    </a:prstGeom>
                  </pic:spPr>
                </pic:pic>
              </a:graphicData>
            </a:graphic>
          </wp:inline>
        </w:drawing>
      </w:r>
    </w:p>
    <w:p w14:paraId="2D843974" w14:textId="7572032C" w:rsidR="00505B22" w:rsidRDefault="00F92686" w:rsidP="00505B22">
      <w:pPr>
        <w:pStyle w:val="Heading4"/>
      </w:pPr>
      <w:r>
        <w:t>While the reforms</w:t>
      </w:r>
      <w:r w:rsidR="00505B22">
        <w:t xml:space="preserve"> </w:t>
      </w:r>
      <w:r>
        <w:t xml:space="preserve">have lowered </w:t>
      </w:r>
      <w:r w:rsidR="009D4B0A">
        <w:t>the</w:t>
      </w:r>
      <w:r w:rsidR="00505B22">
        <w:t xml:space="preserve"> unit price, </w:t>
      </w:r>
      <w:r w:rsidR="00C24B55">
        <w:t xml:space="preserve">total </w:t>
      </w:r>
      <w:r w:rsidR="00505B22">
        <w:t>prostheses benefits</w:t>
      </w:r>
      <w:r w:rsidR="00C24B55">
        <w:t xml:space="preserve"> </w:t>
      </w:r>
      <w:r w:rsidR="00505B22">
        <w:t>still make up a similar proportion of overall PHI expenditure</w:t>
      </w:r>
    </w:p>
    <w:p w14:paraId="6A9CE937" w14:textId="1C3E4AC3" w:rsidR="00344A3C" w:rsidRDefault="00505B22" w:rsidP="00505B22">
      <w:r w:rsidRPr="00260152">
        <w:t>A reduction in the total benefits paid for prostheses i</w:t>
      </w:r>
      <w:r>
        <w:t>s</w:t>
      </w:r>
      <w:r w:rsidRPr="00260152">
        <w:t xml:space="preserve"> the main way in which the PL reforms seek to improve affordability. </w:t>
      </w:r>
      <w:r>
        <w:t xml:space="preserve">Examining the percentage of prostheses benefits paid as a proportion of all hospital treatment (HT) benefit payments can assist in isolating the impact of the PL reforms from other changes to PHI that have occurred simultaneously. </w:t>
      </w:r>
      <w:r>
        <w:fldChar w:fldCharType="begin"/>
      </w:r>
      <w:r>
        <w:instrText xml:space="preserve"> REF _Ref169776347 \h </w:instrText>
      </w:r>
      <w:r>
        <w:fldChar w:fldCharType="separate"/>
      </w:r>
      <w:r w:rsidR="009B5D8D" w:rsidRPr="007C709E">
        <w:t xml:space="preserve">Figure </w:t>
      </w:r>
      <w:r w:rsidR="009B5D8D">
        <w:rPr>
          <w:noProof/>
        </w:rPr>
        <w:t>12</w:t>
      </w:r>
      <w:r>
        <w:fldChar w:fldCharType="end"/>
      </w:r>
      <w:r>
        <w:t xml:space="preserve"> below shows that the proportion of prostheses benefits to total HT benefits decreased slightly to 13% in FY22 but has increased to 14% in FY23</w:t>
      </w:r>
      <w:r w:rsidR="00C645B5">
        <w:t>. This is</w:t>
      </w:r>
      <w:r w:rsidR="00344A3C">
        <w:t xml:space="preserve"> the</w:t>
      </w:r>
      <w:r w:rsidR="00C645B5">
        <w:t xml:space="preserve"> highest proportion since</w:t>
      </w:r>
      <w:r w:rsidR="007C0564">
        <w:t xml:space="preserve"> FY17</w:t>
      </w:r>
      <w:r w:rsidR="00643004">
        <w:t xml:space="preserve"> but remains within</w:t>
      </w:r>
      <w:r w:rsidR="007C0564">
        <w:t xml:space="preserve"> a historic </w:t>
      </w:r>
      <w:r w:rsidRPr="008A7CC4">
        <w:t>range of 12.5</w:t>
      </w:r>
      <w:r>
        <w:t>%</w:t>
      </w:r>
      <w:r w:rsidRPr="008A7CC4">
        <w:t xml:space="preserve"> – 14.5%.</w:t>
      </w:r>
    </w:p>
    <w:p w14:paraId="7C401EDD" w14:textId="617EB704" w:rsidR="00344A3C" w:rsidRDefault="005E7108" w:rsidP="00505B22">
      <w:r>
        <w:t>Total prostheses benefits paid</w:t>
      </w:r>
      <w:r w:rsidR="0071023B">
        <w:t xml:space="preserve"> by a PHI</w:t>
      </w:r>
      <w:r>
        <w:t xml:space="preserve"> are a function o</w:t>
      </w:r>
      <w:r w:rsidR="0071023B">
        <w:t xml:space="preserve">f </w:t>
      </w:r>
      <w:r w:rsidR="00553B70">
        <w:t xml:space="preserve">the </w:t>
      </w:r>
      <w:r w:rsidR="0071023B">
        <w:t xml:space="preserve">benefit levels </w:t>
      </w:r>
      <w:r w:rsidR="00C958C2">
        <w:t xml:space="preserve">listed on the PL and </w:t>
      </w:r>
      <w:r w:rsidR="00D01FDB">
        <w:t xml:space="preserve">the </w:t>
      </w:r>
      <w:r w:rsidR="00C958C2">
        <w:t xml:space="preserve">volume of PL </w:t>
      </w:r>
      <w:r w:rsidR="00F80280">
        <w:t xml:space="preserve">items used. </w:t>
      </w:r>
      <w:r w:rsidR="00820B3B">
        <w:t xml:space="preserve">Objective 1 (section </w:t>
      </w:r>
      <w:r w:rsidR="00820B3B">
        <w:fldChar w:fldCharType="begin"/>
      </w:r>
      <w:r w:rsidR="00820B3B">
        <w:instrText xml:space="preserve"> REF _Ref172292503 \r \h </w:instrText>
      </w:r>
      <w:r w:rsidR="00820B3B">
        <w:fldChar w:fldCharType="separate"/>
      </w:r>
      <w:r w:rsidR="009B5D8D">
        <w:t>2.3</w:t>
      </w:r>
      <w:r w:rsidR="00820B3B">
        <w:fldChar w:fldCharType="end"/>
      </w:r>
      <w:r w:rsidR="00820B3B">
        <w:t xml:space="preserve">) </w:t>
      </w:r>
      <w:r w:rsidR="00D01FDB">
        <w:t xml:space="preserve">has </w:t>
      </w:r>
      <w:r w:rsidR="00820B3B">
        <w:t>established th</w:t>
      </w:r>
      <w:r w:rsidR="006C3607">
        <w:t xml:space="preserve">at the </w:t>
      </w:r>
      <w:r w:rsidR="00820B3B">
        <w:t xml:space="preserve">reforms </w:t>
      </w:r>
      <w:r w:rsidR="006C3607">
        <w:t>have successfully</w:t>
      </w:r>
      <w:r w:rsidR="004D1F63">
        <w:t xml:space="preserve"> conducted</w:t>
      </w:r>
      <w:r w:rsidR="0096544D">
        <w:t xml:space="preserve"> the first</w:t>
      </w:r>
      <w:r w:rsidR="004D1F63">
        <w:t xml:space="preserve"> two rounds of benefit reductions of </w:t>
      </w:r>
      <w:r w:rsidR="0096544D">
        <w:t xml:space="preserve">PL items, and that the resulting </w:t>
      </w:r>
      <w:r w:rsidR="00CC19A4">
        <w:t>benefit level</w:t>
      </w:r>
      <w:r w:rsidR="007471F5">
        <w:t xml:space="preserve">s </w:t>
      </w:r>
      <w:r w:rsidR="00CC19A4">
        <w:t xml:space="preserve">are more closely aligned with </w:t>
      </w:r>
      <w:r w:rsidR="00B92C6D">
        <w:t>other markets.</w:t>
      </w:r>
      <w:r w:rsidR="00CE4365">
        <w:t xml:space="preserve"> </w:t>
      </w:r>
      <w:r w:rsidR="008F7117">
        <w:t xml:space="preserve">This indicates the volume </w:t>
      </w:r>
      <w:r w:rsidR="001D40F7">
        <w:t xml:space="preserve">of </w:t>
      </w:r>
      <w:r w:rsidR="008011FA">
        <w:t>protheses</w:t>
      </w:r>
      <w:r w:rsidR="008961EE">
        <w:t xml:space="preserve"> </w:t>
      </w:r>
      <w:r w:rsidR="0099765D">
        <w:t xml:space="preserve">benefits </w:t>
      </w:r>
      <w:r w:rsidR="009463DD">
        <w:t>paid (</w:t>
      </w:r>
      <w:r w:rsidR="003D23CD">
        <w:t>item utilisation)</w:t>
      </w:r>
      <w:r w:rsidR="005A2729">
        <w:t xml:space="preserve"> has </w:t>
      </w:r>
      <w:r w:rsidR="00187DCB">
        <w:t>increased relative to other HT benefits paid</w:t>
      </w:r>
      <w:r w:rsidR="00224877">
        <w:t xml:space="preserve"> (see </w:t>
      </w:r>
      <w:r w:rsidR="00264A0B">
        <w:t xml:space="preserve">section </w:t>
      </w:r>
      <w:r w:rsidR="00264A0B">
        <w:fldChar w:fldCharType="begin"/>
      </w:r>
      <w:r w:rsidR="00264A0B">
        <w:instrText xml:space="preserve"> REF _Ref172293157 \r \h </w:instrText>
      </w:r>
      <w:r w:rsidR="00264A0B">
        <w:fldChar w:fldCharType="separate"/>
      </w:r>
      <w:r w:rsidR="009B5D8D">
        <w:t>2.6.3</w:t>
      </w:r>
      <w:r w:rsidR="00264A0B">
        <w:fldChar w:fldCharType="end"/>
      </w:r>
      <w:r w:rsidR="00224877">
        <w:t>).</w:t>
      </w:r>
    </w:p>
    <w:p w14:paraId="60C176DB" w14:textId="1B6F9062" w:rsidR="00BE5BC6" w:rsidRDefault="002A0C68" w:rsidP="00505B22">
      <w:r>
        <w:t xml:space="preserve">Though reduced PL benefits </w:t>
      </w:r>
      <w:r w:rsidR="00501695">
        <w:t xml:space="preserve">logically </w:t>
      </w:r>
      <w:r>
        <w:t xml:space="preserve">mean the </w:t>
      </w:r>
      <w:r w:rsidR="00986AA1">
        <w:t xml:space="preserve">premium increases </w:t>
      </w:r>
      <w:r w:rsidR="00240971">
        <w:t xml:space="preserve">are smaller than they otherwise would have </w:t>
      </w:r>
      <w:r w:rsidR="00DE2FF9">
        <w:t xml:space="preserve">been, the </w:t>
      </w:r>
      <w:r w:rsidR="002C55CC">
        <w:t>impact</w:t>
      </w:r>
      <w:r w:rsidR="004B5390">
        <w:t xml:space="preserve"> of the </w:t>
      </w:r>
      <w:r w:rsidR="002C55CC">
        <w:t>reforms</w:t>
      </w:r>
      <w:r w:rsidR="004B5390">
        <w:t xml:space="preserve"> on </w:t>
      </w:r>
      <w:r w:rsidR="004E7C8C">
        <w:t xml:space="preserve">the </w:t>
      </w:r>
      <w:r w:rsidR="004B5390">
        <w:t xml:space="preserve">affordability </w:t>
      </w:r>
      <w:r w:rsidR="00F70CB9">
        <w:t xml:space="preserve">of PHI </w:t>
      </w:r>
      <w:r w:rsidR="002C55CC">
        <w:t>is difficult</w:t>
      </w:r>
      <w:r w:rsidR="00F70CB9">
        <w:t xml:space="preserve"> to </w:t>
      </w:r>
      <w:r w:rsidR="00E631F6">
        <w:t xml:space="preserve">observe </w:t>
      </w:r>
      <w:r w:rsidR="00AE763B">
        <w:t>in the aggregate.</w:t>
      </w:r>
      <w:r w:rsidR="00B174A8">
        <w:t xml:space="preserve"> </w:t>
      </w:r>
      <w:r w:rsidR="007877EF">
        <w:t>Overall,</w:t>
      </w:r>
      <w:r w:rsidR="00BE5BC6">
        <w:t xml:space="preserve"> </w:t>
      </w:r>
      <w:r w:rsidR="007877EF">
        <w:t>the</w:t>
      </w:r>
      <w:r w:rsidR="00BE5BC6">
        <w:t xml:space="preserve"> </w:t>
      </w:r>
      <w:r w:rsidR="000A44BF">
        <w:t>impact of the reforms</w:t>
      </w:r>
      <w:r w:rsidR="00825EB4">
        <w:t>’</w:t>
      </w:r>
      <w:r w:rsidR="000A44BF">
        <w:t xml:space="preserve"> </w:t>
      </w:r>
      <w:r w:rsidR="00BE5BC6">
        <w:t xml:space="preserve">downward pressure </w:t>
      </w:r>
      <w:r w:rsidR="000A44BF">
        <w:t xml:space="preserve">on </w:t>
      </w:r>
      <w:r w:rsidR="008F278A">
        <w:t xml:space="preserve">PHI costs has been muted </w:t>
      </w:r>
      <w:r w:rsidR="00514CF2">
        <w:t xml:space="preserve">by </w:t>
      </w:r>
      <w:r w:rsidR="00C25EB8">
        <w:t xml:space="preserve">upward pressure </w:t>
      </w:r>
      <w:r w:rsidR="00463051">
        <w:t xml:space="preserve">on PHI costs </w:t>
      </w:r>
      <w:r w:rsidR="009E601F">
        <w:t>from elsewhere</w:t>
      </w:r>
      <w:r w:rsidR="00463051">
        <w:t>.</w:t>
      </w:r>
    </w:p>
    <w:p w14:paraId="5F1B1868" w14:textId="61963AC1" w:rsidR="00505B22" w:rsidRDefault="00505B22" w:rsidP="00490E5C">
      <w:pPr>
        <w:pStyle w:val="Caption"/>
      </w:pPr>
      <w:bookmarkStart w:id="50" w:name="_Ref169776347"/>
      <w:r w:rsidRPr="007C709E">
        <w:lastRenderedPageBreak/>
        <w:t xml:space="preserve">Figure </w:t>
      </w:r>
      <w:r w:rsidRPr="007C709E">
        <w:fldChar w:fldCharType="begin"/>
      </w:r>
      <w:r w:rsidRPr="007C709E">
        <w:instrText xml:space="preserve"> SEQ Figure \* ARABIC </w:instrText>
      </w:r>
      <w:r w:rsidRPr="007C709E">
        <w:fldChar w:fldCharType="separate"/>
      </w:r>
      <w:r w:rsidR="009B5D8D">
        <w:rPr>
          <w:noProof/>
        </w:rPr>
        <w:t>12</w:t>
      </w:r>
      <w:r w:rsidRPr="007C709E">
        <w:fldChar w:fldCharType="end"/>
      </w:r>
      <w:bookmarkEnd w:id="50"/>
      <w:r w:rsidRPr="007C709E">
        <w:t xml:space="preserve"> | Prostheses benefits paid as a percentage of total HT benefits</w:t>
      </w:r>
      <w:r w:rsidRPr="007C709E">
        <w:rPr>
          <w:rStyle w:val="FootnoteReference"/>
        </w:rPr>
        <w:footnoteReference w:id="52"/>
      </w:r>
    </w:p>
    <w:p w14:paraId="4740763C" w14:textId="3BDFAE0B" w:rsidR="00490E5C" w:rsidRPr="002D3343" w:rsidRDefault="00490E5C" w:rsidP="002D3343">
      <w:pPr>
        <w:rPr>
          <w:lang w:val="en-AU"/>
        </w:rPr>
      </w:pPr>
      <w:r w:rsidRPr="00490E5C">
        <w:rPr>
          <w:noProof/>
          <w:lang w:val="en-AU"/>
        </w:rPr>
        <w:drawing>
          <wp:inline distT="0" distB="0" distL="0" distR="0" wp14:anchorId="0F24A1C2" wp14:editId="42DAC8DE">
            <wp:extent cx="5760085" cy="2640965"/>
            <wp:effectExtent l="0" t="0" r="0" b="6985"/>
            <wp:docPr id="994547499" name="Picture 1" descr="A graph of prostheses benefits paid as a percentage of total HT benefits from financial year 2016 to financial yea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47499" name="Picture 1" descr="A graph of prostheses benefits paid as a percentage of total HT benefits from financial year 2016 to financial year 2023. "/>
                    <pic:cNvPicPr/>
                  </pic:nvPicPr>
                  <pic:blipFill>
                    <a:blip r:embed="rId49"/>
                    <a:stretch>
                      <a:fillRect/>
                    </a:stretch>
                  </pic:blipFill>
                  <pic:spPr>
                    <a:xfrm>
                      <a:off x="0" y="0"/>
                      <a:ext cx="5760085" cy="2640965"/>
                    </a:xfrm>
                    <a:prstGeom prst="rect">
                      <a:avLst/>
                    </a:prstGeom>
                  </pic:spPr>
                </pic:pic>
              </a:graphicData>
            </a:graphic>
          </wp:inline>
        </w:drawing>
      </w:r>
    </w:p>
    <w:p w14:paraId="3D669816" w14:textId="17EFA1B3" w:rsidR="00D06E8B" w:rsidRDefault="00D06E8B" w:rsidP="00D06E8B">
      <w:pPr>
        <w:pStyle w:val="Heading4"/>
      </w:pPr>
      <w:r>
        <w:t>Whil</w:t>
      </w:r>
      <w:r w:rsidR="00352D10">
        <w:t>e</w:t>
      </w:r>
      <w:r>
        <w:t xml:space="preserve"> the PL remains a </w:t>
      </w:r>
      <w:r w:rsidR="00AD31F1">
        <w:t>pressure on</w:t>
      </w:r>
      <w:r>
        <w:t xml:space="preserve"> </w:t>
      </w:r>
      <w:r w:rsidR="00AD31F1">
        <w:t>PHI costs</w:t>
      </w:r>
      <w:r>
        <w:t>, other system changes are driving overall PHI premiums</w:t>
      </w:r>
    </w:p>
    <w:p w14:paraId="553F7404" w14:textId="5081E5AC" w:rsidR="00213D6E" w:rsidRPr="00AA3827" w:rsidRDefault="00255CD8" w:rsidP="00493E2C">
      <w:r>
        <w:rPr>
          <w:lang w:val="en-AU" w:eastAsia="en-AU"/>
        </w:rPr>
        <w:t>If</w:t>
      </w:r>
      <w:r w:rsidR="001D6FDA" w:rsidRPr="001D6FDA">
        <w:rPr>
          <w:lang w:val="en-AU" w:eastAsia="en-AU"/>
        </w:rPr>
        <w:t xml:space="preserve"> PL reforms are achieving their objective of improving PHI affordability, </w:t>
      </w:r>
      <w:r>
        <w:rPr>
          <w:lang w:val="en-AU" w:eastAsia="en-AU"/>
        </w:rPr>
        <w:t xml:space="preserve">we would expect </w:t>
      </w:r>
      <w:r w:rsidR="001D6FDA" w:rsidRPr="001D6FDA">
        <w:rPr>
          <w:lang w:val="en-AU" w:eastAsia="en-AU"/>
        </w:rPr>
        <w:t xml:space="preserve">premiums </w:t>
      </w:r>
      <w:r w:rsidR="00454118">
        <w:rPr>
          <w:lang w:val="en-AU" w:eastAsia="en-AU"/>
        </w:rPr>
        <w:t>to</w:t>
      </w:r>
      <w:r w:rsidR="001D6FDA" w:rsidRPr="001D6FDA">
        <w:rPr>
          <w:lang w:val="en-AU" w:eastAsia="en-AU"/>
        </w:rPr>
        <w:t xml:space="preserve"> increase at a lower rate than they would have otherwise.</w:t>
      </w:r>
      <w:r w:rsidR="00CB00F4">
        <w:rPr>
          <w:lang w:val="en-AU" w:eastAsia="en-AU"/>
        </w:rPr>
        <w:t xml:space="preserve"> </w:t>
      </w:r>
      <w:r w:rsidR="00D2095E">
        <w:rPr>
          <w:lang w:val="en-AU" w:eastAsia="en-AU"/>
        </w:rPr>
        <w:t>However, there are</w:t>
      </w:r>
      <w:r w:rsidR="003824EC">
        <w:rPr>
          <w:lang w:val="en-AU" w:eastAsia="en-AU"/>
        </w:rPr>
        <w:t xml:space="preserve"> other</w:t>
      </w:r>
      <w:r w:rsidR="00D2095E">
        <w:rPr>
          <w:lang w:val="en-AU" w:eastAsia="en-AU"/>
        </w:rPr>
        <w:t xml:space="preserve"> </w:t>
      </w:r>
      <w:r w:rsidR="003D62BC">
        <w:rPr>
          <w:lang w:val="en-AU" w:eastAsia="en-AU"/>
        </w:rPr>
        <w:t>significant</w:t>
      </w:r>
      <w:r w:rsidR="00D2095E">
        <w:rPr>
          <w:lang w:val="en-AU" w:eastAsia="en-AU"/>
        </w:rPr>
        <w:t xml:space="preserve"> </w:t>
      </w:r>
      <w:r w:rsidR="003824EC">
        <w:rPr>
          <w:lang w:val="en-AU" w:eastAsia="en-AU"/>
        </w:rPr>
        <w:t>factors</w:t>
      </w:r>
      <w:r w:rsidR="00D2095E">
        <w:rPr>
          <w:lang w:val="en-AU" w:eastAsia="en-AU"/>
        </w:rPr>
        <w:t xml:space="preserve"> that have </w:t>
      </w:r>
      <w:r w:rsidR="003824EC">
        <w:rPr>
          <w:lang w:val="en-AU" w:eastAsia="en-AU"/>
        </w:rPr>
        <w:t>also impacted</w:t>
      </w:r>
      <w:r w:rsidR="00D2095E">
        <w:rPr>
          <w:lang w:val="en-AU" w:eastAsia="en-AU"/>
        </w:rPr>
        <w:t xml:space="preserve"> PHI premiums</w:t>
      </w:r>
      <w:r w:rsidR="003824EC">
        <w:rPr>
          <w:lang w:val="en-AU" w:eastAsia="en-AU"/>
        </w:rPr>
        <w:t xml:space="preserve"> increases</w:t>
      </w:r>
      <w:r w:rsidR="00D2095E">
        <w:rPr>
          <w:lang w:val="en-AU" w:eastAsia="en-AU"/>
        </w:rPr>
        <w:t xml:space="preserve"> in recent years, including COVID-19. </w:t>
      </w:r>
      <w:r w:rsidR="00350E2E" w:rsidRPr="00350E2E">
        <w:rPr>
          <w:lang w:val="en-AU" w:eastAsia="en-AU"/>
        </w:rPr>
        <w:t>Average premium increases in 2021-22 were the lowest since 2001</w:t>
      </w:r>
      <w:r w:rsidR="00350E2E">
        <w:rPr>
          <w:lang w:val="en-AU" w:eastAsia="en-AU"/>
        </w:rPr>
        <w:t xml:space="preserve"> as s</w:t>
      </w:r>
      <w:r w:rsidR="00350E2E" w:rsidRPr="00350E2E">
        <w:rPr>
          <w:lang w:val="en-AU" w:eastAsia="en-AU"/>
        </w:rPr>
        <w:t>ome insurers did not pass on premium increases to policy holders</w:t>
      </w:r>
      <w:r w:rsidR="00672711">
        <w:rPr>
          <w:lang w:val="en-AU" w:eastAsia="en-AU"/>
        </w:rPr>
        <w:t xml:space="preserve">, instead </w:t>
      </w:r>
      <w:r w:rsidR="00350E2E" w:rsidRPr="00350E2E">
        <w:rPr>
          <w:lang w:val="en-AU" w:eastAsia="en-AU"/>
        </w:rPr>
        <w:t xml:space="preserve">choosing to defer them </w:t>
      </w:r>
      <w:r w:rsidR="003D62BC">
        <w:rPr>
          <w:lang w:val="en-AU" w:eastAsia="en-AU"/>
        </w:rPr>
        <w:t xml:space="preserve">in order not </w:t>
      </w:r>
      <w:r w:rsidR="00350E2E" w:rsidRPr="00350E2E">
        <w:rPr>
          <w:lang w:val="en-AU" w:eastAsia="en-AU"/>
        </w:rPr>
        <w:t xml:space="preserve">to profit from </w:t>
      </w:r>
      <w:r w:rsidR="00677A0D">
        <w:rPr>
          <w:lang w:val="en-AU" w:eastAsia="en-AU"/>
        </w:rPr>
        <w:t xml:space="preserve">the </w:t>
      </w:r>
      <w:r w:rsidR="00350E2E" w:rsidRPr="00350E2E">
        <w:rPr>
          <w:lang w:val="en-AU" w:eastAsia="en-AU"/>
        </w:rPr>
        <w:t>COVID-19 pandemic</w:t>
      </w:r>
      <w:r w:rsidR="003D62BC">
        <w:rPr>
          <w:lang w:val="en-AU" w:eastAsia="en-AU"/>
        </w:rPr>
        <w:t>.</w:t>
      </w:r>
      <w:r w:rsidR="00B00516">
        <w:rPr>
          <w:rStyle w:val="FootnoteReference"/>
          <w:lang w:val="en-AU" w:eastAsia="en-AU"/>
        </w:rPr>
        <w:footnoteReference w:id="53"/>
      </w:r>
      <w:r w:rsidR="003D62BC">
        <w:rPr>
          <w:lang w:val="en-AU" w:eastAsia="en-AU"/>
        </w:rPr>
        <w:t xml:space="preserve"> </w:t>
      </w:r>
      <w:r w:rsidR="00AA3827">
        <w:rPr>
          <w:lang w:val="en-AU" w:eastAsia="en-AU"/>
        </w:rPr>
        <w:t xml:space="preserve">While </w:t>
      </w:r>
      <w:r w:rsidR="00AA3827">
        <w:t xml:space="preserve">the average 2023 PHI premium increase of 2.9% was more substantial than in prior years, the increase was lower than </w:t>
      </w:r>
      <w:r w:rsidR="006370CD">
        <w:t>the rise</w:t>
      </w:r>
      <w:r w:rsidR="00EF4BFB">
        <w:t>s</w:t>
      </w:r>
      <w:r w:rsidR="006370CD">
        <w:t xml:space="preserve"> in </w:t>
      </w:r>
      <w:r w:rsidR="00EF4BFB">
        <w:t xml:space="preserve">inflation, </w:t>
      </w:r>
      <w:r w:rsidR="00AA3827">
        <w:t>wages and social security payments in the same year.</w:t>
      </w:r>
      <w:r w:rsidR="00AA3827">
        <w:rPr>
          <w:rStyle w:val="FootnoteReference"/>
        </w:rPr>
        <w:footnoteReference w:id="54"/>
      </w:r>
      <w:r w:rsidR="00AA3827">
        <w:t xml:space="preserve"> This can be taken to mean that</w:t>
      </w:r>
      <w:r w:rsidR="00157283">
        <w:t>, i</w:t>
      </w:r>
      <w:r w:rsidR="00AA3827">
        <w:t xml:space="preserve">n general, </w:t>
      </w:r>
      <w:r w:rsidR="002A0184">
        <w:t xml:space="preserve">the most recent </w:t>
      </w:r>
      <w:r w:rsidR="00AA3827">
        <w:t>PHI premium increases</w:t>
      </w:r>
      <w:r w:rsidR="00147BD5">
        <w:t xml:space="preserve"> had a</w:t>
      </w:r>
      <w:r w:rsidR="00AA3827">
        <w:t xml:space="preserve"> relatively smaller burden on Australians than other costs. </w:t>
      </w:r>
      <w:r w:rsidR="00B456B9">
        <w:t>However, t</w:t>
      </w:r>
      <w:r w:rsidR="00AA3827">
        <w:t>he ACCC has anticipated that current</w:t>
      </w:r>
      <w:r w:rsidR="00AA3827" w:rsidRPr="00656B09">
        <w:t xml:space="preserve"> inflationary pressures may lead to higher premium increases in the future.</w:t>
      </w:r>
      <w:r w:rsidR="00B00516">
        <w:rPr>
          <w:rStyle w:val="FootnoteReference"/>
        </w:rPr>
        <w:footnoteReference w:id="55"/>
      </w:r>
      <w:r w:rsidR="00AA3827" w:rsidRPr="00AA3827">
        <w:t xml:space="preserve"> </w:t>
      </w:r>
      <w:r w:rsidR="00104779">
        <w:t xml:space="preserve">This evaluation will continue to monitor </w:t>
      </w:r>
      <w:r w:rsidR="00AA3827">
        <w:t>PHI premium changes</w:t>
      </w:r>
      <w:r w:rsidR="00AA3827" w:rsidRPr="00EE47A3">
        <w:t xml:space="preserve"> when more data becomes available for 2024 and 2025.</w:t>
      </w:r>
    </w:p>
    <w:p w14:paraId="3E992CA7" w14:textId="7E843882" w:rsidR="00081553" w:rsidRPr="003E590C" w:rsidRDefault="001309FE" w:rsidP="00426BF4">
      <w:r>
        <w:rPr>
          <w:lang w:val="en-AU" w:eastAsia="en-AU"/>
        </w:rPr>
        <w:t xml:space="preserve">The impact of COVID-19 </w:t>
      </w:r>
      <w:r w:rsidR="00F76CFC">
        <w:rPr>
          <w:lang w:val="en-AU" w:eastAsia="en-AU"/>
        </w:rPr>
        <w:t xml:space="preserve">on the broader </w:t>
      </w:r>
      <w:r w:rsidR="00336875">
        <w:rPr>
          <w:lang w:val="en-AU" w:eastAsia="en-AU"/>
        </w:rPr>
        <w:t xml:space="preserve">PHI landscape </w:t>
      </w:r>
      <w:r>
        <w:rPr>
          <w:lang w:val="en-AU" w:eastAsia="en-AU"/>
        </w:rPr>
        <w:t xml:space="preserve">can similarly be seen in </w:t>
      </w:r>
      <w:r w:rsidR="008D299D">
        <w:rPr>
          <w:lang w:val="en-AU" w:eastAsia="en-AU"/>
        </w:rPr>
        <w:fldChar w:fldCharType="begin"/>
      </w:r>
      <w:r w:rsidR="008D299D">
        <w:rPr>
          <w:lang w:val="en-AU" w:eastAsia="en-AU"/>
        </w:rPr>
        <w:instrText xml:space="preserve"> REF _Ref172289746 \h </w:instrText>
      </w:r>
      <w:r w:rsidR="008D299D">
        <w:rPr>
          <w:lang w:val="en-AU" w:eastAsia="en-AU"/>
        </w:rPr>
      </w:r>
      <w:r w:rsidR="008D299D">
        <w:rPr>
          <w:lang w:val="en-AU" w:eastAsia="en-AU"/>
        </w:rPr>
        <w:fldChar w:fldCharType="separate"/>
      </w:r>
      <w:r w:rsidR="009B5D8D" w:rsidRPr="00AB592B">
        <w:t xml:space="preserve">Figure </w:t>
      </w:r>
      <w:r w:rsidR="009B5D8D">
        <w:rPr>
          <w:noProof/>
        </w:rPr>
        <w:t>13</w:t>
      </w:r>
      <w:r w:rsidR="008D299D">
        <w:rPr>
          <w:lang w:val="en-AU" w:eastAsia="en-AU"/>
        </w:rPr>
        <w:fldChar w:fldCharType="end"/>
      </w:r>
      <w:r w:rsidR="00B00516">
        <w:rPr>
          <w:lang w:val="en-AU" w:eastAsia="en-AU"/>
        </w:rPr>
        <w:t xml:space="preserve"> below.</w:t>
      </w:r>
      <w:r w:rsidR="00586470">
        <w:rPr>
          <w:lang w:val="en-AU" w:eastAsia="en-AU"/>
        </w:rPr>
        <w:t xml:space="preserve"> This graph depicts </w:t>
      </w:r>
      <w:r w:rsidR="00336875">
        <w:rPr>
          <w:lang w:val="en-AU" w:eastAsia="en-AU"/>
        </w:rPr>
        <w:t xml:space="preserve">the year-on-year premium revenue changes per </w:t>
      </w:r>
      <w:r w:rsidR="00BA10CF">
        <w:rPr>
          <w:lang w:val="en-AU" w:eastAsia="en-AU"/>
        </w:rPr>
        <w:t>policy and per person</w:t>
      </w:r>
      <w:r w:rsidR="00586470">
        <w:rPr>
          <w:lang w:val="en-AU" w:eastAsia="en-AU"/>
        </w:rPr>
        <w:t xml:space="preserve"> </w:t>
      </w:r>
      <w:r w:rsidR="004C6BAD">
        <w:t>for Hospital</w:t>
      </w:r>
      <w:r w:rsidR="004C6BAD" w:rsidRPr="00E84D83">
        <w:t xml:space="preserve"> Treatment (HT) policies</w:t>
      </w:r>
      <w:r w:rsidR="00586470">
        <w:t xml:space="preserve">, which </w:t>
      </w:r>
      <w:r w:rsidR="0083405E">
        <w:t>include</w:t>
      </w:r>
      <w:r w:rsidR="00790511">
        <w:t>s</w:t>
      </w:r>
      <w:r w:rsidR="001F3F97">
        <w:t xml:space="preserve"> </w:t>
      </w:r>
      <w:r w:rsidR="00790511">
        <w:t>policies</w:t>
      </w:r>
      <w:r w:rsidR="001F3F97">
        <w:t xml:space="preserve"> </w:t>
      </w:r>
      <w:r w:rsidR="00790511">
        <w:t>covering</w:t>
      </w:r>
      <w:r w:rsidR="0083405E">
        <w:t xml:space="preserve"> PL items. </w:t>
      </w:r>
      <w:r w:rsidR="00F55802">
        <w:t xml:space="preserve">HT </w:t>
      </w:r>
      <w:r w:rsidR="00AA3827">
        <w:t>p</w:t>
      </w:r>
      <w:r w:rsidR="003107A6">
        <w:t xml:space="preserve">remium revenue has been gradually increasing at a decreasing rate </w:t>
      </w:r>
      <w:r w:rsidR="0060705D">
        <w:t>prior to the commencement of the PL reform program</w:t>
      </w:r>
      <w:r w:rsidR="00F55802">
        <w:t>, however experienced a large spike in FY2</w:t>
      </w:r>
      <w:r w:rsidR="00D13DDF">
        <w:t xml:space="preserve">1-22. This pattern corresponds to </w:t>
      </w:r>
      <w:r w:rsidR="00D13DDF" w:rsidRPr="00044C12">
        <w:rPr>
          <w:lang w:val="en-AU" w:eastAsia="en-AU"/>
        </w:rPr>
        <w:t>elective surgery restrictions implemented in several Australian jurisdictions in response to the Omicron wave</w:t>
      </w:r>
      <w:r w:rsidR="00D13DDF">
        <w:rPr>
          <w:lang w:val="en-AU" w:eastAsia="en-AU"/>
        </w:rPr>
        <w:t xml:space="preserve">, which substantially reduced the levels of HT benefits </w:t>
      </w:r>
      <w:r w:rsidR="005833A6" w:rsidRPr="00044C12">
        <w:rPr>
          <w:lang w:val="en-AU" w:eastAsia="en-AU"/>
        </w:rPr>
        <w:t>paid out by insurers</w:t>
      </w:r>
      <w:r w:rsidR="00D13DDF">
        <w:rPr>
          <w:lang w:val="en-AU" w:eastAsia="en-AU"/>
        </w:rPr>
        <w:t xml:space="preserve">, resulting in increased revenue </w:t>
      </w:r>
      <w:r w:rsidR="003E590C">
        <w:rPr>
          <w:lang w:val="en-AU" w:eastAsia="en-AU"/>
        </w:rPr>
        <w:t>for insurers.</w:t>
      </w:r>
    </w:p>
    <w:p w14:paraId="15471392" w14:textId="5A50BA4A" w:rsidR="00D70D68" w:rsidRDefault="001309FE" w:rsidP="002101CF">
      <w:pPr>
        <w:pStyle w:val="Caption"/>
      </w:pPr>
      <w:bookmarkStart w:id="51" w:name="_Ref172289746"/>
      <w:r w:rsidRPr="00AB592B">
        <w:lastRenderedPageBreak/>
        <w:t xml:space="preserve">Figure </w:t>
      </w:r>
      <w:r w:rsidRPr="00AB592B">
        <w:fldChar w:fldCharType="begin"/>
      </w:r>
      <w:r w:rsidRPr="00AB592B">
        <w:instrText xml:space="preserve"> SEQ Figure \* ARABIC </w:instrText>
      </w:r>
      <w:r w:rsidRPr="00AB592B">
        <w:fldChar w:fldCharType="separate"/>
      </w:r>
      <w:r w:rsidR="009B5D8D">
        <w:rPr>
          <w:noProof/>
        </w:rPr>
        <w:t>13</w:t>
      </w:r>
      <w:r w:rsidRPr="00AB592B">
        <w:fldChar w:fldCharType="end"/>
      </w:r>
      <w:bookmarkEnd w:id="51"/>
      <w:r w:rsidRPr="00AB592B">
        <w:t xml:space="preserve"> | Average year-on-year premium revenue changes for HT PHI per policy and person (as % of prior year)</w:t>
      </w:r>
      <w:r w:rsidRPr="00AB592B">
        <w:rPr>
          <w:rStyle w:val="FootnoteReference"/>
        </w:rPr>
        <w:footnoteReference w:id="56"/>
      </w:r>
    </w:p>
    <w:p w14:paraId="7F2443BB" w14:textId="5C52D833" w:rsidR="000C2AC2" w:rsidRPr="00D70D68" w:rsidRDefault="000C2AC2" w:rsidP="00D70D68">
      <w:pPr>
        <w:rPr>
          <w:lang w:val="en-AU"/>
        </w:rPr>
      </w:pPr>
      <w:r w:rsidRPr="000C2AC2">
        <w:rPr>
          <w:noProof/>
          <w:lang w:val="en-AU"/>
        </w:rPr>
        <w:drawing>
          <wp:inline distT="0" distB="0" distL="0" distR="0" wp14:anchorId="713D0FD7" wp14:editId="661D58E3">
            <wp:extent cx="5760085" cy="2893060"/>
            <wp:effectExtent l="0" t="0" r="0" b="2540"/>
            <wp:docPr id="1366268686" name="Picture 1" descr="A graph of the average year-on-year HT premium revenue change per policy and HT premium revenue change per person. Both categories show a year-on-year decline from FY16 down to 1.2% and 0.9% respectively in financial year 2021, followed by a spike in financial year 2022 and then back to a downward trend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68686" name="Picture 1" descr="A graph of the average year-on-year HT premium revenue change per policy and HT premium revenue change per person. Both categories show a year-on-year decline from FY16 down to 1.2% and 0.9% respectively in financial year 2021, followed by a spike in financial year 2022 and then back to a downward trend in 2023. "/>
                    <pic:cNvPicPr/>
                  </pic:nvPicPr>
                  <pic:blipFill>
                    <a:blip r:embed="rId50"/>
                    <a:stretch>
                      <a:fillRect/>
                    </a:stretch>
                  </pic:blipFill>
                  <pic:spPr>
                    <a:xfrm>
                      <a:off x="0" y="0"/>
                      <a:ext cx="5760085" cy="2893060"/>
                    </a:xfrm>
                    <a:prstGeom prst="rect">
                      <a:avLst/>
                    </a:prstGeom>
                  </pic:spPr>
                </pic:pic>
              </a:graphicData>
            </a:graphic>
          </wp:inline>
        </w:drawing>
      </w:r>
    </w:p>
    <w:p w14:paraId="1D3E2633" w14:textId="0851DE84" w:rsidR="003771FF" w:rsidRDefault="003771FF" w:rsidP="003771FF">
      <w:pPr>
        <w:pStyle w:val="Heading4"/>
      </w:pPr>
      <w:r>
        <w:t xml:space="preserve">Insurers argue that </w:t>
      </w:r>
      <w:r w:rsidR="00846FBF">
        <w:t>PL</w:t>
      </w:r>
      <w:r>
        <w:t xml:space="preserve"> costs </w:t>
      </w:r>
      <w:r w:rsidR="00846FBF">
        <w:t>continue to be</w:t>
      </w:r>
      <w:r>
        <w:t xml:space="preserve"> high and contribute to greater overall premiums</w:t>
      </w:r>
    </w:p>
    <w:p w14:paraId="744C2301" w14:textId="7622F4E5" w:rsidR="003771FF" w:rsidRDefault="00B37A61" w:rsidP="003771FF">
      <w:pPr>
        <w:rPr>
          <w:lang w:val="en-AU" w:eastAsia="en-AU"/>
        </w:rPr>
      </w:pPr>
      <w:r>
        <w:rPr>
          <w:lang w:val="en-AU" w:eastAsia="en-AU"/>
        </w:rPr>
        <w:t>While</w:t>
      </w:r>
      <w:r w:rsidR="003771FF" w:rsidRPr="170EE302">
        <w:rPr>
          <w:lang w:val="en-AU" w:eastAsia="en-AU"/>
        </w:rPr>
        <w:t xml:space="preserve"> there is broad agreement</w:t>
      </w:r>
      <w:r w:rsidR="003771FF">
        <w:rPr>
          <w:lang w:val="en-AU" w:eastAsia="en-AU"/>
        </w:rPr>
        <w:t xml:space="preserve"> that reductions to PL benefits have been a positive attempt to constrain PHI premium increases, there are mixed perspectives </w:t>
      </w:r>
      <w:r w:rsidR="003771FF" w:rsidRPr="170EE302">
        <w:rPr>
          <w:lang w:val="en-AU" w:eastAsia="en-AU"/>
        </w:rPr>
        <w:t>about</w:t>
      </w:r>
      <w:r w:rsidR="003771FF">
        <w:rPr>
          <w:rStyle w:val="CommentReference"/>
        </w:rPr>
        <w:t xml:space="preserve"> </w:t>
      </w:r>
      <w:r w:rsidR="003771FF">
        <w:rPr>
          <w:lang w:val="en-AU" w:eastAsia="en-AU"/>
        </w:rPr>
        <w:t>the key drivers of premium changes. Insurers believe that the reforms have not gone far enough to ensure PL</w:t>
      </w:r>
      <w:r w:rsidR="00C3681E">
        <w:rPr>
          <w:lang w:val="en-AU" w:eastAsia="en-AU"/>
        </w:rPr>
        <w:t>-</w:t>
      </w:r>
      <w:r w:rsidR="003771FF">
        <w:rPr>
          <w:lang w:val="en-AU" w:eastAsia="en-AU"/>
        </w:rPr>
        <w:t>related savings, and that overpriced and overused medical PL devices continue</w:t>
      </w:r>
      <w:r w:rsidR="00E63414">
        <w:rPr>
          <w:lang w:val="en-AU" w:eastAsia="en-AU"/>
        </w:rPr>
        <w:t xml:space="preserve"> </w:t>
      </w:r>
      <w:r w:rsidR="003771FF">
        <w:rPr>
          <w:lang w:val="en-AU" w:eastAsia="en-AU"/>
        </w:rPr>
        <w:t xml:space="preserve">to affect premiums. Meanwhile, medical technology stakeholders and private hospitals point to increased insurer profit and management fees as a key driver of insurance premiums and state it is unclear whether savings from the PL reforms have been passed on to consumers. Stakeholder perspectives are further outlined in </w:t>
      </w:r>
      <w:r w:rsidR="00851CA6">
        <w:rPr>
          <w:lang w:val="en-AU" w:eastAsia="en-AU"/>
        </w:rPr>
        <w:fldChar w:fldCharType="begin"/>
      </w:r>
      <w:r w:rsidR="00851CA6">
        <w:rPr>
          <w:lang w:val="en-AU" w:eastAsia="en-AU"/>
        </w:rPr>
        <w:instrText xml:space="preserve"> REF _Ref172248531 \h </w:instrText>
      </w:r>
      <w:r w:rsidR="00851CA6">
        <w:rPr>
          <w:lang w:val="en-AU" w:eastAsia="en-AU"/>
        </w:rPr>
      </w:r>
      <w:r w:rsidR="00851CA6">
        <w:rPr>
          <w:lang w:val="en-AU" w:eastAsia="en-AU"/>
        </w:rPr>
        <w:fldChar w:fldCharType="separate"/>
      </w:r>
      <w:r w:rsidR="009B5D8D">
        <w:t xml:space="preserve">Table </w:t>
      </w:r>
      <w:r w:rsidR="009B5D8D">
        <w:rPr>
          <w:noProof/>
        </w:rPr>
        <w:t>5</w:t>
      </w:r>
      <w:r w:rsidR="00851CA6">
        <w:rPr>
          <w:lang w:val="en-AU" w:eastAsia="en-AU"/>
        </w:rPr>
        <w:fldChar w:fldCharType="end"/>
      </w:r>
      <w:r w:rsidR="00851CA6">
        <w:rPr>
          <w:lang w:val="en-AU" w:eastAsia="en-AU"/>
        </w:rPr>
        <w:t xml:space="preserve"> </w:t>
      </w:r>
      <w:r w:rsidR="003771FF">
        <w:rPr>
          <w:lang w:val="en-AU" w:eastAsia="en-AU"/>
        </w:rPr>
        <w:t>below.</w:t>
      </w:r>
    </w:p>
    <w:p w14:paraId="27E7CB36" w14:textId="51754BA7" w:rsidR="003771FF" w:rsidRDefault="003771FF" w:rsidP="003771FF">
      <w:pPr>
        <w:pStyle w:val="Caption"/>
      </w:pPr>
      <w:bookmarkStart w:id="52" w:name="_Ref172248531"/>
      <w:r>
        <w:t xml:space="preserve">Table </w:t>
      </w:r>
      <w:r>
        <w:fldChar w:fldCharType="begin"/>
      </w:r>
      <w:r>
        <w:instrText xml:space="preserve"> SEQ Table \* ARABIC </w:instrText>
      </w:r>
      <w:r>
        <w:fldChar w:fldCharType="separate"/>
      </w:r>
      <w:r w:rsidR="009B5D8D">
        <w:rPr>
          <w:noProof/>
        </w:rPr>
        <w:t>5</w:t>
      </w:r>
      <w:r>
        <w:fldChar w:fldCharType="end"/>
      </w:r>
      <w:bookmarkEnd w:id="52"/>
      <w:r>
        <w:t xml:space="preserve"> | </w:t>
      </w:r>
      <w:r w:rsidRPr="00073C39">
        <w:t xml:space="preserve">Stakeholder perspectives on </w:t>
      </w:r>
      <w:r>
        <w:t>the drivers of change in PHI premiums and PHI coverage</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3771FF" w:rsidRPr="00E2213C" w14:paraId="61D4E989" w14:textId="77777777">
        <w:trPr>
          <w:trHeight w:val="346"/>
        </w:trPr>
        <w:tc>
          <w:tcPr>
            <w:tcW w:w="1348" w:type="pct"/>
            <w:gridSpan w:val="2"/>
            <w:shd w:val="clear" w:color="auto" w:fill="E6E6E1" w:themeFill="accent5"/>
            <w:vAlign w:val="center"/>
          </w:tcPr>
          <w:p w14:paraId="026B9530" w14:textId="77777777" w:rsidR="003771FF" w:rsidRPr="00E2213C" w:rsidRDefault="003771FF">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7446F93F" w14:textId="5DD2F7BF" w:rsidR="003771FF" w:rsidRPr="00E2213C" w:rsidRDefault="00422740">
            <w:pPr>
              <w:spacing w:before="40" w:after="40"/>
              <w:jc w:val="center"/>
              <w:rPr>
                <w:rFonts w:asciiTheme="majorHAnsi" w:hAnsiTheme="majorHAnsi" w:cstheme="majorHAnsi"/>
                <w:sz w:val="18"/>
                <w:szCs w:val="20"/>
              </w:rPr>
            </w:pPr>
            <w:r>
              <w:rPr>
                <w:rFonts w:asciiTheme="majorHAnsi" w:hAnsiTheme="majorHAnsi" w:cstheme="majorHAnsi"/>
                <w:sz w:val="18"/>
                <w:szCs w:val="20"/>
              </w:rPr>
              <w:t>Perspectives on reform project</w:t>
            </w:r>
          </w:p>
        </w:tc>
      </w:tr>
      <w:tr w:rsidR="003771FF" w:rsidRPr="00C173DC" w14:paraId="02DFF3E1" w14:textId="77777777">
        <w:trPr>
          <w:trHeight w:val="510"/>
        </w:trPr>
        <w:tc>
          <w:tcPr>
            <w:tcW w:w="554" w:type="pct"/>
            <w:shd w:val="clear" w:color="auto" w:fill="00264D" w:themeFill="background2"/>
            <w:vAlign w:val="center"/>
          </w:tcPr>
          <w:p w14:paraId="40102315" w14:textId="77777777" w:rsidR="003771FF" w:rsidRPr="00E2213C" w:rsidRDefault="003771FF">
            <w:pPr>
              <w:spacing w:before="40" w:after="40"/>
              <w:jc w:val="center"/>
              <w:rPr>
                <w:i/>
                <w:iCs/>
              </w:rPr>
            </w:pPr>
            <w:r w:rsidRPr="00E2213C">
              <w:rPr>
                <w:i/>
                <w:iCs/>
                <w:noProof/>
              </w:rPr>
              <mc:AlternateContent>
                <mc:Choice Requires="wps">
                  <w:drawing>
                    <wp:inline distT="0" distB="0" distL="0" distR="0" wp14:anchorId="1AB72F4C" wp14:editId="5698BF0B">
                      <wp:extent cx="320633" cy="314696"/>
                      <wp:effectExtent l="0" t="0" r="3810" b="9525"/>
                      <wp:docPr id="377837576" name="Freeform: Shape 20"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092975FF" id="Freeform: Shape 20"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461EAF33" w14:textId="77777777" w:rsidR="003771FF" w:rsidRPr="00E2213C" w:rsidRDefault="003771FF">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223417D0" w14:textId="44BFDDF0" w:rsidR="003771FF" w:rsidRDefault="00940DF9">
            <w:pPr>
              <w:pStyle w:val="TableExpBullet0"/>
            </w:pPr>
            <w:r>
              <w:t>The</w:t>
            </w:r>
            <w:r w:rsidR="003771FF">
              <w:t xml:space="preserve"> overall cost pressures across the private hospital sector have increased more rapidly than PHI premium increases, and considering this, it appears that premium increases have constrained.  </w:t>
            </w:r>
          </w:p>
          <w:p w14:paraId="438249B3" w14:textId="31E8906E" w:rsidR="003771FF" w:rsidRDefault="00940DF9">
            <w:pPr>
              <w:pStyle w:val="TableExpBullet0"/>
            </w:pPr>
            <w:r>
              <w:t>T</w:t>
            </w:r>
            <w:r w:rsidR="003771FF">
              <w:t xml:space="preserve">he most significant drivers of insurance premiums in recent years are management expenses and net insurance profit. </w:t>
            </w:r>
          </w:p>
          <w:p w14:paraId="78522846" w14:textId="2BC1192E" w:rsidR="003771FF" w:rsidRPr="00034992" w:rsidRDefault="00E325F9">
            <w:pPr>
              <w:pStyle w:val="TableExpBullet0"/>
              <w:rPr>
                <w:i/>
                <w:iCs/>
              </w:rPr>
            </w:pPr>
            <w:r>
              <w:t>I</w:t>
            </w:r>
            <w:r w:rsidR="003771FF">
              <w:t>t has been a missed opportunity of the reform</w:t>
            </w:r>
            <w:r w:rsidR="00582547">
              <w:t>s</w:t>
            </w:r>
            <w:r w:rsidR="003771FF">
              <w:t xml:space="preserve"> not to link cost savings from PL reform to PHI premiums and/or service coverage through regulation or legislation, and believe it is unclear whether savings from these measures have been passed on to customers as either benefits or premium reductions.</w:t>
            </w:r>
          </w:p>
        </w:tc>
      </w:tr>
      <w:tr w:rsidR="003771FF" w:rsidRPr="004911A6" w14:paraId="4606DE67" w14:textId="77777777">
        <w:trPr>
          <w:trHeight w:val="421"/>
        </w:trPr>
        <w:tc>
          <w:tcPr>
            <w:tcW w:w="554" w:type="pct"/>
            <w:shd w:val="clear" w:color="auto" w:fill="00264D" w:themeFill="background2"/>
            <w:vAlign w:val="center"/>
          </w:tcPr>
          <w:p w14:paraId="649BA852" w14:textId="77777777" w:rsidR="003771FF" w:rsidRPr="00E2213C" w:rsidRDefault="003771FF">
            <w:pPr>
              <w:spacing w:before="40" w:after="40"/>
              <w:jc w:val="center"/>
              <w:rPr>
                <w:i/>
                <w:iCs/>
              </w:rPr>
            </w:pPr>
            <w:r w:rsidRPr="00E2213C">
              <w:rPr>
                <w:i/>
                <w:iCs/>
                <w:noProof/>
              </w:rPr>
              <mc:AlternateContent>
                <mc:Choice Requires="wps">
                  <w:drawing>
                    <wp:inline distT="0" distB="0" distL="0" distR="0" wp14:anchorId="5122C43F" wp14:editId="4D9B99BB">
                      <wp:extent cx="292311" cy="292311"/>
                      <wp:effectExtent l="0" t="0" r="0" b="0"/>
                      <wp:docPr id="1245669400" name="Freeform: Shape 21" descr="Icon of a medical cros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B8F967C" id="Freeform: Shape 21" o:spid="_x0000_s1026" alt="Icon of a medical cross &#10;"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42954ABA" w14:textId="77777777" w:rsidR="003771FF" w:rsidRPr="00E2213C" w:rsidRDefault="003771FF">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7460927D" w14:textId="1B0D3029" w:rsidR="003771FF" w:rsidRPr="007718BB" w:rsidRDefault="64DAAD7C" w:rsidP="007718BB">
            <w:pPr>
              <w:pStyle w:val="TableExpBullet0"/>
            </w:pPr>
            <w:r w:rsidRPr="007718BB">
              <w:t>T</w:t>
            </w:r>
            <w:r w:rsidR="003771FF" w:rsidRPr="007718BB">
              <w:t>he cost of PL</w:t>
            </w:r>
            <w:r w:rsidR="00CF2B66">
              <w:t>-</w:t>
            </w:r>
            <w:r w:rsidR="003771FF" w:rsidRPr="007718BB">
              <w:t>listed devices remain a material driver of claim costs and premium increases despite the reforms</w:t>
            </w:r>
            <w:r w:rsidR="001A7491">
              <w:t>.</w:t>
            </w:r>
          </w:p>
          <w:p w14:paraId="37E0CC35" w14:textId="1D11FF49" w:rsidR="003771FF" w:rsidRPr="006F219F" w:rsidRDefault="335B498F" w:rsidP="007718BB">
            <w:pPr>
              <w:pStyle w:val="TableExpBullet0"/>
              <w:rPr>
                <w:i/>
                <w:lang w:eastAsia="en-US"/>
              </w:rPr>
            </w:pPr>
            <w:r w:rsidRPr="007718BB">
              <w:t>T</w:t>
            </w:r>
            <w:r w:rsidR="003771FF" w:rsidRPr="007718BB">
              <w:t>he reforms have failed to deliver real savings, constrain unwarranted volume growth and wastage, or ensure cost effectiveness and outcome focused value.</w:t>
            </w:r>
          </w:p>
        </w:tc>
      </w:tr>
      <w:tr w:rsidR="003771FF" w:rsidRPr="00E2213C" w14:paraId="1F6F3514" w14:textId="77777777">
        <w:trPr>
          <w:trHeight w:val="21"/>
        </w:trPr>
        <w:tc>
          <w:tcPr>
            <w:tcW w:w="554" w:type="pct"/>
            <w:shd w:val="clear" w:color="auto" w:fill="00264D" w:themeFill="background2"/>
            <w:vAlign w:val="center"/>
          </w:tcPr>
          <w:p w14:paraId="108EE465" w14:textId="77777777" w:rsidR="003771FF" w:rsidRPr="00E2213C" w:rsidRDefault="003771FF">
            <w:pPr>
              <w:spacing w:before="40" w:after="40"/>
              <w:jc w:val="center"/>
              <w:rPr>
                <w:i/>
                <w:iCs/>
              </w:rPr>
            </w:pPr>
            <w:r w:rsidRPr="00E2213C">
              <w:rPr>
                <w:i/>
                <w:iCs/>
                <w:noProof/>
              </w:rPr>
              <w:lastRenderedPageBreak/>
              <w:drawing>
                <wp:inline distT="0" distB="0" distL="0" distR="0" wp14:anchorId="5D79B47B" wp14:editId="2194483B">
                  <wp:extent cx="309245" cy="336734"/>
                  <wp:effectExtent l="0" t="0" r="0" b="6350"/>
                  <wp:docPr id="1679075751" name="Graphic 22"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75751" name="Graphic 22"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54DCBB66" w14:textId="77777777" w:rsidR="003771FF" w:rsidRPr="00E2213C" w:rsidRDefault="003771FF">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330E278D" w14:textId="0858C610" w:rsidR="003771FF" w:rsidRDefault="00AA7188">
            <w:pPr>
              <w:pStyle w:val="TableExpBullet0"/>
            </w:pPr>
            <w:r>
              <w:t>The</w:t>
            </w:r>
            <w:r w:rsidR="003771FF">
              <w:t xml:space="preserve"> reductions to PL benefits since 2017 have delivered savings of $4.7 billion to insurers (adjusted for inflation) and PL benefit reductions are the only factor contributing downward pressure on premiums to enable them to rise at historical lows.</w:t>
            </w:r>
          </w:p>
          <w:p w14:paraId="41100A7D" w14:textId="4433AF6B" w:rsidR="003771FF" w:rsidRPr="00131655" w:rsidRDefault="004C508E">
            <w:pPr>
              <w:pStyle w:val="TableNBullet"/>
            </w:pPr>
            <w:r>
              <w:t>The</w:t>
            </w:r>
            <w:r w:rsidR="003771FF" w:rsidRPr="00131655">
              <w:t xml:space="preserve"> PL benefits </w:t>
            </w:r>
            <w:r w:rsidR="003771FF">
              <w:t xml:space="preserve">have reduced as percentage of total premium </w:t>
            </w:r>
            <w:r w:rsidR="003771FF" w:rsidRPr="00131655">
              <w:t>revenue</w:t>
            </w:r>
            <w:r w:rsidR="003771FF">
              <w:t xml:space="preserve"> since 2017, </w:t>
            </w:r>
            <w:r w:rsidR="00B37A61">
              <w:t>while</w:t>
            </w:r>
            <w:r w:rsidR="003771FF">
              <w:t xml:space="preserve"> </w:t>
            </w:r>
            <w:r w:rsidR="003771FF" w:rsidRPr="00131655">
              <w:t>insurers’ profit and management fees have increased from across the same period</w:t>
            </w:r>
            <w:r w:rsidR="003771FF">
              <w:t>, taking this to mean that</w:t>
            </w:r>
            <w:r w:rsidR="003771FF" w:rsidRPr="00131655">
              <w:t xml:space="preserve"> the PL cannot be responsible for upward pressure on premiums</w:t>
            </w:r>
            <w:r w:rsidR="003771FF">
              <w:t xml:space="preserve">. </w:t>
            </w:r>
          </w:p>
        </w:tc>
      </w:tr>
      <w:tr w:rsidR="00422D3D" w:rsidRPr="00E2213C" w14:paraId="064D2458" w14:textId="77777777">
        <w:trPr>
          <w:trHeight w:val="21"/>
        </w:trPr>
        <w:tc>
          <w:tcPr>
            <w:tcW w:w="554" w:type="pct"/>
            <w:shd w:val="clear" w:color="auto" w:fill="00264D" w:themeFill="background2"/>
            <w:vAlign w:val="center"/>
          </w:tcPr>
          <w:p w14:paraId="7E8EACE6" w14:textId="727B0EED" w:rsidR="00422D3D" w:rsidRPr="00E2213C" w:rsidRDefault="00422D3D" w:rsidP="00422D3D">
            <w:pPr>
              <w:spacing w:before="40" w:after="40"/>
              <w:jc w:val="center"/>
              <w:rPr>
                <w:i/>
                <w:iCs/>
                <w:noProof/>
              </w:rPr>
            </w:pPr>
            <w:r>
              <w:rPr>
                <w:noProof/>
              </w:rPr>
              <w:drawing>
                <wp:inline distT="0" distB="0" distL="0" distR="0" wp14:anchorId="75F8A084" wp14:editId="05145AC8">
                  <wp:extent cx="267970" cy="323215"/>
                  <wp:effectExtent l="0" t="0" r="0" b="635"/>
                  <wp:docPr id="91010115"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0115"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428BFE9F" w14:textId="3B5BFEB9" w:rsidR="00422D3D" w:rsidRPr="00E2213C" w:rsidRDefault="00422D3D" w:rsidP="00422D3D">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r>
              <w:rPr>
                <w:rFonts w:asciiTheme="majorHAnsi" w:hAnsiTheme="majorHAnsi" w:cstheme="majorHAnsi"/>
                <w:sz w:val="18"/>
                <w:szCs w:val="20"/>
              </w:rPr>
              <w:t xml:space="preserve"> </w:t>
            </w:r>
          </w:p>
        </w:tc>
        <w:tc>
          <w:tcPr>
            <w:tcW w:w="3652" w:type="pct"/>
          </w:tcPr>
          <w:p w14:paraId="0FB3F866" w14:textId="17244E4F" w:rsidR="00422D3D" w:rsidRDefault="007E4BD8" w:rsidP="00422D3D">
            <w:pPr>
              <w:pStyle w:val="TableExpBullet0"/>
            </w:pPr>
            <w:r>
              <w:t xml:space="preserve">It is </w:t>
            </w:r>
            <w:r w:rsidR="004949BC">
              <w:t>sensible</w:t>
            </w:r>
            <w:r>
              <w:t xml:space="preserve"> to </w:t>
            </w:r>
            <w:r w:rsidR="004949BC">
              <w:t>support the pursuit</w:t>
            </w:r>
            <w:r>
              <w:t xml:space="preserve"> of prices</w:t>
            </w:r>
            <w:r w:rsidR="004949BC">
              <w:t xml:space="preserve"> on the PL</w:t>
            </w:r>
            <w:r>
              <w:t xml:space="preserve"> to be as low as reasonable, but overall prostheses costs are not the largest contributor to costs that drive the affordability and value of private health insurance. </w:t>
            </w:r>
            <w:r w:rsidR="00050416">
              <w:t xml:space="preserve"> </w:t>
            </w:r>
          </w:p>
        </w:tc>
      </w:tr>
    </w:tbl>
    <w:p w14:paraId="3C308613" w14:textId="1F2613F8" w:rsidR="00FB4C4E" w:rsidRDefault="00092EF1" w:rsidP="00FB4C4E">
      <w:pPr>
        <w:pStyle w:val="Heading3"/>
      </w:pPr>
      <w:bookmarkStart w:id="53" w:name="_Toc181405084"/>
      <w:r>
        <w:t xml:space="preserve">PHI coverage </w:t>
      </w:r>
      <w:r w:rsidR="00FB4C4E">
        <w:t>is rising slowly</w:t>
      </w:r>
      <w:bookmarkEnd w:id="53"/>
      <w:r w:rsidR="00FB4C4E">
        <w:t xml:space="preserve"> </w:t>
      </w:r>
    </w:p>
    <w:p w14:paraId="1E07B940" w14:textId="061F35E1" w:rsidR="0003067D" w:rsidRDefault="0003067D" w:rsidP="0003067D">
      <w:pPr>
        <w:pStyle w:val="Heading4"/>
      </w:pPr>
      <w:r>
        <w:t>PHI coverage has increased by 0.</w:t>
      </w:r>
      <w:r w:rsidR="00E91C41">
        <w:t>3</w:t>
      </w:r>
      <w:r>
        <w:t>% since the start of the reforms</w:t>
      </w:r>
    </w:p>
    <w:p w14:paraId="30EFF48F" w14:textId="199094E6" w:rsidR="00E63100" w:rsidRDefault="00DD1C68" w:rsidP="00E63100">
      <w:r>
        <w:t>15%</w:t>
      </w:r>
      <w:r w:rsidR="00E63100">
        <w:t xml:space="preserve"> of Australians dropped or reduced their cover during the pandemic, with younger people more likely to abandon their memberships.</w:t>
      </w:r>
      <w:r w:rsidR="00E63100">
        <w:rPr>
          <w:rStyle w:val="FootnoteReference"/>
        </w:rPr>
        <w:footnoteReference w:id="57"/>
      </w:r>
      <w:r w:rsidR="00E63100">
        <w:t xml:space="preserve"> PHI coverage numbers indicate changes in consumer perceptions of the value of having PHI. The pandemic </w:t>
      </w:r>
      <w:r w:rsidR="00780FE3">
        <w:t>exacerbated</w:t>
      </w:r>
      <w:r w:rsidR="00E63100">
        <w:t xml:space="preserve"> an ongoing downward trend in PHI membership among young people, as young people tend to get less value of their private health insurance.</w:t>
      </w:r>
      <w:r w:rsidR="00E63100">
        <w:rPr>
          <w:rStyle w:val="FootnoteReference"/>
        </w:rPr>
        <w:footnoteReference w:id="58"/>
      </w:r>
      <w:r w:rsidR="00E63100">
        <w:t xml:space="preserve"> </w:t>
      </w:r>
    </w:p>
    <w:p w14:paraId="5293BBE6" w14:textId="7B0378D5" w:rsidR="005011FB" w:rsidRPr="00BB6AF0" w:rsidRDefault="00E63100" w:rsidP="005011FB">
      <w:r>
        <w:t xml:space="preserve">The percentage of the Australian population with HT PHI coverage is shown in </w:t>
      </w:r>
      <w:r w:rsidR="006B0A27">
        <w:fldChar w:fldCharType="begin"/>
      </w:r>
      <w:r w:rsidR="006B0A27">
        <w:instrText xml:space="preserve"> REF _Ref172248580 \h </w:instrText>
      </w:r>
      <w:r w:rsidR="006B0A27">
        <w:fldChar w:fldCharType="separate"/>
      </w:r>
      <w:r w:rsidR="009B5D8D" w:rsidRPr="00865344">
        <w:t xml:space="preserve">Figure </w:t>
      </w:r>
      <w:r w:rsidR="009B5D8D">
        <w:rPr>
          <w:noProof/>
        </w:rPr>
        <w:t>14</w:t>
      </w:r>
      <w:r w:rsidR="006B0A27">
        <w:fldChar w:fldCharType="end"/>
      </w:r>
      <w:r w:rsidR="006B0A27">
        <w:t xml:space="preserve"> </w:t>
      </w:r>
      <w:r>
        <w:t>below. PHI coverage in Australia has increased by 0.</w:t>
      </w:r>
      <w:r w:rsidR="00E91C41">
        <w:t>3</w:t>
      </w:r>
      <w:r>
        <w:t>% to 44.8% in June 2023 from June 2021 at baseline.</w:t>
      </w:r>
      <w:r w:rsidR="004D7F96">
        <w:t xml:space="preserve"> </w:t>
      </w:r>
      <w:r w:rsidR="00921B7F">
        <w:t>Overall, there has been a steady increase in HT PHI coverage since the lowest coverage in June 2020.</w:t>
      </w:r>
    </w:p>
    <w:p w14:paraId="6E9B6623" w14:textId="44C21455" w:rsidR="005011FB" w:rsidRPr="0005401B" w:rsidRDefault="005011FB" w:rsidP="0005401B">
      <w:pPr>
        <w:pStyle w:val="Caption"/>
        <w:rPr>
          <w:lang w:val="en-US"/>
        </w:rPr>
      </w:pPr>
      <w:bookmarkStart w:id="54" w:name="_Ref172248580"/>
      <w:r w:rsidRPr="00865344">
        <w:t xml:space="preserve">Figure </w:t>
      </w:r>
      <w:r w:rsidRPr="00865344">
        <w:fldChar w:fldCharType="begin"/>
      </w:r>
      <w:r w:rsidRPr="00865344">
        <w:instrText xml:space="preserve"> SEQ Figure \* ARABIC </w:instrText>
      </w:r>
      <w:r w:rsidRPr="00865344">
        <w:fldChar w:fldCharType="separate"/>
      </w:r>
      <w:r w:rsidR="009B5D8D">
        <w:rPr>
          <w:noProof/>
        </w:rPr>
        <w:t>14</w:t>
      </w:r>
      <w:r w:rsidRPr="00865344">
        <w:fldChar w:fldCharType="end"/>
      </w:r>
      <w:bookmarkEnd w:id="54"/>
      <w:r w:rsidRPr="00865344">
        <w:t xml:space="preserve"> | </w:t>
      </w:r>
      <w:r w:rsidRPr="00865344">
        <w:rPr>
          <w:lang w:val="en-US"/>
        </w:rPr>
        <w:t>Percentage of Australian population with Hospital Treatment PHI</w:t>
      </w:r>
      <w:r w:rsidRPr="00865344">
        <w:rPr>
          <w:rStyle w:val="FootnoteReference"/>
          <w:lang w:val="en-US"/>
        </w:rPr>
        <w:footnoteReference w:id="59"/>
      </w:r>
    </w:p>
    <w:p w14:paraId="20AD709D" w14:textId="233AA7C8" w:rsidR="000E7D6D" w:rsidRDefault="000E7D6D" w:rsidP="005011FB">
      <w:pPr>
        <w:rPr>
          <w:lang w:val="en-AU" w:eastAsia="en-AU"/>
        </w:rPr>
      </w:pPr>
      <w:r w:rsidRPr="000E7D6D">
        <w:rPr>
          <w:noProof/>
          <w:lang w:val="en-AU" w:eastAsia="en-AU"/>
        </w:rPr>
        <w:drawing>
          <wp:inline distT="0" distB="0" distL="0" distR="0" wp14:anchorId="1C435AF5" wp14:editId="3A495428">
            <wp:extent cx="5760085" cy="3033395"/>
            <wp:effectExtent l="0" t="0" r="0" b="0"/>
            <wp:docPr id="1137595441" name="Picture 1" descr="2021 as 44.6% and June 2023 as 44.8%. A call out box states that PHI coverage has increased by 0.3% from June 2021 to June 2023. Another call-out box states the lowest coverage was in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95441" name="Picture 1" descr="2021 as 44.6% and June 2023 as 44.8%. A call out box states that PHI coverage has increased by 0.3% from June 2021 to June 2023. Another call-out box states the lowest coverage was in June 2020."/>
                    <pic:cNvPicPr/>
                  </pic:nvPicPr>
                  <pic:blipFill>
                    <a:blip r:embed="rId51"/>
                    <a:stretch>
                      <a:fillRect/>
                    </a:stretch>
                  </pic:blipFill>
                  <pic:spPr>
                    <a:xfrm>
                      <a:off x="0" y="0"/>
                      <a:ext cx="5760085" cy="3033395"/>
                    </a:xfrm>
                    <a:prstGeom prst="rect">
                      <a:avLst/>
                    </a:prstGeom>
                  </pic:spPr>
                </pic:pic>
              </a:graphicData>
            </a:graphic>
          </wp:inline>
        </w:drawing>
      </w:r>
    </w:p>
    <w:p w14:paraId="3363251A" w14:textId="3CA478AE" w:rsidR="001A6844" w:rsidRPr="009A00DC" w:rsidRDefault="001A6844" w:rsidP="00DE5308">
      <w:pPr>
        <w:pStyle w:val="Heading4"/>
      </w:pPr>
      <w:r w:rsidRPr="009A00DC">
        <w:lastRenderedPageBreak/>
        <w:t xml:space="preserve">Some stakeholders </w:t>
      </w:r>
      <w:r w:rsidR="00150350">
        <w:t xml:space="preserve">believe </w:t>
      </w:r>
      <w:r w:rsidR="00395D3C">
        <w:t xml:space="preserve">increased PHI coverage is primarily driven by </w:t>
      </w:r>
      <w:r w:rsidR="00DE5308">
        <w:t>growing concern about strain on public hospital post-COVID</w:t>
      </w:r>
      <w:r w:rsidR="00A27AE9">
        <w:t>-19</w:t>
      </w:r>
      <w:r w:rsidR="00DE5308">
        <w:t xml:space="preserve"> but is complemented by lower premium rises</w:t>
      </w:r>
    </w:p>
    <w:p w14:paraId="1E338A20" w14:textId="1D3C88C1" w:rsidR="00F223F9" w:rsidRDefault="001A6844" w:rsidP="00E63100">
      <w:r w:rsidRPr="009A00DC">
        <w:rPr>
          <w:lang w:val="en-AU" w:eastAsia="en-AU"/>
        </w:rPr>
        <w:t xml:space="preserve">Some stakeholders have pointed to ongoing health system pressures as the reason for an increased number of people </w:t>
      </w:r>
      <w:r w:rsidRPr="009A00DC">
        <w:t>taking out private health insurance since COVID</w:t>
      </w:r>
      <w:r w:rsidR="00A27AE9">
        <w:t>-19</w:t>
      </w:r>
      <w:r w:rsidRPr="009A00DC">
        <w:t>, following a long period of decrease. They state that while lower premium rises may have assisted supporting people to maintain their PHI cover, they believe that consumer concerns about access to public hospitals post-COVID</w:t>
      </w:r>
      <w:r w:rsidR="00A27AE9">
        <w:t>-19</w:t>
      </w:r>
      <w:r w:rsidRPr="009A00DC">
        <w:t xml:space="preserve"> is the greatest driver of increased coverage. Meanwhile, private health insurers continue to be concerned about coverage in Australia and maintain that increased PHI premiums are the main driver of Australians choosing to discontinue or downgrade their health insurance. </w:t>
      </w:r>
    </w:p>
    <w:p w14:paraId="4D2FDD40" w14:textId="31371F7A" w:rsidR="001326B6" w:rsidRPr="00522F32" w:rsidRDefault="00CA2875" w:rsidP="001326B6">
      <w:pPr>
        <w:pStyle w:val="Heading3"/>
      </w:pPr>
      <w:bookmarkStart w:id="55" w:name="_Ref172293157"/>
      <w:bookmarkStart w:id="56" w:name="_Toc181405085"/>
      <w:r w:rsidRPr="00CA2875">
        <w:t xml:space="preserve">Despite lower PL benefits, </w:t>
      </w:r>
      <w:r w:rsidR="005311F5">
        <w:t>higher</w:t>
      </w:r>
      <w:r w:rsidRPr="00CA2875">
        <w:t xml:space="preserve"> usage is driving up the overall cost of prostheses</w:t>
      </w:r>
      <w:bookmarkEnd w:id="55"/>
      <w:bookmarkEnd w:id="56"/>
    </w:p>
    <w:p w14:paraId="660863EF" w14:textId="5ACC01D4" w:rsidR="00FB4C4E" w:rsidRDefault="00907B65" w:rsidP="00F223F9">
      <w:pPr>
        <w:pStyle w:val="Heading4"/>
      </w:pPr>
      <w:r>
        <w:t xml:space="preserve">The </w:t>
      </w:r>
      <w:r w:rsidR="002551B1">
        <w:t>total cost</w:t>
      </w:r>
      <w:r>
        <w:t xml:space="preserve"> of prostheses benefits has increased from baseline</w:t>
      </w:r>
    </w:p>
    <w:p w14:paraId="14219334" w14:textId="4CA6DCF8" w:rsidR="00FA3726" w:rsidRDefault="00FA3726" w:rsidP="00FA3726">
      <w:pPr>
        <w:rPr>
          <w:lang w:val="en-AU" w:eastAsia="en-AU"/>
        </w:rPr>
      </w:pPr>
      <w:r>
        <w:rPr>
          <w:lang w:val="en-AU" w:eastAsia="en-AU"/>
        </w:rPr>
        <w:t xml:space="preserve">The total benefits paid by insurers for PL-listed products has increased year-on-year from FY16 to FY21, as can be seen in </w:t>
      </w:r>
      <w:r>
        <w:rPr>
          <w:lang w:val="en-AU" w:eastAsia="en-AU"/>
        </w:rPr>
        <w:fldChar w:fldCharType="begin"/>
      </w:r>
      <w:r>
        <w:rPr>
          <w:lang w:val="en-AU" w:eastAsia="en-AU"/>
        </w:rPr>
        <w:instrText xml:space="preserve"> REF _Ref169775111 \h </w:instrText>
      </w:r>
      <w:r>
        <w:rPr>
          <w:lang w:val="en-AU" w:eastAsia="en-AU"/>
        </w:rPr>
      </w:r>
      <w:r>
        <w:rPr>
          <w:lang w:val="en-AU" w:eastAsia="en-AU"/>
        </w:rPr>
        <w:fldChar w:fldCharType="separate"/>
      </w:r>
      <w:r w:rsidR="009B5D8D">
        <w:t xml:space="preserve">Figure </w:t>
      </w:r>
      <w:r w:rsidR="009B5D8D">
        <w:rPr>
          <w:noProof/>
        </w:rPr>
        <w:t>15</w:t>
      </w:r>
      <w:r>
        <w:rPr>
          <w:lang w:val="en-AU" w:eastAsia="en-AU"/>
        </w:rPr>
        <w:fldChar w:fldCharType="end"/>
      </w:r>
      <w:r>
        <w:rPr>
          <w:lang w:val="en-AU" w:eastAsia="en-AU"/>
        </w:rPr>
        <w:t>. This expenditure on PL</w:t>
      </w:r>
      <w:r w:rsidR="00CF2B66">
        <w:rPr>
          <w:lang w:val="en-AU" w:eastAsia="en-AU"/>
        </w:rPr>
        <w:t>-</w:t>
      </w:r>
      <w:r>
        <w:rPr>
          <w:lang w:val="en-AU" w:eastAsia="en-AU"/>
        </w:rPr>
        <w:t xml:space="preserve">listed products adds pressure to private health insurers </w:t>
      </w:r>
      <w:r w:rsidR="00EF62BF">
        <w:rPr>
          <w:lang w:val="en-AU" w:eastAsia="en-AU"/>
        </w:rPr>
        <w:t>and</w:t>
      </w:r>
      <w:r>
        <w:rPr>
          <w:lang w:val="en-AU" w:eastAsia="en-AU"/>
        </w:rPr>
        <w:t xml:space="preserve"> a contributing factor to increased PHI premiums.</w:t>
      </w:r>
    </w:p>
    <w:p w14:paraId="08420A74" w14:textId="7F455B62" w:rsidR="00FA3726" w:rsidRPr="00FA3726" w:rsidRDefault="00FA3726" w:rsidP="00FA3726">
      <w:pPr>
        <w:rPr>
          <w:lang w:val="en-AU" w:eastAsia="en-AU"/>
        </w:rPr>
      </w:pPr>
      <w:r>
        <w:rPr>
          <w:lang w:val="en-AU" w:eastAsia="en-AU"/>
        </w:rPr>
        <w:t xml:space="preserve">Between </w:t>
      </w:r>
      <w:r w:rsidRPr="00EF07BE">
        <w:rPr>
          <w:lang w:val="en-AU" w:eastAsia="en-AU"/>
        </w:rPr>
        <w:t>FY21 and FY22, prostheses benefits paid by PHI held decreased</w:t>
      </w:r>
      <w:r>
        <w:rPr>
          <w:lang w:val="en-AU" w:eastAsia="en-AU"/>
        </w:rPr>
        <w:t xml:space="preserve"> to $2.</w:t>
      </w:r>
      <w:r w:rsidR="0005401B">
        <w:rPr>
          <w:lang w:val="en-AU" w:eastAsia="en-AU"/>
        </w:rPr>
        <w:t>2</w:t>
      </w:r>
      <w:r>
        <w:rPr>
          <w:lang w:val="en-AU" w:eastAsia="en-AU"/>
        </w:rPr>
        <w:t xml:space="preserve"> billon, coinciding with PL reforms and associated benefit reduction activities. However, prostheses benefit expenditure has since increased to $2.</w:t>
      </w:r>
      <w:r w:rsidR="00EA0E67">
        <w:rPr>
          <w:lang w:val="en-AU" w:eastAsia="en-AU"/>
        </w:rPr>
        <w:t>3</w:t>
      </w:r>
      <w:r>
        <w:rPr>
          <w:lang w:val="en-AU" w:eastAsia="en-AU"/>
        </w:rPr>
        <w:t xml:space="preserve"> billion in FY23, which is the highest spend in recent years leading up to baseline. </w:t>
      </w:r>
      <w:r w:rsidR="00A14A43">
        <w:rPr>
          <w:lang w:val="en-AU" w:eastAsia="en-AU"/>
        </w:rPr>
        <w:t xml:space="preserve">The compound annual growth rate from </w:t>
      </w:r>
      <w:r w:rsidR="00BA5185">
        <w:rPr>
          <w:lang w:val="en-AU" w:eastAsia="en-AU"/>
        </w:rPr>
        <w:t xml:space="preserve">since the reforms’ baseline </w:t>
      </w:r>
      <w:r w:rsidR="00AF6948">
        <w:rPr>
          <w:lang w:val="en-AU" w:eastAsia="en-AU"/>
        </w:rPr>
        <w:t>is 1.</w:t>
      </w:r>
      <w:r w:rsidR="00EA0E67">
        <w:rPr>
          <w:lang w:val="en-AU" w:eastAsia="en-AU"/>
        </w:rPr>
        <w:t>3</w:t>
      </w:r>
      <w:r w:rsidR="00AF6948">
        <w:rPr>
          <w:lang w:val="en-AU" w:eastAsia="en-AU"/>
        </w:rPr>
        <w:t xml:space="preserve">%. </w:t>
      </w:r>
      <w:r>
        <w:rPr>
          <w:lang w:val="en-AU" w:eastAsia="en-AU"/>
        </w:rPr>
        <w:t>This is lower than the 2.</w:t>
      </w:r>
      <w:r w:rsidR="00EA0E67">
        <w:rPr>
          <w:lang w:val="en-AU" w:eastAsia="en-AU"/>
        </w:rPr>
        <w:t>3</w:t>
      </w:r>
      <w:r>
        <w:rPr>
          <w:lang w:val="en-AU" w:eastAsia="en-AU"/>
        </w:rPr>
        <w:t>% growth rate in the five years prior to the reforms and indicates that expenditure on prostheses is growing at a slower pace than it was prior to reforms.</w:t>
      </w:r>
    </w:p>
    <w:p w14:paraId="5767A2C9" w14:textId="3A8BC335" w:rsidR="008E28B0" w:rsidRDefault="008E28B0" w:rsidP="00C32871">
      <w:pPr>
        <w:pStyle w:val="Caption"/>
      </w:pPr>
      <w:bookmarkStart w:id="57" w:name="_Ref169775111"/>
      <w:r>
        <w:t xml:space="preserve">Figure </w:t>
      </w:r>
      <w:r>
        <w:fldChar w:fldCharType="begin"/>
      </w:r>
      <w:r>
        <w:instrText xml:space="preserve"> SEQ Figure \* ARABIC </w:instrText>
      </w:r>
      <w:r>
        <w:fldChar w:fldCharType="separate"/>
      </w:r>
      <w:r w:rsidR="009B5D8D">
        <w:rPr>
          <w:noProof/>
        </w:rPr>
        <w:t>15</w:t>
      </w:r>
      <w:r>
        <w:fldChar w:fldCharType="end"/>
      </w:r>
      <w:bookmarkEnd w:id="57"/>
      <w:r>
        <w:t xml:space="preserve"> | Total prostheses benefits paid ($'000)</w:t>
      </w:r>
      <w:r>
        <w:rPr>
          <w:rStyle w:val="FootnoteReference"/>
        </w:rPr>
        <w:footnoteReference w:id="60"/>
      </w:r>
    </w:p>
    <w:p w14:paraId="4FFB42D0" w14:textId="7F743874" w:rsidR="00165364" w:rsidRDefault="00165364" w:rsidP="008E28B0">
      <w:pPr>
        <w:rPr>
          <w:lang w:val="en-AU" w:eastAsia="en-AU"/>
        </w:rPr>
      </w:pPr>
      <w:r w:rsidRPr="00165364">
        <w:rPr>
          <w:noProof/>
          <w:lang w:val="en-AU" w:eastAsia="en-AU"/>
        </w:rPr>
        <w:drawing>
          <wp:inline distT="0" distB="0" distL="0" distR="0" wp14:anchorId="28A6A5AA" wp14:editId="16D048C8">
            <wp:extent cx="5760085" cy="2592705"/>
            <wp:effectExtent l="0" t="0" r="0" b="0"/>
            <wp:docPr id="396444198" name="Picture 1" descr="A graph showing the total benefits paid in thousands of dollars, from financial year 2016 to financial year 2023. An arrow connects from financial year 2021 to financial year 2023, showing +1.3%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44198" name="Picture 1" descr="A graph showing the total benefits paid in thousands of dollars, from financial year 2016 to financial year 2023. An arrow connects from financial year 2021 to financial year 2023, showing +1.3% p/a."/>
                    <pic:cNvPicPr/>
                  </pic:nvPicPr>
                  <pic:blipFill>
                    <a:blip r:embed="rId52"/>
                    <a:stretch>
                      <a:fillRect/>
                    </a:stretch>
                  </pic:blipFill>
                  <pic:spPr>
                    <a:xfrm>
                      <a:off x="0" y="0"/>
                      <a:ext cx="5760085" cy="2592705"/>
                    </a:xfrm>
                    <a:prstGeom prst="rect">
                      <a:avLst/>
                    </a:prstGeom>
                  </pic:spPr>
                </pic:pic>
              </a:graphicData>
            </a:graphic>
          </wp:inline>
        </w:drawing>
      </w:r>
    </w:p>
    <w:p w14:paraId="27D74405" w14:textId="056ABA19" w:rsidR="003069B5" w:rsidRPr="003069B5" w:rsidRDefault="003069B5" w:rsidP="008E28B0">
      <w:pPr>
        <w:pStyle w:val="Heading4"/>
      </w:pPr>
      <w:r w:rsidRPr="003069B5">
        <w:t xml:space="preserve">Prostheses utilisation is increasing, especially among older Australians </w:t>
      </w:r>
    </w:p>
    <w:p w14:paraId="5C963334" w14:textId="3C8FB44B" w:rsidR="007D3391" w:rsidRDefault="006B31F7" w:rsidP="001E58E5">
      <w:pPr>
        <w:rPr>
          <w:lang w:val="en-AU" w:eastAsia="en-AU"/>
        </w:rPr>
      </w:pPr>
      <w:r>
        <w:rPr>
          <w:lang w:val="en-AU" w:eastAsia="en-AU"/>
        </w:rPr>
        <w:t>Australians are accessing a</w:t>
      </w:r>
      <w:r w:rsidR="00F4036E">
        <w:rPr>
          <w:lang w:val="en-AU" w:eastAsia="en-AU"/>
        </w:rPr>
        <w:t xml:space="preserve"> higher volume of </w:t>
      </w:r>
      <w:r>
        <w:rPr>
          <w:lang w:val="en-AU" w:eastAsia="en-AU"/>
        </w:rPr>
        <w:t>PL-listed devices</w:t>
      </w:r>
      <w:r w:rsidR="003837FE">
        <w:rPr>
          <w:lang w:val="en-AU" w:eastAsia="en-AU"/>
        </w:rPr>
        <w:t xml:space="preserve">, </w:t>
      </w:r>
      <w:r>
        <w:rPr>
          <w:lang w:val="en-AU" w:eastAsia="en-AU"/>
        </w:rPr>
        <w:t>and this</w:t>
      </w:r>
      <w:r w:rsidR="00675D06">
        <w:rPr>
          <w:lang w:val="en-AU" w:eastAsia="en-AU"/>
        </w:rPr>
        <w:t xml:space="preserve"> is</w:t>
      </w:r>
      <w:r>
        <w:rPr>
          <w:lang w:val="en-AU" w:eastAsia="en-AU"/>
        </w:rPr>
        <w:t xml:space="preserve"> </w:t>
      </w:r>
      <w:r w:rsidR="00681976">
        <w:rPr>
          <w:lang w:val="en-AU" w:eastAsia="en-AU"/>
        </w:rPr>
        <w:t xml:space="preserve">sustaining overall </w:t>
      </w:r>
      <w:r w:rsidR="00E20604">
        <w:rPr>
          <w:lang w:val="en-AU" w:eastAsia="en-AU"/>
        </w:rPr>
        <w:t>prostheses costs despite lower PL benefit levels.</w:t>
      </w:r>
      <w:r w:rsidR="00B151A4">
        <w:rPr>
          <w:lang w:val="en-AU" w:eastAsia="en-AU"/>
        </w:rPr>
        <w:t xml:space="preserve"> </w:t>
      </w:r>
      <w:r w:rsidR="00B151A4">
        <w:rPr>
          <w:lang w:val="en-AU" w:eastAsia="en-AU"/>
        </w:rPr>
        <w:fldChar w:fldCharType="begin"/>
      </w:r>
      <w:r w:rsidR="00B151A4">
        <w:rPr>
          <w:lang w:val="en-AU" w:eastAsia="en-AU"/>
        </w:rPr>
        <w:instrText xml:space="preserve"> REF _Ref169791981 \h </w:instrText>
      </w:r>
      <w:r w:rsidR="00B151A4">
        <w:rPr>
          <w:lang w:val="en-AU" w:eastAsia="en-AU"/>
        </w:rPr>
      </w:r>
      <w:r w:rsidR="00B151A4">
        <w:rPr>
          <w:lang w:val="en-AU" w:eastAsia="en-AU"/>
        </w:rPr>
        <w:fldChar w:fldCharType="separate"/>
      </w:r>
      <w:r w:rsidR="009B5D8D">
        <w:t xml:space="preserve">Figure </w:t>
      </w:r>
      <w:r w:rsidR="009B5D8D">
        <w:rPr>
          <w:noProof/>
        </w:rPr>
        <w:t>16</w:t>
      </w:r>
      <w:r w:rsidR="00B151A4">
        <w:rPr>
          <w:lang w:val="en-AU" w:eastAsia="en-AU"/>
        </w:rPr>
        <w:fldChar w:fldCharType="end"/>
      </w:r>
      <w:r w:rsidR="00B151A4">
        <w:rPr>
          <w:lang w:val="en-AU" w:eastAsia="en-AU"/>
        </w:rPr>
        <w:t xml:space="preserve"> shows that </w:t>
      </w:r>
      <w:r w:rsidR="0058454C">
        <w:rPr>
          <w:lang w:val="en-AU" w:eastAsia="en-AU"/>
        </w:rPr>
        <w:t xml:space="preserve">prostheses utilisation per </w:t>
      </w:r>
      <w:r w:rsidR="00AD4439">
        <w:rPr>
          <w:lang w:val="en-AU" w:eastAsia="en-AU"/>
        </w:rPr>
        <w:t>1000 HT PHI members</w:t>
      </w:r>
      <w:r w:rsidR="006765CF">
        <w:rPr>
          <w:lang w:val="en-AU" w:eastAsia="en-AU"/>
        </w:rPr>
        <w:t xml:space="preserve"> has continued to follow the growth trend</w:t>
      </w:r>
      <w:r w:rsidR="00CB1D62">
        <w:rPr>
          <w:lang w:val="en-AU" w:eastAsia="en-AU"/>
        </w:rPr>
        <w:t xml:space="preserve"> leading up to the reforms, with the exception of a dip in FY22.</w:t>
      </w:r>
    </w:p>
    <w:p w14:paraId="178BF29A" w14:textId="069FC14D" w:rsidR="008E28B0" w:rsidRDefault="008E28B0" w:rsidP="008E28B0">
      <w:pPr>
        <w:pStyle w:val="Caption"/>
      </w:pPr>
      <w:bookmarkStart w:id="58" w:name="_Ref169791981"/>
      <w:r>
        <w:lastRenderedPageBreak/>
        <w:t xml:space="preserve">Figure </w:t>
      </w:r>
      <w:r>
        <w:fldChar w:fldCharType="begin"/>
      </w:r>
      <w:r>
        <w:instrText xml:space="preserve"> SEQ Figure \* ARABIC </w:instrText>
      </w:r>
      <w:r>
        <w:fldChar w:fldCharType="separate"/>
      </w:r>
      <w:r w:rsidR="009B5D8D">
        <w:rPr>
          <w:noProof/>
        </w:rPr>
        <w:t>16</w:t>
      </w:r>
      <w:r>
        <w:fldChar w:fldCharType="end"/>
      </w:r>
      <w:bookmarkEnd w:id="58"/>
      <w:r>
        <w:t xml:space="preserve"> | </w:t>
      </w:r>
      <w:r w:rsidRPr="00F036F1">
        <w:t>Prostheses utilisation per 1000 HT PHI members by PL category</w:t>
      </w:r>
      <w:r>
        <w:rPr>
          <w:rStyle w:val="FootnoteReference"/>
        </w:rPr>
        <w:footnoteReference w:id="61"/>
      </w:r>
    </w:p>
    <w:p w14:paraId="5198B8CF" w14:textId="0D940FD6" w:rsidR="005756C2" w:rsidRDefault="005A0838" w:rsidP="006E71A4">
      <w:pPr>
        <w:rPr>
          <w:lang w:val="en-AU"/>
        </w:rPr>
      </w:pPr>
      <w:r w:rsidRPr="005A0838">
        <w:rPr>
          <w:noProof/>
          <w:lang w:val="en-AU"/>
        </w:rPr>
        <w:drawing>
          <wp:inline distT="0" distB="0" distL="0" distR="0" wp14:anchorId="35327DB9" wp14:editId="50602396">
            <wp:extent cx="5760085" cy="2789555"/>
            <wp:effectExtent l="0" t="0" r="0" b="0"/>
            <wp:docPr id="867172672" name="Picture 1" descr="A graph of prostheses utilisation per 1000 HT PHI members by PL category. This increases each year from 238 in financial year 2017 to 295 in financial year 2023, besides financial year 2022 where it decreased to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72672" name="Picture 1" descr="A graph of prostheses utilisation per 1000 HT PHI members by PL category. This increases each year from 238 in financial year 2017 to 295 in financial year 2023, besides financial year 2022 where it decreased to 276."/>
                    <pic:cNvPicPr/>
                  </pic:nvPicPr>
                  <pic:blipFill>
                    <a:blip r:embed="rId53"/>
                    <a:stretch>
                      <a:fillRect/>
                    </a:stretch>
                  </pic:blipFill>
                  <pic:spPr>
                    <a:xfrm>
                      <a:off x="0" y="0"/>
                      <a:ext cx="5760085" cy="2789555"/>
                    </a:xfrm>
                    <a:prstGeom prst="rect">
                      <a:avLst/>
                    </a:prstGeom>
                  </pic:spPr>
                </pic:pic>
              </a:graphicData>
            </a:graphic>
          </wp:inline>
        </w:drawing>
      </w:r>
    </w:p>
    <w:p w14:paraId="4B1734ED" w14:textId="77777777" w:rsidR="00F70797" w:rsidRDefault="00F70797" w:rsidP="005D1523">
      <w:pPr>
        <w:rPr>
          <w:lang w:val="en-AU" w:eastAsia="en-AU"/>
        </w:rPr>
      </w:pPr>
    </w:p>
    <w:p w14:paraId="024A606D" w14:textId="5FE01548" w:rsidR="005D1523" w:rsidRDefault="006E71A4" w:rsidP="005D1523">
      <w:pPr>
        <w:rPr>
          <w:lang w:val="en-AU" w:eastAsia="en-AU"/>
        </w:rPr>
      </w:pPr>
      <w:r>
        <w:rPr>
          <w:lang w:val="en-AU" w:eastAsia="en-AU"/>
        </w:rPr>
        <w:fldChar w:fldCharType="begin"/>
      </w:r>
      <w:r>
        <w:rPr>
          <w:lang w:val="en-AU" w:eastAsia="en-AU"/>
        </w:rPr>
        <w:instrText xml:space="preserve"> REF _Ref172309836 \h </w:instrText>
      </w:r>
      <w:r>
        <w:rPr>
          <w:lang w:val="en-AU" w:eastAsia="en-AU"/>
        </w:rPr>
      </w:r>
      <w:r>
        <w:rPr>
          <w:lang w:val="en-AU" w:eastAsia="en-AU"/>
        </w:rPr>
        <w:fldChar w:fldCharType="separate"/>
      </w:r>
      <w:r w:rsidR="009B5D8D">
        <w:t xml:space="preserve">Figure </w:t>
      </w:r>
      <w:r w:rsidR="009B5D8D">
        <w:rPr>
          <w:noProof/>
        </w:rPr>
        <w:t>17</w:t>
      </w:r>
      <w:r>
        <w:rPr>
          <w:lang w:val="en-AU" w:eastAsia="en-AU"/>
        </w:rPr>
        <w:fldChar w:fldCharType="end"/>
      </w:r>
      <w:r w:rsidR="00F70797">
        <w:rPr>
          <w:lang w:val="en-AU" w:eastAsia="en-AU"/>
        </w:rPr>
        <w:t xml:space="preserve"> </w:t>
      </w:r>
      <w:r w:rsidR="005D1523">
        <w:rPr>
          <w:lang w:val="en-AU" w:eastAsia="en-AU"/>
        </w:rPr>
        <w:t>below shows that</w:t>
      </w:r>
      <w:r w:rsidR="005D1523" w:rsidRPr="00001F5D">
        <w:rPr>
          <w:lang w:val="en-AU" w:eastAsia="en-AU"/>
        </w:rPr>
        <w:t xml:space="preserve"> </w:t>
      </w:r>
      <w:r w:rsidR="005D1523">
        <w:rPr>
          <w:lang w:val="en-AU" w:eastAsia="en-AU"/>
        </w:rPr>
        <w:t>there has been increased growth in use of prostheses across all age groups between FY17 to FY23, indicating increased demand for prostheses. Whilst there has been greater relative growth in prostheses utilisation in younger age groups (4</w:t>
      </w:r>
      <w:r w:rsidR="00F70797">
        <w:rPr>
          <w:lang w:val="en-AU" w:eastAsia="en-AU"/>
        </w:rPr>
        <w:t>0</w:t>
      </w:r>
      <w:r w:rsidR="005D1523">
        <w:rPr>
          <w:lang w:val="en-AU" w:eastAsia="en-AU"/>
        </w:rPr>
        <w:t xml:space="preserve">% increase for ages 0-19 and 44% increase for ages 20-34), prostheses utilisation overall continues to be driven by high use amongst older age groups. In FY23, over 82% of all prostheses usage was by PHI members older than 50. </w:t>
      </w:r>
    </w:p>
    <w:p w14:paraId="7259A4D6" w14:textId="6136C8DB" w:rsidR="008E28B0" w:rsidRDefault="008E28B0" w:rsidP="008E28B0">
      <w:pPr>
        <w:pStyle w:val="Caption"/>
      </w:pPr>
      <w:bookmarkStart w:id="59" w:name="_Ref172309836"/>
      <w:r>
        <w:t xml:space="preserve">Figure </w:t>
      </w:r>
      <w:r>
        <w:fldChar w:fldCharType="begin"/>
      </w:r>
      <w:r>
        <w:instrText xml:space="preserve"> SEQ Figure \* ARABIC </w:instrText>
      </w:r>
      <w:r>
        <w:fldChar w:fldCharType="separate"/>
      </w:r>
      <w:r w:rsidR="009B5D8D">
        <w:rPr>
          <w:noProof/>
        </w:rPr>
        <w:t>17</w:t>
      </w:r>
      <w:r>
        <w:fldChar w:fldCharType="end"/>
      </w:r>
      <w:bookmarkEnd w:id="59"/>
      <w:r>
        <w:t xml:space="preserve"> | </w:t>
      </w:r>
      <w:r w:rsidRPr="0091717B">
        <w:t>Average prostheses utilisation per 1000 HT PHI members by age</w:t>
      </w:r>
      <w:r>
        <w:rPr>
          <w:rStyle w:val="FootnoteReference"/>
        </w:rPr>
        <w:footnoteReference w:id="62"/>
      </w:r>
    </w:p>
    <w:p w14:paraId="7415AD22" w14:textId="77777777" w:rsidR="008E28B0" w:rsidRDefault="008E28B0" w:rsidP="008E28B0">
      <w:pPr>
        <w:rPr>
          <w:lang w:val="en-AU" w:eastAsia="en-AU"/>
        </w:rPr>
      </w:pPr>
      <w:r w:rsidRPr="009B6E1D">
        <w:rPr>
          <w:noProof/>
          <w:lang w:val="en-AU"/>
        </w:rPr>
        <w:drawing>
          <wp:inline distT="0" distB="0" distL="0" distR="0" wp14:anchorId="4D9BE6A1" wp14:editId="70D32E18">
            <wp:extent cx="5779100" cy="2995684"/>
            <wp:effectExtent l="0" t="0" r="0" b="0"/>
            <wp:docPr id="2129738133" name="Picture 2129738133" descr="A graph of average prostheses utilisation per 1000 HT PHI members by age from financial year 2017 to financial yea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8133" name="Picture 2129738133" descr="A graph of average prostheses utilisation per 1000 HT PHI members by age from financial year 2017 to financial year 2023. "/>
                    <pic:cNvPicPr/>
                  </pic:nvPicPr>
                  <pic:blipFill>
                    <a:blip r:embed="rId54"/>
                    <a:stretch>
                      <a:fillRect/>
                    </a:stretch>
                  </pic:blipFill>
                  <pic:spPr>
                    <a:xfrm>
                      <a:off x="0" y="0"/>
                      <a:ext cx="5783545" cy="2997988"/>
                    </a:xfrm>
                    <a:prstGeom prst="rect">
                      <a:avLst/>
                    </a:prstGeom>
                  </pic:spPr>
                </pic:pic>
              </a:graphicData>
            </a:graphic>
          </wp:inline>
        </w:drawing>
      </w:r>
    </w:p>
    <w:p w14:paraId="6CD3A1C8" w14:textId="6D5EDC4F" w:rsidR="00905A64" w:rsidRDefault="00905A64" w:rsidP="00905A64">
      <w:pPr>
        <w:pStyle w:val="Heading2"/>
      </w:pPr>
      <w:bookmarkStart w:id="60" w:name="_Toc164439319"/>
      <w:bookmarkStart w:id="61" w:name="_Toc181405086"/>
      <w:r>
        <w:lastRenderedPageBreak/>
        <w:t>Objective 5: Clarify the purpose, definition and scope of the PL in legislation</w:t>
      </w:r>
      <w:bookmarkEnd w:id="60"/>
      <w:bookmarkEnd w:id="61"/>
    </w:p>
    <w:p w14:paraId="703E5D03" w14:textId="7BA3E9B1" w:rsidR="006A1C6F" w:rsidRPr="00EA5535" w:rsidRDefault="006A1C6F" w:rsidP="006A1C6F">
      <w:pPr>
        <w:rPr>
          <w:i/>
          <w:iCs/>
          <w:lang w:val="en-AU" w:eastAsia="en-AU"/>
        </w:rPr>
      </w:pPr>
      <w:r w:rsidRPr="00EA5535">
        <w:rPr>
          <w:i/>
          <w:iCs/>
          <w:lang w:val="en-AU" w:eastAsia="en-AU"/>
        </w:rPr>
        <w:t xml:space="preserve">This section considers </w:t>
      </w:r>
      <w:r w:rsidR="004C4BA4" w:rsidRPr="00EA5535">
        <w:rPr>
          <w:i/>
          <w:iCs/>
          <w:lang w:val="en-AU" w:eastAsia="en-AU"/>
        </w:rPr>
        <w:t>legislative changes in support of the PL</w:t>
      </w:r>
      <w:r w:rsidR="00D70BC3" w:rsidRPr="00EA5535">
        <w:rPr>
          <w:i/>
          <w:iCs/>
          <w:lang w:val="en-AU" w:eastAsia="en-AU"/>
        </w:rPr>
        <w:t xml:space="preserve">’s defined purpose and scope, implementation of new grouping structure and implementation of </w:t>
      </w:r>
      <w:r w:rsidR="00EA5535" w:rsidRPr="00EA5535">
        <w:rPr>
          <w:i/>
          <w:iCs/>
          <w:lang w:val="en-AU" w:eastAsia="en-AU"/>
        </w:rPr>
        <w:t>changes to GUIs.</w:t>
      </w:r>
      <w:r w:rsidR="00EA5535">
        <w:rPr>
          <w:i/>
          <w:iCs/>
          <w:lang w:val="en-AU" w:eastAsia="en-AU"/>
        </w:rPr>
        <w:t xml:space="preserve"> </w:t>
      </w:r>
      <w:r w:rsidR="00F37409">
        <w:rPr>
          <w:i/>
          <w:iCs/>
          <w:lang w:val="en-AU" w:eastAsia="en-AU"/>
        </w:rPr>
        <w:t xml:space="preserve">It </w:t>
      </w:r>
      <w:r w:rsidR="00B91E5B">
        <w:rPr>
          <w:i/>
          <w:iCs/>
          <w:lang w:val="en-AU" w:eastAsia="en-AU"/>
        </w:rPr>
        <w:t xml:space="preserve">describes progress towards these reform projects and </w:t>
      </w:r>
      <w:r w:rsidR="002751AF">
        <w:rPr>
          <w:i/>
          <w:iCs/>
          <w:lang w:val="en-AU" w:eastAsia="en-AU"/>
        </w:rPr>
        <w:t>summarises stakeholder perspectives on them.</w:t>
      </w:r>
    </w:p>
    <w:p w14:paraId="6C606D0A" w14:textId="0920FC6B" w:rsidR="00A0682D" w:rsidRDefault="00A0682D" w:rsidP="00A0682D">
      <w:pPr>
        <w:pStyle w:val="Caption"/>
        <w:rPr>
          <w:lang w:eastAsia="en-AU"/>
        </w:rPr>
      </w:pPr>
      <w:r>
        <w:t xml:space="preserve">Figure </w:t>
      </w:r>
      <w:r>
        <w:fldChar w:fldCharType="begin"/>
      </w:r>
      <w:r>
        <w:instrText xml:space="preserve"> SEQ Figure \* ARABIC </w:instrText>
      </w:r>
      <w:r>
        <w:fldChar w:fldCharType="separate"/>
      </w:r>
      <w:r w:rsidR="009B5D8D">
        <w:rPr>
          <w:noProof/>
        </w:rPr>
        <w:t>18</w:t>
      </w:r>
      <w:r>
        <w:fldChar w:fldCharType="end"/>
      </w:r>
      <w:r>
        <w:t xml:space="preserve"> | Reform projects related to reform objective 5</w:t>
      </w:r>
    </w:p>
    <w:p w14:paraId="4A25C088" w14:textId="11B1A7DC" w:rsidR="00A0682D" w:rsidRPr="00614C3A" w:rsidRDefault="00A0682D" w:rsidP="00A0682D">
      <w:pPr>
        <w:rPr>
          <w:lang w:eastAsia="en-AU"/>
        </w:rPr>
      </w:pPr>
      <w:r>
        <w:rPr>
          <w:noProof/>
        </w:rPr>
        <w:drawing>
          <wp:inline distT="0" distB="0" distL="0" distR="0" wp14:anchorId="2DD36599" wp14:editId="4B3BAF90">
            <wp:extent cx="5795158" cy="1057795"/>
            <wp:effectExtent l="0" t="0" r="0" b="9525"/>
            <wp:docPr id="468360584" name="Picture 1" descr="A figure showing Objective 5. Purpose, definition and scope of the PL connected to three reform projects. The projects are clarifying the scope and definition in legislation, regrouping of the PL, and review general us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60584" name="Picture 1" descr="A figure showing Objective 5. Purpose, definition and scope of the PL connected to three reform projects. The projects are clarifying the scope and definition in legislation, regrouping of the PL, and review general use items."/>
                    <pic:cNvPicPr/>
                  </pic:nvPicPr>
                  <pic:blipFill>
                    <a:blip r:embed="rId55">
                      <a:extLst>
                        <a:ext uri="{28A0092B-C50C-407E-A947-70E740481C1C}">
                          <a14:useLocalDpi xmlns:a14="http://schemas.microsoft.com/office/drawing/2010/main" val="0"/>
                        </a:ext>
                      </a:extLst>
                    </a:blip>
                    <a:stretch>
                      <a:fillRect/>
                    </a:stretch>
                  </pic:blipFill>
                  <pic:spPr>
                    <a:xfrm>
                      <a:off x="0" y="0"/>
                      <a:ext cx="5812298" cy="1060924"/>
                    </a:xfrm>
                    <a:prstGeom prst="rect">
                      <a:avLst/>
                    </a:prstGeom>
                  </pic:spPr>
                </pic:pic>
              </a:graphicData>
            </a:graphic>
          </wp:inline>
        </w:drawing>
      </w:r>
    </w:p>
    <w:p w14:paraId="24648D96" w14:textId="31C5C34A" w:rsidR="003F31E9" w:rsidRPr="003F31E9" w:rsidRDefault="00EC3B0A" w:rsidP="003F31E9">
      <w:pPr>
        <w:pStyle w:val="Heading3"/>
      </w:pPr>
      <w:bookmarkStart w:id="62" w:name="_Toc181405087"/>
      <w:r>
        <w:t xml:space="preserve">The reforms have </w:t>
      </w:r>
      <w:r w:rsidR="005D50D4">
        <w:t>brought about l</w:t>
      </w:r>
      <w:r w:rsidR="3E0C8629">
        <w:t>egislative changes</w:t>
      </w:r>
      <w:bookmarkEnd w:id="62"/>
    </w:p>
    <w:p w14:paraId="4BE23AAC" w14:textId="77777777" w:rsidR="004B7AE8" w:rsidRDefault="004B7AE8" w:rsidP="004B7AE8">
      <w:pPr>
        <w:pStyle w:val="Heading4"/>
      </w:pPr>
      <w:r>
        <w:t>Legislative amendments were made to update the PL purpose, definition and scope</w:t>
      </w:r>
    </w:p>
    <w:p w14:paraId="47D83C7C" w14:textId="665F1D05" w:rsidR="004A4D4F" w:rsidRDefault="00675D88" w:rsidP="106E97BF">
      <w:pPr>
        <w:rPr>
          <w:lang w:val="en-AU" w:eastAsia="en-AU"/>
        </w:rPr>
      </w:pPr>
      <w:r w:rsidRPr="002546ED">
        <w:rPr>
          <w:lang w:val="en-AU" w:eastAsia="en-AU"/>
        </w:rPr>
        <w:t xml:space="preserve">The </w:t>
      </w:r>
      <w:r w:rsidRPr="009316A2">
        <w:rPr>
          <w:i/>
          <w:iCs/>
          <w:lang w:val="en-AU" w:eastAsia="en-AU"/>
        </w:rPr>
        <w:t>Private Health Insurance Act 2007</w:t>
      </w:r>
      <w:r w:rsidRPr="002546ED">
        <w:rPr>
          <w:lang w:val="en-AU" w:eastAsia="en-AU"/>
        </w:rPr>
        <w:t xml:space="preserve"> (PHI Act) </w:t>
      </w:r>
      <w:r w:rsidR="002D7B58">
        <w:rPr>
          <w:lang w:val="en-AU" w:eastAsia="en-AU"/>
        </w:rPr>
        <w:t>establishes the</w:t>
      </w:r>
      <w:r w:rsidRPr="002546ED">
        <w:rPr>
          <w:lang w:val="en-AU" w:eastAsia="en-AU"/>
        </w:rPr>
        <w:t xml:space="preserve"> Private Health Insurance Rules </w:t>
      </w:r>
      <w:r w:rsidR="00D938DB">
        <w:rPr>
          <w:lang w:val="en-AU" w:eastAsia="en-AU"/>
        </w:rPr>
        <w:t xml:space="preserve">to </w:t>
      </w:r>
      <w:r w:rsidRPr="002546ED">
        <w:rPr>
          <w:lang w:val="en-AU" w:eastAsia="en-AU"/>
        </w:rPr>
        <w:t xml:space="preserve">specify the minimum and maximum benefits that private health insurers are required to pay for items that are included </w:t>
      </w:r>
      <w:r w:rsidR="00D740E7">
        <w:rPr>
          <w:lang w:val="en-AU" w:eastAsia="en-AU"/>
        </w:rPr>
        <w:t>on</w:t>
      </w:r>
      <w:r w:rsidRPr="002546ED">
        <w:rPr>
          <w:lang w:val="en-AU" w:eastAsia="en-AU"/>
        </w:rPr>
        <w:t xml:space="preserve"> th</w:t>
      </w:r>
      <w:r w:rsidR="00037B72">
        <w:rPr>
          <w:lang w:val="en-AU" w:eastAsia="en-AU"/>
        </w:rPr>
        <w:t xml:space="preserve">e </w:t>
      </w:r>
      <w:r w:rsidR="00D740E7">
        <w:rPr>
          <w:lang w:val="en-AU" w:eastAsia="en-AU"/>
        </w:rPr>
        <w:t>PL</w:t>
      </w:r>
      <w:r w:rsidRPr="002546ED">
        <w:rPr>
          <w:lang w:val="en-AU" w:eastAsia="en-AU"/>
        </w:rPr>
        <w:t>.</w:t>
      </w:r>
      <w:r w:rsidR="00037B72">
        <w:rPr>
          <w:rStyle w:val="FootnoteReference"/>
          <w:lang w:val="en-AU" w:eastAsia="en-AU"/>
        </w:rPr>
        <w:footnoteReference w:id="63"/>
      </w:r>
      <w:r w:rsidR="00D77937">
        <w:rPr>
          <w:lang w:val="en-AU" w:eastAsia="en-AU"/>
        </w:rPr>
        <w:t xml:space="preserve"> </w:t>
      </w:r>
      <w:r w:rsidR="00D740E7" w:rsidRPr="00D740E7">
        <w:rPr>
          <w:lang w:val="en-AU" w:eastAsia="en-AU"/>
        </w:rPr>
        <w:t xml:space="preserve">These benefits are paid to a hospital when items included on the </w:t>
      </w:r>
      <w:r w:rsidR="00192E38">
        <w:rPr>
          <w:lang w:val="en-AU" w:eastAsia="en-AU"/>
        </w:rPr>
        <w:t>PL</w:t>
      </w:r>
      <w:r w:rsidR="00D740E7" w:rsidRPr="00D740E7">
        <w:rPr>
          <w:lang w:val="en-AU" w:eastAsia="en-AU"/>
        </w:rPr>
        <w:t xml:space="preserve"> are provided to someone with eligible private health insurance as part of hospital or hospital substitute treatment</w:t>
      </w:r>
      <w:r w:rsidR="00F41936">
        <w:rPr>
          <w:lang w:val="en-AU" w:eastAsia="en-AU"/>
        </w:rPr>
        <w:t xml:space="preserve"> and </w:t>
      </w:r>
      <w:r w:rsidR="00D740E7" w:rsidRPr="00D740E7">
        <w:rPr>
          <w:lang w:val="en-AU" w:eastAsia="en-AU"/>
        </w:rPr>
        <w:t>where there is a Medicare benefit payable for a service associated with the use of the item.</w:t>
      </w:r>
      <w:r w:rsidR="0091655F">
        <w:rPr>
          <w:rStyle w:val="FootnoteReference"/>
          <w:lang w:val="en-AU" w:eastAsia="en-AU"/>
        </w:rPr>
        <w:footnoteReference w:id="64"/>
      </w:r>
      <w:r w:rsidR="004A4D4F">
        <w:rPr>
          <w:lang w:val="en-AU" w:eastAsia="en-AU"/>
        </w:rPr>
        <w:t xml:space="preserve"> </w:t>
      </w:r>
    </w:p>
    <w:p w14:paraId="1AA3746E" w14:textId="73B5C966" w:rsidR="002C2EAE" w:rsidRDefault="00653DDC" w:rsidP="008A60B8">
      <w:pPr>
        <w:rPr>
          <w:lang w:val="en-AU" w:eastAsia="en-AU"/>
        </w:rPr>
      </w:pPr>
      <w:r w:rsidRPr="6CCE462B">
        <w:rPr>
          <w:lang w:val="en-AU" w:eastAsia="en-AU"/>
        </w:rPr>
        <w:t xml:space="preserve">The </w:t>
      </w:r>
      <w:r w:rsidR="6DF60575" w:rsidRPr="6CCE462B">
        <w:rPr>
          <w:lang w:val="en-AU" w:eastAsia="en-AU"/>
        </w:rPr>
        <w:t xml:space="preserve">Australian Government </w:t>
      </w:r>
      <w:r w:rsidR="73AB152C" w:rsidRPr="6CCE462B">
        <w:rPr>
          <w:lang w:val="en-AU" w:eastAsia="en-AU"/>
        </w:rPr>
        <w:t>sought</w:t>
      </w:r>
      <w:r w:rsidRPr="6CCE462B">
        <w:rPr>
          <w:lang w:val="en-AU" w:eastAsia="en-AU"/>
        </w:rPr>
        <w:t xml:space="preserve"> to make legislative changes to the </w:t>
      </w:r>
      <w:r w:rsidR="009D535A">
        <w:rPr>
          <w:lang w:val="en-AU" w:eastAsia="en-AU"/>
        </w:rPr>
        <w:t>PHI</w:t>
      </w:r>
      <w:r w:rsidRPr="6CCE462B">
        <w:rPr>
          <w:lang w:val="en-AU" w:eastAsia="en-AU"/>
        </w:rPr>
        <w:t xml:space="preserve"> Act</w:t>
      </w:r>
      <w:r w:rsidR="005736F6">
        <w:rPr>
          <w:lang w:val="en-AU" w:eastAsia="en-AU"/>
        </w:rPr>
        <w:t xml:space="preserve"> </w:t>
      </w:r>
      <w:r w:rsidRPr="6CCE462B">
        <w:rPr>
          <w:lang w:val="en-AU" w:eastAsia="en-AU"/>
        </w:rPr>
        <w:t>to support the PL reforms</w:t>
      </w:r>
      <w:r w:rsidR="0099783F" w:rsidRPr="6CCE462B">
        <w:rPr>
          <w:lang w:val="en-AU" w:eastAsia="en-AU"/>
        </w:rPr>
        <w:t>, specifically related to clarifying the purpose, definition and scope of the PL.</w:t>
      </w:r>
      <w:r w:rsidR="00670147" w:rsidRPr="6CCE462B">
        <w:rPr>
          <w:lang w:val="en-AU" w:eastAsia="en-AU"/>
        </w:rPr>
        <w:t xml:space="preserve"> </w:t>
      </w:r>
      <w:r w:rsidR="00927DF2">
        <w:rPr>
          <w:lang w:val="en-AU" w:eastAsia="en-AU"/>
        </w:rPr>
        <w:t xml:space="preserve">This was driven by the cost of prostheses being identified as a factor in the rising price of PHI premiums and </w:t>
      </w:r>
      <w:r w:rsidR="00F159F2">
        <w:rPr>
          <w:lang w:val="en-AU" w:eastAsia="en-AU"/>
        </w:rPr>
        <w:t xml:space="preserve">unclear scope resulting in increased complexity and size of the list over time. </w:t>
      </w:r>
      <w:r w:rsidR="00CB4659">
        <w:rPr>
          <w:lang w:val="en-AU" w:eastAsia="en-AU"/>
        </w:rPr>
        <w:t xml:space="preserve">Critically, the PL lacked a legislative definition of a ‘prostheses’ resulting in items being listed on the PL that </w:t>
      </w:r>
      <w:r w:rsidR="00600980">
        <w:rPr>
          <w:lang w:val="en-AU" w:eastAsia="en-AU"/>
        </w:rPr>
        <w:t>could be better funded by other means.</w:t>
      </w:r>
      <w:r w:rsidR="00BD4E52">
        <w:rPr>
          <w:rStyle w:val="FootnoteReference"/>
          <w:lang w:val="en-AU" w:eastAsia="en-AU"/>
        </w:rPr>
        <w:footnoteReference w:id="65"/>
      </w:r>
      <w:r w:rsidR="00600980">
        <w:rPr>
          <w:lang w:val="en-AU" w:eastAsia="en-AU"/>
        </w:rPr>
        <w:t xml:space="preserve"> </w:t>
      </w:r>
    </w:p>
    <w:p w14:paraId="08FC2B0A" w14:textId="70B504C2" w:rsidR="008A60B8" w:rsidRDefault="008A60B8" w:rsidP="008A60B8">
      <w:pPr>
        <w:rPr>
          <w:lang w:val="en-AU" w:eastAsia="en-AU"/>
        </w:rPr>
      </w:pPr>
      <w:r w:rsidRPr="4EE7FD97">
        <w:rPr>
          <w:lang w:val="en-AU" w:eastAsia="en-AU"/>
        </w:rPr>
        <w:t xml:space="preserve">The first tranche of legislative changes was circulated to stakeholders for a formal round of feedback in November 2022, and then introduced into Parliament on 1 December 2022. These bills were passed in March 2023 and made several important changes to terminology and definitions. A second tranche of legislation updated the listing criteria in the newly renamed </w:t>
      </w:r>
      <w:r w:rsidRPr="00A10B1F">
        <w:rPr>
          <w:i/>
          <w:iCs/>
          <w:lang w:val="en-AU" w:eastAsia="en-AU"/>
        </w:rPr>
        <w:t>Private Health Insurance (Medical Device and Human Tissue Product) Rules</w:t>
      </w:r>
      <w:r w:rsidRPr="4EE7FD97">
        <w:rPr>
          <w:lang w:val="en-AU" w:eastAsia="en-AU"/>
        </w:rPr>
        <w:t>, to further clarify what products are eligible for inclusion on the PL and what is ineligible.</w:t>
      </w:r>
      <w:r>
        <w:rPr>
          <w:lang w:val="en-AU" w:eastAsia="en-AU"/>
        </w:rPr>
        <w:t xml:space="preserve"> </w:t>
      </w:r>
      <w:r w:rsidRPr="0FB6F3D9">
        <w:rPr>
          <w:lang w:val="en-AU" w:eastAsia="en-AU"/>
        </w:rPr>
        <w:t xml:space="preserve">A detailed timeline is outlined </w:t>
      </w:r>
      <w:r w:rsidR="002E5D83">
        <w:rPr>
          <w:lang w:val="en-AU" w:eastAsia="en-AU"/>
        </w:rPr>
        <w:fldChar w:fldCharType="begin"/>
      </w:r>
      <w:r w:rsidR="002E5D83">
        <w:rPr>
          <w:lang w:val="en-AU" w:eastAsia="en-AU"/>
        </w:rPr>
        <w:instrText xml:space="preserve"> REF _Ref172310537 \h </w:instrText>
      </w:r>
      <w:r w:rsidR="002E5D83">
        <w:rPr>
          <w:lang w:val="en-AU" w:eastAsia="en-AU"/>
        </w:rPr>
      </w:r>
      <w:r w:rsidR="002E5D83">
        <w:rPr>
          <w:lang w:val="en-AU" w:eastAsia="en-AU"/>
        </w:rPr>
        <w:fldChar w:fldCharType="separate"/>
      </w:r>
      <w:r w:rsidR="009B5D8D">
        <w:t xml:space="preserve">Figure </w:t>
      </w:r>
      <w:r w:rsidR="009B5D8D">
        <w:rPr>
          <w:noProof/>
        </w:rPr>
        <w:t>19</w:t>
      </w:r>
      <w:r w:rsidR="002E5D83">
        <w:rPr>
          <w:lang w:val="en-AU" w:eastAsia="en-AU"/>
        </w:rPr>
        <w:fldChar w:fldCharType="end"/>
      </w:r>
      <w:r>
        <w:rPr>
          <w:lang w:val="en-AU" w:eastAsia="en-AU"/>
        </w:rPr>
        <w:t xml:space="preserve"> </w:t>
      </w:r>
      <w:r w:rsidRPr="0FB6F3D9">
        <w:rPr>
          <w:lang w:val="en-AU" w:eastAsia="en-AU"/>
        </w:rPr>
        <w:t>below.</w:t>
      </w:r>
    </w:p>
    <w:p w14:paraId="6BCC6555" w14:textId="683E9440" w:rsidR="008A60B8" w:rsidRDefault="008A60B8" w:rsidP="008A60B8">
      <w:pPr>
        <w:pStyle w:val="Caption"/>
        <w:rPr>
          <w:lang w:eastAsia="en-AU"/>
        </w:rPr>
      </w:pPr>
      <w:bookmarkStart w:id="63" w:name="_Ref172310537"/>
      <w:r>
        <w:lastRenderedPageBreak/>
        <w:t xml:space="preserve">Figure </w:t>
      </w:r>
      <w:r>
        <w:fldChar w:fldCharType="begin"/>
      </w:r>
      <w:r>
        <w:instrText xml:space="preserve"> SEQ Figure \* ARABIC </w:instrText>
      </w:r>
      <w:r>
        <w:fldChar w:fldCharType="separate"/>
      </w:r>
      <w:r w:rsidR="009B5D8D">
        <w:rPr>
          <w:noProof/>
        </w:rPr>
        <w:t>19</w:t>
      </w:r>
      <w:r>
        <w:fldChar w:fldCharType="end"/>
      </w:r>
      <w:bookmarkEnd w:id="63"/>
      <w:r>
        <w:t xml:space="preserve"> | Timeline of legislative changes</w:t>
      </w:r>
    </w:p>
    <w:p w14:paraId="30EB37F8" w14:textId="4ACF059A" w:rsidR="008A60B8" w:rsidRDefault="008A60B8" w:rsidP="008A60B8">
      <w:pPr>
        <w:rPr>
          <w:lang w:val="en-AU" w:eastAsia="en-AU"/>
        </w:rPr>
      </w:pPr>
      <w:r>
        <w:rPr>
          <w:noProof/>
          <w:lang w:val="en-AU"/>
        </w:rPr>
        <w:drawing>
          <wp:inline distT="0" distB="0" distL="0" distR="0" wp14:anchorId="0316BCFD" wp14:editId="27F2F403">
            <wp:extent cx="5733652" cy="3411940"/>
            <wp:effectExtent l="0" t="0" r="635" b="0"/>
            <wp:docPr id="391048796" name="Picture 20" descr="A figure showing the timeline of legislative changes during the PL reform period. It shows key dates for the three tranches of legislation. Tranche 1 is described as: 1. Insert definitions of medical device and human tissue product; 2. Change the name of the legislative instrument to better reflect its scope, 3. Establish the authority for revised cost recovery arrangements. Tranche 2 is described as: 1. Listing criteria for Part A, B and C of the PL; 2. Revised cost recovery arrangements. Tranche 3 is described as: 1. Compliance, assurance and information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48796" name="Picture 20" descr="A figure showing the timeline of legislative changes during the PL reform period. It shows key dates for the three tranches of legislation. Tranche 1 is described as: 1. Insert definitions of medical device and human tissue product; 2. Change the name of the legislative instrument to better reflect its scope, 3. Establish the authority for revised cost recovery arrangements. Tranche 2 is described as: 1. Listing criteria for Part A, B and C of the PL; 2. Revised cost recovery arrangements. Tranche 3 is described as: 1. Compliance, assurance and information sharing.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4303" cy="3412327"/>
                    </a:xfrm>
                    <a:prstGeom prst="rect">
                      <a:avLst/>
                    </a:prstGeom>
                  </pic:spPr>
                </pic:pic>
              </a:graphicData>
            </a:graphic>
          </wp:inline>
        </w:drawing>
      </w:r>
    </w:p>
    <w:p w14:paraId="07ECF9BA" w14:textId="2F03E79E" w:rsidR="0083571A" w:rsidRDefault="00D15320" w:rsidP="0254B43A">
      <w:pPr>
        <w:rPr>
          <w:lang w:eastAsia="en-AU"/>
        </w:rPr>
      </w:pPr>
      <w:r>
        <w:rPr>
          <w:lang w:eastAsia="en-AU"/>
        </w:rPr>
        <w:t xml:space="preserve">As a result of these changes, the </w:t>
      </w:r>
      <w:r w:rsidR="002C2EAE">
        <w:rPr>
          <w:i/>
          <w:iCs/>
          <w:lang w:eastAsia="en-AU"/>
        </w:rPr>
        <w:t>Private Health Insurance Act 2007</w:t>
      </w:r>
      <w:r w:rsidR="002C2EAE">
        <w:rPr>
          <w:lang w:eastAsia="en-AU"/>
        </w:rPr>
        <w:t xml:space="preserve"> has been updated to replace </w:t>
      </w:r>
      <w:r w:rsidR="7512F053" w:rsidRPr="0FB6F3D9">
        <w:rPr>
          <w:lang w:eastAsia="en-AU"/>
        </w:rPr>
        <w:t xml:space="preserve">the term </w:t>
      </w:r>
      <w:r w:rsidR="009D535A">
        <w:rPr>
          <w:lang w:eastAsia="en-AU"/>
        </w:rPr>
        <w:t>‘</w:t>
      </w:r>
      <w:r w:rsidR="7512F053" w:rsidRPr="0FB6F3D9">
        <w:rPr>
          <w:lang w:eastAsia="en-AU"/>
        </w:rPr>
        <w:t>prostheses</w:t>
      </w:r>
      <w:r w:rsidR="009D535A">
        <w:rPr>
          <w:lang w:eastAsia="en-AU"/>
        </w:rPr>
        <w:t>’</w:t>
      </w:r>
      <w:r w:rsidR="7512F053" w:rsidRPr="0FB6F3D9">
        <w:rPr>
          <w:lang w:eastAsia="en-AU"/>
        </w:rPr>
        <w:t xml:space="preserve"> </w:t>
      </w:r>
      <w:r w:rsidR="002C2EAE">
        <w:rPr>
          <w:lang w:eastAsia="en-AU"/>
        </w:rPr>
        <w:t xml:space="preserve">with </w:t>
      </w:r>
      <w:r w:rsidR="005D0045">
        <w:rPr>
          <w:lang w:eastAsia="en-AU"/>
        </w:rPr>
        <w:t xml:space="preserve">the </w:t>
      </w:r>
      <w:r w:rsidR="002C2EAE">
        <w:rPr>
          <w:lang w:eastAsia="en-AU"/>
        </w:rPr>
        <w:t xml:space="preserve">more contemporary </w:t>
      </w:r>
      <w:r w:rsidR="7512F053" w:rsidRPr="0FB6F3D9">
        <w:rPr>
          <w:lang w:eastAsia="en-AU"/>
        </w:rPr>
        <w:t xml:space="preserve">terminology of ‘medical devices’ and ‘human tissue products’ and </w:t>
      </w:r>
      <w:r w:rsidR="002C2EAE">
        <w:rPr>
          <w:lang w:eastAsia="en-AU"/>
        </w:rPr>
        <w:t xml:space="preserve">has </w:t>
      </w:r>
      <w:r w:rsidR="7512F053" w:rsidRPr="0FB6F3D9">
        <w:rPr>
          <w:lang w:eastAsia="en-AU"/>
        </w:rPr>
        <w:t>insert</w:t>
      </w:r>
      <w:r w:rsidR="0083571A">
        <w:rPr>
          <w:lang w:eastAsia="en-AU"/>
        </w:rPr>
        <w:t xml:space="preserve">ed </w:t>
      </w:r>
      <w:r w:rsidR="7512F053" w:rsidRPr="0FB6F3D9">
        <w:rPr>
          <w:lang w:eastAsia="en-AU"/>
        </w:rPr>
        <w:t xml:space="preserve">definitions for these new terms in section 72-12 of </w:t>
      </w:r>
      <w:r w:rsidR="002C2EAE">
        <w:rPr>
          <w:lang w:eastAsia="en-AU"/>
        </w:rPr>
        <w:t>the Act</w:t>
      </w:r>
      <w:r w:rsidR="7512F053" w:rsidRPr="0FB6F3D9">
        <w:rPr>
          <w:lang w:eastAsia="en-AU"/>
        </w:rPr>
        <w:t xml:space="preserve">. </w:t>
      </w:r>
      <w:r w:rsidR="00BF7112">
        <w:rPr>
          <w:lang w:eastAsia="en-AU"/>
        </w:rPr>
        <w:t xml:space="preserve">A </w:t>
      </w:r>
      <w:r w:rsidR="004B5CB9">
        <w:rPr>
          <w:lang w:eastAsia="en-AU"/>
        </w:rPr>
        <w:t>list</w:t>
      </w:r>
      <w:r w:rsidR="00BF7112">
        <w:rPr>
          <w:lang w:eastAsia="en-AU"/>
        </w:rPr>
        <w:t xml:space="preserve"> of these terminology </w:t>
      </w:r>
      <w:r w:rsidR="0013320D">
        <w:rPr>
          <w:lang w:eastAsia="en-AU"/>
        </w:rPr>
        <w:t xml:space="preserve">changes </w:t>
      </w:r>
      <w:r w:rsidR="002C2EAE">
        <w:rPr>
          <w:lang w:eastAsia="en-AU"/>
        </w:rPr>
        <w:t>is</w:t>
      </w:r>
      <w:r w:rsidR="0013320D">
        <w:rPr>
          <w:lang w:eastAsia="en-AU"/>
        </w:rPr>
        <w:t xml:space="preserve"> summari</w:t>
      </w:r>
      <w:r w:rsidR="002C2EAE">
        <w:rPr>
          <w:lang w:eastAsia="en-AU"/>
        </w:rPr>
        <w:t>s</w:t>
      </w:r>
      <w:r w:rsidR="0013320D">
        <w:rPr>
          <w:lang w:eastAsia="en-AU"/>
        </w:rPr>
        <w:t xml:space="preserve">ed in </w:t>
      </w:r>
      <w:r w:rsidR="0013320D">
        <w:rPr>
          <w:lang w:eastAsia="en-AU"/>
        </w:rPr>
        <w:fldChar w:fldCharType="begin"/>
      </w:r>
      <w:r w:rsidR="0013320D">
        <w:rPr>
          <w:lang w:eastAsia="en-AU"/>
        </w:rPr>
        <w:instrText xml:space="preserve"> REF _Ref172280899 \h </w:instrText>
      </w:r>
      <w:r w:rsidR="0013320D">
        <w:rPr>
          <w:lang w:eastAsia="en-AU"/>
        </w:rPr>
      </w:r>
      <w:r w:rsidR="0013320D">
        <w:rPr>
          <w:lang w:eastAsia="en-AU"/>
        </w:rPr>
        <w:fldChar w:fldCharType="separate"/>
      </w:r>
      <w:r w:rsidR="009B5D8D">
        <w:t xml:space="preserve">Table </w:t>
      </w:r>
      <w:r w:rsidR="009B5D8D">
        <w:rPr>
          <w:noProof/>
        </w:rPr>
        <w:t>6</w:t>
      </w:r>
      <w:r w:rsidR="0013320D">
        <w:rPr>
          <w:lang w:eastAsia="en-AU"/>
        </w:rPr>
        <w:fldChar w:fldCharType="end"/>
      </w:r>
      <w:r w:rsidR="0013320D">
        <w:rPr>
          <w:lang w:eastAsia="en-AU"/>
        </w:rPr>
        <w:t xml:space="preserve"> below. </w:t>
      </w:r>
    </w:p>
    <w:p w14:paraId="56010CB5" w14:textId="42F33A5F" w:rsidR="00BF7112" w:rsidRPr="008A6A52" w:rsidRDefault="00BF7112" w:rsidP="00BF7112">
      <w:pPr>
        <w:pStyle w:val="Caption"/>
      </w:pPr>
      <w:bookmarkStart w:id="64" w:name="_Ref172280899"/>
      <w:r>
        <w:t xml:space="preserve">Table </w:t>
      </w:r>
      <w:r>
        <w:fldChar w:fldCharType="begin"/>
      </w:r>
      <w:r>
        <w:instrText xml:space="preserve"> SEQ Table \* ARABIC </w:instrText>
      </w:r>
      <w:r>
        <w:fldChar w:fldCharType="separate"/>
      </w:r>
      <w:r w:rsidR="009B5D8D">
        <w:rPr>
          <w:noProof/>
        </w:rPr>
        <w:t>6</w:t>
      </w:r>
      <w:r>
        <w:fldChar w:fldCharType="end"/>
      </w:r>
      <w:bookmarkEnd w:id="64"/>
      <w:r>
        <w:t xml:space="preserve"> | Updated PL terminology and definitions </w:t>
      </w:r>
      <w:r>
        <w:rPr>
          <w:noProof/>
        </w:rPr>
        <w:t>in legislation</w:t>
      </w:r>
      <w:r>
        <w:rPr>
          <w:rStyle w:val="FootnoteReference"/>
          <w:lang w:eastAsia="en-AU"/>
        </w:rPr>
        <w:footnoteReference w:id="66"/>
      </w:r>
    </w:p>
    <w:tbl>
      <w:tblPr>
        <w:tblW w:w="90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4960"/>
      </w:tblGrid>
      <w:tr w:rsidR="00BF7112" w:rsidRPr="00A15C58" w14:paraId="2AEED068" w14:textId="77777777" w:rsidTr="000862DB">
        <w:trPr>
          <w:trHeight w:val="300"/>
        </w:trPr>
        <w:tc>
          <w:tcPr>
            <w:tcW w:w="4103" w:type="dxa"/>
            <w:tcBorders>
              <w:top w:val="single" w:sz="24" w:space="0" w:color="F8981D"/>
              <w:left w:val="single" w:sz="6" w:space="0" w:color="FFFFFF"/>
              <w:bottom w:val="nil"/>
              <w:right w:val="single" w:sz="6" w:space="0" w:color="FFFFFF"/>
            </w:tcBorders>
            <w:shd w:val="clear" w:color="auto" w:fill="E6E6E1"/>
            <w:vAlign w:val="center"/>
            <w:hideMark/>
          </w:tcPr>
          <w:p w14:paraId="01517032" w14:textId="77777777" w:rsidR="00BF7112" w:rsidRPr="00A15C58" w:rsidRDefault="00BF7112">
            <w:pPr>
              <w:pStyle w:val="TableNheader"/>
              <w:ind w:left="113"/>
            </w:pPr>
            <w:r>
              <w:t xml:space="preserve">Old terms  </w:t>
            </w:r>
          </w:p>
        </w:tc>
        <w:tc>
          <w:tcPr>
            <w:tcW w:w="4960" w:type="dxa"/>
            <w:tcBorders>
              <w:top w:val="single" w:sz="24" w:space="0" w:color="F8981D"/>
              <w:left w:val="single" w:sz="6" w:space="0" w:color="FFFFFF"/>
              <w:bottom w:val="nil"/>
              <w:right w:val="nil"/>
            </w:tcBorders>
            <w:shd w:val="clear" w:color="auto" w:fill="E6E6E1"/>
            <w:vAlign w:val="center"/>
            <w:hideMark/>
          </w:tcPr>
          <w:p w14:paraId="2C49EBFB" w14:textId="77777777" w:rsidR="00BF7112" w:rsidRPr="00A15C58" w:rsidRDefault="00BF7112">
            <w:pPr>
              <w:pStyle w:val="TableNheader"/>
              <w:ind w:left="113"/>
            </w:pPr>
            <w:r>
              <w:t xml:space="preserve">Updated terms in legislation </w:t>
            </w:r>
          </w:p>
        </w:tc>
      </w:tr>
      <w:tr w:rsidR="00BF7112" w:rsidRPr="00A15C58" w14:paraId="1ADB18BB" w14:textId="77777777" w:rsidTr="000862DB">
        <w:trPr>
          <w:trHeight w:val="300"/>
        </w:trPr>
        <w:tc>
          <w:tcPr>
            <w:tcW w:w="4103" w:type="dxa"/>
            <w:tcBorders>
              <w:top w:val="single" w:sz="6" w:space="0" w:color="E6E6E1"/>
              <w:left w:val="nil"/>
              <w:bottom w:val="single" w:sz="6" w:space="0" w:color="E6E6E1"/>
              <w:right w:val="nil"/>
            </w:tcBorders>
            <w:shd w:val="clear" w:color="auto" w:fill="auto"/>
            <w:vAlign w:val="center"/>
            <w:hideMark/>
          </w:tcPr>
          <w:p w14:paraId="26BDEB0E" w14:textId="77777777" w:rsidR="00BF7112" w:rsidRPr="00A15C58" w:rsidRDefault="00BF7112">
            <w:pPr>
              <w:pStyle w:val="TableExpBullet0"/>
              <w:numPr>
                <w:ilvl w:val="0"/>
                <w:numId w:val="0"/>
              </w:numPr>
              <w:ind w:left="113"/>
            </w:pPr>
            <w:r>
              <w:t xml:space="preserve">Prostheses or prosthesis </w:t>
            </w:r>
            <w:r w:rsidRPr="00A15C58">
              <w:t> </w:t>
            </w:r>
          </w:p>
        </w:tc>
        <w:tc>
          <w:tcPr>
            <w:tcW w:w="4960" w:type="dxa"/>
            <w:tcBorders>
              <w:top w:val="single" w:sz="6" w:space="0" w:color="E6E6E1"/>
              <w:left w:val="nil"/>
              <w:bottom w:val="single" w:sz="6" w:space="0" w:color="E6E6E1"/>
              <w:right w:val="nil"/>
            </w:tcBorders>
            <w:shd w:val="clear" w:color="auto" w:fill="auto"/>
            <w:vAlign w:val="center"/>
            <w:hideMark/>
          </w:tcPr>
          <w:p w14:paraId="5EEF3BEF" w14:textId="77777777" w:rsidR="00BF7112" w:rsidRPr="00A15C58" w:rsidRDefault="00BF7112">
            <w:pPr>
              <w:pStyle w:val="TableExpBullet0"/>
              <w:numPr>
                <w:ilvl w:val="0"/>
                <w:numId w:val="0"/>
              </w:numPr>
              <w:ind w:left="113"/>
            </w:pPr>
            <w:r>
              <w:t>Medical device or human tissue product</w:t>
            </w:r>
            <w:r w:rsidRPr="00A15C58">
              <w:t> </w:t>
            </w:r>
          </w:p>
        </w:tc>
      </w:tr>
      <w:tr w:rsidR="00BF7112" w:rsidRPr="00A15C58" w14:paraId="7588D654" w14:textId="77777777" w:rsidTr="000862DB">
        <w:trPr>
          <w:trHeight w:val="300"/>
        </w:trPr>
        <w:tc>
          <w:tcPr>
            <w:tcW w:w="4103" w:type="dxa"/>
            <w:tcBorders>
              <w:top w:val="single" w:sz="6" w:space="0" w:color="E6E6E1"/>
              <w:left w:val="nil"/>
              <w:bottom w:val="single" w:sz="6" w:space="0" w:color="E6E6E1"/>
              <w:right w:val="nil"/>
            </w:tcBorders>
            <w:shd w:val="clear" w:color="auto" w:fill="auto"/>
            <w:vAlign w:val="center"/>
          </w:tcPr>
          <w:p w14:paraId="62507215" w14:textId="77777777" w:rsidR="00BF7112" w:rsidRDefault="00BF7112">
            <w:pPr>
              <w:pStyle w:val="TableExpBullet0"/>
              <w:numPr>
                <w:ilvl w:val="0"/>
                <w:numId w:val="0"/>
              </w:numPr>
              <w:ind w:left="113"/>
            </w:pPr>
            <w:r>
              <w:t xml:space="preserve">Private Health Insurance (Prostheses) Rules (Prostheses Rules) </w:t>
            </w:r>
          </w:p>
        </w:tc>
        <w:tc>
          <w:tcPr>
            <w:tcW w:w="4960" w:type="dxa"/>
            <w:tcBorders>
              <w:top w:val="single" w:sz="6" w:space="0" w:color="E6E6E1"/>
              <w:left w:val="nil"/>
              <w:bottom w:val="single" w:sz="6" w:space="0" w:color="E6E6E1"/>
              <w:right w:val="nil"/>
            </w:tcBorders>
            <w:shd w:val="clear" w:color="auto" w:fill="auto"/>
            <w:vAlign w:val="center"/>
          </w:tcPr>
          <w:p w14:paraId="433579A7" w14:textId="77777777" w:rsidR="00BF7112" w:rsidRDefault="00BF7112">
            <w:pPr>
              <w:pStyle w:val="TableExpBullet0"/>
              <w:numPr>
                <w:ilvl w:val="0"/>
                <w:numId w:val="0"/>
              </w:numPr>
              <w:ind w:left="113"/>
            </w:pPr>
            <w:r>
              <w:t xml:space="preserve">Private Health Insurance (Medical Devices and Human Tissue Products) Rules (the MDHTP Rules) </w:t>
            </w:r>
          </w:p>
        </w:tc>
      </w:tr>
      <w:tr w:rsidR="00BF7112" w:rsidRPr="00A15C58" w14:paraId="3F17493E" w14:textId="77777777" w:rsidTr="000862DB">
        <w:trPr>
          <w:trHeight w:val="300"/>
        </w:trPr>
        <w:tc>
          <w:tcPr>
            <w:tcW w:w="4103" w:type="dxa"/>
            <w:tcBorders>
              <w:top w:val="single" w:sz="6" w:space="0" w:color="E6E6E1"/>
              <w:left w:val="nil"/>
              <w:bottom w:val="single" w:sz="6" w:space="0" w:color="E6E6E1"/>
              <w:right w:val="nil"/>
            </w:tcBorders>
            <w:shd w:val="clear" w:color="auto" w:fill="auto"/>
            <w:vAlign w:val="center"/>
          </w:tcPr>
          <w:p w14:paraId="1D934C7A" w14:textId="77777777" w:rsidR="00BF7112" w:rsidRDefault="00BF7112">
            <w:pPr>
              <w:pStyle w:val="TableExpBullet0"/>
              <w:numPr>
                <w:ilvl w:val="0"/>
                <w:numId w:val="0"/>
              </w:numPr>
              <w:ind w:left="113"/>
            </w:pPr>
            <w:r>
              <w:t xml:space="preserve">Prostheses List (Schedule to the Prostheses Rules) </w:t>
            </w:r>
          </w:p>
        </w:tc>
        <w:tc>
          <w:tcPr>
            <w:tcW w:w="4960" w:type="dxa"/>
            <w:tcBorders>
              <w:top w:val="single" w:sz="6" w:space="0" w:color="E6E6E1"/>
              <w:left w:val="nil"/>
              <w:bottom w:val="single" w:sz="6" w:space="0" w:color="E6E6E1"/>
              <w:right w:val="nil"/>
            </w:tcBorders>
            <w:shd w:val="clear" w:color="auto" w:fill="auto"/>
            <w:vAlign w:val="center"/>
          </w:tcPr>
          <w:p w14:paraId="36E9B6D1" w14:textId="77777777" w:rsidR="00BF7112" w:rsidRDefault="00BF7112">
            <w:pPr>
              <w:pStyle w:val="TableExpBullet0"/>
              <w:numPr>
                <w:ilvl w:val="0"/>
                <w:numId w:val="0"/>
              </w:numPr>
              <w:ind w:left="113"/>
            </w:pPr>
            <w:r>
              <w:t xml:space="preserve">The Prescribed List of Medical Devices and Human Tissue Products (Prescribed List) (Schedule to the MDHTP Rules) </w:t>
            </w:r>
          </w:p>
        </w:tc>
      </w:tr>
      <w:tr w:rsidR="00BF7112" w:rsidRPr="00A15C58" w14:paraId="28B89B29" w14:textId="77777777" w:rsidTr="000862DB">
        <w:trPr>
          <w:trHeight w:val="300"/>
        </w:trPr>
        <w:tc>
          <w:tcPr>
            <w:tcW w:w="4103" w:type="dxa"/>
            <w:tcBorders>
              <w:top w:val="single" w:sz="6" w:space="0" w:color="E6E6E1"/>
              <w:left w:val="nil"/>
              <w:bottom w:val="single" w:sz="6" w:space="0" w:color="E6E6E1"/>
              <w:right w:val="nil"/>
            </w:tcBorders>
            <w:shd w:val="clear" w:color="auto" w:fill="auto"/>
            <w:vAlign w:val="center"/>
          </w:tcPr>
          <w:p w14:paraId="7B6196C7" w14:textId="407DA88E" w:rsidR="00BF7112" w:rsidRDefault="00BF7112">
            <w:pPr>
              <w:pStyle w:val="TableExpBullet0"/>
              <w:numPr>
                <w:ilvl w:val="0"/>
                <w:numId w:val="0"/>
              </w:numPr>
              <w:ind w:left="113"/>
            </w:pPr>
            <w:r>
              <w:t>Listed prostheses (a kind of prosthesis listed in the schedule to the Prostheses Rules</w:t>
            </w:r>
            <w:r w:rsidR="009D535A">
              <w:t>)</w:t>
            </w:r>
            <w:r>
              <w:t xml:space="preserve">.  </w:t>
            </w:r>
          </w:p>
        </w:tc>
        <w:tc>
          <w:tcPr>
            <w:tcW w:w="4960" w:type="dxa"/>
            <w:tcBorders>
              <w:top w:val="single" w:sz="6" w:space="0" w:color="E6E6E1"/>
              <w:left w:val="nil"/>
              <w:bottom w:val="single" w:sz="6" w:space="0" w:color="E6E6E1"/>
              <w:right w:val="nil"/>
            </w:tcBorders>
            <w:shd w:val="clear" w:color="auto" w:fill="auto"/>
            <w:vAlign w:val="center"/>
          </w:tcPr>
          <w:p w14:paraId="69E24687" w14:textId="77777777" w:rsidR="00BF7112" w:rsidRDefault="00BF7112">
            <w:pPr>
              <w:pStyle w:val="TableExpBullet0"/>
              <w:numPr>
                <w:ilvl w:val="0"/>
                <w:numId w:val="0"/>
              </w:numPr>
              <w:ind w:left="113"/>
            </w:pPr>
            <w:r>
              <w:t xml:space="preserve">Listed device or product (a kind of medical device or human tissue product listed in the Schedule to the MDHTP Rules). </w:t>
            </w:r>
          </w:p>
        </w:tc>
      </w:tr>
    </w:tbl>
    <w:p w14:paraId="6796FBD6" w14:textId="4CF03854" w:rsidR="004B7AE8" w:rsidRDefault="00795E6D" w:rsidP="004B7AE8">
      <w:pPr>
        <w:pStyle w:val="Heading3"/>
      </w:pPr>
      <w:bookmarkStart w:id="65" w:name="_Toc181405088"/>
      <w:bookmarkStart w:id="66" w:name="_Hlk169016158"/>
      <w:r>
        <w:t>The definition, purpose and scope of the PL is more clearly defined</w:t>
      </w:r>
      <w:r w:rsidR="005F2149">
        <w:t xml:space="preserve"> in the legislation, however more work is required</w:t>
      </w:r>
      <w:bookmarkEnd w:id="65"/>
      <w:r w:rsidR="005F2149">
        <w:t xml:space="preserve"> </w:t>
      </w:r>
    </w:p>
    <w:p w14:paraId="77E33CE3" w14:textId="67AF5854" w:rsidR="001A2529" w:rsidRPr="005423F8" w:rsidRDefault="4C163762" w:rsidP="001A2529">
      <w:pPr>
        <w:rPr>
          <w:rFonts w:ascii="Segoe UI Semibold" w:eastAsia="Times New Roman" w:hAnsi="Segoe UI Semibold" w:cs="Times New Roman"/>
          <w:color w:val="00264D" w:themeColor="background2"/>
          <w:sz w:val="22"/>
          <w:lang w:val="en-AU" w:eastAsia="en-AU"/>
        </w:rPr>
      </w:pPr>
      <w:r w:rsidRPr="005423F8">
        <w:rPr>
          <w:rFonts w:ascii="Segoe UI Semibold" w:eastAsia="Times New Roman" w:hAnsi="Segoe UI Semibold" w:cs="Times New Roman"/>
          <w:color w:val="00264D" w:themeColor="background2"/>
          <w:sz w:val="22"/>
          <w:lang w:val="en-AU" w:eastAsia="en-AU"/>
        </w:rPr>
        <w:t xml:space="preserve">The inclusion of definitions in legislation has </w:t>
      </w:r>
      <w:r w:rsidR="18DA1CC5" w:rsidRPr="005423F8">
        <w:rPr>
          <w:rFonts w:ascii="Segoe UI Semibold" w:eastAsia="Times New Roman" w:hAnsi="Segoe UI Semibold" w:cs="Times New Roman"/>
          <w:color w:val="00264D" w:themeColor="background2"/>
          <w:sz w:val="22"/>
          <w:lang w:val="en-AU" w:eastAsia="en-AU"/>
        </w:rPr>
        <w:t xml:space="preserve">further defined </w:t>
      </w:r>
      <w:r w:rsidR="006370BA">
        <w:rPr>
          <w:rFonts w:ascii="Segoe UI Semibold" w:eastAsia="Times New Roman" w:hAnsi="Segoe UI Semibold" w:cs="Times New Roman"/>
          <w:color w:val="00264D" w:themeColor="background2"/>
          <w:sz w:val="22"/>
          <w:lang w:val="en-AU" w:eastAsia="en-AU"/>
        </w:rPr>
        <w:t xml:space="preserve">the </w:t>
      </w:r>
      <w:r w:rsidR="18DA1CC5" w:rsidRPr="005423F8">
        <w:rPr>
          <w:rFonts w:ascii="Segoe UI Semibold" w:eastAsia="Times New Roman" w:hAnsi="Segoe UI Semibold" w:cs="Times New Roman"/>
          <w:color w:val="00264D" w:themeColor="background2"/>
          <w:sz w:val="22"/>
          <w:lang w:val="en-AU" w:eastAsia="en-AU"/>
        </w:rPr>
        <w:t>scope of the PL however ambiguity on boundary products remain</w:t>
      </w:r>
    </w:p>
    <w:p w14:paraId="520DC88B" w14:textId="53F458F7" w:rsidR="004C379A" w:rsidRDefault="00E543F7" w:rsidP="003F52E0">
      <w:pPr>
        <w:rPr>
          <w:lang w:val="en-AU" w:eastAsia="en-AU"/>
        </w:rPr>
      </w:pPr>
      <w:r w:rsidRPr="007B2F5A">
        <w:rPr>
          <w:lang w:val="en-AU" w:eastAsia="en-AU"/>
        </w:rPr>
        <w:t>The amendments to legislation progressed in line with the intentions of the reform</w:t>
      </w:r>
      <w:r w:rsidR="006370BA">
        <w:rPr>
          <w:lang w:val="en-AU" w:eastAsia="en-AU"/>
        </w:rPr>
        <w:t>s</w:t>
      </w:r>
      <w:r w:rsidRPr="007B2F5A">
        <w:rPr>
          <w:lang w:val="en-AU" w:eastAsia="en-AU"/>
        </w:rPr>
        <w:t>.</w:t>
      </w:r>
      <w:r w:rsidR="007B2F5A" w:rsidRPr="007B2F5A">
        <w:rPr>
          <w:lang w:val="en-AU" w:eastAsia="en-AU"/>
        </w:rPr>
        <w:t xml:space="preserve"> The Department has succeeded in inserting new definitions and updated listing criteria into the Act as parameters</w:t>
      </w:r>
      <w:r w:rsidR="007B2F5A">
        <w:rPr>
          <w:lang w:val="en-AU" w:eastAsia="en-AU"/>
        </w:rPr>
        <w:t xml:space="preserve"> that should provide</w:t>
      </w:r>
      <w:r w:rsidRPr="007B2F5A">
        <w:rPr>
          <w:lang w:val="en-AU" w:eastAsia="en-AU"/>
        </w:rPr>
        <w:t xml:space="preserve"> better clarity around what products are eligible for inclusion on the PL. </w:t>
      </w:r>
      <w:r w:rsidR="00F1302D">
        <w:rPr>
          <w:lang w:val="en-AU" w:eastAsia="en-AU"/>
        </w:rPr>
        <w:t xml:space="preserve">As anticipated, updated </w:t>
      </w:r>
      <w:r w:rsidR="00F1302D">
        <w:rPr>
          <w:lang w:val="en-AU" w:eastAsia="en-AU"/>
        </w:rPr>
        <w:lastRenderedPageBreak/>
        <w:t xml:space="preserve">legislation has precluded </w:t>
      </w:r>
      <w:r w:rsidR="00F17B2A">
        <w:rPr>
          <w:lang w:val="en-AU" w:eastAsia="en-AU"/>
        </w:rPr>
        <w:t xml:space="preserve">items that were currently funded on the PL, </w:t>
      </w:r>
      <w:r w:rsidR="00C20210" w:rsidRPr="00F17B2A">
        <w:rPr>
          <w:lang w:val="en-AU" w:eastAsia="en-AU"/>
        </w:rPr>
        <w:t>such as GUIs and medicines from the PL</w:t>
      </w:r>
      <w:r w:rsidR="00F17B2A" w:rsidRPr="00F17B2A">
        <w:rPr>
          <w:lang w:val="en-AU" w:eastAsia="en-AU"/>
        </w:rPr>
        <w:t>.</w:t>
      </w:r>
    </w:p>
    <w:p w14:paraId="22B0471F" w14:textId="06F50BDD" w:rsidR="009B1D39" w:rsidRPr="00142722" w:rsidRDefault="004C379A" w:rsidP="003F52E0">
      <w:pPr>
        <w:rPr>
          <w:lang w:eastAsia="en-AU"/>
        </w:rPr>
      </w:pPr>
      <w:r w:rsidRPr="007B74FC">
        <w:rPr>
          <w:lang w:eastAsia="en-AU"/>
        </w:rPr>
        <w:t xml:space="preserve">However, there are </w:t>
      </w:r>
      <w:r w:rsidR="0000027F">
        <w:rPr>
          <w:lang w:eastAsia="en-AU"/>
        </w:rPr>
        <w:t>still ongoing</w:t>
      </w:r>
      <w:r w:rsidRPr="007B74FC">
        <w:rPr>
          <w:lang w:eastAsia="en-AU"/>
        </w:rPr>
        <w:t xml:space="preserve"> concerns </w:t>
      </w:r>
      <w:r w:rsidR="00791C73">
        <w:rPr>
          <w:lang w:eastAsia="en-AU"/>
        </w:rPr>
        <w:t xml:space="preserve">about </w:t>
      </w:r>
      <w:r w:rsidR="009A3495">
        <w:rPr>
          <w:lang w:eastAsia="en-AU"/>
        </w:rPr>
        <w:t>the</w:t>
      </w:r>
      <w:r w:rsidR="00791C73">
        <w:rPr>
          <w:lang w:eastAsia="en-AU"/>
        </w:rPr>
        <w:t xml:space="preserve"> </w:t>
      </w:r>
      <w:r w:rsidR="0000027F">
        <w:rPr>
          <w:lang w:eastAsia="en-AU"/>
        </w:rPr>
        <w:t>ambiguity</w:t>
      </w:r>
      <w:r w:rsidR="009A3495">
        <w:rPr>
          <w:lang w:eastAsia="en-AU"/>
        </w:rPr>
        <w:t xml:space="preserve"> of the PL’s scope</w:t>
      </w:r>
      <w:r w:rsidR="0000027F">
        <w:rPr>
          <w:lang w:eastAsia="en-AU"/>
        </w:rPr>
        <w:t xml:space="preserve">. This </w:t>
      </w:r>
      <w:r w:rsidR="00871E03">
        <w:rPr>
          <w:lang w:eastAsia="en-AU"/>
        </w:rPr>
        <w:t>includes</w:t>
      </w:r>
      <w:r w:rsidRPr="007B74FC">
        <w:rPr>
          <w:lang w:eastAsia="en-AU"/>
        </w:rPr>
        <w:t xml:space="preserve"> ‘boundary products’</w:t>
      </w:r>
      <w:r w:rsidR="00871E03">
        <w:rPr>
          <w:lang w:eastAsia="en-AU"/>
        </w:rPr>
        <w:t>,</w:t>
      </w:r>
      <w:r w:rsidRPr="007B74FC">
        <w:rPr>
          <w:lang w:eastAsia="en-AU"/>
        </w:rPr>
        <w:t xml:space="preserve"> which are defined as therapeutic goods with attributes that make it challenging to determine whether they belong to the category of medical device or medicine, or both.</w:t>
      </w:r>
      <w:r w:rsidRPr="007B74FC">
        <w:rPr>
          <w:rStyle w:val="FootnoteReference"/>
          <w:lang w:eastAsia="en-AU"/>
        </w:rPr>
        <w:footnoteReference w:id="67"/>
      </w:r>
      <w:r w:rsidR="00FB448F" w:rsidRPr="007B74FC">
        <w:rPr>
          <w:lang w:eastAsia="en-AU"/>
        </w:rPr>
        <w:t xml:space="preserve"> </w:t>
      </w:r>
      <w:r w:rsidR="005946DA">
        <w:rPr>
          <w:lang w:eastAsia="en-AU"/>
        </w:rPr>
        <w:t>Similarly</w:t>
      </w:r>
      <w:r w:rsidR="002531AF">
        <w:rPr>
          <w:lang w:eastAsia="en-AU"/>
        </w:rPr>
        <w:t xml:space="preserve">, the question of whether the PL should include non-device related </w:t>
      </w:r>
      <w:r w:rsidR="005946DA">
        <w:rPr>
          <w:lang w:eastAsia="en-AU"/>
        </w:rPr>
        <w:t>components</w:t>
      </w:r>
      <w:r w:rsidR="002531AF">
        <w:rPr>
          <w:lang w:eastAsia="en-AU"/>
        </w:rPr>
        <w:t xml:space="preserve"> (such as </w:t>
      </w:r>
      <w:r w:rsidR="005946DA">
        <w:rPr>
          <w:lang w:eastAsia="en-AU"/>
        </w:rPr>
        <w:t xml:space="preserve">the </w:t>
      </w:r>
      <w:r w:rsidR="00EE2B61">
        <w:rPr>
          <w:lang w:eastAsia="en-AU"/>
        </w:rPr>
        <w:t xml:space="preserve">technical servicing </w:t>
      </w:r>
      <w:r w:rsidR="005946DA">
        <w:rPr>
          <w:lang w:eastAsia="en-AU"/>
        </w:rPr>
        <w:t>component</w:t>
      </w:r>
      <w:r w:rsidR="00EE2B61">
        <w:rPr>
          <w:lang w:eastAsia="en-AU"/>
        </w:rPr>
        <w:t xml:space="preserve"> of </w:t>
      </w:r>
      <w:r w:rsidR="00F22EBD">
        <w:rPr>
          <w:lang w:eastAsia="en-AU"/>
        </w:rPr>
        <w:t>CIEDs</w:t>
      </w:r>
      <w:r w:rsidR="005946DA">
        <w:rPr>
          <w:lang w:eastAsia="en-AU"/>
        </w:rPr>
        <w:t xml:space="preserve">, discussed </w:t>
      </w:r>
      <w:r w:rsidR="00811967">
        <w:rPr>
          <w:lang w:eastAsia="en-AU"/>
        </w:rPr>
        <w:t>previously</w:t>
      </w:r>
      <w:r w:rsidR="005946DA">
        <w:rPr>
          <w:lang w:eastAsia="en-AU"/>
        </w:rPr>
        <w:t xml:space="preserve"> in</w:t>
      </w:r>
      <w:r w:rsidR="005946DA" w:rsidRPr="005946DA">
        <w:rPr>
          <w:color w:val="FF0000"/>
          <w:lang w:eastAsia="en-AU"/>
        </w:rPr>
        <w:t xml:space="preserve"> </w:t>
      </w:r>
      <w:r w:rsidR="005946DA" w:rsidRPr="00442602">
        <w:rPr>
          <w:lang w:eastAsia="en-AU"/>
        </w:rPr>
        <w:t xml:space="preserve">section </w:t>
      </w:r>
      <w:r w:rsidR="00442602" w:rsidRPr="00442602">
        <w:rPr>
          <w:lang w:eastAsia="en-AU"/>
        </w:rPr>
        <w:fldChar w:fldCharType="begin"/>
      </w:r>
      <w:r w:rsidR="00442602" w:rsidRPr="00442602">
        <w:rPr>
          <w:lang w:eastAsia="en-AU"/>
        </w:rPr>
        <w:instrText xml:space="preserve"> REF _Ref172296251 \n \h </w:instrText>
      </w:r>
      <w:r w:rsidR="00442602" w:rsidRPr="00442602">
        <w:rPr>
          <w:lang w:eastAsia="en-AU"/>
        </w:rPr>
      </w:r>
      <w:r w:rsidR="00442602" w:rsidRPr="00442602">
        <w:rPr>
          <w:lang w:eastAsia="en-AU"/>
        </w:rPr>
        <w:fldChar w:fldCharType="separate"/>
      </w:r>
      <w:r w:rsidR="009B5D8D">
        <w:rPr>
          <w:lang w:eastAsia="en-AU"/>
        </w:rPr>
        <w:t>2.3.5</w:t>
      </w:r>
      <w:r w:rsidR="00442602" w:rsidRPr="00442602">
        <w:rPr>
          <w:lang w:eastAsia="en-AU"/>
        </w:rPr>
        <w:fldChar w:fldCharType="end"/>
      </w:r>
      <w:r w:rsidR="00EE2B61" w:rsidRPr="00442602">
        <w:rPr>
          <w:lang w:eastAsia="en-AU"/>
        </w:rPr>
        <w:t xml:space="preserve">) is </w:t>
      </w:r>
      <w:r w:rsidR="00EE2B61">
        <w:rPr>
          <w:lang w:eastAsia="en-AU"/>
        </w:rPr>
        <w:t xml:space="preserve">another critical issue that will have implications </w:t>
      </w:r>
      <w:r w:rsidR="005946DA">
        <w:rPr>
          <w:lang w:eastAsia="en-AU"/>
        </w:rPr>
        <w:t xml:space="preserve">for the scope </w:t>
      </w:r>
      <w:r w:rsidR="00235706" w:rsidRPr="007B74FC">
        <w:rPr>
          <w:lang w:eastAsia="en-AU"/>
        </w:rPr>
        <w:t xml:space="preserve">of </w:t>
      </w:r>
      <w:r w:rsidR="007E3084" w:rsidRPr="007B74FC">
        <w:rPr>
          <w:lang w:eastAsia="en-AU"/>
        </w:rPr>
        <w:t xml:space="preserve">the </w:t>
      </w:r>
      <w:r w:rsidR="00921456">
        <w:rPr>
          <w:lang w:eastAsia="en-AU"/>
        </w:rPr>
        <w:t>PL</w:t>
      </w:r>
      <w:r w:rsidR="005946DA">
        <w:rPr>
          <w:lang w:eastAsia="en-AU"/>
        </w:rPr>
        <w:t>.</w:t>
      </w:r>
      <w:r w:rsidR="00222B73" w:rsidRPr="007B74FC">
        <w:rPr>
          <w:lang w:eastAsia="en-AU"/>
        </w:rPr>
        <w:t xml:space="preserve"> </w:t>
      </w:r>
      <w:r w:rsidR="00181A28" w:rsidRPr="007B74FC">
        <w:rPr>
          <w:lang w:eastAsia="en-AU"/>
        </w:rPr>
        <w:t>As</w:t>
      </w:r>
      <w:r w:rsidR="00FD7022" w:rsidRPr="007B74FC">
        <w:rPr>
          <w:lang w:eastAsia="en-AU"/>
        </w:rPr>
        <w:t xml:space="preserve"> medical device</w:t>
      </w:r>
      <w:r w:rsidR="00951721" w:rsidRPr="007B74FC">
        <w:rPr>
          <w:lang w:eastAsia="en-AU"/>
        </w:rPr>
        <w:t xml:space="preserve"> technology </w:t>
      </w:r>
      <w:r w:rsidR="00582447" w:rsidRPr="007B74FC">
        <w:rPr>
          <w:lang w:eastAsia="en-AU"/>
        </w:rPr>
        <w:t xml:space="preserve">advances, it is anticipated that </w:t>
      </w:r>
      <w:r w:rsidR="00C86F57" w:rsidRPr="007B74FC">
        <w:rPr>
          <w:lang w:eastAsia="en-AU"/>
        </w:rPr>
        <w:t xml:space="preserve">issues </w:t>
      </w:r>
      <w:r w:rsidR="007B74FC" w:rsidRPr="007B74FC">
        <w:rPr>
          <w:lang w:eastAsia="en-AU"/>
        </w:rPr>
        <w:t xml:space="preserve">around scope and eligibility for the PL will become more prevalent. </w:t>
      </w:r>
      <w:r w:rsidR="00BD3EE7">
        <w:rPr>
          <w:lang w:eastAsia="en-AU"/>
        </w:rPr>
        <w:t>Additionally, the</w:t>
      </w:r>
      <w:r w:rsidR="00535465">
        <w:rPr>
          <w:lang w:eastAsia="en-AU"/>
        </w:rPr>
        <w:t xml:space="preserve"> Department will have to consider what action need</w:t>
      </w:r>
      <w:r w:rsidR="00BD3EE7">
        <w:rPr>
          <w:lang w:eastAsia="en-AU"/>
        </w:rPr>
        <w:t>s</w:t>
      </w:r>
      <w:r w:rsidR="00535465">
        <w:rPr>
          <w:lang w:eastAsia="en-AU"/>
        </w:rPr>
        <w:t xml:space="preserve"> to be taken to retrospectively apply the new definitions in the PL </w:t>
      </w:r>
      <w:r w:rsidR="00BD3EE7">
        <w:rPr>
          <w:lang w:eastAsia="en-AU"/>
        </w:rPr>
        <w:t>to</w:t>
      </w:r>
      <w:r w:rsidR="00535465">
        <w:rPr>
          <w:lang w:eastAsia="en-AU"/>
        </w:rPr>
        <w:t xml:space="preserve"> existing items</w:t>
      </w:r>
      <w:r w:rsidR="00BD3EE7">
        <w:rPr>
          <w:lang w:eastAsia="en-AU"/>
        </w:rPr>
        <w:t xml:space="preserve"> where they are now found to be ineligible</w:t>
      </w:r>
      <w:r w:rsidR="00535465">
        <w:rPr>
          <w:lang w:eastAsia="en-AU"/>
        </w:rPr>
        <w:t xml:space="preserve">. </w:t>
      </w:r>
    </w:p>
    <w:p w14:paraId="3C024119" w14:textId="65BE8D47" w:rsidR="009B1D39" w:rsidRDefault="009B1D39" w:rsidP="009B1D39">
      <w:pPr>
        <w:rPr>
          <w:rFonts w:ascii="Segoe UI Semibold" w:eastAsia="Times New Roman" w:hAnsi="Segoe UI Semibold" w:cs="Times New Roman"/>
          <w:color w:val="00264D" w:themeColor="background2"/>
          <w:sz w:val="22"/>
          <w:lang w:val="en-AU" w:eastAsia="en-AU"/>
        </w:rPr>
      </w:pPr>
      <w:r w:rsidRPr="7E4B4485">
        <w:rPr>
          <w:rFonts w:ascii="Segoe UI Semibold" w:eastAsia="Times New Roman" w:hAnsi="Segoe UI Semibold" w:cs="Times New Roman"/>
          <w:color w:val="00264D" w:themeColor="background2"/>
          <w:sz w:val="22"/>
          <w:lang w:val="en-AU" w:eastAsia="en-AU"/>
        </w:rPr>
        <w:t xml:space="preserve">The decision to retain GUIs on the PL is likely to require </w:t>
      </w:r>
      <w:r w:rsidR="00006811">
        <w:rPr>
          <w:rFonts w:ascii="Segoe UI Semibold" w:eastAsia="Times New Roman" w:hAnsi="Segoe UI Semibold" w:cs="Times New Roman"/>
          <w:color w:val="00264D" w:themeColor="background2"/>
          <w:sz w:val="22"/>
          <w:lang w:val="en-AU" w:eastAsia="en-AU"/>
        </w:rPr>
        <w:t xml:space="preserve">the </w:t>
      </w:r>
      <w:r w:rsidRPr="7E4B4485">
        <w:rPr>
          <w:rFonts w:ascii="Segoe UI Semibold" w:eastAsia="Times New Roman" w:hAnsi="Segoe UI Semibold" w:cs="Times New Roman"/>
          <w:color w:val="00264D" w:themeColor="background2"/>
          <w:sz w:val="22"/>
          <w:lang w:val="en-AU" w:eastAsia="en-AU"/>
        </w:rPr>
        <w:t>reversal of some changes</w:t>
      </w:r>
    </w:p>
    <w:p w14:paraId="470B1CC3" w14:textId="5C39FBEF" w:rsidR="004C379A" w:rsidRPr="00E543F7" w:rsidRDefault="004C379A" w:rsidP="00E543F7">
      <w:pPr>
        <w:rPr>
          <w:lang w:val="en-AU" w:eastAsia="en-AU"/>
        </w:rPr>
      </w:pPr>
      <w:r w:rsidRPr="00D82913">
        <w:rPr>
          <w:lang w:val="en-AU" w:eastAsia="en-AU"/>
        </w:rPr>
        <w:t>GUIs were scheduled to be removed from the PL list, with support to</w:t>
      </w:r>
      <w:r>
        <w:rPr>
          <w:lang w:val="en-AU" w:eastAsia="en-AU"/>
        </w:rPr>
        <w:t xml:space="preserve"> be provided</w:t>
      </w:r>
      <w:r w:rsidRPr="00D82913">
        <w:rPr>
          <w:lang w:val="en-AU" w:eastAsia="en-AU"/>
        </w:rPr>
        <w:t xml:space="preserve"> </w:t>
      </w:r>
      <w:r w:rsidR="009D535A">
        <w:rPr>
          <w:lang w:val="en-AU" w:eastAsia="en-AU"/>
        </w:rPr>
        <w:t>to</w:t>
      </w:r>
      <w:r w:rsidR="006437E1">
        <w:rPr>
          <w:lang w:val="en-AU" w:eastAsia="en-AU"/>
        </w:rPr>
        <w:t xml:space="preserve"> </w:t>
      </w:r>
      <w:r w:rsidRPr="00D82913">
        <w:rPr>
          <w:lang w:val="en-AU" w:eastAsia="en-AU"/>
        </w:rPr>
        <w:t>the private sector to establish alternative arrangements for the payment of benefits for these items</w:t>
      </w:r>
      <w:r w:rsidR="008259EF" w:rsidRPr="00EC1531">
        <w:rPr>
          <w:lang w:val="en-AU" w:eastAsia="en-AU"/>
        </w:rPr>
        <w:t xml:space="preserve">. </w:t>
      </w:r>
      <w:r w:rsidR="008259EF" w:rsidRPr="00EC1531">
        <w:rPr>
          <w:lang w:eastAsia="en-AU"/>
        </w:rPr>
        <w:t>However, this outcome of the reform</w:t>
      </w:r>
      <w:r w:rsidR="009D535A">
        <w:rPr>
          <w:lang w:eastAsia="en-AU"/>
        </w:rPr>
        <w:t>s</w:t>
      </w:r>
      <w:r w:rsidR="008259EF" w:rsidRPr="00EC1531">
        <w:rPr>
          <w:lang w:eastAsia="en-AU"/>
        </w:rPr>
        <w:t xml:space="preserve"> has been diluted </w:t>
      </w:r>
      <w:r w:rsidR="00EA5616" w:rsidRPr="00EC1531">
        <w:rPr>
          <w:lang w:eastAsia="en-AU"/>
        </w:rPr>
        <w:t>since</w:t>
      </w:r>
      <w:r w:rsidR="008259EF" w:rsidRPr="00EC1531">
        <w:rPr>
          <w:lang w:eastAsia="en-AU"/>
        </w:rPr>
        <w:t xml:space="preserve"> the </w:t>
      </w:r>
      <w:r w:rsidR="003F52E0" w:rsidRPr="00EC1531">
        <w:rPr>
          <w:lang w:val="en-AU" w:eastAsia="en-AU"/>
        </w:rPr>
        <w:t>Minister’s subsequent announcement in May 2024 that benefits for GUIs will continue to be paid using the PL</w:t>
      </w:r>
      <w:r w:rsidR="00EA5616" w:rsidRPr="00EC1531">
        <w:rPr>
          <w:lang w:val="en-AU" w:eastAsia="en-AU"/>
        </w:rPr>
        <w:t>. This</w:t>
      </w:r>
      <w:r w:rsidR="003F52E0" w:rsidRPr="00EC1531">
        <w:rPr>
          <w:lang w:val="en-AU" w:eastAsia="en-AU"/>
        </w:rPr>
        <w:t xml:space="preserve"> will likely </w:t>
      </w:r>
      <w:r w:rsidR="004E7CE7" w:rsidRPr="00EC1531">
        <w:rPr>
          <w:lang w:val="en-AU" w:eastAsia="en-AU"/>
        </w:rPr>
        <w:t>necessitate</w:t>
      </w:r>
      <w:r w:rsidR="003F52E0" w:rsidRPr="00EC1531">
        <w:rPr>
          <w:lang w:val="en-AU" w:eastAsia="en-AU"/>
        </w:rPr>
        <w:t xml:space="preserve"> further legi</w:t>
      </w:r>
      <w:r w:rsidR="003F52E0" w:rsidRPr="7E4B4485">
        <w:rPr>
          <w:lang w:val="en-AU" w:eastAsia="en-AU"/>
        </w:rPr>
        <w:t xml:space="preserve">slative updates to ensure the medical device and human tissue product definitions and PL listing criteria are consistent with this decision. The decision to </w:t>
      </w:r>
      <w:r w:rsidR="004E7CE7">
        <w:rPr>
          <w:lang w:val="en-AU" w:eastAsia="en-AU"/>
        </w:rPr>
        <w:t>retain</w:t>
      </w:r>
      <w:r w:rsidR="003F52E0" w:rsidRPr="7E4B4485">
        <w:rPr>
          <w:lang w:val="en-AU" w:eastAsia="en-AU"/>
        </w:rPr>
        <w:t xml:space="preserve"> GUIs on the PL is further discussed in </w:t>
      </w:r>
      <w:r w:rsidR="009C4B2B">
        <w:rPr>
          <w:lang w:val="en-AU" w:eastAsia="en-AU"/>
        </w:rPr>
        <w:t>s</w:t>
      </w:r>
      <w:r w:rsidR="003F52E0" w:rsidRPr="7E4B4485">
        <w:rPr>
          <w:lang w:val="en-AU" w:eastAsia="en-AU"/>
        </w:rPr>
        <w:t xml:space="preserve">ection </w:t>
      </w:r>
      <w:r w:rsidR="003F52E0" w:rsidRPr="7E4B4485">
        <w:rPr>
          <w:lang w:val="en-AU" w:eastAsia="en-AU"/>
        </w:rPr>
        <w:fldChar w:fldCharType="begin"/>
      </w:r>
      <w:r w:rsidR="003F52E0" w:rsidRPr="7E4B4485">
        <w:rPr>
          <w:lang w:val="en-AU" w:eastAsia="en-AU"/>
        </w:rPr>
        <w:instrText xml:space="preserve"> REF _Ref169524434 \r \h </w:instrText>
      </w:r>
      <w:r w:rsidR="003F52E0" w:rsidRPr="7E4B4485">
        <w:rPr>
          <w:lang w:val="en-AU" w:eastAsia="en-AU"/>
        </w:rPr>
      </w:r>
      <w:r w:rsidR="003F52E0" w:rsidRPr="7E4B4485">
        <w:rPr>
          <w:lang w:val="en-AU" w:eastAsia="en-AU"/>
        </w:rPr>
        <w:fldChar w:fldCharType="separate"/>
      </w:r>
      <w:r w:rsidR="009B5D8D">
        <w:rPr>
          <w:lang w:val="en-AU" w:eastAsia="en-AU"/>
        </w:rPr>
        <w:t>2.7.4</w:t>
      </w:r>
      <w:r w:rsidR="003F52E0" w:rsidRPr="7E4B4485">
        <w:rPr>
          <w:lang w:val="en-AU" w:eastAsia="en-AU"/>
        </w:rPr>
        <w:fldChar w:fldCharType="end"/>
      </w:r>
      <w:r w:rsidR="003F52E0" w:rsidRPr="7E4B4485">
        <w:rPr>
          <w:lang w:val="en-AU" w:eastAsia="en-AU"/>
        </w:rPr>
        <w:t>.</w:t>
      </w:r>
    </w:p>
    <w:bookmarkEnd w:id="66"/>
    <w:p w14:paraId="020B0FB1" w14:textId="6F61226D" w:rsidR="000A046B" w:rsidRDefault="009E1220" w:rsidP="00925387">
      <w:pPr>
        <w:rPr>
          <w:rFonts w:ascii="Segoe UI Semibold" w:eastAsia="Times New Roman" w:hAnsi="Segoe UI Semibold" w:cs="Times New Roman"/>
          <w:color w:val="00264D" w:themeColor="background2"/>
          <w:sz w:val="22"/>
          <w:lang w:val="en-AU" w:eastAsia="en-AU"/>
        </w:rPr>
      </w:pPr>
      <w:r w:rsidRPr="43862D1C">
        <w:rPr>
          <w:rFonts w:ascii="Segoe UI Semibold" w:eastAsia="Times New Roman" w:hAnsi="Segoe UI Semibold" w:cs="Times New Roman"/>
          <w:color w:val="00264D" w:themeColor="background2"/>
          <w:sz w:val="22"/>
          <w:lang w:val="en-AU" w:eastAsia="en-AU"/>
        </w:rPr>
        <w:t>S</w:t>
      </w:r>
      <w:r w:rsidR="005F2149" w:rsidRPr="43862D1C">
        <w:rPr>
          <w:rFonts w:ascii="Segoe UI Semibold" w:eastAsia="Times New Roman" w:hAnsi="Segoe UI Semibold" w:cs="Times New Roman"/>
          <w:color w:val="00264D" w:themeColor="background2"/>
          <w:sz w:val="22"/>
          <w:lang w:val="en-AU" w:eastAsia="en-AU"/>
        </w:rPr>
        <w:t xml:space="preserve">takeholders continue to </w:t>
      </w:r>
      <w:r w:rsidR="004B7AE8" w:rsidRPr="43862D1C">
        <w:rPr>
          <w:rFonts w:ascii="Segoe UI Semibold" w:eastAsia="Times New Roman" w:hAnsi="Segoe UI Semibold" w:cs="Times New Roman"/>
          <w:color w:val="00264D" w:themeColor="background2"/>
          <w:sz w:val="22"/>
          <w:lang w:val="en-AU" w:eastAsia="en-AU"/>
        </w:rPr>
        <w:t xml:space="preserve">dispute the scope of what should be included on the PL </w:t>
      </w:r>
    </w:p>
    <w:p w14:paraId="21714E80" w14:textId="50734FDD" w:rsidR="00C067F2" w:rsidRDefault="00A21FFC" w:rsidP="000047E6">
      <w:pPr>
        <w:rPr>
          <w:lang w:val="en-AU" w:eastAsia="en-AU"/>
        </w:rPr>
      </w:pPr>
      <w:r w:rsidRPr="000047E6">
        <w:rPr>
          <w:lang w:val="en-AU" w:eastAsia="en-AU"/>
        </w:rPr>
        <w:t>Stakeholder feedback on exposure drafts on Tranche 1 of legislation was overall supportive of the measures included in the bills</w:t>
      </w:r>
      <w:r w:rsidR="008F2E94">
        <w:rPr>
          <w:lang w:val="en-AU" w:eastAsia="en-AU"/>
        </w:rPr>
        <w:t>.</w:t>
      </w:r>
      <w:r w:rsidR="00504A13">
        <w:rPr>
          <w:rStyle w:val="FootnoteReference"/>
          <w:lang w:val="en-AU" w:eastAsia="en-AU"/>
        </w:rPr>
        <w:footnoteReference w:id="68"/>
      </w:r>
      <w:r w:rsidR="00533F66">
        <w:rPr>
          <w:lang w:val="en-AU" w:eastAsia="en-AU"/>
        </w:rPr>
        <w:t xml:space="preserve"> </w:t>
      </w:r>
      <w:r w:rsidR="00B37A61">
        <w:rPr>
          <w:lang w:val="en-AU" w:eastAsia="en-AU"/>
        </w:rPr>
        <w:t>While</w:t>
      </w:r>
      <w:r w:rsidR="00533F66">
        <w:rPr>
          <w:lang w:val="en-AU" w:eastAsia="en-AU"/>
        </w:rPr>
        <w:t xml:space="preserve"> stakeholder</w:t>
      </w:r>
      <w:r w:rsidR="3DA12982">
        <w:rPr>
          <w:lang w:val="en-AU" w:eastAsia="en-AU"/>
        </w:rPr>
        <w:t>s</w:t>
      </w:r>
      <w:r w:rsidR="00533F66">
        <w:rPr>
          <w:lang w:val="en-AU" w:eastAsia="en-AU"/>
        </w:rPr>
        <w:t xml:space="preserve"> have disparate views</w:t>
      </w:r>
      <w:r w:rsidR="00F822ED">
        <w:rPr>
          <w:lang w:val="en-AU" w:eastAsia="en-AU"/>
        </w:rPr>
        <w:t xml:space="preserve"> on </w:t>
      </w:r>
      <w:r w:rsidR="00533F66">
        <w:rPr>
          <w:lang w:val="en-AU" w:eastAsia="en-AU"/>
        </w:rPr>
        <w:t xml:space="preserve">whether GUIs </w:t>
      </w:r>
      <w:r w:rsidR="00113900">
        <w:rPr>
          <w:lang w:val="en-AU" w:eastAsia="en-AU"/>
        </w:rPr>
        <w:t>should</w:t>
      </w:r>
      <w:r w:rsidR="00533F66">
        <w:rPr>
          <w:lang w:val="en-AU" w:eastAsia="en-AU"/>
        </w:rPr>
        <w:t xml:space="preserve"> be funded through the PL, </w:t>
      </w:r>
      <w:r w:rsidR="00DE5E4B">
        <w:rPr>
          <w:lang w:val="en-AU" w:eastAsia="en-AU"/>
        </w:rPr>
        <w:t xml:space="preserve">all stakeholders who responded to consultation agreed that </w:t>
      </w:r>
      <w:r w:rsidR="00533F66">
        <w:rPr>
          <w:lang w:val="en-AU" w:eastAsia="en-AU"/>
        </w:rPr>
        <w:t xml:space="preserve">legislative amendments </w:t>
      </w:r>
      <w:r w:rsidR="00DE5E4B" w:rsidRPr="00F822ED">
        <w:rPr>
          <w:lang w:val="en-AU" w:eastAsia="en-AU"/>
        </w:rPr>
        <w:t>have not provided sufficient clarity</w:t>
      </w:r>
      <w:r w:rsidR="00113900">
        <w:rPr>
          <w:lang w:val="en-AU" w:eastAsia="en-AU"/>
        </w:rPr>
        <w:t xml:space="preserve"> about the scope of the PL </w:t>
      </w:r>
      <w:r w:rsidR="7B20A0C2">
        <w:rPr>
          <w:lang w:val="en-AU" w:eastAsia="en-AU"/>
        </w:rPr>
        <w:t xml:space="preserve">in the context of </w:t>
      </w:r>
      <w:r w:rsidR="00113900">
        <w:rPr>
          <w:lang w:val="en-AU" w:eastAsia="en-AU"/>
        </w:rPr>
        <w:t>recent GUIs decisions</w:t>
      </w:r>
      <w:r w:rsidR="00F822ED">
        <w:rPr>
          <w:lang w:val="en-AU" w:eastAsia="en-AU"/>
        </w:rPr>
        <w:t>,</w:t>
      </w:r>
      <w:r w:rsidR="00C457F1">
        <w:rPr>
          <w:lang w:val="en-AU" w:eastAsia="en-AU"/>
        </w:rPr>
        <w:t xml:space="preserve"> and that</w:t>
      </w:r>
      <w:r w:rsidR="00F822ED">
        <w:rPr>
          <w:lang w:val="en-AU" w:eastAsia="en-AU"/>
        </w:rPr>
        <w:t xml:space="preserve"> further work</w:t>
      </w:r>
      <w:r w:rsidR="00C457F1">
        <w:rPr>
          <w:lang w:val="en-AU" w:eastAsia="en-AU"/>
        </w:rPr>
        <w:t xml:space="preserve"> </w:t>
      </w:r>
      <w:r w:rsidR="00F822ED">
        <w:rPr>
          <w:lang w:val="en-AU" w:eastAsia="en-AU"/>
        </w:rPr>
        <w:t>is</w:t>
      </w:r>
      <w:r w:rsidR="00C457F1">
        <w:rPr>
          <w:lang w:val="en-AU" w:eastAsia="en-AU"/>
        </w:rPr>
        <w:t xml:space="preserve"> required</w:t>
      </w:r>
      <w:r w:rsidR="00C457F1" w:rsidRPr="7FCC1B13">
        <w:rPr>
          <w:lang w:val="en-AU" w:eastAsia="en-AU"/>
        </w:rPr>
        <w:t xml:space="preserve">. </w:t>
      </w:r>
    </w:p>
    <w:p w14:paraId="62E12F42" w14:textId="624689FE" w:rsidR="00D95E27" w:rsidRPr="00D95E27" w:rsidRDefault="00D95E27" w:rsidP="00D95E27">
      <w:pPr>
        <w:pStyle w:val="Caption"/>
      </w:pPr>
      <w:r>
        <w:t xml:space="preserve">Table </w:t>
      </w:r>
      <w:r>
        <w:fldChar w:fldCharType="begin"/>
      </w:r>
      <w:r>
        <w:instrText xml:space="preserve"> SEQ Table \* ARABIC </w:instrText>
      </w:r>
      <w:r>
        <w:fldChar w:fldCharType="separate"/>
      </w:r>
      <w:r w:rsidR="009B5D8D">
        <w:rPr>
          <w:noProof/>
        </w:rPr>
        <w:t>7</w:t>
      </w:r>
      <w:r>
        <w:fldChar w:fldCharType="end"/>
      </w:r>
      <w:r>
        <w:t xml:space="preserve"> | </w:t>
      </w:r>
      <w:r w:rsidRPr="00073C39">
        <w:t>Stakeholder perspectives on the definition, purpose and scope of the PL</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C067F2" w:rsidRPr="00E2213C" w14:paraId="732970C5" w14:textId="77777777">
        <w:trPr>
          <w:trHeight w:val="346"/>
        </w:trPr>
        <w:tc>
          <w:tcPr>
            <w:tcW w:w="1348" w:type="pct"/>
            <w:gridSpan w:val="2"/>
            <w:shd w:val="clear" w:color="auto" w:fill="E6E6E1" w:themeFill="accent5"/>
            <w:vAlign w:val="center"/>
          </w:tcPr>
          <w:p w14:paraId="08304DA0" w14:textId="77777777" w:rsidR="00C067F2" w:rsidRPr="00E2213C" w:rsidRDefault="00C067F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401EA840" w14:textId="77777777" w:rsidR="00C067F2" w:rsidRPr="00E2213C" w:rsidRDefault="00C067F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C067F2" w:rsidRPr="00E2213C" w14:paraId="39D17368" w14:textId="77777777">
        <w:trPr>
          <w:trHeight w:val="510"/>
        </w:trPr>
        <w:tc>
          <w:tcPr>
            <w:tcW w:w="554" w:type="pct"/>
            <w:shd w:val="clear" w:color="auto" w:fill="00264D" w:themeFill="background2"/>
            <w:vAlign w:val="center"/>
          </w:tcPr>
          <w:p w14:paraId="17D82763" w14:textId="77777777" w:rsidR="00C067F2" w:rsidRPr="00E2213C" w:rsidRDefault="00C067F2">
            <w:pPr>
              <w:spacing w:before="40" w:after="40"/>
              <w:jc w:val="center"/>
              <w:rPr>
                <w:i/>
                <w:iCs/>
              </w:rPr>
            </w:pPr>
            <w:r w:rsidRPr="00E2213C">
              <w:rPr>
                <w:i/>
                <w:iCs/>
                <w:noProof/>
              </w:rPr>
              <mc:AlternateContent>
                <mc:Choice Requires="wps">
                  <w:drawing>
                    <wp:inline distT="0" distB="0" distL="0" distR="0" wp14:anchorId="75F2211A" wp14:editId="36AEC89F">
                      <wp:extent cx="320633" cy="314696"/>
                      <wp:effectExtent l="0" t="0" r="3810" b="9525"/>
                      <wp:docPr id="1589158907" name="Freeform: Shape 1589158907"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53C472CA" id="Freeform: Shape 1589158907" o:spid="_x0000_s1026" alt="Icon of a person wearing a healthcare worker outfit"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5A6BB124" w14:textId="77777777" w:rsidR="00C067F2" w:rsidRPr="00E2213C" w:rsidRDefault="00C067F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20755C3F" w14:textId="79B05E6B" w:rsidR="00B307FB" w:rsidRDefault="591A88ED" w:rsidP="00D43390">
            <w:pPr>
              <w:pStyle w:val="TableExpBullet0"/>
            </w:pPr>
            <w:r w:rsidRPr="00C173DC">
              <w:t>T</w:t>
            </w:r>
            <w:r w:rsidR="00C31FAE" w:rsidRPr="00C173DC">
              <w:t xml:space="preserve">he definitions </w:t>
            </w:r>
            <w:r w:rsidR="00D43390">
              <w:t xml:space="preserve">under the PL </w:t>
            </w:r>
            <w:r w:rsidR="00C31FAE" w:rsidRPr="00C173DC">
              <w:t xml:space="preserve">are still in dispute </w:t>
            </w:r>
            <w:r w:rsidR="70D59E8D" w:rsidRPr="00C173DC">
              <w:t>regarding</w:t>
            </w:r>
            <w:r w:rsidR="00C31FAE" w:rsidRPr="00C173DC">
              <w:t xml:space="preserve"> clarity and being </w:t>
            </w:r>
            <w:r w:rsidR="00D43390">
              <w:t xml:space="preserve">considered </w:t>
            </w:r>
            <w:r w:rsidR="00C31FAE" w:rsidRPr="00C173DC">
              <w:t xml:space="preserve">fit-for-purpose, as they were drafted with the presumption that Part D would be removed. </w:t>
            </w:r>
          </w:p>
          <w:p w14:paraId="7077AA69" w14:textId="516093E2" w:rsidR="00C067F2" w:rsidRPr="00C173DC" w:rsidRDefault="00B307FB" w:rsidP="00C173DC">
            <w:pPr>
              <w:pStyle w:val="TableExpBullet0"/>
            </w:pPr>
            <w:r>
              <w:t>T</w:t>
            </w:r>
            <w:r w:rsidR="001C76C1" w:rsidRPr="00C173DC">
              <w:t xml:space="preserve">his makes the </w:t>
            </w:r>
            <w:r w:rsidR="00C0725E">
              <w:t>Department</w:t>
            </w:r>
            <w:r w:rsidR="001C76C1" w:rsidRPr="00C173DC">
              <w:t xml:space="preserve">’s position that medicines do not belong on the PL a contestable position. </w:t>
            </w:r>
          </w:p>
        </w:tc>
      </w:tr>
      <w:tr w:rsidR="00C067F2" w:rsidRPr="00E2213C" w14:paraId="2963C0B1" w14:textId="77777777">
        <w:trPr>
          <w:trHeight w:val="421"/>
        </w:trPr>
        <w:tc>
          <w:tcPr>
            <w:tcW w:w="554" w:type="pct"/>
            <w:shd w:val="clear" w:color="auto" w:fill="00264D" w:themeFill="background2"/>
            <w:vAlign w:val="center"/>
          </w:tcPr>
          <w:p w14:paraId="334540F6" w14:textId="77777777" w:rsidR="00C067F2" w:rsidRPr="00E2213C" w:rsidRDefault="00C067F2">
            <w:pPr>
              <w:spacing w:before="40" w:after="40"/>
              <w:jc w:val="center"/>
              <w:rPr>
                <w:i/>
                <w:iCs/>
              </w:rPr>
            </w:pPr>
            <w:r w:rsidRPr="00E2213C">
              <w:rPr>
                <w:i/>
                <w:iCs/>
                <w:noProof/>
              </w:rPr>
              <mc:AlternateContent>
                <mc:Choice Requires="wps">
                  <w:drawing>
                    <wp:inline distT="0" distB="0" distL="0" distR="0" wp14:anchorId="6AF9F781" wp14:editId="5F5CC20F">
                      <wp:extent cx="292311" cy="292311"/>
                      <wp:effectExtent l="0" t="0" r="0" b="0"/>
                      <wp:docPr id="727690727" name="Freeform: Shape 727690727"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69307AED" id="Freeform: Shape 727690727"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02D9F197" w14:textId="77777777" w:rsidR="00C067F2" w:rsidRPr="00E2213C" w:rsidRDefault="00C067F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6610B18C" w14:textId="426E3518" w:rsidR="000D7714" w:rsidRPr="000D7714" w:rsidRDefault="00CC59E3" w:rsidP="00C173DC">
            <w:pPr>
              <w:pStyle w:val="TableExpBullet0"/>
              <w:rPr>
                <w:szCs w:val="17"/>
                <w:lang w:eastAsia="en-US"/>
              </w:rPr>
            </w:pPr>
            <w:r>
              <w:t>T</w:t>
            </w:r>
            <w:r w:rsidR="000C2606">
              <w:t>he</w:t>
            </w:r>
            <w:r w:rsidR="00C31FAE" w:rsidRPr="62CB4814">
              <w:t xml:space="preserve"> </w:t>
            </w:r>
            <w:r w:rsidR="00103E49">
              <w:t>revised</w:t>
            </w:r>
            <w:r w:rsidR="00C31FAE" w:rsidRPr="62CB4814">
              <w:t xml:space="preserve"> </w:t>
            </w:r>
            <w:r w:rsidR="000C2606">
              <w:t>P</w:t>
            </w:r>
            <w:r w:rsidR="00103E49">
              <w:t xml:space="preserve">L </w:t>
            </w:r>
            <w:r w:rsidR="00C31FAE" w:rsidRPr="62CB4814">
              <w:t>definition and listing</w:t>
            </w:r>
            <w:r w:rsidR="00103E49">
              <w:t xml:space="preserve"> criteria</w:t>
            </w:r>
            <w:r w:rsidR="00C31FAE" w:rsidRPr="62CB4814">
              <w:t xml:space="preserve"> in legislation does not apply to GUIs in Part D of the PL</w:t>
            </w:r>
            <w:r w:rsidR="000D7714">
              <w:t>.</w:t>
            </w:r>
            <w:r w:rsidR="00C31FAE" w:rsidRPr="62CB4814">
              <w:t xml:space="preserve"> </w:t>
            </w:r>
          </w:p>
          <w:p w14:paraId="7E15E79F" w14:textId="6B9DB142" w:rsidR="00C067F2" w:rsidRPr="004911A6" w:rsidRDefault="00DF1E83" w:rsidP="00C173DC">
            <w:pPr>
              <w:pStyle w:val="TableExpBullet0"/>
              <w:rPr>
                <w:szCs w:val="17"/>
                <w:lang w:eastAsia="en-US"/>
              </w:rPr>
            </w:pPr>
            <w:r>
              <w:t>It is r</w:t>
            </w:r>
            <w:r w:rsidR="00C31FAE" w:rsidRPr="62CB4814">
              <w:t>ecommend</w:t>
            </w:r>
            <w:r>
              <w:t>ed</w:t>
            </w:r>
            <w:r w:rsidR="00C31FAE" w:rsidRPr="62CB4814">
              <w:t xml:space="preserve"> that the </w:t>
            </w:r>
            <w:r w:rsidR="00C0725E">
              <w:t>Department</w:t>
            </w:r>
            <w:r w:rsidR="00C31FAE" w:rsidRPr="62CB4814">
              <w:t xml:space="preserve"> develops specialised listing criteria, applications and assessments to ensure there is full evaluation of </w:t>
            </w:r>
            <w:r w:rsidR="00495CA9">
              <w:t>the</w:t>
            </w:r>
            <w:r w:rsidR="00C31FAE" w:rsidRPr="62CB4814">
              <w:t xml:space="preserve"> comparative clinical and cost effectiveness</w:t>
            </w:r>
            <w:r w:rsidR="00495CA9">
              <w:t xml:space="preserve"> GUIs</w:t>
            </w:r>
            <w:r w:rsidR="00BF7A64">
              <w:t xml:space="preserve">. </w:t>
            </w:r>
          </w:p>
        </w:tc>
      </w:tr>
      <w:tr w:rsidR="00C067F2" w:rsidRPr="00E2213C" w14:paraId="6C86442B" w14:textId="77777777">
        <w:trPr>
          <w:trHeight w:val="857"/>
        </w:trPr>
        <w:tc>
          <w:tcPr>
            <w:tcW w:w="554" w:type="pct"/>
            <w:shd w:val="clear" w:color="auto" w:fill="00264D" w:themeFill="background2"/>
            <w:vAlign w:val="center"/>
          </w:tcPr>
          <w:p w14:paraId="72E40F81" w14:textId="77777777" w:rsidR="00C067F2" w:rsidRPr="00E2213C" w:rsidRDefault="00C067F2">
            <w:pPr>
              <w:spacing w:before="40" w:after="40"/>
              <w:jc w:val="center"/>
              <w:rPr>
                <w:i/>
                <w:iCs/>
              </w:rPr>
            </w:pPr>
            <w:r w:rsidRPr="00E2213C">
              <w:rPr>
                <w:i/>
                <w:iCs/>
                <w:noProof/>
              </w:rPr>
              <w:drawing>
                <wp:inline distT="0" distB="0" distL="0" distR="0" wp14:anchorId="10CE7EC2" wp14:editId="79F1A9BD">
                  <wp:extent cx="309245" cy="336734"/>
                  <wp:effectExtent l="0" t="0" r="0" b="6350"/>
                  <wp:docPr id="1529185508" name="Graphic 1529185508"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5508" name="Graphic 15291855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3233B376" w14:textId="77777777" w:rsidR="00C067F2" w:rsidRPr="00E2213C" w:rsidRDefault="00C067F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743808A7" w14:textId="4AF32490" w:rsidR="00C067F2" w:rsidRDefault="00DF1E83" w:rsidP="00C173DC">
            <w:pPr>
              <w:pStyle w:val="TableExpBullet0"/>
            </w:pPr>
            <w:r>
              <w:t>There is n</w:t>
            </w:r>
            <w:r w:rsidR="1A734CC5">
              <w:t>ot</w:t>
            </w:r>
            <w:r w:rsidR="00AB2C31">
              <w:t xml:space="preserve"> much additional clarity </w:t>
            </w:r>
            <w:r w:rsidR="009D535A">
              <w:t xml:space="preserve">that </w:t>
            </w:r>
            <w:r w:rsidR="00AB2C31">
              <w:t xml:space="preserve">has arisen from legislative changes. </w:t>
            </w:r>
          </w:p>
          <w:p w14:paraId="58E7362A" w14:textId="27E95896" w:rsidR="00AB2C31" w:rsidRDefault="52C09F29" w:rsidP="00C173DC">
            <w:pPr>
              <w:pStyle w:val="TableExpBullet0"/>
            </w:pPr>
            <w:r>
              <w:t>T</w:t>
            </w:r>
            <w:r w:rsidR="001140AC">
              <w:t>he</w:t>
            </w:r>
            <w:r w:rsidR="00215ED0">
              <w:t xml:space="preserve"> exclusion of registered medicines will impact products recognised as ‘boundary products’ on border between devices and medicines that are used like devices and listed on PL as best mechanism for funding</w:t>
            </w:r>
            <w:r w:rsidR="001140AC">
              <w:t>.</w:t>
            </w:r>
          </w:p>
          <w:p w14:paraId="1F3C6F4B" w14:textId="0D337A60" w:rsidR="00C067F2" w:rsidRPr="00E2213C" w:rsidRDefault="00BF7A64" w:rsidP="00C173DC">
            <w:pPr>
              <w:pStyle w:val="TableExpBullet0"/>
            </w:pPr>
            <w:r>
              <w:t>C</w:t>
            </w:r>
            <w:r w:rsidR="00EF3067">
              <w:t xml:space="preserve">onsultation </w:t>
            </w:r>
            <w:r>
              <w:t>did occur</w:t>
            </w:r>
            <w:r w:rsidR="00EF3067">
              <w:t xml:space="preserve"> for listing criteria for Part C, but these remain untransparent without clear basis for decision making.</w:t>
            </w:r>
          </w:p>
        </w:tc>
      </w:tr>
      <w:tr w:rsidR="004949BC" w:rsidRPr="00E2213C" w14:paraId="1EA779F0" w14:textId="77777777">
        <w:trPr>
          <w:trHeight w:val="857"/>
        </w:trPr>
        <w:tc>
          <w:tcPr>
            <w:tcW w:w="554" w:type="pct"/>
            <w:shd w:val="clear" w:color="auto" w:fill="00264D" w:themeFill="background2"/>
            <w:vAlign w:val="center"/>
          </w:tcPr>
          <w:p w14:paraId="2F968D28" w14:textId="699BE841" w:rsidR="004949BC" w:rsidRPr="00E2213C" w:rsidRDefault="004949BC" w:rsidP="004949BC">
            <w:pPr>
              <w:spacing w:before="40" w:after="40"/>
              <w:jc w:val="center"/>
              <w:rPr>
                <w:i/>
                <w:iCs/>
                <w:noProof/>
              </w:rPr>
            </w:pPr>
            <w:r>
              <w:rPr>
                <w:noProof/>
              </w:rPr>
              <w:lastRenderedPageBreak/>
              <w:drawing>
                <wp:inline distT="0" distB="0" distL="0" distR="0" wp14:anchorId="1D29FF4D" wp14:editId="58B87324">
                  <wp:extent cx="267970" cy="323215"/>
                  <wp:effectExtent l="0" t="0" r="0" b="635"/>
                  <wp:docPr id="1441818380"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8380"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3DB1FB1E" w14:textId="423210F1" w:rsidR="004949BC" w:rsidRPr="00E2213C" w:rsidRDefault="004949BC" w:rsidP="004949BC">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p>
        </w:tc>
        <w:tc>
          <w:tcPr>
            <w:tcW w:w="3652" w:type="pct"/>
          </w:tcPr>
          <w:p w14:paraId="2BD34F63" w14:textId="4EEB2E4B" w:rsidR="004949BC" w:rsidRDefault="00C46E14" w:rsidP="004949BC">
            <w:pPr>
              <w:pStyle w:val="TableExpBullet0"/>
            </w:pPr>
            <w:r>
              <w:t xml:space="preserve">Generally comfortable with the changes, however generally </w:t>
            </w:r>
            <w:r w:rsidR="00C334CE">
              <w:t xml:space="preserve">calling it </w:t>
            </w:r>
            <w:r>
              <w:t xml:space="preserve">a </w:t>
            </w:r>
            <w:r w:rsidR="00C334CE">
              <w:t>‘</w:t>
            </w:r>
            <w:r>
              <w:t>medical device list</w:t>
            </w:r>
            <w:r w:rsidR="00C334CE">
              <w:t>’</w:t>
            </w:r>
            <w:r>
              <w:t xml:space="preserve"> </w:t>
            </w:r>
            <w:r w:rsidR="00C334CE">
              <w:t>limits</w:t>
            </w:r>
            <w:r>
              <w:t xml:space="preserve"> </w:t>
            </w:r>
            <w:r w:rsidR="00767001">
              <w:t>advancements</w:t>
            </w:r>
            <w:r>
              <w:t xml:space="preserve"> by </w:t>
            </w:r>
            <w:r w:rsidR="00767001">
              <w:t xml:space="preserve">its </w:t>
            </w:r>
            <w:r>
              <w:t xml:space="preserve">name. </w:t>
            </w:r>
            <w:r w:rsidR="00C334CE">
              <w:t xml:space="preserve">We </w:t>
            </w:r>
            <w:r w:rsidR="00767001">
              <w:t>do now know</w:t>
            </w:r>
            <w:r w:rsidR="00C334CE">
              <w:t xml:space="preserve"> what technology </w:t>
            </w:r>
            <w:r w:rsidR="00767001">
              <w:t>may</w:t>
            </w:r>
            <w:r w:rsidR="00C334CE">
              <w:t xml:space="preserve"> arise next, </w:t>
            </w:r>
            <w:r w:rsidR="00767001">
              <w:t>could</w:t>
            </w:r>
            <w:r w:rsidR="00C334CE">
              <w:t xml:space="preserve"> be a software. </w:t>
            </w:r>
          </w:p>
          <w:p w14:paraId="6FFB8197" w14:textId="3DCE954C" w:rsidR="00767001" w:rsidRDefault="00767001" w:rsidP="00AA4A20">
            <w:pPr>
              <w:pStyle w:val="TableExpBullet0"/>
            </w:pPr>
            <w:r>
              <w:t xml:space="preserve">GUIs now stick out as not aligning to the new definition and scope. </w:t>
            </w:r>
          </w:p>
        </w:tc>
      </w:tr>
    </w:tbl>
    <w:p w14:paraId="14DDCBA9" w14:textId="70F70D22" w:rsidR="00C17B73" w:rsidRDefault="00605C72" w:rsidP="00C17B73">
      <w:pPr>
        <w:pStyle w:val="Heading3"/>
      </w:pPr>
      <w:bookmarkStart w:id="67" w:name="_Toc181405089"/>
      <w:r>
        <w:t xml:space="preserve">Progress towards </w:t>
      </w:r>
      <w:r w:rsidR="00E43F37">
        <w:t xml:space="preserve">regrouping the PL </w:t>
      </w:r>
      <w:r w:rsidR="00642689">
        <w:t>ha</w:t>
      </w:r>
      <w:r w:rsidR="00E43F37">
        <w:t xml:space="preserve">s been </w:t>
      </w:r>
      <w:r w:rsidR="00EC7E6D">
        <w:t>paused</w:t>
      </w:r>
      <w:bookmarkEnd w:id="67"/>
    </w:p>
    <w:p w14:paraId="18DEB5DB" w14:textId="5C090944" w:rsidR="000E3C03" w:rsidRDefault="00426E67" w:rsidP="00866B97">
      <w:pPr>
        <w:rPr>
          <w:rFonts w:ascii="Segoe UI Semibold" w:eastAsia="Times New Roman" w:hAnsi="Segoe UI Semibold" w:cs="Times New Roman"/>
          <w:color w:val="00264D" w:themeColor="background2"/>
          <w:sz w:val="22"/>
          <w:lang w:val="en-AU" w:eastAsia="en-AU"/>
        </w:rPr>
      </w:pPr>
      <w:r w:rsidRPr="0FB6F3D9">
        <w:rPr>
          <w:rFonts w:ascii="Segoe UI Semibold" w:eastAsia="Times New Roman" w:hAnsi="Segoe UI Semibold" w:cs="Times New Roman"/>
          <w:color w:val="00264D" w:themeColor="background2"/>
          <w:sz w:val="22"/>
          <w:lang w:val="en-AU" w:eastAsia="en-AU"/>
        </w:rPr>
        <w:t xml:space="preserve">Regrouping commenced with </w:t>
      </w:r>
      <w:r w:rsidR="00156148" w:rsidRPr="0FB6F3D9">
        <w:rPr>
          <w:rFonts w:ascii="Segoe UI Semibold" w:eastAsia="Times New Roman" w:hAnsi="Segoe UI Semibold" w:cs="Times New Roman"/>
          <w:color w:val="00264D" w:themeColor="background2"/>
          <w:sz w:val="22"/>
          <w:lang w:val="en-AU" w:eastAsia="en-AU"/>
        </w:rPr>
        <w:t xml:space="preserve">a clinical lens, agnostic of product benefit </w:t>
      </w:r>
      <w:r w:rsidR="07A6F7D0" w:rsidRPr="0FB6F3D9">
        <w:rPr>
          <w:rFonts w:ascii="Segoe UI Semibold" w:eastAsia="Times New Roman" w:hAnsi="Segoe UI Semibold" w:cs="Times New Roman"/>
          <w:color w:val="00264D" w:themeColor="background2"/>
          <w:sz w:val="22"/>
          <w:lang w:val="en-AU" w:eastAsia="en-AU"/>
        </w:rPr>
        <w:t xml:space="preserve"> </w:t>
      </w:r>
    </w:p>
    <w:p w14:paraId="51F0C5B3" w14:textId="2D75BB3D" w:rsidR="00836389" w:rsidRDefault="0069190E" w:rsidP="004403CB">
      <w:r w:rsidRPr="00175405">
        <w:t>Regrouping</w:t>
      </w:r>
      <w:r w:rsidR="004D768D" w:rsidRPr="00175405">
        <w:t xml:space="preserve"> of the PL </w:t>
      </w:r>
      <w:r w:rsidR="00D131A3" w:rsidRPr="00175405">
        <w:t xml:space="preserve">was </w:t>
      </w:r>
      <w:r w:rsidR="00AD6BB8" w:rsidRPr="00175405">
        <w:t xml:space="preserve">intended to </w:t>
      </w:r>
      <w:r w:rsidR="00C2292E" w:rsidRPr="00175405">
        <w:t xml:space="preserve">provide </w:t>
      </w:r>
      <w:r w:rsidR="00BF6C5B" w:rsidRPr="00175405">
        <w:t xml:space="preserve">transparency around PL items and </w:t>
      </w:r>
      <w:r w:rsidR="004403CB" w:rsidRPr="00175405">
        <w:t>increase the PL’s ease of use</w:t>
      </w:r>
      <w:r w:rsidR="001A703A" w:rsidRPr="00175405">
        <w:t>.</w:t>
      </w:r>
      <w:r w:rsidR="006F418F" w:rsidRPr="00175405">
        <w:rPr>
          <w:rStyle w:val="FootnoteReference"/>
        </w:rPr>
        <w:footnoteReference w:id="69"/>
      </w:r>
      <w:r w:rsidR="001A703A" w:rsidRPr="00175405">
        <w:t xml:space="preserve"> </w:t>
      </w:r>
      <w:r w:rsidR="001548B1" w:rsidRPr="00175405">
        <w:rPr>
          <w:lang w:val="en-AU" w:eastAsia="en-AU"/>
        </w:rPr>
        <w:t xml:space="preserve">This was in response </w:t>
      </w:r>
      <w:r w:rsidR="001548B1" w:rsidRPr="004E03D4">
        <w:rPr>
          <w:lang w:val="en-AU" w:eastAsia="en-AU"/>
        </w:rPr>
        <w:t xml:space="preserve">to the PL being considered </w:t>
      </w:r>
      <w:r w:rsidR="001548B1" w:rsidRPr="00DA072C">
        <w:rPr>
          <w:lang w:val="en-AU" w:eastAsia="en-AU"/>
        </w:rPr>
        <w:t>unwieldy, alongside a notion that this made the PL more difficult to administer, driving cost and unnecessary complexity</w:t>
      </w:r>
      <w:r w:rsidR="001548B1" w:rsidRPr="00DA072C">
        <w:t xml:space="preserve">. </w:t>
      </w:r>
      <w:r w:rsidR="007E3D79" w:rsidRPr="00DA072C">
        <w:t xml:space="preserve">As of 2021, the PL </w:t>
      </w:r>
      <w:r w:rsidR="004D750F" w:rsidRPr="00DA072C">
        <w:t>contained</w:t>
      </w:r>
      <w:r w:rsidR="007E3D79" w:rsidRPr="00DA072C">
        <w:t xml:space="preserve"> 11,600 billing codes and 1,700 unique groupings.</w:t>
      </w:r>
      <w:r w:rsidR="00DA072C" w:rsidRPr="00DA072C">
        <w:rPr>
          <w:rStyle w:val="FootnoteReference"/>
        </w:rPr>
        <w:footnoteReference w:id="70"/>
      </w:r>
      <w:r w:rsidR="007E3D79" w:rsidRPr="00DA072C">
        <w:t xml:space="preserve"> </w:t>
      </w:r>
      <w:r w:rsidR="001548B1" w:rsidRPr="00DA072C">
        <w:rPr>
          <w:lang w:val="en-AU" w:eastAsia="en-AU"/>
        </w:rPr>
        <w:t xml:space="preserve">Regrouping the PL was viewed as a complementary measure to the legislative work the clarify the scope and purpose of the PL. </w:t>
      </w:r>
      <w:r w:rsidR="00AD701B" w:rsidRPr="00DA072C">
        <w:t>Some stakeholders</w:t>
      </w:r>
      <w:r w:rsidR="00AD701B">
        <w:t xml:space="preserve"> </w:t>
      </w:r>
      <w:r w:rsidR="00094E42">
        <w:t xml:space="preserve">believe the current </w:t>
      </w:r>
      <w:r w:rsidR="00EC678A">
        <w:t>PL item groupings contribute</w:t>
      </w:r>
      <w:r w:rsidR="00836389">
        <w:t xml:space="preserve"> to a variety of</w:t>
      </w:r>
      <w:r w:rsidR="00EC678A">
        <w:t xml:space="preserve"> </w:t>
      </w:r>
      <w:r w:rsidR="00DA176C">
        <w:t>issues</w:t>
      </w:r>
      <w:r w:rsidR="00836389">
        <w:t xml:space="preserve"> that result in</w:t>
      </w:r>
      <w:r w:rsidR="00DA176C">
        <w:t xml:space="preserve"> </w:t>
      </w:r>
      <w:r w:rsidR="00836389">
        <w:t>some</w:t>
      </w:r>
      <w:r w:rsidR="00DA176C">
        <w:t xml:space="preserve"> PL items being overpriced</w:t>
      </w:r>
      <w:r w:rsidR="00836389">
        <w:t>, such as:</w:t>
      </w:r>
    </w:p>
    <w:p w14:paraId="63D4CAD9" w14:textId="73EBD1C4" w:rsidR="006F418F" w:rsidRDefault="001A703A" w:rsidP="00836389">
      <w:pPr>
        <w:pStyle w:val="Bullet"/>
      </w:pPr>
      <w:r>
        <w:t>Inclusion of</w:t>
      </w:r>
      <w:r w:rsidR="00836389">
        <w:t xml:space="preserve"> items in sections of the PL inconsistent with their actual or intended use</w:t>
      </w:r>
    </w:p>
    <w:p w14:paraId="46A803CF" w14:textId="66DE03B8" w:rsidR="00836389" w:rsidRDefault="001A703A" w:rsidP="00836389">
      <w:pPr>
        <w:pStyle w:val="Bullet"/>
      </w:pPr>
      <w:r>
        <w:t>D</w:t>
      </w:r>
      <w:r w:rsidR="0073609C">
        <w:t>ifferences in benefit amounts</w:t>
      </w:r>
      <w:r>
        <w:t xml:space="preserve"> that</w:t>
      </w:r>
      <w:r w:rsidR="0073609C">
        <w:t xml:space="preserve"> are not explainable by clinically relevant product differences </w:t>
      </w:r>
    </w:p>
    <w:p w14:paraId="42485790" w14:textId="77777777" w:rsidR="001A703A" w:rsidRDefault="00DD2FBF" w:rsidP="001A703A">
      <w:pPr>
        <w:pStyle w:val="Bullet"/>
      </w:pPr>
      <w:r>
        <w:t>The use of inappropriate comparator products, or reclassification of existing products into higher benefit subgroups or suffix groupings,</w:t>
      </w:r>
      <w:r w:rsidR="00F641F4">
        <w:t xml:space="preserve"> which is viewed to be evidence of gaming.</w:t>
      </w:r>
      <w:r w:rsidR="003C3B01" w:rsidRPr="00D545C9">
        <w:rPr>
          <w:rStyle w:val="FootnoteReference"/>
          <w:color w:val="00264D" w:themeColor="background2"/>
        </w:rPr>
        <w:footnoteReference w:id="71"/>
      </w:r>
    </w:p>
    <w:p w14:paraId="58825976" w14:textId="744E2706" w:rsidR="00A92E3D" w:rsidRPr="00CA14A8" w:rsidRDefault="001A703A" w:rsidP="00DA072C">
      <w:pPr>
        <w:pStyle w:val="Bullet"/>
        <w:numPr>
          <w:ilvl w:val="0"/>
          <w:numId w:val="0"/>
        </w:numPr>
      </w:pPr>
      <w:r>
        <w:t xml:space="preserve">The </w:t>
      </w:r>
      <w:r w:rsidR="00EE7B03">
        <w:t xml:space="preserve">12 March 2022 </w:t>
      </w:r>
      <w:r>
        <w:t>M</w:t>
      </w:r>
      <w:r w:rsidR="00BA3BB8">
        <w:t>O</w:t>
      </w:r>
      <w:r>
        <w:t>U</w:t>
      </w:r>
      <w:r w:rsidR="00EE7B03">
        <w:t xml:space="preserve"> between the </w:t>
      </w:r>
      <w:r w:rsidR="007B7AB6">
        <w:t>G</w:t>
      </w:r>
      <w:r w:rsidR="00EE7B03">
        <w:t>overnment and the MTAA</w:t>
      </w:r>
      <w:r>
        <w:t xml:space="preserve"> </w:t>
      </w:r>
      <w:r w:rsidR="001E39C6">
        <w:t xml:space="preserve">informed how this project was </w:t>
      </w:r>
      <w:r w:rsidR="00EE7B03">
        <w:t>undertaken</w:t>
      </w:r>
      <w:r w:rsidR="001E39C6">
        <w:t xml:space="preserve">, as it specified that </w:t>
      </w:r>
      <w:r w:rsidR="001E39C6" w:rsidRPr="00EE7B03">
        <w:t>“</w:t>
      </w:r>
      <w:r w:rsidR="0098022D" w:rsidRPr="00EE7B03">
        <w:t xml:space="preserve">the new grouping structure is not to be an additional source of savings on top of the overall reference price </w:t>
      </w:r>
      <w:r w:rsidR="007739E0" w:rsidRPr="00EE7B03">
        <w:t>savings</w:t>
      </w:r>
      <w:r w:rsidR="0098022D" w:rsidRPr="00EE7B03">
        <w:t>”</w:t>
      </w:r>
      <w:r w:rsidR="001E39C6" w:rsidRPr="00EE7B03">
        <w:t xml:space="preserve">. </w:t>
      </w:r>
      <w:r w:rsidR="005D65F5" w:rsidRPr="00EE7B03">
        <w:t xml:space="preserve">To ensure this, </w:t>
      </w:r>
      <w:r w:rsidR="002F7B87" w:rsidRPr="00EE7B03">
        <w:t>the regrouping project sought to align its structure to the clin</w:t>
      </w:r>
      <w:r w:rsidR="003667BE" w:rsidRPr="00EE7B03">
        <w:t xml:space="preserve">ical application of items, agnostic of </w:t>
      </w:r>
      <w:r w:rsidR="00A47AAB" w:rsidRPr="00EE7B03">
        <w:t xml:space="preserve">item benefits. </w:t>
      </w:r>
      <w:r w:rsidR="00105D7C">
        <w:t>A large portion of the regrouping</w:t>
      </w:r>
      <w:r w:rsidR="5792DA4E">
        <w:t xml:space="preserve"> project</w:t>
      </w:r>
      <w:r w:rsidR="00105D7C">
        <w:t xml:space="preserve"> </w:t>
      </w:r>
      <w:r w:rsidR="004E03D4">
        <w:t>was completed in 2022</w:t>
      </w:r>
      <w:r w:rsidR="007E694E">
        <w:t xml:space="preserve">, </w:t>
      </w:r>
      <w:r w:rsidR="0DBB8F24">
        <w:t>led</w:t>
      </w:r>
      <w:r w:rsidR="00EA1E63">
        <w:t xml:space="preserve"> by </w:t>
      </w:r>
      <w:r w:rsidR="1557C7DB">
        <w:t xml:space="preserve">external consultancy company </w:t>
      </w:r>
      <w:r w:rsidR="00005D60">
        <w:t>h</w:t>
      </w:r>
      <w:r w:rsidR="00EA1E63">
        <w:t>ereco and</w:t>
      </w:r>
      <w:r w:rsidR="00FA1DA3" w:rsidRPr="00C13822">
        <w:t xml:space="preserve"> guided by </w:t>
      </w:r>
      <w:r w:rsidR="009A73E5">
        <w:t xml:space="preserve">the </w:t>
      </w:r>
      <w:r w:rsidR="00FA1DA3" w:rsidRPr="00C13822">
        <w:t>Clinical Implementation Reference Group</w:t>
      </w:r>
      <w:r w:rsidR="008F6CAD">
        <w:t xml:space="preserve"> (CIRG)</w:t>
      </w:r>
      <w:r w:rsidR="00FB7746" w:rsidRPr="00C13822">
        <w:t xml:space="preserve">, chaired by </w:t>
      </w:r>
      <w:r w:rsidR="04E63143" w:rsidRPr="00C13822">
        <w:t xml:space="preserve">then </w:t>
      </w:r>
      <w:r w:rsidR="00FB7746" w:rsidRPr="00C13822">
        <w:t>AMA President Omar Khors</w:t>
      </w:r>
      <w:r w:rsidR="2BEC0A54" w:rsidRPr="00C13822">
        <w:t>hid</w:t>
      </w:r>
      <w:r w:rsidR="00CA14A8">
        <w:t xml:space="preserve">. </w:t>
      </w:r>
      <w:r w:rsidR="00A92E3D" w:rsidRPr="00CA14A8">
        <w:t>The regrouping</w:t>
      </w:r>
      <w:r w:rsidR="00645C43" w:rsidRPr="00CA14A8">
        <w:t xml:space="preserve"> adhered to the following principles</w:t>
      </w:r>
      <w:r w:rsidR="00645C43">
        <w:rPr>
          <w:rStyle w:val="FootnoteReference"/>
        </w:rPr>
        <w:footnoteReference w:id="72"/>
      </w:r>
      <w:r w:rsidR="00645C43" w:rsidRPr="00CA14A8">
        <w:t xml:space="preserve">: </w:t>
      </w:r>
      <w:r w:rsidR="00A92E3D" w:rsidRPr="00CA14A8">
        <w:t xml:space="preserve"> </w:t>
      </w:r>
    </w:p>
    <w:p w14:paraId="650FAAD4" w14:textId="7096889C" w:rsidR="00813A24" w:rsidRPr="0043204D" w:rsidRDefault="0043204D" w:rsidP="005167D3">
      <w:pPr>
        <w:pStyle w:val="Bullet"/>
      </w:pPr>
      <w:r>
        <w:t>Grouping l</w:t>
      </w:r>
      <w:r w:rsidR="008F6C61">
        <w:t>ike-for-like products together with n</w:t>
      </w:r>
      <w:r w:rsidR="00813A24" w:rsidRPr="008F6C61">
        <w:t xml:space="preserve">ew groups based on clinical care, not product features </w:t>
      </w:r>
    </w:p>
    <w:p w14:paraId="302EB7A6" w14:textId="1EB88C11" w:rsidR="00A92E3D" w:rsidRDefault="00BC35E1" w:rsidP="005167D3">
      <w:pPr>
        <w:pStyle w:val="Bullet"/>
      </w:pPr>
      <w:r>
        <w:t>Use of a h</w:t>
      </w:r>
      <w:r w:rsidR="00A92E3D">
        <w:t>ierarchical classification structure</w:t>
      </w:r>
    </w:p>
    <w:p w14:paraId="0B482CC1" w14:textId="7C7708D4" w:rsidR="00A92E3D" w:rsidRDefault="00BC35E1" w:rsidP="005167D3">
      <w:pPr>
        <w:pStyle w:val="Bullet"/>
      </w:pPr>
      <w:r>
        <w:t>A c</w:t>
      </w:r>
      <w:r w:rsidR="00A92E3D">
        <w:t>onsistent approach across product categories</w:t>
      </w:r>
      <w:r w:rsidR="00650AFB">
        <w:t>.</w:t>
      </w:r>
    </w:p>
    <w:p w14:paraId="7819138C" w14:textId="18735567" w:rsidR="001760A2" w:rsidRDefault="0043204D" w:rsidP="0043204D">
      <w:pPr>
        <w:rPr>
          <w:rStyle w:val="normaltextrun"/>
          <w:rFonts w:cs="Segoe UI"/>
          <w:color w:val="000000"/>
          <w:shd w:val="clear" w:color="auto" w:fill="FFFFFF"/>
        </w:rPr>
      </w:pPr>
      <w:r>
        <w:rPr>
          <w:lang w:val="en-AU" w:eastAsia="en-AU"/>
        </w:rPr>
        <w:t xml:space="preserve">In December 2022, </w:t>
      </w:r>
      <w:r w:rsidR="00005D60">
        <w:rPr>
          <w:lang w:val="en-AU" w:eastAsia="en-AU"/>
        </w:rPr>
        <w:t>h</w:t>
      </w:r>
      <w:r w:rsidR="00FB551A" w:rsidRPr="0043204D">
        <w:rPr>
          <w:rStyle w:val="normaltextrun"/>
          <w:rFonts w:cs="Segoe UI"/>
          <w:color w:val="000000"/>
          <w:shd w:val="clear" w:color="auto" w:fill="FFFFFF"/>
        </w:rPr>
        <w:t xml:space="preserve">ereco released a guide to the proposed structure for Part A </w:t>
      </w:r>
      <w:r>
        <w:rPr>
          <w:rStyle w:val="normaltextrun"/>
          <w:rFonts w:cs="Segoe UI"/>
          <w:color w:val="000000"/>
          <w:shd w:val="clear" w:color="auto" w:fill="FFFFFF"/>
        </w:rPr>
        <w:t>of the PL</w:t>
      </w:r>
      <w:r w:rsidR="00FB551A" w:rsidRPr="0043204D">
        <w:rPr>
          <w:rStyle w:val="normaltextrun"/>
          <w:rFonts w:cs="Segoe UI"/>
          <w:color w:val="000000"/>
          <w:shd w:val="clear" w:color="auto" w:fill="FFFFFF"/>
        </w:rPr>
        <w:t xml:space="preserve">. It was intended that the final PL structure would be published ahead of </w:t>
      </w:r>
      <w:r w:rsidR="00D80943">
        <w:rPr>
          <w:rStyle w:val="normaltextrun"/>
          <w:rFonts w:cs="Segoe UI"/>
          <w:color w:val="000000"/>
          <w:shd w:val="clear" w:color="auto" w:fill="FFFFFF"/>
        </w:rPr>
        <w:t xml:space="preserve">the round of PL device </w:t>
      </w:r>
      <w:r w:rsidR="00FB551A" w:rsidRPr="0043204D">
        <w:rPr>
          <w:rStyle w:val="normaltextrun"/>
          <w:rFonts w:cs="Segoe UI"/>
          <w:color w:val="000000"/>
          <w:shd w:val="clear" w:color="auto" w:fill="FFFFFF"/>
        </w:rPr>
        <w:t>applications in September 2023</w:t>
      </w:r>
      <w:r w:rsidR="00FB551A">
        <w:rPr>
          <w:rStyle w:val="FootnoteReference"/>
          <w:color w:val="000000"/>
          <w:shd w:val="clear" w:color="auto" w:fill="FFFFFF"/>
        </w:rPr>
        <w:footnoteReference w:id="73"/>
      </w:r>
      <w:r w:rsidR="00D80943">
        <w:rPr>
          <w:rStyle w:val="normaltextrun"/>
          <w:rFonts w:cs="Segoe UI"/>
          <w:color w:val="000000"/>
          <w:shd w:val="clear" w:color="auto" w:fill="FFFFFF"/>
        </w:rPr>
        <w:t>, however,</w:t>
      </w:r>
      <w:r w:rsidR="00FB551A" w:rsidRPr="0043204D">
        <w:rPr>
          <w:rStyle w:val="normaltextrun"/>
          <w:rFonts w:cs="Segoe UI"/>
          <w:color w:val="000000"/>
          <w:shd w:val="clear" w:color="auto" w:fill="FFFFFF"/>
        </w:rPr>
        <w:t xml:space="preserve"> </w:t>
      </w:r>
      <w:r w:rsidR="00D80943">
        <w:rPr>
          <w:rStyle w:val="normaltextrun"/>
          <w:rFonts w:cs="Segoe UI"/>
          <w:color w:val="000000"/>
          <w:shd w:val="clear" w:color="auto" w:fill="FFFFFF"/>
        </w:rPr>
        <w:t xml:space="preserve">as </w:t>
      </w:r>
      <w:r w:rsidR="007D2673">
        <w:rPr>
          <w:rStyle w:val="normaltextrun"/>
          <w:rFonts w:cs="Segoe UI"/>
          <w:color w:val="000000"/>
          <w:shd w:val="clear" w:color="auto" w:fill="FFFFFF"/>
        </w:rPr>
        <w:t>of</w:t>
      </w:r>
      <w:r w:rsidR="00D80943">
        <w:rPr>
          <w:rStyle w:val="normaltextrun"/>
          <w:rFonts w:cs="Segoe UI"/>
          <w:color w:val="000000"/>
          <w:shd w:val="clear" w:color="auto" w:fill="FFFFFF"/>
        </w:rPr>
        <w:t xml:space="preserve"> July 2024,</w:t>
      </w:r>
      <w:r w:rsidR="00FB551A" w:rsidRPr="0043204D">
        <w:rPr>
          <w:rStyle w:val="normaltextrun"/>
          <w:rFonts w:cs="Segoe UI"/>
          <w:color w:val="000000"/>
          <w:shd w:val="clear" w:color="auto" w:fill="FFFFFF"/>
        </w:rPr>
        <w:t xml:space="preserve"> the original PL structure continues to be in use</w:t>
      </w:r>
      <w:r w:rsidR="0051161D">
        <w:rPr>
          <w:rStyle w:val="normaltextrun"/>
          <w:rFonts w:cs="Segoe UI"/>
          <w:color w:val="000000"/>
          <w:shd w:val="clear" w:color="auto" w:fill="FFFFFF"/>
        </w:rPr>
        <w:t xml:space="preserve">. </w:t>
      </w:r>
      <w:r w:rsidR="001D738D">
        <w:rPr>
          <w:rStyle w:val="normaltextrun"/>
          <w:rFonts w:cs="Segoe UI"/>
          <w:color w:val="000000"/>
          <w:shd w:val="clear" w:color="auto" w:fill="FFFFFF"/>
        </w:rPr>
        <w:t xml:space="preserve">The </w:t>
      </w:r>
      <w:r w:rsidR="00C0725E">
        <w:rPr>
          <w:rStyle w:val="normaltextrun"/>
          <w:rFonts w:cs="Segoe UI"/>
          <w:color w:val="000000"/>
          <w:shd w:val="clear" w:color="auto" w:fill="FFFFFF"/>
        </w:rPr>
        <w:t>Department</w:t>
      </w:r>
      <w:r w:rsidR="001D738D">
        <w:rPr>
          <w:rStyle w:val="normaltextrun"/>
          <w:rFonts w:cs="Segoe UI"/>
          <w:color w:val="000000"/>
          <w:shd w:val="clear" w:color="auto" w:fill="FFFFFF"/>
        </w:rPr>
        <w:t xml:space="preserve"> </w:t>
      </w:r>
      <w:r w:rsidR="0051161D" w:rsidRPr="001A2D47">
        <w:rPr>
          <w:rStyle w:val="normaltextrun"/>
          <w:rFonts w:cs="Segoe UI"/>
          <w:color w:val="000000"/>
          <w:shd w:val="clear" w:color="auto" w:fill="FFFFFF"/>
        </w:rPr>
        <w:t>discovered</w:t>
      </w:r>
      <w:r w:rsidR="00470AA1" w:rsidRPr="001A2D47">
        <w:rPr>
          <w:rStyle w:val="normaltextrun"/>
          <w:rFonts w:cs="Segoe UI"/>
          <w:color w:val="000000"/>
          <w:shd w:val="clear" w:color="auto" w:fill="FFFFFF"/>
        </w:rPr>
        <w:t xml:space="preserve"> that the</w:t>
      </w:r>
      <w:r w:rsidR="001D738D" w:rsidRPr="001A2D47">
        <w:rPr>
          <w:rStyle w:val="normaltextrun"/>
          <w:rFonts w:cs="Segoe UI"/>
          <w:color w:val="000000"/>
          <w:shd w:val="clear" w:color="auto" w:fill="FFFFFF"/>
        </w:rPr>
        <w:t xml:space="preserve"> multitude of products considered </w:t>
      </w:r>
      <w:r w:rsidR="001A2D47" w:rsidRPr="001A2D47">
        <w:rPr>
          <w:rStyle w:val="normaltextrun"/>
          <w:rFonts w:cs="Segoe UI"/>
          <w:color w:val="000000"/>
          <w:shd w:val="clear" w:color="auto" w:fill="FFFFFF"/>
        </w:rPr>
        <w:t>to comprise a</w:t>
      </w:r>
      <w:r w:rsidR="001D738D" w:rsidRPr="001A2D47">
        <w:rPr>
          <w:rStyle w:val="normaltextrun"/>
          <w:rFonts w:cs="Segoe UI"/>
          <w:color w:val="000000"/>
          <w:shd w:val="clear" w:color="auto" w:fill="FFFFFF"/>
        </w:rPr>
        <w:t xml:space="preserve"> “mixed benefit group” from the proposed structure add</w:t>
      </w:r>
      <w:r w:rsidR="001A2D47" w:rsidRPr="001A2D47">
        <w:rPr>
          <w:rStyle w:val="normaltextrun"/>
          <w:rFonts w:cs="Segoe UI"/>
          <w:color w:val="000000"/>
          <w:shd w:val="clear" w:color="auto" w:fill="FFFFFF"/>
        </w:rPr>
        <w:t>ed</w:t>
      </w:r>
      <w:r w:rsidR="001D738D" w:rsidRPr="001A2D47">
        <w:rPr>
          <w:rStyle w:val="normaltextrun"/>
          <w:rFonts w:cs="Segoe UI"/>
          <w:color w:val="000000"/>
          <w:shd w:val="clear" w:color="auto" w:fill="FFFFFF"/>
        </w:rPr>
        <w:t xml:space="preserve"> significant complexity to </w:t>
      </w:r>
      <w:r w:rsidR="001A2D47" w:rsidRPr="001A2D47">
        <w:rPr>
          <w:rStyle w:val="normaltextrun"/>
          <w:rFonts w:cs="Segoe UI"/>
          <w:color w:val="000000"/>
          <w:shd w:val="clear" w:color="auto" w:fill="FFFFFF"/>
        </w:rPr>
        <w:t>regrouping</w:t>
      </w:r>
      <w:r w:rsidR="00FD0127">
        <w:rPr>
          <w:rStyle w:val="normaltextrun"/>
          <w:rFonts w:cs="Segoe UI"/>
          <w:color w:val="000000"/>
          <w:shd w:val="clear" w:color="auto" w:fill="FFFFFF"/>
        </w:rPr>
        <w:t xml:space="preserve">, as further discussed below. </w:t>
      </w:r>
      <w:r w:rsidR="001D738D" w:rsidRPr="001A2D47">
        <w:rPr>
          <w:rStyle w:val="normaltextrun"/>
          <w:rFonts w:cs="Segoe UI"/>
          <w:color w:val="000000"/>
          <w:shd w:val="clear" w:color="auto" w:fill="FFFFFF"/>
        </w:rPr>
        <w:t>As a result, the</w:t>
      </w:r>
      <w:r w:rsidR="0030283D" w:rsidRPr="001A2D47">
        <w:rPr>
          <w:rStyle w:val="normaltextrun"/>
          <w:rFonts w:cs="Segoe UI"/>
          <w:color w:val="000000"/>
          <w:shd w:val="clear" w:color="auto" w:fill="FFFFFF"/>
        </w:rPr>
        <w:t xml:space="preserve"> </w:t>
      </w:r>
      <w:r w:rsidR="00C0725E">
        <w:rPr>
          <w:rStyle w:val="normaltextrun"/>
          <w:rFonts w:cs="Segoe UI"/>
          <w:color w:val="000000"/>
          <w:shd w:val="clear" w:color="auto" w:fill="FFFFFF"/>
        </w:rPr>
        <w:t>Department</w:t>
      </w:r>
      <w:r w:rsidR="0030283D" w:rsidRPr="001A2D47">
        <w:rPr>
          <w:rStyle w:val="normaltextrun"/>
          <w:rFonts w:cs="Segoe UI"/>
          <w:color w:val="000000"/>
          <w:shd w:val="clear" w:color="auto" w:fill="FFFFFF"/>
        </w:rPr>
        <w:t xml:space="preserve"> has not proceeded with finalising </w:t>
      </w:r>
      <w:r w:rsidR="001D738D" w:rsidRPr="001A2D47">
        <w:rPr>
          <w:rStyle w:val="normaltextrun"/>
          <w:rFonts w:cs="Segoe UI"/>
          <w:color w:val="000000"/>
          <w:shd w:val="clear" w:color="auto" w:fill="FFFFFF"/>
        </w:rPr>
        <w:t xml:space="preserve">the </w:t>
      </w:r>
      <w:r w:rsidR="001A2D47">
        <w:rPr>
          <w:rStyle w:val="normaltextrun"/>
          <w:rFonts w:cs="Segoe UI"/>
          <w:color w:val="000000"/>
          <w:shd w:val="clear" w:color="auto" w:fill="FFFFFF"/>
        </w:rPr>
        <w:t>proposed regrouped PL structure</w:t>
      </w:r>
      <w:r w:rsidR="0030283D">
        <w:rPr>
          <w:rStyle w:val="normaltextrun"/>
          <w:rFonts w:cs="Segoe UI"/>
          <w:color w:val="000000"/>
          <w:shd w:val="clear" w:color="auto" w:fill="FFFFFF"/>
        </w:rPr>
        <w:t xml:space="preserve"> </w:t>
      </w:r>
      <w:r w:rsidR="001D738D">
        <w:rPr>
          <w:rStyle w:val="normaltextrun"/>
          <w:rFonts w:cs="Segoe UI"/>
          <w:color w:val="000000"/>
          <w:shd w:val="clear" w:color="auto" w:fill="FFFFFF"/>
        </w:rPr>
        <w:t xml:space="preserve">recommended </w:t>
      </w:r>
      <w:r w:rsidR="00F77FDB">
        <w:rPr>
          <w:rStyle w:val="normaltextrun"/>
          <w:rFonts w:cs="Segoe UI"/>
          <w:color w:val="000000"/>
          <w:shd w:val="clear" w:color="auto" w:fill="FFFFFF"/>
        </w:rPr>
        <w:t xml:space="preserve">by </w:t>
      </w:r>
      <w:r w:rsidR="00005D60">
        <w:rPr>
          <w:rStyle w:val="normaltextrun"/>
          <w:rFonts w:cs="Segoe UI"/>
          <w:color w:val="000000"/>
          <w:shd w:val="clear" w:color="auto" w:fill="FFFFFF"/>
        </w:rPr>
        <w:t>h</w:t>
      </w:r>
      <w:r w:rsidR="001D738D">
        <w:rPr>
          <w:rStyle w:val="normaltextrun"/>
          <w:rFonts w:cs="Segoe UI"/>
          <w:color w:val="000000"/>
          <w:shd w:val="clear" w:color="auto" w:fill="FFFFFF"/>
        </w:rPr>
        <w:t xml:space="preserve">ereco, and this project has been paused. </w:t>
      </w:r>
    </w:p>
    <w:p w14:paraId="211444C7" w14:textId="740DB214" w:rsidR="001760A2" w:rsidRDefault="001760A2" w:rsidP="001760A2">
      <w:pPr>
        <w:pStyle w:val="Caption"/>
      </w:pPr>
      <w:r>
        <w:lastRenderedPageBreak/>
        <w:t xml:space="preserve">Figure </w:t>
      </w:r>
      <w:r>
        <w:fldChar w:fldCharType="begin"/>
      </w:r>
      <w:r>
        <w:instrText xml:space="preserve"> SEQ Figure \* ARABIC </w:instrText>
      </w:r>
      <w:r>
        <w:fldChar w:fldCharType="separate"/>
      </w:r>
      <w:r w:rsidR="009B5D8D">
        <w:rPr>
          <w:noProof/>
        </w:rPr>
        <w:t>20</w:t>
      </w:r>
      <w:r>
        <w:fldChar w:fldCharType="end"/>
      </w:r>
      <w:r>
        <w:t xml:space="preserve"> | Timeline of regrouping change</w:t>
      </w:r>
      <w:r w:rsidR="00D778B2">
        <w:t>s</w:t>
      </w:r>
    </w:p>
    <w:p w14:paraId="219F4A68" w14:textId="77777777" w:rsidR="001760A2" w:rsidRDefault="001760A2" w:rsidP="001760A2">
      <w:pPr>
        <w:rPr>
          <w:lang w:val="en-AU" w:eastAsia="en-AU"/>
        </w:rPr>
      </w:pPr>
      <w:r>
        <w:rPr>
          <w:noProof/>
          <w:lang w:val="en-AU" w:eastAsia="en-AU"/>
        </w:rPr>
        <w:drawing>
          <wp:inline distT="0" distB="0" distL="0" distR="0" wp14:anchorId="5D8A2D46" wp14:editId="03CAF930">
            <wp:extent cx="5756685" cy="4510585"/>
            <wp:effectExtent l="0" t="0" r="0" b="4445"/>
            <wp:docPr id="1146337525" name="Picture 4" descr="A figure showing the timeline of regrouping changes. It shows key dates for regrouping of Part A of the PL with Hereco, regrouping of Part B of the PL with PWC and mixed benefit groups regrouping in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7525" name="Picture 4" descr="A figure showing the timeline of regrouping changes. It shows key dates for regrouping of Part A of the PL with Hereco, regrouping of Part B of the PL with PWC and mixed benefit groups regrouping in different colour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8668" cy="4512139"/>
                    </a:xfrm>
                    <a:prstGeom prst="rect">
                      <a:avLst/>
                    </a:prstGeom>
                  </pic:spPr>
                </pic:pic>
              </a:graphicData>
            </a:graphic>
          </wp:inline>
        </w:drawing>
      </w:r>
    </w:p>
    <w:p w14:paraId="7BE73E0C" w14:textId="2CC3D915" w:rsidR="00156148" w:rsidRDefault="00C24C25" w:rsidP="009D5FF9">
      <w:pPr>
        <w:rPr>
          <w:rFonts w:ascii="Segoe UI Semibold" w:eastAsia="Times New Roman" w:hAnsi="Segoe UI Semibold" w:cs="Times New Roman"/>
          <w:color w:val="00264D" w:themeColor="background2"/>
          <w:sz w:val="22"/>
          <w:szCs w:val="19"/>
          <w:lang w:val="en-AU" w:eastAsia="en-AU"/>
        </w:rPr>
      </w:pPr>
      <w:r>
        <w:rPr>
          <w:rFonts w:ascii="Segoe UI Semibold" w:eastAsia="Times New Roman" w:hAnsi="Segoe UI Semibold" w:cs="Times New Roman"/>
          <w:color w:val="00264D" w:themeColor="background2"/>
          <w:sz w:val="22"/>
          <w:szCs w:val="19"/>
          <w:lang w:val="en-AU" w:eastAsia="en-AU"/>
        </w:rPr>
        <w:t xml:space="preserve">Unresolved challenges </w:t>
      </w:r>
      <w:r w:rsidR="0079643A">
        <w:rPr>
          <w:rFonts w:ascii="Segoe UI Semibold" w:eastAsia="Times New Roman" w:hAnsi="Segoe UI Semibold" w:cs="Times New Roman"/>
          <w:color w:val="00264D" w:themeColor="background2"/>
          <w:sz w:val="22"/>
          <w:szCs w:val="19"/>
          <w:lang w:val="en-AU" w:eastAsia="en-AU"/>
        </w:rPr>
        <w:t xml:space="preserve">with mixed benefit groups </w:t>
      </w:r>
      <w:r w:rsidR="009D5FF9">
        <w:rPr>
          <w:rFonts w:ascii="Segoe UI Semibold" w:eastAsia="Times New Roman" w:hAnsi="Segoe UI Semibold" w:cs="Times New Roman"/>
          <w:color w:val="00264D" w:themeColor="background2"/>
          <w:sz w:val="22"/>
          <w:szCs w:val="19"/>
          <w:lang w:val="en-AU" w:eastAsia="en-AU"/>
        </w:rPr>
        <w:t>are a barrier to finalising the regrouping</w:t>
      </w:r>
    </w:p>
    <w:p w14:paraId="722A7ADA" w14:textId="2AFD3CFF" w:rsidR="00235C07" w:rsidRDefault="00510187" w:rsidP="00AC3361">
      <w:pPr>
        <w:rPr>
          <w:lang w:val="en-AU" w:eastAsia="en-AU"/>
        </w:rPr>
      </w:pPr>
      <w:r w:rsidRPr="0FB6F3D9">
        <w:rPr>
          <w:lang w:val="en-AU" w:eastAsia="en-AU"/>
        </w:rPr>
        <w:t xml:space="preserve">Under </w:t>
      </w:r>
      <w:r w:rsidR="50CE22DB" w:rsidRPr="0FB6F3D9">
        <w:rPr>
          <w:lang w:val="en-AU" w:eastAsia="en-AU"/>
        </w:rPr>
        <w:t>h</w:t>
      </w:r>
      <w:r w:rsidRPr="0FB6F3D9">
        <w:rPr>
          <w:lang w:val="en-AU" w:eastAsia="en-AU"/>
        </w:rPr>
        <w:t>ereco’s regrouping work, clinically similar or ‘like-for like’ devices were brought together under a single</w:t>
      </w:r>
      <w:r w:rsidR="00414445">
        <w:rPr>
          <w:lang w:val="en-AU" w:eastAsia="en-AU"/>
        </w:rPr>
        <w:t xml:space="preserve"> group/subgroup</w:t>
      </w:r>
      <w:r w:rsidRPr="0FB6F3D9">
        <w:rPr>
          <w:lang w:val="en-AU" w:eastAsia="en-AU"/>
        </w:rPr>
        <w:t xml:space="preserve">. </w:t>
      </w:r>
      <w:r w:rsidR="00083977">
        <w:rPr>
          <w:lang w:val="en-AU" w:eastAsia="en-AU"/>
        </w:rPr>
        <w:t xml:space="preserve">However, this clinical lens did not apply to all tiers of the PL with features such as suffixes and size remaining below the clinical groupings. </w:t>
      </w:r>
      <w:r w:rsidRPr="0FB6F3D9">
        <w:rPr>
          <w:lang w:val="en-AU" w:eastAsia="en-AU"/>
        </w:rPr>
        <w:t>The</w:t>
      </w:r>
      <w:r w:rsidR="001760A2" w:rsidRPr="0FB6F3D9">
        <w:rPr>
          <w:lang w:val="en-AU" w:eastAsia="en-AU"/>
        </w:rPr>
        <w:t xml:space="preserve"> initial</w:t>
      </w:r>
      <w:r w:rsidR="00EB7256" w:rsidRPr="0FB6F3D9">
        <w:rPr>
          <w:lang w:val="en-AU" w:eastAsia="en-AU"/>
        </w:rPr>
        <w:t xml:space="preserve"> regrouping </w:t>
      </w:r>
      <w:r w:rsidR="001760A2" w:rsidRPr="0FB6F3D9">
        <w:rPr>
          <w:lang w:val="en-AU" w:eastAsia="en-AU"/>
        </w:rPr>
        <w:t xml:space="preserve">exercise </w:t>
      </w:r>
      <w:r w:rsidR="00EB7256" w:rsidRPr="0FB6F3D9">
        <w:rPr>
          <w:lang w:val="en-AU" w:eastAsia="en-AU"/>
        </w:rPr>
        <w:t xml:space="preserve">was linked to clinical </w:t>
      </w:r>
      <w:r w:rsidR="00EB0367" w:rsidRPr="0FB6F3D9">
        <w:rPr>
          <w:lang w:val="en-AU" w:eastAsia="en-AU"/>
        </w:rPr>
        <w:t>use</w:t>
      </w:r>
      <w:r w:rsidR="00EB7256" w:rsidRPr="0FB6F3D9">
        <w:rPr>
          <w:lang w:val="en-AU" w:eastAsia="en-AU"/>
        </w:rPr>
        <w:t xml:space="preserve"> only, with no cost</w:t>
      </w:r>
      <w:r w:rsidR="00032BD9">
        <w:rPr>
          <w:lang w:val="en-AU" w:eastAsia="en-AU"/>
        </w:rPr>
        <w:t>-</w:t>
      </w:r>
      <w:r w:rsidR="00EB7256" w:rsidRPr="0FB6F3D9">
        <w:rPr>
          <w:lang w:val="en-AU" w:eastAsia="en-AU"/>
        </w:rPr>
        <w:t>benefit issues in scope</w:t>
      </w:r>
      <w:r w:rsidR="00974A87" w:rsidRPr="0FB6F3D9">
        <w:rPr>
          <w:lang w:val="en-AU" w:eastAsia="en-AU"/>
        </w:rPr>
        <w:t xml:space="preserve"> and considered “off-limits” due to the M</w:t>
      </w:r>
      <w:r w:rsidR="006E6D31">
        <w:rPr>
          <w:lang w:val="en-AU" w:eastAsia="en-AU"/>
        </w:rPr>
        <w:t>O</w:t>
      </w:r>
      <w:r w:rsidR="00974A87" w:rsidRPr="0FB6F3D9">
        <w:rPr>
          <w:lang w:val="en-AU" w:eastAsia="en-AU"/>
        </w:rPr>
        <w:t xml:space="preserve">U. </w:t>
      </w:r>
      <w:r w:rsidRPr="0FB6F3D9">
        <w:rPr>
          <w:lang w:val="en-AU" w:eastAsia="en-AU"/>
        </w:rPr>
        <w:t xml:space="preserve">The resulting proposed structure </w:t>
      </w:r>
      <w:r w:rsidR="00235C07" w:rsidRPr="0FB6F3D9">
        <w:rPr>
          <w:lang w:val="en-AU" w:eastAsia="en-AU"/>
        </w:rPr>
        <w:t>appeared to have reduced complexity than the original with one less tier in the classification hierarchy.</w:t>
      </w:r>
    </w:p>
    <w:p w14:paraId="2279C1E5" w14:textId="45CF6DC5" w:rsidR="00DC335E" w:rsidRDefault="00235C07" w:rsidP="00AC3361">
      <w:pPr>
        <w:rPr>
          <w:lang w:val="en-AU" w:eastAsia="en-AU"/>
        </w:rPr>
      </w:pPr>
      <w:r>
        <w:rPr>
          <w:lang w:val="en-AU" w:eastAsia="en-AU"/>
        </w:rPr>
        <w:t xml:space="preserve">The </w:t>
      </w:r>
      <w:r w:rsidR="008D22DF">
        <w:rPr>
          <w:lang w:val="en-AU" w:eastAsia="en-AU"/>
        </w:rPr>
        <w:t>ideal outcome of</w:t>
      </w:r>
      <w:r w:rsidR="00FF79DB">
        <w:rPr>
          <w:lang w:val="en-AU" w:eastAsia="en-AU"/>
        </w:rPr>
        <w:t xml:space="preserve"> the new PL structure was </w:t>
      </w:r>
      <w:r w:rsidR="008D22DF">
        <w:rPr>
          <w:lang w:val="en-AU" w:eastAsia="en-AU"/>
        </w:rPr>
        <w:t xml:space="preserve">for </w:t>
      </w:r>
      <w:r w:rsidR="00AE1514">
        <w:rPr>
          <w:lang w:val="en-AU" w:eastAsia="en-AU"/>
        </w:rPr>
        <w:t>groups/subgroups</w:t>
      </w:r>
      <w:r w:rsidR="00FF79DB" w:rsidRPr="00AC3361">
        <w:rPr>
          <w:lang w:val="en-AU" w:eastAsia="en-AU"/>
        </w:rPr>
        <w:t xml:space="preserve"> </w:t>
      </w:r>
      <w:r w:rsidR="008D22DF">
        <w:rPr>
          <w:lang w:val="en-AU" w:eastAsia="en-AU"/>
        </w:rPr>
        <w:t xml:space="preserve">to </w:t>
      </w:r>
      <w:r w:rsidR="00CC5B67">
        <w:rPr>
          <w:lang w:val="en-AU" w:eastAsia="en-AU"/>
        </w:rPr>
        <w:t>have</w:t>
      </w:r>
      <w:r w:rsidR="00FF79DB" w:rsidRPr="00AC3361">
        <w:rPr>
          <w:lang w:val="en-AU" w:eastAsia="en-AU"/>
        </w:rPr>
        <w:t xml:space="preserve"> a single benefit value (SBV)</w:t>
      </w:r>
      <w:r w:rsidR="008D22DF">
        <w:rPr>
          <w:lang w:val="en-AU" w:eastAsia="en-AU"/>
        </w:rPr>
        <w:t xml:space="preserve"> assigned to all the items in the group</w:t>
      </w:r>
      <w:r w:rsidR="00FF79DB">
        <w:rPr>
          <w:lang w:val="en-AU" w:eastAsia="en-AU"/>
        </w:rPr>
        <w:t xml:space="preserve">. </w:t>
      </w:r>
      <w:r>
        <w:rPr>
          <w:lang w:val="en-AU" w:eastAsia="en-AU"/>
        </w:rPr>
        <w:t xml:space="preserve">However, some groups/subgroups </w:t>
      </w:r>
      <w:r w:rsidR="005B41E4">
        <w:rPr>
          <w:lang w:val="en-AU" w:eastAsia="en-AU"/>
        </w:rPr>
        <w:t xml:space="preserve">in the proposed PL structure had a large variation in the benefit amount for items within the group/subgroup, which was termed a ‘mixed benefit group’. </w:t>
      </w:r>
      <w:r w:rsidR="52DE5B51">
        <w:rPr>
          <w:lang w:val="en-AU" w:eastAsia="en-AU"/>
        </w:rPr>
        <w:t xml:space="preserve">The </w:t>
      </w:r>
      <w:r w:rsidR="00C0725E">
        <w:rPr>
          <w:lang w:val="en-AU" w:eastAsia="en-AU"/>
        </w:rPr>
        <w:t>Department</w:t>
      </w:r>
      <w:r w:rsidR="008C4244">
        <w:rPr>
          <w:lang w:val="en-AU" w:eastAsia="en-AU"/>
        </w:rPr>
        <w:t xml:space="preserve"> worked to </w:t>
      </w:r>
      <w:r w:rsidR="00280B18">
        <w:rPr>
          <w:lang w:val="en-AU" w:eastAsia="en-AU"/>
        </w:rPr>
        <w:t xml:space="preserve">develop an approach to addressing </w:t>
      </w:r>
      <w:r w:rsidR="00DC7C61">
        <w:rPr>
          <w:lang w:val="en-AU" w:eastAsia="en-AU"/>
        </w:rPr>
        <w:t xml:space="preserve">mixed benefit groups. This </w:t>
      </w:r>
      <w:r w:rsidR="002D2630">
        <w:rPr>
          <w:lang w:val="en-AU" w:eastAsia="en-AU"/>
        </w:rPr>
        <w:t xml:space="preserve">approach identified subgroups with </w:t>
      </w:r>
      <w:r w:rsidR="00AC06A3">
        <w:rPr>
          <w:lang w:val="en-AU" w:eastAsia="en-AU"/>
        </w:rPr>
        <w:t>benefit amount variance and applied a serious of threshold tests to decide wh</w:t>
      </w:r>
      <w:r w:rsidR="0079596C">
        <w:rPr>
          <w:lang w:val="en-AU" w:eastAsia="en-AU"/>
        </w:rPr>
        <w:t xml:space="preserve">at action was required. For some groups, they intended to assign a weighted average benefit as the </w:t>
      </w:r>
      <w:r w:rsidR="00DC335E">
        <w:rPr>
          <w:lang w:val="en-AU" w:eastAsia="en-AU"/>
        </w:rPr>
        <w:t>single benefit</w:t>
      </w:r>
      <w:r w:rsidR="0079596C">
        <w:rPr>
          <w:lang w:val="en-AU" w:eastAsia="en-AU"/>
        </w:rPr>
        <w:t xml:space="preserve"> for the subgroup, but for others </w:t>
      </w:r>
      <w:r w:rsidR="006F0C13">
        <w:rPr>
          <w:lang w:val="en-AU" w:eastAsia="en-AU"/>
        </w:rPr>
        <w:t xml:space="preserve">the </w:t>
      </w:r>
      <w:r w:rsidR="00C0725E">
        <w:rPr>
          <w:lang w:val="en-AU" w:eastAsia="en-AU"/>
        </w:rPr>
        <w:t>Department</w:t>
      </w:r>
      <w:r w:rsidR="006F0C13">
        <w:rPr>
          <w:lang w:val="en-AU" w:eastAsia="en-AU"/>
        </w:rPr>
        <w:t xml:space="preserve"> intended to perform manual intervention to lower the variance across items. </w:t>
      </w:r>
      <w:r w:rsidR="001E7082">
        <w:rPr>
          <w:lang w:val="en-AU" w:eastAsia="en-AU"/>
        </w:rPr>
        <w:t xml:space="preserve">Of the </w:t>
      </w:r>
      <w:r w:rsidR="00C93197">
        <w:rPr>
          <w:lang w:val="en-AU" w:eastAsia="en-AU"/>
        </w:rPr>
        <w:t>approximately 500 subgroups</w:t>
      </w:r>
      <w:r w:rsidR="004B3F14">
        <w:rPr>
          <w:lang w:val="en-AU" w:eastAsia="en-AU"/>
        </w:rPr>
        <w:t xml:space="preserve"> identified</w:t>
      </w:r>
      <w:r w:rsidR="00C93197">
        <w:rPr>
          <w:lang w:val="en-AU" w:eastAsia="en-AU"/>
        </w:rPr>
        <w:t xml:space="preserve">, </w:t>
      </w:r>
      <w:r w:rsidR="004B3F14">
        <w:rPr>
          <w:lang w:val="en-AU" w:eastAsia="en-AU"/>
        </w:rPr>
        <w:t xml:space="preserve">approximately </w:t>
      </w:r>
      <w:r w:rsidR="003B3980">
        <w:rPr>
          <w:lang w:val="en-AU" w:eastAsia="en-AU"/>
        </w:rPr>
        <w:t xml:space="preserve">200 would </w:t>
      </w:r>
      <w:r w:rsidR="00413768">
        <w:rPr>
          <w:lang w:val="en-AU" w:eastAsia="en-AU"/>
        </w:rPr>
        <w:t>require</w:t>
      </w:r>
      <w:r w:rsidR="003B3980">
        <w:rPr>
          <w:lang w:val="en-AU" w:eastAsia="en-AU"/>
        </w:rPr>
        <w:t xml:space="preserve"> manual intervention.</w:t>
      </w:r>
      <w:r w:rsidR="004B4A52">
        <w:rPr>
          <w:rStyle w:val="FootnoteReference"/>
          <w:lang w:val="en-AU" w:eastAsia="en-AU"/>
        </w:rPr>
        <w:footnoteReference w:id="74"/>
      </w:r>
      <w:r w:rsidR="00DA1CD7">
        <w:rPr>
          <w:lang w:val="en-AU" w:eastAsia="en-AU"/>
        </w:rPr>
        <w:t xml:space="preserve"> The regrouping activity reached a point where it was a</w:t>
      </w:r>
      <w:r w:rsidR="0092276E">
        <w:rPr>
          <w:lang w:val="en-AU" w:eastAsia="en-AU"/>
        </w:rPr>
        <w:t xml:space="preserve">ppeared unfeasible to proceed without re-assessing every single mixed benefit group. </w:t>
      </w:r>
    </w:p>
    <w:p w14:paraId="52C5D6A3" w14:textId="0C70A0D1" w:rsidR="00DC335E" w:rsidRPr="004C654C" w:rsidRDefault="00413768" w:rsidP="00920B0C">
      <w:pPr>
        <w:rPr>
          <w:lang w:val="en-AU" w:eastAsia="en-AU"/>
        </w:rPr>
      </w:pPr>
      <w:r>
        <w:rPr>
          <w:lang w:val="en-AU" w:eastAsia="en-AU"/>
        </w:rPr>
        <w:t xml:space="preserve">This issue was </w:t>
      </w:r>
      <w:r w:rsidR="000D3779">
        <w:rPr>
          <w:lang w:val="en-AU" w:eastAsia="en-AU"/>
        </w:rPr>
        <w:t>never</w:t>
      </w:r>
      <w:r>
        <w:rPr>
          <w:lang w:val="en-AU" w:eastAsia="en-AU"/>
        </w:rPr>
        <w:t xml:space="preserve"> resolved and </w:t>
      </w:r>
      <w:r w:rsidR="00565247">
        <w:rPr>
          <w:lang w:val="en-AU" w:eastAsia="en-AU"/>
        </w:rPr>
        <w:t>as</w:t>
      </w:r>
      <w:r w:rsidR="00565247" w:rsidRPr="00565247">
        <w:rPr>
          <w:lang w:val="en-AU" w:eastAsia="en-AU"/>
        </w:rPr>
        <w:t xml:space="preserve"> a result, the reform has not been implemented as intended, with the regrouping project currently paused and the previous PL adopted into the technology platform.</w:t>
      </w:r>
      <w:r w:rsidR="00565247">
        <w:rPr>
          <w:lang w:val="en-AU" w:eastAsia="en-AU"/>
        </w:rPr>
        <w:t xml:space="preserve"> </w:t>
      </w:r>
      <w:r w:rsidR="00005843" w:rsidRPr="00565247">
        <w:rPr>
          <w:lang w:val="en-AU" w:eastAsia="en-AU"/>
        </w:rPr>
        <w:t xml:space="preserve">The </w:t>
      </w:r>
      <w:r w:rsidR="00C0725E">
        <w:rPr>
          <w:lang w:val="en-AU" w:eastAsia="en-AU"/>
        </w:rPr>
        <w:lastRenderedPageBreak/>
        <w:t>Department</w:t>
      </w:r>
      <w:r w:rsidR="00005843" w:rsidRPr="00565247">
        <w:rPr>
          <w:lang w:val="en-AU" w:eastAsia="en-AU"/>
        </w:rPr>
        <w:t xml:space="preserve"> has cited that methodological decisions and </w:t>
      </w:r>
      <w:r w:rsidR="00C0725E">
        <w:rPr>
          <w:lang w:val="en-AU" w:eastAsia="en-AU"/>
        </w:rPr>
        <w:t>Department</w:t>
      </w:r>
      <w:r w:rsidR="00005843" w:rsidRPr="00565247">
        <w:rPr>
          <w:lang w:val="en-AU" w:eastAsia="en-AU"/>
        </w:rPr>
        <w:t>al capacity issues are major contributing factors</w:t>
      </w:r>
      <w:r w:rsidR="00565247">
        <w:rPr>
          <w:lang w:val="en-AU" w:eastAsia="en-AU"/>
        </w:rPr>
        <w:t xml:space="preserve"> to </w:t>
      </w:r>
      <w:r w:rsidR="00920B0C">
        <w:rPr>
          <w:lang w:val="en-AU" w:eastAsia="en-AU"/>
        </w:rPr>
        <w:t xml:space="preserve">regrouping being stalled. </w:t>
      </w:r>
    </w:p>
    <w:p w14:paraId="51E168F1" w14:textId="050CAFED" w:rsidR="00920B0C" w:rsidRDefault="00EA2503" w:rsidP="00920B0C">
      <w:pPr>
        <w:rPr>
          <w:rFonts w:ascii="Segoe UI Semibold" w:eastAsia="Times New Roman" w:hAnsi="Segoe UI Semibold" w:cs="Times New Roman"/>
          <w:color w:val="00264D" w:themeColor="background2"/>
          <w:sz w:val="22"/>
          <w:szCs w:val="19"/>
          <w:lang w:val="en-AU" w:eastAsia="en-AU"/>
        </w:rPr>
      </w:pPr>
      <w:r>
        <w:rPr>
          <w:rFonts w:ascii="Segoe UI Semibold" w:eastAsia="Times New Roman" w:hAnsi="Segoe UI Semibold" w:cs="Times New Roman"/>
          <w:color w:val="00264D" w:themeColor="background2"/>
          <w:sz w:val="22"/>
          <w:szCs w:val="19"/>
          <w:lang w:val="en-AU" w:eastAsia="en-AU"/>
        </w:rPr>
        <w:t xml:space="preserve">Additional consideration of clinical care and cost of items </w:t>
      </w:r>
      <w:r w:rsidR="001364E1">
        <w:rPr>
          <w:rFonts w:ascii="Segoe UI Semibold" w:eastAsia="Times New Roman" w:hAnsi="Segoe UI Semibold" w:cs="Times New Roman"/>
          <w:color w:val="00264D" w:themeColor="background2"/>
          <w:sz w:val="22"/>
          <w:szCs w:val="19"/>
          <w:lang w:val="en-AU" w:eastAsia="en-AU"/>
        </w:rPr>
        <w:t xml:space="preserve">would have bolstered </w:t>
      </w:r>
      <w:r w:rsidR="00834B48">
        <w:rPr>
          <w:rFonts w:ascii="Segoe UI Semibold" w:eastAsia="Times New Roman" w:hAnsi="Segoe UI Semibold" w:cs="Times New Roman"/>
          <w:color w:val="00264D" w:themeColor="background2"/>
          <w:sz w:val="22"/>
          <w:szCs w:val="19"/>
          <w:lang w:val="en-AU" w:eastAsia="en-AU"/>
        </w:rPr>
        <w:t>the reform project from the outset</w:t>
      </w:r>
    </w:p>
    <w:p w14:paraId="55B8D3DB" w14:textId="20239D22" w:rsidR="00601A00" w:rsidRDefault="008E05D1" w:rsidP="00601A00">
      <w:pPr>
        <w:pStyle w:val="Bullet"/>
        <w:numPr>
          <w:ilvl w:val="0"/>
          <w:numId w:val="0"/>
        </w:numPr>
      </w:pPr>
      <w:r w:rsidRPr="008E05D1">
        <w:t xml:space="preserve">The work in this project </w:t>
      </w:r>
      <w:r w:rsidR="00C52B9A">
        <w:t>attempted to</w:t>
      </w:r>
      <w:r w:rsidRPr="008E05D1">
        <w:t xml:space="preserve"> </w:t>
      </w:r>
      <w:r w:rsidR="00C52B9A">
        <w:t>streamline</w:t>
      </w:r>
      <w:r w:rsidRPr="008E05D1">
        <w:t xml:space="preserve"> the PL through a </w:t>
      </w:r>
      <w:r w:rsidR="00C05391">
        <w:t>starting</w:t>
      </w:r>
      <w:r w:rsidRPr="008E05D1">
        <w:t xml:space="preserve"> lens of clinical </w:t>
      </w:r>
      <w:r w:rsidR="00DB3CDB" w:rsidRPr="008E05D1">
        <w:t>use</w:t>
      </w:r>
      <w:r w:rsidRPr="008E05D1">
        <w:t xml:space="preserve"> </w:t>
      </w:r>
      <w:r w:rsidR="005F25E3">
        <w:t>only</w:t>
      </w:r>
      <w:r w:rsidR="005820FC">
        <w:t xml:space="preserve">. </w:t>
      </w:r>
      <w:r w:rsidR="00ED1282">
        <w:t>It has now been discovered that</w:t>
      </w:r>
      <w:r w:rsidR="006D6B54">
        <w:t xml:space="preserve"> mixed benefit groups are </w:t>
      </w:r>
      <w:r w:rsidR="00D84255">
        <w:t xml:space="preserve">too complex to resolve </w:t>
      </w:r>
      <w:r w:rsidR="005820FC">
        <w:t>fully whilst also avoiding unintentionally</w:t>
      </w:r>
      <w:r w:rsidR="00644197">
        <w:t xml:space="preserve"> creating </w:t>
      </w:r>
      <w:r w:rsidR="008421C9">
        <w:t>any benefit</w:t>
      </w:r>
      <w:r w:rsidR="005820FC">
        <w:t xml:space="preserve"> savings</w:t>
      </w:r>
      <w:r w:rsidR="008421C9">
        <w:t>,</w:t>
      </w:r>
      <w:r w:rsidR="005820FC">
        <w:t xml:space="preserve"> as agreed by the </w:t>
      </w:r>
      <w:r w:rsidR="00CB71A5">
        <w:t xml:space="preserve">then </w:t>
      </w:r>
      <w:r w:rsidR="005820FC">
        <w:t xml:space="preserve">Minister in the MOU. </w:t>
      </w:r>
      <w:r w:rsidR="00ED1282">
        <w:t xml:space="preserve">In hindsight, </w:t>
      </w:r>
      <w:r w:rsidR="00626E1E">
        <w:t>considering both the use of items and their cost is critical</w:t>
      </w:r>
      <w:r w:rsidR="00F76695">
        <w:t xml:space="preserve">. </w:t>
      </w:r>
      <w:r w:rsidRPr="008E05D1">
        <w:t xml:space="preserve">Further work </w:t>
      </w:r>
      <w:r w:rsidR="00DB3CDB">
        <w:t>to progress re-grouping the P</w:t>
      </w:r>
      <w:r w:rsidR="00475A15">
        <w:t>L</w:t>
      </w:r>
      <w:r w:rsidR="00DB3CDB">
        <w:t xml:space="preserve"> </w:t>
      </w:r>
      <w:r w:rsidRPr="008E05D1">
        <w:t>would need to take both together as a starting point</w:t>
      </w:r>
      <w:r w:rsidR="46C0C353">
        <w:t>.</w:t>
      </w:r>
      <w:r w:rsidRPr="008E05D1">
        <w:t xml:space="preserve"> </w:t>
      </w:r>
    </w:p>
    <w:p w14:paraId="6563F131" w14:textId="59F4DF0B" w:rsidR="00232756" w:rsidRPr="00622C01" w:rsidRDefault="003716AE" w:rsidP="0254B43A">
      <w:pPr>
        <w:rPr>
          <w:rFonts w:ascii="Segoe UI Semibold" w:eastAsia="Times New Roman" w:hAnsi="Segoe UI Semibold" w:cs="Times New Roman"/>
          <w:color w:val="00264D" w:themeColor="background2"/>
          <w:sz w:val="22"/>
          <w:lang w:eastAsia="en-AU"/>
        </w:rPr>
      </w:pPr>
      <w:r w:rsidRPr="0254B43A">
        <w:rPr>
          <w:rFonts w:ascii="Segoe UI Semibold" w:eastAsia="Times New Roman" w:hAnsi="Segoe UI Semibold" w:cs="Times New Roman"/>
          <w:color w:val="00264D" w:themeColor="background2"/>
          <w:sz w:val="22"/>
          <w:lang w:eastAsia="en-AU"/>
        </w:rPr>
        <w:t xml:space="preserve">Some stakeholders believe </w:t>
      </w:r>
      <w:r w:rsidR="00CC0DD3" w:rsidRPr="0254B43A">
        <w:rPr>
          <w:rFonts w:ascii="Segoe UI Semibold" w:eastAsia="Times New Roman" w:hAnsi="Segoe UI Semibold" w:cs="Times New Roman"/>
          <w:color w:val="00264D" w:themeColor="background2"/>
          <w:sz w:val="22"/>
          <w:lang w:eastAsia="en-AU"/>
        </w:rPr>
        <w:t xml:space="preserve">the MOU </w:t>
      </w:r>
      <w:r w:rsidR="00614F0D" w:rsidRPr="0254B43A">
        <w:rPr>
          <w:rFonts w:ascii="Segoe UI Semibold" w:eastAsia="Times New Roman" w:hAnsi="Segoe UI Semibold" w:cs="Times New Roman"/>
          <w:color w:val="00264D" w:themeColor="background2"/>
          <w:sz w:val="22"/>
          <w:lang w:eastAsia="en-AU"/>
        </w:rPr>
        <w:t>was responsible for</w:t>
      </w:r>
      <w:r w:rsidR="00CC0DD3" w:rsidRPr="0254B43A">
        <w:rPr>
          <w:rFonts w:ascii="Segoe UI Semibold" w:eastAsia="Times New Roman" w:hAnsi="Segoe UI Semibold" w:cs="Times New Roman"/>
          <w:color w:val="00264D" w:themeColor="background2"/>
          <w:sz w:val="22"/>
          <w:lang w:eastAsia="en-AU"/>
        </w:rPr>
        <w:t xml:space="preserve"> halt</w:t>
      </w:r>
      <w:r w:rsidR="00622C01" w:rsidRPr="0254B43A">
        <w:rPr>
          <w:rFonts w:ascii="Segoe UI Semibold" w:eastAsia="Times New Roman" w:hAnsi="Segoe UI Semibold" w:cs="Times New Roman"/>
          <w:color w:val="00264D" w:themeColor="background2"/>
          <w:sz w:val="22"/>
          <w:lang w:eastAsia="en-AU"/>
        </w:rPr>
        <w:t>ing</w:t>
      </w:r>
      <w:r w:rsidR="00CC0DD3" w:rsidRPr="0254B43A">
        <w:rPr>
          <w:rFonts w:ascii="Segoe UI Semibold" w:eastAsia="Times New Roman" w:hAnsi="Segoe UI Semibold" w:cs="Times New Roman"/>
          <w:color w:val="00264D" w:themeColor="background2"/>
          <w:sz w:val="22"/>
          <w:lang w:eastAsia="en-AU"/>
        </w:rPr>
        <w:t xml:space="preserve"> progress</w:t>
      </w:r>
      <w:r w:rsidR="00614F0D" w:rsidRPr="0254B43A">
        <w:rPr>
          <w:rFonts w:ascii="Segoe UI Semibold" w:eastAsia="Times New Roman" w:hAnsi="Segoe UI Semibold" w:cs="Times New Roman"/>
          <w:color w:val="00264D" w:themeColor="background2"/>
          <w:sz w:val="22"/>
          <w:lang w:eastAsia="en-AU"/>
        </w:rPr>
        <w:t xml:space="preserve"> of regrouping the PL</w:t>
      </w:r>
      <w:r w:rsidR="00CC0DD3" w:rsidRPr="0254B43A">
        <w:rPr>
          <w:rFonts w:ascii="Segoe UI Semibold" w:eastAsia="Times New Roman" w:hAnsi="Segoe UI Semibold" w:cs="Times New Roman"/>
          <w:color w:val="00264D" w:themeColor="background2"/>
          <w:sz w:val="22"/>
          <w:lang w:eastAsia="en-AU"/>
        </w:rPr>
        <w:t xml:space="preserve">, </w:t>
      </w:r>
      <w:r w:rsidR="00B37A61">
        <w:rPr>
          <w:rFonts w:ascii="Segoe UI Semibold" w:eastAsia="Times New Roman" w:hAnsi="Segoe UI Semibold" w:cs="Times New Roman"/>
          <w:color w:val="00264D" w:themeColor="background2"/>
          <w:sz w:val="22"/>
          <w:lang w:eastAsia="en-AU"/>
        </w:rPr>
        <w:t>while</w:t>
      </w:r>
      <w:r w:rsidR="00CC0DD3" w:rsidRPr="0254B43A">
        <w:rPr>
          <w:rFonts w:ascii="Segoe UI Semibold" w:eastAsia="Times New Roman" w:hAnsi="Segoe UI Semibold" w:cs="Times New Roman"/>
          <w:color w:val="00264D" w:themeColor="background2"/>
          <w:sz w:val="22"/>
          <w:lang w:eastAsia="en-AU"/>
        </w:rPr>
        <w:t xml:space="preserve"> others </w:t>
      </w:r>
      <w:r w:rsidR="00614F0D" w:rsidRPr="0254B43A">
        <w:rPr>
          <w:rFonts w:ascii="Segoe UI Semibold" w:eastAsia="Times New Roman" w:hAnsi="Segoe UI Semibold" w:cs="Times New Roman"/>
          <w:color w:val="00264D" w:themeColor="background2"/>
          <w:sz w:val="22"/>
          <w:lang w:eastAsia="en-AU"/>
        </w:rPr>
        <w:t xml:space="preserve">maintain </w:t>
      </w:r>
      <w:r w:rsidR="00622C01" w:rsidRPr="0254B43A">
        <w:rPr>
          <w:rFonts w:ascii="Segoe UI Semibold" w:eastAsia="Times New Roman" w:hAnsi="Segoe UI Semibold" w:cs="Times New Roman"/>
          <w:color w:val="00264D" w:themeColor="background2"/>
          <w:sz w:val="22"/>
          <w:lang w:eastAsia="en-AU"/>
        </w:rPr>
        <w:t xml:space="preserve">there were options to </w:t>
      </w:r>
      <w:r w:rsidR="00AE2D71" w:rsidRPr="0254B43A">
        <w:rPr>
          <w:rFonts w:ascii="Segoe UI Semibold" w:eastAsia="Times New Roman" w:hAnsi="Segoe UI Semibold" w:cs="Times New Roman"/>
          <w:color w:val="00264D" w:themeColor="background2"/>
          <w:sz w:val="22"/>
          <w:lang w:eastAsia="en-AU"/>
        </w:rPr>
        <w:t>resolve regrouping</w:t>
      </w:r>
      <w:r w:rsidR="00622C01" w:rsidRPr="0254B43A">
        <w:rPr>
          <w:rFonts w:ascii="Segoe UI Semibold" w:eastAsia="Times New Roman" w:hAnsi="Segoe UI Semibold" w:cs="Times New Roman"/>
          <w:color w:val="00264D" w:themeColor="background2"/>
          <w:sz w:val="22"/>
          <w:lang w:eastAsia="en-AU"/>
        </w:rPr>
        <w:t xml:space="preserve"> challenges that were not pursued</w:t>
      </w:r>
      <w:r w:rsidR="00AE2D71" w:rsidRPr="0254B43A">
        <w:rPr>
          <w:rFonts w:ascii="Segoe UI Semibold" w:eastAsia="Times New Roman" w:hAnsi="Segoe UI Semibold" w:cs="Times New Roman"/>
          <w:color w:val="00264D" w:themeColor="background2"/>
          <w:sz w:val="22"/>
          <w:lang w:eastAsia="en-AU"/>
        </w:rPr>
        <w:t xml:space="preserve"> by the </w:t>
      </w:r>
      <w:r w:rsidR="00C0725E">
        <w:rPr>
          <w:rFonts w:ascii="Segoe UI Semibold" w:eastAsia="Times New Roman" w:hAnsi="Segoe UI Semibold" w:cs="Times New Roman"/>
          <w:color w:val="00264D" w:themeColor="background2"/>
          <w:sz w:val="22"/>
          <w:lang w:eastAsia="en-AU"/>
        </w:rPr>
        <w:t>Department</w:t>
      </w:r>
    </w:p>
    <w:p w14:paraId="32FDFF4C" w14:textId="254BFFF1" w:rsidR="00F76695" w:rsidRPr="00F76695" w:rsidRDefault="00F76695" w:rsidP="0254B43A">
      <w:pPr>
        <w:rPr>
          <w:rFonts w:eastAsia="Times New Roman" w:cs="Times New Roman"/>
          <w:szCs w:val="19"/>
          <w:lang w:val="en-AU" w:eastAsia="en-AU"/>
        </w:rPr>
      </w:pPr>
      <w:r>
        <w:rPr>
          <w:rFonts w:eastAsia="Times New Roman" w:cs="Times New Roman"/>
          <w:szCs w:val="19"/>
          <w:lang w:val="en-AU" w:eastAsia="en-AU"/>
        </w:rPr>
        <w:t xml:space="preserve">The </w:t>
      </w:r>
      <w:r w:rsidR="00364E65">
        <w:rPr>
          <w:rFonts w:eastAsia="Times New Roman" w:cs="Times New Roman"/>
          <w:szCs w:val="19"/>
          <w:lang w:val="en-AU" w:eastAsia="en-AU"/>
        </w:rPr>
        <w:t xml:space="preserve">unfinished regrouping project has </w:t>
      </w:r>
      <w:r w:rsidR="005D21A4">
        <w:rPr>
          <w:rFonts w:eastAsia="Times New Roman" w:cs="Times New Roman"/>
          <w:szCs w:val="19"/>
          <w:lang w:val="en-AU" w:eastAsia="en-AU"/>
        </w:rPr>
        <w:t xml:space="preserve">been critiqued by </w:t>
      </w:r>
      <w:r w:rsidR="002214D4">
        <w:rPr>
          <w:rFonts w:eastAsia="Times New Roman" w:cs="Times New Roman"/>
          <w:szCs w:val="19"/>
          <w:lang w:val="en-AU" w:eastAsia="en-AU"/>
        </w:rPr>
        <w:t xml:space="preserve">various stakeholders. Insurers believe that </w:t>
      </w:r>
      <w:r w:rsidR="00F22B2B">
        <w:rPr>
          <w:rFonts w:eastAsia="Times New Roman" w:cs="Times New Roman"/>
          <w:szCs w:val="19"/>
          <w:lang w:val="en-AU" w:eastAsia="en-AU"/>
        </w:rPr>
        <w:t xml:space="preserve">the MOU is responsible for limiting the effectiveness of the regrouping </w:t>
      </w:r>
      <w:r w:rsidR="00235323">
        <w:rPr>
          <w:rFonts w:eastAsia="Times New Roman" w:cs="Times New Roman"/>
          <w:szCs w:val="19"/>
          <w:lang w:val="en-AU" w:eastAsia="en-AU"/>
        </w:rPr>
        <w:t>work and has</w:t>
      </w:r>
      <w:r w:rsidR="008F3FCA">
        <w:rPr>
          <w:rFonts w:eastAsia="Times New Roman" w:cs="Times New Roman"/>
          <w:szCs w:val="19"/>
          <w:lang w:val="en-AU" w:eastAsia="en-AU"/>
        </w:rPr>
        <w:t xml:space="preserve"> </w:t>
      </w:r>
      <w:r w:rsidR="005A05D0">
        <w:rPr>
          <w:rFonts w:eastAsia="Times New Roman" w:cs="Times New Roman"/>
          <w:szCs w:val="19"/>
          <w:lang w:val="en-AU" w:eastAsia="en-AU"/>
        </w:rPr>
        <w:t xml:space="preserve">made it </w:t>
      </w:r>
      <w:r w:rsidR="00BD6F76">
        <w:rPr>
          <w:rFonts w:eastAsia="Times New Roman" w:cs="Times New Roman"/>
          <w:szCs w:val="19"/>
          <w:lang w:val="en-AU" w:eastAsia="en-AU"/>
        </w:rPr>
        <w:t>unfeasible</w:t>
      </w:r>
      <w:r w:rsidR="005A05D0">
        <w:rPr>
          <w:rFonts w:eastAsia="Times New Roman" w:cs="Times New Roman"/>
          <w:szCs w:val="19"/>
          <w:lang w:val="en-AU" w:eastAsia="en-AU"/>
        </w:rPr>
        <w:t xml:space="preserve"> to</w:t>
      </w:r>
      <w:r w:rsidR="008F3FCA">
        <w:rPr>
          <w:rFonts w:eastAsia="Times New Roman" w:cs="Times New Roman"/>
          <w:szCs w:val="19"/>
          <w:lang w:val="en-AU" w:eastAsia="en-AU"/>
        </w:rPr>
        <w:t xml:space="preserve"> </w:t>
      </w:r>
      <w:r w:rsidR="005A05D0">
        <w:rPr>
          <w:rFonts w:eastAsia="Times New Roman" w:cs="Times New Roman"/>
          <w:szCs w:val="19"/>
          <w:lang w:val="en-AU" w:eastAsia="en-AU"/>
        </w:rPr>
        <w:t>devise</w:t>
      </w:r>
      <w:r w:rsidR="008F3FCA">
        <w:rPr>
          <w:rFonts w:eastAsia="Times New Roman" w:cs="Times New Roman"/>
          <w:szCs w:val="19"/>
          <w:lang w:val="en-AU" w:eastAsia="en-AU"/>
        </w:rPr>
        <w:t xml:space="preserve"> a list that is both clinically consistent and reasonably priced for </w:t>
      </w:r>
      <w:r w:rsidR="0089771C">
        <w:rPr>
          <w:rFonts w:eastAsia="Times New Roman" w:cs="Times New Roman"/>
          <w:szCs w:val="19"/>
          <w:lang w:val="en-AU" w:eastAsia="en-AU"/>
        </w:rPr>
        <w:t>consumers.</w:t>
      </w:r>
      <w:r w:rsidR="000B0E20">
        <w:rPr>
          <w:rFonts w:eastAsia="Times New Roman" w:cs="Times New Roman"/>
          <w:szCs w:val="19"/>
          <w:lang w:val="en-AU" w:eastAsia="en-AU"/>
        </w:rPr>
        <w:t xml:space="preserve"> Meanwhile,</w:t>
      </w:r>
      <w:r w:rsidR="00F22B2B">
        <w:rPr>
          <w:rFonts w:eastAsia="Times New Roman" w:cs="Times New Roman"/>
          <w:szCs w:val="19"/>
          <w:lang w:val="en-AU" w:eastAsia="en-AU"/>
        </w:rPr>
        <w:t xml:space="preserve"> </w:t>
      </w:r>
      <w:r w:rsidR="00746AE4">
        <w:rPr>
          <w:rFonts w:eastAsia="Times New Roman" w:cs="Times New Roman"/>
          <w:szCs w:val="19"/>
          <w:lang w:val="en-AU" w:eastAsia="en-AU"/>
        </w:rPr>
        <w:t xml:space="preserve">medical device companies instead </w:t>
      </w:r>
      <w:r w:rsidR="000B0E20">
        <w:rPr>
          <w:rFonts w:eastAsia="Times New Roman" w:cs="Times New Roman"/>
          <w:szCs w:val="19"/>
          <w:lang w:val="en-AU" w:eastAsia="en-AU"/>
        </w:rPr>
        <w:t>maintain</w:t>
      </w:r>
      <w:r w:rsidR="00B92B96">
        <w:rPr>
          <w:rFonts w:eastAsia="Times New Roman" w:cs="Times New Roman"/>
          <w:szCs w:val="19"/>
          <w:lang w:val="en-AU" w:eastAsia="en-AU"/>
        </w:rPr>
        <w:t xml:space="preserve"> there are options to resolve regrouping if the Department</w:t>
      </w:r>
      <w:r w:rsidR="00364E65">
        <w:rPr>
          <w:rFonts w:eastAsia="Times New Roman" w:cs="Times New Roman"/>
          <w:szCs w:val="19"/>
          <w:lang w:val="en-AU" w:eastAsia="en-AU"/>
        </w:rPr>
        <w:t xml:space="preserve"> </w:t>
      </w:r>
      <w:r w:rsidR="000B0E20">
        <w:rPr>
          <w:rFonts w:eastAsia="Times New Roman" w:cs="Times New Roman"/>
          <w:szCs w:val="19"/>
          <w:lang w:val="en-AU" w:eastAsia="en-AU"/>
        </w:rPr>
        <w:t>wanted to persist with regrouping by clinical use only.</w:t>
      </w:r>
      <w:r>
        <w:rPr>
          <w:rFonts w:eastAsia="Times New Roman" w:cs="Times New Roman"/>
          <w:szCs w:val="19"/>
          <w:lang w:val="en-AU" w:eastAsia="en-AU"/>
        </w:rPr>
        <w:t xml:space="preserve"> </w:t>
      </w:r>
    </w:p>
    <w:p w14:paraId="78314D50" w14:textId="288994A9" w:rsidR="00D95E27" w:rsidRPr="00D95E27" w:rsidRDefault="00D95E27" w:rsidP="00D95E27">
      <w:pPr>
        <w:pStyle w:val="Caption"/>
      </w:pPr>
      <w:r>
        <w:t xml:space="preserve">Table </w:t>
      </w:r>
      <w:r>
        <w:fldChar w:fldCharType="begin"/>
      </w:r>
      <w:r>
        <w:instrText xml:space="preserve"> SEQ Table \* ARABIC </w:instrText>
      </w:r>
      <w:r>
        <w:fldChar w:fldCharType="separate"/>
      </w:r>
      <w:r w:rsidR="009B5D8D">
        <w:rPr>
          <w:noProof/>
        </w:rPr>
        <w:t>8</w:t>
      </w:r>
      <w:r>
        <w:fldChar w:fldCharType="end"/>
      </w:r>
      <w:r>
        <w:t xml:space="preserve"> | </w:t>
      </w:r>
      <w:r w:rsidRPr="000D7E2B">
        <w:t>Stakeholder perspectives on regrouping</w:t>
      </w:r>
      <w:r w:rsidR="006E5FF0">
        <w:rPr>
          <w:rStyle w:val="FootnoteReference"/>
        </w:rPr>
        <w:footnoteReference w:id="75"/>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463ED5" w:rsidRPr="00E2213C" w14:paraId="490F4CA6" w14:textId="77777777" w:rsidTr="004251B2">
        <w:trPr>
          <w:trHeight w:val="346"/>
        </w:trPr>
        <w:tc>
          <w:tcPr>
            <w:tcW w:w="1348" w:type="pct"/>
            <w:gridSpan w:val="2"/>
            <w:shd w:val="clear" w:color="auto" w:fill="E6E6E1" w:themeFill="accent5"/>
            <w:vAlign w:val="center"/>
          </w:tcPr>
          <w:p w14:paraId="2E39701F" w14:textId="77777777" w:rsidR="00463ED5" w:rsidRPr="00E2213C" w:rsidRDefault="00463ED5"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6C8F1B18" w14:textId="77777777" w:rsidR="00463ED5" w:rsidRPr="00E2213C" w:rsidRDefault="00463ED5"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463ED5" w:rsidRPr="00E2213C" w14:paraId="5121E391" w14:textId="77777777" w:rsidTr="004251B2">
        <w:trPr>
          <w:trHeight w:val="510"/>
        </w:trPr>
        <w:tc>
          <w:tcPr>
            <w:tcW w:w="554" w:type="pct"/>
            <w:shd w:val="clear" w:color="auto" w:fill="00264D" w:themeFill="background2"/>
            <w:vAlign w:val="center"/>
          </w:tcPr>
          <w:p w14:paraId="6AFC498E" w14:textId="77777777" w:rsidR="00463ED5" w:rsidRPr="00E2213C" w:rsidRDefault="00463ED5" w:rsidP="004251B2">
            <w:pPr>
              <w:spacing w:before="40" w:after="40"/>
              <w:jc w:val="center"/>
              <w:rPr>
                <w:i/>
                <w:iCs/>
              </w:rPr>
            </w:pPr>
            <w:r w:rsidRPr="00E2213C">
              <w:rPr>
                <w:i/>
                <w:iCs/>
                <w:noProof/>
              </w:rPr>
              <mc:AlternateContent>
                <mc:Choice Requires="wps">
                  <w:drawing>
                    <wp:inline distT="0" distB="0" distL="0" distR="0" wp14:anchorId="6FCE37A6" wp14:editId="14F4AF1A">
                      <wp:extent cx="320633" cy="314696"/>
                      <wp:effectExtent l="0" t="0" r="3810" b="9525"/>
                      <wp:docPr id="1833501423" name="Freeform: Shape 1833501423"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3808DA65" id="Freeform: Shape 1833501423"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6B9EB0D6" w14:textId="77777777" w:rsidR="00463ED5" w:rsidRPr="00E2213C" w:rsidRDefault="00463ED5"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22D7F014" w14:textId="35ACA3EA" w:rsidR="00463ED5" w:rsidRPr="00196216" w:rsidRDefault="00B0052B" w:rsidP="00C173DC">
            <w:pPr>
              <w:pStyle w:val="TableExpBullet0"/>
            </w:pPr>
            <w:r>
              <w:t>There should be</w:t>
            </w:r>
            <w:r w:rsidR="00E40F4C" w:rsidRPr="65B2A371">
              <w:t xml:space="preserve"> further clarity in benefit rules when devices are used outside their prescribed list groupings. </w:t>
            </w:r>
            <w:r w:rsidR="00463ED5" w:rsidRPr="65B2A371">
              <w:t xml:space="preserve"> </w:t>
            </w:r>
          </w:p>
        </w:tc>
      </w:tr>
      <w:tr w:rsidR="00463ED5" w:rsidRPr="00E2213C" w14:paraId="53C746DF" w14:textId="77777777" w:rsidTr="004251B2">
        <w:trPr>
          <w:trHeight w:val="421"/>
        </w:trPr>
        <w:tc>
          <w:tcPr>
            <w:tcW w:w="554" w:type="pct"/>
            <w:shd w:val="clear" w:color="auto" w:fill="00264D" w:themeFill="background2"/>
            <w:vAlign w:val="center"/>
          </w:tcPr>
          <w:p w14:paraId="1C240346" w14:textId="77777777" w:rsidR="00463ED5" w:rsidRPr="00E2213C" w:rsidRDefault="00463ED5" w:rsidP="004251B2">
            <w:pPr>
              <w:spacing w:before="40" w:after="40"/>
              <w:jc w:val="center"/>
              <w:rPr>
                <w:i/>
                <w:iCs/>
              </w:rPr>
            </w:pPr>
            <w:r w:rsidRPr="00E2213C">
              <w:rPr>
                <w:i/>
                <w:iCs/>
                <w:noProof/>
              </w:rPr>
              <mc:AlternateContent>
                <mc:Choice Requires="wps">
                  <w:drawing>
                    <wp:inline distT="0" distB="0" distL="0" distR="0" wp14:anchorId="2445A2FA" wp14:editId="3820952A">
                      <wp:extent cx="292311" cy="292311"/>
                      <wp:effectExtent l="0" t="0" r="0" b="0"/>
                      <wp:docPr id="2128923112" name="Freeform: Shape 2128923112" descr="Icon of a medical cros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2D068FC" id="Freeform: Shape 2128923112" o:spid="_x0000_s1026" alt="Icon of a medical cross &#10;"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2C9E66DA" w14:textId="77777777" w:rsidR="00463ED5" w:rsidRPr="00E2213C" w:rsidRDefault="00463ED5"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0E50D52B" w14:textId="16316D25" w:rsidR="00CB41D8" w:rsidRDefault="70E9FDFB" w:rsidP="00C173DC">
            <w:pPr>
              <w:pStyle w:val="TableExpBullet0"/>
              <w:rPr>
                <w:szCs w:val="17"/>
              </w:rPr>
            </w:pPr>
            <w:r w:rsidRPr="65B2A371">
              <w:t>The</w:t>
            </w:r>
            <w:r w:rsidR="00CB41D8" w:rsidRPr="65B2A371">
              <w:rPr>
                <w:szCs w:val="17"/>
              </w:rPr>
              <w:t xml:space="preserve"> MOU has limited the effectiveness of the regrouping work, as many items are currently grouped in a way that results in them being </w:t>
            </w:r>
            <w:r w:rsidR="00AD7335" w:rsidRPr="65B2A371">
              <w:rPr>
                <w:szCs w:val="17"/>
              </w:rPr>
              <w:t>overpriced</w:t>
            </w:r>
            <w:r w:rsidR="00CB41D8" w:rsidRPr="65B2A371">
              <w:rPr>
                <w:szCs w:val="17"/>
              </w:rPr>
              <w:t xml:space="preserve">. </w:t>
            </w:r>
          </w:p>
          <w:p w14:paraId="4EE21EE0" w14:textId="4A996EE8" w:rsidR="00463ED5" w:rsidRPr="00E2213C" w:rsidRDefault="00C510A9" w:rsidP="00C510A9">
            <w:pPr>
              <w:pStyle w:val="TableExpBullet0"/>
            </w:pPr>
            <w:r w:rsidRPr="00C510A9">
              <w:t>The organising principles used in the regrouping work (patient-centred, similar intended use or outcomes, not splitting individual components) are supported.</w:t>
            </w:r>
          </w:p>
        </w:tc>
      </w:tr>
      <w:tr w:rsidR="00463ED5" w:rsidRPr="00E2213C" w14:paraId="0F66A4D5" w14:textId="77777777" w:rsidTr="004251B2">
        <w:trPr>
          <w:trHeight w:val="857"/>
        </w:trPr>
        <w:tc>
          <w:tcPr>
            <w:tcW w:w="554" w:type="pct"/>
            <w:shd w:val="clear" w:color="auto" w:fill="00264D" w:themeFill="background2"/>
            <w:vAlign w:val="center"/>
          </w:tcPr>
          <w:p w14:paraId="1EF6CE80" w14:textId="77777777" w:rsidR="00463ED5" w:rsidRPr="00E2213C" w:rsidRDefault="00463ED5" w:rsidP="004251B2">
            <w:pPr>
              <w:spacing w:before="40" w:after="40"/>
              <w:jc w:val="center"/>
              <w:rPr>
                <w:i/>
                <w:iCs/>
              </w:rPr>
            </w:pPr>
            <w:r w:rsidRPr="00E2213C">
              <w:rPr>
                <w:i/>
                <w:iCs/>
                <w:noProof/>
              </w:rPr>
              <w:drawing>
                <wp:inline distT="0" distB="0" distL="0" distR="0" wp14:anchorId="33C49BE4" wp14:editId="12057A0C">
                  <wp:extent cx="309245" cy="336734"/>
                  <wp:effectExtent l="0" t="0" r="0" b="6350"/>
                  <wp:docPr id="685146966" name="Graphic 685146966"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46966" name="Graphic 685146966"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7D5CD724" w14:textId="77777777" w:rsidR="00463ED5" w:rsidRPr="00E2213C" w:rsidRDefault="00463ED5"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474E57D3" w14:textId="589E1009" w:rsidR="00463ED5" w:rsidRDefault="4056E132" w:rsidP="00C173DC">
            <w:pPr>
              <w:pStyle w:val="TableExpBullet0"/>
              <w:rPr>
                <w:szCs w:val="17"/>
              </w:rPr>
            </w:pPr>
            <w:r w:rsidRPr="65B2A371">
              <w:t>T</w:t>
            </w:r>
            <w:r w:rsidR="03432433" w:rsidRPr="65B2A371">
              <w:rPr>
                <w:szCs w:val="17"/>
              </w:rPr>
              <w:t>he</w:t>
            </w:r>
            <w:r w:rsidR="00CC526B" w:rsidRPr="65B2A371">
              <w:rPr>
                <w:szCs w:val="17"/>
              </w:rPr>
              <w:t xml:space="preserve"> alignment of groupings with </w:t>
            </w:r>
            <w:r w:rsidR="005657C3" w:rsidRPr="65B2A371">
              <w:rPr>
                <w:szCs w:val="17"/>
              </w:rPr>
              <w:t>clinical</w:t>
            </w:r>
            <w:r w:rsidR="00CC526B" w:rsidRPr="65B2A371">
              <w:rPr>
                <w:szCs w:val="17"/>
              </w:rPr>
              <w:t xml:space="preserve"> usage was strange criteria, as different types of technology </w:t>
            </w:r>
            <w:r w:rsidR="523B2A50" w:rsidRPr="77D775C1">
              <w:rPr>
                <w:szCs w:val="17"/>
              </w:rPr>
              <w:t>need</w:t>
            </w:r>
            <w:r w:rsidR="00CC526B" w:rsidRPr="65B2A371">
              <w:rPr>
                <w:szCs w:val="17"/>
              </w:rPr>
              <w:t xml:space="preserve"> to be costed differently. </w:t>
            </w:r>
          </w:p>
          <w:p w14:paraId="6DB68DB1" w14:textId="73FC3550" w:rsidR="00CC526B" w:rsidRPr="00E2213C" w:rsidRDefault="00F90B7C" w:rsidP="00C173DC">
            <w:pPr>
              <w:pStyle w:val="TableExpBullet0"/>
            </w:pPr>
            <w:r>
              <w:t>The</w:t>
            </w:r>
            <w:r w:rsidR="00CC526B">
              <w:t xml:space="preserve"> groupings have not changed despite long consultations</w:t>
            </w:r>
            <w:r w:rsidR="005657C3">
              <w:t xml:space="preserve"> and asserts that industry has offered concrete solutions to simplify groupings without breaching the MOU requirement not to incur additional savings. </w:t>
            </w:r>
          </w:p>
        </w:tc>
      </w:tr>
      <w:tr w:rsidR="00AA4A20" w:rsidRPr="00E2213C" w14:paraId="606E4B6F" w14:textId="77777777" w:rsidTr="004251B2">
        <w:trPr>
          <w:trHeight w:val="857"/>
        </w:trPr>
        <w:tc>
          <w:tcPr>
            <w:tcW w:w="554" w:type="pct"/>
            <w:shd w:val="clear" w:color="auto" w:fill="00264D" w:themeFill="background2"/>
            <w:vAlign w:val="center"/>
          </w:tcPr>
          <w:p w14:paraId="37894004" w14:textId="2DD1BB30" w:rsidR="00AA4A20" w:rsidRPr="00E2213C" w:rsidRDefault="00AA4A20" w:rsidP="00AA4A20">
            <w:pPr>
              <w:spacing w:before="40" w:after="40"/>
              <w:jc w:val="center"/>
              <w:rPr>
                <w:i/>
                <w:iCs/>
                <w:noProof/>
              </w:rPr>
            </w:pPr>
            <w:r>
              <w:rPr>
                <w:noProof/>
              </w:rPr>
              <w:drawing>
                <wp:inline distT="0" distB="0" distL="0" distR="0" wp14:anchorId="6206E452" wp14:editId="1C5DDAA5">
                  <wp:extent cx="267970" cy="323215"/>
                  <wp:effectExtent l="0" t="0" r="0" b="635"/>
                  <wp:docPr id="1168406407"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06407"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27699C37" w14:textId="6FA693CB" w:rsidR="00AA4A20" w:rsidRPr="00E2213C" w:rsidRDefault="00AA4A20" w:rsidP="00AA4A20">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p>
        </w:tc>
        <w:tc>
          <w:tcPr>
            <w:tcW w:w="3652" w:type="pct"/>
          </w:tcPr>
          <w:p w14:paraId="185E79E9" w14:textId="65CBB52B" w:rsidR="00D9202B" w:rsidRDefault="00F9070C" w:rsidP="00A8260E">
            <w:pPr>
              <w:pStyle w:val="TableExpBullet0"/>
            </w:pPr>
            <w:r>
              <w:t>Regrouping has c</w:t>
            </w:r>
            <w:r w:rsidR="00A8260E">
              <w:t xml:space="preserve">ulminated in wasted time and effort by the CIRG due to the key missing step of involving industry in regrouping. </w:t>
            </w:r>
          </w:p>
          <w:p w14:paraId="3ED826FA" w14:textId="0AD4F46A" w:rsidR="00A8260E" w:rsidRDefault="00D9202B" w:rsidP="00A8260E">
            <w:pPr>
              <w:pStyle w:val="TableExpBullet0"/>
            </w:pPr>
            <w:r>
              <w:t>It was</w:t>
            </w:r>
            <w:r w:rsidR="00A8260E">
              <w:t xml:space="preserve"> misguided to approach regrouping without considering commercial viability as</w:t>
            </w:r>
            <w:r w:rsidR="00BA4112">
              <w:t xml:space="preserve"> the </w:t>
            </w:r>
            <w:r w:rsidR="00A8260E">
              <w:t>groups</w:t>
            </w:r>
            <w:r w:rsidR="00BA4112">
              <w:t xml:space="preserve"> on the PL</w:t>
            </w:r>
            <w:r w:rsidR="00A8260E">
              <w:t xml:space="preserve"> relate to how much is paid for an item. </w:t>
            </w:r>
            <w:r>
              <w:t xml:space="preserve">For example, </w:t>
            </w:r>
            <w:r w:rsidR="00BA4112">
              <w:t>clinicians</w:t>
            </w:r>
            <w:r>
              <w:t xml:space="preserve"> do not know the cost implications of a metal </w:t>
            </w:r>
            <w:r w:rsidR="00BA4112">
              <w:t xml:space="preserve">vs ceramic version of a device. </w:t>
            </w:r>
          </w:p>
          <w:p w14:paraId="199ABDC1" w14:textId="34D09DAB" w:rsidR="00A8260E" w:rsidRPr="65B2A371" w:rsidRDefault="00A8260E" w:rsidP="00A8260E">
            <w:pPr>
              <w:pStyle w:val="TableExpBullet0"/>
            </w:pPr>
            <w:r>
              <w:t xml:space="preserve">Regrouping is largely irrelevant to clinicians who generally only interact with the PL to make sure the </w:t>
            </w:r>
            <w:r w:rsidR="005973C5">
              <w:t>device they want is listed. Most</w:t>
            </w:r>
            <w:r w:rsidR="00F9070C">
              <w:t xml:space="preserve"> clinicians</w:t>
            </w:r>
            <w:r w:rsidR="005973C5">
              <w:t xml:space="preserve"> have never heard of a PL group as it relates to how much is paid and </w:t>
            </w:r>
            <w:r w:rsidR="00F9070C">
              <w:t>they</w:t>
            </w:r>
            <w:r w:rsidR="005973C5">
              <w:t xml:space="preserve"> do not have a direct financial interest</w:t>
            </w:r>
            <w:r w:rsidR="00693A69">
              <w:t xml:space="preserve"> to the device used</w:t>
            </w:r>
            <w:r w:rsidR="005973C5">
              <w:t xml:space="preserve">. </w:t>
            </w:r>
          </w:p>
        </w:tc>
      </w:tr>
    </w:tbl>
    <w:p w14:paraId="03D87105" w14:textId="7B428D73" w:rsidR="001710C0" w:rsidRDefault="001710C0" w:rsidP="007D7FF5">
      <w:pPr>
        <w:pStyle w:val="Heading3"/>
      </w:pPr>
      <w:bookmarkStart w:id="68" w:name="_Ref178069709"/>
      <w:bookmarkStart w:id="69" w:name="_Toc181405090"/>
      <w:bookmarkStart w:id="70" w:name="_Ref169521591"/>
      <w:bookmarkStart w:id="71" w:name="_Ref169524434"/>
      <w:r w:rsidRPr="001710C0">
        <w:lastRenderedPageBreak/>
        <w:t xml:space="preserve">Lack of agreement to alternative funding arrangements </w:t>
      </w:r>
      <w:r>
        <w:t xml:space="preserve">has </w:t>
      </w:r>
      <w:r w:rsidRPr="001710C0">
        <w:t>result</w:t>
      </w:r>
      <w:r>
        <w:t>ed</w:t>
      </w:r>
      <w:r w:rsidRPr="001710C0">
        <w:t xml:space="preserve"> in  GUIs</w:t>
      </w:r>
      <w:r>
        <w:t xml:space="preserve"> </w:t>
      </w:r>
      <w:r w:rsidR="0D363E11">
        <w:t xml:space="preserve">being retained </w:t>
      </w:r>
      <w:r>
        <w:t>on the PL</w:t>
      </w:r>
      <w:bookmarkEnd w:id="68"/>
      <w:bookmarkEnd w:id="69"/>
    </w:p>
    <w:bookmarkEnd w:id="70"/>
    <w:bookmarkEnd w:id="71"/>
    <w:p w14:paraId="6C32D02A" w14:textId="1E24CE87" w:rsidR="007A4EB1" w:rsidRPr="007A4EB1" w:rsidRDefault="005F41C9" w:rsidP="007A4EB1">
      <w:pPr>
        <w:rPr>
          <w:lang w:val="en-AU" w:eastAsia="en-AU"/>
        </w:rPr>
      </w:pPr>
      <w:r>
        <w:rPr>
          <w:rFonts w:ascii="Segoe UI Semibold" w:eastAsia="Times New Roman" w:hAnsi="Segoe UI Semibold" w:cs="Times New Roman"/>
          <w:color w:val="00264D" w:themeColor="background2"/>
          <w:sz w:val="22"/>
          <w:lang w:val="en-AU" w:eastAsia="en-AU"/>
        </w:rPr>
        <w:t xml:space="preserve">The removal of GUIs was delayed </w:t>
      </w:r>
      <w:r w:rsidR="000F3F37">
        <w:rPr>
          <w:rFonts w:ascii="Segoe UI Semibold" w:eastAsia="Times New Roman" w:hAnsi="Segoe UI Semibold" w:cs="Times New Roman"/>
          <w:color w:val="00264D" w:themeColor="background2"/>
          <w:sz w:val="22"/>
          <w:lang w:val="en-AU" w:eastAsia="en-AU"/>
        </w:rPr>
        <w:t xml:space="preserve">in an attempt to facilitate </w:t>
      </w:r>
      <w:r w:rsidR="006B2899" w:rsidRPr="729E61EE">
        <w:rPr>
          <w:rFonts w:ascii="Segoe UI Semibold" w:eastAsia="Times New Roman" w:hAnsi="Segoe UI Semibold" w:cs="Times New Roman"/>
          <w:color w:val="00264D" w:themeColor="background2"/>
          <w:sz w:val="22"/>
          <w:lang w:val="en-AU" w:eastAsia="en-AU"/>
        </w:rPr>
        <w:t>bundling arrangements for stakeholders</w:t>
      </w:r>
    </w:p>
    <w:p w14:paraId="33658D93" w14:textId="7EE4FD2E" w:rsidR="00674083" w:rsidRPr="009D3411" w:rsidRDefault="006B2899" w:rsidP="618F7CF3">
      <w:pPr>
        <w:rPr>
          <w:lang w:val="en-AU" w:eastAsia="en-AU"/>
        </w:rPr>
      </w:pPr>
      <w:r w:rsidRPr="006B2899">
        <w:rPr>
          <w:lang w:val="en-AU" w:eastAsia="en-AU"/>
        </w:rPr>
        <w:t>The original</w:t>
      </w:r>
      <w:r w:rsidR="6482535E" w:rsidRPr="006B2899">
        <w:rPr>
          <w:lang w:val="en-AU" w:eastAsia="en-AU"/>
        </w:rPr>
        <w:t xml:space="preserve"> stated</w:t>
      </w:r>
      <w:r w:rsidRPr="006B2899">
        <w:rPr>
          <w:lang w:val="en-AU" w:eastAsia="en-AU"/>
        </w:rPr>
        <w:t xml:space="preserve"> intention of the reform was for GUIs to be removed from the PL </w:t>
      </w:r>
      <w:r w:rsidR="323F2BF6" w:rsidRPr="006B2899">
        <w:rPr>
          <w:lang w:val="en-AU" w:eastAsia="en-AU"/>
        </w:rPr>
        <w:t xml:space="preserve">by </w:t>
      </w:r>
      <w:r w:rsidR="0CEFF158" w:rsidRPr="006B2899">
        <w:rPr>
          <w:lang w:val="en-AU" w:eastAsia="en-AU"/>
        </w:rPr>
        <w:t>1 March 2022</w:t>
      </w:r>
      <w:r w:rsidR="31DBBF26" w:rsidRPr="006B2899">
        <w:rPr>
          <w:lang w:val="en-AU" w:eastAsia="en-AU"/>
        </w:rPr>
        <w:t xml:space="preserve"> </w:t>
      </w:r>
      <w:r w:rsidR="31DBBF26" w:rsidRPr="618F7CF3">
        <w:rPr>
          <w:rFonts w:eastAsia="Segoe UI" w:cs="Segoe UI"/>
          <w:color w:val="000000" w:themeColor="text1"/>
          <w:szCs w:val="19"/>
          <w:lang w:val="en-AU"/>
        </w:rPr>
        <w:t>however, this process was delayed</w:t>
      </w:r>
      <w:r w:rsidR="005A6896">
        <w:rPr>
          <w:rFonts w:eastAsia="Segoe UI" w:cs="Segoe UI"/>
          <w:color w:val="000000" w:themeColor="text1"/>
          <w:szCs w:val="19"/>
          <w:lang w:val="en-AU"/>
        </w:rPr>
        <w:t>,</w:t>
      </w:r>
      <w:r w:rsidR="31DBBF26" w:rsidRPr="618F7CF3">
        <w:rPr>
          <w:rFonts w:eastAsia="Segoe UI" w:cs="Segoe UI"/>
          <w:color w:val="000000" w:themeColor="text1"/>
          <w:szCs w:val="19"/>
          <w:lang w:val="en-AU"/>
        </w:rPr>
        <w:t xml:space="preserve"> </w:t>
      </w:r>
      <w:r w:rsidR="775E4336" w:rsidRPr="401FEEF8">
        <w:rPr>
          <w:rFonts w:eastAsia="Segoe UI" w:cs="Segoe UI"/>
          <w:color w:val="000000" w:themeColor="text1"/>
          <w:szCs w:val="19"/>
          <w:lang w:val="en-AU"/>
        </w:rPr>
        <w:t>providing</w:t>
      </w:r>
      <w:r w:rsidR="31DBBF26" w:rsidRPr="618F7CF3">
        <w:rPr>
          <w:rFonts w:eastAsia="Segoe UI" w:cs="Segoe UI"/>
          <w:color w:val="000000" w:themeColor="text1"/>
          <w:szCs w:val="19"/>
          <w:lang w:val="en-AU"/>
        </w:rPr>
        <w:t xml:space="preserve"> the Clinical Implementation Reference Group (CIRG) </w:t>
      </w:r>
      <w:r w:rsidR="00EB17C5">
        <w:rPr>
          <w:rFonts w:eastAsia="Segoe UI" w:cs="Segoe UI"/>
          <w:color w:val="000000" w:themeColor="text1"/>
          <w:szCs w:val="19"/>
          <w:lang w:val="en-AU"/>
        </w:rPr>
        <w:t xml:space="preserve">time </w:t>
      </w:r>
      <w:r w:rsidR="31DBBF26" w:rsidRPr="618F7CF3">
        <w:rPr>
          <w:rFonts w:eastAsia="Segoe UI" w:cs="Segoe UI"/>
          <w:color w:val="000000" w:themeColor="text1"/>
          <w:szCs w:val="19"/>
          <w:lang w:val="en-AU"/>
        </w:rPr>
        <w:t>to review the potential impacts of the removal of these items.</w:t>
      </w:r>
      <w:r w:rsidR="31DBBF26" w:rsidRPr="618F7CF3">
        <w:rPr>
          <w:rFonts w:eastAsia="Segoe UI" w:cs="Segoe UI"/>
          <w:color w:val="000000" w:themeColor="text1"/>
          <w:sz w:val="14"/>
          <w:szCs w:val="14"/>
          <w:vertAlign w:val="superscript"/>
          <w:lang w:val="en-AU"/>
        </w:rPr>
        <w:t>82</w:t>
      </w:r>
    </w:p>
    <w:p w14:paraId="0A88CF75" w14:textId="4A8CF87E" w:rsidR="00736E65" w:rsidRDefault="31DBBF26" w:rsidP="618F7CF3">
      <w:pPr>
        <w:rPr>
          <w:rFonts w:eastAsia="Segoe UI" w:cs="Segoe UI"/>
          <w:color w:val="000000" w:themeColor="text1"/>
          <w:szCs w:val="19"/>
          <w:lang w:val="en-AU"/>
        </w:rPr>
      </w:pPr>
      <w:r w:rsidRPr="763FAD9B">
        <w:rPr>
          <w:rFonts w:eastAsia="Segoe UI" w:cs="Segoe UI"/>
          <w:color w:val="000000" w:themeColor="text1"/>
          <w:lang w:val="en-AU"/>
        </w:rPr>
        <w:t xml:space="preserve">In the interim, a gradual reduction of the difference between the benefit and the public </w:t>
      </w:r>
      <w:r w:rsidR="0058077A" w:rsidRPr="763FAD9B">
        <w:rPr>
          <w:rFonts w:eastAsia="Segoe UI" w:cs="Segoe UI"/>
          <w:color w:val="000000" w:themeColor="text1"/>
          <w:lang w:val="en-AU"/>
        </w:rPr>
        <w:t>W</w:t>
      </w:r>
      <w:r w:rsidRPr="763FAD9B">
        <w:rPr>
          <w:rFonts w:eastAsia="Segoe UI" w:cs="Segoe UI"/>
          <w:color w:val="000000" w:themeColor="text1"/>
          <w:lang w:val="en-AU"/>
        </w:rPr>
        <w:t xml:space="preserve">eighted </w:t>
      </w:r>
      <w:r w:rsidR="0058077A" w:rsidRPr="763FAD9B">
        <w:rPr>
          <w:rFonts w:eastAsia="Segoe UI" w:cs="Segoe UI"/>
          <w:color w:val="000000" w:themeColor="text1"/>
          <w:lang w:val="en-AU"/>
        </w:rPr>
        <w:t>A</w:t>
      </w:r>
      <w:r w:rsidRPr="763FAD9B">
        <w:rPr>
          <w:rFonts w:eastAsia="Segoe UI" w:cs="Segoe UI"/>
          <w:color w:val="000000" w:themeColor="text1"/>
          <w:lang w:val="en-AU"/>
        </w:rPr>
        <w:t xml:space="preserve">verage </w:t>
      </w:r>
      <w:r w:rsidR="0058077A" w:rsidRPr="763FAD9B">
        <w:rPr>
          <w:rFonts w:eastAsia="Segoe UI" w:cs="Segoe UI"/>
          <w:color w:val="000000" w:themeColor="text1"/>
          <w:lang w:val="en-AU"/>
        </w:rPr>
        <w:t>P</w:t>
      </w:r>
      <w:r w:rsidRPr="763FAD9B">
        <w:rPr>
          <w:rFonts w:eastAsia="Segoe UI" w:cs="Segoe UI"/>
          <w:color w:val="000000" w:themeColor="text1"/>
          <w:lang w:val="en-AU"/>
        </w:rPr>
        <w:t>rice was to be put in place, followed by a revised date for removal of the items of 1 July 2023</w:t>
      </w:r>
      <w:r w:rsidR="00AF7F86" w:rsidRPr="763FAD9B">
        <w:rPr>
          <w:rFonts w:eastAsia="Segoe UI" w:cs="Segoe UI"/>
          <w:color w:val="000000" w:themeColor="text1"/>
          <w:lang w:val="en-AU"/>
        </w:rPr>
        <w:t>. This was subsequently delay</w:t>
      </w:r>
      <w:r w:rsidR="002E5B15" w:rsidRPr="763FAD9B">
        <w:rPr>
          <w:rFonts w:eastAsia="Segoe UI" w:cs="Segoe UI"/>
          <w:color w:val="000000" w:themeColor="text1"/>
          <w:lang w:val="en-AU"/>
        </w:rPr>
        <w:t xml:space="preserve">ed again </w:t>
      </w:r>
      <w:r w:rsidR="0024779B" w:rsidRPr="763FAD9B">
        <w:rPr>
          <w:rFonts w:eastAsia="Segoe UI" w:cs="Segoe UI"/>
          <w:color w:val="000000" w:themeColor="text1"/>
          <w:lang w:val="en-AU"/>
        </w:rPr>
        <w:t xml:space="preserve">to 1 July 2024. </w:t>
      </w:r>
      <w:r w:rsidR="00723B36">
        <w:t>Prior to the intended removal of GUIs in July 2024, the Department announced in June 2023 that they would no longer be accepting new applications for listing GUIs on the PL, as the timeframes to consider applications prior to their removal would be impractical.</w:t>
      </w:r>
      <w:r w:rsidR="00C26520">
        <w:rPr>
          <w:rStyle w:val="FootnoteReference"/>
        </w:rPr>
        <w:footnoteReference w:id="76"/>
      </w:r>
      <w:r w:rsidR="00723B36">
        <w:t xml:space="preserve"> </w:t>
      </w:r>
      <w:r w:rsidR="0024779B" w:rsidRPr="763FAD9B">
        <w:rPr>
          <w:rFonts w:eastAsia="Segoe UI" w:cs="Segoe UI"/>
          <w:color w:val="000000" w:themeColor="text1"/>
          <w:lang w:val="en-AU"/>
        </w:rPr>
        <w:t xml:space="preserve">In the lead-up to this </w:t>
      </w:r>
      <w:r w:rsidR="00170D91" w:rsidRPr="763FAD9B">
        <w:rPr>
          <w:rFonts w:eastAsia="Segoe UI" w:cs="Segoe UI"/>
          <w:color w:val="000000" w:themeColor="text1"/>
          <w:lang w:val="en-AU"/>
        </w:rPr>
        <w:t>removal date, the Minister announced</w:t>
      </w:r>
      <w:r w:rsidR="00736E65" w:rsidRPr="763FAD9B">
        <w:rPr>
          <w:rFonts w:eastAsia="Segoe UI" w:cs="Segoe UI"/>
          <w:color w:val="000000" w:themeColor="text1"/>
          <w:lang w:val="en-AU"/>
        </w:rPr>
        <w:t xml:space="preserve"> that GUIs would be retained on the PL.</w:t>
      </w:r>
      <w:r w:rsidR="00736E65" w:rsidRPr="00736E65">
        <w:rPr>
          <w:rStyle w:val="FootnoteReference"/>
        </w:rPr>
        <w:footnoteReference w:id="77"/>
      </w:r>
    </w:p>
    <w:p w14:paraId="643E0141" w14:textId="52E08630" w:rsidR="00674083" w:rsidRPr="009D3411" w:rsidRDefault="31DBBF26" w:rsidP="618F7CF3">
      <w:pPr>
        <w:rPr>
          <w:lang w:val="en-AU"/>
        </w:rPr>
      </w:pPr>
      <w:r w:rsidRPr="618F7CF3">
        <w:rPr>
          <w:lang w:val="en-AU"/>
        </w:rPr>
        <w:t xml:space="preserve">The schedule of these </w:t>
      </w:r>
      <w:r>
        <w:rPr>
          <w:lang w:val="en-AU"/>
        </w:rPr>
        <w:t xml:space="preserve">changes </w:t>
      </w:r>
      <w:r w:rsidR="009810CF">
        <w:rPr>
          <w:lang w:val="en-AU"/>
        </w:rPr>
        <w:t>are as follows</w:t>
      </w:r>
      <w:r>
        <w:rPr>
          <w:lang w:val="en-AU"/>
        </w:rPr>
        <w:t>:</w:t>
      </w:r>
      <w:r w:rsidRPr="618F7CF3">
        <w:rPr>
          <w:lang w:val="en-AU"/>
        </w:rPr>
        <w:t xml:space="preserve">  </w:t>
      </w:r>
    </w:p>
    <w:p w14:paraId="5C1B57FE" w14:textId="599FC806" w:rsidR="00D57736" w:rsidRPr="00736E65" w:rsidRDefault="00D57736" w:rsidP="00736E65">
      <w:pPr>
        <w:pStyle w:val="Bullet"/>
        <w:rPr>
          <w:rFonts w:eastAsia="Segoe UI"/>
        </w:rPr>
      </w:pPr>
      <w:r w:rsidRPr="00736E65">
        <w:rPr>
          <w:rFonts w:eastAsia="Segoe UI"/>
        </w:rPr>
        <w:t>Removal from the PL on 1 March 2022 (delayed)</w:t>
      </w:r>
    </w:p>
    <w:p w14:paraId="35994105" w14:textId="5BC628E2" w:rsidR="00674083" w:rsidRPr="00736E65" w:rsidRDefault="008852ED" w:rsidP="618F7CF3">
      <w:pPr>
        <w:pStyle w:val="Bullet"/>
        <w:rPr>
          <w:rFonts w:eastAsia="Segoe UI"/>
        </w:rPr>
      </w:pPr>
      <w:r w:rsidRPr="00736E65">
        <w:rPr>
          <w:rFonts w:eastAsia="Segoe UI"/>
        </w:rPr>
        <w:t>R</w:t>
      </w:r>
      <w:r w:rsidR="31DBBF26" w:rsidRPr="00736E65">
        <w:rPr>
          <w:rFonts w:eastAsia="Segoe UI"/>
        </w:rPr>
        <w:t>eduction of 60% of the difference between the PL benefit and the weighted average price from 1 July 2022</w:t>
      </w:r>
      <w:r w:rsidR="5EB32D1E" w:rsidRPr="00736E65">
        <w:rPr>
          <w:rFonts w:eastAsia="Segoe UI"/>
        </w:rPr>
        <w:t xml:space="preserve"> (completed)</w:t>
      </w:r>
    </w:p>
    <w:p w14:paraId="481589DD" w14:textId="743FE549" w:rsidR="00674083" w:rsidRPr="00736E65" w:rsidRDefault="008852ED" w:rsidP="618F7CF3">
      <w:pPr>
        <w:pStyle w:val="Bullet"/>
        <w:rPr>
          <w:rFonts w:eastAsia="Segoe UI"/>
        </w:rPr>
      </w:pPr>
      <w:r w:rsidRPr="00736E65">
        <w:rPr>
          <w:rFonts w:eastAsia="Segoe UI"/>
        </w:rPr>
        <w:t>R</w:t>
      </w:r>
      <w:r w:rsidR="31DBBF26" w:rsidRPr="00736E65">
        <w:rPr>
          <w:rFonts w:eastAsia="Segoe UI"/>
        </w:rPr>
        <w:t>eduction of 40% of the difference between the PL benefit and the weighted average price from 1 March 2023</w:t>
      </w:r>
      <w:r w:rsidR="6EF39011" w:rsidRPr="00736E65">
        <w:rPr>
          <w:rFonts w:eastAsia="Segoe UI"/>
        </w:rPr>
        <w:t xml:space="preserve"> (completed</w:t>
      </w:r>
      <w:r w:rsidR="629CC4E7" w:rsidRPr="00736E65">
        <w:rPr>
          <w:rFonts w:eastAsia="Segoe UI"/>
        </w:rPr>
        <w:t>)</w:t>
      </w:r>
    </w:p>
    <w:p w14:paraId="59A238F8" w14:textId="42D8F21A" w:rsidR="00254EBC" w:rsidRPr="00736E65" w:rsidRDefault="00254EBC" w:rsidP="00736E65">
      <w:pPr>
        <w:pStyle w:val="Bullet"/>
        <w:rPr>
          <w:rFonts w:eastAsia="Segoe UI"/>
        </w:rPr>
      </w:pPr>
      <w:r w:rsidRPr="00736E65">
        <w:rPr>
          <w:rFonts w:eastAsia="Segoe UI"/>
        </w:rPr>
        <w:t xml:space="preserve">Removal from the PL </w:t>
      </w:r>
      <w:r w:rsidR="00B575D7" w:rsidRPr="00736E65">
        <w:rPr>
          <w:rFonts w:eastAsia="Segoe UI"/>
        </w:rPr>
        <w:t>on 1 July 20</w:t>
      </w:r>
      <w:r w:rsidR="002A2D2C" w:rsidRPr="00736E65">
        <w:rPr>
          <w:rFonts w:eastAsia="Segoe UI"/>
        </w:rPr>
        <w:t>23 (delayed)</w:t>
      </w:r>
    </w:p>
    <w:p w14:paraId="43D59BD0" w14:textId="19F1B7E9" w:rsidR="00674083" w:rsidRPr="00736E65" w:rsidRDefault="00923259" w:rsidP="618F7CF3">
      <w:pPr>
        <w:pStyle w:val="Bullet"/>
        <w:rPr>
          <w:rFonts w:eastAsia="Segoe UI"/>
        </w:rPr>
      </w:pPr>
      <w:r w:rsidRPr="00736E65">
        <w:rPr>
          <w:rFonts w:eastAsia="Segoe UI"/>
        </w:rPr>
        <w:t>Removal from the PL on 1 July 2024 (dropped)</w:t>
      </w:r>
    </w:p>
    <w:p w14:paraId="7A7907BB" w14:textId="27411926" w:rsidR="0010395E" w:rsidRPr="0010395E" w:rsidRDefault="0010395E" w:rsidP="0010395E">
      <w:r>
        <w:t xml:space="preserve">At the </w:t>
      </w:r>
      <w:r w:rsidR="00774D02">
        <w:t>time of reporting</w:t>
      </w:r>
      <w:r>
        <w:t xml:space="preserve">, GUIs are to </w:t>
      </w:r>
      <w:r w:rsidR="00774D02">
        <w:t>remain indefinitely</w:t>
      </w:r>
      <w:r>
        <w:t xml:space="preserve"> on the PL.</w:t>
      </w:r>
    </w:p>
    <w:p w14:paraId="3CDF8891" w14:textId="244D9551" w:rsidR="00674083" w:rsidRPr="006326B4" w:rsidRDefault="78D42403" w:rsidP="00C73A6E">
      <w:pPr>
        <w:rPr>
          <w:color w:val="FF0000"/>
        </w:rPr>
      </w:pPr>
      <w:r w:rsidRPr="006326B4">
        <w:rPr>
          <w:rFonts w:ascii="Segoe UI Semibold" w:eastAsia="Times New Roman" w:hAnsi="Segoe UI Semibold" w:cs="Times New Roman"/>
          <w:color w:val="00264D" w:themeColor="background2"/>
          <w:sz w:val="22"/>
          <w:szCs w:val="19"/>
          <w:lang w:val="en-AU" w:eastAsia="en-AU"/>
        </w:rPr>
        <w:t>A</w:t>
      </w:r>
      <w:r w:rsidR="006B2899" w:rsidRPr="006326B4">
        <w:rPr>
          <w:rFonts w:ascii="Segoe UI Semibold" w:eastAsia="Times New Roman" w:hAnsi="Segoe UI Semibold" w:cs="Times New Roman"/>
          <w:color w:val="00264D" w:themeColor="background2"/>
          <w:sz w:val="22"/>
          <w:szCs w:val="19"/>
          <w:lang w:val="en-AU" w:eastAsia="en-AU"/>
        </w:rPr>
        <w:t>lternative arrangements</w:t>
      </w:r>
      <w:r w:rsidR="7585683E" w:rsidRPr="006326B4">
        <w:rPr>
          <w:rFonts w:ascii="Segoe UI Semibold" w:eastAsia="Times New Roman" w:hAnsi="Segoe UI Semibold" w:cs="Times New Roman"/>
          <w:color w:val="00264D" w:themeColor="background2"/>
          <w:sz w:val="22"/>
          <w:szCs w:val="19"/>
          <w:lang w:val="en-AU" w:eastAsia="en-AU"/>
        </w:rPr>
        <w:t xml:space="preserve"> were pursued but ultimately unsuccessful</w:t>
      </w:r>
      <w:r w:rsidR="00004911" w:rsidRPr="006326B4">
        <w:rPr>
          <w:rFonts w:ascii="Segoe UI Semibold" w:eastAsia="Times New Roman" w:hAnsi="Segoe UI Semibold" w:cs="Times New Roman"/>
          <w:color w:val="00264D" w:themeColor="background2"/>
          <w:sz w:val="22"/>
          <w:szCs w:val="19"/>
          <w:lang w:val="en-AU" w:eastAsia="en-AU"/>
        </w:rPr>
        <w:t xml:space="preserve"> </w:t>
      </w:r>
    </w:p>
    <w:p w14:paraId="2C1CD86C" w14:textId="47ABB091" w:rsidR="00674083" w:rsidRPr="009D3411" w:rsidRDefault="00004911" w:rsidP="00C73A6E">
      <w:r w:rsidRPr="006326B4">
        <w:rPr>
          <w:lang w:val="en-AU" w:eastAsia="en-AU"/>
        </w:rPr>
        <w:t xml:space="preserve">There were ongoing concerns about the high utilisation of </w:t>
      </w:r>
      <w:r w:rsidR="00D01337" w:rsidRPr="006326B4">
        <w:rPr>
          <w:lang w:val="en-AU" w:eastAsia="en-AU"/>
        </w:rPr>
        <w:t xml:space="preserve">certain groups of </w:t>
      </w:r>
      <w:r w:rsidRPr="006326B4">
        <w:rPr>
          <w:lang w:val="en-AU" w:eastAsia="en-AU"/>
        </w:rPr>
        <w:t xml:space="preserve">products </w:t>
      </w:r>
      <w:r w:rsidR="00B45A76" w:rsidRPr="006326B4">
        <w:rPr>
          <w:lang w:val="en-AU" w:eastAsia="en-AU"/>
        </w:rPr>
        <w:t xml:space="preserve">in the General </w:t>
      </w:r>
      <w:r w:rsidR="00574B69" w:rsidRPr="006326B4">
        <w:rPr>
          <w:lang w:val="en-AU" w:eastAsia="en-AU"/>
        </w:rPr>
        <w:t>Miscellaneous</w:t>
      </w:r>
      <w:r w:rsidR="00B45A76" w:rsidRPr="006326B4">
        <w:rPr>
          <w:lang w:val="en-AU" w:eastAsia="en-AU"/>
        </w:rPr>
        <w:t xml:space="preserve"> category of </w:t>
      </w:r>
      <w:r w:rsidR="002C531B" w:rsidRPr="006326B4">
        <w:rPr>
          <w:lang w:val="en-AU" w:eastAsia="en-AU"/>
        </w:rPr>
        <w:t>PL</w:t>
      </w:r>
      <w:r w:rsidR="00D01337" w:rsidRPr="006326B4">
        <w:rPr>
          <w:lang w:val="en-AU" w:eastAsia="en-AU"/>
        </w:rPr>
        <w:t xml:space="preserve"> and elsewhere,</w:t>
      </w:r>
      <w:r w:rsidR="00104B92" w:rsidRPr="006326B4">
        <w:rPr>
          <w:lang w:val="en-AU" w:eastAsia="en-AU"/>
        </w:rPr>
        <w:t xml:space="preserve"> and whether these </w:t>
      </w:r>
      <w:r w:rsidR="00D01337" w:rsidRPr="006326B4">
        <w:rPr>
          <w:lang w:val="en-AU" w:eastAsia="en-AU"/>
        </w:rPr>
        <w:t xml:space="preserve">items </w:t>
      </w:r>
      <w:r w:rsidR="00104B92" w:rsidRPr="006326B4">
        <w:rPr>
          <w:lang w:val="en-AU" w:eastAsia="en-AU"/>
        </w:rPr>
        <w:t xml:space="preserve">met the PL list </w:t>
      </w:r>
      <w:r w:rsidR="00574B69" w:rsidRPr="006326B4">
        <w:rPr>
          <w:lang w:val="en-AU" w:eastAsia="en-AU"/>
        </w:rPr>
        <w:t>criteria</w:t>
      </w:r>
      <w:r w:rsidR="00104B92" w:rsidRPr="006326B4">
        <w:rPr>
          <w:lang w:val="en-AU" w:eastAsia="en-AU"/>
        </w:rPr>
        <w:t>.</w:t>
      </w:r>
      <w:r w:rsidR="00574B69" w:rsidRPr="006326B4">
        <w:rPr>
          <w:rStyle w:val="FootnoteReference"/>
          <w:lang w:val="en-AU" w:eastAsia="en-AU"/>
        </w:rPr>
        <w:footnoteReference w:id="78"/>
      </w:r>
      <w:r w:rsidR="00104B92" w:rsidRPr="006326B4">
        <w:rPr>
          <w:lang w:val="en-AU" w:eastAsia="en-AU"/>
        </w:rPr>
        <w:t xml:space="preserve"> </w:t>
      </w:r>
      <w:r w:rsidR="007071A2" w:rsidRPr="006326B4">
        <w:rPr>
          <w:lang w:val="en-AU" w:eastAsia="en-AU"/>
        </w:rPr>
        <w:t>The</w:t>
      </w:r>
      <w:r w:rsidR="007071A2">
        <w:rPr>
          <w:lang w:val="en-AU" w:eastAsia="en-AU"/>
        </w:rPr>
        <w:t xml:space="preserve"> </w:t>
      </w:r>
      <w:r w:rsidR="00C0725E">
        <w:rPr>
          <w:lang w:val="en-AU" w:eastAsia="en-AU"/>
        </w:rPr>
        <w:t>Department</w:t>
      </w:r>
      <w:r w:rsidR="007071A2">
        <w:rPr>
          <w:lang w:val="en-AU" w:eastAsia="en-AU"/>
        </w:rPr>
        <w:t xml:space="preserve"> identif</w:t>
      </w:r>
      <w:r w:rsidR="00A50249">
        <w:rPr>
          <w:lang w:val="en-AU" w:eastAsia="en-AU"/>
        </w:rPr>
        <w:t xml:space="preserve">ied a group of </w:t>
      </w:r>
      <w:r w:rsidR="00742E42" w:rsidRPr="00A50249">
        <w:rPr>
          <w:lang w:val="en-AU" w:eastAsia="en-AU"/>
        </w:rPr>
        <w:t>over 500 general use and consumable products for removal from the PL.</w:t>
      </w:r>
      <w:r w:rsidR="007B4FFB">
        <w:t xml:space="preserve"> These </w:t>
      </w:r>
      <w:r w:rsidR="00D13EDB">
        <w:t>identified products</w:t>
      </w:r>
      <w:r w:rsidR="007B4FFB">
        <w:t xml:space="preserve"> either </w:t>
      </w:r>
      <w:r w:rsidR="00A82D01">
        <w:t>d</w:t>
      </w:r>
      <w:r w:rsidR="009F6BE7">
        <w:t>id</w:t>
      </w:r>
      <w:r w:rsidR="00A82D01">
        <w:t xml:space="preserve"> </w:t>
      </w:r>
      <w:r w:rsidR="007B4FFB">
        <w:t xml:space="preserve">not meet the </w:t>
      </w:r>
      <w:r w:rsidR="00D13EDB">
        <w:t xml:space="preserve">pre-reform criteria for </w:t>
      </w:r>
      <w:r w:rsidR="00574B69">
        <w:t>listing or</w:t>
      </w:r>
      <w:r w:rsidR="00D13EDB">
        <w:t xml:space="preserve"> would not meet the new definition </w:t>
      </w:r>
      <w:r w:rsidR="00BC1FD0">
        <w:t>or listing criteria agreed through</w:t>
      </w:r>
      <w:r w:rsidR="00317AE7">
        <w:t>out</w:t>
      </w:r>
      <w:r w:rsidR="00BC1FD0">
        <w:t xml:space="preserve"> the reforms. </w:t>
      </w:r>
    </w:p>
    <w:p w14:paraId="25D77D99" w14:textId="6329978F" w:rsidR="00674083" w:rsidRPr="009D3411" w:rsidRDefault="003426D9" w:rsidP="00C73A6E">
      <w:r>
        <w:rPr>
          <w:lang w:val="en-AU" w:eastAsia="en-AU"/>
        </w:rPr>
        <w:t>During</w:t>
      </w:r>
      <w:r w:rsidR="006B3214" w:rsidRPr="006B3214">
        <w:rPr>
          <w:lang w:val="en-AU" w:eastAsia="en-AU"/>
        </w:rPr>
        <w:t xml:space="preserve"> the </w:t>
      </w:r>
      <w:r w:rsidR="00066146">
        <w:rPr>
          <w:lang w:val="en-AU" w:eastAsia="en-AU"/>
        </w:rPr>
        <w:t>implementation of the</w:t>
      </w:r>
      <w:r w:rsidR="006B3214" w:rsidRPr="006B3214">
        <w:rPr>
          <w:lang w:val="en-AU" w:eastAsia="en-AU"/>
        </w:rPr>
        <w:t xml:space="preserve"> PL reforms, </w:t>
      </w:r>
      <w:r w:rsidR="006B3214">
        <w:rPr>
          <w:lang w:val="en-AU" w:eastAsia="en-AU"/>
        </w:rPr>
        <w:t xml:space="preserve">the </w:t>
      </w:r>
      <w:r w:rsidR="006B3214" w:rsidRPr="006B3214">
        <w:rPr>
          <w:lang w:val="en-AU" w:eastAsia="en-AU"/>
        </w:rPr>
        <w:t xml:space="preserve">priority for </w:t>
      </w:r>
      <w:r w:rsidR="00C0725E">
        <w:rPr>
          <w:lang w:val="en-AU" w:eastAsia="en-AU"/>
        </w:rPr>
        <w:t>Department</w:t>
      </w:r>
      <w:r w:rsidR="006B3214" w:rsidRPr="006B3214">
        <w:rPr>
          <w:lang w:val="en-AU" w:eastAsia="en-AU"/>
        </w:rPr>
        <w:t xml:space="preserve"> was streamlin</w:t>
      </w:r>
      <w:r w:rsidR="00A75EB4">
        <w:rPr>
          <w:lang w:val="en-AU" w:eastAsia="en-AU"/>
        </w:rPr>
        <w:t>ing the PL’s</w:t>
      </w:r>
      <w:r w:rsidR="006B3214" w:rsidRPr="006B3214">
        <w:rPr>
          <w:lang w:val="en-AU" w:eastAsia="en-AU"/>
        </w:rPr>
        <w:t xml:space="preserve"> scope and range of products and put downward pressure on PHIs by taking cost out of the system</w:t>
      </w:r>
      <w:r w:rsidR="00CC28AB">
        <w:rPr>
          <w:lang w:val="en-AU" w:eastAsia="en-AU"/>
        </w:rPr>
        <w:t xml:space="preserve">. </w:t>
      </w:r>
      <w:r w:rsidR="00075CC4">
        <w:t xml:space="preserve">The </w:t>
      </w:r>
      <w:r w:rsidR="00C0725E">
        <w:t>Department</w:t>
      </w:r>
      <w:r w:rsidR="00075CC4">
        <w:t xml:space="preserve"> sought the views of the</w:t>
      </w:r>
      <w:r w:rsidR="00B7774E">
        <w:t xml:space="preserve"> </w:t>
      </w:r>
      <w:r w:rsidR="00A82D01">
        <w:t xml:space="preserve">then </w:t>
      </w:r>
      <w:r w:rsidR="007F3578">
        <w:t>Clinical Implementation Reference Group (CIRG)</w:t>
      </w:r>
      <w:r w:rsidR="00075CC4">
        <w:t xml:space="preserve"> who</w:t>
      </w:r>
      <w:r w:rsidR="007F3578">
        <w:t xml:space="preserve"> advised that products could be removed from the PL with no clinical implications or a</w:t>
      </w:r>
      <w:r w:rsidR="00D95F40">
        <w:t xml:space="preserve">dverse </w:t>
      </w:r>
      <w:r w:rsidR="0019606D">
        <w:t>outcomes if the products are still available for use by doctors under an alternative funding agreement.</w:t>
      </w:r>
      <w:r w:rsidR="0031310F">
        <w:rPr>
          <w:rStyle w:val="FootnoteReference"/>
        </w:rPr>
        <w:footnoteReference w:id="79"/>
      </w:r>
      <w:r w:rsidR="0019606D">
        <w:t xml:space="preserve"> </w:t>
      </w:r>
    </w:p>
    <w:p w14:paraId="0A538E97" w14:textId="4BFD2BC8" w:rsidR="008651DD" w:rsidRDefault="008651DD" w:rsidP="00D95E27">
      <w:pPr>
        <w:pStyle w:val="Caption"/>
      </w:pPr>
      <w:r>
        <w:lastRenderedPageBreak/>
        <w:t xml:space="preserve">Figure </w:t>
      </w:r>
      <w:r>
        <w:fldChar w:fldCharType="begin"/>
      </w:r>
      <w:r>
        <w:instrText xml:space="preserve"> SEQ Figure \* ARABIC </w:instrText>
      </w:r>
      <w:r>
        <w:fldChar w:fldCharType="separate"/>
      </w:r>
      <w:r w:rsidR="009B5D8D">
        <w:rPr>
          <w:noProof/>
        </w:rPr>
        <w:t>21</w:t>
      </w:r>
      <w:r>
        <w:fldChar w:fldCharType="end"/>
      </w:r>
      <w:r>
        <w:t xml:space="preserve"> | Timeline of actions related to GUIs</w:t>
      </w:r>
    </w:p>
    <w:p w14:paraId="178C0DDE" w14:textId="09EBD394" w:rsidR="00BD7D62" w:rsidRPr="00C26ADB" w:rsidRDefault="008651DD" w:rsidP="00D95E27">
      <w:pPr>
        <w:jc w:val="both"/>
        <w:rPr>
          <w:lang w:val="en-AU" w:eastAsia="en-AU"/>
        </w:rPr>
      </w:pPr>
      <w:r>
        <w:rPr>
          <w:noProof/>
          <w:lang w:val="en-AU"/>
        </w:rPr>
        <w:drawing>
          <wp:inline distT="0" distB="0" distL="0" distR="0" wp14:anchorId="7219D915" wp14:editId="400560F5">
            <wp:extent cx="5733652" cy="3411940"/>
            <wp:effectExtent l="0" t="0" r="635" b="0"/>
            <wp:docPr id="959972980" name="Picture 3" descr="A figure showing the timeline of actions related to GUIs. Key dates for Department activities, IHACPA activities and key decisions are shown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72980" name="Picture 3" descr="A figure showing the timeline of actions related to GUIs. Key dates for Department activities, IHACPA activities and key decisions are shown in different colours.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6223" cy="3413470"/>
                    </a:xfrm>
                    <a:prstGeom prst="rect">
                      <a:avLst/>
                    </a:prstGeom>
                  </pic:spPr>
                </pic:pic>
              </a:graphicData>
            </a:graphic>
          </wp:inline>
        </w:drawing>
      </w:r>
    </w:p>
    <w:p w14:paraId="0ED9923A" w14:textId="2C450449" w:rsidR="008B44B7" w:rsidRDefault="008D7E84" w:rsidP="00B568DD">
      <w:pPr>
        <w:rPr>
          <w:rStyle w:val="normaltextrun"/>
          <w:rFonts w:cs="Segoe UI"/>
          <w:color w:val="000000"/>
          <w:shd w:val="clear" w:color="auto" w:fill="FFFFFF"/>
        </w:rPr>
      </w:pPr>
      <w:r>
        <w:rPr>
          <w:lang w:val="en-AU" w:eastAsia="en-AU"/>
        </w:rPr>
        <w:t xml:space="preserve">The </w:t>
      </w:r>
      <w:r w:rsidR="00C0725E">
        <w:rPr>
          <w:lang w:val="en-AU" w:eastAsia="en-AU"/>
        </w:rPr>
        <w:t>Department</w:t>
      </w:r>
      <w:r>
        <w:rPr>
          <w:lang w:val="en-AU" w:eastAsia="en-AU"/>
        </w:rPr>
        <w:t xml:space="preserve"> </w:t>
      </w:r>
      <w:r w:rsidR="000C65F9">
        <w:rPr>
          <w:lang w:val="en-AU" w:eastAsia="en-AU"/>
        </w:rPr>
        <w:t>endeavoured</w:t>
      </w:r>
      <w:r>
        <w:rPr>
          <w:lang w:val="en-AU" w:eastAsia="en-AU"/>
        </w:rPr>
        <w:t xml:space="preserve"> to facilitate </w:t>
      </w:r>
      <w:r w:rsidR="00CB4CCD">
        <w:rPr>
          <w:lang w:val="en-AU" w:eastAsia="en-AU"/>
        </w:rPr>
        <w:t xml:space="preserve">alternative funding </w:t>
      </w:r>
      <w:r>
        <w:rPr>
          <w:lang w:val="en-AU" w:eastAsia="en-AU"/>
        </w:rPr>
        <w:t>negotiations between</w:t>
      </w:r>
      <w:r w:rsidR="00FE235D">
        <w:rPr>
          <w:lang w:val="en-AU" w:eastAsia="en-AU"/>
        </w:rPr>
        <w:t xml:space="preserve"> insurers and hospitals.</w:t>
      </w:r>
      <w:r w:rsidR="00F81F55">
        <w:rPr>
          <w:lang w:val="en-AU" w:eastAsia="en-AU"/>
        </w:rPr>
        <w:t xml:space="preserve"> </w:t>
      </w:r>
      <w:r w:rsidR="00BC4519">
        <w:rPr>
          <w:lang w:val="en-AU" w:eastAsia="en-AU"/>
        </w:rPr>
        <w:t>IHA</w:t>
      </w:r>
      <w:r w:rsidR="2D3EEF5F">
        <w:rPr>
          <w:lang w:val="en-AU" w:eastAsia="en-AU"/>
        </w:rPr>
        <w:t>C</w:t>
      </w:r>
      <w:r w:rsidR="00BC4519">
        <w:rPr>
          <w:lang w:val="en-AU" w:eastAsia="en-AU"/>
        </w:rPr>
        <w:t xml:space="preserve">PA </w:t>
      </w:r>
      <w:r w:rsidR="00B775A6">
        <w:rPr>
          <w:lang w:val="en-AU" w:eastAsia="en-AU"/>
        </w:rPr>
        <w:t xml:space="preserve">was commissioned to assist these stakeholders, releasing a consultation paper </w:t>
      </w:r>
      <w:r w:rsidR="00B568DD">
        <w:rPr>
          <w:lang w:val="en-AU" w:eastAsia="en-AU"/>
        </w:rPr>
        <w:t xml:space="preserve">and final report </w:t>
      </w:r>
      <w:r w:rsidR="00B775A6">
        <w:rPr>
          <w:lang w:val="en-AU" w:eastAsia="en-AU"/>
        </w:rPr>
        <w:t xml:space="preserve">on potential bunding arrangements </w:t>
      </w:r>
      <w:r w:rsidR="00B568DD">
        <w:rPr>
          <w:lang w:val="en-AU" w:eastAsia="en-AU"/>
        </w:rPr>
        <w:t xml:space="preserve">in late 2022. </w:t>
      </w:r>
      <w:r w:rsidR="003F1AB5" w:rsidRPr="0045537A">
        <w:rPr>
          <w:rStyle w:val="normaltextrun"/>
          <w:rFonts w:cs="Segoe UI"/>
          <w:color w:val="000000"/>
          <w:shd w:val="clear" w:color="auto" w:fill="FFFFFF"/>
        </w:rPr>
        <w:t xml:space="preserve">On </w:t>
      </w:r>
      <w:r w:rsidR="00EA4BF1" w:rsidRPr="0045537A">
        <w:rPr>
          <w:rStyle w:val="normaltextrun"/>
          <w:rFonts w:cs="Segoe UI"/>
          <w:color w:val="000000"/>
          <w:shd w:val="clear" w:color="auto" w:fill="FFFFFF"/>
        </w:rPr>
        <w:t>14 December 2022,</w:t>
      </w:r>
      <w:r w:rsidR="003F1AB5" w:rsidRPr="0045537A">
        <w:rPr>
          <w:rStyle w:val="normaltextrun"/>
          <w:rFonts w:cs="Segoe UI"/>
          <w:color w:val="000000"/>
          <w:shd w:val="clear" w:color="auto" w:fill="FFFFFF"/>
        </w:rPr>
        <w:t xml:space="preserve"> the </w:t>
      </w:r>
      <w:r w:rsidR="00C0725E">
        <w:rPr>
          <w:rStyle w:val="normaltextrun"/>
          <w:rFonts w:cs="Segoe UI"/>
          <w:color w:val="000000"/>
          <w:shd w:val="clear" w:color="auto" w:fill="FFFFFF"/>
        </w:rPr>
        <w:t>Department</w:t>
      </w:r>
      <w:r w:rsidR="004D7A46">
        <w:rPr>
          <w:rStyle w:val="normaltextrun"/>
          <w:rFonts w:cs="Segoe UI"/>
          <w:color w:val="000000"/>
          <w:shd w:val="clear" w:color="auto" w:fill="FFFFFF"/>
        </w:rPr>
        <w:t xml:space="preserve"> committed</w:t>
      </w:r>
      <w:r w:rsidR="00146CE2">
        <w:rPr>
          <w:rStyle w:val="normaltextrun"/>
          <w:rFonts w:cs="Segoe UI"/>
          <w:color w:val="000000"/>
          <w:shd w:val="clear" w:color="auto" w:fill="FFFFFF"/>
        </w:rPr>
        <w:t xml:space="preserve"> </w:t>
      </w:r>
      <w:r w:rsidR="004D7A46">
        <w:rPr>
          <w:rStyle w:val="normaltextrun"/>
          <w:rFonts w:cs="Segoe UI"/>
          <w:color w:val="000000"/>
          <w:shd w:val="clear" w:color="auto" w:fill="FFFFFF"/>
        </w:rPr>
        <w:t>to</w:t>
      </w:r>
      <w:r w:rsidR="00146CE2">
        <w:rPr>
          <w:rStyle w:val="normaltextrun"/>
          <w:rFonts w:cs="Segoe UI"/>
          <w:color w:val="000000"/>
          <w:shd w:val="clear" w:color="auto" w:fill="FFFFFF"/>
        </w:rPr>
        <w:t xml:space="preserve"> a non-PL based method of funding, and IH</w:t>
      </w:r>
      <w:r w:rsidR="40EEB726">
        <w:rPr>
          <w:rStyle w:val="normaltextrun"/>
          <w:rFonts w:cs="Segoe UI"/>
          <w:color w:val="000000"/>
          <w:shd w:val="clear" w:color="auto" w:fill="FFFFFF"/>
        </w:rPr>
        <w:t>A</w:t>
      </w:r>
      <w:r w:rsidR="00146CE2">
        <w:rPr>
          <w:rStyle w:val="normaltextrun"/>
          <w:rFonts w:cs="Segoe UI"/>
          <w:color w:val="000000"/>
          <w:shd w:val="clear" w:color="auto" w:fill="FFFFFF"/>
        </w:rPr>
        <w:t xml:space="preserve">CPA was tasked with the methodology for the bundling arrangements. </w:t>
      </w:r>
      <w:r w:rsidR="00DE449D" w:rsidRPr="0045537A">
        <w:rPr>
          <w:rStyle w:val="normaltextrun"/>
          <w:rFonts w:cs="Segoe UI"/>
          <w:color w:val="000000"/>
          <w:shd w:val="clear" w:color="auto" w:fill="FFFFFF"/>
        </w:rPr>
        <w:t>Stakeholders were then invited from 13 February 2023 to 27 March 2023 to provide feedback on the subsequent GUI bundling tool made by IHACPA and the bundling of benefits for GUIs.</w:t>
      </w:r>
    </w:p>
    <w:p w14:paraId="79CC9837" w14:textId="77777777" w:rsidR="001A105A" w:rsidRDefault="184EE6FA" w:rsidP="000A45B4">
      <w:r>
        <w:rPr>
          <w:rStyle w:val="normaltextrun"/>
          <w:rFonts w:cs="Segoe UI"/>
          <w:color w:val="000000"/>
          <w:shd w:val="clear" w:color="auto" w:fill="FFFFFF"/>
        </w:rPr>
        <w:t>An a</w:t>
      </w:r>
      <w:r w:rsidR="00DE449D">
        <w:rPr>
          <w:rStyle w:val="normaltextrun"/>
          <w:rFonts w:cs="Segoe UI"/>
          <w:color w:val="000000"/>
          <w:shd w:val="clear" w:color="auto" w:fill="FFFFFF"/>
        </w:rPr>
        <w:t>greement about bundling arrangements did not come to fruitio</w:t>
      </w:r>
      <w:r w:rsidR="009F0254">
        <w:rPr>
          <w:rStyle w:val="normaltextrun"/>
          <w:rFonts w:cs="Segoe UI"/>
          <w:color w:val="000000"/>
          <w:shd w:val="clear" w:color="auto" w:fill="FFFFFF"/>
        </w:rPr>
        <w:t>n</w:t>
      </w:r>
      <w:r w:rsidR="002013C9" w:rsidRPr="763FAD9B">
        <w:rPr>
          <w:rStyle w:val="normaltextrun"/>
          <w:rFonts w:cs="Segoe UI"/>
          <w:color w:val="000000" w:themeColor="text1"/>
        </w:rPr>
        <w:t>, although private health insurers had committed to the alternative funding arrangement</w:t>
      </w:r>
      <w:r w:rsidR="00C260E8">
        <w:rPr>
          <w:rStyle w:val="normaltextrun"/>
          <w:rFonts w:cs="Segoe UI"/>
          <w:color w:val="000000" w:themeColor="text1"/>
        </w:rPr>
        <w:t>.</w:t>
      </w:r>
      <w:r w:rsidR="009F0254">
        <w:rPr>
          <w:rStyle w:val="normaltextrun"/>
          <w:rFonts w:cs="Segoe UI"/>
          <w:color w:val="000000"/>
          <w:shd w:val="clear" w:color="auto" w:fill="FFFFFF"/>
        </w:rPr>
        <w:t xml:space="preserve"> S</w:t>
      </w:r>
      <w:r w:rsidR="002013C9" w:rsidRPr="763FAD9B">
        <w:rPr>
          <w:rStyle w:val="normaltextrun"/>
          <w:rFonts w:cs="Segoe UI"/>
          <w:color w:val="000000" w:themeColor="text1"/>
        </w:rPr>
        <w:t>ome s</w:t>
      </w:r>
      <w:r w:rsidR="009F0254" w:rsidRPr="009F0254">
        <w:rPr>
          <w:rStyle w:val="normaltextrun"/>
          <w:rFonts w:cs="Segoe UI"/>
          <w:color w:val="000000"/>
          <w:shd w:val="clear" w:color="auto" w:fill="FFFFFF"/>
        </w:rPr>
        <w:t xml:space="preserve">takeholders continued raising issues with negotiating alternative funding arrangements </w:t>
      </w:r>
      <w:r w:rsidR="009F0254" w:rsidRPr="00334F78">
        <w:rPr>
          <w:rStyle w:val="normaltextrun"/>
          <w:rFonts w:cs="Segoe UI"/>
          <w:color w:val="000000"/>
          <w:shd w:val="clear" w:color="auto" w:fill="FFFFFF"/>
        </w:rPr>
        <w:t>for GUI</w:t>
      </w:r>
      <w:r w:rsidR="082CA3CC" w:rsidRPr="00334F78">
        <w:rPr>
          <w:rStyle w:val="normaltextrun"/>
          <w:rFonts w:cs="Segoe UI"/>
          <w:color w:val="000000"/>
          <w:shd w:val="clear" w:color="auto" w:fill="FFFFFF"/>
        </w:rPr>
        <w:t>s</w:t>
      </w:r>
      <w:r w:rsidR="009F0254" w:rsidRPr="00334F78">
        <w:rPr>
          <w:rStyle w:val="normaltextrun"/>
          <w:rFonts w:cs="Segoe UI"/>
          <w:color w:val="000000"/>
          <w:shd w:val="clear" w:color="auto" w:fill="FFFFFF"/>
        </w:rPr>
        <w:t xml:space="preserve">, and raised the negative clinical implications and potential adverse outcomes to patients should PL GUI funding cease. </w:t>
      </w:r>
      <w:r w:rsidR="00747604" w:rsidRPr="00334F78">
        <w:rPr>
          <w:rStyle w:val="normaltextrun"/>
          <w:rFonts w:cs="Segoe UI"/>
          <w:color w:val="000000"/>
          <w:shd w:val="clear" w:color="auto" w:fill="FFFFFF"/>
        </w:rPr>
        <w:t>Hospitals</w:t>
      </w:r>
      <w:r w:rsidR="009F0254" w:rsidRPr="00334F78">
        <w:rPr>
          <w:rStyle w:val="normaltextrun"/>
          <w:rFonts w:cs="Segoe UI"/>
          <w:color w:val="000000"/>
          <w:shd w:val="clear" w:color="auto" w:fill="FFFFFF"/>
        </w:rPr>
        <w:t xml:space="preserve"> also had concerns about </w:t>
      </w:r>
      <w:r w:rsidR="00334F78" w:rsidRPr="00334F78">
        <w:rPr>
          <w:rStyle w:val="normaltextrun"/>
          <w:rFonts w:cs="Segoe UI"/>
          <w:color w:val="000000"/>
          <w:shd w:val="clear" w:color="auto" w:fill="FFFFFF"/>
        </w:rPr>
        <w:t>the compatibility</w:t>
      </w:r>
      <w:r w:rsidR="00747604" w:rsidRPr="00334F78">
        <w:rPr>
          <w:rStyle w:val="normaltextrun"/>
          <w:rFonts w:cs="Segoe UI"/>
          <w:color w:val="000000"/>
          <w:shd w:val="clear" w:color="auto" w:fill="FFFFFF"/>
        </w:rPr>
        <w:t xml:space="preserve"> of the </w:t>
      </w:r>
      <w:r w:rsidR="004C3BBE" w:rsidRPr="00334F78">
        <w:rPr>
          <w:rStyle w:val="normaltextrun"/>
          <w:rFonts w:cs="Segoe UI"/>
          <w:color w:val="000000"/>
          <w:shd w:val="clear" w:color="auto" w:fill="FFFFFF"/>
        </w:rPr>
        <w:t xml:space="preserve">proposed </w:t>
      </w:r>
      <w:r w:rsidR="00334F78" w:rsidRPr="00334F78">
        <w:rPr>
          <w:rStyle w:val="normaltextrun"/>
          <w:rFonts w:cs="Segoe UI"/>
          <w:color w:val="000000"/>
          <w:shd w:val="clear" w:color="auto" w:fill="FFFFFF"/>
        </w:rPr>
        <w:t>funding arrangements</w:t>
      </w:r>
      <w:r w:rsidR="00747604" w:rsidRPr="00334F78">
        <w:rPr>
          <w:rStyle w:val="normaltextrun"/>
          <w:rFonts w:cs="Segoe UI"/>
          <w:color w:val="000000"/>
          <w:shd w:val="clear" w:color="auto" w:fill="FFFFFF"/>
        </w:rPr>
        <w:t xml:space="preserve"> </w:t>
      </w:r>
      <w:r w:rsidR="0005518F" w:rsidRPr="763FAD9B">
        <w:rPr>
          <w:rStyle w:val="normaltextrun"/>
          <w:rFonts w:cs="Segoe UI"/>
          <w:color w:val="000000" w:themeColor="text1"/>
        </w:rPr>
        <w:t>with</w:t>
      </w:r>
      <w:r w:rsidR="00334F78" w:rsidRPr="00334F78">
        <w:rPr>
          <w:rStyle w:val="normaltextrun"/>
          <w:rFonts w:cs="Segoe UI"/>
          <w:color w:val="000000"/>
          <w:shd w:val="clear" w:color="auto" w:fill="FFFFFF"/>
        </w:rPr>
        <w:t xml:space="preserve"> their</w:t>
      </w:r>
      <w:r w:rsidR="00747604" w:rsidRPr="00334F78">
        <w:rPr>
          <w:rStyle w:val="normaltextrun"/>
          <w:rFonts w:cs="Segoe UI"/>
          <w:color w:val="000000"/>
          <w:shd w:val="clear" w:color="auto" w:fill="FFFFFF"/>
        </w:rPr>
        <w:t xml:space="preserve"> existing</w:t>
      </w:r>
      <w:r w:rsidR="004C3BBE" w:rsidRPr="00334F78">
        <w:rPr>
          <w:rStyle w:val="normaltextrun"/>
          <w:rFonts w:cs="Segoe UI"/>
          <w:color w:val="000000"/>
          <w:shd w:val="clear" w:color="auto" w:fill="FFFFFF"/>
        </w:rPr>
        <w:t xml:space="preserve"> data systems</w:t>
      </w:r>
      <w:r w:rsidR="00747604" w:rsidRPr="00334F78">
        <w:rPr>
          <w:rStyle w:val="normaltextrun"/>
          <w:rFonts w:cs="Segoe UI"/>
          <w:color w:val="000000"/>
          <w:shd w:val="clear" w:color="auto" w:fill="FFFFFF"/>
        </w:rPr>
        <w:t>, and whether they would be</w:t>
      </w:r>
      <w:r w:rsidR="00334F78" w:rsidRPr="00334F78">
        <w:rPr>
          <w:rStyle w:val="normaltextrun"/>
          <w:rFonts w:cs="Segoe UI"/>
          <w:color w:val="000000"/>
          <w:shd w:val="clear" w:color="auto" w:fill="FFFFFF"/>
        </w:rPr>
        <w:t xml:space="preserve"> financially</w:t>
      </w:r>
      <w:r w:rsidR="00747604" w:rsidRPr="00334F78">
        <w:rPr>
          <w:rStyle w:val="normaltextrun"/>
          <w:rFonts w:cs="Segoe UI"/>
          <w:color w:val="000000"/>
          <w:shd w:val="clear" w:color="auto" w:fill="FFFFFF"/>
        </w:rPr>
        <w:t xml:space="preserve"> worse off under new arrangements. The </w:t>
      </w:r>
      <w:r w:rsidR="00747604" w:rsidRPr="00334F78">
        <w:t>r</w:t>
      </w:r>
      <w:r w:rsidR="00145202" w:rsidRPr="00334F78">
        <w:t>emoval</w:t>
      </w:r>
      <w:r w:rsidR="00145202">
        <w:t xml:space="preserve"> of GUIs </w:t>
      </w:r>
      <w:r w:rsidR="00E31CB6">
        <w:t>was delayed by 12</w:t>
      </w:r>
      <w:r w:rsidR="00C049D9">
        <w:t xml:space="preserve"> </w:t>
      </w:r>
      <w:r w:rsidR="00E31CB6">
        <w:t>months until 1 July 2024 to allow the sector to</w:t>
      </w:r>
      <w:r w:rsidR="00330315">
        <w:t xml:space="preserve"> make necessary arrangements </w:t>
      </w:r>
      <w:r w:rsidR="00DA474C">
        <w:t>and ensure no adverse impacts to patients.</w:t>
      </w:r>
    </w:p>
    <w:p w14:paraId="53FC9C4A" w14:textId="3447AF24" w:rsidR="0023305F" w:rsidRPr="00D95E27" w:rsidRDefault="00246DC9" w:rsidP="000A45B4">
      <w:pPr>
        <w:rPr>
          <w:rFonts w:cs="Segoe UI"/>
          <w:color w:val="000000"/>
          <w:shd w:val="clear" w:color="auto" w:fill="FFFFFF"/>
        </w:rPr>
      </w:pPr>
      <w:r>
        <w:t>On</w:t>
      </w:r>
      <w:r w:rsidR="00AE7B67">
        <w:t xml:space="preserve"> 1</w:t>
      </w:r>
      <w:r w:rsidR="00AD037E">
        <w:t xml:space="preserve"> May 2024, the Minister announced </w:t>
      </w:r>
      <w:r w:rsidR="00AE7B67">
        <w:t>that</w:t>
      </w:r>
      <w:r w:rsidR="001A105A">
        <w:t xml:space="preserve"> GUIs</w:t>
      </w:r>
      <w:r w:rsidR="00AE7B67">
        <w:t xml:space="preserve"> w</w:t>
      </w:r>
      <w:r w:rsidR="001A105A">
        <w:t>ould</w:t>
      </w:r>
      <w:r w:rsidR="00AE7B67">
        <w:t xml:space="preserve"> continue to be listed </w:t>
      </w:r>
      <w:r w:rsidR="00AE7B67" w:rsidRPr="00005B0C">
        <w:t xml:space="preserve">and funded through the PL after 1 July 2024, retaining 475 billing codes that were scheduled for removal, </w:t>
      </w:r>
      <w:r w:rsidR="00AD037E" w:rsidRPr="00005B0C">
        <w:t xml:space="preserve">citing </w:t>
      </w:r>
      <w:r w:rsidR="00AE7B67" w:rsidRPr="00005B0C">
        <w:t xml:space="preserve">that </w:t>
      </w:r>
      <w:r w:rsidR="00AD037E" w:rsidRPr="00005B0C">
        <w:t>careful consideration of stakeholder feedback</w:t>
      </w:r>
      <w:r w:rsidR="00AE7B67" w:rsidRPr="00005B0C">
        <w:t xml:space="preserve"> led to this decision</w:t>
      </w:r>
      <w:r w:rsidR="002B7248" w:rsidRPr="00005B0C">
        <w:t xml:space="preserve">. In this announcement </w:t>
      </w:r>
      <w:r w:rsidR="00005B0C" w:rsidRPr="00005B0C">
        <w:t>the Minister</w:t>
      </w:r>
      <w:r w:rsidR="001E6B76" w:rsidRPr="00005B0C">
        <w:t xml:space="preserve"> flagged</w:t>
      </w:r>
      <w:r w:rsidR="00005B0C" w:rsidRPr="00005B0C">
        <w:t xml:space="preserve"> that</w:t>
      </w:r>
      <w:r w:rsidR="00C876A3" w:rsidRPr="00005B0C">
        <w:t xml:space="preserve"> t</w:t>
      </w:r>
      <w:r w:rsidR="00516813" w:rsidRPr="00005B0C">
        <w:t>he</w:t>
      </w:r>
      <w:r w:rsidR="00D052F0" w:rsidRPr="00005B0C">
        <w:t xml:space="preserve"> draft</w:t>
      </w:r>
      <w:r w:rsidR="008651DD" w:rsidRPr="00005B0C">
        <w:t xml:space="preserve"> Private Health Insurance (Medical Devices and Human Tissue Products) Rules and</w:t>
      </w:r>
      <w:r w:rsidR="008651DD" w:rsidRPr="00364231">
        <w:t xml:space="preserve"> Prescribed List Guide will be updated to reflect this </w:t>
      </w:r>
      <w:r w:rsidR="00005B0C">
        <w:t>retention of GUIs,</w:t>
      </w:r>
      <w:r w:rsidR="00516813">
        <w:t xml:space="preserve"> and that t</w:t>
      </w:r>
      <w:r w:rsidR="008651DD" w:rsidRPr="000D171B">
        <w:t>he intent of the</w:t>
      </w:r>
      <w:r w:rsidR="00005B0C">
        <w:t xml:space="preserve"> GUI</w:t>
      </w:r>
      <w:r w:rsidR="008651DD" w:rsidRPr="000D171B">
        <w:t xml:space="preserve"> listing criteria will be to maintain the existing scope of the Part D grouping scheme</w:t>
      </w:r>
      <w:r w:rsidR="00516813">
        <w:t>.</w:t>
      </w:r>
      <w:r w:rsidR="00AE7B67">
        <w:rPr>
          <w:rStyle w:val="FootnoteReference"/>
        </w:rPr>
        <w:footnoteReference w:id="80"/>
      </w:r>
    </w:p>
    <w:p w14:paraId="6E6F18D9" w14:textId="3D16D570" w:rsidR="008651DD" w:rsidRDefault="008651DD" w:rsidP="000A45B4">
      <w:pPr>
        <w:rPr>
          <w:rFonts w:ascii="Segoe UI Semibold" w:eastAsia="Times New Roman" w:hAnsi="Segoe UI Semibold" w:cs="Times New Roman"/>
          <w:color w:val="00264D" w:themeColor="background2"/>
          <w:sz w:val="22"/>
          <w:lang w:val="en-AU" w:eastAsia="en-AU"/>
        </w:rPr>
      </w:pPr>
      <w:r w:rsidRPr="0AC6E114">
        <w:rPr>
          <w:rFonts w:ascii="Segoe UI Semibold" w:eastAsia="Times New Roman" w:hAnsi="Segoe UI Semibold" w:cs="Times New Roman"/>
          <w:color w:val="00264D" w:themeColor="background2"/>
          <w:sz w:val="22"/>
          <w:lang w:val="en-AU" w:eastAsia="en-AU"/>
        </w:rPr>
        <w:t xml:space="preserve">The decision to retain GUIs illustrates the complexity </w:t>
      </w:r>
      <w:r w:rsidR="176029C4" w:rsidRPr="4D485697">
        <w:rPr>
          <w:rFonts w:ascii="Segoe UI Semibold" w:eastAsia="Times New Roman" w:hAnsi="Segoe UI Semibold" w:cs="Times New Roman"/>
          <w:color w:val="00264D" w:themeColor="background2"/>
          <w:sz w:val="22"/>
          <w:lang w:val="en-AU" w:eastAsia="en-AU"/>
        </w:rPr>
        <w:t xml:space="preserve">of </w:t>
      </w:r>
      <w:r w:rsidRPr="4D485697">
        <w:rPr>
          <w:rFonts w:ascii="Segoe UI Semibold" w:eastAsia="Times New Roman" w:hAnsi="Segoe UI Semibold" w:cs="Times New Roman"/>
          <w:color w:val="00264D" w:themeColor="background2"/>
          <w:sz w:val="22"/>
          <w:lang w:val="en-AU" w:eastAsia="en-AU"/>
        </w:rPr>
        <w:t>balancing</w:t>
      </w:r>
      <w:r w:rsidRPr="0AC6E114">
        <w:rPr>
          <w:rFonts w:ascii="Segoe UI Semibold" w:eastAsia="Times New Roman" w:hAnsi="Segoe UI Semibold" w:cs="Times New Roman"/>
          <w:color w:val="00264D" w:themeColor="background2"/>
          <w:sz w:val="22"/>
          <w:lang w:val="en-AU" w:eastAsia="en-AU"/>
        </w:rPr>
        <w:t xml:space="preserve"> clearer PL scope with minimising administrative burdens </w:t>
      </w:r>
      <w:r w:rsidR="2840DB0B" w:rsidRPr="0F58A7CE">
        <w:rPr>
          <w:rFonts w:ascii="Segoe UI Semibold" w:eastAsia="Times New Roman" w:hAnsi="Segoe UI Semibold" w:cs="Times New Roman"/>
          <w:color w:val="00264D" w:themeColor="background2"/>
          <w:sz w:val="22"/>
          <w:lang w:val="en-AU" w:eastAsia="en-AU"/>
        </w:rPr>
        <w:t xml:space="preserve">of </w:t>
      </w:r>
      <w:r w:rsidRPr="0F58A7CE">
        <w:rPr>
          <w:rFonts w:ascii="Segoe UI Semibold" w:eastAsia="Times New Roman" w:hAnsi="Segoe UI Semibold" w:cs="Times New Roman"/>
          <w:color w:val="00264D" w:themeColor="background2"/>
          <w:sz w:val="22"/>
          <w:lang w:val="en-AU" w:eastAsia="en-AU"/>
        </w:rPr>
        <w:t>these</w:t>
      </w:r>
      <w:r w:rsidRPr="0AC6E114">
        <w:rPr>
          <w:rFonts w:ascii="Segoe UI Semibold" w:eastAsia="Times New Roman" w:hAnsi="Segoe UI Semibold" w:cs="Times New Roman"/>
          <w:color w:val="00264D" w:themeColor="background2"/>
          <w:sz w:val="22"/>
          <w:lang w:val="en-AU" w:eastAsia="en-AU"/>
        </w:rPr>
        <w:t xml:space="preserve"> reforms</w:t>
      </w:r>
      <w:r w:rsidR="000DE694" w:rsidRPr="0F58A7CE">
        <w:rPr>
          <w:rFonts w:ascii="Segoe UI Semibold" w:eastAsia="Times New Roman" w:hAnsi="Segoe UI Semibold" w:cs="Times New Roman"/>
          <w:color w:val="00264D" w:themeColor="background2"/>
          <w:sz w:val="22"/>
          <w:lang w:val="en-AU" w:eastAsia="en-AU"/>
        </w:rPr>
        <w:t xml:space="preserve"> on industry</w:t>
      </w:r>
    </w:p>
    <w:p w14:paraId="2A75200C" w14:textId="21629417" w:rsidR="00442020" w:rsidRPr="00D63FD6" w:rsidRDefault="00442020" w:rsidP="00CE280E">
      <w:pPr>
        <w:rPr>
          <w:rFonts w:ascii="Segoe UI Semibold" w:hAnsi="Segoe UI Semibold"/>
          <w:color w:val="00264D"/>
          <w:sz w:val="30"/>
          <w:szCs w:val="30"/>
        </w:rPr>
      </w:pPr>
      <w:r>
        <w:rPr>
          <w:lang w:val="en-AU" w:eastAsia="en-AU"/>
        </w:rPr>
        <w:t>The decision to not proceed with the reform indicates that health policy</w:t>
      </w:r>
      <w:r w:rsidR="00A50733">
        <w:rPr>
          <w:lang w:val="en-AU" w:eastAsia="en-AU"/>
        </w:rPr>
        <w:t xml:space="preserve"> priorities </w:t>
      </w:r>
      <w:r>
        <w:rPr>
          <w:lang w:val="en-AU" w:eastAsia="en-AU"/>
        </w:rPr>
        <w:t xml:space="preserve">and settings </w:t>
      </w:r>
      <w:r w:rsidR="00A50733">
        <w:rPr>
          <w:lang w:val="en-AU" w:eastAsia="en-AU"/>
        </w:rPr>
        <w:t xml:space="preserve">have </w:t>
      </w:r>
      <w:r>
        <w:rPr>
          <w:lang w:val="en-AU" w:eastAsia="en-AU"/>
        </w:rPr>
        <w:t xml:space="preserve">shifted since the commencement of </w:t>
      </w:r>
      <w:r w:rsidRPr="00C876A3">
        <w:rPr>
          <w:lang w:val="en-AU" w:eastAsia="en-AU"/>
        </w:rPr>
        <w:t>the reforms</w:t>
      </w:r>
      <w:r w:rsidR="00272444" w:rsidRPr="00C876A3">
        <w:rPr>
          <w:lang w:val="en-AU" w:eastAsia="en-AU"/>
        </w:rPr>
        <w:t xml:space="preserve"> in 2021</w:t>
      </w:r>
      <w:r w:rsidR="3DF74A4F" w:rsidRPr="00C876A3">
        <w:rPr>
          <w:lang w:val="en-AU" w:eastAsia="en-AU"/>
        </w:rPr>
        <w:t xml:space="preserve">. </w:t>
      </w:r>
      <w:r w:rsidR="005E5FF8" w:rsidRPr="00C876A3">
        <w:t xml:space="preserve">This </w:t>
      </w:r>
      <w:r w:rsidR="00272444" w:rsidRPr="00C876A3">
        <w:t>include</w:t>
      </w:r>
      <w:r w:rsidR="00C876A3" w:rsidRPr="00C876A3">
        <w:t>d</w:t>
      </w:r>
      <w:r w:rsidR="005E5FF8" w:rsidRPr="00C876A3">
        <w:t xml:space="preserve"> </w:t>
      </w:r>
      <w:r w:rsidR="0062256A" w:rsidRPr="00C876A3">
        <w:t xml:space="preserve">feedback </w:t>
      </w:r>
      <w:r w:rsidR="00C876A3" w:rsidRPr="00C876A3">
        <w:t xml:space="preserve">and concern from hospital stakeholders </w:t>
      </w:r>
      <w:r w:rsidR="0062256A" w:rsidRPr="00C876A3">
        <w:t xml:space="preserve">that they </w:t>
      </w:r>
      <w:r w:rsidR="5285C434" w:rsidRPr="00C876A3">
        <w:t>would not be financially viable</w:t>
      </w:r>
      <w:r w:rsidR="0062256A" w:rsidRPr="00C876A3">
        <w:t xml:space="preserve"> without </w:t>
      </w:r>
      <w:r w:rsidR="00C876A3" w:rsidRPr="00C876A3">
        <w:t xml:space="preserve">assured funding for </w:t>
      </w:r>
      <w:r w:rsidR="0062256A" w:rsidRPr="00C876A3">
        <w:t xml:space="preserve">GUIs </w:t>
      </w:r>
      <w:r w:rsidR="00C876A3" w:rsidRPr="00C876A3">
        <w:t>through the existing mechanism of</w:t>
      </w:r>
      <w:r w:rsidR="0062256A" w:rsidRPr="00C876A3">
        <w:t xml:space="preserve"> the PL.</w:t>
      </w:r>
      <w:r w:rsidR="00272444" w:rsidRPr="00C876A3">
        <w:t xml:space="preserve"> </w:t>
      </w:r>
      <w:r w:rsidR="00D63FD6" w:rsidRPr="00C876A3">
        <w:t>The mi</w:t>
      </w:r>
      <w:r w:rsidR="00D63FD6">
        <w:t xml:space="preserve">nisterial announcement cited stakeholder concerns regarding alternative </w:t>
      </w:r>
      <w:r w:rsidR="00D63FD6">
        <w:lastRenderedPageBreak/>
        <w:t>funding arrangements for GUIs and potential negative clinical implications or adverse outcomes to patients should GUI funding cease</w:t>
      </w:r>
      <w:r w:rsidR="008C17B6">
        <w:t xml:space="preserve"> through the PL without alternative arrangements settled</w:t>
      </w:r>
      <w:r w:rsidR="00D63FD6">
        <w:t>.</w:t>
      </w:r>
      <w:r w:rsidR="00AE2D71">
        <w:rPr>
          <w:rStyle w:val="FootnoteReference"/>
        </w:rPr>
        <w:footnoteReference w:id="81"/>
      </w:r>
      <w:r w:rsidR="00D63FD6">
        <w:t xml:space="preserve"> </w:t>
      </w:r>
    </w:p>
    <w:p w14:paraId="45D0CE2A" w14:textId="1F857169" w:rsidR="00817254" w:rsidRDefault="1EBB9586" w:rsidP="3A608658">
      <w:pPr>
        <w:rPr>
          <w:lang w:val="en-AU" w:eastAsia="en-AU"/>
        </w:rPr>
      </w:pPr>
      <w:r w:rsidRPr="56D1C7A4">
        <w:rPr>
          <w:lang w:val="en-AU" w:eastAsia="en-AU"/>
        </w:rPr>
        <w:t>A</w:t>
      </w:r>
      <w:r w:rsidR="0062256A" w:rsidRPr="56D1C7A4">
        <w:rPr>
          <w:lang w:val="en-AU" w:eastAsia="en-AU"/>
        </w:rPr>
        <w:t>dditionally</w:t>
      </w:r>
      <w:r w:rsidR="0062256A">
        <w:rPr>
          <w:lang w:val="en-AU" w:eastAsia="en-AU"/>
        </w:rPr>
        <w:t xml:space="preserve">, </w:t>
      </w:r>
      <w:r w:rsidR="00A93623">
        <w:rPr>
          <w:lang w:val="en-AU" w:eastAsia="en-AU"/>
        </w:rPr>
        <w:t xml:space="preserve">through </w:t>
      </w:r>
      <w:r w:rsidR="00B1533B" w:rsidRPr="56D1C7A4">
        <w:rPr>
          <w:lang w:val="en-AU" w:eastAsia="en-AU"/>
        </w:rPr>
        <w:t>IHA</w:t>
      </w:r>
      <w:r w:rsidR="056890C7" w:rsidRPr="56D1C7A4">
        <w:rPr>
          <w:lang w:val="en-AU" w:eastAsia="en-AU"/>
        </w:rPr>
        <w:t>C</w:t>
      </w:r>
      <w:r w:rsidR="00B1533B" w:rsidRPr="56D1C7A4">
        <w:rPr>
          <w:lang w:val="en-AU" w:eastAsia="en-AU"/>
        </w:rPr>
        <w:t>PA’s</w:t>
      </w:r>
      <w:r w:rsidR="00B1533B">
        <w:rPr>
          <w:lang w:val="en-AU" w:eastAsia="en-AU"/>
        </w:rPr>
        <w:t xml:space="preserve"> modelling, it became clear that </w:t>
      </w:r>
      <w:r w:rsidR="00A93623">
        <w:rPr>
          <w:lang w:val="en-AU" w:eastAsia="en-AU"/>
        </w:rPr>
        <w:t xml:space="preserve">changing processes </w:t>
      </w:r>
      <w:r w:rsidR="688D08E5" w:rsidRPr="56D1C7A4">
        <w:rPr>
          <w:lang w:val="en-AU" w:eastAsia="en-AU"/>
        </w:rPr>
        <w:t>would also have</w:t>
      </w:r>
      <w:r w:rsidR="00914294">
        <w:rPr>
          <w:lang w:val="en-AU" w:eastAsia="en-AU"/>
        </w:rPr>
        <w:t xml:space="preserve"> a high administrative burden, especially </w:t>
      </w:r>
      <w:r w:rsidR="00817254">
        <w:rPr>
          <w:lang w:val="en-AU" w:eastAsia="en-AU"/>
        </w:rPr>
        <w:t xml:space="preserve">requiring </w:t>
      </w:r>
      <w:r w:rsidR="10E4392F" w:rsidRPr="49DDC777">
        <w:rPr>
          <w:lang w:val="en-AU" w:eastAsia="en-AU"/>
        </w:rPr>
        <w:t>additional</w:t>
      </w:r>
      <w:r w:rsidR="00817254" w:rsidRPr="0315F8EC">
        <w:rPr>
          <w:lang w:val="en-AU" w:eastAsia="en-AU"/>
        </w:rPr>
        <w:t xml:space="preserve"> </w:t>
      </w:r>
      <w:r w:rsidR="00817254">
        <w:rPr>
          <w:lang w:val="en-AU" w:eastAsia="en-AU"/>
        </w:rPr>
        <w:t xml:space="preserve">contract arrangements between players. </w:t>
      </w:r>
      <w:r w:rsidR="2BB91296" w:rsidRPr="56D1C7A4">
        <w:rPr>
          <w:lang w:val="en-AU" w:eastAsia="en-AU"/>
        </w:rPr>
        <w:t>Issues like this,</w:t>
      </w:r>
      <w:r w:rsidR="00817254">
        <w:rPr>
          <w:lang w:val="en-AU" w:eastAsia="en-AU"/>
        </w:rPr>
        <w:t xml:space="preserve"> brought into focus that the original intention of the reform </w:t>
      </w:r>
      <w:r w:rsidR="00447B92">
        <w:rPr>
          <w:lang w:val="en-AU" w:eastAsia="en-AU"/>
        </w:rPr>
        <w:t>was to reduce cost and pressu</w:t>
      </w:r>
      <w:r w:rsidR="00541FEF">
        <w:rPr>
          <w:lang w:val="en-AU" w:eastAsia="en-AU"/>
        </w:rPr>
        <w:t xml:space="preserve">re, and not to remove the GUIs </w:t>
      </w:r>
      <w:r w:rsidR="3F7555AF" w:rsidRPr="56D1C7A4">
        <w:rPr>
          <w:lang w:val="en-AU" w:eastAsia="en-AU"/>
        </w:rPr>
        <w:t>from the system overall, just from the PL with an</w:t>
      </w:r>
      <w:r w:rsidR="00541FEF" w:rsidRPr="56D1C7A4">
        <w:rPr>
          <w:lang w:val="en-AU" w:eastAsia="en-AU"/>
        </w:rPr>
        <w:t xml:space="preserve"> alternative </w:t>
      </w:r>
      <w:r w:rsidR="00541FEF">
        <w:rPr>
          <w:lang w:val="en-AU" w:eastAsia="en-AU"/>
        </w:rPr>
        <w:t>funding arrangement</w:t>
      </w:r>
      <w:r w:rsidR="7815A1A1" w:rsidRPr="56D1C7A4">
        <w:rPr>
          <w:lang w:val="en-AU" w:eastAsia="en-AU"/>
        </w:rPr>
        <w:t xml:space="preserve"> in place.</w:t>
      </w:r>
      <w:r w:rsidR="009F7632">
        <w:rPr>
          <w:lang w:val="en-AU" w:eastAsia="en-AU"/>
        </w:rPr>
        <w:t xml:space="preserve"> Removing GUIs </w:t>
      </w:r>
      <w:r w:rsidR="2024621F" w:rsidRPr="56D1C7A4">
        <w:rPr>
          <w:lang w:val="en-AU" w:eastAsia="en-AU"/>
        </w:rPr>
        <w:t xml:space="preserve">without alternative </w:t>
      </w:r>
      <w:r w:rsidR="2024621F" w:rsidRPr="3AB11362">
        <w:rPr>
          <w:lang w:val="en-AU" w:eastAsia="en-AU"/>
        </w:rPr>
        <w:t xml:space="preserve">arrangements could have </w:t>
      </w:r>
      <w:r w:rsidR="2024621F" w:rsidRPr="6CA10DC5">
        <w:rPr>
          <w:lang w:val="en-AU" w:eastAsia="en-AU"/>
        </w:rPr>
        <w:t xml:space="preserve">either required </w:t>
      </w:r>
      <w:r w:rsidR="2024621F" w:rsidRPr="2B44BA23">
        <w:rPr>
          <w:lang w:val="en-AU" w:eastAsia="en-AU"/>
        </w:rPr>
        <w:t xml:space="preserve">additional contracting </w:t>
      </w:r>
      <w:r w:rsidR="000F10CD">
        <w:rPr>
          <w:lang w:val="en-AU" w:eastAsia="en-AU"/>
        </w:rPr>
        <w:t>impost placed</w:t>
      </w:r>
      <w:r w:rsidR="2024621F" w:rsidRPr="5A487623">
        <w:rPr>
          <w:lang w:val="en-AU" w:eastAsia="en-AU"/>
        </w:rPr>
        <w:t xml:space="preserve"> onto</w:t>
      </w:r>
      <w:r w:rsidR="009F7632" w:rsidRPr="009F7632">
        <w:rPr>
          <w:lang w:val="en-AU" w:eastAsia="en-AU"/>
        </w:rPr>
        <w:t xml:space="preserve"> private hospitals </w:t>
      </w:r>
      <w:r w:rsidR="48568A02" w:rsidRPr="0315F8EC">
        <w:rPr>
          <w:lang w:val="en-AU" w:eastAsia="en-AU"/>
        </w:rPr>
        <w:t>and/or potentially shifting</w:t>
      </w:r>
      <w:r w:rsidR="009F7632" w:rsidRPr="009F7632">
        <w:rPr>
          <w:lang w:val="en-AU" w:eastAsia="en-AU"/>
        </w:rPr>
        <w:t xml:space="preserve"> these costs onto consumers.</w:t>
      </w:r>
    </w:p>
    <w:p w14:paraId="3B856077" w14:textId="6F350877" w:rsidR="00064ACC" w:rsidRPr="00064ACC" w:rsidRDefault="00116497" w:rsidP="2497293E">
      <w:pPr>
        <w:rPr>
          <w:lang w:val="en-AU" w:eastAsia="en-AU"/>
        </w:rPr>
      </w:pPr>
      <w:r w:rsidRPr="00116497">
        <w:rPr>
          <w:lang w:val="en-AU" w:eastAsia="en-AU"/>
        </w:rPr>
        <w:t xml:space="preserve">The original scope of the PL reforms in this area were in part predicated on making the PL more defined and tighter in scope. The mechanics and administrative burden of implementing revised arrangements were perhaps underestimated along with the cumulative impact of having these items not captured by the PHI rules and arrangements. </w:t>
      </w:r>
    </w:p>
    <w:p w14:paraId="27B523CA" w14:textId="2F96E543" w:rsidR="002E331C" w:rsidRDefault="003558CC" w:rsidP="002E331C">
      <w:pPr>
        <w:rPr>
          <w:lang w:val="en-AU" w:eastAsia="en-AU"/>
        </w:rPr>
      </w:pPr>
      <w:r w:rsidRPr="003558CC">
        <w:rPr>
          <w:lang w:val="en-AU" w:eastAsia="en-AU"/>
        </w:rPr>
        <w:t xml:space="preserve">Overall, the reductions in benefits </w:t>
      </w:r>
      <w:r w:rsidR="00D62D54">
        <w:rPr>
          <w:lang w:val="en-AU" w:eastAsia="en-AU"/>
        </w:rPr>
        <w:t xml:space="preserve">for </w:t>
      </w:r>
      <w:r>
        <w:rPr>
          <w:lang w:val="en-AU" w:eastAsia="en-AU"/>
        </w:rPr>
        <w:t xml:space="preserve">GUIs on the PL </w:t>
      </w:r>
      <w:r w:rsidRPr="003558CC">
        <w:rPr>
          <w:lang w:val="en-AU" w:eastAsia="en-AU"/>
        </w:rPr>
        <w:t xml:space="preserve">decreased overall system costs without imposing additional administrative burdens on private providers. </w:t>
      </w:r>
      <w:r w:rsidR="002E331C">
        <w:rPr>
          <w:lang w:val="en-AU" w:eastAsia="en-AU"/>
        </w:rPr>
        <w:t>I</w:t>
      </w:r>
      <w:r w:rsidR="002E331C" w:rsidRPr="003558CC">
        <w:rPr>
          <w:lang w:val="en-AU" w:eastAsia="en-AU"/>
        </w:rPr>
        <w:t>f the Government intends for GUIs t</w:t>
      </w:r>
      <w:r w:rsidR="002E331C">
        <w:rPr>
          <w:lang w:val="en-AU" w:eastAsia="en-AU"/>
        </w:rPr>
        <w:t>o be funded by PHI</w:t>
      </w:r>
      <w:r w:rsidR="002E331C" w:rsidRPr="003558CC">
        <w:rPr>
          <w:lang w:val="en-AU" w:eastAsia="en-AU"/>
        </w:rPr>
        <w:t xml:space="preserve">, </w:t>
      </w:r>
      <w:r w:rsidR="00DE5961">
        <w:rPr>
          <w:lang w:val="en-AU" w:eastAsia="en-AU"/>
        </w:rPr>
        <w:t xml:space="preserve">then </w:t>
      </w:r>
      <w:r w:rsidR="002E331C" w:rsidRPr="003558CC">
        <w:rPr>
          <w:lang w:val="en-AU" w:eastAsia="en-AU"/>
        </w:rPr>
        <w:t xml:space="preserve">the PL currently serves as the mechanism </w:t>
      </w:r>
      <w:r w:rsidR="002E331C">
        <w:rPr>
          <w:lang w:val="en-AU" w:eastAsia="en-AU"/>
        </w:rPr>
        <w:t>for this</w:t>
      </w:r>
      <w:r w:rsidR="003445F9">
        <w:rPr>
          <w:lang w:val="en-AU" w:eastAsia="en-AU"/>
        </w:rPr>
        <w:t>. T</w:t>
      </w:r>
      <w:r w:rsidR="002E331C" w:rsidRPr="003558CC">
        <w:rPr>
          <w:lang w:val="en-AU" w:eastAsia="en-AU"/>
        </w:rPr>
        <w:t>hough not achieving greater clarity on purpose and scope</w:t>
      </w:r>
      <w:r w:rsidR="007E6669">
        <w:rPr>
          <w:lang w:val="en-AU" w:eastAsia="en-AU"/>
        </w:rPr>
        <w:t xml:space="preserve"> (and</w:t>
      </w:r>
      <w:r w:rsidR="0058162E">
        <w:rPr>
          <w:lang w:val="en-AU" w:eastAsia="en-AU"/>
        </w:rPr>
        <w:t xml:space="preserve"> </w:t>
      </w:r>
      <w:r w:rsidR="003010F2">
        <w:rPr>
          <w:lang w:val="en-AU" w:eastAsia="en-AU"/>
        </w:rPr>
        <w:t>having facilitated a</w:t>
      </w:r>
      <w:r w:rsidR="0058162E">
        <w:rPr>
          <w:lang w:val="en-AU" w:eastAsia="en-AU"/>
        </w:rPr>
        <w:t xml:space="preserve"> resource-intensive </w:t>
      </w:r>
      <w:r w:rsidR="003010F2">
        <w:rPr>
          <w:lang w:val="en-AU" w:eastAsia="en-AU"/>
        </w:rPr>
        <w:t xml:space="preserve">engagement </w:t>
      </w:r>
      <w:r w:rsidR="0058162E">
        <w:rPr>
          <w:lang w:val="en-AU" w:eastAsia="en-AU"/>
        </w:rPr>
        <w:t>process</w:t>
      </w:r>
      <w:r w:rsidR="007E6669">
        <w:rPr>
          <w:lang w:val="en-AU" w:eastAsia="en-AU"/>
        </w:rPr>
        <w:t xml:space="preserve">), </w:t>
      </w:r>
      <w:r w:rsidR="00447EAE">
        <w:rPr>
          <w:lang w:val="en-AU" w:eastAsia="en-AU"/>
        </w:rPr>
        <w:t xml:space="preserve">the reforms </w:t>
      </w:r>
      <w:r w:rsidR="007E6669">
        <w:rPr>
          <w:lang w:val="en-AU" w:eastAsia="en-AU"/>
        </w:rPr>
        <w:t xml:space="preserve">still </w:t>
      </w:r>
      <w:r w:rsidR="002E331C" w:rsidRPr="003558CC">
        <w:rPr>
          <w:lang w:val="en-AU" w:eastAsia="en-AU"/>
        </w:rPr>
        <w:t>achieve</w:t>
      </w:r>
      <w:r w:rsidR="007E6669">
        <w:rPr>
          <w:lang w:val="en-AU" w:eastAsia="en-AU"/>
        </w:rPr>
        <w:t>d</w:t>
      </w:r>
      <w:r w:rsidR="002E331C" w:rsidRPr="003558CC">
        <w:rPr>
          <w:lang w:val="en-AU" w:eastAsia="en-AU"/>
        </w:rPr>
        <w:t xml:space="preserve"> sought-after reductions at a system level.</w:t>
      </w:r>
    </w:p>
    <w:p w14:paraId="3563C6F0" w14:textId="01A4FF26" w:rsidR="003F1AA2" w:rsidRPr="003F1AA2" w:rsidRDefault="003F1AA2" w:rsidP="003F1AA2">
      <w:pPr>
        <w:pStyle w:val="Heading4"/>
      </w:pPr>
      <w:r w:rsidRPr="003F1AA2">
        <w:t>Stakeholders continue to express varied opinions about the validity of GUIs on the PL but agree that the reform failure was costly in terms of resources expended and associated consequences</w:t>
      </w:r>
      <w:bookmarkStart w:id="72" w:name="_Toc164439320"/>
    </w:p>
    <w:p w14:paraId="4200D485" w14:textId="3C727AB3" w:rsidR="00352091" w:rsidRDefault="00FA4EFB" w:rsidP="00CD1320">
      <w:r>
        <w:t>In general, t</w:t>
      </w:r>
      <w:r w:rsidR="006E6664">
        <w:t xml:space="preserve">he retention of GUIs on the PL </w:t>
      </w:r>
      <w:r w:rsidR="00865262">
        <w:t>is</w:t>
      </w:r>
      <w:r w:rsidR="006E6664">
        <w:t xml:space="preserve"> supported by private hospital operators</w:t>
      </w:r>
      <w:r>
        <w:t xml:space="preserve">, </w:t>
      </w:r>
      <w:r w:rsidR="008964A7">
        <w:t>clinicians</w:t>
      </w:r>
      <w:r w:rsidR="00971CA8">
        <w:t xml:space="preserve"> and sponsors, </w:t>
      </w:r>
      <w:r w:rsidR="00B37A61">
        <w:t>while</w:t>
      </w:r>
      <w:r w:rsidR="00971CA8">
        <w:t xml:space="preserve"> insurers </w:t>
      </w:r>
      <w:r w:rsidR="00BB212D">
        <w:t>maintain that GUIs are out of scope</w:t>
      </w:r>
      <w:r w:rsidR="002C246A">
        <w:t>, as set out in the original intentions to clarify and streamline the list.</w:t>
      </w:r>
      <w:r w:rsidR="00793A0E">
        <w:t xml:space="preserve"> </w:t>
      </w:r>
      <w:r w:rsidR="005C1CBB">
        <w:t>One insurer</w:t>
      </w:r>
      <w:r w:rsidR="0033201E">
        <w:t xml:space="preserve"> has</w:t>
      </w:r>
      <w:r w:rsidR="005C1CBB">
        <w:t xml:space="preserve"> estimated that the </w:t>
      </w:r>
      <w:r w:rsidR="00033969">
        <w:t xml:space="preserve">‘last minute’ decision </w:t>
      </w:r>
      <w:r w:rsidR="008354CE">
        <w:t xml:space="preserve">to abandon </w:t>
      </w:r>
      <w:r w:rsidR="002703E1">
        <w:t>the GUI removal has cost its members over $250</w:t>
      </w:r>
      <w:r w:rsidR="003B2E87">
        <w:t>,000</w:t>
      </w:r>
      <w:r w:rsidR="00C26329">
        <w:t xml:space="preserve"> in development costs that cannot be recovered.</w:t>
      </w:r>
      <w:r w:rsidR="007E079E">
        <w:rPr>
          <w:rStyle w:val="FootnoteReference"/>
        </w:rPr>
        <w:footnoteReference w:id="82"/>
      </w:r>
      <w:r w:rsidR="00C26329">
        <w:t xml:space="preserve"> </w:t>
      </w:r>
      <w:r w:rsidR="00053606">
        <w:t xml:space="preserve">Insurer representatives also have ongoing concerns </w:t>
      </w:r>
      <w:r w:rsidR="00CD3A07">
        <w:t xml:space="preserve">about the volume </w:t>
      </w:r>
      <w:r w:rsidR="00BB22D5">
        <w:t>of GUI use</w:t>
      </w:r>
      <w:r w:rsidR="00CD3A07">
        <w:t xml:space="preserve"> </w:t>
      </w:r>
      <w:r w:rsidR="00BB22D5">
        <w:t xml:space="preserve">as a result of them remaining on the PL. </w:t>
      </w:r>
    </w:p>
    <w:p w14:paraId="51557FC9" w14:textId="1CB4D72C" w:rsidR="00B83B6D" w:rsidRDefault="00E41F77" w:rsidP="00CD1320">
      <w:r>
        <w:t>Conversely, s</w:t>
      </w:r>
      <w:r w:rsidR="00B83B6D">
        <w:t xml:space="preserve">ponsors have raised concerns that clinician choice </w:t>
      </w:r>
      <w:r w:rsidR="00ED7211">
        <w:t xml:space="preserve">surrounding </w:t>
      </w:r>
      <w:r w:rsidR="00B83B6D">
        <w:t xml:space="preserve">GUIs will be affected if the Department does not allow for the creation of new benefit groups in Part D. </w:t>
      </w:r>
      <w:r w:rsidR="006C47A8">
        <w:t>Since the announcement that GUIs will remain on the PL</w:t>
      </w:r>
      <w:r w:rsidR="00B83B6D">
        <w:t xml:space="preserve">, the Department has advised sponsors </w:t>
      </w:r>
      <w:r w:rsidR="00FD20DA">
        <w:t>can</w:t>
      </w:r>
      <w:r w:rsidR="00B83B6D">
        <w:t xml:space="preserve"> apply to list </w:t>
      </w:r>
      <w:r w:rsidR="00FD20DA">
        <w:t xml:space="preserve">a </w:t>
      </w:r>
      <w:r w:rsidR="00B83B6D">
        <w:t xml:space="preserve">GUI if a comparator already exists </w:t>
      </w:r>
      <w:r w:rsidR="00AF3301">
        <w:t>on</w:t>
      </w:r>
      <w:r w:rsidR="00B83B6D">
        <w:t xml:space="preserve"> Part D.</w:t>
      </w:r>
      <w:r w:rsidR="00AF3301" w:rsidRPr="00AF3301">
        <w:rPr>
          <w:rStyle w:val="FootnoteReference"/>
        </w:rPr>
        <w:t xml:space="preserve"> </w:t>
      </w:r>
      <w:r w:rsidR="00AF3301">
        <w:rPr>
          <w:rStyle w:val="FootnoteReference"/>
        </w:rPr>
        <w:footnoteReference w:id="83"/>
      </w:r>
      <w:r w:rsidR="00B83B6D">
        <w:t xml:space="preserve"> These applications will be considered by the Department from</w:t>
      </w:r>
      <w:r w:rsidR="00010A74">
        <w:t xml:space="preserve"> the</w:t>
      </w:r>
      <w:r w:rsidR="00B83B6D">
        <w:t xml:space="preserve"> November 2024 PL onwards. </w:t>
      </w:r>
      <w:r w:rsidR="00BF4370">
        <w:t xml:space="preserve">It is unclear whether this </w:t>
      </w:r>
      <w:r w:rsidR="00590221">
        <w:t>condition</w:t>
      </w:r>
      <w:r w:rsidR="001D45BF">
        <w:t xml:space="preserve"> </w:t>
      </w:r>
      <w:r w:rsidR="00590221">
        <w:t>for</w:t>
      </w:r>
      <w:r w:rsidR="001D45BF">
        <w:t xml:space="preserve"> GUI listing</w:t>
      </w:r>
      <w:r w:rsidR="00590221">
        <w:t>s</w:t>
      </w:r>
      <w:r w:rsidR="001D45BF">
        <w:t xml:space="preserve"> on the PL will remain</w:t>
      </w:r>
      <w:r w:rsidR="00BF4370">
        <w:t xml:space="preserve"> going</w:t>
      </w:r>
      <w:r w:rsidR="00A64698">
        <w:t xml:space="preserve"> </w:t>
      </w:r>
      <w:r w:rsidR="008E0C8C">
        <w:t xml:space="preserve">forward and this </w:t>
      </w:r>
      <w:r w:rsidR="00590221">
        <w:t>approach</w:t>
      </w:r>
      <w:r w:rsidR="008E0C8C">
        <w:t xml:space="preserve"> can be considered further in future evaluation reports.</w:t>
      </w:r>
    </w:p>
    <w:p w14:paraId="0A359B92" w14:textId="496B18F1" w:rsidR="002D272C" w:rsidRPr="00A61F4A" w:rsidRDefault="00D95E27" w:rsidP="00D95E27">
      <w:pPr>
        <w:pStyle w:val="Caption"/>
      </w:pPr>
      <w:r>
        <w:t xml:space="preserve">Table </w:t>
      </w:r>
      <w:r>
        <w:fldChar w:fldCharType="begin"/>
      </w:r>
      <w:r>
        <w:instrText xml:space="preserve"> SEQ Table \* ARABIC </w:instrText>
      </w:r>
      <w:r>
        <w:fldChar w:fldCharType="separate"/>
      </w:r>
      <w:r w:rsidR="009B5D8D">
        <w:rPr>
          <w:noProof/>
        </w:rPr>
        <w:t>9</w:t>
      </w:r>
      <w:r>
        <w:fldChar w:fldCharType="end"/>
      </w:r>
      <w:r>
        <w:t xml:space="preserve"> | Stakeholder perspectives on </w:t>
      </w:r>
      <w:r w:rsidR="00661654">
        <w:t xml:space="preserve">GUIs </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59405C" w:rsidRPr="00E2213C" w14:paraId="540FEFD8" w14:textId="77777777" w:rsidTr="004251B2">
        <w:trPr>
          <w:trHeight w:val="346"/>
        </w:trPr>
        <w:tc>
          <w:tcPr>
            <w:tcW w:w="1348" w:type="pct"/>
            <w:gridSpan w:val="2"/>
            <w:shd w:val="clear" w:color="auto" w:fill="E6E6E1" w:themeFill="accent5"/>
            <w:vAlign w:val="center"/>
          </w:tcPr>
          <w:p w14:paraId="3C44109B" w14:textId="77777777" w:rsidR="0059405C" w:rsidRPr="00E2213C" w:rsidRDefault="0059405C"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1A3DE892" w14:textId="77777777" w:rsidR="0059405C" w:rsidRPr="00E2213C" w:rsidRDefault="0059405C"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59405C" w:rsidRPr="00196216" w14:paraId="039996AC" w14:textId="77777777" w:rsidTr="004251B2">
        <w:trPr>
          <w:trHeight w:val="510"/>
        </w:trPr>
        <w:tc>
          <w:tcPr>
            <w:tcW w:w="554" w:type="pct"/>
            <w:shd w:val="clear" w:color="auto" w:fill="00264D" w:themeFill="background2"/>
            <w:vAlign w:val="center"/>
          </w:tcPr>
          <w:p w14:paraId="02712443" w14:textId="77777777" w:rsidR="0059405C" w:rsidRPr="00E2213C" w:rsidRDefault="0059405C" w:rsidP="004251B2">
            <w:pPr>
              <w:spacing w:before="40" w:after="40"/>
              <w:jc w:val="center"/>
              <w:rPr>
                <w:i/>
                <w:iCs/>
              </w:rPr>
            </w:pPr>
            <w:r w:rsidRPr="00E2213C">
              <w:rPr>
                <w:i/>
                <w:iCs/>
                <w:noProof/>
              </w:rPr>
              <mc:AlternateContent>
                <mc:Choice Requires="wps">
                  <w:drawing>
                    <wp:inline distT="0" distB="0" distL="0" distR="0" wp14:anchorId="6D8DE831" wp14:editId="42AA27BF">
                      <wp:extent cx="320633" cy="314696"/>
                      <wp:effectExtent l="0" t="0" r="3810" b="9525"/>
                      <wp:docPr id="1762318967" name="Freeform: Shape 1762318967"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2D8D09CF" id="Freeform: Shape 1762318967"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4988DC4E" w14:textId="77777777" w:rsidR="0059405C" w:rsidRPr="00E2213C" w:rsidRDefault="0059405C"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30610D39" w14:textId="77777777" w:rsidR="003D6FC5" w:rsidRPr="003D6FC5" w:rsidRDefault="003D6FC5" w:rsidP="003D6FC5">
            <w:pPr>
              <w:pStyle w:val="TableExpBullet0"/>
            </w:pPr>
            <w:r w:rsidRPr="003D6FC5">
              <w:rPr>
                <w:lang w:val="en-US"/>
              </w:rPr>
              <w:t>The retention of GUIs on the PL to provide surety of service availability is supported, as their removal would be immensely disruptive to the sector, disproportionately impacting rural and regional hospitals.</w:t>
            </w:r>
          </w:p>
          <w:p w14:paraId="22787E7F" w14:textId="3198D2D4" w:rsidR="0059405C" w:rsidRPr="00196216" w:rsidRDefault="2A64FC82" w:rsidP="003D6FC5">
            <w:pPr>
              <w:pStyle w:val="TableExpBullet0"/>
            </w:pPr>
            <w:r w:rsidRPr="3A8566A6">
              <w:t>T</w:t>
            </w:r>
            <w:r w:rsidR="00B93FE9" w:rsidRPr="3A8566A6">
              <w:t xml:space="preserve">he negative impact of this proposed reform should have been foreseen by the </w:t>
            </w:r>
            <w:r w:rsidR="00C0725E">
              <w:t>Department</w:t>
            </w:r>
            <w:r w:rsidR="00B93FE9" w:rsidRPr="3A8566A6">
              <w:t xml:space="preserve"> earlie</w:t>
            </w:r>
            <w:r w:rsidR="001D21C6" w:rsidRPr="3A8566A6">
              <w:t>r, and the reform was driven by inequitable preference to</w:t>
            </w:r>
            <w:r w:rsidR="00DC4740">
              <w:t>wards</w:t>
            </w:r>
            <w:r w:rsidR="001D21C6" w:rsidRPr="3A8566A6">
              <w:t xml:space="preserve"> insurers in consultation and co-design</w:t>
            </w:r>
            <w:r w:rsidR="00DC4740">
              <w:t>.</w:t>
            </w:r>
          </w:p>
        </w:tc>
      </w:tr>
      <w:tr w:rsidR="0059405C" w:rsidRPr="00E2213C" w14:paraId="5B9DB010" w14:textId="77777777" w:rsidTr="004251B2">
        <w:trPr>
          <w:trHeight w:val="421"/>
        </w:trPr>
        <w:tc>
          <w:tcPr>
            <w:tcW w:w="554" w:type="pct"/>
            <w:shd w:val="clear" w:color="auto" w:fill="00264D" w:themeFill="background2"/>
            <w:vAlign w:val="center"/>
          </w:tcPr>
          <w:p w14:paraId="3635F15E" w14:textId="77777777" w:rsidR="0059405C" w:rsidRPr="00E2213C" w:rsidRDefault="0059405C" w:rsidP="004251B2">
            <w:pPr>
              <w:spacing w:before="40" w:after="40"/>
              <w:jc w:val="center"/>
              <w:rPr>
                <w:i/>
                <w:iCs/>
              </w:rPr>
            </w:pPr>
            <w:r w:rsidRPr="00E2213C">
              <w:rPr>
                <w:i/>
                <w:iCs/>
                <w:noProof/>
              </w:rPr>
              <mc:AlternateContent>
                <mc:Choice Requires="wps">
                  <w:drawing>
                    <wp:inline distT="0" distB="0" distL="0" distR="0" wp14:anchorId="560085DF" wp14:editId="514EA8E4">
                      <wp:extent cx="292311" cy="292311"/>
                      <wp:effectExtent l="0" t="0" r="0" b="0"/>
                      <wp:docPr id="91370922" name="Freeform: Shape 91370922" descr="Icon of a medical cros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49EAD6A" id="Freeform: Shape 91370922" o:spid="_x0000_s1026" alt="Icon of a medical cross &#10;"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4E79756B" w14:textId="77777777" w:rsidR="0059405C" w:rsidRPr="00E2213C" w:rsidRDefault="0059405C"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0BC7EEC6" w14:textId="1D818E55" w:rsidR="002E1692" w:rsidRPr="003F067D" w:rsidRDefault="5D4982FC" w:rsidP="00C173DC">
            <w:pPr>
              <w:pStyle w:val="TableExpBullet0"/>
              <w:rPr>
                <w:szCs w:val="17"/>
              </w:rPr>
            </w:pPr>
            <w:r w:rsidRPr="003F067D">
              <w:t>R</w:t>
            </w:r>
            <w:r w:rsidR="00763D95" w:rsidRPr="003F067D">
              <w:rPr>
                <w:szCs w:val="17"/>
              </w:rPr>
              <w:t xml:space="preserve">eversal of GUI decision is a significant failure of probity, as the evidence base </w:t>
            </w:r>
            <w:r w:rsidR="002E1692" w:rsidRPr="003F067D">
              <w:rPr>
                <w:szCs w:val="17"/>
              </w:rPr>
              <w:t xml:space="preserve">for the decision to cancel this reform </w:t>
            </w:r>
            <w:r w:rsidR="00C479B6" w:rsidRPr="003F067D">
              <w:rPr>
                <w:szCs w:val="17"/>
              </w:rPr>
              <w:t>has not been</w:t>
            </w:r>
            <w:r w:rsidR="002E1692" w:rsidRPr="003F067D">
              <w:rPr>
                <w:szCs w:val="17"/>
              </w:rPr>
              <w:t xml:space="preserve"> </w:t>
            </w:r>
            <w:r w:rsidR="00C479B6" w:rsidRPr="003F067D">
              <w:rPr>
                <w:szCs w:val="17"/>
              </w:rPr>
              <w:t xml:space="preserve">transparent. </w:t>
            </w:r>
          </w:p>
          <w:p w14:paraId="5479B18F" w14:textId="6BA8E54F" w:rsidR="0059405C" w:rsidRPr="00E2213C" w:rsidRDefault="00CB6B15" w:rsidP="00CB6B15">
            <w:pPr>
              <w:pStyle w:val="TableExpBullet0"/>
            </w:pPr>
            <w:r w:rsidRPr="00CB6B15">
              <w:rPr>
                <w:lang w:val="en-US"/>
              </w:rPr>
              <w:lastRenderedPageBreak/>
              <w:t>Insurers have made significant investments in co-designing alternative GUI funding arrangements in good faith, incurring large, non-recoverable costs, resulting in members bearing the cost of reform failure.</w:t>
            </w:r>
          </w:p>
        </w:tc>
      </w:tr>
      <w:tr w:rsidR="0059405C" w:rsidRPr="00E2213C" w14:paraId="44362DF5" w14:textId="77777777" w:rsidTr="004251B2">
        <w:trPr>
          <w:trHeight w:val="857"/>
        </w:trPr>
        <w:tc>
          <w:tcPr>
            <w:tcW w:w="554" w:type="pct"/>
            <w:shd w:val="clear" w:color="auto" w:fill="00264D" w:themeFill="background2"/>
            <w:vAlign w:val="center"/>
          </w:tcPr>
          <w:p w14:paraId="4B782BFB" w14:textId="77777777" w:rsidR="0059405C" w:rsidRPr="00E2213C" w:rsidRDefault="0059405C" w:rsidP="004251B2">
            <w:pPr>
              <w:spacing w:before="40" w:after="40"/>
              <w:jc w:val="center"/>
              <w:rPr>
                <w:i/>
                <w:iCs/>
              </w:rPr>
            </w:pPr>
            <w:r w:rsidRPr="00E2213C">
              <w:rPr>
                <w:i/>
                <w:iCs/>
                <w:noProof/>
              </w:rPr>
              <w:lastRenderedPageBreak/>
              <w:drawing>
                <wp:inline distT="0" distB="0" distL="0" distR="0" wp14:anchorId="7F767DCA" wp14:editId="31BC816C">
                  <wp:extent cx="309245" cy="336734"/>
                  <wp:effectExtent l="0" t="0" r="0" b="6350"/>
                  <wp:docPr id="61459708" name="Graphic 61459708" descr="Icon of a microscope &#10;">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9708" name="Graphic 61459708" descr="Icon of a microscope &#10;">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5C3C11AD" w14:textId="77777777" w:rsidR="0059405C" w:rsidRPr="00E2213C" w:rsidRDefault="0059405C"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1E00008D" w14:textId="2B01A0A7" w:rsidR="007B3EBA" w:rsidRDefault="007B3EBA" w:rsidP="00C173DC">
            <w:pPr>
              <w:pStyle w:val="TableExpBullet0"/>
              <w:rPr>
                <w:szCs w:val="17"/>
              </w:rPr>
            </w:pPr>
            <w:r w:rsidRPr="368C443D">
              <w:t>GUIs</w:t>
            </w:r>
            <w:r w:rsidRPr="5F3DBC1F">
              <w:rPr>
                <w:szCs w:val="17"/>
              </w:rPr>
              <w:t xml:space="preserve"> were not managed well due to misunderstanding by </w:t>
            </w:r>
            <w:r w:rsidR="00C0725E">
              <w:rPr>
                <w:szCs w:val="17"/>
              </w:rPr>
              <w:t>Department</w:t>
            </w:r>
            <w:r w:rsidRPr="5F3DBC1F">
              <w:rPr>
                <w:szCs w:val="17"/>
              </w:rPr>
              <w:t xml:space="preserve"> about impact of removing them</w:t>
            </w:r>
            <w:r w:rsidR="00DC4740">
              <w:rPr>
                <w:szCs w:val="17"/>
              </w:rPr>
              <w:t xml:space="preserve">. </w:t>
            </w:r>
          </w:p>
          <w:p w14:paraId="5D8BB1DA" w14:textId="3E49C105" w:rsidR="0059405C" w:rsidRDefault="1FB81D34" w:rsidP="00C173DC">
            <w:pPr>
              <w:pStyle w:val="TableExpBullet0"/>
            </w:pPr>
            <w:r w:rsidRPr="2BB81676">
              <w:rPr>
                <w:lang w:val="en-US"/>
              </w:rPr>
              <w:t>R</w:t>
            </w:r>
            <w:r w:rsidR="007B3EBA" w:rsidRPr="2BB81676">
              <w:rPr>
                <w:lang w:val="en-US"/>
              </w:rPr>
              <w:t xml:space="preserve">etention was the right decision at </w:t>
            </w:r>
            <w:r w:rsidR="32E9FF67" w:rsidRPr="2BB81676">
              <w:rPr>
                <w:lang w:val="en-US"/>
              </w:rPr>
              <w:t>the expense</w:t>
            </w:r>
            <w:r w:rsidR="007B3EBA" w:rsidRPr="2BB81676">
              <w:rPr>
                <w:lang w:val="en-US"/>
              </w:rPr>
              <w:t xml:space="preserve"> of </w:t>
            </w:r>
            <w:r w:rsidR="0053102A" w:rsidRPr="2BB81676">
              <w:rPr>
                <w:lang w:val="en-US"/>
              </w:rPr>
              <w:t>large amounts of effort an</w:t>
            </w:r>
            <w:r w:rsidR="003C7C48" w:rsidRPr="2BB81676">
              <w:rPr>
                <w:lang w:val="en-US"/>
              </w:rPr>
              <w:t>d</w:t>
            </w:r>
            <w:r w:rsidR="0053102A" w:rsidRPr="2BB81676">
              <w:rPr>
                <w:lang w:val="en-US"/>
              </w:rPr>
              <w:t xml:space="preserve"> resources</w:t>
            </w:r>
            <w:r w:rsidR="00EA4BF1" w:rsidRPr="2BB81676">
              <w:rPr>
                <w:lang w:val="en-US"/>
              </w:rPr>
              <w:t xml:space="preserve">. </w:t>
            </w:r>
          </w:p>
          <w:p w14:paraId="2DCA47EE" w14:textId="149453B9" w:rsidR="0053102A" w:rsidRPr="00E2213C" w:rsidRDefault="00001D8B" w:rsidP="00001D8B">
            <w:pPr>
              <w:pStyle w:val="TableExpBullet0"/>
            </w:pPr>
            <w:r w:rsidRPr="00001D8B">
              <w:t>The current decision to not allow new groupings for GUIs is flawed, as it creates a grandfathering instrument rather than a working list.</w:t>
            </w:r>
          </w:p>
        </w:tc>
      </w:tr>
      <w:tr w:rsidR="00693A69" w:rsidRPr="00E2213C" w14:paraId="0C462502" w14:textId="77777777" w:rsidTr="004251B2">
        <w:trPr>
          <w:trHeight w:val="857"/>
        </w:trPr>
        <w:tc>
          <w:tcPr>
            <w:tcW w:w="554" w:type="pct"/>
            <w:shd w:val="clear" w:color="auto" w:fill="00264D" w:themeFill="background2"/>
            <w:vAlign w:val="center"/>
          </w:tcPr>
          <w:p w14:paraId="6B008C96" w14:textId="11D3E0D4" w:rsidR="00693A69" w:rsidRPr="00E2213C" w:rsidRDefault="00693A69" w:rsidP="00693A69">
            <w:pPr>
              <w:spacing w:before="40" w:after="40"/>
              <w:jc w:val="center"/>
              <w:rPr>
                <w:i/>
                <w:iCs/>
                <w:noProof/>
              </w:rPr>
            </w:pPr>
            <w:r>
              <w:rPr>
                <w:noProof/>
              </w:rPr>
              <w:drawing>
                <wp:inline distT="0" distB="0" distL="0" distR="0" wp14:anchorId="0864CE9B" wp14:editId="099B2B10">
                  <wp:extent cx="267970" cy="323215"/>
                  <wp:effectExtent l="0" t="0" r="0" b="635"/>
                  <wp:docPr id="1638839800"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39800"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0F1E5918" w14:textId="1F0D0CF1" w:rsidR="00693A69" w:rsidRPr="00E2213C" w:rsidRDefault="00693A69" w:rsidP="00693A69">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r>
              <w:rPr>
                <w:rFonts w:asciiTheme="majorHAnsi" w:hAnsiTheme="majorHAnsi" w:cstheme="majorHAnsi"/>
                <w:sz w:val="18"/>
                <w:szCs w:val="20"/>
              </w:rPr>
              <w:t xml:space="preserve"> </w:t>
            </w:r>
          </w:p>
        </w:tc>
        <w:tc>
          <w:tcPr>
            <w:tcW w:w="3652" w:type="pct"/>
          </w:tcPr>
          <w:p w14:paraId="76803BC3" w14:textId="77777777" w:rsidR="009D611B" w:rsidRDefault="0034115E" w:rsidP="00693A69">
            <w:pPr>
              <w:pStyle w:val="TableExpBullet0"/>
            </w:pPr>
            <w:r>
              <w:t xml:space="preserve">The AMA acknowledges the justification to pursue </w:t>
            </w:r>
            <w:r w:rsidR="009D611B">
              <w:t>removal of GUIs as part of the</w:t>
            </w:r>
            <w:r>
              <w:t xml:space="preserve"> reform</w:t>
            </w:r>
            <w:r w:rsidR="009D611B">
              <w:t xml:space="preserve">, </w:t>
            </w:r>
            <w:r>
              <w:t>as GUIs are not aligned with PL scope and definition</w:t>
            </w:r>
          </w:p>
          <w:p w14:paraId="06201C47" w14:textId="465A0F27" w:rsidR="00693A69" w:rsidRDefault="009D611B" w:rsidP="00693A69">
            <w:pPr>
              <w:pStyle w:val="TableExpBullet0"/>
            </w:pPr>
            <w:r>
              <w:t>H</w:t>
            </w:r>
            <w:r w:rsidR="0011215F">
              <w:t>owever,</w:t>
            </w:r>
            <w:r w:rsidR="00725808">
              <w:t xml:space="preserve"> </w:t>
            </w:r>
            <w:r w:rsidR="00391816">
              <w:t>the AMA</w:t>
            </w:r>
            <w:r w:rsidR="0034115E">
              <w:t xml:space="preserve"> </w:t>
            </w:r>
            <w:r w:rsidR="00725808">
              <w:t>ha</w:t>
            </w:r>
            <w:r w:rsidR="00391816">
              <w:t>s</w:t>
            </w:r>
            <w:r w:rsidR="0034115E">
              <w:t xml:space="preserve"> always maintained </w:t>
            </w:r>
            <w:r w:rsidR="0011215F">
              <w:t>that GUIs are not an optional extra</w:t>
            </w:r>
            <w:r w:rsidR="00725808">
              <w:t xml:space="preserve">, are part of modern surgery </w:t>
            </w:r>
            <w:r w:rsidR="0011215F">
              <w:t xml:space="preserve">and </w:t>
            </w:r>
            <w:r w:rsidR="00725808">
              <w:t>require funding.</w:t>
            </w:r>
          </w:p>
          <w:p w14:paraId="33E1AD43" w14:textId="77777777" w:rsidR="00364C8C" w:rsidRDefault="00D06CE2" w:rsidP="00364C8C">
            <w:pPr>
              <w:pStyle w:val="TableExpBullet0"/>
            </w:pPr>
            <w:r>
              <w:t>Th</w:t>
            </w:r>
            <w:r w:rsidR="009D611B">
              <w:t>is</w:t>
            </w:r>
            <w:r>
              <w:t xml:space="preserve"> reform project failed due to lack of trust within the system, especially between insurers and hospitals. </w:t>
            </w:r>
          </w:p>
          <w:p w14:paraId="1A4CB846" w14:textId="0B2C0C54" w:rsidR="00725808" w:rsidRPr="368C443D" w:rsidRDefault="00D06CE2" w:rsidP="00364C8C">
            <w:pPr>
              <w:pStyle w:val="TableExpBullet0"/>
            </w:pPr>
            <w:r>
              <w:t xml:space="preserve">The AMA believes that </w:t>
            </w:r>
            <w:r w:rsidR="00CD12C1">
              <w:t>the establishment of an</w:t>
            </w:r>
            <w:r>
              <w:t xml:space="preserve"> </w:t>
            </w:r>
            <w:r w:rsidR="00607882">
              <w:t>independent</w:t>
            </w:r>
            <w:r>
              <w:t xml:space="preserve"> body </w:t>
            </w:r>
            <w:r w:rsidR="00607882">
              <w:t xml:space="preserve">is required in this space to bring stakeholders in the sector together and achieve consensus on reforms. Without this, </w:t>
            </w:r>
            <w:r w:rsidR="00A97B30">
              <w:t xml:space="preserve">reform will ‘continue </w:t>
            </w:r>
            <w:r w:rsidR="00CD12C1">
              <w:t>t</w:t>
            </w:r>
            <w:r w:rsidR="00A97B30">
              <w:t>o be piecemeal and limited at best’</w:t>
            </w:r>
            <w:r w:rsidR="007D7AF8">
              <w:rPr>
                <w:rStyle w:val="FootnoteReference"/>
              </w:rPr>
              <w:footnoteReference w:id="84"/>
            </w:r>
            <w:r w:rsidR="00A97B30">
              <w:t xml:space="preserve">, as played out in the GUI reform decision. </w:t>
            </w:r>
          </w:p>
        </w:tc>
      </w:tr>
    </w:tbl>
    <w:p w14:paraId="62E4D282" w14:textId="2F45ED49" w:rsidR="00F93B85" w:rsidRDefault="00F93B85" w:rsidP="5EF9EF8F">
      <w:pPr>
        <w:pStyle w:val="Bullet"/>
        <w:numPr>
          <w:ilvl w:val="0"/>
          <w:numId w:val="0"/>
        </w:numPr>
        <w:ind w:left="340"/>
      </w:pPr>
    </w:p>
    <w:p w14:paraId="0DC5332D" w14:textId="4A6CA5F2" w:rsidR="008946C4" w:rsidRDefault="008946C4" w:rsidP="008946C4">
      <w:pPr>
        <w:pStyle w:val="Heading2"/>
        <w:keepLines/>
      </w:pPr>
      <w:bookmarkStart w:id="73" w:name="_Toc181405091"/>
      <w:r>
        <w:t xml:space="preserve">Objective 6: </w:t>
      </w:r>
      <w:bookmarkStart w:id="74" w:name="_Hlk158888764"/>
      <w:r>
        <w:t>Implement new PL assessment pathways aligned to Health Technology Assessment principles and streamline the application process through simple and robust IT infrastructure</w:t>
      </w:r>
      <w:bookmarkEnd w:id="72"/>
      <w:bookmarkEnd w:id="73"/>
      <w:bookmarkEnd w:id="74"/>
    </w:p>
    <w:p w14:paraId="18C6FE50" w14:textId="60DCB7D2" w:rsidR="00F44D95" w:rsidRPr="00D2006A" w:rsidRDefault="00F44D95" w:rsidP="004C654C">
      <w:pPr>
        <w:rPr>
          <w:i/>
          <w:iCs/>
          <w:lang w:val="en-AU" w:eastAsia="en-AU"/>
        </w:rPr>
      </w:pPr>
      <w:r w:rsidRPr="00D2006A">
        <w:rPr>
          <w:i/>
          <w:iCs/>
          <w:lang w:val="en-AU" w:eastAsia="en-AU"/>
        </w:rPr>
        <w:t>This section considers the</w:t>
      </w:r>
      <w:r w:rsidR="00064B76" w:rsidRPr="00D2006A">
        <w:rPr>
          <w:i/>
          <w:iCs/>
          <w:lang w:val="en-AU" w:eastAsia="en-AU"/>
        </w:rPr>
        <w:t xml:space="preserve"> implementation of new applications pathways and governance processes involved </w:t>
      </w:r>
      <w:r w:rsidR="00DC38EC" w:rsidRPr="00D2006A">
        <w:rPr>
          <w:i/>
          <w:iCs/>
          <w:lang w:val="en-AU" w:eastAsia="en-AU"/>
        </w:rPr>
        <w:t xml:space="preserve">in their assessment. It describes </w:t>
      </w:r>
      <w:r w:rsidR="00D2006A" w:rsidRPr="00D2006A">
        <w:rPr>
          <w:i/>
          <w:iCs/>
          <w:lang w:val="en-AU" w:eastAsia="en-AU"/>
        </w:rPr>
        <w:t>the changed arrangements, documents the volume of PL application by tier and outlines stakeholder perspectives on the assessment pathways and listing processes.</w:t>
      </w:r>
    </w:p>
    <w:p w14:paraId="26F2FB0C" w14:textId="424C4FE9" w:rsidR="0036649C" w:rsidRDefault="0036649C" w:rsidP="0036649C">
      <w:pPr>
        <w:pStyle w:val="Caption"/>
        <w:rPr>
          <w:lang w:eastAsia="en-AU"/>
        </w:rPr>
      </w:pPr>
      <w:r>
        <w:t xml:space="preserve">Figure </w:t>
      </w:r>
      <w:r>
        <w:fldChar w:fldCharType="begin"/>
      </w:r>
      <w:r>
        <w:instrText xml:space="preserve"> SEQ Figure \* ARABIC </w:instrText>
      </w:r>
      <w:r>
        <w:fldChar w:fldCharType="separate"/>
      </w:r>
      <w:r w:rsidR="009B5D8D">
        <w:rPr>
          <w:noProof/>
        </w:rPr>
        <w:t>22</w:t>
      </w:r>
      <w:r>
        <w:fldChar w:fldCharType="end"/>
      </w:r>
      <w:r>
        <w:t xml:space="preserve"> | Reform projects related to reform objective 6</w:t>
      </w:r>
    </w:p>
    <w:p w14:paraId="34B6B871" w14:textId="0B6EF15F" w:rsidR="00182665" w:rsidRPr="00EC0C79" w:rsidRDefault="0036649C" w:rsidP="00182665">
      <w:pPr>
        <w:rPr>
          <w:lang w:eastAsia="en-AU"/>
        </w:rPr>
      </w:pPr>
      <w:r w:rsidRPr="00E52584">
        <w:rPr>
          <w:noProof/>
          <w:lang w:eastAsia="en-AU"/>
        </w:rPr>
        <w:drawing>
          <wp:inline distT="0" distB="0" distL="0" distR="0" wp14:anchorId="570D0F20" wp14:editId="531A5E8C">
            <wp:extent cx="5733440" cy="1062842"/>
            <wp:effectExtent l="0" t="0" r="635" b="4445"/>
            <wp:docPr id="1856583631" name="Picture 1" descr="A figure showing Objective 6. PL assessment pathways connected to two reform projects. The projects are modernised pathways and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83631" name="Picture 1" descr="A figure showing Objective 6. PL assessment pathways connected to two reform projects. The projects are modernised pathways and governance arrangements."/>
                    <pic:cNvPicPr/>
                  </pic:nvPicPr>
                  <pic:blipFill>
                    <a:blip r:embed="rId59"/>
                    <a:stretch>
                      <a:fillRect/>
                    </a:stretch>
                  </pic:blipFill>
                  <pic:spPr>
                    <a:xfrm>
                      <a:off x="0" y="0"/>
                      <a:ext cx="5802240" cy="1075596"/>
                    </a:xfrm>
                    <a:prstGeom prst="rect">
                      <a:avLst/>
                    </a:prstGeom>
                  </pic:spPr>
                </pic:pic>
              </a:graphicData>
            </a:graphic>
          </wp:inline>
        </w:drawing>
      </w:r>
    </w:p>
    <w:p w14:paraId="244F12EF" w14:textId="66D77DE6" w:rsidR="00452BDA" w:rsidRPr="00EC0C79" w:rsidRDefault="00E419E4" w:rsidP="00452BDA">
      <w:pPr>
        <w:pStyle w:val="Heading3"/>
      </w:pPr>
      <w:bookmarkStart w:id="75" w:name="_Toc181405092"/>
      <w:r>
        <w:t>New</w:t>
      </w:r>
      <w:r w:rsidR="00C1069B">
        <w:t xml:space="preserve"> assessment pathways</w:t>
      </w:r>
      <w:r>
        <w:t xml:space="preserve"> and governance processes are in place</w:t>
      </w:r>
      <w:bookmarkEnd w:id="75"/>
    </w:p>
    <w:p w14:paraId="016FDD79" w14:textId="6C9009BF" w:rsidR="00452BDA" w:rsidRPr="00452BDA" w:rsidRDefault="00452BDA" w:rsidP="00452BDA">
      <w:pPr>
        <w:rPr>
          <w:lang w:val="en-AU" w:eastAsia="en-AU"/>
        </w:rPr>
      </w:pPr>
      <w:r w:rsidRPr="00452BDA">
        <w:rPr>
          <w:lang w:val="en-AU" w:eastAsia="en-AU"/>
        </w:rPr>
        <w:t xml:space="preserve">The reform program includes the review of two key components of the assessment process: the pathways by which applications are submitted for assessment, and the governance processes that drive the assessment of medical devices. As part of this reform program, the Department has </w:t>
      </w:r>
      <w:r>
        <w:rPr>
          <w:lang w:val="en-AU" w:eastAsia="en-AU"/>
        </w:rPr>
        <w:t>completed</w:t>
      </w:r>
      <w:r w:rsidRPr="00452BDA">
        <w:rPr>
          <w:lang w:val="en-AU" w:eastAsia="en-AU"/>
        </w:rPr>
        <w:t xml:space="preserve"> independent reviews of each of these components and implementing changes to </w:t>
      </w:r>
      <w:r>
        <w:rPr>
          <w:lang w:val="en-AU" w:eastAsia="en-AU"/>
        </w:rPr>
        <w:t>both</w:t>
      </w:r>
      <w:r w:rsidRPr="00452BDA">
        <w:rPr>
          <w:lang w:val="en-AU" w:eastAsia="en-AU"/>
        </w:rPr>
        <w:t xml:space="preserve"> </w:t>
      </w:r>
      <w:r w:rsidR="00F623E4">
        <w:rPr>
          <w:lang w:val="en-AU" w:eastAsia="en-AU"/>
        </w:rPr>
        <w:t xml:space="preserve">the </w:t>
      </w:r>
      <w:r w:rsidR="00EC0C79">
        <w:rPr>
          <w:lang w:val="en-AU" w:eastAsia="en-AU"/>
        </w:rPr>
        <w:t xml:space="preserve">PL application </w:t>
      </w:r>
      <w:r w:rsidR="00F623E4">
        <w:rPr>
          <w:lang w:val="en-AU" w:eastAsia="en-AU"/>
        </w:rPr>
        <w:t>assessment</w:t>
      </w:r>
      <w:r w:rsidR="00EC0C79">
        <w:rPr>
          <w:lang w:val="en-AU" w:eastAsia="en-AU"/>
        </w:rPr>
        <w:t xml:space="preserve"> pathways and PL governance.</w:t>
      </w:r>
    </w:p>
    <w:p w14:paraId="1103A188" w14:textId="194B73BF" w:rsidR="00A409AA" w:rsidRDefault="00012CB2" w:rsidP="00803608">
      <w:pPr>
        <w:pStyle w:val="Heading4"/>
      </w:pPr>
      <w:r>
        <w:lastRenderedPageBreak/>
        <w:t xml:space="preserve">The </w:t>
      </w:r>
      <w:r w:rsidR="00C0725E">
        <w:t>Department</w:t>
      </w:r>
      <w:r>
        <w:t xml:space="preserve"> </w:t>
      </w:r>
      <w:r w:rsidR="005C3EAD">
        <w:t xml:space="preserve">has </w:t>
      </w:r>
      <w:r w:rsidR="00642ECC">
        <w:t xml:space="preserve">implemented </w:t>
      </w:r>
      <w:r w:rsidR="00942B19">
        <w:t>tiered assessment pathways</w:t>
      </w:r>
    </w:p>
    <w:p w14:paraId="0B3FB5FB" w14:textId="7AD12A50" w:rsidR="00A409AA" w:rsidRDefault="00D23602" w:rsidP="00AA48E8">
      <w:r w:rsidRPr="00D23602">
        <w:t xml:space="preserve">The </w:t>
      </w:r>
      <w:r w:rsidR="00C0725E">
        <w:t>Department</w:t>
      </w:r>
      <w:r w:rsidRPr="00D23602">
        <w:t xml:space="preserve"> released a consultation paper between 11 January 2022 to 4 March 2022 to gather stakeholder perspectives on changes to modernise listing pathways. </w:t>
      </w:r>
      <w:r w:rsidR="008477F0" w:rsidRPr="008477F0">
        <w:t>This was proposed to be done by aligning to Health Technology Assessment Principles (HTA). It would allow for applications of differing complexity to be dealt with via different pathways.</w:t>
      </w:r>
      <w:r w:rsidR="00066325">
        <w:rPr>
          <w:rStyle w:val="FootnoteReference"/>
        </w:rPr>
        <w:footnoteReference w:id="85"/>
      </w:r>
    </w:p>
    <w:p w14:paraId="3211088A" w14:textId="16B0601C" w:rsidR="000C069F" w:rsidRDefault="00B369CC" w:rsidP="008D785F">
      <w:r>
        <w:t xml:space="preserve">The updated assessment pathways </w:t>
      </w:r>
      <w:r w:rsidR="006D3CD3">
        <w:t>are</w:t>
      </w:r>
      <w:r w:rsidR="00E91CBA">
        <w:t xml:space="preserve"> organised</w:t>
      </w:r>
      <w:r w:rsidR="006D3CD3">
        <w:t xml:space="preserve"> into three tiers with evidence requirements tailored for each pathway</w:t>
      </w:r>
      <w:r w:rsidR="000C069F">
        <w:t xml:space="preserve">, can be seen in </w:t>
      </w:r>
      <w:r w:rsidR="000C069F">
        <w:fldChar w:fldCharType="begin"/>
      </w:r>
      <w:r w:rsidR="000C069F">
        <w:instrText xml:space="preserve"> REF _Ref171345703 \h </w:instrText>
      </w:r>
      <w:r w:rsidR="000C069F">
        <w:fldChar w:fldCharType="separate"/>
      </w:r>
      <w:r w:rsidR="009B5D8D">
        <w:t xml:space="preserve">Table </w:t>
      </w:r>
      <w:r w:rsidR="009B5D8D">
        <w:rPr>
          <w:noProof/>
        </w:rPr>
        <w:t>10</w:t>
      </w:r>
      <w:r w:rsidR="000C069F">
        <w:fldChar w:fldCharType="end"/>
      </w:r>
      <w:r w:rsidR="000C069F">
        <w:t xml:space="preserve"> below.</w:t>
      </w:r>
      <w:r w:rsidR="006D3CD3">
        <w:t xml:space="preserve"> </w:t>
      </w:r>
      <w:r w:rsidR="008D785F">
        <w:t xml:space="preserve">These pathways cover new listing, amendment, compression and expansion applications. </w:t>
      </w:r>
      <w:r w:rsidR="00387E59">
        <w:t>Applications may be made for listing medical devices on Part A or Part C, and human tissue products on Part B on the PL</w:t>
      </w:r>
      <w:r w:rsidR="008D785F">
        <w:t xml:space="preserve">. </w:t>
      </w:r>
      <w:r w:rsidR="00703B8F">
        <w:t xml:space="preserve">At the time of new pathway design, listing arrangements for Part D </w:t>
      </w:r>
      <w:r w:rsidR="005E335A">
        <w:t xml:space="preserve">(GUIs) </w:t>
      </w:r>
      <w:r w:rsidR="00703B8F">
        <w:t>were not considered du</w:t>
      </w:r>
      <w:r w:rsidR="005E335A">
        <w:t>e</w:t>
      </w:r>
      <w:r w:rsidR="00703B8F">
        <w:t xml:space="preserve"> to their scheduled removal </w:t>
      </w:r>
      <w:r w:rsidR="005E335A">
        <w:t>from the PL in July 2024. Following the decision to keep the</w:t>
      </w:r>
      <w:r w:rsidR="00126911">
        <w:t xml:space="preserve"> GUIs on the list</w:t>
      </w:r>
      <w:r w:rsidR="006633A0">
        <w:t>.</w:t>
      </w:r>
    </w:p>
    <w:p w14:paraId="52896AB5" w14:textId="539DD49E" w:rsidR="000C069F" w:rsidRPr="00D95E27" w:rsidRDefault="000C069F" w:rsidP="000C069F">
      <w:pPr>
        <w:pStyle w:val="Caption"/>
      </w:pPr>
      <w:bookmarkStart w:id="76" w:name="_Ref171345703"/>
      <w:bookmarkStart w:id="77" w:name="_Ref171345699"/>
      <w:r>
        <w:t xml:space="preserve">Table </w:t>
      </w:r>
      <w:r>
        <w:fldChar w:fldCharType="begin"/>
      </w:r>
      <w:r>
        <w:instrText xml:space="preserve"> SEQ Table \* ARABIC </w:instrText>
      </w:r>
      <w:r>
        <w:fldChar w:fldCharType="separate"/>
      </w:r>
      <w:r w:rsidR="009B5D8D">
        <w:rPr>
          <w:noProof/>
        </w:rPr>
        <w:t>10</w:t>
      </w:r>
      <w:r>
        <w:fldChar w:fldCharType="end"/>
      </w:r>
      <w:bookmarkEnd w:id="76"/>
      <w:r>
        <w:t xml:space="preserve"> | </w:t>
      </w:r>
      <w:r w:rsidRPr="00E221E1">
        <w:t>Tiered assessment pathways for PL devices</w:t>
      </w:r>
      <w:bookmarkEnd w:id="77"/>
    </w:p>
    <w:tbl>
      <w:tblPr>
        <w:tblStyle w:val="NousTableSide"/>
        <w:tblW w:w="9049" w:type="dxa"/>
        <w:tblLook w:val="04A0" w:firstRow="1" w:lastRow="0" w:firstColumn="1" w:lastColumn="0" w:noHBand="0" w:noVBand="1"/>
      </w:tblPr>
      <w:tblGrid>
        <w:gridCol w:w="2189"/>
        <w:gridCol w:w="6860"/>
      </w:tblGrid>
      <w:tr w:rsidR="00856653" w14:paraId="065D76F0" w14:textId="77777777" w:rsidTr="003D33B8">
        <w:tc>
          <w:tcPr>
            <w:cnfStyle w:val="001000000000" w:firstRow="0" w:lastRow="0" w:firstColumn="1" w:lastColumn="0" w:oddVBand="0" w:evenVBand="0" w:oddHBand="0" w:evenHBand="0" w:firstRowFirstColumn="0" w:firstRowLastColumn="0" w:lastRowFirstColumn="0" w:lastRowLastColumn="0"/>
            <w:tcW w:w="2189" w:type="dxa"/>
          </w:tcPr>
          <w:p w14:paraId="7CCF93CB" w14:textId="6DA15300" w:rsidR="000C069F" w:rsidRPr="00B1055C" w:rsidRDefault="000C069F">
            <w:pPr>
              <w:pStyle w:val="TableNheader"/>
              <w:rPr>
                <w:sz w:val="17"/>
                <w:szCs w:val="17"/>
              </w:rPr>
            </w:pPr>
            <w:r w:rsidRPr="00B1055C">
              <w:rPr>
                <w:sz w:val="17"/>
                <w:szCs w:val="17"/>
              </w:rPr>
              <w:t xml:space="preserve">Tier 1: </w:t>
            </w:r>
            <w:r w:rsidR="00034CC0">
              <w:rPr>
                <w:sz w:val="17"/>
                <w:szCs w:val="17"/>
              </w:rPr>
              <w:t>D</w:t>
            </w:r>
            <w:r>
              <w:rPr>
                <w:sz w:val="17"/>
                <w:szCs w:val="17"/>
              </w:rPr>
              <w:t>epartment</w:t>
            </w:r>
            <w:r w:rsidRPr="00B1055C">
              <w:rPr>
                <w:sz w:val="17"/>
                <w:szCs w:val="17"/>
              </w:rPr>
              <w:t xml:space="preserve">al Assessment Pathway </w:t>
            </w:r>
          </w:p>
        </w:tc>
        <w:tc>
          <w:tcPr>
            <w:tcW w:w="6860" w:type="dxa"/>
          </w:tcPr>
          <w:p w14:paraId="4265BE1E" w14:textId="0B41BFCA" w:rsidR="000C069F" w:rsidRDefault="00011B11">
            <w:pPr>
              <w:pStyle w:val="TableExpBullet0"/>
              <w:cnfStyle w:val="000000000000" w:firstRow="0" w:lastRow="0" w:firstColumn="0" w:lastColumn="0" w:oddVBand="0" w:evenVBand="0" w:oddHBand="0" w:evenHBand="0" w:firstRowFirstColumn="0" w:firstRowLastColumn="0" w:lastRowFirstColumn="0" w:lastRowLastColumn="0"/>
            </w:pPr>
            <w:r>
              <w:t>Assessment pathway for</w:t>
            </w:r>
            <w:r w:rsidR="000C069F">
              <w:t xml:space="preserve"> devices with well-established technology with proven records of satisfactory safety and performance</w:t>
            </w:r>
          </w:p>
          <w:p w14:paraId="543B69FA" w14:textId="7AF59445" w:rsidR="000C069F" w:rsidRDefault="000C069F">
            <w:pPr>
              <w:pStyle w:val="TableExpBullet0"/>
              <w:cnfStyle w:val="000000000000" w:firstRow="0" w:lastRow="0" w:firstColumn="0" w:lastColumn="0" w:oddVBand="0" w:evenVBand="0" w:oddHBand="0" w:evenHBand="0" w:firstRowFirstColumn="0" w:firstRowLastColumn="0" w:lastRowFirstColumn="0" w:lastRowLastColumn="0"/>
            </w:pPr>
            <w:r>
              <w:t xml:space="preserve">The device must be listed in an existing PL grouping, and sponsors cannot change </w:t>
            </w:r>
            <w:r w:rsidR="00E10EF6">
              <w:t xml:space="preserve">billing code </w:t>
            </w:r>
            <w:r>
              <w:t xml:space="preserve">groupings </w:t>
            </w:r>
            <w:r w:rsidR="001D71FF">
              <w:t>for</w:t>
            </w:r>
            <w:r>
              <w:t xml:space="preserve"> amendment applications</w:t>
            </w:r>
            <w:r w:rsidR="001D71FF">
              <w:t xml:space="preserve"> submitted to this tier. </w:t>
            </w:r>
          </w:p>
        </w:tc>
      </w:tr>
      <w:tr w:rsidR="00856653" w14:paraId="5396762B" w14:textId="77777777" w:rsidTr="003D33B8">
        <w:tc>
          <w:tcPr>
            <w:cnfStyle w:val="001000000000" w:firstRow="0" w:lastRow="0" w:firstColumn="1" w:lastColumn="0" w:oddVBand="0" w:evenVBand="0" w:oddHBand="0" w:evenHBand="0" w:firstRowFirstColumn="0" w:firstRowLastColumn="0" w:lastRowFirstColumn="0" w:lastRowLastColumn="0"/>
            <w:tcW w:w="2189" w:type="dxa"/>
          </w:tcPr>
          <w:p w14:paraId="4AA883DE" w14:textId="77777777" w:rsidR="000C069F" w:rsidRDefault="000C069F">
            <w:pPr>
              <w:pStyle w:val="TableNheader"/>
              <w:rPr>
                <w:sz w:val="17"/>
                <w:szCs w:val="17"/>
              </w:rPr>
            </w:pPr>
            <w:r w:rsidRPr="00B1055C">
              <w:rPr>
                <w:sz w:val="17"/>
                <w:szCs w:val="17"/>
              </w:rPr>
              <w:t xml:space="preserve">Tier 2: Clinical / Focused HTA Assessment Pathway </w:t>
            </w:r>
          </w:p>
          <w:p w14:paraId="3DD7BBB5" w14:textId="77777777" w:rsidR="000C069F" w:rsidRPr="00B1055C" w:rsidRDefault="000C069F">
            <w:pPr>
              <w:pStyle w:val="TableNheader"/>
              <w:rPr>
                <w:sz w:val="17"/>
                <w:szCs w:val="17"/>
              </w:rPr>
            </w:pPr>
          </w:p>
          <w:p w14:paraId="1848E35A" w14:textId="77777777" w:rsidR="000C069F" w:rsidRPr="00B1055C" w:rsidRDefault="000C069F">
            <w:pPr>
              <w:pStyle w:val="TableNheader"/>
              <w:rPr>
                <w:sz w:val="17"/>
                <w:szCs w:val="17"/>
              </w:rPr>
            </w:pPr>
            <w:r w:rsidRPr="00B1055C">
              <w:rPr>
                <w:sz w:val="17"/>
                <w:szCs w:val="17"/>
              </w:rPr>
              <w:t xml:space="preserve">2a: Clinical Assessment Only </w:t>
            </w:r>
          </w:p>
          <w:p w14:paraId="3F46A9F2" w14:textId="77777777" w:rsidR="000C069F" w:rsidRPr="00B1055C" w:rsidRDefault="000C069F">
            <w:pPr>
              <w:pStyle w:val="TableNheader"/>
              <w:rPr>
                <w:sz w:val="17"/>
                <w:szCs w:val="17"/>
              </w:rPr>
            </w:pPr>
            <w:r w:rsidRPr="00B1055C">
              <w:rPr>
                <w:sz w:val="17"/>
                <w:szCs w:val="17"/>
              </w:rPr>
              <w:t xml:space="preserve">2b: Clinical and economic assessment </w:t>
            </w:r>
          </w:p>
        </w:tc>
        <w:tc>
          <w:tcPr>
            <w:tcW w:w="6860" w:type="dxa"/>
          </w:tcPr>
          <w:p w14:paraId="33BA9860" w14:textId="5B169F70" w:rsidR="000C069F" w:rsidRDefault="00011B11" w:rsidP="0048410D">
            <w:pPr>
              <w:pStyle w:val="TableExpBullet0"/>
              <w:cnfStyle w:val="000000000000" w:firstRow="0" w:lastRow="0" w:firstColumn="0" w:lastColumn="0" w:oddVBand="0" w:evenVBand="0" w:oddHBand="0" w:evenHBand="0" w:firstRowFirstColumn="0" w:firstRowLastColumn="0" w:lastRowFirstColumn="0" w:lastRowLastColumn="0"/>
            </w:pPr>
            <w:r>
              <w:t>Assessment pathway for</w:t>
            </w:r>
            <w:r w:rsidR="000C069F">
              <w:t xml:space="preserve"> devices that are not suitable for assessment via the Tier 1 Pathway that require clinical assessment by the respective ECAG, and in some cases HTA.</w:t>
            </w:r>
            <w:r w:rsidR="0048410D">
              <w:t xml:space="preserve"> All applications made via Tier 2 are considered by MDHTAC. Tier 2</w:t>
            </w:r>
            <w:r w:rsidR="000C069F">
              <w:t xml:space="preserve"> includes:</w:t>
            </w:r>
          </w:p>
          <w:p w14:paraId="187476F7" w14:textId="77777777" w:rsidR="000C069F" w:rsidRDefault="000C069F"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Part A applications that are not well-established technology and/or have high variability in design and characteristics, and/or the sponsor claims novel features, characteristics and functionality</w:t>
            </w:r>
          </w:p>
          <w:p w14:paraId="47049E46" w14:textId="77777777" w:rsidR="000C069F" w:rsidRDefault="000C069F"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 xml:space="preserve">Listing applications that require new groupings or amendment applications that request to change the grouping  </w:t>
            </w:r>
          </w:p>
          <w:p w14:paraId="7568E141" w14:textId="6A6E79BE" w:rsidR="000C069F" w:rsidRDefault="000C069F"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Part C applications.</w:t>
            </w:r>
          </w:p>
        </w:tc>
      </w:tr>
      <w:tr w:rsidR="00856653" w14:paraId="6D438FFC" w14:textId="77777777" w:rsidTr="003D33B8">
        <w:tc>
          <w:tcPr>
            <w:cnfStyle w:val="001000000000" w:firstRow="0" w:lastRow="0" w:firstColumn="1" w:lastColumn="0" w:oddVBand="0" w:evenVBand="0" w:oddHBand="0" w:evenHBand="0" w:firstRowFirstColumn="0" w:firstRowLastColumn="0" w:lastRowFirstColumn="0" w:lastRowLastColumn="0"/>
            <w:tcW w:w="2189" w:type="dxa"/>
          </w:tcPr>
          <w:p w14:paraId="4E403DB1" w14:textId="77777777" w:rsidR="000C069F" w:rsidRPr="00B1055C" w:rsidRDefault="000C069F">
            <w:pPr>
              <w:pStyle w:val="TableNheader"/>
              <w:rPr>
                <w:sz w:val="17"/>
                <w:szCs w:val="17"/>
              </w:rPr>
            </w:pPr>
            <w:r w:rsidRPr="00B1055C">
              <w:rPr>
                <w:sz w:val="17"/>
                <w:szCs w:val="17"/>
              </w:rPr>
              <w:t xml:space="preserve">Tier 3: Full HTA Assessment Pathway – MSAC Assessment </w:t>
            </w:r>
          </w:p>
        </w:tc>
        <w:tc>
          <w:tcPr>
            <w:tcW w:w="6860" w:type="dxa"/>
          </w:tcPr>
          <w:p w14:paraId="118B82A0" w14:textId="20FA880B" w:rsidR="000C069F" w:rsidRDefault="00011B11">
            <w:pPr>
              <w:pStyle w:val="TableExpBullet0"/>
              <w:cnfStyle w:val="000000000000" w:firstRow="0" w:lastRow="0" w:firstColumn="0" w:lastColumn="0" w:oddVBand="0" w:evenVBand="0" w:oddHBand="0" w:evenHBand="0" w:firstRowFirstColumn="0" w:firstRowLastColumn="0" w:lastRowFirstColumn="0" w:lastRowLastColumn="0"/>
            </w:pPr>
            <w:r>
              <w:t>Assessment pathway for</w:t>
            </w:r>
            <w:r w:rsidR="000C069F">
              <w:t xml:space="preserve"> devices </w:t>
            </w:r>
            <w:r>
              <w:t>that meet any of</w:t>
            </w:r>
            <w:r w:rsidR="000C069F">
              <w:t xml:space="preserve"> the following conditions: </w:t>
            </w:r>
          </w:p>
          <w:p w14:paraId="301EE701" w14:textId="77777777" w:rsidR="000C069F" w:rsidRDefault="000C069F"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 xml:space="preserve">The device is novel or first-in-class technology and/or there are no appropriate comparators on the PL. </w:t>
            </w:r>
          </w:p>
          <w:p w14:paraId="2C90D1A7" w14:textId="3F5609DA" w:rsidR="000C069F" w:rsidRDefault="001A5878"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T</w:t>
            </w:r>
            <w:r w:rsidR="000C069F">
              <w:t xml:space="preserve">here is no relevant MBS item associated with the use of the device, requiring a new MBS item or an MBS descriptor to be modified. </w:t>
            </w:r>
          </w:p>
          <w:p w14:paraId="4AC7C7AA" w14:textId="679E3EA4" w:rsidR="000C069F" w:rsidRDefault="001A5878" w:rsidP="00D771DF">
            <w:pPr>
              <w:pStyle w:val="TableExpBullet0"/>
              <w:numPr>
                <w:ilvl w:val="1"/>
                <w:numId w:val="5"/>
              </w:numPr>
              <w:cnfStyle w:val="000000000000" w:firstRow="0" w:lastRow="0" w:firstColumn="0" w:lastColumn="0" w:oddVBand="0" w:evenVBand="0" w:oddHBand="0" w:evenHBand="0" w:firstRowFirstColumn="0" w:firstRowLastColumn="0" w:lastRowFirstColumn="0" w:lastRowLastColumn="0"/>
            </w:pPr>
            <w:r>
              <w:t>W</w:t>
            </w:r>
            <w:r w:rsidR="000C069F">
              <w:t>here listing the device will cause significant financial impact on overall PL expenditure</w:t>
            </w:r>
            <w:r>
              <w:t xml:space="preserve"> and therefore warrants </w:t>
            </w:r>
            <w:r w:rsidR="000C069F">
              <w:t xml:space="preserve">detailed financial assessment. </w:t>
            </w:r>
          </w:p>
        </w:tc>
      </w:tr>
    </w:tbl>
    <w:p w14:paraId="4D07A9C3" w14:textId="0542A97A" w:rsidR="00FF3C38" w:rsidRDefault="00D30E5B" w:rsidP="00C61BFA">
      <w:pPr>
        <w:pStyle w:val="Heading4"/>
      </w:pPr>
      <w:r>
        <w:t>Sponsors</w:t>
      </w:r>
      <w:r w:rsidR="00AA48E8">
        <w:t xml:space="preserve"> </w:t>
      </w:r>
      <w:r>
        <w:t>are primarily applying for the</w:t>
      </w:r>
      <w:r w:rsidR="007F23B6">
        <w:t xml:space="preserve"> </w:t>
      </w:r>
      <w:r>
        <w:t>tier 1 pathway</w:t>
      </w:r>
    </w:p>
    <w:p w14:paraId="6A192F02" w14:textId="28F96AEE" w:rsidR="00E80AF1" w:rsidRDefault="0019338B" w:rsidP="00C61BFA">
      <w:pPr>
        <w:rPr>
          <w:lang w:val="en-AU" w:eastAsia="en-AU"/>
        </w:rPr>
      </w:pPr>
      <w:r w:rsidRPr="0019338B">
        <w:rPr>
          <w:lang w:val="en-AU" w:eastAsia="en-AU"/>
        </w:rPr>
        <w:t>Since operationalis</w:t>
      </w:r>
      <w:r w:rsidR="001C1F39">
        <w:rPr>
          <w:lang w:val="en-AU" w:eastAsia="en-AU"/>
        </w:rPr>
        <w:t>ing</w:t>
      </w:r>
      <w:r w:rsidRPr="0019338B">
        <w:rPr>
          <w:lang w:val="en-AU" w:eastAsia="en-AU"/>
        </w:rPr>
        <w:t xml:space="preserve"> </w:t>
      </w:r>
      <w:r w:rsidR="001C1F39">
        <w:rPr>
          <w:lang w:val="en-AU" w:eastAsia="en-AU"/>
        </w:rPr>
        <w:t>the</w:t>
      </w:r>
      <w:r w:rsidRPr="0019338B">
        <w:rPr>
          <w:lang w:val="en-AU" w:eastAsia="en-AU"/>
        </w:rPr>
        <w:t xml:space="preserve"> new tier</w:t>
      </w:r>
      <w:r>
        <w:rPr>
          <w:lang w:val="en-AU" w:eastAsia="en-AU"/>
        </w:rPr>
        <w:t xml:space="preserve"> structure</w:t>
      </w:r>
      <w:r w:rsidRPr="0019338B">
        <w:rPr>
          <w:lang w:val="en-AU" w:eastAsia="en-AU"/>
        </w:rPr>
        <w:t xml:space="preserve">, </w:t>
      </w:r>
      <w:r>
        <w:rPr>
          <w:lang w:val="en-AU" w:eastAsia="en-AU"/>
        </w:rPr>
        <w:t xml:space="preserve">the </w:t>
      </w:r>
      <w:r w:rsidR="00C0725E">
        <w:rPr>
          <w:lang w:val="en-AU" w:eastAsia="en-AU"/>
        </w:rPr>
        <w:t>Department</w:t>
      </w:r>
      <w:r>
        <w:rPr>
          <w:lang w:val="en-AU" w:eastAsia="en-AU"/>
        </w:rPr>
        <w:t xml:space="preserve"> has received </w:t>
      </w:r>
      <w:r w:rsidR="00D91899" w:rsidRPr="0019338B">
        <w:rPr>
          <w:lang w:val="en-AU" w:eastAsia="en-AU"/>
        </w:rPr>
        <w:t>a</w:t>
      </w:r>
      <w:r w:rsidRPr="0019338B">
        <w:rPr>
          <w:lang w:val="en-AU" w:eastAsia="en-AU"/>
        </w:rPr>
        <w:t xml:space="preserve"> </w:t>
      </w:r>
      <w:r>
        <w:rPr>
          <w:lang w:val="en-AU" w:eastAsia="en-AU"/>
        </w:rPr>
        <w:t>much larger</w:t>
      </w:r>
      <w:r w:rsidRPr="0019338B">
        <w:rPr>
          <w:lang w:val="en-AU" w:eastAsia="en-AU"/>
        </w:rPr>
        <w:t xml:space="preserve"> volume of applications being submitted as Tier 1 </w:t>
      </w:r>
      <w:r>
        <w:rPr>
          <w:lang w:val="en-AU" w:eastAsia="en-AU"/>
        </w:rPr>
        <w:t>that</w:t>
      </w:r>
      <w:r w:rsidRPr="0019338B">
        <w:rPr>
          <w:lang w:val="en-AU" w:eastAsia="en-AU"/>
        </w:rPr>
        <w:t xml:space="preserve"> should </w:t>
      </w:r>
      <w:r>
        <w:rPr>
          <w:lang w:val="en-AU" w:eastAsia="en-AU"/>
        </w:rPr>
        <w:t xml:space="preserve">have been submitted to </w:t>
      </w:r>
      <w:r w:rsidRPr="0019338B">
        <w:rPr>
          <w:lang w:val="en-AU" w:eastAsia="en-AU"/>
        </w:rPr>
        <w:t xml:space="preserve">be assessed under </w:t>
      </w:r>
      <w:r>
        <w:rPr>
          <w:lang w:val="en-AU" w:eastAsia="en-AU"/>
        </w:rPr>
        <w:t>Ti</w:t>
      </w:r>
      <w:r w:rsidRPr="0019338B">
        <w:rPr>
          <w:lang w:val="en-AU" w:eastAsia="en-AU"/>
        </w:rPr>
        <w:t>er 2.</w:t>
      </w:r>
      <w:r w:rsidR="005C63A8">
        <w:rPr>
          <w:lang w:val="en-AU" w:eastAsia="en-AU"/>
        </w:rPr>
        <w:t xml:space="preserve"> This is shown in </w:t>
      </w:r>
      <w:r w:rsidR="005C63A8">
        <w:rPr>
          <w:lang w:val="en-AU" w:eastAsia="en-AU"/>
        </w:rPr>
        <w:fldChar w:fldCharType="begin"/>
      </w:r>
      <w:r w:rsidR="005C63A8">
        <w:rPr>
          <w:lang w:val="en-AU" w:eastAsia="en-AU"/>
        </w:rPr>
        <w:instrText xml:space="preserve"> REF _Ref171346185 \h </w:instrText>
      </w:r>
      <w:r w:rsidR="005C63A8">
        <w:rPr>
          <w:lang w:val="en-AU" w:eastAsia="en-AU"/>
        </w:rPr>
      </w:r>
      <w:r w:rsidR="005C63A8">
        <w:rPr>
          <w:lang w:val="en-AU" w:eastAsia="en-AU"/>
        </w:rPr>
        <w:fldChar w:fldCharType="separate"/>
      </w:r>
      <w:r w:rsidR="009B5D8D">
        <w:t xml:space="preserve">Table </w:t>
      </w:r>
      <w:r w:rsidR="009B5D8D">
        <w:rPr>
          <w:noProof/>
        </w:rPr>
        <w:t>11</w:t>
      </w:r>
      <w:r w:rsidR="005C63A8">
        <w:rPr>
          <w:lang w:val="en-AU" w:eastAsia="en-AU"/>
        </w:rPr>
        <w:fldChar w:fldCharType="end"/>
      </w:r>
      <w:r w:rsidR="005C63A8">
        <w:rPr>
          <w:lang w:val="en-AU" w:eastAsia="en-AU"/>
        </w:rPr>
        <w:t xml:space="preserve"> below. </w:t>
      </w:r>
    </w:p>
    <w:p w14:paraId="632D5A02" w14:textId="04AEB549" w:rsidR="00E80AF1" w:rsidRDefault="00E80AF1" w:rsidP="00E80AF1">
      <w:pPr>
        <w:pStyle w:val="Caption"/>
        <w:rPr>
          <w:lang w:eastAsia="en-AU"/>
        </w:rPr>
      </w:pPr>
      <w:bookmarkStart w:id="78" w:name="_Ref171346185"/>
      <w:r>
        <w:lastRenderedPageBreak/>
        <w:t xml:space="preserve">Table </w:t>
      </w:r>
      <w:r>
        <w:fldChar w:fldCharType="begin"/>
      </w:r>
      <w:r>
        <w:instrText xml:space="preserve"> SEQ Table \* ARABIC </w:instrText>
      </w:r>
      <w:r>
        <w:fldChar w:fldCharType="separate"/>
      </w:r>
      <w:r w:rsidR="009B5D8D">
        <w:rPr>
          <w:noProof/>
        </w:rPr>
        <w:t>11</w:t>
      </w:r>
      <w:r>
        <w:fldChar w:fldCharType="end"/>
      </w:r>
      <w:bookmarkEnd w:id="78"/>
      <w:r>
        <w:t xml:space="preserve"> | Applications by tier between September 2023 and April 2024 (Part A and C)</w:t>
      </w:r>
      <w:r>
        <w:rPr>
          <w:rStyle w:val="FootnoteReference"/>
        </w:rPr>
        <w:footnoteReference w:id="86"/>
      </w:r>
    </w:p>
    <w:tbl>
      <w:tblPr>
        <w:tblStyle w:val="NOUS"/>
        <w:tblW w:w="9072" w:type="dxa"/>
        <w:tblLook w:val="04A0" w:firstRow="1" w:lastRow="0" w:firstColumn="1" w:lastColumn="0" w:noHBand="0" w:noVBand="1"/>
      </w:tblPr>
      <w:tblGrid>
        <w:gridCol w:w="2232"/>
        <w:gridCol w:w="2232"/>
        <w:gridCol w:w="2233"/>
        <w:gridCol w:w="2375"/>
      </w:tblGrid>
      <w:tr w:rsidR="00E80AF1" w14:paraId="4B05E6BB" w14:textId="77777777" w:rsidTr="003D33B8">
        <w:trPr>
          <w:cnfStyle w:val="100000000000" w:firstRow="1" w:lastRow="0" w:firstColumn="0" w:lastColumn="0" w:oddVBand="0" w:evenVBand="0" w:oddHBand="0" w:evenHBand="0" w:firstRowFirstColumn="0" w:firstRowLastColumn="0" w:lastRowFirstColumn="0" w:lastRowLastColumn="0"/>
          <w:trHeight w:val="323"/>
        </w:trPr>
        <w:tc>
          <w:tcPr>
            <w:tcW w:w="2232" w:type="dxa"/>
          </w:tcPr>
          <w:p w14:paraId="5DE2E959" w14:textId="77777777" w:rsidR="00E80AF1" w:rsidRDefault="00E80AF1">
            <w:pPr>
              <w:pStyle w:val="TableNheader"/>
              <w:jc w:val="center"/>
            </w:pPr>
          </w:p>
        </w:tc>
        <w:tc>
          <w:tcPr>
            <w:tcW w:w="2232" w:type="dxa"/>
          </w:tcPr>
          <w:p w14:paraId="651EE760" w14:textId="77777777" w:rsidR="00E80AF1" w:rsidRPr="00B24679" w:rsidRDefault="00E80AF1">
            <w:pPr>
              <w:pStyle w:val="TableNheader"/>
              <w:jc w:val="center"/>
              <w:rPr>
                <w:b w:val="0"/>
                <w:bCs/>
              </w:rPr>
            </w:pPr>
            <w:r>
              <w:rPr>
                <w:b w:val="0"/>
                <w:bCs/>
              </w:rPr>
              <w:t>Tier 1</w:t>
            </w:r>
          </w:p>
        </w:tc>
        <w:tc>
          <w:tcPr>
            <w:tcW w:w="2233" w:type="dxa"/>
          </w:tcPr>
          <w:p w14:paraId="6D9F4B3A" w14:textId="77777777" w:rsidR="00E80AF1" w:rsidRPr="00B24679" w:rsidRDefault="00E80AF1">
            <w:pPr>
              <w:pStyle w:val="TableNheader"/>
              <w:jc w:val="center"/>
              <w:rPr>
                <w:b w:val="0"/>
                <w:bCs/>
              </w:rPr>
            </w:pPr>
            <w:r w:rsidRPr="00B24679">
              <w:rPr>
                <w:b w:val="0"/>
                <w:bCs/>
              </w:rPr>
              <w:t>Tier 2</w:t>
            </w:r>
          </w:p>
        </w:tc>
        <w:tc>
          <w:tcPr>
            <w:tcW w:w="2375" w:type="dxa"/>
          </w:tcPr>
          <w:p w14:paraId="1315EBDB" w14:textId="77777777" w:rsidR="00E80AF1" w:rsidRPr="00B24679" w:rsidRDefault="00E80AF1">
            <w:pPr>
              <w:pStyle w:val="TableNheader"/>
              <w:jc w:val="center"/>
              <w:rPr>
                <w:b w:val="0"/>
                <w:bCs/>
              </w:rPr>
            </w:pPr>
            <w:r w:rsidRPr="00B24679">
              <w:rPr>
                <w:b w:val="0"/>
                <w:bCs/>
              </w:rPr>
              <w:t>Tier 3</w:t>
            </w:r>
          </w:p>
        </w:tc>
      </w:tr>
      <w:tr w:rsidR="00E80AF1" w14:paraId="1AC615F9" w14:textId="77777777" w:rsidTr="003D33B8">
        <w:tc>
          <w:tcPr>
            <w:tcW w:w="2232" w:type="dxa"/>
          </w:tcPr>
          <w:p w14:paraId="3C717A49" w14:textId="77777777" w:rsidR="00E80AF1" w:rsidRPr="00BB016B" w:rsidRDefault="00E80AF1">
            <w:pPr>
              <w:pStyle w:val="TableNText"/>
              <w:rPr>
                <w:rFonts w:asciiTheme="majorHAnsi" w:hAnsiTheme="majorHAnsi" w:cstheme="majorHAnsi"/>
              </w:rPr>
            </w:pPr>
            <w:r w:rsidRPr="00BB016B">
              <w:rPr>
                <w:rFonts w:asciiTheme="majorHAnsi" w:hAnsiTheme="majorHAnsi" w:cstheme="majorHAnsi"/>
              </w:rPr>
              <w:t>New</w:t>
            </w:r>
          </w:p>
        </w:tc>
        <w:tc>
          <w:tcPr>
            <w:tcW w:w="2232" w:type="dxa"/>
          </w:tcPr>
          <w:p w14:paraId="686D2101" w14:textId="77777777" w:rsidR="00E80AF1" w:rsidRDefault="00E80AF1">
            <w:pPr>
              <w:pStyle w:val="TableNText"/>
              <w:jc w:val="center"/>
            </w:pPr>
            <w:r w:rsidRPr="005B1ECB">
              <w:t>282</w:t>
            </w:r>
          </w:p>
        </w:tc>
        <w:tc>
          <w:tcPr>
            <w:tcW w:w="2233" w:type="dxa"/>
          </w:tcPr>
          <w:p w14:paraId="3D97FF13" w14:textId="77777777" w:rsidR="00E80AF1" w:rsidRDefault="00E80AF1">
            <w:pPr>
              <w:pStyle w:val="TableNText"/>
              <w:jc w:val="center"/>
            </w:pPr>
            <w:r w:rsidRPr="005B1ECB">
              <w:t>239</w:t>
            </w:r>
          </w:p>
        </w:tc>
        <w:tc>
          <w:tcPr>
            <w:tcW w:w="2375" w:type="dxa"/>
          </w:tcPr>
          <w:p w14:paraId="0B216255" w14:textId="77777777" w:rsidR="00E80AF1" w:rsidRDefault="00E80AF1">
            <w:pPr>
              <w:pStyle w:val="TableNText"/>
              <w:jc w:val="center"/>
            </w:pPr>
            <w:r w:rsidRPr="005B1ECB">
              <w:t>0</w:t>
            </w:r>
          </w:p>
        </w:tc>
      </w:tr>
      <w:tr w:rsidR="00E80AF1" w14:paraId="1112E1C1" w14:textId="77777777" w:rsidTr="003D33B8">
        <w:tc>
          <w:tcPr>
            <w:tcW w:w="2232" w:type="dxa"/>
          </w:tcPr>
          <w:p w14:paraId="3C45A2AF" w14:textId="77777777" w:rsidR="00E80AF1" w:rsidRPr="00BB016B" w:rsidRDefault="00E80AF1">
            <w:pPr>
              <w:pStyle w:val="TableNText"/>
              <w:rPr>
                <w:rFonts w:asciiTheme="majorHAnsi" w:hAnsiTheme="majorHAnsi" w:cstheme="majorHAnsi"/>
              </w:rPr>
            </w:pPr>
            <w:r w:rsidRPr="00BB016B">
              <w:rPr>
                <w:rFonts w:asciiTheme="majorHAnsi" w:hAnsiTheme="majorHAnsi" w:cstheme="majorHAnsi"/>
              </w:rPr>
              <w:t>Amend</w:t>
            </w:r>
          </w:p>
        </w:tc>
        <w:tc>
          <w:tcPr>
            <w:tcW w:w="2232" w:type="dxa"/>
          </w:tcPr>
          <w:p w14:paraId="567EFA60" w14:textId="77777777" w:rsidR="00E80AF1" w:rsidRDefault="00E80AF1">
            <w:pPr>
              <w:pStyle w:val="TableNText"/>
              <w:jc w:val="center"/>
            </w:pPr>
            <w:r w:rsidRPr="005B1ECB">
              <w:t>199</w:t>
            </w:r>
          </w:p>
        </w:tc>
        <w:tc>
          <w:tcPr>
            <w:tcW w:w="2233" w:type="dxa"/>
          </w:tcPr>
          <w:p w14:paraId="605816CE" w14:textId="77777777" w:rsidR="00E80AF1" w:rsidRDefault="00E80AF1">
            <w:pPr>
              <w:pStyle w:val="TableNText"/>
              <w:jc w:val="center"/>
            </w:pPr>
            <w:r w:rsidRPr="005B1ECB">
              <w:t>47</w:t>
            </w:r>
          </w:p>
        </w:tc>
        <w:tc>
          <w:tcPr>
            <w:tcW w:w="2375" w:type="dxa"/>
          </w:tcPr>
          <w:p w14:paraId="2E6FC630" w14:textId="77777777" w:rsidR="00E80AF1" w:rsidRDefault="00E80AF1">
            <w:pPr>
              <w:pStyle w:val="TableNText"/>
              <w:jc w:val="center"/>
            </w:pPr>
            <w:r w:rsidRPr="005B1ECB">
              <w:t>0</w:t>
            </w:r>
          </w:p>
        </w:tc>
      </w:tr>
      <w:tr w:rsidR="00E80AF1" w14:paraId="42D0CF1D" w14:textId="77777777" w:rsidTr="003D33B8">
        <w:tc>
          <w:tcPr>
            <w:tcW w:w="2232" w:type="dxa"/>
          </w:tcPr>
          <w:p w14:paraId="1C6B5313" w14:textId="77777777" w:rsidR="00E80AF1" w:rsidRPr="00BB016B" w:rsidRDefault="00E80AF1">
            <w:pPr>
              <w:pStyle w:val="TableNText"/>
              <w:rPr>
                <w:rFonts w:asciiTheme="majorHAnsi" w:hAnsiTheme="majorHAnsi" w:cstheme="majorHAnsi"/>
              </w:rPr>
            </w:pPr>
            <w:r w:rsidRPr="00BB016B">
              <w:rPr>
                <w:rFonts w:asciiTheme="majorHAnsi" w:hAnsiTheme="majorHAnsi" w:cstheme="majorHAnsi"/>
              </w:rPr>
              <w:t>Expansion</w:t>
            </w:r>
          </w:p>
        </w:tc>
        <w:tc>
          <w:tcPr>
            <w:tcW w:w="2232" w:type="dxa"/>
          </w:tcPr>
          <w:p w14:paraId="5C5ECEF3" w14:textId="77777777" w:rsidR="00E80AF1" w:rsidRDefault="00E80AF1">
            <w:pPr>
              <w:pStyle w:val="TableNText"/>
              <w:jc w:val="center"/>
            </w:pPr>
            <w:r w:rsidRPr="005B1ECB">
              <w:t>19</w:t>
            </w:r>
          </w:p>
        </w:tc>
        <w:tc>
          <w:tcPr>
            <w:tcW w:w="2233" w:type="dxa"/>
          </w:tcPr>
          <w:p w14:paraId="3C363252" w14:textId="77777777" w:rsidR="00E80AF1" w:rsidRDefault="00E80AF1">
            <w:pPr>
              <w:pStyle w:val="TableNText"/>
              <w:jc w:val="center"/>
            </w:pPr>
            <w:r w:rsidRPr="005B1ECB">
              <w:t>5</w:t>
            </w:r>
          </w:p>
        </w:tc>
        <w:tc>
          <w:tcPr>
            <w:tcW w:w="2375" w:type="dxa"/>
          </w:tcPr>
          <w:p w14:paraId="063538CD" w14:textId="77777777" w:rsidR="00E80AF1" w:rsidRDefault="00E80AF1">
            <w:pPr>
              <w:pStyle w:val="TableNText"/>
              <w:jc w:val="center"/>
            </w:pPr>
            <w:r w:rsidRPr="005B1ECB">
              <w:t>N/A</w:t>
            </w:r>
          </w:p>
        </w:tc>
      </w:tr>
      <w:tr w:rsidR="00E80AF1" w14:paraId="0E36C208" w14:textId="77777777" w:rsidTr="003D33B8">
        <w:tc>
          <w:tcPr>
            <w:tcW w:w="2232" w:type="dxa"/>
          </w:tcPr>
          <w:p w14:paraId="5FA65FAE" w14:textId="77777777" w:rsidR="00E80AF1" w:rsidRPr="00BB016B" w:rsidRDefault="00E80AF1">
            <w:pPr>
              <w:pStyle w:val="TableNText"/>
              <w:rPr>
                <w:rFonts w:asciiTheme="majorHAnsi" w:hAnsiTheme="majorHAnsi" w:cstheme="majorHAnsi"/>
              </w:rPr>
            </w:pPr>
            <w:r w:rsidRPr="00BB016B">
              <w:rPr>
                <w:rFonts w:asciiTheme="majorHAnsi" w:hAnsiTheme="majorHAnsi" w:cstheme="majorHAnsi"/>
              </w:rPr>
              <w:t>Total</w:t>
            </w:r>
          </w:p>
        </w:tc>
        <w:tc>
          <w:tcPr>
            <w:tcW w:w="2232" w:type="dxa"/>
          </w:tcPr>
          <w:p w14:paraId="0CB16F61" w14:textId="77777777" w:rsidR="00E80AF1" w:rsidRPr="00BB016B" w:rsidRDefault="00E80AF1">
            <w:pPr>
              <w:pStyle w:val="TableNText"/>
              <w:jc w:val="center"/>
              <w:rPr>
                <w:rFonts w:asciiTheme="majorHAnsi" w:hAnsiTheme="majorHAnsi" w:cstheme="majorHAnsi"/>
              </w:rPr>
            </w:pPr>
            <w:r w:rsidRPr="00BB016B">
              <w:rPr>
                <w:rFonts w:asciiTheme="majorHAnsi" w:hAnsiTheme="majorHAnsi" w:cstheme="majorHAnsi"/>
              </w:rPr>
              <w:t>500</w:t>
            </w:r>
          </w:p>
        </w:tc>
        <w:tc>
          <w:tcPr>
            <w:tcW w:w="2233" w:type="dxa"/>
          </w:tcPr>
          <w:p w14:paraId="0E0A9590" w14:textId="77777777" w:rsidR="00E80AF1" w:rsidRPr="00BB016B" w:rsidRDefault="00E80AF1">
            <w:pPr>
              <w:pStyle w:val="TableNText"/>
              <w:jc w:val="center"/>
              <w:rPr>
                <w:rFonts w:asciiTheme="majorHAnsi" w:hAnsiTheme="majorHAnsi" w:cstheme="majorHAnsi"/>
              </w:rPr>
            </w:pPr>
            <w:r w:rsidRPr="00BB016B">
              <w:rPr>
                <w:rFonts w:asciiTheme="majorHAnsi" w:hAnsiTheme="majorHAnsi" w:cstheme="majorHAnsi"/>
              </w:rPr>
              <w:t>291</w:t>
            </w:r>
          </w:p>
        </w:tc>
        <w:tc>
          <w:tcPr>
            <w:tcW w:w="2375" w:type="dxa"/>
          </w:tcPr>
          <w:p w14:paraId="47186711" w14:textId="77777777" w:rsidR="00E80AF1" w:rsidRPr="00BB016B" w:rsidRDefault="00E80AF1">
            <w:pPr>
              <w:pStyle w:val="TableNText"/>
              <w:jc w:val="center"/>
              <w:rPr>
                <w:rFonts w:asciiTheme="majorHAnsi" w:hAnsiTheme="majorHAnsi" w:cstheme="majorHAnsi"/>
              </w:rPr>
            </w:pPr>
            <w:r w:rsidRPr="00BB016B">
              <w:rPr>
                <w:rFonts w:asciiTheme="majorHAnsi" w:hAnsiTheme="majorHAnsi" w:cstheme="majorHAnsi"/>
              </w:rPr>
              <w:t>0</w:t>
            </w:r>
          </w:p>
        </w:tc>
      </w:tr>
    </w:tbl>
    <w:p w14:paraId="70B0761C" w14:textId="77777777" w:rsidR="00E80AF1" w:rsidRDefault="00E80AF1" w:rsidP="00C61BFA">
      <w:pPr>
        <w:rPr>
          <w:lang w:val="en-AU" w:eastAsia="en-AU"/>
        </w:rPr>
      </w:pPr>
    </w:p>
    <w:p w14:paraId="5809A2CC" w14:textId="77777777" w:rsidR="002A17A5" w:rsidRDefault="001E11A9" w:rsidP="009875B0">
      <w:pPr>
        <w:rPr>
          <w:lang w:val="en-AU" w:eastAsia="en-AU"/>
        </w:rPr>
      </w:pPr>
      <w:r>
        <w:rPr>
          <w:lang w:val="en-AU" w:eastAsia="en-AU"/>
        </w:rPr>
        <w:t xml:space="preserve">One contributing factor to this </w:t>
      </w:r>
      <w:r w:rsidR="003B4DF6">
        <w:rPr>
          <w:lang w:val="en-AU" w:eastAsia="en-AU"/>
        </w:rPr>
        <w:t xml:space="preserve">may be the </w:t>
      </w:r>
      <w:r w:rsidR="00EA3821">
        <w:rPr>
          <w:lang w:val="en-AU" w:eastAsia="en-AU"/>
        </w:rPr>
        <w:t>transitional</w:t>
      </w:r>
      <w:r w:rsidR="00F87649">
        <w:rPr>
          <w:lang w:val="en-AU" w:eastAsia="en-AU"/>
        </w:rPr>
        <w:t xml:space="preserve"> </w:t>
      </w:r>
      <w:r w:rsidR="003B4DF6">
        <w:rPr>
          <w:lang w:val="en-AU" w:eastAsia="en-AU"/>
        </w:rPr>
        <w:t xml:space="preserve">tiered assessment application </w:t>
      </w:r>
      <w:r w:rsidR="00F87649">
        <w:rPr>
          <w:lang w:val="en-AU" w:eastAsia="en-AU"/>
        </w:rPr>
        <w:t xml:space="preserve">arrangements for sponsors </w:t>
      </w:r>
      <w:r w:rsidR="00FA6F75">
        <w:rPr>
          <w:lang w:val="en-AU" w:eastAsia="en-AU"/>
        </w:rPr>
        <w:t xml:space="preserve">that </w:t>
      </w:r>
      <w:r w:rsidR="003B4DF6">
        <w:rPr>
          <w:lang w:val="en-AU" w:eastAsia="en-AU"/>
        </w:rPr>
        <w:t xml:space="preserve">the </w:t>
      </w:r>
      <w:r w:rsidR="00C0725E">
        <w:rPr>
          <w:lang w:val="en-AU" w:eastAsia="en-AU"/>
        </w:rPr>
        <w:t>Department</w:t>
      </w:r>
      <w:r w:rsidR="003B4DF6">
        <w:rPr>
          <w:lang w:val="en-AU" w:eastAsia="en-AU"/>
        </w:rPr>
        <w:t xml:space="preserve"> has established.</w:t>
      </w:r>
      <w:r w:rsidR="008B0A92">
        <w:rPr>
          <w:lang w:val="en-AU" w:eastAsia="en-AU"/>
        </w:rPr>
        <w:t xml:space="preserve"> </w:t>
      </w:r>
      <w:r w:rsidR="00880BD2">
        <w:rPr>
          <w:lang w:val="en-AU" w:eastAsia="en-AU"/>
        </w:rPr>
        <w:t>The draft</w:t>
      </w:r>
      <w:r w:rsidR="008B0A92">
        <w:rPr>
          <w:lang w:val="en-AU" w:eastAsia="en-AU"/>
        </w:rPr>
        <w:t xml:space="preserve"> PL Guide</w:t>
      </w:r>
      <w:r w:rsidR="00880BD2">
        <w:rPr>
          <w:lang w:val="en-AU" w:eastAsia="en-AU"/>
        </w:rPr>
        <w:t xml:space="preserve"> </w:t>
      </w:r>
      <w:r w:rsidR="0097246D">
        <w:rPr>
          <w:lang w:val="en-AU" w:eastAsia="en-AU"/>
        </w:rPr>
        <w:t xml:space="preserve">states </w:t>
      </w:r>
      <w:r w:rsidR="008B0A92">
        <w:t>it</w:t>
      </w:r>
      <w:r w:rsidR="000C069F" w:rsidRPr="00034CC0">
        <w:t xml:space="preserve"> is the responsibility of sponsors to select the appropriate </w:t>
      </w:r>
      <w:r w:rsidR="004D7FB1">
        <w:t>tier</w:t>
      </w:r>
      <w:r w:rsidR="000C069F" w:rsidRPr="00034CC0">
        <w:t xml:space="preserve"> </w:t>
      </w:r>
      <w:r w:rsidR="004D7FB1">
        <w:t xml:space="preserve">for their device </w:t>
      </w:r>
      <w:r w:rsidR="000C069F" w:rsidRPr="00034CC0">
        <w:t>application</w:t>
      </w:r>
      <w:r w:rsidR="0097246D">
        <w:t xml:space="preserve"> and</w:t>
      </w:r>
      <w:r w:rsidR="000C069F" w:rsidRPr="00034CC0">
        <w:t xml:space="preserve"> </w:t>
      </w:r>
      <w:r w:rsidR="0097246D">
        <w:t>if</w:t>
      </w:r>
      <w:r w:rsidR="000C069F" w:rsidRPr="00034CC0">
        <w:t xml:space="preserve"> </w:t>
      </w:r>
      <w:r w:rsidR="0097246D">
        <w:t>their</w:t>
      </w:r>
      <w:r w:rsidR="000C069F" w:rsidRPr="00034CC0">
        <w:t xml:space="preserve"> application is rejected from a lower tier, the applicant </w:t>
      </w:r>
      <w:r w:rsidR="00034CC0" w:rsidRPr="00034CC0">
        <w:t>is</w:t>
      </w:r>
      <w:r w:rsidR="000C069F" w:rsidRPr="00034CC0">
        <w:t xml:space="preserve"> required to resubmit under the more applicable pathway and </w:t>
      </w:r>
      <w:r w:rsidR="00034CC0" w:rsidRPr="00034CC0">
        <w:t>is</w:t>
      </w:r>
      <w:r w:rsidR="000C069F" w:rsidRPr="00034CC0">
        <w:t xml:space="preserve"> subject to further application and assessment fees.</w:t>
      </w:r>
      <w:r w:rsidR="000E7F7A">
        <w:rPr>
          <w:rStyle w:val="FootnoteReference"/>
        </w:rPr>
        <w:footnoteReference w:id="87"/>
      </w:r>
      <w:r w:rsidR="002A17A5">
        <w:t xml:space="preserve"> </w:t>
      </w:r>
      <w:r w:rsidR="00275A18">
        <w:t>Currently</w:t>
      </w:r>
      <w:r w:rsidR="00034CC0" w:rsidRPr="00034CC0">
        <w:t>, PL device</w:t>
      </w:r>
      <w:r w:rsidR="000C069F" w:rsidRPr="00034CC0">
        <w:t xml:space="preserve"> application</w:t>
      </w:r>
      <w:r w:rsidR="00034CC0" w:rsidRPr="00034CC0">
        <w:t>s</w:t>
      </w:r>
      <w:r w:rsidR="000C069F" w:rsidRPr="00034CC0">
        <w:t xml:space="preserve"> </w:t>
      </w:r>
      <w:r w:rsidR="00034CC0" w:rsidRPr="00034CC0">
        <w:t xml:space="preserve">are </w:t>
      </w:r>
      <w:r w:rsidR="000C069F" w:rsidRPr="00034CC0">
        <w:t>operating under interim arrangements</w:t>
      </w:r>
      <w:r w:rsidR="00034CC0" w:rsidRPr="00034CC0">
        <w:t xml:space="preserve"> where </w:t>
      </w:r>
      <w:r w:rsidR="00034CC0" w:rsidRPr="00034CC0">
        <w:rPr>
          <w:lang w:val="en-AU" w:eastAsia="en-AU"/>
        </w:rPr>
        <w:t>sponsors</w:t>
      </w:r>
      <w:r w:rsidR="00F87649" w:rsidRPr="00034CC0">
        <w:rPr>
          <w:lang w:val="en-AU" w:eastAsia="en-AU"/>
        </w:rPr>
        <w:t xml:space="preserve"> are</w:t>
      </w:r>
      <w:r w:rsidR="00EA3821" w:rsidRPr="00034CC0">
        <w:rPr>
          <w:lang w:val="en-AU" w:eastAsia="en-AU"/>
        </w:rPr>
        <w:t xml:space="preserve"> still</w:t>
      </w:r>
      <w:r w:rsidR="00F87649" w:rsidRPr="00034CC0">
        <w:rPr>
          <w:lang w:val="en-AU" w:eastAsia="en-AU"/>
        </w:rPr>
        <w:t xml:space="preserve"> required to apply to the appropriate tier based on </w:t>
      </w:r>
      <w:r w:rsidR="00EA3821" w:rsidRPr="00034CC0">
        <w:rPr>
          <w:lang w:val="en-AU" w:eastAsia="en-AU"/>
        </w:rPr>
        <w:t xml:space="preserve">the provided </w:t>
      </w:r>
      <w:r w:rsidR="00F87649" w:rsidRPr="00034CC0">
        <w:rPr>
          <w:lang w:val="en-AU" w:eastAsia="en-AU"/>
        </w:rPr>
        <w:t xml:space="preserve">guidelines, however </w:t>
      </w:r>
      <w:r w:rsidR="00766AC1">
        <w:rPr>
          <w:lang w:val="en-AU" w:eastAsia="en-AU"/>
        </w:rPr>
        <w:t xml:space="preserve">the </w:t>
      </w:r>
      <w:r w:rsidR="00C0725E">
        <w:rPr>
          <w:lang w:val="en-AU" w:eastAsia="en-AU"/>
        </w:rPr>
        <w:t>Department</w:t>
      </w:r>
      <w:r w:rsidR="00F87649" w:rsidRPr="00034CC0">
        <w:rPr>
          <w:lang w:val="en-AU" w:eastAsia="en-AU"/>
        </w:rPr>
        <w:t xml:space="preserve"> will action</w:t>
      </w:r>
      <w:r w:rsidR="00F87649" w:rsidRPr="00F87649">
        <w:rPr>
          <w:lang w:val="en-AU" w:eastAsia="en-AU"/>
        </w:rPr>
        <w:t xml:space="preserve"> in </w:t>
      </w:r>
      <w:r w:rsidR="00F66FEF">
        <w:rPr>
          <w:lang w:val="en-AU" w:eastAsia="en-AU"/>
        </w:rPr>
        <w:t xml:space="preserve">the </w:t>
      </w:r>
      <w:r w:rsidR="00F87649" w:rsidRPr="00F87649">
        <w:rPr>
          <w:lang w:val="en-AU" w:eastAsia="en-AU"/>
        </w:rPr>
        <w:t xml:space="preserve">correct pathway without </w:t>
      </w:r>
      <w:r w:rsidR="00227AE8">
        <w:rPr>
          <w:lang w:val="en-AU" w:eastAsia="en-AU"/>
        </w:rPr>
        <w:t xml:space="preserve">any </w:t>
      </w:r>
      <w:r w:rsidR="00F87649" w:rsidRPr="00F87649">
        <w:rPr>
          <w:lang w:val="en-AU" w:eastAsia="en-AU"/>
        </w:rPr>
        <w:t xml:space="preserve">additional cost to re-submit if </w:t>
      </w:r>
      <w:r w:rsidR="00F66FEF">
        <w:rPr>
          <w:lang w:val="en-AU" w:eastAsia="en-AU"/>
        </w:rPr>
        <w:t xml:space="preserve">the </w:t>
      </w:r>
      <w:r w:rsidR="00F87649" w:rsidRPr="00F87649">
        <w:rPr>
          <w:lang w:val="en-AU" w:eastAsia="en-AU"/>
        </w:rPr>
        <w:t>incorrect pathway is chosen.</w:t>
      </w:r>
    </w:p>
    <w:p w14:paraId="7F17A6F5" w14:textId="11AE2321" w:rsidR="006A7092" w:rsidRDefault="00825FBF" w:rsidP="009875B0">
      <w:pPr>
        <w:rPr>
          <w:lang w:val="en-AU" w:eastAsia="en-AU"/>
        </w:rPr>
      </w:pPr>
      <w:r>
        <w:rPr>
          <w:lang w:val="en-AU" w:eastAsia="en-AU"/>
        </w:rPr>
        <w:t>While these interim arrangements may result</w:t>
      </w:r>
      <w:r w:rsidR="001E74AB">
        <w:rPr>
          <w:lang w:val="en-AU" w:eastAsia="en-AU"/>
        </w:rPr>
        <w:t xml:space="preserve"> in</w:t>
      </w:r>
      <w:r w:rsidR="00131696">
        <w:rPr>
          <w:lang w:val="en-AU" w:eastAsia="en-AU"/>
        </w:rPr>
        <w:t xml:space="preserve"> </w:t>
      </w:r>
      <w:r>
        <w:rPr>
          <w:lang w:val="en-AU" w:eastAsia="en-AU"/>
        </w:rPr>
        <w:t>additional administrative burden for the Department</w:t>
      </w:r>
      <w:r w:rsidR="0061249D">
        <w:rPr>
          <w:lang w:val="en-AU" w:eastAsia="en-AU"/>
        </w:rPr>
        <w:t xml:space="preserve">, as incorrectly </w:t>
      </w:r>
      <w:r w:rsidR="007808DC">
        <w:rPr>
          <w:lang w:val="en-AU" w:eastAsia="en-AU"/>
        </w:rPr>
        <w:t>submitted applications</w:t>
      </w:r>
      <w:r w:rsidR="003E245D">
        <w:rPr>
          <w:lang w:val="en-AU" w:eastAsia="en-AU"/>
        </w:rPr>
        <w:t xml:space="preserve"> do no</w:t>
      </w:r>
      <w:r w:rsidR="009875B0">
        <w:rPr>
          <w:lang w:val="en-AU" w:eastAsia="en-AU"/>
        </w:rPr>
        <w:t>t</w:t>
      </w:r>
      <w:r w:rsidR="003E245D">
        <w:rPr>
          <w:lang w:val="en-AU" w:eastAsia="en-AU"/>
        </w:rPr>
        <w:t xml:space="preserve"> attract </w:t>
      </w:r>
      <w:r w:rsidR="007808DC">
        <w:rPr>
          <w:lang w:val="en-AU" w:eastAsia="en-AU"/>
        </w:rPr>
        <w:t>additional cost recovery</w:t>
      </w:r>
      <w:r w:rsidR="0087440B">
        <w:rPr>
          <w:lang w:val="en-AU" w:eastAsia="en-AU"/>
        </w:rPr>
        <w:t xml:space="preserve">, they may equally assist in alleviating the administrative burden of sponsors learning </w:t>
      </w:r>
      <w:r w:rsidR="00131696">
        <w:rPr>
          <w:lang w:val="en-AU" w:eastAsia="en-AU"/>
        </w:rPr>
        <w:t xml:space="preserve">to </w:t>
      </w:r>
      <w:r w:rsidR="0087440B">
        <w:rPr>
          <w:lang w:val="en-AU" w:eastAsia="en-AU"/>
        </w:rPr>
        <w:t>navigat</w:t>
      </w:r>
      <w:r w:rsidR="00131696">
        <w:rPr>
          <w:lang w:val="en-AU" w:eastAsia="en-AU"/>
        </w:rPr>
        <w:t xml:space="preserve">e </w:t>
      </w:r>
      <w:r w:rsidR="0087440B">
        <w:rPr>
          <w:lang w:val="en-AU" w:eastAsia="en-AU"/>
        </w:rPr>
        <w:t xml:space="preserve">the new </w:t>
      </w:r>
      <w:r w:rsidR="00131696">
        <w:rPr>
          <w:lang w:val="en-AU" w:eastAsia="en-AU"/>
        </w:rPr>
        <w:t>pathways and system.</w:t>
      </w:r>
      <w:r w:rsidR="009E5B90">
        <w:rPr>
          <w:lang w:val="en-AU" w:eastAsia="en-AU"/>
        </w:rPr>
        <w:t xml:space="preserve"> </w:t>
      </w:r>
      <w:r w:rsidR="003476A6">
        <w:rPr>
          <w:lang w:val="en-AU" w:eastAsia="en-AU"/>
        </w:rPr>
        <w:t>Attune</w:t>
      </w:r>
      <w:r w:rsidR="009847B1">
        <w:rPr>
          <w:lang w:val="en-AU" w:eastAsia="en-AU"/>
        </w:rPr>
        <w:t>d</w:t>
      </w:r>
      <w:r w:rsidR="003476A6">
        <w:rPr>
          <w:lang w:val="en-AU" w:eastAsia="en-AU"/>
        </w:rPr>
        <w:t xml:space="preserve"> to emerging application volumes</w:t>
      </w:r>
      <w:r w:rsidR="002D5B34">
        <w:rPr>
          <w:lang w:val="en-AU" w:eastAsia="en-AU"/>
        </w:rPr>
        <w:t>, t</w:t>
      </w:r>
      <w:r w:rsidR="006A7092">
        <w:rPr>
          <w:lang w:val="en-AU" w:eastAsia="en-AU"/>
        </w:rPr>
        <w:t xml:space="preserve">he Department should </w:t>
      </w:r>
      <w:r w:rsidR="00926178">
        <w:rPr>
          <w:lang w:val="en-AU" w:eastAsia="en-AU"/>
        </w:rPr>
        <w:t xml:space="preserve">carefully consider when to move </w:t>
      </w:r>
      <w:r w:rsidR="004B1A74">
        <w:rPr>
          <w:lang w:val="en-AU" w:eastAsia="en-AU"/>
        </w:rPr>
        <w:t xml:space="preserve">onto the </w:t>
      </w:r>
      <w:r w:rsidR="002D5B34">
        <w:rPr>
          <w:lang w:val="en-AU" w:eastAsia="en-AU"/>
        </w:rPr>
        <w:t xml:space="preserve">standard </w:t>
      </w:r>
      <w:r w:rsidR="004B1A74">
        <w:rPr>
          <w:lang w:val="en-AU" w:eastAsia="en-AU"/>
        </w:rPr>
        <w:t xml:space="preserve">arrangements outlined </w:t>
      </w:r>
      <w:r w:rsidR="00021046">
        <w:rPr>
          <w:lang w:val="en-AU" w:eastAsia="en-AU"/>
        </w:rPr>
        <w:t>in the draft PL Guide.</w:t>
      </w:r>
    </w:p>
    <w:p w14:paraId="042B4A7B" w14:textId="1EBCA2E1" w:rsidR="009326D0" w:rsidRDefault="00FF4AE2" w:rsidP="00034CC0">
      <w:pPr>
        <w:pStyle w:val="Heading4"/>
      </w:pPr>
      <w:r>
        <w:t xml:space="preserve">Governance arrangements </w:t>
      </w:r>
      <w:r w:rsidR="00480A75">
        <w:t>were</w:t>
      </w:r>
      <w:r>
        <w:t xml:space="preserve"> reviewed and </w:t>
      </w:r>
      <w:r w:rsidR="00480A75">
        <w:t>underwent changes</w:t>
      </w:r>
    </w:p>
    <w:p w14:paraId="3BDCD2FA" w14:textId="025DD9D8" w:rsidR="002C3A61" w:rsidRDefault="006230F7" w:rsidP="00A14BAB">
      <w:r>
        <w:t>The Department intended r</w:t>
      </w:r>
      <w:r w:rsidR="00E10A09">
        <w:t>eform</w:t>
      </w:r>
      <w:r>
        <w:t>s</w:t>
      </w:r>
      <w:r w:rsidR="00E10A09">
        <w:t xml:space="preserve"> </w:t>
      </w:r>
      <w:r>
        <w:t xml:space="preserve">to </w:t>
      </w:r>
      <w:r w:rsidR="009326D0" w:rsidRPr="002C3A61">
        <w:t>governance</w:t>
      </w:r>
      <w:r w:rsidR="00E10A09">
        <w:t xml:space="preserve"> arrangement</w:t>
      </w:r>
      <w:r>
        <w:t>s</w:t>
      </w:r>
      <w:r w:rsidR="00E10A09">
        <w:t xml:space="preserve"> surrounding the </w:t>
      </w:r>
      <w:r w:rsidR="00F2747A">
        <w:t>processing of</w:t>
      </w:r>
      <w:r w:rsidR="009326D0" w:rsidRPr="002C3A61">
        <w:t xml:space="preserve"> applications </w:t>
      </w:r>
      <w:r w:rsidR="00000D8E">
        <w:t>to increase</w:t>
      </w:r>
      <w:r w:rsidR="009326D0" w:rsidRPr="002C3A61">
        <w:t xml:space="preserve"> the effectiveness </w:t>
      </w:r>
      <w:r w:rsidR="00000D8E">
        <w:t xml:space="preserve">and efficiency </w:t>
      </w:r>
      <w:r w:rsidR="009326D0" w:rsidRPr="002C3A61">
        <w:t>of</w:t>
      </w:r>
      <w:r w:rsidR="00F2747A">
        <w:t xml:space="preserve"> its</w:t>
      </w:r>
      <w:r w:rsidR="009326D0" w:rsidRPr="002C3A61">
        <w:t xml:space="preserve"> assessments.</w:t>
      </w:r>
      <w:r w:rsidR="00E65386" w:rsidRPr="002C3A61">
        <w:t xml:space="preserve"> This </w:t>
      </w:r>
      <w:r w:rsidR="002F75FD">
        <w:t>would affect th</w:t>
      </w:r>
      <w:r w:rsidR="00E65386" w:rsidRPr="002C3A61">
        <w:t xml:space="preserve">e role, function and membership of the </w:t>
      </w:r>
      <w:r w:rsidR="00D613F7" w:rsidRPr="002C3A61">
        <w:t>Prostheses List Advisory Committee</w:t>
      </w:r>
      <w:r w:rsidR="00D938DB">
        <w:t xml:space="preserve"> (</w:t>
      </w:r>
      <w:r w:rsidR="00E65386" w:rsidRPr="002C3A61">
        <w:t>PLAC</w:t>
      </w:r>
      <w:r w:rsidR="00D938DB">
        <w:t>)</w:t>
      </w:r>
      <w:r w:rsidR="00E65386" w:rsidRPr="002C3A61">
        <w:t xml:space="preserve">, and its subcommittees. </w:t>
      </w:r>
      <w:r w:rsidR="00BF19D5" w:rsidRPr="002C3A61">
        <w:t>The reform</w:t>
      </w:r>
      <w:r w:rsidR="002F75FD">
        <w:t>s</w:t>
      </w:r>
      <w:r w:rsidR="00BF19D5" w:rsidRPr="002C3A61">
        <w:t xml:space="preserve"> set out to </w:t>
      </w:r>
      <w:r w:rsidR="00696FD4" w:rsidRPr="002C3A61">
        <w:t xml:space="preserve">ensure there was the right </w:t>
      </w:r>
      <w:r w:rsidR="00BB01F3" w:rsidRPr="002C3A61">
        <w:t xml:space="preserve">level of clinical expertise </w:t>
      </w:r>
      <w:r w:rsidR="00696FD4" w:rsidRPr="002C3A61">
        <w:t>available for the</w:t>
      </w:r>
      <w:r w:rsidR="00BB01F3" w:rsidRPr="002C3A61">
        <w:t xml:space="preserve"> consideration of each </w:t>
      </w:r>
      <w:r w:rsidR="0005243F" w:rsidRPr="002C3A61">
        <w:t>application and</w:t>
      </w:r>
      <w:r w:rsidR="00BB01F3" w:rsidRPr="002C3A61">
        <w:t xml:space="preserve"> </w:t>
      </w:r>
      <w:r w:rsidR="00C878FA" w:rsidRPr="002C3A61">
        <w:t xml:space="preserve">to enhance </w:t>
      </w:r>
      <w:r w:rsidR="00BB01F3" w:rsidRPr="002C3A61">
        <w:t xml:space="preserve">collaboration and knowledge sharing within groups involved in the assessment process. </w:t>
      </w:r>
    </w:p>
    <w:p w14:paraId="0DBC2443" w14:textId="3E35D5FA" w:rsidR="00224C05" w:rsidRDefault="00511429" w:rsidP="00A14BAB">
      <w:pPr>
        <w:rPr>
          <w:lang w:eastAsia="en-AU"/>
        </w:rPr>
      </w:pPr>
      <w:r w:rsidRPr="00511429">
        <w:rPr>
          <w:lang w:eastAsia="en-AU"/>
        </w:rPr>
        <w:t xml:space="preserve">On 17 January 2023, the Minister announced new PL governance arrangements to transition the </w:t>
      </w:r>
      <w:r w:rsidR="00D938DB">
        <w:rPr>
          <w:lang w:eastAsia="en-AU"/>
        </w:rPr>
        <w:t>PLAC</w:t>
      </w:r>
      <w:r w:rsidRPr="00511429">
        <w:rPr>
          <w:lang w:eastAsia="en-AU"/>
        </w:rPr>
        <w:t xml:space="preserve"> to the Medical Devices and Human Tissue Advisory Committee (MDHTAC)</w:t>
      </w:r>
      <w:r w:rsidR="00224C05">
        <w:rPr>
          <w:lang w:eastAsia="en-AU"/>
        </w:rPr>
        <w:t xml:space="preserve">, following </w:t>
      </w:r>
      <w:r w:rsidR="00265926">
        <w:rPr>
          <w:lang w:eastAsia="en-AU"/>
        </w:rPr>
        <w:t xml:space="preserve">two reviews into </w:t>
      </w:r>
      <w:r w:rsidR="00265926">
        <w:t>governance arrangements and application assessment pathways of the PL.</w:t>
      </w:r>
      <w:r w:rsidR="00224C05">
        <w:rPr>
          <w:lang w:eastAsia="en-AU"/>
        </w:rPr>
        <w:t xml:space="preserve"> </w:t>
      </w:r>
      <w:r w:rsidR="002C3A61">
        <w:rPr>
          <w:lang w:eastAsia="en-AU"/>
        </w:rPr>
        <w:t xml:space="preserve">This timeline </w:t>
      </w:r>
      <w:r w:rsidR="00C53400">
        <w:rPr>
          <w:lang w:eastAsia="en-AU"/>
        </w:rPr>
        <w:t xml:space="preserve">of changes to </w:t>
      </w:r>
      <w:r w:rsidR="0023576C">
        <w:rPr>
          <w:lang w:eastAsia="en-AU"/>
        </w:rPr>
        <w:t xml:space="preserve">these </w:t>
      </w:r>
      <w:r w:rsidR="00D40DB4">
        <w:rPr>
          <w:lang w:eastAsia="en-AU"/>
        </w:rPr>
        <w:t>processes</w:t>
      </w:r>
      <w:r w:rsidR="00A85CD1">
        <w:rPr>
          <w:lang w:eastAsia="en-AU"/>
        </w:rPr>
        <w:t xml:space="preserve"> are</w:t>
      </w:r>
      <w:r w:rsidR="002C3A61">
        <w:rPr>
          <w:lang w:eastAsia="en-AU"/>
        </w:rPr>
        <w:t xml:space="preserve"> set out further in </w:t>
      </w:r>
      <w:r w:rsidR="002C3A61">
        <w:rPr>
          <w:lang w:eastAsia="en-AU"/>
        </w:rPr>
        <w:fldChar w:fldCharType="begin"/>
      </w:r>
      <w:r w:rsidR="002C3A61">
        <w:rPr>
          <w:lang w:eastAsia="en-AU"/>
        </w:rPr>
        <w:instrText xml:space="preserve"> REF _Ref172291146 \h </w:instrText>
      </w:r>
      <w:r w:rsidR="002C3A61">
        <w:rPr>
          <w:lang w:eastAsia="en-AU"/>
        </w:rPr>
      </w:r>
      <w:r w:rsidR="002C3A61">
        <w:rPr>
          <w:lang w:eastAsia="en-AU"/>
        </w:rPr>
        <w:fldChar w:fldCharType="separate"/>
      </w:r>
      <w:r w:rsidR="009B5D8D">
        <w:t xml:space="preserve">Figure </w:t>
      </w:r>
      <w:r w:rsidR="009B5D8D">
        <w:rPr>
          <w:noProof/>
        </w:rPr>
        <w:t>23</w:t>
      </w:r>
      <w:r w:rsidR="002C3A61">
        <w:rPr>
          <w:lang w:eastAsia="en-AU"/>
        </w:rPr>
        <w:fldChar w:fldCharType="end"/>
      </w:r>
      <w:r w:rsidR="002C3A61">
        <w:rPr>
          <w:lang w:eastAsia="en-AU"/>
        </w:rPr>
        <w:t xml:space="preserve"> below.</w:t>
      </w:r>
    </w:p>
    <w:p w14:paraId="745D45E4" w14:textId="041D73B7" w:rsidR="000006C0" w:rsidRDefault="008B5DD5" w:rsidP="00F00768">
      <w:pPr>
        <w:pStyle w:val="Caption"/>
      </w:pPr>
      <w:bookmarkStart w:id="79" w:name="_Ref172291146"/>
      <w:bookmarkStart w:id="80" w:name="_Ref172291142"/>
      <w:r>
        <w:lastRenderedPageBreak/>
        <w:t xml:space="preserve">Figure </w:t>
      </w:r>
      <w:r>
        <w:fldChar w:fldCharType="begin"/>
      </w:r>
      <w:r>
        <w:instrText xml:space="preserve"> SEQ Figure \* ARABIC </w:instrText>
      </w:r>
      <w:r>
        <w:fldChar w:fldCharType="separate"/>
      </w:r>
      <w:r w:rsidR="009B5D8D">
        <w:rPr>
          <w:noProof/>
        </w:rPr>
        <w:t>23</w:t>
      </w:r>
      <w:r>
        <w:fldChar w:fldCharType="end"/>
      </w:r>
      <w:bookmarkEnd w:id="79"/>
      <w:r>
        <w:t xml:space="preserve"> | </w:t>
      </w:r>
      <w:r w:rsidR="0016257C">
        <w:t xml:space="preserve">Timeline </w:t>
      </w:r>
      <w:r w:rsidR="003A78E1">
        <w:t>of changes to governance arrangements</w:t>
      </w:r>
      <w:r w:rsidR="00265926">
        <w:t xml:space="preserve"> and application assessment pathways</w:t>
      </w:r>
      <w:bookmarkEnd w:id="80"/>
      <w:r w:rsidR="00906017">
        <w:rPr>
          <w:lang w:eastAsia="en-AU"/>
        </w:rPr>
        <w:t xml:space="preserve"> </w:t>
      </w:r>
      <w:r w:rsidR="00607E5A">
        <w:rPr>
          <w:lang w:eastAsia="en-AU"/>
        </w:rPr>
        <w:t xml:space="preserve"> </w:t>
      </w:r>
    </w:p>
    <w:p w14:paraId="18AAB811" w14:textId="7C86A447" w:rsidR="00F00768" w:rsidRDefault="00F00768" w:rsidP="0076087F">
      <w:pPr>
        <w:rPr>
          <w:lang w:val="en-AU"/>
        </w:rPr>
      </w:pPr>
      <w:r w:rsidRPr="00F00768">
        <w:rPr>
          <w:noProof/>
          <w:lang w:val="en-AU"/>
        </w:rPr>
        <w:drawing>
          <wp:inline distT="0" distB="0" distL="0" distR="0" wp14:anchorId="545934B3" wp14:editId="27FF8A84">
            <wp:extent cx="5760085" cy="3417570"/>
            <wp:effectExtent l="0" t="0" r="0" b="0"/>
            <wp:docPr id="1170356674" name="Picture 1" descr="A figure showing the timeline of changes to government arrangements and application assessment pathways. Key dates for each of these are displayed from initial EY consultation in Aug 2021 through to transition to new online application pathway on 11 Sep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6674" name="Picture 1" descr="A figure showing the timeline of changes to government arrangements and application assessment pathways. Key dates for each of these are displayed from initial EY consultation in Aug 2021 through to transition to new online application pathway on 11 Sept 2023."/>
                    <pic:cNvPicPr/>
                  </pic:nvPicPr>
                  <pic:blipFill>
                    <a:blip r:embed="rId60"/>
                    <a:stretch>
                      <a:fillRect/>
                    </a:stretch>
                  </pic:blipFill>
                  <pic:spPr>
                    <a:xfrm>
                      <a:off x="0" y="0"/>
                      <a:ext cx="5760085" cy="3417570"/>
                    </a:xfrm>
                    <a:prstGeom prst="rect">
                      <a:avLst/>
                    </a:prstGeom>
                  </pic:spPr>
                </pic:pic>
              </a:graphicData>
            </a:graphic>
          </wp:inline>
        </w:drawing>
      </w:r>
    </w:p>
    <w:p w14:paraId="4A7B7988" w14:textId="2E5E45D4" w:rsidR="00166B16" w:rsidRPr="00265926" w:rsidRDefault="00265926" w:rsidP="0076087F">
      <w:pPr>
        <w:rPr>
          <w:lang w:eastAsia="en-AU"/>
        </w:rPr>
      </w:pPr>
      <w:r w:rsidRPr="00511429">
        <w:rPr>
          <w:lang w:eastAsia="en-AU"/>
        </w:rPr>
        <w:t xml:space="preserve">The MDHTAC commenced </w:t>
      </w:r>
      <w:r w:rsidR="00E2227F">
        <w:rPr>
          <w:lang w:eastAsia="en-AU"/>
        </w:rPr>
        <w:t>on</w:t>
      </w:r>
      <w:r w:rsidRPr="00511429">
        <w:rPr>
          <w:lang w:eastAsia="en-AU"/>
        </w:rPr>
        <w:t xml:space="preserve"> 1 July 2023 and meet</w:t>
      </w:r>
      <w:r>
        <w:rPr>
          <w:lang w:eastAsia="en-AU"/>
        </w:rPr>
        <w:t>s</w:t>
      </w:r>
      <w:r w:rsidRPr="00511429">
        <w:rPr>
          <w:lang w:eastAsia="en-AU"/>
        </w:rPr>
        <w:t xml:space="preserve"> three times </w:t>
      </w:r>
      <w:r>
        <w:rPr>
          <w:lang w:eastAsia="en-AU"/>
        </w:rPr>
        <w:t>per</w:t>
      </w:r>
      <w:r w:rsidRPr="00511429">
        <w:rPr>
          <w:lang w:eastAsia="en-AU"/>
        </w:rPr>
        <w:t xml:space="preserve"> year</w:t>
      </w:r>
      <w:r>
        <w:rPr>
          <w:bCs/>
          <w:lang w:eastAsia="en-AU"/>
        </w:rPr>
        <w:t xml:space="preserve">. </w:t>
      </w:r>
      <w:r w:rsidR="005A5672">
        <w:rPr>
          <w:lang w:val="en-AU" w:eastAsia="en-AU"/>
        </w:rPr>
        <w:t xml:space="preserve">The </w:t>
      </w:r>
      <w:r w:rsidR="00F91EC1">
        <w:rPr>
          <w:lang w:val="en-AU" w:eastAsia="en-AU"/>
        </w:rPr>
        <w:t xml:space="preserve">primary role of the </w:t>
      </w:r>
      <w:r w:rsidR="00166B16">
        <w:rPr>
          <w:lang w:val="en-AU" w:eastAsia="en-AU"/>
        </w:rPr>
        <w:t xml:space="preserve">MDHTAC </w:t>
      </w:r>
      <w:r w:rsidR="00F91EC1">
        <w:rPr>
          <w:lang w:val="en-AU" w:eastAsia="en-AU"/>
        </w:rPr>
        <w:t xml:space="preserve">is consistent with the previous </w:t>
      </w:r>
      <w:r w:rsidR="001677F0">
        <w:rPr>
          <w:lang w:val="en-AU" w:eastAsia="en-AU"/>
        </w:rPr>
        <w:t>PLAC</w:t>
      </w:r>
      <w:r w:rsidR="00F91EC1">
        <w:rPr>
          <w:lang w:val="en-AU" w:eastAsia="en-AU"/>
        </w:rPr>
        <w:t>, in that it exists to make recommendations</w:t>
      </w:r>
      <w:r w:rsidR="00B94691">
        <w:rPr>
          <w:lang w:val="en-AU" w:eastAsia="en-AU"/>
        </w:rPr>
        <w:t xml:space="preserve"> and advice</w:t>
      </w:r>
      <w:r w:rsidR="00F91EC1">
        <w:rPr>
          <w:lang w:val="en-AU" w:eastAsia="en-AU"/>
        </w:rPr>
        <w:t xml:space="preserve"> to the Minister </w:t>
      </w:r>
      <w:r w:rsidR="00B94691">
        <w:rPr>
          <w:lang w:val="en-AU" w:eastAsia="en-AU"/>
        </w:rPr>
        <w:t xml:space="preserve">about the </w:t>
      </w:r>
      <w:r w:rsidR="00B94691" w:rsidRPr="00B94691">
        <w:rPr>
          <w:lang w:val="en-AU" w:eastAsia="en-AU"/>
        </w:rPr>
        <w:t xml:space="preserve">comparative clinical effectiveness and cost effectiveness of medical devices and human tissue products on the </w:t>
      </w:r>
      <w:r w:rsidR="00D938DB">
        <w:rPr>
          <w:lang w:val="en-AU" w:eastAsia="en-AU"/>
        </w:rPr>
        <w:t>Prescribed List,</w:t>
      </w:r>
      <w:r w:rsidR="00B94691" w:rsidRPr="00B94691">
        <w:rPr>
          <w:lang w:val="en-AU" w:eastAsia="en-AU"/>
        </w:rPr>
        <w:t xml:space="preserve"> and the benefits payable by private health insurers.</w:t>
      </w:r>
      <w:r w:rsidR="009C2473">
        <w:rPr>
          <w:lang w:val="en-AU" w:eastAsia="en-AU"/>
        </w:rPr>
        <w:t xml:space="preserve"> </w:t>
      </w:r>
    </w:p>
    <w:p w14:paraId="04CF3E74" w14:textId="29AC54A5" w:rsidR="000E0F4A" w:rsidRDefault="00E47858" w:rsidP="000E0F4A">
      <w:pPr>
        <w:rPr>
          <w:lang w:val="en-AU" w:eastAsia="en-AU"/>
        </w:rPr>
      </w:pPr>
      <w:r>
        <w:rPr>
          <w:lang w:val="en-AU" w:eastAsia="en-AU"/>
        </w:rPr>
        <w:t xml:space="preserve">The modernised structure of the MDHTAC was intended to include a larger number of clinical experts </w:t>
      </w:r>
      <w:r w:rsidR="00485F63">
        <w:rPr>
          <w:lang w:val="en-AU" w:eastAsia="en-AU"/>
        </w:rPr>
        <w:t>to strengthen advice provided to Government.</w:t>
      </w:r>
      <w:r w:rsidR="00485F63">
        <w:rPr>
          <w:rStyle w:val="FootnoteReference"/>
          <w:lang w:val="en-AU" w:eastAsia="en-AU"/>
        </w:rPr>
        <w:footnoteReference w:id="88"/>
      </w:r>
      <w:r w:rsidR="00485F63">
        <w:rPr>
          <w:lang w:val="en-AU" w:eastAsia="en-AU"/>
        </w:rPr>
        <w:t xml:space="preserve"> The </w:t>
      </w:r>
      <w:r w:rsidR="000E1B34">
        <w:rPr>
          <w:lang w:val="en-AU" w:eastAsia="en-AU"/>
        </w:rPr>
        <w:t xml:space="preserve">committee is ministerially appointed, consisting of a Chair, six chairs of newly restructured </w:t>
      </w:r>
      <w:r w:rsidR="002376BB">
        <w:rPr>
          <w:lang w:val="en-AU" w:eastAsia="en-AU"/>
        </w:rPr>
        <w:t xml:space="preserve">Expert </w:t>
      </w:r>
      <w:r w:rsidR="00352D15">
        <w:rPr>
          <w:lang w:val="en-AU" w:eastAsia="en-AU"/>
        </w:rPr>
        <w:t>Clinical</w:t>
      </w:r>
      <w:r w:rsidR="002376BB">
        <w:rPr>
          <w:lang w:val="en-AU" w:eastAsia="en-AU"/>
        </w:rPr>
        <w:t xml:space="preserve"> Advisory Groups (ECAGs)</w:t>
      </w:r>
      <w:r w:rsidR="000E1B34">
        <w:rPr>
          <w:lang w:val="en-AU" w:eastAsia="en-AU"/>
        </w:rPr>
        <w:t>,</w:t>
      </w:r>
      <w:r w:rsidR="00352D15">
        <w:rPr>
          <w:lang w:val="en-AU" w:eastAsia="en-AU"/>
        </w:rPr>
        <w:t xml:space="preserve"> </w:t>
      </w:r>
      <w:r w:rsidR="00352D15" w:rsidRPr="00352D15">
        <w:rPr>
          <w:lang w:val="en-AU" w:eastAsia="en-AU"/>
        </w:rPr>
        <w:t>up to two independent members with expertise in the medical technology and/or HTA</w:t>
      </w:r>
      <w:r w:rsidR="000E1B34">
        <w:rPr>
          <w:lang w:val="en-AU" w:eastAsia="en-AU"/>
        </w:rPr>
        <w:t>,</w:t>
      </w:r>
      <w:r w:rsidR="00352D15" w:rsidRPr="00352D15">
        <w:rPr>
          <w:lang w:val="en-AU" w:eastAsia="en-AU"/>
        </w:rPr>
        <w:t xml:space="preserve"> who are not members of any of the ECAGs, and a consumer member.</w:t>
      </w:r>
      <w:r w:rsidR="00FA29A4" w:rsidRPr="00FA29A4">
        <w:rPr>
          <w:lang w:val="en-AU" w:eastAsia="en-AU"/>
        </w:rPr>
        <w:t xml:space="preserve"> MDHTAC deliberations and recommendations are recorded in Minutes, however they are not published as the information considered by the MDHTAC and its subcommittees is commercial-in-confidenc</w:t>
      </w:r>
      <w:r w:rsidR="000E0F4A">
        <w:rPr>
          <w:lang w:val="en-AU" w:eastAsia="en-AU"/>
        </w:rPr>
        <w:t xml:space="preserve">e. </w:t>
      </w:r>
    </w:p>
    <w:p w14:paraId="2822672F" w14:textId="575F3FB9" w:rsidR="00352D15" w:rsidRPr="000E0F4A" w:rsidRDefault="0049006E" w:rsidP="000E0F4A">
      <w:pPr>
        <w:rPr>
          <w:lang w:val="en-AU" w:eastAsia="en-AU"/>
        </w:rPr>
      </w:pPr>
      <w:r>
        <w:rPr>
          <w:lang w:val="en-AU" w:eastAsia="en-AU"/>
        </w:rPr>
        <w:t xml:space="preserve">The </w:t>
      </w:r>
      <w:r w:rsidR="000E0F4A">
        <w:rPr>
          <w:lang w:val="en-AU" w:eastAsia="en-AU"/>
        </w:rPr>
        <w:t xml:space="preserve">ECAGs function as a </w:t>
      </w:r>
      <w:r w:rsidR="00FB0034">
        <w:rPr>
          <w:lang w:val="en-AU" w:eastAsia="en-AU"/>
        </w:rPr>
        <w:t>s</w:t>
      </w:r>
      <w:r w:rsidR="00FB0034" w:rsidRPr="000E0F4A">
        <w:rPr>
          <w:lang w:val="en-AU" w:eastAsia="en-AU"/>
        </w:rPr>
        <w:t>ub-committee</w:t>
      </w:r>
      <w:r w:rsidR="00F66B94" w:rsidRPr="000E0F4A">
        <w:rPr>
          <w:lang w:val="en-AU" w:eastAsia="en-AU"/>
        </w:rPr>
        <w:t xml:space="preserve"> of the MDHTAC, with membership intended to be reflective of </w:t>
      </w:r>
      <w:r w:rsidR="00AE1245" w:rsidRPr="000E0F4A">
        <w:rPr>
          <w:lang w:val="en-AU" w:eastAsia="en-AU"/>
        </w:rPr>
        <w:t xml:space="preserve">a broad cross section of </w:t>
      </w:r>
      <w:r w:rsidR="00120269" w:rsidRPr="000E0F4A">
        <w:rPr>
          <w:lang w:val="en-AU" w:eastAsia="en-AU"/>
        </w:rPr>
        <w:t>clinical</w:t>
      </w:r>
      <w:r w:rsidR="00AE1245" w:rsidRPr="000E0F4A">
        <w:rPr>
          <w:lang w:val="en-AU" w:eastAsia="en-AU"/>
        </w:rPr>
        <w:t xml:space="preserve"> practice in Australia</w:t>
      </w:r>
      <w:r w:rsidR="00FB0034">
        <w:rPr>
          <w:lang w:val="en-AU" w:eastAsia="en-AU"/>
        </w:rPr>
        <w:t xml:space="preserve">. </w:t>
      </w:r>
      <w:r w:rsidR="00FB0034" w:rsidRPr="000E0F4A">
        <w:rPr>
          <w:lang w:val="en-AU" w:eastAsia="en-AU"/>
        </w:rPr>
        <w:t xml:space="preserve">ECAG </w:t>
      </w:r>
      <w:r w:rsidR="00FB0034">
        <w:rPr>
          <w:lang w:val="en-AU" w:eastAsia="en-AU"/>
        </w:rPr>
        <w:t>C</w:t>
      </w:r>
      <w:r w:rsidR="00FB0034" w:rsidRPr="000E0F4A">
        <w:rPr>
          <w:lang w:val="en-AU" w:eastAsia="en-AU"/>
        </w:rPr>
        <w:t>hairs provide a connection between the MDHTAC and the respective ECAG, with each</w:t>
      </w:r>
      <w:r w:rsidR="00FB0034">
        <w:rPr>
          <w:lang w:val="en-AU" w:eastAsia="en-AU"/>
        </w:rPr>
        <w:t xml:space="preserve"> C</w:t>
      </w:r>
      <w:r w:rsidR="00FB0034" w:rsidRPr="000E0F4A">
        <w:rPr>
          <w:lang w:val="en-AU" w:eastAsia="en-AU"/>
        </w:rPr>
        <w:t>hair leading matters of discussion related to their ECAG.</w:t>
      </w:r>
    </w:p>
    <w:p w14:paraId="107D52EF" w14:textId="7ECF2D26" w:rsidR="00AE1245" w:rsidRPr="000E0F4A" w:rsidRDefault="000E0F4A" w:rsidP="000E0F4A">
      <w:pPr>
        <w:rPr>
          <w:lang w:val="en-AU" w:eastAsia="en-AU"/>
        </w:rPr>
      </w:pPr>
      <w:r>
        <w:rPr>
          <w:lang w:val="en-AU" w:eastAsia="en-AU"/>
        </w:rPr>
        <w:t xml:space="preserve">Under the updated governance structure, there </w:t>
      </w:r>
      <w:r w:rsidR="00AE1245" w:rsidRPr="000E0F4A">
        <w:rPr>
          <w:lang w:val="en-AU" w:eastAsia="en-AU"/>
        </w:rPr>
        <w:t>are six ECAGs</w:t>
      </w:r>
      <w:r>
        <w:rPr>
          <w:lang w:val="en-AU" w:eastAsia="en-AU"/>
        </w:rPr>
        <w:t xml:space="preserve">, organised </w:t>
      </w:r>
      <w:r w:rsidR="00FB0034">
        <w:rPr>
          <w:lang w:val="en-AU" w:eastAsia="en-AU"/>
        </w:rPr>
        <w:t xml:space="preserve">by </w:t>
      </w:r>
      <w:r w:rsidR="00AF2F1C">
        <w:rPr>
          <w:lang w:val="en-AU" w:eastAsia="en-AU"/>
        </w:rPr>
        <w:t>areas of specialty</w:t>
      </w:r>
      <w:r w:rsidR="00EA55D8">
        <w:rPr>
          <w:lang w:val="en-AU" w:eastAsia="en-AU"/>
        </w:rPr>
        <w:t>:</w:t>
      </w:r>
      <w:r w:rsidR="00AF2F1C">
        <w:rPr>
          <w:lang w:val="en-AU" w:eastAsia="en-AU"/>
        </w:rPr>
        <w:t xml:space="preserve"> </w:t>
      </w:r>
      <w:r w:rsidR="00FB0034">
        <w:rPr>
          <w:lang w:val="en-AU" w:eastAsia="en-AU"/>
        </w:rPr>
        <w:t xml:space="preserve"> </w:t>
      </w:r>
    </w:p>
    <w:p w14:paraId="5A4A34EA" w14:textId="1758F3F4" w:rsidR="00AE1245" w:rsidRDefault="00AE1245" w:rsidP="00F22E12">
      <w:pPr>
        <w:pStyle w:val="Bullet"/>
      </w:pPr>
      <w:r>
        <w:t>Specialist Orthopaedic (shoulder, ankle, upper limb and skeletal reconstruction)</w:t>
      </w:r>
    </w:p>
    <w:p w14:paraId="1ADC5D99" w14:textId="2AE49651" w:rsidR="00AE1245" w:rsidRDefault="00AE1245" w:rsidP="00F22E12">
      <w:pPr>
        <w:pStyle w:val="Bullet"/>
      </w:pPr>
      <w:r>
        <w:t>Hip and Knee</w:t>
      </w:r>
    </w:p>
    <w:p w14:paraId="00FF67C1" w14:textId="55417530" w:rsidR="00AE1245" w:rsidRDefault="00AE1245" w:rsidP="00F22E12">
      <w:pPr>
        <w:pStyle w:val="Bullet"/>
      </w:pPr>
      <w:r>
        <w:t>Ophthalmic</w:t>
      </w:r>
    </w:p>
    <w:p w14:paraId="7CF786BD" w14:textId="2A1E4528" w:rsidR="00AE1245" w:rsidRDefault="00AE1245" w:rsidP="00F22E12">
      <w:pPr>
        <w:pStyle w:val="Bullet"/>
      </w:pPr>
      <w:r>
        <w:t xml:space="preserve">Spinal and Neurosurgical </w:t>
      </w:r>
    </w:p>
    <w:p w14:paraId="1D942E6B" w14:textId="358B3008" w:rsidR="00AE1245" w:rsidRDefault="00120269" w:rsidP="00F22E12">
      <w:pPr>
        <w:pStyle w:val="Bullet"/>
      </w:pPr>
      <w:r>
        <w:t>Cardiovascular</w:t>
      </w:r>
      <w:r w:rsidR="00AE1245">
        <w:t xml:space="preserve"> (</w:t>
      </w:r>
      <w:r w:rsidR="0012572A">
        <w:t>c</w:t>
      </w:r>
      <w:r>
        <w:t>ardiac</w:t>
      </w:r>
      <w:r w:rsidR="00AE1245">
        <w:t>, cardiothoracic</w:t>
      </w:r>
      <w:r w:rsidR="0012572A">
        <w:t xml:space="preserve"> and</w:t>
      </w:r>
      <w:r w:rsidR="00AE1245">
        <w:t xml:space="preserve"> vascular) </w:t>
      </w:r>
    </w:p>
    <w:p w14:paraId="06E90A42" w14:textId="7827BB81" w:rsidR="00AE1245" w:rsidRDefault="00AE1245" w:rsidP="00F22E12">
      <w:pPr>
        <w:pStyle w:val="Bullet"/>
      </w:pPr>
      <w:r>
        <w:t xml:space="preserve">General </w:t>
      </w:r>
      <w:r w:rsidR="00120269">
        <w:t>Surgery</w:t>
      </w:r>
      <w:r>
        <w:t xml:space="preserve"> (</w:t>
      </w:r>
      <w:r w:rsidR="0012572A">
        <w:t>e</w:t>
      </w:r>
      <w:r>
        <w:t>ar, nose</w:t>
      </w:r>
      <w:r w:rsidR="00611EA0">
        <w:t xml:space="preserve"> and </w:t>
      </w:r>
      <w:r>
        <w:t>throat, plastic and reconstructive, urogenital and all other general surgery devices)</w:t>
      </w:r>
      <w:r w:rsidR="00F00768">
        <w:t>.</w:t>
      </w:r>
    </w:p>
    <w:p w14:paraId="1D80B4C0" w14:textId="760E633C" w:rsidR="00182665" w:rsidRDefault="00AF2F1C" w:rsidP="00C1069B">
      <w:pPr>
        <w:rPr>
          <w:lang w:val="en-AU" w:eastAsia="en-AU"/>
        </w:rPr>
      </w:pPr>
      <w:r>
        <w:rPr>
          <w:lang w:val="en-AU" w:eastAsia="en-AU"/>
        </w:rPr>
        <w:lastRenderedPageBreak/>
        <w:t xml:space="preserve">A key change from the PLAC to the MDHTAC was the removal </w:t>
      </w:r>
      <w:r w:rsidR="00FB22EF">
        <w:rPr>
          <w:lang w:val="en-AU" w:eastAsia="en-AU"/>
        </w:rPr>
        <w:t xml:space="preserve">of </w:t>
      </w:r>
      <w:r>
        <w:rPr>
          <w:lang w:val="en-AU" w:eastAsia="en-AU"/>
        </w:rPr>
        <w:t xml:space="preserve">industry representation from the committee. Previously, the PLAC structure allowed for </w:t>
      </w:r>
      <w:r w:rsidR="00BA3538">
        <w:rPr>
          <w:lang w:val="en-AU" w:eastAsia="en-AU"/>
        </w:rPr>
        <w:t xml:space="preserve">attendance by industry advisors </w:t>
      </w:r>
      <w:r>
        <w:rPr>
          <w:lang w:val="en-AU" w:eastAsia="en-AU"/>
        </w:rPr>
        <w:t>from the private health insurance</w:t>
      </w:r>
      <w:r w:rsidR="00B81468">
        <w:rPr>
          <w:lang w:val="en-AU" w:eastAsia="en-AU"/>
        </w:rPr>
        <w:t>, private hospital</w:t>
      </w:r>
      <w:r>
        <w:rPr>
          <w:lang w:val="en-AU" w:eastAsia="en-AU"/>
        </w:rPr>
        <w:t xml:space="preserve"> and medical device industries.</w:t>
      </w:r>
      <w:r w:rsidR="00831251">
        <w:rPr>
          <w:rStyle w:val="FootnoteReference"/>
          <w:lang w:val="en-AU" w:eastAsia="en-AU"/>
        </w:rPr>
        <w:footnoteReference w:id="89"/>
      </w:r>
    </w:p>
    <w:p w14:paraId="25ED6285" w14:textId="538706C5" w:rsidR="00C87CE7" w:rsidRPr="00EC1CF8" w:rsidRDefault="00FF1979" w:rsidP="00C87CE7">
      <w:pPr>
        <w:pStyle w:val="Heading3"/>
      </w:pPr>
      <w:bookmarkStart w:id="81" w:name="_Toc181405093"/>
      <w:r>
        <w:t xml:space="preserve">Assessment </w:t>
      </w:r>
      <w:r w:rsidR="00687AA1">
        <w:t>processes</w:t>
      </w:r>
      <w:r w:rsidR="00750CD6">
        <w:t xml:space="preserve"> post-reform</w:t>
      </w:r>
      <w:r>
        <w:t xml:space="preserve"> have </w:t>
      </w:r>
      <w:r w:rsidR="00750CD6">
        <w:t>improved</w:t>
      </w:r>
      <w:r w:rsidR="00871CE5">
        <w:t xml:space="preserve"> alignment with HTA principles</w:t>
      </w:r>
      <w:bookmarkEnd w:id="81"/>
    </w:p>
    <w:p w14:paraId="7EB2DCFE" w14:textId="3D107A37" w:rsidR="00C87CE7" w:rsidRPr="00C87CE7" w:rsidRDefault="00C87CE7" w:rsidP="00C87CE7">
      <w:pPr>
        <w:rPr>
          <w:lang w:val="en-AU" w:eastAsia="en-AU"/>
        </w:rPr>
      </w:pPr>
      <w:r w:rsidRPr="00C87CE7">
        <w:rPr>
          <w:lang w:val="en-AU" w:eastAsia="en-AU"/>
        </w:rPr>
        <w:t xml:space="preserve">The Department is guided by a set of Health Technology Assessment (HTA) principles that define the way that assessment processes like this should occur. The report </w:t>
      </w:r>
      <w:r w:rsidRPr="00C87CE7">
        <w:rPr>
          <w:i/>
          <w:iCs/>
          <w:lang w:val="en-AU" w:eastAsia="en-AU"/>
        </w:rPr>
        <w:t xml:space="preserve">Review of health technology assessment in Australia </w:t>
      </w:r>
      <w:r w:rsidRPr="00C87CE7">
        <w:rPr>
          <w:lang w:val="en-AU" w:eastAsia="en-AU"/>
        </w:rPr>
        <w:t>established the principles that should guide HTAs in Australia</w:t>
      </w:r>
      <w:r w:rsidR="005227EA">
        <w:rPr>
          <w:lang w:val="en-AU" w:eastAsia="en-AU"/>
        </w:rPr>
        <w:t>.</w:t>
      </w:r>
      <w:r w:rsidR="005227EA">
        <w:rPr>
          <w:rStyle w:val="FootnoteReference"/>
          <w:lang w:val="en-AU" w:eastAsia="en-AU"/>
        </w:rPr>
        <w:footnoteReference w:id="90"/>
      </w:r>
      <w:r w:rsidRPr="00C87CE7">
        <w:rPr>
          <w:lang w:val="en-AU" w:eastAsia="en-AU"/>
        </w:rPr>
        <w:t xml:space="preserve"> These principles are: </w:t>
      </w:r>
    </w:p>
    <w:p w14:paraId="2ED4F9B4" w14:textId="77777777" w:rsidR="00C87CE7" w:rsidRPr="00C87CE7" w:rsidRDefault="00C87CE7" w:rsidP="00B80018">
      <w:pPr>
        <w:pStyle w:val="Listnumbered"/>
        <w:numPr>
          <w:ilvl w:val="0"/>
          <w:numId w:val="9"/>
        </w:numPr>
        <w:rPr>
          <w:lang w:val="en-AU" w:eastAsia="en-AU"/>
        </w:rPr>
      </w:pPr>
      <w:r w:rsidRPr="00C87CE7">
        <w:rPr>
          <w:lang w:val="en-AU" w:eastAsia="en-AU"/>
        </w:rPr>
        <w:t>Sustainable </w:t>
      </w:r>
    </w:p>
    <w:p w14:paraId="3B7C4AED" w14:textId="77777777" w:rsidR="00C87CE7" w:rsidRPr="00C87CE7" w:rsidRDefault="00C87CE7" w:rsidP="00B80018">
      <w:pPr>
        <w:pStyle w:val="Listnumbered"/>
        <w:rPr>
          <w:lang w:val="en-AU" w:eastAsia="en-AU"/>
        </w:rPr>
      </w:pPr>
      <w:r w:rsidRPr="00C87CE7">
        <w:rPr>
          <w:lang w:val="en-AU" w:eastAsia="en-AU"/>
        </w:rPr>
        <w:t>Transparent, accountable and independent </w:t>
      </w:r>
    </w:p>
    <w:p w14:paraId="2A534C74" w14:textId="77777777" w:rsidR="00C87CE7" w:rsidRPr="00C87CE7" w:rsidRDefault="00C87CE7" w:rsidP="00B80018">
      <w:pPr>
        <w:pStyle w:val="Listnumbered"/>
        <w:rPr>
          <w:lang w:val="en-AU" w:eastAsia="en-AU"/>
        </w:rPr>
      </w:pPr>
      <w:r w:rsidRPr="00C87CE7">
        <w:rPr>
          <w:lang w:val="en-AU" w:eastAsia="en-AU"/>
        </w:rPr>
        <w:t>Consultative and reflective of Australian community values </w:t>
      </w:r>
    </w:p>
    <w:p w14:paraId="58A8B643" w14:textId="77777777" w:rsidR="00C87CE7" w:rsidRPr="00C87CE7" w:rsidRDefault="00C87CE7" w:rsidP="00B80018">
      <w:pPr>
        <w:pStyle w:val="Listnumbered"/>
        <w:rPr>
          <w:lang w:val="en-AU" w:eastAsia="en-AU"/>
        </w:rPr>
      </w:pPr>
      <w:r w:rsidRPr="00C87CE7">
        <w:rPr>
          <w:lang w:val="en-AU" w:eastAsia="en-AU"/>
        </w:rPr>
        <w:t>Administratively efficient </w:t>
      </w:r>
    </w:p>
    <w:p w14:paraId="5B65040D" w14:textId="1C91E8B6" w:rsidR="00C87CE7" w:rsidRPr="00C87CE7" w:rsidRDefault="00C87CE7" w:rsidP="00B80018">
      <w:pPr>
        <w:pStyle w:val="Listnumbered"/>
        <w:rPr>
          <w:lang w:val="en-AU" w:eastAsia="en-AU"/>
        </w:rPr>
      </w:pPr>
      <w:r w:rsidRPr="00C87CE7">
        <w:rPr>
          <w:lang w:val="en-AU" w:eastAsia="en-AU"/>
        </w:rPr>
        <w:t>Flexible and fit for purpose </w:t>
      </w:r>
    </w:p>
    <w:p w14:paraId="7687B6D1" w14:textId="483F8775" w:rsidR="00C87CE7" w:rsidRPr="00EC1CF8" w:rsidRDefault="00C87CE7" w:rsidP="00B80018">
      <w:pPr>
        <w:pStyle w:val="Listnumbered"/>
        <w:rPr>
          <w:lang w:val="en-AU" w:eastAsia="en-AU"/>
        </w:rPr>
      </w:pPr>
      <w:r w:rsidRPr="00C87CE7">
        <w:rPr>
          <w:lang w:val="en-AU" w:eastAsia="en-AU"/>
        </w:rPr>
        <w:t>Informed by robust and relevant evidence</w:t>
      </w:r>
      <w:r w:rsidR="005104E2">
        <w:rPr>
          <w:lang w:val="en-AU" w:eastAsia="en-AU"/>
        </w:rPr>
        <w:t>.</w:t>
      </w:r>
      <w:r w:rsidR="005104E2">
        <w:rPr>
          <w:rStyle w:val="FootnoteReference"/>
          <w:lang w:val="en-AU" w:eastAsia="en-AU"/>
        </w:rPr>
        <w:footnoteReference w:id="91"/>
      </w:r>
    </w:p>
    <w:p w14:paraId="679914B1" w14:textId="26D9EF64" w:rsidR="00AA1BD0" w:rsidRDefault="00EC1CF8" w:rsidP="00AA1BD0">
      <w:pPr>
        <w:rPr>
          <w:lang w:val="en-AU" w:eastAsia="en-AU"/>
        </w:rPr>
      </w:pPr>
      <w:r>
        <w:rPr>
          <w:lang w:val="en-AU" w:eastAsia="en-AU"/>
        </w:rPr>
        <w:t>Across the board there has been improvement in</w:t>
      </w:r>
      <w:r w:rsidR="00A83454">
        <w:rPr>
          <w:lang w:val="en-AU" w:eastAsia="en-AU"/>
        </w:rPr>
        <w:t xml:space="preserve"> the</w:t>
      </w:r>
      <w:r>
        <w:rPr>
          <w:lang w:val="en-AU" w:eastAsia="en-AU"/>
        </w:rPr>
        <w:t xml:space="preserve"> alignment of </w:t>
      </w:r>
      <w:r w:rsidR="006403C7">
        <w:rPr>
          <w:lang w:val="en-AU" w:eastAsia="en-AU"/>
        </w:rPr>
        <w:t>PL assessment processes post-reform to the HTA principles</w:t>
      </w:r>
      <w:r w:rsidR="00A83454">
        <w:rPr>
          <w:lang w:val="en-AU" w:eastAsia="en-AU"/>
        </w:rPr>
        <w:t xml:space="preserve">, including </w:t>
      </w:r>
      <w:r w:rsidR="00DD579D">
        <w:rPr>
          <w:lang w:val="en-AU" w:eastAsia="en-AU"/>
        </w:rPr>
        <w:t>for the</w:t>
      </w:r>
      <w:r w:rsidR="00A83454">
        <w:rPr>
          <w:lang w:val="en-AU" w:eastAsia="en-AU"/>
        </w:rPr>
        <w:t xml:space="preserve"> principles </w:t>
      </w:r>
      <w:r w:rsidR="001A679F">
        <w:rPr>
          <w:lang w:val="en-AU" w:eastAsia="en-AU"/>
        </w:rPr>
        <w:t xml:space="preserve">of </w:t>
      </w:r>
      <w:r w:rsidR="00DD579D" w:rsidRPr="00DD579D">
        <w:rPr>
          <w:i/>
          <w:iCs/>
          <w:lang w:val="en-AU" w:eastAsia="en-AU"/>
        </w:rPr>
        <w:t>sustainable</w:t>
      </w:r>
      <w:r w:rsidR="00A83454" w:rsidRPr="00DD579D">
        <w:rPr>
          <w:i/>
          <w:iCs/>
          <w:lang w:val="en-AU" w:eastAsia="en-AU"/>
        </w:rPr>
        <w:t xml:space="preserve">, </w:t>
      </w:r>
      <w:r w:rsidR="00DD579D" w:rsidRPr="00DD579D">
        <w:rPr>
          <w:i/>
          <w:iCs/>
          <w:lang w:val="en-AU" w:eastAsia="en-AU"/>
        </w:rPr>
        <w:t>independent</w:t>
      </w:r>
      <w:r w:rsidR="00A83454" w:rsidRPr="00DD579D">
        <w:rPr>
          <w:i/>
          <w:iCs/>
          <w:lang w:val="en-AU" w:eastAsia="en-AU"/>
        </w:rPr>
        <w:t xml:space="preserve">, </w:t>
      </w:r>
      <w:r w:rsidR="003D1F38" w:rsidRPr="00DD579D">
        <w:rPr>
          <w:i/>
          <w:iCs/>
          <w:lang w:val="en-AU" w:eastAsia="en-AU"/>
        </w:rPr>
        <w:t>reflective of Australian community values</w:t>
      </w:r>
      <w:r w:rsidR="00DD579D" w:rsidRPr="00DD579D">
        <w:rPr>
          <w:i/>
          <w:iCs/>
          <w:lang w:val="en-AU" w:eastAsia="en-AU"/>
        </w:rPr>
        <w:t xml:space="preserve">, </w:t>
      </w:r>
      <w:r w:rsidR="003D1F38" w:rsidRPr="00DD579D">
        <w:rPr>
          <w:i/>
          <w:iCs/>
          <w:lang w:val="en-AU" w:eastAsia="en-AU"/>
        </w:rPr>
        <w:t>flexible and fit for purpose</w:t>
      </w:r>
      <w:r w:rsidR="00DD579D" w:rsidRPr="00DD579D">
        <w:rPr>
          <w:i/>
          <w:iCs/>
          <w:lang w:val="en-AU" w:eastAsia="en-AU"/>
        </w:rPr>
        <w:t xml:space="preserve">, </w:t>
      </w:r>
      <w:r w:rsidR="00DD579D" w:rsidRPr="00DD579D">
        <w:rPr>
          <w:lang w:val="en-AU" w:eastAsia="en-AU"/>
        </w:rPr>
        <w:t>and</w:t>
      </w:r>
      <w:r w:rsidR="00DD579D" w:rsidRPr="00DD579D">
        <w:rPr>
          <w:i/>
          <w:iCs/>
          <w:lang w:val="en-AU" w:eastAsia="en-AU"/>
        </w:rPr>
        <w:t xml:space="preserve"> informed by robust and relevant evidence</w:t>
      </w:r>
      <w:r w:rsidR="00DD579D">
        <w:rPr>
          <w:lang w:val="en-AU" w:eastAsia="en-AU"/>
        </w:rPr>
        <w:t>.</w:t>
      </w:r>
      <w:r w:rsidR="003D1F38">
        <w:rPr>
          <w:lang w:val="en-AU" w:eastAsia="en-AU"/>
        </w:rPr>
        <w:t xml:space="preserve"> </w:t>
      </w:r>
      <w:r w:rsidR="004D51A2">
        <w:rPr>
          <w:lang w:val="en-AU" w:eastAsia="en-AU"/>
        </w:rPr>
        <w:t>The</w:t>
      </w:r>
      <w:r w:rsidR="00DD579D">
        <w:rPr>
          <w:lang w:val="en-AU" w:eastAsia="en-AU"/>
        </w:rPr>
        <w:t xml:space="preserve"> level</w:t>
      </w:r>
      <w:r w:rsidR="001A679F">
        <w:rPr>
          <w:lang w:val="en-AU" w:eastAsia="en-AU"/>
        </w:rPr>
        <w:t xml:space="preserve"> of</w:t>
      </w:r>
      <w:r w:rsidR="00DD579D">
        <w:rPr>
          <w:lang w:val="en-AU" w:eastAsia="en-AU"/>
        </w:rPr>
        <w:t xml:space="preserve"> alignment for the principles of </w:t>
      </w:r>
      <w:r w:rsidR="00DD579D" w:rsidRPr="00DD579D">
        <w:rPr>
          <w:i/>
          <w:iCs/>
          <w:lang w:val="en-AU" w:eastAsia="en-AU"/>
        </w:rPr>
        <w:t>accountable</w:t>
      </w:r>
      <w:r w:rsidR="00DD579D">
        <w:rPr>
          <w:lang w:val="en-AU" w:eastAsia="en-AU"/>
        </w:rPr>
        <w:t xml:space="preserve"> </w:t>
      </w:r>
      <w:r w:rsidR="00B8488B">
        <w:rPr>
          <w:lang w:val="en-AU" w:eastAsia="en-AU"/>
        </w:rPr>
        <w:t xml:space="preserve">and </w:t>
      </w:r>
      <w:r w:rsidR="00DD579D" w:rsidRPr="00DD579D">
        <w:rPr>
          <w:i/>
          <w:iCs/>
          <w:lang w:val="en-AU" w:eastAsia="en-AU"/>
        </w:rPr>
        <w:t>consultative</w:t>
      </w:r>
      <w:r w:rsidR="004D51A2">
        <w:rPr>
          <w:lang w:val="en-AU" w:eastAsia="en-AU"/>
        </w:rPr>
        <w:t xml:space="preserve"> has not changed substantially,</w:t>
      </w:r>
      <w:r w:rsidR="0032679D">
        <w:rPr>
          <w:lang w:val="en-AU" w:eastAsia="en-AU"/>
        </w:rPr>
        <w:t xml:space="preserve"> remaining</w:t>
      </w:r>
      <w:r w:rsidR="00D031D1">
        <w:rPr>
          <w:lang w:val="en-AU" w:eastAsia="en-AU"/>
        </w:rPr>
        <w:t xml:space="preserve"> </w:t>
      </w:r>
      <w:r w:rsidR="007655B7">
        <w:rPr>
          <w:lang w:val="en-AU" w:eastAsia="en-AU"/>
        </w:rPr>
        <w:t xml:space="preserve">at </w:t>
      </w:r>
      <w:r w:rsidR="00CC608C">
        <w:rPr>
          <w:lang w:val="en-AU" w:eastAsia="en-AU"/>
        </w:rPr>
        <w:t>s</w:t>
      </w:r>
      <w:r w:rsidR="005E2B67">
        <w:rPr>
          <w:lang w:val="en-AU" w:eastAsia="en-AU"/>
        </w:rPr>
        <w:t>imilar</w:t>
      </w:r>
      <w:r w:rsidR="007655B7">
        <w:rPr>
          <w:lang w:val="en-AU" w:eastAsia="en-AU"/>
        </w:rPr>
        <w:t xml:space="preserve"> level</w:t>
      </w:r>
      <w:r w:rsidR="005E2B67">
        <w:rPr>
          <w:lang w:val="en-AU" w:eastAsia="en-AU"/>
        </w:rPr>
        <w:t xml:space="preserve"> to the previous </w:t>
      </w:r>
      <w:r w:rsidR="00CC608C">
        <w:rPr>
          <w:lang w:val="en-AU" w:eastAsia="en-AU"/>
        </w:rPr>
        <w:t>arrangements.</w:t>
      </w:r>
      <w:r w:rsidR="00DD579D">
        <w:rPr>
          <w:lang w:val="en-AU" w:eastAsia="en-AU"/>
        </w:rPr>
        <w:t xml:space="preserve"> </w:t>
      </w:r>
    </w:p>
    <w:p w14:paraId="4E040D59" w14:textId="704E7D1A" w:rsidR="00AA1BD0" w:rsidRDefault="007A7322" w:rsidP="00AA1BD0">
      <w:pPr>
        <w:rPr>
          <w:lang w:val="en-AU" w:eastAsia="en-AU"/>
        </w:rPr>
      </w:pPr>
      <w:r>
        <w:rPr>
          <w:lang w:val="en-AU" w:eastAsia="en-AU"/>
        </w:rPr>
        <w:t>S</w:t>
      </w:r>
      <w:r w:rsidR="00B41EC1">
        <w:rPr>
          <w:lang w:val="en-AU" w:eastAsia="en-AU"/>
        </w:rPr>
        <w:t xml:space="preserve">ome stakeholders have </w:t>
      </w:r>
      <w:r>
        <w:rPr>
          <w:lang w:val="en-AU" w:eastAsia="en-AU"/>
        </w:rPr>
        <w:t xml:space="preserve">raised concerns that </w:t>
      </w:r>
      <w:r w:rsidR="00DB5460">
        <w:rPr>
          <w:lang w:val="en-AU" w:eastAsia="en-AU"/>
        </w:rPr>
        <w:t>transparency over PL decision making has decreased due to their removal from any governance committees</w:t>
      </w:r>
      <w:r w:rsidR="004D6CA4">
        <w:rPr>
          <w:lang w:val="en-AU" w:eastAsia="en-AU"/>
        </w:rPr>
        <w:t xml:space="preserve">. This change appears to reflect the reform’s focus </w:t>
      </w:r>
      <w:r w:rsidR="00082420">
        <w:rPr>
          <w:lang w:val="en-AU" w:eastAsia="en-AU"/>
        </w:rPr>
        <w:t xml:space="preserve">increasing </w:t>
      </w:r>
      <w:r w:rsidR="007F086A">
        <w:rPr>
          <w:lang w:val="en-AU" w:eastAsia="en-AU"/>
        </w:rPr>
        <w:t xml:space="preserve">the </w:t>
      </w:r>
      <w:r w:rsidR="00082420">
        <w:rPr>
          <w:lang w:val="en-AU" w:eastAsia="en-AU"/>
        </w:rPr>
        <w:t>independence of the MDHTAC</w:t>
      </w:r>
      <w:r w:rsidR="004D6CA4">
        <w:rPr>
          <w:lang w:val="en-AU" w:eastAsia="en-AU"/>
        </w:rPr>
        <w:t xml:space="preserve"> as a priority.</w:t>
      </w:r>
      <w:r w:rsidR="005323F2">
        <w:rPr>
          <w:lang w:val="en-AU" w:eastAsia="en-AU"/>
        </w:rPr>
        <w:t xml:space="preserve"> </w:t>
      </w:r>
      <w:r w:rsidR="00C8206A">
        <w:rPr>
          <w:lang w:val="en-AU" w:eastAsia="en-AU"/>
        </w:rPr>
        <w:t xml:space="preserve">The Department has also flagged </w:t>
      </w:r>
      <w:r w:rsidR="004F0DFF" w:rsidRPr="00FF5B5C">
        <w:rPr>
          <w:i/>
          <w:iCs/>
          <w:lang w:val="en-AU" w:eastAsia="en-AU"/>
        </w:rPr>
        <w:t xml:space="preserve">administrative </w:t>
      </w:r>
      <w:r w:rsidR="007F086A" w:rsidRPr="00FF5B5C">
        <w:rPr>
          <w:i/>
          <w:iCs/>
          <w:lang w:val="en-AU" w:eastAsia="en-AU"/>
        </w:rPr>
        <w:t>efficiency</w:t>
      </w:r>
      <w:r w:rsidR="004F0DFF">
        <w:rPr>
          <w:lang w:val="en-AU" w:eastAsia="en-AU"/>
        </w:rPr>
        <w:t xml:space="preserve"> as </w:t>
      </w:r>
      <w:r w:rsidR="00FF5B5C">
        <w:rPr>
          <w:lang w:val="en-AU" w:eastAsia="en-AU"/>
        </w:rPr>
        <w:t>one</w:t>
      </w:r>
      <w:r w:rsidR="004F0DFF">
        <w:rPr>
          <w:lang w:val="en-AU" w:eastAsia="en-AU"/>
        </w:rPr>
        <w:t xml:space="preserve"> principle that </w:t>
      </w:r>
      <w:r w:rsidR="00FF5B5C">
        <w:rPr>
          <w:lang w:val="en-AU" w:eastAsia="en-AU"/>
        </w:rPr>
        <w:t xml:space="preserve">may be at risk of reduced alignment post-reform </w:t>
      </w:r>
      <w:r w:rsidR="00AA1BD0">
        <w:rPr>
          <w:lang w:val="en-AU" w:eastAsia="en-AU"/>
        </w:rPr>
        <w:t>and</w:t>
      </w:r>
      <w:r w:rsidR="004F0DFF">
        <w:rPr>
          <w:lang w:val="en-AU" w:eastAsia="en-AU"/>
        </w:rPr>
        <w:t xml:space="preserve"> should be monitored as the new assessment </w:t>
      </w:r>
      <w:r w:rsidR="00FF5B5C">
        <w:rPr>
          <w:lang w:val="en-AU" w:eastAsia="en-AU"/>
        </w:rPr>
        <w:t>pathways</w:t>
      </w:r>
      <w:r w:rsidR="004F0DFF">
        <w:rPr>
          <w:lang w:val="en-AU" w:eastAsia="en-AU"/>
        </w:rPr>
        <w:t xml:space="preserve"> </w:t>
      </w:r>
      <w:r w:rsidR="00AA1BD0">
        <w:rPr>
          <w:lang w:val="en-AU" w:eastAsia="en-AU"/>
        </w:rPr>
        <w:t xml:space="preserve">become established. </w:t>
      </w:r>
      <w:r w:rsidR="004366E9">
        <w:rPr>
          <w:lang w:val="en-AU" w:eastAsia="en-AU"/>
        </w:rPr>
        <w:t xml:space="preserve">A more detailed analysis of the alignment of the post-reform assessment </w:t>
      </w:r>
      <w:r w:rsidR="00687AA1">
        <w:rPr>
          <w:lang w:val="en-AU" w:eastAsia="en-AU"/>
        </w:rPr>
        <w:t xml:space="preserve">processes </w:t>
      </w:r>
      <w:r w:rsidR="000C1C56">
        <w:rPr>
          <w:lang w:val="en-AU" w:eastAsia="en-AU"/>
        </w:rPr>
        <w:t xml:space="preserve">to HTA principles is summarised in </w:t>
      </w:r>
      <w:r w:rsidR="000C1C56">
        <w:rPr>
          <w:lang w:val="en-AU" w:eastAsia="en-AU"/>
        </w:rPr>
        <w:fldChar w:fldCharType="begin"/>
      </w:r>
      <w:r w:rsidR="000C1C56">
        <w:rPr>
          <w:lang w:val="en-AU" w:eastAsia="en-AU"/>
        </w:rPr>
        <w:instrText xml:space="preserve"> REF _Ref172208321 \h </w:instrText>
      </w:r>
      <w:r w:rsidR="000C1C56">
        <w:rPr>
          <w:lang w:val="en-AU" w:eastAsia="en-AU"/>
        </w:rPr>
      </w:r>
      <w:r w:rsidR="000C1C56">
        <w:rPr>
          <w:lang w:val="en-AU" w:eastAsia="en-AU"/>
        </w:rPr>
        <w:fldChar w:fldCharType="separate"/>
      </w:r>
      <w:r w:rsidR="009B5D8D">
        <w:t xml:space="preserve">Table </w:t>
      </w:r>
      <w:r w:rsidR="009B5D8D">
        <w:rPr>
          <w:noProof/>
        </w:rPr>
        <w:t>12</w:t>
      </w:r>
      <w:r w:rsidR="000C1C56">
        <w:rPr>
          <w:lang w:val="en-AU" w:eastAsia="en-AU"/>
        </w:rPr>
        <w:fldChar w:fldCharType="end"/>
      </w:r>
      <w:r w:rsidR="000C1C56">
        <w:rPr>
          <w:lang w:val="en-AU" w:eastAsia="en-AU"/>
        </w:rPr>
        <w:t xml:space="preserve">. </w:t>
      </w:r>
    </w:p>
    <w:p w14:paraId="229A7425" w14:textId="0803419A" w:rsidR="008B5DD5" w:rsidRDefault="008B5DD5" w:rsidP="00D9674F">
      <w:pPr>
        <w:pStyle w:val="Caption"/>
      </w:pPr>
      <w:bookmarkStart w:id="82" w:name="_Ref172208321"/>
      <w:r>
        <w:t xml:space="preserve">Table </w:t>
      </w:r>
      <w:r>
        <w:fldChar w:fldCharType="begin"/>
      </w:r>
      <w:r>
        <w:instrText xml:space="preserve"> SEQ Table \* ARABIC </w:instrText>
      </w:r>
      <w:r>
        <w:fldChar w:fldCharType="separate"/>
      </w:r>
      <w:r w:rsidR="009B5D8D">
        <w:rPr>
          <w:noProof/>
        </w:rPr>
        <w:t>12</w:t>
      </w:r>
      <w:r>
        <w:fldChar w:fldCharType="end"/>
      </w:r>
      <w:bookmarkEnd w:id="82"/>
      <w:r>
        <w:t xml:space="preserve"> | </w:t>
      </w:r>
      <w:r w:rsidRPr="001C4D90">
        <w:t>Description of reformed PL listing pa</w:t>
      </w:r>
      <w:r w:rsidR="00B35BB4">
        <w:t>t</w:t>
      </w:r>
      <w:r w:rsidRPr="001C4D90">
        <w:t>hways</w:t>
      </w:r>
      <w:r w:rsidR="00D036D2">
        <w:t xml:space="preserve"> and governance</w:t>
      </w:r>
      <w:r w:rsidRPr="001C4D90">
        <w:t xml:space="preserve"> as aligned to HTA principles</w:t>
      </w:r>
    </w:p>
    <w:tbl>
      <w:tblPr>
        <w:tblStyle w:val="NOUS"/>
        <w:tblW w:w="0" w:type="auto"/>
        <w:tblLayout w:type="fixed"/>
        <w:tblLook w:val="04A0" w:firstRow="1" w:lastRow="0" w:firstColumn="1" w:lastColumn="0" w:noHBand="0" w:noVBand="1"/>
      </w:tblPr>
      <w:tblGrid>
        <w:gridCol w:w="1560"/>
        <w:gridCol w:w="7451"/>
      </w:tblGrid>
      <w:tr w:rsidR="00AD4386" w:rsidRPr="007C4A3D" w14:paraId="4639ED6A" w14:textId="77777777" w:rsidTr="00364C8C">
        <w:trPr>
          <w:cnfStyle w:val="100000000000" w:firstRow="1" w:lastRow="0" w:firstColumn="0" w:lastColumn="0" w:oddVBand="0" w:evenVBand="0" w:oddHBand="0" w:evenHBand="0" w:firstRowFirstColumn="0" w:firstRowLastColumn="0" w:lastRowFirstColumn="0" w:lastRowLastColumn="0"/>
          <w:trHeight w:val="323"/>
          <w:tblHeader w:val="0"/>
        </w:trPr>
        <w:tc>
          <w:tcPr>
            <w:tcW w:w="1560" w:type="dxa"/>
          </w:tcPr>
          <w:p w14:paraId="2FD11B6A" w14:textId="77777777" w:rsidR="00AD4386" w:rsidRPr="007C4A3D" w:rsidRDefault="00AD4386" w:rsidP="00F45607">
            <w:pPr>
              <w:pStyle w:val="TableNheader"/>
              <w:rPr>
                <w:b w:val="0"/>
                <w:bCs/>
              </w:rPr>
            </w:pPr>
            <w:r w:rsidRPr="007C4A3D">
              <w:rPr>
                <w:b w:val="0"/>
                <w:bCs/>
              </w:rPr>
              <w:t>Principle</w:t>
            </w:r>
          </w:p>
        </w:tc>
        <w:tc>
          <w:tcPr>
            <w:tcW w:w="7451" w:type="dxa"/>
          </w:tcPr>
          <w:p w14:paraId="04157519" w14:textId="77777777" w:rsidR="00AD4386" w:rsidRPr="007C4A3D" w:rsidRDefault="00AD4386" w:rsidP="00F45607">
            <w:pPr>
              <w:pStyle w:val="TableNheader"/>
              <w:rPr>
                <w:b w:val="0"/>
                <w:bCs/>
              </w:rPr>
            </w:pPr>
            <w:r w:rsidRPr="007C4A3D">
              <w:rPr>
                <w:b w:val="0"/>
                <w:bCs/>
              </w:rPr>
              <w:t>Description</w:t>
            </w:r>
          </w:p>
        </w:tc>
      </w:tr>
      <w:tr w:rsidR="00AD4386" w:rsidRPr="00EE7CDA" w14:paraId="600204C4" w14:textId="77777777" w:rsidTr="00364C8C">
        <w:tc>
          <w:tcPr>
            <w:tcW w:w="1560" w:type="dxa"/>
          </w:tcPr>
          <w:p w14:paraId="3755D13A" w14:textId="77777777" w:rsidR="00AD4386" w:rsidRPr="00BB016B" w:rsidRDefault="00AD4386" w:rsidP="005A1211">
            <w:pPr>
              <w:pStyle w:val="TableNheader"/>
              <w:keepNext w:val="0"/>
            </w:pPr>
            <w:r>
              <w:t xml:space="preserve">Sustainable </w:t>
            </w:r>
          </w:p>
        </w:tc>
        <w:tc>
          <w:tcPr>
            <w:tcW w:w="7451" w:type="dxa"/>
          </w:tcPr>
          <w:p w14:paraId="5BADDD64" w14:textId="4945192E" w:rsidR="00E863D1" w:rsidRDefault="00E863D1" w:rsidP="005A1211">
            <w:pPr>
              <w:pStyle w:val="TableExpbullet"/>
              <w:spacing w:before="0" w:after="20"/>
            </w:pPr>
            <w:r>
              <w:t xml:space="preserve">It is anticipated that revised cost-recovery fees for </w:t>
            </w:r>
            <w:r w:rsidR="00F86886">
              <w:t>PL application assessments that are aligned to the anticipated complexity of each assessment will be a positive improvement for the PL’s sustainability</w:t>
            </w:r>
            <w:r w:rsidR="00EA4BF1">
              <w:t xml:space="preserve">. </w:t>
            </w:r>
          </w:p>
          <w:p w14:paraId="7248701D" w14:textId="0FFBA57A" w:rsidR="00D036D2" w:rsidRPr="00F9492C" w:rsidRDefault="00F9492C" w:rsidP="005A1211">
            <w:pPr>
              <w:pStyle w:val="TableExpText"/>
              <w:keepNext w:val="0"/>
              <w:numPr>
                <w:ilvl w:val="0"/>
                <w:numId w:val="0"/>
              </w:numPr>
              <w:spacing w:before="0" w:after="20"/>
              <w:rPr>
                <w:i/>
                <w:iCs/>
              </w:rPr>
            </w:pPr>
            <w:r w:rsidRPr="00EF5F81">
              <w:rPr>
                <w:i/>
                <w:iCs/>
              </w:rPr>
              <w:t>A formal review of the economic sustainability of the PL (and its components) is not in scope for this evaluation. Separate from this evaluation, an independent review is being conducted of the cost recovery arrangements associated with the application process.</w:t>
            </w:r>
            <w:r>
              <w:rPr>
                <w:i/>
                <w:iCs/>
              </w:rPr>
              <w:t xml:space="preserve"> </w:t>
            </w:r>
          </w:p>
        </w:tc>
      </w:tr>
      <w:tr w:rsidR="00AD4386" w14:paraId="7E4A81EC" w14:textId="77777777" w:rsidTr="00364C8C">
        <w:tc>
          <w:tcPr>
            <w:tcW w:w="1560" w:type="dxa"/>
          </w:tcPr>
          <w:p w14:paraId="487DB356" w14:textId="77777777" w:rsidR="00AD4386" w:rsidRPr="00BB016B" w:rsidRDefault="00AD4386" w:rsidP="001C039D">
            <w:pPr>
              <w:pStyle w:val="TableNheader"/>
            </w:pPr>
            <w:r w:rsidRPr="00E10056">
              <w:lastRenderedPageBreak/>
              <w:t>Transparent, accountable and independent</w:t>
            </w:r>
          </w:p>
        </w:tc>
        <w:tc>
          <w:tcPr>
            <w:tcW w:w="7451" w:type="dxa"/>
          </w:tcPr>
          <w:p w14:paraId="65F0DCA8" w14:textId="16F10EC5" w:rsidR="00BD4997" w:rsidRPr="005A1456" w:rsidRDefault="00C22DD2" w:rsidP="006B2884">
            <w:pPr>
              <w:pStyle w:val="TableExpbullet"/>
              <w:spacing w:before="0" w:after="20"/>
            </w:pPr>
            <w:r w:rsidRPr="65DC25F6">
              <w:rPr>
                <w:rFonts w:asciiTheme="majorHAnsi" w:hAnsiTheme="majorHAnsi" w:cstheme="majorBidi"/>
              </w:rPr>
              <w:t>Transparent:</w:t>
            </w:r>
            <w:r>
              <w:t xml:space="preserve"> </w:t>
            </w:r>
            <w:r w:rsidR="007169F8" w:rsidRPr="005A1456">
              <w:t>The level of t</w:t>
            </w:r>
            <w:r w:rsidR="002A1860" w:rsidRPr="005A1456">
              <w:t>ransparency</w:t>
            </w:r>
            <w:r w:rsidR="002B347A" w:rsidRPr="005A1456">
              <w:t xml:space="preserve"> of</w:t>
            </w:r>
            <w:r w:rsidR="00BB5741" w:rsidRPr="005A1456">
              <w:t xml:space="preserve"> the new MDHTAC and associated EC</w:t>
            </w:r>
            <w:r w:rsidR="00C63EB6" w:rsidRPr="005A1456">
              <w:t>A</w:t>
            </w:r>
            <w:r w:rsidR="00BB5741" w:rsidRPr="005A1456">
              <w:t>Gs</w:t>
            </w:r>
            <w:r w:rsidR="00414ECC">
              <w:t xml:space="preserve"> sub-committees</w:t>
            </w:r>
            <w:r w:rsidR="00BB5741" w:rsidRPr="005A1456">
              <w:t xml:space="preserve"> </w:t>
            </w:r>
            <w:r w:rsidR="00FD3BBF" w:rsidRPr="005A1456">
              <w:t>is</w:t>
            </w:r>
            <w:r w:rsidR="00BB5741" w:rsidRPr="005A1456">
              <w:t xml:space="preserve"> </w:t>
            </w:r>
            <w:r w:rsidR="007169F8" w:rsidRPr="005A1456">
              <w:t>equivalent</w:t>
            </w:r>
            <w:r w:rsidR="00FD3BBF" w:rsidRPr="005A1456">
              <w:t xml:space="preserve"> </w:t>
            </w:r>
            <w:r w:rsidR="007169F8" w:rsidRPr="005A1456">
              <w:t xml:space="preserve">to </w:t>
            </w:r>
            <w:r w:rsidR="002A1860" w:rsidRPr="005A1456">
              <w:t xml:space="preserve">previous </w:t>
            </w:r>
            <w:r w:rsidR="007169F8" w:rsidRPr="005A1456">
              <w:t xml:space="preserve">PL </w:t>
            </w:r>
            <w:r w:rsidR="00FD3BBF" w:rsidRPr="005A1456">
              <w:t>governance arrangements</w:t>
            </w:r>
            <w:r w:rsidR="00414ECC">
              <w:t xml:space="preserve">. </w:t>
            </w:r>
            <w:r w:rsidR="00414ECC" w:rsidRPr="00414ECC">
              <w:t xml:space="preserve">Deliberations and recommendations of both </w:t>
            </w:r>
            <w:r w:rsidR="00414ECC">
              <w:t>bodies</w:t>
            </w:r>
            <w:r w:rsidR="00414ECC" w:rsidRPr="00414ECC">
              <w:t xml:space="preserve"> are recorded as </w:t>
            </w:r>
            <w:r w:rsidR="007B1CE4" w:rsidRPr="00414ECC">
              <w:t>minutes;</w:t>
            </w:r>
            <w:r w:rsidR="00414ECC" w:rsidRPr="00414ECC">
              <w:t xml:space="preserve"> </w:t>
            </w:r>
            <w:r w:rsidR="007B1CE4" w:rsidRPr="00414ECC">
              <w:t>however,</w:t>
            </w:r>
            <w:r w:rsidR="00414ECC" w:rsidRPr="00414ECC">
              <w:t xml:space="preserve"> they are not published as </w:t>
            </w:r>
            <w:r w:rsidR="007B1CE4">
              <w:t>this</w:t>
            </w:r>
            <w:r w:rsidR="00414ECC" w:rsidRPr="00414ECC">
              <w:t xml:space="preserve"> information is considered commercial-in-confidence.</w:t>
            </w:r>
            <w:r w:rsidR="006C7B68">
              <w:t xml:space="preserve"> At this stage, </w:t>
            </w:r>
            <w:r w:rsidR="00FE4074">
              <w:t xml:space="preserve">public summary documents are not available. As the MDHTAC often makes decisions that are relevant to sponsors </w:t>
            </w:r>
            <w:r w:rsidR="001F0973">
              <w:t>in addition to the party making the application, expressing a new precedent or policy</w:t>
            </w:r>
            <w:r w:rsidR="00710877">
              <w:t xml:space="preserve">, it would be relevant for the Department to publish </w:t>
            </w:r>
            <w:r w:rsidR="00E41B16">
              <w:t>a summary</w:t>
            </w:r>
            <w:r w:rsidR="00710877">
              <w:t xml:space="preserve"> </w:t>
            </w:r>
            <w:r w:rsidR="00E41B16">
              <w:t xml:space="preserve">of these decisions for </w:t>
            </w:r>
            <w:r w:rsidR="00ED27F3">
              <w:t xml:space="preserve">the information of </w:t>
            </w:r>
            <w:r w:rsidR="00E41B16">
              <w:t xml:space="preserve">affected </w:t>
            </w:r>
            <w:r w:rsidR="00710877">
              <w:t>stakeholder</w:t>
            </w:r>
            <w:r w:rsidR="00E41B16">
              <w:t>s.</w:t>
            </w:r>
            <w:r w:rsidR="00B37D82" w:rsidRPr="005A1456">
              <w:t xml:space="preserve"> </w:t>
            </w:r>
            <w:r w:rsidR="00A405B9">
              <w:t>In terms of assessment pathways, i</w:t>
            </w:r>
            <w:r w:rsidR="00BD4997">
              <w:t>nsurers</w:t>
            </w:r>
            <w:r w:rsidR="00585065">
              <w:t xml:space="preserve"> o</w:t>
            </w:r>
            <w:r w:rsidR="00BD4997">
              <w:t xml:space="preserve">bject to the removal of payor </w:t>
            </w:r>
            <w:r w:rsidR="00EE0C43">
              <w:t>scrutiny</w:t>
            </w:r>
            <w:r w:rsidR="003E523B">
              <w:t xml:space="preserve"> </w:t>
            </w:r>
            <w:r w:rsidR="00EE0C43">
              <w:t>in the new</w:t>
            </w:r>
            <w:r w:rsidR="003E523B">
              <w:t xml:space="preserve"> Tier 1 </w:t>
            </w:r>
            <w:r w:rsidR="00A405B9">
              <w:t>abbreviated pathway</w:t>
            </w:r>
            <w:r w:rsidR="00EE0C43">
              <w:t xml:space="preserve"> as they claim this will reduce</w:t>
            </w:r>
            <w:r w:rsidR="003E523B">
              <w:t xml:space="preserve"> transparency </w:t>
            </w:r>
            <w:r w:rsidR="00EE0C43">
              <w:t>for</w:t>
            </w:r>
            <w:r w:rsidR="003E523B">
              <w:t xml:space="preserve"> more than half the volume of PL applications.</w:t>
            </w:r>
            <w:r w:rsidR="0022009C">
              <w:rPr>
                <w:rStyle w:val="FootnoteReference"/>
              </w:rPr>
              <w:footnoteReference w:id="92"/>
            </w:r>
          </w:p>
          <w:p w14:paraId="050B321D" w14:textId="3BFA9E68" w:rsidR="00716F6D" w:rsidRDefault="00C22DD2" w:rsidP="006B2884">
            <w:pPr>
              <w:pStyle w:val="TableExpbullet"/>
              <w:spacing w:before="0" w:after="20"/>
            </w:pPr>
            <w:r w:rsidRPr="287B18E4">
              <w:rPr>
                <w:rFonts w:asciiTheme="majorHAnsi" w:hAnsiTheme="majorHAnsi" w:cstheme="majorBidi"/>
              </w:rPr>
              <w:t>Independent:</w:t>
            </w:r>
            <w:r>
              <w:t xml:space="preserve"> </w:t>
            </w:r>
            <w:r w:rsidR="00A45B2C" w:rsidRPr="005A1456">
              <w:t>The new</w:t>
            </w:r>
            <w:r w:rsidR="00131718" w:rsidRPr="005A1456">
              <w:t xml:space="preserve"> PL governance </w:t>
            </w:r>
            <w:r w:rsidR="00A45B2C" w:rsidRPr="005A1456">
              <w:t xml:space="preserve">has improved their independence from industry. Unlike the previous PLAC, </w:t>
            </w:r>
            <w:r w:rsidR="00131718" w:rsidRPr="005A1456">
              <w:t xml:space="preserve">the MDHTAC does not </w:t>
            </w:r>
            <w:r w:rsidR="00A45B2C" w:rsidRPr="005A1456">
              <w:t>permit any</w:t>
            </w:r>
            <w:r w:rsidR="00F6759B">
              <w:t xml:space="preserve"> </w:t>
            </w:r>
            <w:r w:rsidR="001212F4">
              <w:t>advisory</w:t>
            </w:r>
            <w:r w:rsidR="00131718" w:rsidRPr="005A1456">
              <w:t xml:space="preserve"> </w:t>
            </w:r>
            <w:r w:rsidR="00AE2D18" w:rsidRPr="005A1456">
              <w:t>representation from medical device companies, insurers or hospitals</w:t>
            </w:r>
            <w:r w:rsidR="00A45B2C" w:rsidRPr="005A1456">
              <w:t xml:space="preserve">, which had </w:t>
            </w:r>
            <w:r w:rsidR="001212F4">
              <w:t>previously been critiqued for opening up the PLAC to</w:t>
            </w:r>
            <w:r w:rsidR="001212F4" w:rsidRPr="005A1456">
              <w:t xml:space="preserve"> </w:t>
            </w:r>
            <w:r w:rsidR="00540D4B" w:rsidRPr="005A1456">
              <w:t xml:space="preserve">real or </w:t>
            </w:r>
            <w:r w:rsidR="00FF1C20" w:rsidRPr="005A1456">
              <w:t>perceived</w:t>
            </w:r>
            <w:r w:rsidR="00540D4B" w:rsidRPr="005A1456">
              <w:t xml:space="preserve"> conflict of interests.</w:t>
            </w:r>
            <w:r w:rsidR="00772851">
              <w:rPr>
                <w:rStyle w:val="FootnoteReference"/>
              </w:rPr>
              <w:footnoteReference w:id="93"/>
            </w:r>
            <w:r w:rsidR="00772851">
              <w:t xml:space="preserve"> </w:t>
            </w:r>
            <w:r w:rsidR="00C62E97">
              <w:t>I</w:t>
            </w:r>
            <w:r w:rsidR="00C62E97" w:rsidRPr="00BB2854">
              <w:t>nstead</w:t>
            </w:r>
            <w:r w:rsidR="00BB2854" w:rsidRPr="00BB2854">
              <w:t xml:space="preserve">, the MDHTAC includes one consumer representative, and up to two clinical or health technology assessment experts, who are required to declare potential, perceived or actual conflicts for each meeting being considered. </w:t>
            </w:r>
            <w:r w:rsidR="00540D4B" w:rsidRPr="005A1456">
              <w:t>This change</w:t>
            </w:r>
            <w:r w:rsidR="00F35B45" w:rsidRPr="005A1456">
              <w:t xml:space="preserve"> </w:t>
            </w:r>
            <w:r w:rsidR="005E27EC" w:rsidRPr="005A1456">
              <w:t>has been criticised by the MTAA</w:t>
            </w:r>
            <w:r w:rsidR="00280BCF">
              <w:t xml:space="preserve"> who </w:t>
            </w:r>
            <w:r w:rsidR="00EE7773">
              <w:t>predict</w:t>
            </w:r>
            <w:r w:rsidR="005E27EC" w:rsidRPr="005A1456">
              <w:t xml:space="preserve"> </w:t>
            </w:r>
            <w:r w:rsidR="005A2CAF">
              <w:t xml:space="preserve">this </w:t>
            </w:r>
            <w:r w:rsidR="00EE7773">
              <w:t>removal risk</w:t>
            </w:r>
            <w:r w:rsidR="005028B1">
              <w:t>s</w:t>
            </w:r>
            <w:r w:rsidR="00EE7773" w:rsidRPr="005A1456">
              <w:t xml:space="preserve"> </w:t>
            </w:r>
            <w:r w:rsidR="005E27EC" w:rsidRPr="005A1456">
              <w:t>reduc</w:t>
            </w:r>
            <w:r w:rsidR="00EE7773">
              <w:t>ing</w:t>
            </w:r>
            <w:r w:rsidR="005E27EC" w:rsidRPr="005A1456">
              <w:t xml:space="preserve"> </w:t>
            </w:r>
            <w:r w:rsidR="00FF1C20" w:rsidRPr="005A1456">
              <w:t xml:space="preserve">sector </w:t>
            </w:r>
            <w:r w:rsidR="005E27EC" w:rsidRPr="005A1456">
              <w:t xml:space="preserve">transparency </w:t>
            </w:r>
            <w:r w:rsidR="003C2EDD" w:rsidRPr="005A1456">
              <w:t>and result in inconsistent decision making</w:t>
            </w:r>
            <w:r w:rsidR="0032296E">
              <w:t xml:space="preserve"> in the assessment process</w:t>
            </w:r>
            <w:r w:rsidR="003C2EDD" w:rsidRPr="005A1456">
              <w:t>.</w:t>
            </w:r>
            <w:r w:rsidR="00280BCF">
              <w:t xml:space="preserve"> It is too soon to evaluate the effects of removing these advisors. </w:t>
            </w:r>
          </w:p>
          <w:p w14:paraId="6A37EB4B" w14:textId="189BCFA1" w:rsidR="006633E4" w:rsidRDefault="00C22DD2" w:rsidP="006B2884">
            <w:pPr>
              <w:pStyle w:val="TableExpbullet"/>
              <w:spacing w:before="0" w:after="20"/>
            </w:pPr>
            <w:r>
              <w:rPr>
                <w:rFonts w:asciiTheme="majorHAnsi" w:hAnsiTheme="majorHAnsi" w:cstheme="majorHAnsi"/>
              </w:rPr>
              <w:t>Accountable</w:t>
            </w:r>
            <w:r w:rsidRPr="00C22DD2">
              <w:rPr>
                <w:rFonts w:asciiTheme="majorHAnsi" w:hAnsiTheme="majorHAnsi" w:cstheme="majorHAnsi"/>
              </w:rPr>
              <w:t>:</w:t>
            </w:r>
            <w:r>
              <w:t xml:space="preserve"> </w:t>
            </w:r>
            <w:r w:rsidR="000A2D58" w:rsidRPr="000A2D58">
              <w:t>As with the previous governance arrangement</w:t>
            </w:r>
            <w:r>
              <w:t>s</w:t>
            </w:r>
            <w:r w:rsidR="000A2D58" w:rsidRPr="000A2D58">
              <w:t>, there are no formal mechanisms by which members of the MDHTAC or its ECAGs are accountable for the listing of devices on the PL.</w:t>
            </w:r>
            <w:r>
              <w:t xml:space="preserve"> Advice from these governance bodies </w:t>
            </w:r>
            <w:r w:rsidR="002347F0">
              <w:t xml:space="preserve">is </w:t>
            </w:r>
            <w:r w:rsidR="002347F0" w:rsidRPr="002347F0">
              <w:t xml:space="preserve">independent of the Department, however their recommendations do not need to be taken, and ultimate </w:t>
            </w:r>
            <w:r>
              <w:t>responsibility</w:t>
            </w:r>
            <w:r w:rsidR="002347F0" w:rsidRPr="002347F0">
              <w:t xml:space="preserve"> for the PL rest</w:t>
            </w:r>
            <w:r>
              <w:t>s</w:t>
            </w:r>
            <w:r w:rsidR="002347F0" w:rsidRPr="002347F0">
              <w:t xml:space="preserve"> with the Minister. </w:t>
            </w:r>
          </w:p>
        </w:tc>
      </w:tr>
      <w:tr w:rsidR="00AD4386" w14:paraId="25A67CF6" w14:textId="77777777" w:rsidTr="00364C8C">
        <w:tc>
          <w:tcPr>
            <w:tcW w:w="1560" w:type="dxa"/>
          </w:tcPr>
          <w:p w14:paraId="0B67273C" w14:textId="77777777" w:rsidR="00AD4386" w:rsidRPr="00BB016B" w:rsidRDefault="00AD4386" w:rsidP="001C039D">
            <w:pPr>
              <w:pStyle w:val="TableNheader"/>
            </w:pPr>
            <w:r w:rsidRPr="00B935FD">
              <w:t>Consultative and reflective of Australian community values</w:t>
            </w:r>
          </w:p>
        </w:tc>
        <w:tc>
          <w:tcPr>
            <w:tcW w:w="7451" w:type="dxa"/>
          </w:tcPr>
          <w:p w14:paraId="70D46D86" w14:textId="4F70CD90" w:rsidR="00A22939" w:rsidRDefault="002C4CC5" w:rsidP="006B2884">
            <w:pPr>
              <w:pStyle w:val="TableExpbullet"/>
              <w:spacing w:before="0" w:after="20"/>
            </w:pPr>
            <w:r w:rsidRPr="002C4CC5">
              <w:rPr>
                <w:rFonts w:asciiTheme="majorHAnsi" w:hAnsiTheme="majorHAnsi" w:cstheme="majorHAnsi"/>
              </w:rPr>
              <w:t>Consultative:</w:t>
            </w:r>
            <w:r>
              <w:t xml:space="preserve"> </w:t>
            </w:r>
            <w:r w:rsidR="00957C3B">
              <w:t xml:space="preserve">Internal discussion within the MDHTAC and ECAGs represents the extent to which the PL assessment process involves consultation. Some stakeholders have argued that their exclusion </w:t>
            </w:r>
            <w:r w:rsidR="000907EA">
              <w:t xml:space="preserve">from these discussions will negatively affect the quality and completeness </w:t>
            </w:r>
            <w:r w:rsidR="00BB2854">
              <w:t xml:space="preserve">of information available to inform decision-making. </w:t>
            </w:r>
          </w:p>
          <w:p w14:paraId="5F1E3A11" w14:textId="76FED2D0" w:rsidR="00FB1372" w:rsidRPr="00901B0F" w:rsidRDefault="002C4CC5" w:rsidP="006B2884">
            <w:pPr>
              <w:pStyle w:val="TableExpbullet"/>
              <w:spacing w:before="0" w:after="20"/>
            </w:pPr>
            <w:r w:rsidRPr="002C4CC5">
              <w:rPr>
                <w:rFonts w:asciiTheme="majorHAnsi" w:hAnsiTheme="majorHAnsi" w:cstheme="majorHAnsi"/>
              </w:rPr>
              <w:t>Reflective of Australian community values:</w:t>
            </w:r>
            <w:r>
              <w:t xml:space="preserve"> </w:t>
            </w:r>
            <w:r w:rsidR="00C20B7A">
              <w:t xml:space="preserve">The </w:t>
            </w:r>
            <w:r w:rsidR="00890D9D">
              <w:t>MDHTAC includes one consumer representative</w:t>
            </w:r>
            <w:r w:rsidR="00C20B7A">
              <w:t>, which</w:t>
            </w:r>
            <w:r>
              <w:t xml:space="preserve"> can be taken as an attempt to</w:t>
            </w:r>
            <w:r w:rsidR="00C20B7A">
              <w:t xml:space="preserve"> ensure</w:t>
            </w:r>
            <w:r>
              <w:t xml:space="preserve"> that</w:t>
            </w:r>
            <w:r w:rsidR="00C20B7A">
              <w:t xml:space="preserve"> the perspective</w:t>
            </w:r>
            <w:r>
              <w:t xml:space="preserve"> and interests </w:t>
            </w:r>
            <w:r w:rsidR="00C20B7A">
              <w:t xml:space="preserve">of the Australian community is also considered in </w:t>
            </w:r>
            <w:r>
              <w:t xml:space="preserve">PL assessment </w:t>
            </w:r>
            <w:r w:rsidR="00C20B7A">
              <w:t xml:space="preserve">decision making. </w:t>
            </w:r>
          </w:p>
        </w:tc>
      </w:tr>
      <w:tr w:rsidR="00AD4386" w:rsidRPr="00BB016B" w14:paraId="27F7AA6D" w14:textId="77777777" w:rsidTr="00364C8C">
        <w:trPr>
          <w:trHeight w:val="2358"/>
        </w:trPr>
        <w:tc>
          <w:tcPr>
            <w:tcW w:w="1560" w:type="dxa"/>
          </w:tcPr>
          <w:p w14:paraId="7F14BA96" w14:textId="77777777" w:rsidR="00AD4386" w:rsidRPr="00BB016B" w:rsidRDefault="00AD4386" w:rsidP="001C039D">
            <w:pPr>
              <w:pStyle w:val="TableNheader"/>
            </w:pPr>
            <w:r w:rsidRPr="001A7843">
              <w:t>Administratively efficient</w:t>
            </w:r>
          </w:p>
        </w:tc>
        <w:tc>
          <w:tcPr>
            <w:tcW w:w="7451" w:type="dxa"/>
          </w:tcPr>
          <w:p w14:paraId="3395AB80" w14:textId="0782DD9C" w:rsidR="003641ED" w:rsidRDefault="004D0C7D" w:rsidP="006B2884">
            <w:pPr>
              <w:pStyle w:val="TableExpbullet"/>
              <w:spacing w:before="0" w:after="20"/>
            </w:pPr>
            <w:r>
              <w:t xml:space="preserve">While the introduction of tiered assessment </w:t>
            </w:r>
            <w:r w:rsidR="00FF6375">
              <w:t>pathways</w:t>
            </w:r>
            <w:r>
              <w:t xml:space="preserve"> is</w:t>
            </w:r>
            <w:r w:rsidR="009E27FF">
              <w:t xml:space="preserve"> viewed as a positive</w:t>
            </w:r>
            <w:r>
              <w:t xml:space="preserve"> </w:t>
            </w:r>
            <w:r w:rsidR="00455DB2">
              <w:t>reform</w:t>
            </w:r>
            <w:r w:rsidR="00412C1B">
              <w:t>,</w:t>
            </w:r>
            <w:r>
              <w:t xml:space="preserve"> the </w:t>
            </w:r>
            <w:r w:rsidR="00412C1B">
              <w:t>D</w:t>
            </w:r>
            <w:r>
              <w:t xml:space="preserve">epartment has also noted they </w:t>
            </w:r>
            <w:r w:rsidR="00003D5B">
              <w:t>anticipate that</w:t>
            </w:r>
            <w:r w:rsidR="004C4155">
              <w:t xml:space="preserve"> </w:t>
            </w:r>
            <w:r w:rsidR="00003D5B">
              <w:t>having four distinct</w:t>
            </w:r>
            <w:r>
              <w:t xml:space="preserve"> </w:t>
            </w:r>
            <w:r w:rsidR="00412C1B">
              <w:t>tier</w:t>
            </w:r>
            <w:r w:rsidR="00003D5B">
              <w:t>s of PL</w:t>
            </w:r>
            <w:r w:rsidR="00412C1B">
              <w:t xml:space="preserve"> applications</w:t>
            </w:r>
            <w:r w:rsidR="00FF6375">
              <w:t xml:space="preserve"> will result in more administrative effort.</w:t>
            </w:r>
          </w:p>
          <w:p w14:paraId="5EEB9542" w14:textId="77777777" w:rsidR="00AD4386" w:rsidRPr="00FA5B30" w:rsidRDefault="00752FF1" w:rsidP="006B2884">
            <w:pPr>
              <w:pStyle w:val="TableExpbullet"/>
              <w:spacing w:before="0" w:after="20"/>
            </w:pPr>
            <w:r w:rsidRPr="142900AF">
              <w:rPr>
                <w:lang w:val="en-AU"/>
              </w:rPr>
              <w:t xml:space="preserve">Currently, transitional arrangements are in place for </w:t>
            </w:r>
            <w:r w:rsidR="00EF393D" w:rsidRPr="142900AF">
              <w:rPr>
                <w:lang w:val="en-AU"/>
              </w:rPr>
              <w:t xml:space="preserve">the new tiered pathways wherein </w:t>
            </w:r>
            <w:r w:rsidRPr="142900AF">
              <w:rPr>
                <w:lang w:val="en-AU"/>
              </w:rPr>
              <w:t>sponsors are not charged</w:t>
            </w:r>
            <w:r w:rsidR="00EF393D" w:rsidRPr="142900AF">
              <w:rPr>
                <w:lang w:val="en-AU"/>
              </w:rPr>
              <w:t xml:space="preserve"> </w:t>
            </w:r>
            <w:r w:rsidR="003B3580" w:rsidRPr="142900AF">
              <w:rPr>
                <w:lang w:val="en-AU"/>
              </w:rPr>
              <w:t xml:space="preserve">for an incorrect choice of assessment tier. </w:t>
            </w:r>
            <w:r w:rsidR="00104724" w:rsidRPr="142900AF">
              <w:rPr>
                <w:lang w:val="en-AU"/>
              </w:rPr>
              <w:t>When</w:t>
            </w:r>
            <w:r w:rsidR="003B3580" w:rsidRPr="142900AF">
              <w:rPr>
                <w:lang w:val="en-AU"/>
              </w:rPr>
              <w:t xml:space="preserve"> applications </w:t>
            </w:r>
            <w:r w:rsidR="00104724" w:rsidRPr="142900AF">
              <w:rPr>
                <w:lang w:val="en-AU"/>
              </w:rPr>
              <w:t xml:space="preserve">are </w:t>
            </w:r>
            <w:r w:rsidR="002134F9" w:rsidRPr="142900AF">
              <w:rPr>
                <w:lang w:val="en-AU"/>
              </w:rPr>
              <w:t>received and</w:t>
            </w:r>
            <w:r w:rsidR="003B3580" w:rsidRPr="142900AF">
              <w:rPr>
                <w:lang w:val="en-AU"/>
              </w:rPr>
              <w:t xml:space="preserve"> </w:t>
            </w:r>
            <w:r w:rsidR="00104724" w:rsidRPr="142900AF">
              <w:rPr>
                <w:lang w:val="en-AU"/>
              </w:rPr>
              <w:t>are unsuitable for a specific assessment tier</w:t>
            </w:r>
            <w:r w:rsidR="000B5D80">
              <w:rPr>
                <w:lang w:val="en-AU"/>
              </w:rPr>
              <w:t xml:space="preserve">, </w:t>
            </w:r>
            <w:r w:rsidR="00104724" w:rsidRPr="142900AF">
              <w:rPr>
                <w:lang w:val="en-AU"/>
              </w:rPr>
              <w:t>they</w:t>
            </w:r>
            <w:r w:rsidR="003B3580" w:rsidRPr="142900AF">
              <w:rPr>
                <w:lang w:val="en-AU"/>
              </w:rPr>
              <w:t xml:space="preserve"> </w:t>
            </w:r>
            <w:r w:rsidR="00C62D79" w:rsidRPr="142900AF">
              <w:rPr>
                <w:lang w:val="en-AU"/>
              </w:rPr>
              <w:t>are re</w:t>
            </w:r>
            <w:r w:rsidR="003B3580" w:rsidRPr="142900AF">
              <w:rPr>
                <w:lang w:val="en-AU"/>
              </w:rPr>
              <w:t xml:space="preserve">-directed </w:t>
            </w:r>
            <w:r w:rsidR="00104724" w:rsidRPr="142900AF">
              <w:rPr>
                <w:lang w:val="en-AU"/>
              </w:rPr>
              <w:t xml:space="preserve">to the more appropriate tier manually by the Department. This has culminated in a large volume of unsuitable Tier 1 applications that have had to be manually re-directed </w:t>
            </w:r>
            <w:r w:rsidR="002134F9" w:rsidRPr="142900AF">
              <w:rPr>
                <w:lang w:val="en-AU"/>
              </w:rPr>
              <w:t>by the Department.</w:t>
            </w:r>
            <w:r w:rsidR="00A46252">
              <w:rPr>
                <w:rStyle w:val="FootnoteReference"/>
                <w:lang w:val="en-AU"/>
              </w:rPr>
              <w:footnoteReference w:id="94"/>
            </w:r>
            <w:r w:rsidR="002134F9" w:rsidRPr="142900AF">
              <w:rPr>
                <w:lang w:val="en-AU"/>
              </w:rPr>
              <w:t xml:space="preserve"> </w:t>
            </w:r>
            <w:r w:rsidR="00104724" w:rsidRPr="142900AF">
              <w:rPr>
                <w:lang w:val="en-AU"/>
              </w:rPr>
              <w:t xml:space="preserve"> </w:t>
            </w:r>
          </w:p>
          <w:p w14:paraId="6F804C2F" w14:textId="2433E5AA" w:rsidR="00FD0E6C" w:rsidRPr="005A6D5D" w:rsidRDefault="00FA5B30" w:rsidP="00CB158F">
            <w:pPr>
              <w:pStyle w:val="TableExpbullet"/>
              <w:spacing w:before="0" w:after="20"/>
            </w:pPr>
            <w:r>
              <w:t>Stakeholders and the Department have noted that challenges associated with the rollou</w:t>
            </w:r>
            <w:r w:rsidR="00CB158F">
              <w:t xml:space="preserve">t of the new Health Products Portal (HPP) may have also impacted the efficiency of the new pathways. The HPP is not in scope for this evaluation. </w:t>
            </w:r>
          </w:p>
        </w:tc>
      </w:tr>
      <w:tr w:rsidR="00AD4386" w:rsidRPr="00BB016B" w14:paraId="33E1165D" w14:textId="77777777" w:rsidTr="00364C8C">
        <w:tc>
          <w:tcPr>
            <w:tcW w:w="1560" w:type="dxa"/>
          </w:tcPr>
          <w:p w14:paraId="6351DB1B" w14:textId="77777777" w:rsidR="00AD4386" w:rsidRPr="001A7843" w:rsidRDefault="00AD4386" w:rsidP="001C039D">
            <w:pPr>
              <w:pStyle w:val="TableNheader"/>
            </w:pPr>
            <w:r w:rsidRPr="00FC77B0">
              <w:t>Flexible and fit for purpose</w:t>
            </w:r>
          </w:p>
        </w:tc>
        <w:tc>
          <w:tcPr>
            <w:tcW w:w="7451" w:type="dxa"/>
          </w:tcPr>
          <w:p w14:paraId="45038A65" w14:textId="3B859276" w:rsidR="00BB4393" w:rsidRPr="00020CB9" w:rsidRDefault="005A6D5D" w:rsidP="006B2884">
            <w:pPr>
              <w:pStyle w:val="TableExpbullet"/>
              <w:spacing w:before="0" w:after="20"/>
            </w:pPr>
            <w:r w:rsidRPr="009C1F26">
              <w:t>In previous arrangements</w:t>
            </w:r>
            <w:r w:rsidR="00020CB9">
              <w:t xml:space="preserve"> </w:t>
            </w:r>
            <w:r w:rsidRPr="009C1F26">
              <w:t xml:space="preserve">all </w:t>
            </w:r>
            <w:r w:rsidR="00020CB9">
              <w:t>PL applications</w:t>
            </w:r>
            <w:r w:rsidRPr="009C1F26">
              <w:t xml:space="preserve"> </w:t>
            </w:r>
            <w:r w:rsidR="00020CB9">
              <w:t>underwent</w:t>
            </w:r>
            <w:r w:rsidRPr="009C1F26">
              <w:t xml:space="preserve"> the same overall </w:t>
            </w:r>
            <w:r w:rsidR="00020CB9">
              <w:t xml:space="preserve">assessment </w:t>
            </w:r>
            <w:r w:rsidRPr="009C1F26">
              <w:t>proces</w:t>
            </w:r>
            <w:r w:rsidR="008A4AEF">
              <w:t xml:space="preserve">s, described as </w:t>
            </w:r>
            <w:r w:rsidR="008A4AEF" w:rsidRPr="008A4AEF">
              <w:t>not fit-for-purpose with feedback suggesting it is inefficient, ineffective, and requires improvements</w:t>
            </w:r>
            <w:r w:rsidRPr="009C1F26">
              <w:t>.</w:t>
            </w:r>
            <w:r w:rsidR="00C62E97">
              <w:rPr>
                <w:rStyle w:val="FootnoteReference"/>
              </w:rPr>
              <w:footnoteReference w:id="95"/>
            </w:r>
            <w:r w:rsidRPr="009C1F26">
              <w:t xml:space="preserve"> </w:t>
            </w:r>
            <w:r w:rsidR="009C1F26">
              <w:t xml:space="preserve">Use of tiered </w:t>
            </w:r>
            <w:r w:rsidRPr="009C1F26">
              <w:t xml:space="preserve">pathways provides the </w:t>
            </w:r>
            <w:r w:rsidR="00C0725E" w:rsidRPr="009C1F26">
              <w:t>Department</w:t>
            </w:r>
            <w:r w:rsidRPr="009C1F26">
              <w:t xml:space="preserve"> with a</w:t>
            </w:r>
            <w:r w:rsidR="00AB1DA5">
              <w:t xml:space="preserve"> more</w:t>
            </w:r>
            <w:r w:rsidRPr="009C1F26">
              <w:t xml:space="preserve"> consistent and </w:t>
            </w:r>
            <w:r w:rsidR="00020CB9">
              <w:t>fit-for-purpose</w:t>
            </w:r>
            <w:r w:rsidRPr="009C1F26">
              <w:t xml:space="preserve"> approach to assessing device </w:t>
            </w:r>
            <w:r w:rsidR="00020CB9" w:rsidRPr="009C1F26">
              <w:t>applications</w:t>
            </w:r>
            <w:r w:rsidR="00020CB9">
              <w:t>.</w:t>
            </w:r>
            <w:r w:rsidR="00020CB9" w:rsidRPr="00020CB9">
              <w:t xml:space="preserve"> The</w:t>
            </w:r>
            <w:r w:rsidR="00BB4393" w:rsidRPr="00020CB9">
              <w:t xml:space="preserve"> new PL assessment process </w:t>
            </w:r>
            <w:r w:rsidR="00020CB9" w:rsidRPr="00020CB9">
              <w:t>considers</w:t>
            </w:r>
            <w:r w:rsidR="00BB4393" w:rsidRPr="00020CB9">
              <w:t xml:space="preserve"> the level of complexity that each application requires</w:t>
            </w:r>
            <w:r w:rsidR="002F3F54" w:rsidRPr="00020CB9">
              <w:t xml:space="preserve">, with greater flexibility </w:t>
            </w:r>
            <w:r w:rsidR="00305089">
              <w:t xml:space="preserve">to </w:t>
            </w:r>
            <w:r w:rsidR="00C62D79">
              <w:t>channel effort where it is most required</w:t>
            </w:r>
            <w:r w:rsidR="00EA4BF1">
              <w:t xml:space="preserve">. </w:t>
            </w:r>
          </w:p>
        </w:tc>
      </w:tr>
      <w:tr w:rsidR="00AD4386" w:rsidRPr="00BB016B" w14:paraId="5C06EE27" w14:textId="77777777" w:rsidTr="00364C8C">
        <w:tc>
          <w:tcPr>
            <w:tcW w:w="1560" w:type="dxa"/>
          </w:tcPr>
          <w:p w14:paraId="5D23C72C" w14:textId="77777777" w:rsidR="00AD4386" w:rsidRPr="00FC77B0" w:rsidRDefault="00AD4386" w:rsidP="00F45607">
            <w:pPr>
              <w:pStyle w:val="TableNText"/>
              <w:rPr>
                <w:rFonts w:asciiTheme="majorHAnsi" w:hAnsiTheme="majorHAnsi" w:cstheme="majorHAnsi"/>
              </w:rPr>
            </w:pPr>
            <w:r w:rsidRPr="007B1CE4">
              <w:rPr>
                <w:rFonts w:ascii="Segoe UI Semibold" w:hAnsi="Segoe UI Semibold"/>
                <w:color w:val="00264D" w:themeColor="background2"/>
                <w:sz w:val="18"/>
              </w:rPr>
              <w:t>Informed by robust and relevant evidence</w:t>
            </w:r>
          </w:p>
        </w:tc>
        <w:tc>
          <w:tcPr>
            <w:tcW w:w="7451" w:type="dxa"/>
          </w:tcPr>
          <w:p w14:paraId="0E6A04B3" w14:textId="187DBF6F" w:rsidR="00ED70B5" w:rsidRDefault="00840F2D" w:rsidP="006B2884">
            <w:pPr>
              <w:pStyle w:val="TableExpbullet"/>
              <w:spacing w:before="0" w:after="20"/>
            </w:pPr>
            <w:r w:rsidRPr="00597288">
              <w:t xml:space="preserve">Evidence requirements vary for each assessment pathway tier and have been tailored to be responsive </w:t>
            </w:r>
            <w:r w:rsidR="00597288" w:rsidRPr="00597288">
              <w:t>to the requested PL benefit group and the degree of novelty of the device</w:t>
            </w:r>
            <w:r w:rsidR="00B35BB4">
              <w:t>.</w:t>
            </w:r>
          </w:p>
          <w:p w14:paraId="0EC15661" w14:textId="439D60FD" w:rsidR="00AD4386" w:rsidRDefault="00B54E0A" w:rsidP="006B2884">
            <w:pPr>
              <w:pStyle w:val="TableExpbullet"/>
              <w:spacing w:before="0" w:after="20"/>
            </w:pPr>
            <w:r>
              <w:t xml:space="preserve">Medical device companies have claimed that the new evidence requirements </w:t>
            </w:r>
            <w:r w:rsidR="00691585">
              <w:t>for listing</w:t>
            </w:r>
            <w:r w:rsidR="005B2C88">
              <w:t xml:space="preserve">, </w:t>
            </w:r>
            <w:r w:rsidR="00B955AD" w:rsidRPr="00B955AD">
              <w:t>resulting in new technologies being rejected for listing</w:t>
            </w:r>
            <w:r w:rsidR="00050578">
              <w:t xml:space="preserve"> and</w:t>
            </w:r>
            <w:r w:rsidR="00B955AD" w:rsidRPr="00B955AD">
              <w:t xml:space="preserve"> delays to</w:t>
            </w:r>
            <w:r w:rsidR="00B955AD" w:rsidRPr="00151324">
              <w:t xml:space="preserve"> </w:t>
            </w:r>
            <w:r w:rsidR="00050578">
              <w:t xml:space="preserve">patient </w:t>
            </w:r>
            <w:r w:rsidR="00B955AD" w:rsidRPr="00151324">
              <w:t>access</w:t>
            </w:r>
            <w:r w:rsidR="00EA4BF1">
              <w:t xml:space="preserve">. </w:t>
            </w:r>
          </w:p>
          <w:p w14:paraId="409CD793" w14:textId="473EBA9A" w:rsidR="005A6D5D" w:rsidRPr="005A6D5D" w:rsidRDefault="00613DFC" w:rsidP="006B2884">
            <w:pPr>
              <w:pStyle w:val="TableExpbullet"/>
              <w:spacing w:before="0" w:after="20"/>
              <w:rPr>
                <w:rFonts w:asciiTheme="majorHAnsi" w:hAnsiTheme="majorHAnsi" w:cstheme="majorBidi"/>
              </w:rPr>
            </w:pPr>
            <w:r>
              <w:t>Decision making by the MDHTAC draws on expert advice from the relevant ECAG</w:t>
            </w:r>
            <w:r w:rsidR="007A2487">
              <w:t xml:space="preserve"> and it is important that the number and balance of </w:t>
            </w:r>
            <w:r w:rsidR="007A2487" w:rsidRPr="007A2487">
              <w:t xml:space="preserve">expert </w:t>
            </w:r>
            <w:r w:rsidR="009230B1" w:rsidRPr="007A2487">
              <w:t xml:space="preserve">coverage is </w:t>
            </w:r>
            <w:r w:rsidR="007A2487" w:rsidRPr="007A2487">
              <w:t>correct</w:t>
            </w:r>
            <w:r w:rsidR="009230B1" w:rsidRPr="007A2487">
              <w:t xml:space="preserve">. </w:t>
            </w:r>
            <w:r w:rsidR="007A2487" w:rsidRPr="007A2487">
              <w:t>One stakeholder referred to the fact that o</w:t>
            </w:r>
            <w:r w:rsidR="00E30E03" w:rsidRPr="007A2487">
              <w:t>rthopaedic</w:t>
            </w:r>
            <w:r w:rsidR="007A2487" w:rsidRPr="007A2487">
              <w:t>s</w:t>
            </w:r>
            <w:r w:rsidR="00DF46CD" w:rsidRPr="007A2487">
              <w:t xml:space="preserve"> </w:t>
            </w:r>
            <w:r w:rsidR="007A2487">
              <w:t>is</w:t>
            </w:r>
            <w:r w:rsidR="00DF46CD" w:rsidRPr="007A2487">
              <w:t xml:space="preserve"> a </w:t>
            </w:r>
            <w:r w:rsidR="00E30E03" w:rsidRPr="007A2487">
              <w:t>substantial</w:t>
            </w:r>
            <w:r w:rsidR="00DF46CD" w:rsidRPr="007A2487">
              <w:t xml:space="preserve"> portion</w:t>
            </w:r>
            <w:r w:rsidR="00E30E03" w:rsidRPr="007A2487">
              <w:t xml:space="preserve"> of the PL</w:t>
            </w:r>
            <w:r w:rsidR="007A2487" w:rsidRPr="007A2487">
              <w:t xml:space="preserve">, and that </w:t>
            </w:r>
            <w:r w:rsidR="00891B36">
              <w:t xml:space="preserve">the </w:t>
            </w:r>
            <w:r w:rsidR="009230B1" w:rsidRPr="007A2487">
              <w:t>hips and knee</w:t>
            </w:r>
            <w:r w:rsidR="00891B36">
              <w:t xml:space="preserve"> specialties </w:t>
            </w:r>
            <w:r w:rsidR="009230B1" w:rsidRPr="007A2487">
              <w:t xml:space="preserve">should be split into </w:t>
            </w:r>
            <w:r w:rsidR="002850C1" w:rsidRPr="007A2487">
              <w:t>distinct ECAGs</w:t>
            </w:r>
            <w:r w:rsidR="009230B1" w:rsidRPr="007A2487">
              <w:t xml:space="preserve">, or at least have an equal amount of hip </w:t>
            </w:r>
            <w:r w:rsidR="007A2487" w:rsidRPr="007A2487">
              <w:t>surgeon</w:t>
            </w:r>
            <w:r w:rsidR="00DF46CD" w:rsidRPr="007A2487">
              <w:t xml:space="preserve"> representation </w:t>
            </w:r>
            <w:r w:rsidR="002850C1" w:rsidRPr="007A2487">
              <w:t xml:space="preserve">to ensure voting is not influenced by </w:t>
            </w:r>
            <w:r w:rsidR="00E30E03" w:rsidRPr="007A2487">
              <w:t xml:space="preserve">members without </w:t>
            </w:r>
            <w:r w:rsidR="007A2487" w:rsidRPr="007A2487">
              <w:t>significant</w:t>
            </w:r>
            <w:r w:rsidR="00E30E03" w:rsidRPr="007A2487">
              <w:t xml:space="preserve"> expertise in an area</w:t>
            </w:r>
            <w:r w:rsidR="00EA4BF1" w:rsidRPr="007A2487">
              <w:t>.</w:t>
            </w:r>
            <w:r w:rsidR="00EA4BF1" w:rsidRPr="007A2487">
              <w:rPr>
                <w:rFonts w:asciiTheme="majorHAnsi" w:hAnsiTheme="majorHAnsi" w:cstheme="majorBidi"/>
              </w:rPr>
              <w:t xml:space="preserve"> </w:t>
            </w:r>
          </w:p>
        </w:tc>
      </w:tr>
    </w:tbl>
    <w:p w14:paraId="02988709" w14:textId="3DE01151" w:rsidR="0038046A" w:rsidRDefault="0038046A" w:rsidP="0038046A">
      <w:pPr>
        <w:pStyle w:val="Heading2"/>
      </w:pPr>
      <w:bookmarkStart w:id="83" w:name="_Toc164439321"/>
      <w:bookmarkStart w:id="84" w:name="_Toc181405094"/>
      <w:r>
        <w:lastRenderedPageBreak/>
        <w:t>Objective 7: Develop and implement PL listing reviews and PL compliance frameworks to safeguard the PL Reforms</w:t>
      </w:r>
      <w:bookmarkEnd w:id="83"/>
      <w:bookmarkEnd w:id="84"/>
    </w:p>
    <w:p w14:paraId="315B67C3" w14:textId="38AE8A78" w:rsidR="00336FFD" w:rsidRPr="00164F16" w:rsidRDefault="00164F16" w:rsidP="00336FFD">
      <w:pPr>
        <w:rPr>
          <w:i/>
          <w:iCs/>
          <w:lang w:val="en-AU" w:eastAsia="en-AU"/>
        </w:rPr>
      </w:pPr>
      <w:r>
        <w:rPr>
          <w:i/>
          <w:iCs/>
          <w:lang w:val="en-AU" w:eastAsia="en-AU"/>
        </w:rPr>
        <w:t>This section considers developments related to post-listing reviews</w:t>
      </w:r>
      <w:r w:rsidR="000A7853">
        <w:rPr>
          <w:i/>
          <w:iCs/>
          <w:lang w:val="en-AU" w:eastAsia="en-AU"/>
        </w:rPr>
        <w:t xml:space="preserve">, including the implementation of a guiding framework and </w:t>
      </w:r>
      <w:r w:rsidR="003A4934">
        <w:rPr>
          <w:i/>
          <w:iCs/>
          <w:lang w:val="en-AU" w:eastAsia="en-AU"/>
        </w:rPr>
        <w:t>pilot reviews. This section also considers the i</w:t>
      </w:r>
      <w:r w:rsidR="003A78EC">
        <w:rPr>
          <w:i/>
          <w:iCs/>
          <w:lang w:val="en-AU" w:eastAsia="en-AU"/>
        </w:rPr>
        <w:t>mplementation of a compliance strategy and associated compliance activities. It documents the types of compliance activities conducted and summarises stakeholder perspectives on the reform project.</w:t>
      </w:r>
    </w:p>
    <w:p w14:paraId="6D4E7458" w14:textId="528E8AA6" w:rsidR="00D145C5" w:rsidRDefault="00D145C5" w:rsidP="00D145C5">
      <w:pPr>
        <w:pStyle w:val="Caption"/>
      </w:pPr>
      <w:r>
        <w:t xml:space="preserve">Figure </w:t>
      </w:r>
      <w:r>
        <w:fldChar w:fldCharType="begin"/>
      </w:r>
      <w:r>
        <w:instrText xml:space="preserve"> SEQ Figure \* ARABIC </w:instrText>
      </w:r>
      <w:r>
        <w:fldChar w:fldCharType="separate"/>
      </w:r>
      <w:r w:rsidR="009B5D8D">
        <w:rPr>
          <w:noProof/>
        </w:rPr>
        <w:t>24</w:t>
      </w:r>
      <w:r>
        <w:fldChar w:fldCharType="end"/>
      </w:r>
      <w:r>
        <w:t xml:space="preserve"> | Reform projects related to reform objective 7</w:t>
      </w:r>
    </w:p>
    <w:p w14:paraId="65F40491" w14:textId="5EABAFC2" w:rsidR="003128B1" w:rsidRDefault="00D145C5" w:rsidP="002762EE">
      <w:r w:rsidRPr="009249B7">
        <w:rPr>
          <w:noProof/>
        </w:rPr>
        <w:drawing>
          <wp:inline distT="0" distB="0" distL="0" distR="0" wp14:anchorId="1E02CF9E" wp14:editId="01B3A22E">
            <wp:extent cx="5670550" cy="1030605"/>
            <wp:effectExtent l="0" t="0" r="6350" b="0"/>
            <wp:docPr id="462301194" name="Picture 1" descr="A figure showing Objective 7. PL listing reviews and PL compliance frameworks connected to two reform projects. The projects are post-listing reviews and compli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01194" name="Picture 1" descr="A figure showing Objective 7. PL listing reviews and PL compliance frameworks connected to two reform projects. The projects are post-listing reviews and compliance activities."/>
                    <pic:cNvPicPr/>
                  </pic:nvPicPr>
                  <pic:blipFill>
                    <a:blip r:embed="rId61"/>
                    <a:stretch>
                      <a:fillRect/>
                    </a:stretch>
                  </pic:blipFill>
                  <pic:spPr>
                    <a:xfrm>
                      <a:off x="0" y="0"/>
                      <a:ext cx="5670550" cy="1030605"/>
                    </a:xfrm>
                    <a:prstGeom prst="rect">
                      <a:avLst/>
                    </a:prstGeom>
                  </pic:spPr>
                </pic:pic>
              </a:graphicData>
            </a:graphic>
          </wp:inline>
        </w:drawing>
      </w:r>
    </w:p>
    <w:p w14:paraId="05745F00" w14:textId="349882AF" w:rsidR="002762EE" w:rsidRDefault="00C9170C" w:rsidP="001F5322">
      <w:pPr>
        <w:pStyle w:val="Heading3"/>
      </w:pPr>
      <w:bookmarkStart w:id="85" w:name="_Toc181405095"/>
      <w:r>
        <w:t xml:space="preserve">A </w:t>
      </w:r>
      <w:r w:rsidR="00D96EBD">
        <w:t xml:space="preserve">new </w:t>
      </w:r>
      <w:r>
        <w:t xml:space="preserve">post-listing </w:t>
      </w:r>
      <w:r w:rsidR="003E0DF9">
        <w:t xml:space="preserve">review </w:t>
      </w:r>
      <w:r>
        <w:t xml:space="preserve">framework </w:t>
      </w:r>
      <w:r w:rsidR="00D96EBD">
        <w:t xml:space="preserve">has guided </w:t>
      </w:r>
      <w:r w:rsidR="00BA3010">
        <w:t>four</w:t>
      </w:r>
      <w:r>
        <w:t xml:space="preserve"> pilot</w:t>
      </w:r>
      <w:r w:rsidR="003E0DF9">
        <w:t xml:space="preserve"> </w:t>
      </w:r>
      <w:r w:rsidR="00D96EBD">
        <w:t>reviews</w:t>
      </w:r>
      <w:bookmarkEnd w:id="85"/>
    </w:p>
    <w:p w14:paraId="0588A133" w14:textId="5AAD8A84" w:rsidR="00BA3010" w:rsidRDefault="00125251" w:rsidP="00BA3010">
      <w:pPr>
        <w:pStyle w:val="Bullet"/>
        <w:numPr>
          <w:ilvl w:val="0"/>
          <w:numId w:val="0"/>
        </w:numPr>
        <w:ind w:left="340" w:hanging="340"/>
        <w:rPr>
          <w:rFonts w:ascii="Segoe UI Semibold" w:hAnsi="Segoe UI Semibold"/>
          <w:color w:val="00264D" w:themeColor="background2"/>
          <w:sz w:val="22"/>
        </w:rPr>
      </w:pPr>
      <w:r>
        <w:rPr>
          <w:rFonts w:ascii="Segoe UI Semibold" w:hAnsi="Segoe UI Semibold"/>
          <w:color w:val="00264D" w:themeColor="background2"/>
          <w:sz w:val="22"/>
        </w:rPr>
        <w:t xml:space="preserve">The </w:t>
      </w:r>
      <w:r w:rsidR="00C0725E">
        <w:rPr>
          <w:rFonts w:ascii="Segoe UI Semibold" w:hAnsi="Segoe UI Semibold"/>
          <w:color w:val="00264D" w:themeColor="background2"/>
          <w:sz w:val="22"/>
        </w:rPr>
        <w:t>Department</w:t>
      </w:r>
      <w:r>
        <w:rPr>
          <w:rFonts w:ascii="Segoe UI Semibold" w:hAnsi="Segoe UI Semibold"/>
          <w:color w:val="00264D" w:themeColor="background2"/>
          <w:sz w:val="22"/>
        </w:rPr>
        <w:t xml:space="preserve"> has developed a working</w:t>
      </w:r>
      <w:r w:rsidR="008F0214">
        <w:rPr>
          <w:rFonts w:ascii="Segoe UI Semibold" w:hAnsi="Segoe UI Semibold"/>
          <w:color w:val="00264D" w:themeColor="background2"/>
          <w:sz w:val="22"/>
        </w:rPr>
        <w:t xml:space="preserve"> version of the</w:t>
      </w:r>
      <w:r>
        <w:rPr>
          <w:rFonts w:ascii="Segoe UI Semibold" w:hAnsi="Segoe UI Semibold"/>
          <w:color w:val="00264D" w:themeColor="background2"/>
          <w:sz w:val="22"/>
        </w:rPr>
        <w:t xml:space="preserve"> post-listing review framework </w:t>
      </w:r>
    </w:p>
    <w:p w14:paraId="4D51C2C1" w14:textId="0FEE118E" w:rsidR="00352D04" w:rsidRDefault="00C057D7" w:rsidP="00DF7EFC">
      <w:r w:rsidRPr="00C057D7">
        <w:t xml:space="preserve">The </w:t>
      </w:r>
      <w:r w:rsidR="00C0725E">
        <w:t>Department</w:t>
      </w:r>
      <w:r w:rsidRPr="00C057D7">
        <w:t xml:space="preserve"> released a post-listing review framework on 1 July 2022</w:t>
      </w:r>
      <w:r w:rsidR="00CB5E62">
        <w:t>.</w:t>
      </w:r>
      <w:r w:rsidRPr="00C057D7">
        <w:t xml:space="preserve"> The intent of the framework was to improve post-listing processes and carry out post-market reviews.</w:t>
      </w:r>
      <w:r>
        <w:t xml:space="preserve"> </w:t>
      </w:r>
      <w:r w:rsidR="00D17B74">
        <w:t>The framework outlines the post-listing review process</w:t>
      </w:r>
      <w:r w:rsidR="00755F1F">
        <w:t xml:space="preserve"> for commencing, conducting and implementing a review. The </w:t>
      </w:r>
      <w:r w:rsidR="00C0725E">
        <w:t>Department</w:t>
      </w:r>
      <w:r w:rsidR="00755F1F">
        <w:t xml:space="preserve"> has primary responsibility for post-listing reviews, </w:t>
      </w:r>
      <w:r w:rsidR="00171276">
        <w:t>however,</w:t>
      </w:r>
      <w:r w:rsidR="00755F1F">
        <w:t xml:space="preserve"> relies on affected sponsors to provide key information and data to enable the review. </w:t>
      </w:r>
    </w:p>
    <w:p w14:paraId="1F592572" w14:textId="5B72FE17" w:rsidR="007168F7" w:rsidRDefault="007168F7" w:rsidP="007168F7">
      <w:pPr>
        <w:pStyle w:val="Caption"/>
      </w:pPr>
      <w:r>
        <w:lastRenderedPageBreak/>
        <w:t xml:space="preserve">Figure </w:t>
      </w:r>
      <w:r>
        <w:fldChar w:fldCharType="begin"/>
      </w:r>
      <w:r>
        <w:instrText xml:space="preserve"> SEQ Figure \* ARABIC </w:instrText>
      </w:r>
      <w:r>
        <w:fldChar w:fldCharType="separate"/>
      </w:r>
      <w:r w:rsidR="009B5D8D">
        <w:rPr>
          <w:noProof/>
        </w:rPr>
        <w:t>25</w:t>
      </w:r>
      <w:r>
        <w:fldChar w:fldCharType="end"/>
      </w:r>
      <w:r>
        <w:t xml:space="preserve"> | Timeline of post-listing review reform project</w:t>
      </w:r>
    </w:p>
    <w:p w14:paraId="73F7B0EB" w14:textId="77777777" w:rsidR="007168F7" w:rsidRDefault="00352D04" w:rsidP="007168F7">
      <w:pPr>
        <w:keepNext/>
      </w:pPr>
      <w:r>
        <w:rPr>
          <w:noProof/>
          <w:lang w:val="en-AU" w:eastAsia="en-AU"/>
        </w:rPr>
        <w:drawing>
          <wp:inline distT="0" distB="0" distL="0" distR="0" wp14:anchorId="4A59C5C2" wp14:editId="187DBB32">
            <wp:extent cx="5670550" cy="3373120"/>
            <wp:effectExtent l="0" t="0" r="6350" b="0"/>
            <wp:docPr id="795694749" name="Picture 21" descr="A figure showing the timeline of post-listing reviews. Key dates for the general post listing review reform project, as well as each of the post-listing reviews (metal-backed patella, urogynecological mesh devices, spinal cord stimulators, and surgical guides and biomodels) are shown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4749" name="Picture 21" descr="A figure showing the timeline of post-listing reviews. Key dates for the general post listing review reform project, as well as each of the post-listing reviews (metal-backed patella, urogynecological mesh devices, spinal cord stimulators, and surgical guides and biomodels) are shown in different colours.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70550" cy="3373120"/>
                    </a:xfrm>
                    <a:prstGeom prst="rect">
                      <a:avLst/>
                    </a:prstGeom>
                  </pic:spPr>
                </pic:pic>
              </a:graphicData>
            </a:graphic>
          </wp:inline>
        </w:drawing>
      </w:r>
    </w:p>
    <w:p w14:paraId="4AC96B11" w14:textId="17DE2204" w:rsidR="0035771C" w:rsidRPr="0035771C" w:rsidRDefault="00352D04" w:rsidP="00D158EF">
      <w:pPr>
        <w:pStyle w:val="Heading4"/>
      </w:pPr>
      <w:r>
        <w:t xml:space="preserve">Two out of four reviews </w:t>
      </w:r>
      <w:r w:rsidR="00781A98">
        <w:t xml:space="preserve">have </w:t>
      </w:r>
      <w:r w:rsidR="002A0098">
        <w:t>been finalised</w:t>
      </w:r>
    </w:p>
    <w:p w14:paraId="63042191" w14:textId="0EC8C8EE" w:rsidR="00AE28B3" w:rsidRDefault="00C057D7" w:rsidP="00352D04">
      <w:r w:rsidRPr="683DF977">
        <w:rPr>
          <w:lang w:val="en-AU"/>
        </w:rPr>
        <w:t xml:space="preserve">The </w:t>
      </w:r>
      <w:r w:rsidR="00C0725E" w:rsidRPr="683DF977">
        <w:rPr>
          <w:lang w:val="en-AU"/>
        </w:rPr>
        <w:t>Department</w:t>
      </w:r>
      <w:r w:rsidRPr="683DF977">
        <w:rPr>
          <w:lang w:val="en-AU"/>
        </w:rPr>
        <w:t xml:space="preserve"> has undertaken four pilot reviews on various devices</w:t>
      </w:r>
      <w:r w:rsidR="00CB6B86" w:rsidRPr="683DF977">
        <w:rPr>
          <w:lang w:val="en-AU"/>
        </w:rPr>
        <w:t xml:space="preserve">. </w:t>
      </w:r>
      <w:r w:rsidR="00D93E2D" w:rsidRPr="683DF977">
        <w:rPr>
          <w:lang w:val="en-AU"/>
        </w:rPr>
        <w:t>The anticipated duration of a post-listing review is between 3 – 12 months, depending on its complexity.</w:t>
      </w:r>
      <w:r w:rsidR="00CB5E62" w:rsidRPr="683DF977">
        <w:rPr>
          <w:rStyle w:val="FootnoteReference"/>
          <w:lang w:val="en-AU"/>
        </w:rPr>
        <w:footnoteReference w:id="96"/>
      </w:r>
      <w:r w:rsidR="007F0842" w:rsidRPr="683DF977">
        <w:rPr>
          <w:lang w:val="en-AU"/>
        </w:rPr>
        <w:t xml:space="preserve"> </w:t>
      </w:r>
      <w:r w:rsidR="00032D96" w:rsidRPr="00032D96">
        <w:rPr>
          <w:lang w:val="en-AU"/>
        </w:rPr>
        <w:t>Two out of the four pilot reviews have not been finalised in this timeframe.</w:t>
      </w:r>
      <w:r w:rsidR="00352D04" w:rsidRPr="683DF977">
        <w:rPr>
          <w:lang w:val="en-AU"/>
        </w:rPr>
        <w:t xml:space="preserve"> </w:t>
      </w:r>
      <w:r w:rsidR="00AE28B3" w:rsidRPr="683DF977">
        <w:rPr>
          <w:lang w:val="en-AU"/>
        </w:rPr>
        <w:t xml:space="preserve">The number of parties involved in the review (including sponsors, clinical </w:t>
      </w:r>
      <w:r w:rsidR="003762EC" w:rsidRPr="683DF977">
        <w:rPr>
          <w:lang w:val="en-AU"/>
        </w:rPr>
        <w:t>committees</w:t>
      </w:r>
      <w:r w:rsidR="00AE28B3" w:rsidRPr="683DF977">
        <w:rPr>
          <w:lang w:val="en-AU"/>
        </w:rPr>
        <w:t xml:space="preserve">, </w:t>
      </w:r>
      <w:r w:rsidR="003762EC" w:rsidRPr="683DF977">
        <w:rPr>
          <w:lang w:val="en-AU"/>
        </w:rPr>
        <w:t xml:space="preserve">other stakeholders) and sources of evidence and data (including clinical evidence, guidelines, utilisation data, expert advice, compliance data, </w:t>
      </w:r>
      <w:r w:rsidR="0041113D" w:rsidRPr="683DF977">
        <w:rPr>
          <w:lang w:val="en-AU"/>
        </w:rPr>
        <w:t xml:space="preserve">economic analysis, HTA reports, TGA review) contributes to the complexity and </w:t>
      </w:r>
      <w:r w:rsidR="00EB7F00" w:rsidRPr="683DF977">
        <w:rPr>
          <w:lang w:val="en-AU"/>
        </w:rPr>
        <w:t xml:space="preserve">increased timeframes for conducting a post-listing review. </w:t>
      </w:r>
    </w:p>
    <w:p w14:paraId="64AB1323" w14:textId="2862394A" w:rsidR="00CD09CB" w:rsidRPr="00CD09CB" w:rsidRDefault="003C1067" w:rsidP="003C1067">
      <w:pPr>
        <w:pStyle w:val="Caption"/>
        <w:rPr>
          <w:lang w:eastAsia="en-AU"/>
        </w:rPr>
      </w:pPr>
      <w:r>
        <w:lastRenderedPageBreak/>
        <w:t xml:space="preserve">Table </w:t>
      </w:r>
      <w:r>
        <w:fldChar w:fldCharType="begin"/>
      </w:r>
      <w:r>
        <w:instrText xml:space="preserve"> SEQ Table \* ARABIC </w:instrText>
      </w:r>
      <w:r>
        <w:fldChar w:fldCharType="separate"/>
      </w:r>
      <w:r w:rsidR="009B5D8D">
        <w:rPr>
          <w:noProof/>
        </w:rPr>
        <w:t>13</w:t>
      </w:r>
      <w:r>
        <w:fldChar w:fldCharType="end"/>
      </w:r>
      <w:r>
        <w:t xml:space="preserve"> | </w:t>
      </w:r>
      <w:r w:rsidR="00E12C10">
        <w:t>Pilot pos</w:t>
      </w:r>
      <w:r w:rsidR="00661237">
        <w:t xml:space="preserve">t-listing reviews </w:t>
      </w:r>
      <w:r w:rsidR="006E0D98">
        <w:t>to date</w:t>
      </w:r>
    </w:p>
    <w:tbl>
      <w:tblPr>
        <w:tblStyle w:val="NOUSSideHeader2"/>
        <w:tblW w:w="0" w:type="auto"/>
        <w:tblLook w:val="04A0" w:firstRow="1" w:lastRow="0" w:firstColumn="1" w:lastColumn="0" w:noHBand="0" w:noVBand="1"/>
      </w:tblPr>
      <w:tblGrid>
        <w:gridCol w:w="1542"/>
        <w:gridCol w:w="1191"/>
        <w:gridCol w:w="1263"/>
        <w:gridCol w:w="1770"/>
        <w:gridCol w:w="2172"/>
        <w:gridCol w:w="992"/>
      </w:tblGrid>
      <w:tr w:rsidR="00023BF9" w:rsidRPr="002A67B9" w14:paraId="55D12D19" w14:textId="27D2BA0A" w:rsidTr="0FB6F3D9">
        <w:trPr>
          <w:cnfStyle w:val="100000000000" w:firstRow="1" w:lastRow="0" w:firstColumn="0" w:lastColumn="0" w:oddVBand="0" w:evenVBand="0" w:oddHBand="0" w:evenHBand="0" w:firstRowFirstColumn="0" w:firstRowLastColumn="0" w:lastRowFirstColumn="0" w:lastRowLastColumn="0"/>
        </w:trPr>
        <w:tc>
          <w:tcPr>
            <w:tcW w:w="1542" w:type="dxa"/>
          </w:tcPr>
          <w:p w14:paraId="54AF5B85" w14:textId="542D2E4D" w:rsidR="00CA70D6" w:rsidRPr="002A67B9" w:rsidRDefault="00CA70D6" w:rsidP="00A530B8">
            <w:pPr>
              <w:pStyle w:val="Tableexpheader"/>
              <w:rPr>
                <w:rFonts w:cstheme="minorBidi"/>
                <w:szCs w:val="22"/>
              </w:rPr>
            </w:pPr>
            <w:r>
              <w:t xml:space="preserve">Review </w:t>
            </w:r>
          </w:p>
        </w:tc>
        <w:tc>
          <w:tcPr>
            <w:tcW w:w="1191" w:type="dxa"/>
          </w:tcPr>
          <w:p w14:paraId="6656EFCE" w14:textId="2361115C" w:rsidR="00CA70D6" w:rsidRPr="002A67B9" w:rsidRDefault="00CA70D6" w:rsidP="00A530B8">
            <w:pPr>
              <w:pStyle w:val="Tableexpheader"/>
              <w:rPr>
                <w:rFonts w:cstheme="minorBidi"/>
                <w:szCs w:val="22"/>
              </w:rPr>
            </w:pPr>
            <w:r>
              <w:t xml:space="preserve">Collection of evidence commenced </w:t>
            </w:r>
          </w:p>
        </w:tc>
        <w:tc>
          <w:tcPr>
            <w:tcW w:w="1263" w:type="dxa"/>
          </w:tcPr>
          <w:p w14:paraId="303AAF0B" w14:textId="1C7C88BC" w:rsidR="00CA70D6" w:rsidRPr="002A67B9" w:rsidRDefault="00CA70D6" w:rsidP="00A530B8">
            <w:pPr>
              <w:pStyle w:val="Tableexpheader"/>
              <w:rPr>
                <w:rFonts w:cstheme="minorBidi"/>
                <w:szCs w:val="22"/>
              </w:rPr>
            </w:pPr>
            <w:r>
              <w:t xml:space="preserve">Types of reviews conducted </w:t>
            </w:r>
          </w:p>
        </w:tc>
        <w:tc>
          <w:tcPr>
            <w:tcW w:w="1770" w:type="dxa"/>
          </w:tcPr>
          <w:p w14:paraId="565A007A" w14:textId="46319E23" w:rsidR="00CA70D6" w:rsidRPr="002A67B9" w:rsidRDefault="2AF06C60" w:rsidP="67A34CD3">
            <w:pPr>
              <w:pStyle w:val="Tableexpheader"/>
              <w:numPr>
                <w:ilvl w:val="0"/>
                <w:numId w:val="0"/>
              </w:numPr>
            </w:pPr>
            <w:r>
              <w:t>Key milestones</w:t>
            </w:r>
          </w:p>
        </w:tc>
        <w:tc>
          <w:tcPr>
            <w:tcW w:w="2172" w:type="dxa"/>
          </w:tcPr>
          <w:p w14:paraId="04A53601" w14:textId="663081DF" w:rsidR="00CA70D6" w:rsidRPr="002A67B9" w:rsidRDefault="00CA70D6" w:rsidP="00A530B8">
            <w:pPr>
              <w:pStyle w:val="Tableexpheader"/>
            </w:pPr>
            <w:r>
              <w:t>Review recommendation and outcome achieved</w:t>
            </w:r>
          </w:p>
        </w:tc>
        <w:tc>
          <w:tcPr>
            <w:tcW w:w="992" w:type="dxa"/>
          </w:tcPr>
          <w:p w14:paraId="5A37D5AB" w14:textId="7A7CB77A" w:rsidR="00CA70D6" w:rsidRDefault="00CA70D6" w:rsidP="00A530B8">
            <w:pPr>
              <w:pStyle w:val="Tableexpheader"/>
            </w:pPr>
            <w:r>
              <w:t>Duration</w:t>
            </w:r>
          </w:p>
        </w:tc>
      </w:tr>
      <w:tr w:rsidR="00CA70D6" w:rsidRPr="002A67B9" w14:paraId="503ED94D" w14:textId="4A3731F5" w:rsidTr="0FB6F3D9">
        <w:trPr>
          <w:cnfStyle w:val="000000100000" w:firstRow="0" w:lastRow="0" w:firstColumn="0" w:lastColumn="0" w:oddVBand="0" w:evenVBand="0" w:oddHBand="1" w:evenHBand="0" w:firstRowFirstColumn="0" w:firstRowLastColumn="0" w:lastRowFirstColumn="0" w:lastRowLastColumn="0"/>
        </w:trPr>
        <w:tc>
          <w:tcPr>
            <w:tcW w:w="1542" w:type="dxa"/>
          </w:tcPr>
          <w:p w14:paraId="54BBFDAF" w14:textId="2F3E40D0" w:rsidR="00CA70D6" w:rsidRPr="00CB6B86" w:rsidRDefault="00CA70D6" w:rsidP="00F93426">
            <w:pPr>
              <w:pStyle w:val="TableExpText"/>
              <w:rPr>
                <w:rFonts w:asciiTheme="majorHAnsi" w:hAnsiTheme="majorHAnsi" w:cstheme="majorHAnsi"/>
                <w:szCs w:val="22"/>
              </w:rPr>
            </w:pPr>
            <w:r w:rsidRPr="00CB6B86">
              <w:rPr>
                <w:rFonts w:asciiTheme="majorHAnsi" w:hAnsiTheme="majorHAnsi" w:cstheme="majorHAnsi"/>
              </w:rPr>
              <w:t xml:space="preserve">Metal-backed patellae (MBP) </w:t>
            </w:r>
          </w:p>
        </w:tc>
        <w:tc>
          <w:tcPr>
            <w:tcW w:w="1191" w:type="dxa"/>
          </w:tcPr>
          <w:p w14:paraId="4B00081A" w14:textId="5EA6E0D9" w:rsidR="00CA70D6" w:rsidRPr="002A67B9" w:rsidRDefault="00CA70D6" w:rsidP="00F93426">
            <w:pPr>
              <w:pStyle w:val="TableExpText"/>
              <w:rPr>
                <w:rFonts w:cstheme="minorBidi"/>
                <w:szCs w:val="22"/>
              </w:rPr>
            </w:pPr>
            <w:r>
              <w:t>Aug 2022</w:t>
            </w:r>
          </w:p>
        </w:tc>
        <w:tc>
          <w:tcPr>
            <w:tcW w:w="1263" w:type="dxa"/>
          </w:tcPr>
          <w:p w14:paraId="5B43AC01" w14:textId="5A8D9EDE" w:rsidR="00CA70D6" w:rsidRPr="002A67B9" w:rsidRDefault="00CA70D6" w:rsidP="00F93426">
            <w:pPr>
              <w:pStyle w:val="TableExpText"/>
              <w:rPr>
                <w:rFonts w:cstheme="minorBidi"/>
                <w:szCs w:val="22"/>
              </w:rPr>
            </w:pPr>
            <w:r>
              <w:rPr>
                <w:rFonts w:cstheme="minorBidi"/>
                <w:szCs w:val="22"/>
              </w:rPr>
              <w:t xml:space="preserve">Internal review </w:t>
            </w:r>
          </w:p>
        </w:tc>
        <w:tc>
          <w:tcPr>
            <w:tcW w:w="1770" w:type="dxa"/>
          </w:tcPr>
          <w:p w14:paraId="48169125" w14:textId="77777777" w:rsidR="00842E95" w:rsidRDefault="00842E95" w:rsidP="00F93426">
            <w:pPr>
              <w:pStyle w:val="TableExpText"/>
              <w:rPr>
                <w:rFonts w:cstheme="minorBidi"/>
                <w:szCs w:val="22"/>
              </w:rPr>
            </w:pPr>
            <w:r>
              <w:rPr>
                <w:rFonts w:asciiTheme="majorHAnsi" w:hAnsiTheme="majorHAnsi" w:cstheme="majorHAnsi"/>
                <w:szCs w:val="22"/>
              </w:rPr>
              <w:t>February</w:t>
            </w:r>
            <w:r w:rsidRPr="00CB6B86">
              <w:rPr>
                <w:rFonts w:asciiTheme="majorHAnsi" w:hAnsiTheme="majorHAnsi" w:cstheme="majorHAnsi"/>
                <w:szCs w:val="22"/>
              </w:rPr>
              <w:t xml:space="preserve"> 2023 –</w:t>
            </w:r>
            <w:r>
              <w:rPr>
                <w:rFonts w:cstheme="minorBidi"/>
                <w:szCs w:val="22"/>
              </w:rPr>
              <w:t xml:space="preserve"> Notified sponsors of outcome</w:t>
            </w:r>
          </w:p>
          <w:p w14:paraId="4E2A850B" w14:textId="24CB1AF9" w:rsidR="00CA70D6" w:rsidRPr="002A67B9" w:rsidRDefault="00CA70D6" w:rsidP="00F93426">
            <w:pPr>
              <w:pStyle w:val="TableExpText"/>
              <w:rPr>
                <w:rFonts w:cstheme="minorBidi"/>
                <w:szCs w:val="22"/>
              </w:rPr>
            </w:pPr>
            <w:r w:rsidRPr="00CB6B86">
              <w:rPr>
                <w:rFonts w:asciiTheme="majorHAnsi" w:hAnsiTheme="majorHAnsi" w:cstheme="majorHAnsi"/>
                <w:szCs w:val="22"/>
              </w:rPr>
              <w:t>March 2023 –</w:t>
            </w:r>
            <w:r>
              <w:rPr>
                <w:rFonts w:cstheme="minorBidi"/>
                <w:szCs w:val="22"/>
              </w:rPr>
              <w:t xml:space="preserve"> Internal review finalised</w:t>
            </w:r>
          </w:p>
        </w:tc>
        <w:tc>
          <w:tcPr>
            <w:tcW w:w="2172" w:type="dxa"/>
          </w:tcPr>
          <w:p w14:paraId="3C90B8ED" w14:textId="38B33111" w:rsidR="00CA70D6" w:rsidRPr="002A67B9" w:rsidRDefault="000040A2" w:rsidP="67A34CD3">
            <w:pPr>
              <w:pStyle w:val="TableExpText"/>
              <w:numPr>
                <w:ilvl w:val="0"/>
                <w:numId w:val="0"/>
              </w:numPr>
            </w:pPr>
            <w:r w:rsidRPr="287B18E4">
              <w:rPr>
                <w:rFonts w:asciiTheme="majorHAnsi" w:hAnsiTheme="majorHAnsi" w:cstheme="majorBidi"/>
              </w:rPr>
              <w:t>March 2023 –</w:t>
            </w:r>
            <w:r w:rsidRPr="287B18E4">
              <w:rPr>
                <w:rFonts w:cstheme="minorBidi"/>
              </w:rPr>
              <w:t xml:space="preserve"> R</w:t>
            </w:r>
            <w:r w:rsidR="11A9FAA9">
              <w:t>educed PL benefit for MBP to same amount as</w:t>
            </w:r>
            <w:r w:rsidR="459EBD5D">
              <w:t xml:space="preserve"> an equivalent device;</w:t>
            </w:r>
            <w:r w:rsidR="11A9FAA9">
              <w:t xml:space="preserve"> all-polyethylene patellae</w:t>
            </w:r>
            <w:r w:rsidR="13B33297">
              <w:t xml:space="preserve"> (APP)</w:t>
            </w:r>
            <w:r w:rsidR="00E5482F">
              <w:rPr>
                <w:rStyle w:val="FootnoteReference"/>
              </w:rPr>
              <w:footnoteReference w:id="97"/>
            </w:r>
          </w:p>
        </w:tc>
        <w:tc>
          <w:tcPr>
            <w:tcW w:w="992" w:type="dxa"/>
          </w:tcPr>
          <w:p w14:paraId="42846B1B" w14:textId="660C8251" w:rsidR="00CA70D6" w:rsidRDefault="00CA70D6" w:rsidP="00F93426">
            <w:pPr>
              <w:pStyle w:val="TableExpText"/>
            </w:pPr>
            <w:r>
              <w:t>7 months</w:t>
            </w:r>
          </w:p>
        </w:tc>
      </w:tr>
      <w:tr w:rsidR="00CA70D6" w:rsidRPr="002A67B9" w14:paraId="0577FB8E" w14:textId="4CDF44DC" w:rsidTr="0FB6F3D9">
        <w:trPr>
          <w:cnfStyle w:val="000000010000" w:firstRow="0" w:lastRow="0" w:firstColumn="0" w:lastColumn="0" w:oddVBand="0" w:evenVBand="0" w:oddHBand="0" w:evenHBand="1" w:firstRowFirstColumn="0" w:firstRowLastColumn="0" w:lastRowFirstColumn="0" w:lastRowLastColumn="0"/>
        </w:trPr>
        <w:tc>
          <w:tcPr>
            <w:tcW w:w="1542" w:type="dxa"/>
          </w:tcPr>
          <w:p w14:paraId="162344CE" w14:textId="53CE0FC0" w:rsidR="00CA70D6" w:rsidRPr="00CB6B86" w:rsidRDefault="00CA70D6" w:rsidP="00F93426">
            <w:pPr>
              <w:pStyle w:val="TableExpText"/>
              <w:rPr>
                <w:rFonts w:asciiTheme="majorHAnsi" w:hAnsiTheme="majorHAnsi" w:cstheme="majorHAnsi"/>
                <w:szCs w:val="22"/>
              </w:rPr>
            </w:pPr>
            <w:r w:rsidRPr="00CB6B86">
              <w:rPr>
                <w:rFonts w:asciiTheme="majorHAnsi" w:hAnsiTheme="majorHAnsi" w:cstheme="majorHAnsi"/>
              </w:rPr>
              <w:t>Surgical guides and biomodels</w:t>
            </w:r>
          </w:p>
        </w:tc>
        <w:tc>
          <w:tcPr>
            <w:tcW w:w="1191" w:type="dxa"/>
          </w:tcPr>
          <w:p w14:paraId="6213408A" w14:textId="232F818D" w:rsidR="00CA70D6" w:rsidRPr="002A67B9" w:rsidRDefault="00CA70D6" w:rsidP="00F93426">
            <w:pPr>
              <w:pStyle w:val="TableExpText"/>
              <w:rPr>
                <w:rFonts w:cstheme="minorBidi"/>
                <w:szCs w:val="22"/>
              </w:rPr>
            </w:pPr>
            <w:r>
              <w:t>Sep 2022</w:t>
            </w:r>
          </w:p>
        </w:tc>
        <w:tc>
          <w:tcPr>
            <w:tcW w:w="1263" w:type="dxa"/>
          </w:tcPr>
          <w:p w14:paraId="028D7CE6" w14:textId="77777777" w:rsidR="00CA70D6" w:rsidRDefault="00CA70D6" w:rsidP="00F93426">
            <w:pPr>
              <w:pStyle w:val="TableExpText"/>
              <w:rPr>
                <w:rFonts w:cstheme="minorBidi"/>
                <w:szCs w:val="22"/>
              </w:rPr>
            </w:pPr>
            <w:r>
              <w:rPr>
                <w:rFonts w:cstheme="minorBidi"/>
                <w:szCs w:val="22"/>
              </w:rPr>
              <w:t>Full Health Technology Assessment (HTA)</w:t>
            </w:r>
          </w:p>
          <w:p w14:paraId="179FE6B2" w14:textId="1BF2D90A" w:rsidR="00CA70D6" w:rsidRPr="002A67B9" w:rsidRDefault="00CA70D6" w:rsidP="00F93426">
            <w:pPr>
              <w:pStyle w:val="TableExpText"/>
              <w:rPr>
                <w:rFonts w:cstheme="minorBidi"/>
                <w:szCs w:val="22"/>
              </w:rPr>
            </w:pPr>
            <w:r>
              <w:rPr>
                <w:rFonts w:cstheme="minorBidi"/>
                <w:szCs w:val="22"/>
              </w:rPr>
              <w:t xml:space="preserve">Utilisation review </w:t>
            </w:r>
          </w:p>
        </w:tc>
        <w:tc>
          <w:tcPr>
            <w:tcW w:w="1770" w:type="dxa"/>
          </w:tcPr>
          <w:p w14:paraId="5B4D6964" w14:textId="77777777" w:rsidR="00CA70D6" w:rsidRDefault="00CA70D6" w:rsidP="00F93426">
            <w:pPr>
              <w:pStyle w:val="TableExpText"/>
              <w:rPr>
                <w:rFonts w:cstheme="minorBidi"/>
                <w:szCs w:val="22"/>
              </w:rPr>
            </w:pPr>
            <w:r w:rsidRPr="00CB6B86">
              <w:rPr>
                <w:rFonts w:asciiTheme="majorHAnsi" w:hAnsiTheme="majorHAnsi" w:cstheme="majorHAnsi"/>
                <w:szCs w:val="22"/>
              </w:rPr>
              <w:t>March 2023 –</w:t>
            </w:r>
            <w:r>
              <w:rPr>
                <w:rFonts w:cstheme="minorBidi"/>
                <w:szCs w:val="22"/>
              </w:rPr>
              <w:t xml:space="preserve"> External report provided </w:t>
            </w:r>
          </w:p>
          <w:p w14:paraId="2AB29795" w14:textId="79EAE480" w:rsidR="00CA70D6" w:rsidRDefault="00CA70D6" w:rsidP="00F93426">
            <w:pPr>
              <w:pStyle w:val="TableExpText"/>
              <w:rPr>
                <w:rFonts w:cstheme="minorBidi"/>
                <w:szCs w:val="22"/>
              </w:rPr>
            </w:pPr>
            <w:r w:rsidRPr="00CB6B86">
              <w:rPr>
                <w:rFonts w:asciiTheme="majorHAnsi" w:hAnsiTheme="majorHAnsi" w:cstheme="majorHAnsi"/>
                <w:szCs w:val="22"/>
              </w:rPr>
              <w:t>Sept 2023 –</w:t>
            </w:r>
            <w:r>
              <w:rPr>
                <w:rFonts w:cstheme="minorBidi"/>
                <w:szCs w:val="22"/>
              </w:rPr>
              <w:t xml:space="preserve"> </w:t>
            </w:r>
            <w:r w:rsidR="00363794">
              <w:rPr>
                <w:rFonts w:cstheme="minorBidi"/>
                <w:szCs w:val="22"/>
              </w:rPr>
              <w:t>Provided to MDHTAC for recommendations</w:t>
            </w:r>
          </w:p>
          <w:p w14:paraId="6C61F81A" w14:textId="56CC2B6C" w:rsidR="00CA70D6" w:rsidRPr="002A67B9" w:rsidRDefault="00CA70D6" w:rsidP="00D158EF">
            <w:pPr>
              <w:pStyle w:val="TableExpText"/>
              <w:numPr>
                <w:ilvl w:val="0"/>
                <w:numId w:val="0"/>
              </w:numPr>
              <w:rPr>
                <w:rFonts w:cstheme="minorBidi"/>
              </w:rPr>
            </w:pPr>
          </w:p>
        </w:tc>
        <w:tc>
          <w:tcPr>
            <w:tcW w:w="2172" w:type="dxa"/>
          </w:tcPr>
          <w:p w14:paraId="566C2739" w14:textId="35D0A328" w:rsidR="00CA70D6" w:rsidRPr="002A67B9" w:rsidRDefault="04AD3CBE" w:rsidP="67A34CD3">
            <w:pPr>
              <w:pStyle w:val="TableExpText"/>
              <w:numPr>
                <w:ilvl w:val="0"/>
                <w:numId w:val="0"/>
              </w:numPr>
            </w:pPr>
            <w:r w:rsidRPr="67A34CD3">
              <w:rPr>
                <w:rFonts w:asciiTheme="majorHAnsi" w:hAnsiTheme="majorHAnsi" w:cstheme="majorBidi"/>
              </w:rPr>
              <w:t>November 2023 -</w:t>
            </w:r>
            <w:r>
              <w:t xml:space="preserve"> </w:t>
            </w:r>
            <w:r w:rsidR="11A9FAA9">
              <w:t>Conditions applied to PL reimbursement to limit use to craniomaxillofacial procedures and to restrict the number of surgical guides and biomodels used in a procedure</w:t>
            </w:r>
            <w:r w:rsidR="00CA70D6">
              <w:rPr>
                <w:rStyle w:val="FootnoteReference"/>
              </w:rPr>
              <w:footnoteReference w:id="98"/>
            </w:r>
          </w:p>
        </w:tc>
        <w:tc>
          <w:tcPr>
            <w:tcW w:w="992" w:type="dxa"/>
          </w:tcPr>
          <w:p w14:paraId="2C617C19" w14:textId="432E5D87" w:rsidR="00CA70D6" w:rsidRPr="0076623F" w:rsidRDefault="37B7ED5D" w:rsidP="67A34CD3">
            <w:pPr>
              <w:pStyle w:val="TableExpText"/>
              <w:numPr>
                <w:ilvl w:val="0"/>
                <w:numId w:val="0"/>
              </w:numPr>
              <w:rPr>
                <w:rFonts w:asciiTheme="majorHAnsi" w:hAnsiTheme="majorHAnsi" w:cstheme="majorHAnsi"/>
              </w:rPr>
            </w:pPr>
            <w:r w:rsidRPr="0076623F">
              <w:rPr>
                <w:rFonts w:asciiTheme="majorHAnsi" w:hAnsiTheme="majorHAnsi" w:cstheme="majorHAnsi"/>
              </w:rPr>
              <w:t>Ongoing</w:t>
            </w:r>
          </w:p>
        </w:tc>
      </w:tr>
      <w:tr w:rsidR="00CA70D6" w:rsidRPr="002A67B9" w14:paraId="33FD35AD" w14:textId="1ED9C641" w:rsidTr="0FB6F3D9">
        <w:trPr>
          <w:cnfStyle w:val="000000100000" w:firstRow="0" w:lastRow="0" w:firstColumn="0" w:lastColumn="0" w:oddVBand="0" w:evenVBand="0" w:oddHBand="1" w:evenHBand="0" w:firstRowFirstColumn="0" w:firstRowLastColumn="0" w:lastRowFirstColumn="0" w:lastRowLastColumn="0"/>
        </w:trPr>
        <w:tc>
          <w:tcPr>
            <w:tcW w:w="1542" w:type="dxa"/>
          </w:tcPr>
          <w:p w14:paraId="66FA1EAC" w14:textId="5F09917F" w:rsidR="00CA70D6" w:rsidRPr="00CB6B86" w:rsidRDefault="11A9FAA9" w:rsidP="67A34CD3">
            <w:pPr>
              <w:pStyle w:val="TableExpText"/>
              <w:numPr>
                <w:ilvl w:val="0"/>
                <w:numId w:val="0"/>
              </w:numPr>
              <w:rPr>
                <w:rFonts w:asciiTheme="majorHAnsi" w:hAnsiTheme="majorHAnsi" w:cstheme="majorBidi"/>
              </w:rPr>
            </w:pPr>
            <w:r w:rsidRPr="67A34CD3">
              <w:rPr>
                <w:rFonts w:asciiTheme="majorHAnsi" w:hAnsiTheme="majorHAnsi" w:cstheme="majorBidi"/>
              </w:rPr>
              <w:t xml:space="preserve">Spinal cord stimulators </w:t>
            </w:r>
          </w:p>
        </w:tc>
        <w:tc>
          <w:tcPr>
            <w:tcW w:w="1191" w:type="dxa"/>
          </w:tcPr>
          <w:p w14:paraId="24778D25" w14:textId="0278039F" w:rsidR="00CA70D6" w:rsidRPr="002A67B9" w:rsidRDefault="00CA70D6" w:rsidP="00F93426">
            <w:pPr>
              <w:pStyle w:val="TableExpText"/>
              <w:rPr>
                <w:rFonts w:cstheme="minorBidi"/>
                <w:szCs w:val="22"/>
              </w:rPr>
            </w:pPr>
            <w:r>
              <w:t>Sep 2022</w:t>
            </w:r>
          </w:p>
        </w:tc>
        <w:tc>
          <w:tcPr>
            <w:tcW w:w="1263" w:type="dxa"/>
          </w:tcPr>
          <w:p w14:paraId="196E840F" w14:textId="37A558D6" w:rsidR="00CA70D6" w:rsidRPr="002A67B9" w:rsidRDefault="00CA70D6" w:rsidP="00F93426">
            <w:pPr>
              <w:pStyle w:val="TableExpText"/>
              <w:rPr>
                <w:rFonts w:cstheme="minorBidi"/>
                <w:szCs w:val="22"/>
              </w:rPr>
            </w:pPr>
            <w:r>
              <w:rPr>
                <w:rFonts w:cstheme="minorBidi"/>
                <w:szCs w:val="22"/>
              </w:rPr>
              <w:t>Focused HTA through an external provider</w:t>
            </w:r>
          </w:p>
        </w:tc>
        <w:tc>
          <w:tcPr>
            <w:tcW w:w="1770" w:type="dxa"/>
          </w:tcPr>
          <w:p w14:paraId="38B21CCF" w14:textId="785A1A9B" w:rsidR="00CA70D6" w:rsidRPr="002A67B9" w:rsidRDefault="11A9FAA9" w:rsidP="67A34CD3">
            <w:pPr>
              <w:pStyle w:val="TableExpText"/>
              <w:numPr>
                <w:ilvl w:val="0"/>
                <w:numId w:val="0"/>
              </w:numPr>
              <w:rPr>
                <w:rFonts w:cstheme="minorBidi"/>
              </w:rPr>
            </w:pPr>
            <w:r w:rsidRPr="67A34CD3">
              <w:rPr>
                <w:rFonts w:asciiTheme="majorHAnsi" w:hAnsiTheme="majorHAnsi" w:cstheme="majorBidi"/>
              </w:rPr>
              <w:t>December 2023 –</w:t>
            </w:r>
            <w:r w:rsidRPr="67A34CD3">
              <w:rPr>
                <w:rFonts w:cstheme="minorBidi"/>
              </w:rPr>
              <w:t xml:space="preserve"> </w:t>
            </w:r>
            <w:r w:rsidR="1888586B" w:rsidRPr="67A34CD3">
              <w:rPr>
                <w:rFonts w:cstheme="minorBidi"/>
              </w:rPr>
              <w:t>Report provided to M</w:t>
            </w:r>
            <w:r w:rsidR="63FF3153" w:rsidRPr="67A34CD3">
              <w:rPr>
                <w:rFonts w:cstheme="minorBidi"/>
              </w:rPr>
              <w:t>DH</w:t>
            </w:r>
            <w:r w:rsidRPr="67A34CD3">
              <w:rPr>
                <w:rFonts w:cstheme="minorBidi"/>
              </w:rPr>
              <w:t>TAC</w:t>
            </w:r>
          </w:p>
          <w:p w14:paraId="3FCCEF18" w14:textId="6A930768" w:rsidR="00CA70D6" w:rsidRPr="002A67B9" w:rsidRDefault="31FE36F1" w:rsidP="67A34CD3">
            <w:pPr>
              <w:pStyle w:val="TableExpText"/>
              <w:numPr>
                <w:ilvl w:val="0"/>
                <w:numId w:val="0"/>
              </w:numPr>
              <w:rPr>
                <w:rFonts w:cstheme="minorBidi"/>
              </w:rPr>
            </w:pPr>
            <w:r w:rsidRPr="67A34CD3">
              <w:rPr>
                <w:rFonts w:asciiTheme="majorHAnsi" w:eastAsiaTheme="majorEastAsia" w:hAnsiTheme="majorHAnsi" w:cstheme="majorBidi"/>
              </w:rPr>
              <w:t>November 2023</w:t>
            </w:r>
            <w:r w:rsidRPr="67A34CD3">
              <w:rPr>
                <w:rFonts w:cstheme="minorBidi"/>
              </w:rPr>
              <w:t xml:space="preserve"> – Report provided to Spinal and Neurosurgical Expert Clinical Advisory Group</w:t>
            </w:r>
          </w:p>
        </w:tc>
        <w:tc>
          <w:tcPr>
            <w:tcW w:w="2172" w:type="dxa"/>
          </w:tcPr>
          <w:p w14:paraId="51DF2F16" w14:textId="211EA05A" w:rsidR="00CA70D6" w:rsidRPr="002A67B9" w:rsidRDefault="11A9FAA9" w:rsidP="67A34CD3">
            <w:pPr>
              <w:pStyle w:val="TableExpText"/>
              <w:numPr>
                <w:ilvl w:val="0"/>
                <w:numId w:val="0"/>
              </w:numPr>
            </w:pPr>
            <w:r>
              <w:t>N</w:t>
            </w:r>
            <w:r w:rsidR="779D56B3">
              <w:t>o outcome released at this stage.</w:t>
            </w:r>
          </w:p>
        </w:tc>
        <w:tc>
          <w:tcPr>
            <w:tcW w:w="992" w:type="dxa"/>
          </w:tcPr>
          <w:p w14:paraId="2397714C" w14:textId="6748C812" w:rsidR="00CA70D6" w:rsidRDefault="6BA9EC67" w:rsidP="67A34CD3">
            <w:pPr>
              <w:pStyle w:val="TableExpText"/>
              <w:numPr>
                <w:ilvl w:val="0"/>
                <w:numId w:val="0"/>
              </w:numPr>
              <w:rPr>
                <w:b/>
                <w:bCs/>
              </w:rPr>
            </w:pPr>
            <w:r w:rsidRPr="763FAD9B">
              <w:rPr>
                <w:rFonts w:asciiTheme="majorHAnsi" w:hAnsiTheme="majorHAnsi" w:cstheme="majorBidi"/>
              </w:rPr>
              <w:t>Ongoin</w:t>
            </w:r>
            <w:r w:rsidR="00183829" w:rsidRPr="763FAD9B">
              <w:rPr>
                <w:rFonts w:asciiTheme="majorHAnsi" w:hAnsiTheme="majorHAnsi" w:cstheme="majorBidi"/>
              </w:rPr>
              <w:t>g</w:t>
            </w:r>
            <w:r w:rsidR="00183829" w:rsidRPr="763FAD9B">
              <w:rPr>
                <w:rStyle w:val="FootnoteReference"/>
                <w:rFonts w:asciiTheme="majorHAnsi" w:hAnsiTheme="majorHAnsi" w:cstheme="majorBidi"/>
              </w:rPr>
              <w:footnoteReference w:id="99"/>
            </w:r>
          </w:p>
        </w:tc>
      </w:tr>
      <w:tr w:rsidR="00CA70D6" w:rsidRPr="002A67B9" w14:paraId="44A1AD2D" w14:textId="5FD13052" w:rsidTr="0FB6F3D9">
        <w:trPr>
          <w:cnfStyle w:val="000000010000" w:firstRow="0" w:lastRow="0" w:firstColumn="0" w:lastColumn="0" w:oddVBand="0" w:evenVBand="0" w:oddHBand="0" w:evenHBand="1" w:firstRowFirstColumn="0" w:firstRowLastColumn="0" w:lastRowFirstColumn="0" w:lastRowLastColumn="0"/>
        </w:trPr>
        <w:tc>
          <w:tcPr>
            <w:tcW w:w="1542" w:type="dxa"/>
          </w:tcPr>
          <w:p w14:paraId="5A101A5D" w14:textId="0715F610" w:rsidR="00CA70D6" w:rsidRPr="00CB6B86" w:rsidRDefault="00CA70D6" w:rsidP="00F93426">
            <w:pPr>
              <w:pStyle w:val="TableExpText"/>
              <w:rPr>
                <w:rFonts w:asciiTheme="majorHAnsi" w:hAnsiTheme="majorHAnsi" w:cstheme="majorHAnsi"/>
              </w:rPr>
            </w:pPr>
            <w:r w:rsidRPr="00CB6B86">
              <w:rPr>
                <w:rFonts w:asciiTheme="majorHAnsi" w:hAnsiTheme="majorHAnsi" w:cstheme="majorHAnsi"/>
              </w:rPr>
              <w:t xml:space="preserve">Urogynaecological mesh devices (mid urethral sling) </w:t>
            </w:r>
          </w:p>
        </w:tc>
        <w:tc>
          <w:tcPr>
            <w:tcW w:w="1191" w:type="dxa"/>
          </w:tcPr>
          <w:p w14:paraId="36D05600" w14:textId="6DF552B8" w:rsidR="00CA70D6" w:rsidRDefault="00CA70D6" w:rsidP="00F93426">
            <w:pPr>
              <w:pStyle w:val="TableExpText"/>
            </w:pPr>
            <w:r>
              <w:t>Feb 2023</w:t>
            </w:r>
          </w:p>
        </w:tc>
        <w:tc>
          <w:tcPr>
            <w:tcW w:w="1263" w:type="dxa"/>
          </w:tcPr>
          <w:p w14:paraId="71800D45" w14:textId="6D0E2029" w:rsidR="00CA70D6" w:rsidRPr="002A67B9" w:rsidRDefault="00CA70D6" w:rsidP="00F93426">
            <w:pPr>
              <w:pStyle w:val="TableExpText"/>
            </w:pPr>
            <w:r>
              <w:t xml:space="preserve">Focused HTA through an external provider </w:t>
            </w:r>
          </w:p>
        </w:tc>
        <w:tc>
          <w:tcPr>
            <w:tcW w:w="1770" w:type="dxa"/>
          </w:tcPr>
          <w:p w14:paraId="588A1703" w14:textId="4EEB9392" w:rsidR="00CA70D6" w:rsidRPr="002A67B9" w:rsidRDefault="00CA70D6" w:rsidP="00F93426">
            <w:pPr>
              <w:pStyle w:val="TableExpText"/>
            </w:pPr>
            <w:r w:rsidRPr="00CB6B86">
              <w:rPr>
                <w:rFonts w:asciiTheme="majorHAnsi" w:hAnsiTheme="majorHAnsi" w:cstheme="majorHAnsi"/>
                <w:szCs w:val="22"/>
              </w:rPr>
              <w:t>October 2023 –</w:t>
            </w:r>
            <w:r>
              <w:t xml:space="preserve"> Outcomes implemented </w:t>
            </w:r>
          </w:p>
        </w:tc>
        <w:tc>
          <w:tcPr>
            <w:tcW w:w="2172" w:type="dxa"/>
          </w:tcPr>
          <w:p w14:paraId="44FFC90D" w14:textId="5F337645" w:rsidR="00CA70D6" w:rsidRPr="002A67B9" w:rsidRDefault="11A9FAA9" w:rsidP="67A34CD3">
            <w:pPr>
              <w:pStyle w:val="TableExpText"/>
              <w:numPr>
                <w:ilvl w:val="0"/>
                <w:numId w:val="0"/>
              </w:numPr>
            </w:pPr>
            <w:r>
              <w:t>No change to PL listing</w:t>
            </w:r>
            <w:r w:rsidR="00E6225D">
              <w:rPr>
                <w:rStyle w:val="FootnoteReference"/>
              </w:rPr>
              <w:footnoteReference w:id="100"/>
            </w:r>
          </w:p>
        </w:tc>
        <w:tc>
          <w:tcPr>
            <w:tcW w:w="992" w:type="dxa"/>
          </w:tcPr>
          <w:p w14:paraId="7737A023" w14:textId="0224B7BC" w:rsidR="00CA70D6" w:rsidRDefault="00E96824" w:rsidP="00F93426">
            <w:pPr>
              <w:pStyle w:val="TableExpText"/>
            </w:pPr>
            <w:r>
              <w:t xml:space="preserve">8 months </w:t>
            </w:r>
          </w:p>
        </w:tc>
      </w:tr>
    </w:tbl>
    <w:p w14:paraId="057E92B0" w14:textId="77777777" w:rsidR="008A6D62" w:rsidRPr="00337831" w:rsidRDefault="008A6D62" w:rsidP="00A441AD">
      <w:pPr>
        <w:rPr>
          <w:b/>
          <w:bCs/>
          <w:lang w:val="en-AU" w:eastAsia="en-AU"/>
        </w:rPr>
      </w:pPr>
    </w:p>
    <w:p w14:paraId="6E14A358" w14:textId="624A5D9F" w:rsidR="00710C85" w:rsidRPr="00BA3010" w:rsidRDefault="00AB55AA" w:rsidP="00BA3010">
      <w:pPr>
        <w:pStyle w:val="Bullet"/>
        <w:numPr>
          <w:ilvl w:val="0"/>
          <w:numId w:val="0"/>
        </w:numPr>
        <w:rPr>
          <w:rFonts w:ascii="Segoe UI Semibold" w:hAnsi="Segoe UI Semibold"/>
          <w:color w:val="00264D" w:themeColor="background2"/>
          <w:sz w:val="22"/>
        </w:rPr>
      </w:pPr>
      <w:r w:rsidRPr="67A34CD3">
        <w:rPr>
          <w:rFonts w:ascii="Segoe UI Semibold" w:hAnsi="Segoe UI Semibold"/>
          <w:color w:val="00264D" w:themeColor="background2"/>
          <w:sz w:val="22"/>
          <w:szCs w:val="22"/>
        </w:rPr>
        <w:t>Stakeholders agree that post-listing reviews are</w:t>
      </w:r>
      <w:r w:rsidR="00B50D7E" w:rsidRPr="67A34CD3">
        <w:rPr>
          <w:rFonts w:ascii="Segoe UI Semibold" w:hAnsi="Segoe UI Semibold"/>
          <w:color w:val="00264D" w:themeColor="background2"/>
          <w:sz w:val="22"/>
          <w:szCs w:val="22"/>
        </w:rPr>
        <w:t xml:space="preserve"> time and</w:t>
      </w:r>
      <w:r w:rsidRPr="67A34CD3">
        <w:rPr>
          <w:rFonts w:ascii="Segoe UI Semibold" w:hAnsi="Segoe UI Semibold"/>
          <w:color w:val="00264D" w:themeColor="background2"/>
          <w:sz w:val="22"/>
          <w:szCs w:val="22"/>
        </w:rPr>
        <w:t xml:space="preserve"> resource intensive and </w:t>
      </w:r>
      <w:r w:rsidR="0068410F" w:rsidRPr="67A34CD3">
        <w:rPr>
          <w:rFonts w:ascii="Segoe UI Semibold" w:hAnsi="Segoe UI Semibold"/>
          <w:color w:val="00264D" w:themeColor="background2"/>
          <w:sz w:val="22"/>
          <w:szCs w:val="22"/>
        </w:rPr>
        <w:t>further questions have been raised</w:t>
      </w:r>
      <w:r w:rsidR="00B50D7E" w:rsidRPr="67A34CD3">
        <w:rPr>
          <w:rFonts w:ascii="Segoe UI Semibold" w:hAnsi="Segoe UI Semibold"/>
          <w:color w:val="00264D" w:themeColor="background2"/>
          <w:sz w:val="22"/>
          <w:szCs w:val="22"/>
        </w:rPr>
        <w:t xml:space="preserve"> about </w:t>
      </w:r>
      <w:r w:rsidR="001E1EA6">
        <w:rPr>
          <w:rFonts w:ascii="Segoe UI Semibold" w:hAnsi="Segoe UI Semibold"/>
          <w:color w:val="00264D" w:themeColor="background2"/>
          <w:sz w:val="22"/>
          <w:szCs w:val="22"/>
        </w:rPr>
        <w:t xml:space="preserve">what </w:t>
      </w:r>
      <w:r w:rsidR="0068410F" w:rsidRPr="67A34CD3">
        <w:rPr>
          <w:rFonts w:ascii="Segoe UI Semibold" w:hAnsi="Segoe UI Semibold"/>
          <w:color w:val="00264D" w:themeColor="background2"/>
          <w:sz w:val="22"/>
          <w:szCs w:val="22"/>
        </w:rPr>
        <w:t>conditions should trigger a review</w:t>
      </w:r>
    </w:p>
    <w:p w14:paraId="6FF19E1F" w14:textId="14FD8989" w:rsidR="005B632A" w:rsidRDefault="00F32489" w:rsidP="67A34CD3">
      <w:pPr>
        <w:pStyle w:val="Bullet"/>
        <w:numPr>
          <w:ilvl w:val="0"/>
          <w:numId w:val="0"/>
        </w:numPr>
        <w:rPr>
          <w:rFonts w:asciiTheme="minorHAnsi" w:eastAsiaTheme="minorEastAsia" w:hAnsiTheme="minorHAnsi" w:cstheme="minorBidi"/>
          <w:lang w:eastAsia="en-US"/>
        </w:rPr>
      </w:pPr>
      <w:r w:rsidRPr="67A34CD3">
        <w:rPr>
          <w:rFonts w:asciiTheme="minorHAnsi" w:eastAsiaTheme="minorEastAsia" w:hAnsiTheme="minorHAnsi" w:cstheme="minorBidi"/>
          <w:lang w:eastAsia="en-US"/>
        </w:rPr>
        <w:t>Multiple</w:t>
      </w:r>
      <w:r w:rsidR="6F5E6D83" w:rsidRPr="67A34CD3">
        <w:rPr>
          <w:rFonts w:asciiTheme="minorHAnsi" w:eastAsiaTheme="minorEastAsia" w:hAnsiTheme="minorHAnsi" w:cstheme="minorBidi"/>
          <w:lang w:eastAsia="en-US"/>
        </w:rPr>
        <w:t xml:space="preserve"> stakeholders have </w:t>
      </w:r>
      <w:r w:rsidR="00D27D40">
        <w:rPr>
          <w:rFonts w:asciiTheme="minorHAnsi" w:eastAsiaTheme="minorEastAsia" w:hAnsiTheme="minorHAnsi" w:cstheme="minorBidi"/>
          <w:lang w:eastAsia="en-US"/>
        </w:rPr>
        <w:t>noted</w:t>
      </w:r>
      <w:r w:rsidR="6F5E6D83" w:rsidRPr="67A34CD3">
        <w:rPr>
          <w:rFonts w:asciiTheme="minorHAnsi" w:eastAsiaTheme="minorEastAsia" w:hAnsiTheme="minorHAnsi" w:cstheme="minorBidi"/>
          <w:lang w:eastAsia="en-US"/>
        </w:rPr>
        <w:t xml:space="preserve"> the</w:t>
      </w:r>
      <w:r w:rsidR="00D27D40">
        <w:rPr>
          <w:rFonts w:asciiTheme="minorHAnsi" w:eastAsiaTheme="minorEastAsia" w:hAnsiTheme="minorHAnsi" w:cstheme="minorBidi"/>
          <w:lang w:eastAsia="en-US"/>
        </w:rPr>
        <w:t xml:space="preserve"> </w:t>
      </w:r>
      <w:r w:rsidR="00E67A08">
        <w:rPr>
          <w:rFonts w:asciiTheme="minorHAnsi" w:eastAsiaTheme="minorEastAsia" w:hAnsiTheme="minorHAnsi" w:cstheme="minorBidi"/>
          <w:lang w:eastAsia="en-US"/>
        </w:rPr>
        <w:t>substantial</w:t>
      </w:r>
      <w:r w:rsidR="6F5E6D83" w:rsidRPr="67A34CD3">
        <w:rPr>
          <w:rFonts w:asciiTheme="minorHAnsi" w:eastAsiaTheme="minorEastAsia" w:hAnsiTheme="minorHAnsi" w:cstheme="minorBidi"/>
          <w:lang w:eastAsia="en-US"/>
        </w:rPr>
        <w:t xml:space="preserve"> </w:t>
      </w:r>
      <w:r w:rsidR="00457212">
        <w:rPr>
          <w:rFonts w:asciiTheme="minorHAnsi" w:eastAsiaTheme="minorEastAsia" w:hAnsiTheme="minorHAnsi" w:cstheme="minorBidi"/>
          <w:lang w:eastAsia="en-US"/>
        </w:rPr>
        <w:t>administrative load created by post-listing reviews and the time</w:t>
      </w:r>
      <w:r w:rsidR="6F5E6D83" w:rsidRPr="67A34CD3">
        <w:rPr>
          <w:rFonts w:asciiTheme="minorHAnsi" w:eastAsiaTheme="minorEastAsia" w:hAnsiTheme="minorHAnsi" w:cstheme="minorBidi"/>
          <w:lang w:eastAsia="en-US"/>
        </w:rPr>
        <w:t xml:space="preserve"> taken by the Department to </w:t>
      </w:r>
      <w:r w:rsidR="00457212">
        <w:rPr>
          <w:rFonts w:asciiTheme="minorHAnsi" w:eastAsiaTheme="minorEastAsia" w:hAnsiTheme="minorHAnsi" w:cstheme="minorBidi"/>
          <w:lang w:eastAsia="en-US"/>
        </w:rPr>
        <w:t xml:space="preserve">finalise </w:t>
      </w:r>
      <w:r w:rsidR="00A17C4B">
        <w:rPr>
          <w:rFonts w:asciiTheme="minorHAnsi" w:eastAsiaTheme="minorEastAsia" w:hAnsiTheme="minorHAnsi" w:cstheme="minorBidi"/>
          <w:lang w:eastAsia="en-US"/>
        </w:rPr>
        <w:t xml:space="preserve">the associated outcomes. </w:t>
      </w:r>
      <w:r w:rsidR="005B632A" w:rsidRPr="197CBAEE">
        <w:rPr>
          <w:rFonts w:asciiTheme="minorHAnsi" w:eastAsiaTheme="minorEastAsia" w:hAnsiTheme="minorHAnsi" w:cstheme="minorBidi"/>
          <w:lang w:eastAsia="en-US"/>
        </w:rPr>
        <w:t>Other</w:t>
      </w:r>
      <w:r w:rsidR="44266262" w:rsidRPr="197CBAEE">
        <w:rPr>
          <w:rFonts w:asciiTheme="minorHAnsi" w:eastAsiaTheme="minorEastAsia" w:hAnsiTheme="minorHAnsi" w:cstheme="minorBidi"/>
          <w:lang w:eastAsia="en-US"/>
        </w:rPr>
        <w:t>s</w:t>
      </w:r>
      <w:r w:rsidR="005B632A">
        <w:rPr>
          <w:rFonts w:asciiTheme="minorHAnsi" w:eastAsiaTheme="minorEastAsia" w:hAnsiTheme="minorHAnsi" w:cstheme="minorBidi"/>
          <w:lang w:eastAsia="en-US"/>
        </w:rPr>
        <w:t xml:space="preserve"> have questioned</w:t>
      </w:r>
      <w:r w:rsidR="00E67A08">
        <w:rPr>
          <w:rFonts w:asciiTheme="minorHAnsi" w:eastAsiaTheme="minorEastAsia" w:hAnsiTheme="minorHAnsi" w:cstheme="minorBidi"/>
          <w:lang w:eastAsia="en-US"/>
        </w:rPr>
        <w:t xml:space="preserve"> the </w:t>
      </w:r>
      <w:r w:rsidR="00F0552F">
        <w:rPr>
          <w:rFonts w:asciiTheme="minorHAnsi" w:eastAsiaTheme="minorEastAsia" w:hAnsiTheme="minorHAnsi" w:cstheme="minorBidi"/>
          <w:lang w:eastAsia="en-US"/>
        </w:rPr>
        <w:t xml:space="preserve">lack of transparency around </w:t>
      </w:r>
      <w:r w:rsidR="008158B9">
        <w:rPr>
          <w:rFonts w:asciiTheme="minorHAnsi" w:eastAsiaTheme="minorEastAsia" w:hAnsiTheme="minorHAnsi" w:cstheme="minorBidi"/>
          <w:lang w:eastAsia="en-US"/>
        </w:rPr>
        <w:t xml:space="preserve">conditions for </w:t>
      </w:r>
      <w:r w:rsidR="00CD2E08">
        <w:rPr>
          <w:rFonts w:asciiTheme="minorHAnsi" w:eastAsiaTheme="minorEastAsia" w:hAnsiTheme="minorHAnsi" w:cstheme="minorBidi"/>
          <w:lang w:eastAsia="en-US"/>
        </w:rPr>
        <w:t>initiating</w:t>
      </w:r>
      <w:r w:rsidR="008158B9">
        <w:rPr>
          <w:rFonts w:asciiTheme="minorHAnsi" w:eastAsiaTheme="minorEastAsia" w:hAnsiTheme="minorHAnsi" w:cstheme="minorBidi"/>
          <w:lang w:eastAsia="en-US"/>
        </w:rPr>
        <w:t xml:space="preserve"> a </w:t>
      </w:r>
      <w:r w:rsidR="003A0E50">
        <w:rPr>
          <w:rFonts w:asciiTheme="minorHAnsi" w:eastAsiaTheme="minorEastAsia" w:hAnsiTheme="minorHAnsi" w:cstheme="minorBidi"/>
          <w:lang w:eastAsia="en-US"/>
        </w:rPr>
        <w:t>post-listing review</w:t>
      </w:r>
      <w:r w:rsidR="008158B9">
        <w:rPr>
          <w:rFonts w:asciiTheme="minorHAnsi" w:eastAsiaTheme="minorEastAsia" w:hAnsiTheme="minorHAnsi" w:cstheme="minorBidi"/>
          <w:lang w:eastAsia="en-US"/>
        </w:rPr>
        <w:t xml:space="preserve">, with concerns that this may become a </w:t>
      </w:r>
      <w:r w:rsidR="005A5D73">
        <w:rPr>
          <w:rFonts w:asciiTheme="minorHAnsi" w:eastAsiaTheme="minorEastAsia" w:hAnsiTheme="minorHAnsi" w:cstheme="minorBidi"/>
          <w:lang w:eastAsia="en-US"/>
        </w:rPr>
        <w:t>means</w:t>
      </w:r>
      <w:r w:rsidR="008158B9">
        <w:rPr>
          <w:rFonts w:asciiTheme="minorHAnsi" w:eastAsiaTheme="minorEastAsia" w:hAnsiTheme="minorHAnsi" w:cstheme="minorBidi"/>
          <w:lang w:eastAsia="en-US"/>
        </w:rPr>
        <w:t xml:space="preserve"> </w:t>
      </w:r>
      <w:r w:rsidR="005A5D73">
        <w:rPr>
          <w:rFonts w:asciiTheme="minorHAnsi" w:eastAsiaTheme="minorEastAsia" w:hAnsiTheme="minorHAnsi" w:cstheme="minorBidi"/>
          <w:lang w:eastAsia="en-US"/>
        </w:rPr>
        <w:t>to submit</w:t>
      </w:r>
      <w:r w:rsidR="008158B9">
        <w:rPr>
          <w:rFonts w:asciiTheme="minorHAnsi" w:eastAsiaTheme="minorEastAsia" w:hAnsiTheme="minorHAnsi" w:cstheme="minorBidi"/>
          <w:lang w:eastAsia="en-US"/>
        </w:rPr>
        <w:t xml:space="preserve"> </w:t>
      </w:r>
      <w:r w:rsidR="005A5D73">
        <w:rPr>
          <w:rFonts w:asciiTheme="minorHAnsi" w:eastAsiaTheme="minorEastAsia" w:hAnsiTheme="minorHAnsi" w:cstheme="minorBidi"/>
          <w:lang w:eastAsia="en-US"/>
        </w:rPr>
        <w:t xml:space="preserve">‘unwarranted claims about </w:t>
      </w:r>
      <w:r w:rsidR="00F84028">
        <w:rPr>
          <w:rFonts w:asciiTheme="minorHAnsi" w:eastAsiaTheme="minorEastAsia" w:hAnsiTheme="minorHAnsi" w:cstheme="minorBidi"/>
          <w:lang w:eastAsia="en-US"/>
        </w:rPr>
        <w:t>devices’.</w:t>
      </w:r>
      <w:r w:rsidR="003C1443">
        <w:rPr>
          <w:rFonts w:asciiTheme="minorHAnsi" w:eastAsiaTheme="minorEastAsia" w:hAnsiTheme="minorHAnsi" w:cstheme="minorBidi"/>
          <w:lang w:eastAsia="en-US"/>
        </w:rPr>
        <w:t xml:space="preserve"> </w:t>
      </w:r>
      <w:r w:rsidR="003A28B9">
        <w:rPr>
          <w:rFonts w:asciiTheme="minorHAnsi" w:eastAsiaTheme="minorEastAsia" w:hAnsiTheme="minorHAnsi" w:cstheme="minorBidi"/>
          <w:lang w:eastAsia="en-US"/>
        </w:rPr>
        <w:t xml:space="preserve">Stakeholder perspectives on the current state of post-listing reviews in outlined further in </w:t>
      </w:r>
      <w:r w:rsidR="003A28B9">
        <w:rPr>
          <w:rFonts w:asciiTheme="minorHAnsi" w:eastAsiaTheme="minorEastAsia" w:hAnsiTheme="minorHAnsi" w:cstheme="minorBidi"/>
          <w:lang w:eastAsia="en-US"/>
        </w:rPr>
        <w:fldChar w:fldCharType="begin"/>
      </w:r>
      <w:r w:rsidR="003A28B9">
        <w:rPr>
          <w:rFonts w:asciiTheme="minorHAnsi" w:eastAsiaTheme="minorEastAsia" w:hAnsiTheme="minorHAnsi" w:cstheme="minorBidi"/>
          <w:lang w:eastAsia="en-US"/>
        </w:rPr>
        <w:instrText xml:space="preserve"> REF _Ref172187221 \h </w:instrText>
      </w:r>
      <w:r w:rsidR="003A28B9">
        <w:rPr>
          <w:rFonts w:asciiTheme="minorHAnsi" w:eastAsiaTheme="minorEastAsia" w:hAnsiTheme="minorHAnsi" w:cstheme="minorBidi"/>
          <w:lang w:eastAsia="en-US"/>
        </w:rPr>
      </w:r>
      <w:r w:rsidR="003A28B9">
        <w:rPr>
          <w:rFonts w:asciiTheme="minorHAnsi" w:eastAsiaTheme="minorEastAsia" w:hAnsiTheme="minorHAnsi" w:cstheme="minorBidi"/>
          <w:lang w:eastAsia="en-US"/>
        </w:rPr>
        <w:fldChar w:fldCharType="separate"/>
      </w:r>
      <w:r w:rsidR="009B5D8D">
        <w:t xml:space="preserve">Table </w:t>
      </w:r>
      <w:r w:rsidR="009B5D8D">
        <w:rPr>
          <w:noProof/>
        </w:rPr>
        <w:t>14</w:t>
      </w:r>
      <w:r w:rsidR="003A28B9">
        <w:rPr>
          <w:rFonts w:asciiTheme="minorHAnsi" w:eastAsiaTheme="minorEastAsia" w:hAnsiTheme="minorHAnsi" w:cstheme="minorBidi"/>
          <w:lang w:eastAsia="en-US"/>
        </w:rPr>
        <w:fldChar w:fldCharType="end"/>
      </w:r>
      <w:r w:rsidR="003A28B9">
        <w:rPr>
          <w:rFonts w:asciiTheme="minorHAnsi" w:eastAsiaTheme="minorEastAsia" w:hAnsiTheme="minorHAnsi" w:cstheme="minorBidi"/>
          <w:lang w:eastAsia="en-US"/>
        </w:rPr>
        <w:t xml:space="preserve"> below. </w:t>
      </w:r>
    </w:p>
    <w:p w14:paraId="61E9BECD" w14:textId="10BC0D83" w:rsidR="715DDC8D" w:rsidRPr="004C3184" w:rsidRDefault="0062661F" w:rsidP="004C3184">
      <w:pPr>
        <w:pStyle w:val="Bullet"/>
        <w:numPr>
          <w:ilvl w:val="0"/>
          <w:numId w:val="0"/>
        </w:numPr>
        <w:rPr>
          <w:rFonts w:ascii="Segoe UI Semibold" w:eastAsiaTheme="minorEastAsia" w:hAnsi="Segoe UI Semibold"/>
          <w:color w:val="00264D" w:themeColor="background2"/>
          <w:sz w:val="22"/>
          <w:szCs w:val="22"/>
        </w:rPr>
      </w:pPr>
      <w:r>
        <w:rPr>
          <w:rFonts w:asciiTheme="minorHAnsi" w:eastAsiaTheme="minorEastAsia" w:hAnsiTheme="minorHAnsi" w:cstheme="minorBidi"/>
          <w:lang w:eastAsia="en-US"/>
        </w:rPr>
        <w:t xml:space="preserve">It is anticipated that the </w:t>
      </w:r>
      <w:r w:rsidR="00EB7E30">
        <w:rPr>
          <w:rFonts w:asciiTheme="minorHAnsi" w:eastAsiaTheme="minorEastAsia" w:hAnsiTheme="minorHAnsi" w:cstheme="minorBidi"/>
          <w:lang w:eastAsia="en-US"/>
        </w:rPr>
        <w:t>PL post-listing review framework will be updated</w:t>
      </w:r>
      <w:r>
        <w:rPr>
          <w:rFonts w:asciiTheme="minorHAnsi" w:eastAsiaTheme="minorEastAsia" w:hAnsiTheme="minorHAnsi" w:cstheme="minorBidi"/>
          <w:lang w:eastAsia="en-US"/>
        </w:rPr>
        <w:t xml:space="preserve"> following the conclusion</w:t>
      </w:r>
      <w:r w:rsidR="00EB7E30">
        <w:rPr>
          <w:rFonts w:asciiTheme="minorHAnsi" w:eastAsiaTheme="minorEastAsia" w:hAnsiTheme="minorHAnsi" w:cstheme="minorBidi"/>
          <w:lang w:eastAsia="en-US"/>
        </w:rPr>
        <w:t xml:space="preserve"> of </w:t>
      </w:r>
      <w:r w:rsidR="006E6AE5">
        <w:rPr>
          <w:rFonts w:asciiTheme="minorHAnsi" w:eastAsiaTheme="minorEastAsia" w:hAnsiTheme="minorHAnsi" w:cstheme="minorBidi"/>
          <w:lang w:eastAsia="en-US"/>
        </w:rPr>
        <w:t>the four pilot reviews, and</w:t>
      </w:r>
      <w:r w:rsidR="00755C39">
        <w:rPr>
          <w:rFonts w:asciiTheme="minorHAnsi" w:eastAsiaTheme="minorEastAsia" w:hAnsiTheme="minorHAnsi" w:cstheme="minorBidi"/>
          <w:lang w:eastAsia="en-US"/>
        </w:rPr>
        <w:t xml:space="preserve"> procedure is updated and streamlined based on </w:t>
      </w:r>
      <w:r w:rsidR="000E0094">
        <w:rPr>
          <w:rFonts w:asciiTheme="minorHAnsi" w:eastAsiaTheme="minorEastAsia" w:hAnsiTheme="minorHAnsi" w:cstheme="minorBidi"/>
          <w:lang w:eastAsia="en-US"/>
        </w:rPr>
        <w:t xml:space="preserve">the lessons learned from these pilot reviews. </w:t>
      </w:r>
      <w:r w:rsidR="715DDC8D" w:rsidRPr="67A34CD3">
        <w:rPr>
          <w:rFonts w:asciiTheme="minorHAnsi" w:eastAsiaTheme="minorEastAsia" w:hAnsiTheme="minorHAnsi" w:cstheme="minorBidi"/>
          <w:lang w:eastAsia="en-US"/>
        </w:rPr>
        <w:t xml:space="preserve">For post-listing reviews to play a part in the compliance and assurance safeguarding the PL list the Department will need to </w:t>
      </w:r>
      <w:r w:rsidR="00AB3FD4">
        <w:rPr>
          <w:rFonts w:asciiTheme="minorHAnsi" w:eastAsiaTheme="minorEastAsia" w:hAnsiTheme="minorHAnsi" w:cstheme="minorBidi"/>
          <w:lang w:eastAsia="en-US"/>
        </w:rPr>
        <w:t>ensure there is sufficient</w:t>
      </w:r>
      <w:r w:rsidR="715DDC8D" w:rsidRPr="67A34CD3">
        <w:rPr>
          <w:rFonts w:asciiTheme="minorHAnsi" w:eastAsiaTheme="minorEastAsia" w:hAnsiTheme="minorHAnsi" w:cstheme="minorBidi"/>
          <w:lang w:eastAsia="en-US"/>
        </w:rPr>
        <w:t xml:space="preserve"> </w:t>
      </w:r>
      <w:r w:rsidR="003A0E50">
        <w:rPr>
          <w:rFonts w:asciiTheme="minorHAnsi" w:eastAsiaTheme="minorEastAsia" w:hAnsiTheme="minorHAnsi" w:cstheme="minorBidi"/>
          <w:lang w:eastAsia="en-US"/>
        </w:rPr>
        <w:t>allocation of</w:t>
      </w:r>
      <w:r w:rsidR="715DDC8D" w:rsidRPr="67A34CD3">
        <w:rPr>
          <w:rFonts w:asciiTheme="minorHAnsi" w:eastAsiaTheme="minorEastAsia" w:hAnsiTheme="minorHAnsi" w:cstheme="minorBidi"/>
          <w:lang w:eastAsia="en-US"/>
        </w:rPr>
        <w:t xml:space="preserve"> time and resources in this area</w:t>
      </w:r>
      <w:r w:rsidR="00AB3FD4">
        <w:rPr>
          <w:rFonts w:asciiTheme="minorHAnsi" w:eastAsiaTheme="minorEastAsia" w:hAnsiTheme="minorHAnsi" w:cstheme="minorBidi"/>
          <w:lang w:eastAsia="en-US"/>
        </w:rPr>
        <w:t xml:space="preserve">. Going forward, </w:t>
      </w:r>
      <w:r w:rsidR="003A0E50">
        <w:rPr>
          <w:rFonts w:asciiTheme="minorHAnsi" w:eastAsiaTheme="minorEastAsia" w:hAnsiTheme="minorHAnsi" w:cstheme="minorBidi"/>
          <w:lang w:eastAsia="en-US"/>
        </w:rPr>
        <w:t xml:space="preserve">the Department </w:t>
      </w:r>
      <w:r w:rsidR="003A28B9">
        <w:rPr>
          <w:rFonts w:asciiTheme="minorHAnsi" w:eastAsiaTheme="minorEastAsia" w:hAnsiTheme="minorHAnsi" w:cstheme="minorBidi"/>
          <w:lang w:eastAsia="en-US"/>
        </w:rPr>
        <w:t xml:space="preserve">should </w:t>
      </w:r>
      <w:r w:rsidR="003A0E50">
        <w:rPr>
          <w:rFonts w:asciiTheme="minorHAnsi" w:eastAsiaTheme="minorEastAsia" w:hAnsiTheme="minorHAnsi" w:cstheme="minorBidi"/>
          <w:lang w:eastAsia="en-US"/>
        </w:rPr>
        <w:t>also attempt to</w:t>
      </w:r>
      <w:r w:rsidR="004C3184">
        <w:rPr>
          <w:rFonts w:asciiTheme="minorHAnsi" w:eastAsiaTheme="minorEastAsia" w:hAnsiTheme="minorHAnsi" w:cstheme="minorBidi"/>
          <w:lang w:eastAsia="en-US"/>
        </w:rPr>
        <w:t xml:space="preserve"> prioritise</w:t>
      </w:r>
      <w:r w:rsidR="003A28B9">
        <w:rPr>
          <w:rFonts w:asciiTheme="minorHAnsi" w:eastAsiaTheme="minorEastAsia" w:hAnsiTheme="minorHAnsi" w:cstheme="minorBidi"/>
          <w:lang w:eastAsia="en-US"/>
        </w:rPr>
        <w:t xml:space="preserve"> </w:t>
      </w:r>
      <w:r w:rsidR="004C3184">
        <w:rPr>
          <w:rFonts w:asciiTheme="minorHAnsi" w:eastAsiaTheme="minorEastAsia" w:hAnsiTheme="minorHAnsi" w:cstheme="minorBidi"/>
          <w:lang w:eastAsia="en-US"/>
        </w:rPr>
        <w:t>clear</w:t>
      </w:r>
      <w:r w:rsidR="003A0E50">
        <w:rPr>
          <w:rFonts w:asciiTheme="minorHAnsi" w:eastAsiaTheme="minorEastAsia" w:hAnsiTheme="minorHAnsi" w:cstheme="minorBidi"/>
          <w:lang w:eastAsia="en-US"/>
        </w:rPr>
        <w:t xml:space="preserve"> and timely</w:t>
      </w:r>
      <w:r w:rsidR="004C3184">
        <w:rPr>
          <w:rFonts w:asciiTheme="minorHAnsi" w:eastAsiaTheme="minorEastAsia" w:hAnsiTheme="minorHAnsi" w:cstheme="minorBidi"/>
          <w:lang w:eastAsia="en-US"/>
        </w:rPr>
        <w:t xml:space="preserve"> stakeholder</w:t>
      </w:r>
      <w:r w:rsidR="003A28B9">
        <w:rPr>
          <w:rFonts w:asciiTheme="minorHAnsi" w:eastAsiaTheme="minorEastAsia" w:hAnsiTheme="minorHAnsi" w:cstheme="minorBidi"/>
          <w:lang w:eastAsia="en-US"/>
        </w:rPr>
        <w:t xml:space="preserve"> communication about</w:t>
      </w:r>
      <w:r w:rsidR="004C3184">
        <w:rPr>
          <w:rFonts w:asciiTheme="minorHAnsi" w:eastAsiaTheme="minorEastAsia" w:hAnsiTheme="minorHAnsi" w:cstheme="minorBidi"/>
          <w:lang w:eastAsia="en-US"/>
        </w:rPr>
        <w:t xml:space="preserve"> both the initiation and outcomes of these reviews. </w:t>
      </w:r>
    </w:p>
    <w:p w14:paraId="23E8D2A4" w14:textId="0390D536" w:rsidR="00850A4A" w:rsidRDefault="00E37F94" w:rsidP="00850A4A">
      <w:pPr>
        <w:pStyle w:val="Caption"/>
      </w:pPr>
      <w:bookmarkStart w:id="86" w:name="_Ref172187221"/>
      <w:r>
        <w:lastRenderedPageBreak/>
        <w:t xml:space="preserve">Table </w:t>
      </w:r>
      <w:r>
        <w:fldChar w:fldCharType="begin"/>
      </w:r>
      <w:r>
        <w:instrText xml:space="preserve"> SEQ Table \* ARABIC </w:instrText>
      </w:r>
      <w:r>
        <w:fldChar w:fldCharType="separate"/>
      </w:r>
      <w:r w:rsidR="009B5D8D">
        <w:rPr>
          <w:noProof/>
        </w:rPr>
        <w:t>14</w:t>
      </w:r>
      <w:r>
        <w:fldChar w:fldCharType="end"/>
      </w:r>
      <w:bookmarkEnd w:id="86"/>
      <w:r>
        <w:t xml:space="preserve"> | </w:t>
      </w:r>
      <w:r w:rsidRPr="00525C98">
        <w:t>Stakeholder perspectives on post-listing reviews</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850A4A" w:rsidRPr="00E2213C" w14:paraId="3B9495E9" w14:textId="77777777" w:rsidTr="004251B2">
        <w:trPr>
          <w:trHeight w:val="346"/>
        </w:trPr>
        <w:tc>
          <w:tcPr>
            <w:tcW w:w="1348" w:type="pct"/>
            <w:gridSpan w:val="2"/>
            <w:shd w:val="clear" w:color="auto" w:fill="E6E6E1" w:themeFill="accent5"/>
            <w:vAlign w:val="center"/>
          </w:tcPr>
          <w:p w14:paraId="35E5AA61" w14:textId="77777777" w:rsidR="00850A4A" w:rsidRPr="00E2213C" w:rsidRDefault="00850A4A"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46C62C0C" w14:textId="77777777" w:rsidR="00850A4A" w:rsidRPr="00E2213C" w:rsidRDefault="00850A4A"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850A4A" w:rsidRPr="00E2213C" w14:paraId="7AC546D1" w14:textId="77777777" w:rsidTr="004251B2">
        <w:trPr>
          <w:trHeight w:val="510"/>
        </w:trPr>
        <w:tc>
          <w:tcPr>
            <w:tcW w:w="554" w:type="pct"/>
            <w:shd w:val="clear" w:color="auto" w:fill="00264D" w:themeFill="background2"/>
            <w:vAlign w:val="center"/>
          </w:tcPr>
          <w:p w14:paraId="4E47E568" w14:textId="77777777" w:rsidR="00850A4A" w:rsidRPr="00E2213C" w:rsidRDefault="00850A4A" w:rsidP="004251B2">
            <w:pPr>
              <w:spacing w:before="40" w:after="40"/>
              <w:jc w:val="center"/>
              <w:rPr>
                <w:i/>
                <w:iCs/>
              </w:rPr>
            </w:pPr>
            <w:r w:rsidRPr="00E2213C">
              <w:rPr>
                <w:i/>
                <w:iCs/>
                <w:noProof/>
              </w:rPr>
              <mc:AlternateContent>
                <mc:Choice Requires="wps">
                  <w:drawing>
                    <wp:inline distT="0" distB="0" distL="0" distR="0" wp14:anchorId="329BF9B0" wp14:editId="00E726C1">
                      <wp:extent cx="320633" cy="314696"/>
                      <wp:effectExtent l="0" t="0" r="3810" b="9525"/>
                      <wp:docPr id="1767571992" name="Freeform: Shape 1767571992" descr="Icon of a person wearing a healthcare worker outfit&#10;"/>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09488626" id="Freeform: Shape 1767571992" o:spid="_x0000_s1026" alt="Icon of a person wearing a healthcare worker outfit&#10;"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3738B7D9"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41E1E3D8" w14:textId="77C2BF54" w:rsidR="00CA0364" w:rsidRPr="00E36945" w:rsidRDefault="708E6E41" w:rsidP="00BF7A64">
            <w:pPr>
              <w:pStyle w:val="TableExpBullet0"/>
              <w:rPr>
                <w:lang w:val="en-US" w:eastAsia="en-US"/>
              </w:rPr>
            </w:pPr>
            <w:r w:rsidRPr="45BA846A">
              <w:rPr>
                <w:lang w:val="en-US" w:eastAsia="en-US"/>
              </w:rPr>
              <w:t>E</w:t>
            </w:r>
            <w:r w:rsidR="00CA0364" w:rsidRPr="45BA846A">
              <w:rPr>
                <w:lang w:val="en-US" w:eastAsia="en-US"/>
              </w:rPr>
              <w:t>ach</w:t>
            </w:r>
            <w:r w:rsidR="00CA0364" w:rsidRPr="1BE6EA72">
              <w:rPr>
                <w:lang w:val="en-US" w:eastAsia="en-US"/>
              </w:rPr>
              <w:t xml:space="preserve"> pilot review was unique and had </w:t>
            </w:r>
            <w:r w:rsidR="00CA0364" w:rsidRPr="1BE6EA72">
              <w:rPr>
                <w:lang w:val="en-US"/>
              </w:rPr>
              <w:t>different</w:t>
            </w:r>
            <w:r w:rsidR="00CA0364" w:rsidRPr="1BE6EA72">
              <w:rPr>
                <w:lang w:val="en-US" w:eastAsia="en-US"/>
              </w:rPr>
              <w:t xml:space="preserve"> challenges. </w:t>
            </w:r>
          </w:p>
          <w:p w14:paraId="11EEBA53" w14:textId="136BA92B" w:rsidR="00CA0364" w:rsidRPr="00E36945" w:rsidRDefault="204DABA0" w:rsidP="00BF7A64">
            <w:pPr>
              <w:pStyle w:val="TableExpBullet0"/>
              <w:rPr>
                <w:lang w:val="en-US" w:eastAsia="en-US"/>
              </w:rPr>
            </w:pPr>
            <w:r>
              <w:t>T</w:t>
            </w:r>
            <w:r w:rsidR="6D79E576" w:rsidRPr="734F195E">
              <w:rPr>
                <w:lang w:val="en-US" w:eastAsia="en-US"/>
              </w:rPr>
              <w:t>he</w:t>
            </w:r>
            <w:r w:rsidR="00CA0364" w:rsidRPr="734F195E">
              <w:rPr>
                <w:lang w:val="en-US" w:eastAsia="en-US"/>
              </w:rPr>
              <w:t xml:space="preserve"> findings and conditions imposed following the review of surgical guides and </w:t>
            </w:r>
            <w:r w:rsidR="37D01B7B" w:rsidRPr="734F195E">
              <w:rPr>
                <w:lang w:val="en-US" w:eastAsia="en-US"/>
              </w:rPr>
              <w:t>bio models</w:t>
            </w:r>
            <w:r w:rsidR="00CA0364" w:rsidRPr="734F195E">
              <w:rPr>
                <w:lang w:val="en-US" w:eastAsia="en-US"/>
              </w:rPr>
              <w:t xml:space="preserve"> </w:t>
            </w:r>
            <w:r w:rsidR="00967A6A" w:rsidRPr="734F195E">
              <w:rPr>
                <w:lang w:val="en-US" w:eastAsia="en-US"/>
              </w:rPr>
              <w:t>were</w:t>
            </w:r>
            <w:r w:rsidR="00CA0364" w:rsidRPr="734F195E">
              <w:rPr>
                <w:lang w:val="en-US" w:eastAsia="en-US"/>
              </w:rPr>
              <w:t xml:space="preserve"> </w:t>
            </w:r>
            <w:r w:rsidR="00CA0364" w:rsidRPr="734F195E">
              <w:rPr>
                <w:lang w:val="en-US"/>
              </w:rPr>
              <w:t>problematic</w:t>
            </w:r>
            <w:r w:rsidR="00CA0364" w:rsidRPr="734F195E">
              <w:rPr>
                <w:lang w:val="en-US" w:eastAsia="en-US"/>
              </w:rPr>
              <w:t xml:space="preserve"> due to inadequate planning and consultation about implementation. Overriding </w:t>
            </w:r>
            <w:r w:rsidR="00BF7A64">
              <w:rPr>
                <w:lang w:val="en-US" w:eastAsia="en-US"/>
              </w:rPr>
              <w:t>initial</w:t>
            </w:r>
            <w:r w:rsidR="00CA0364" w:rsidRPr="734F195E">
              <w:rPr>
                <w:lang w:val="en-US" w:eastAsia="en-US"/>
              </w:rPr>
              <w:t xml:space="preserve"> changes and reintroduction of conditions </w:t>
            </w:r>
            <w:r w:rsidR="00967A6A" w:rsidRPr="734F195E">
              <w:rPr>
                <w:lang w:val="en-US" w:eastAsia="en-US"/>
              </w:rPr>
              <w:t>were</w:t>
            </w:r>
            <w:r w:rsidR="00CA0364" w:rsidRPr="734F195E">
              <w:rPr>
                <w:lang w:val="en-US" w:eastAsia="en-US"/>
              </w:rPr>
              <w:t xml:space="preserve"> required due to this confusion, and disputes are ongoing. </w:t>
            </w:r>
          </w:p>
          <w:p w14:paraId="15F1DD58" w14:textId="4C897598" w:rsidR="00850A4A" w:rsidRPr="00196216" w:rsidRDefault="00BF7A64" w:rsidP="00C173DC">
            <w:pPr>
              <w:pStyle w:val="TableExpBullet0"/>
            </w:pPr>
            <w:r>
              <w:rPr>
                <w:lang w:val="en-US"/>
              </w:rPr>
              <w:t>There</w:t>
            </w:r>
            <w:r w:rsidR="00CA0364" w:rsidRPr="2BB81676">
              <w:rPr>
                <w:lang w:val="en-US"/>
              </w:rPr>
              <w:t xml:space="preserve"> is </w:t>
            </w:r>
            <w:r>
              <w:rPr>
                <w:lang w:val="en-US"/>
              </w:rPr>
              <w:t>a</w:t>
            </w:r>
            <w:r w:rsidR="00CA0364" w:rsidRPr="2BB81676">
              <w:rPr>
                <w:lang w:val="en-US"/>
              </w:rPr>
              <w:t xml:space="preserve"> risk </w:t>
            </w:r>
            <w:r>
              <w:rPr>
                <w:lang w:val="en-US"/>
              </w:rPr>
              <w:t>that</w:t>
            </w:r>
            <w:r w:rsidR="00CA0364" w:rsidRPr="2BB81676">
              <w:rPr>
                <w:lang w:val="en-US"/>
              </w:rPr>
              <w:t xml:space="preserve"> </w:t>
            </w:r>
            <w:r>
              <w:rPr>
                <w:lang w:val="en-US"/>
              </w:rPr>
              <w:t>the post-listing review</w:t>
            </w:r>
            <w:r w:rsidR="00CA0364" w:rsidRPr="2BB81676">
              <w:rPr>
                <w:lang w:val="en-US"/>
              </w:rPr>
              <w:t xml:space="preserve"> process </w:t>
            </w:r>
            <w:r>
              <w:rPr>
                <w:lang w:val="en-US"/>
              </w:rPr>
              <w:t>can</w:t>
            </w:r>
            <w:r w:rsidR="00CA0364" w:rsidRPr="2BB81676">
              <w:rPr>
                <w:lang w:val="en-US"/>
              </w:rPr>
              <w:t xml:space="preserve"> be misappropriated with the intent to challenge items on the list without due cause</w:t>
            </w:r>
            <w:r w:rsidR="00EA4BF1" w:rsidRPr="2BB81676">
              <w:rPr>
                <w:lang w:val="en-US"/>
              </w:rPr>
              <w:t xml:space="preserve">. </w:t>
            </w:r>
          </w:p>
        </w:tc>
      </w:tr>
      <w:tr w:rsidR="00850A4A" w:rsidRPr="00E2213C" w14:paraId="21274B4F" w14:textId="77777777" w:rsidTr="004251B2">
        <w:trPr>
          <w:trHeight w:val="421"/>
        </w:trPr>
        <w:tc>
          <w:tcPr>
            <w:tcW w:w="554" w:type="pct"/>
            <w:shd w:val="clear" w:color="auto" w:fill="00264D" w:themeFill="background2"/>
            <w:vAlign w:val="center"/>
          </w:tcPr>
          <w:p w14:paraId="7D3AB58F" w14:textId="77777777" w:rsidR="00850A4A" w:rsidRPr="00E2213C" w:rsidRDefault="00850A4A" w:rsidP="004251B2">
            <w:pPr>
              <w:spacing w:before="40" w:after="40"/>
              <w:jc w:val="center"/>
              <w:rPr>
                <w:i/>
                <w:iCs/>
              </w:rPr>
            </w:pPr>
            <w:r w:rsidRPr="00E2213C">
              <w:rPr>
                <w:i/>
                <w:iCs/>
                <w:noProof/>
              </w:rPr>
              <mc:AlternateContent>
                <mc:Choice Requires="wps">
                  <w:drawing>
                    <wp:inline distT="0" distB="0" distL="0" distR="0" wp14:anchorId="717FEFC1" wp14:editId="19FDBE09">
                      <wp:extent cx="292311" cy="292311"/>
                      <wp:effectExtent l="0" t="0" r="0" b="0"/>
                      <wp:docPr id="1935761334" name="Freeform: Shape 1935761334"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E9D4931" id="Freeform: Shape 1935761334"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5054360B"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464AA60F" w14:textId="77777777" w:rsidR="00BF7A64" w:rsidRDefault="3C93C49D" w:rsidP="00BF7A64">
            <w:pPr>
              <w:pStyle w:val="TableNBullet"/>
            </w:pPr>
            <w:r>
              <w:t>P</w:t>
            </w:r>
            <w:r w:rsidR="42D48AE8">
              <w:t>ost</w:t>
            </w:r>
            <w:r w:rsidR="00A4679B">
              <w:t xml:space="preserve">-listing reviews have not been prioritised, especially when </w:t>
            </w:r>
            <w:r w:rsidR="000B44FC">
              <w:t>compared</w:t>
            </w:r>
            <w:r w:rsidR="00A4679B">
              <w:t xml:space="preserve"> to the activity to manage new listings</w:t>
            </w:r>
            <w:r w:rsidR="00970B72">
              <w:t xml:space="preserve">. </w:t>
            </w:r>
          </w:p>
          <w:p w14:paraId="3D0C1296" w14:textId="5382BDA5" w:rsidR="00850A4A" w:rsidRDefault="00C0725E" w:rsidP="00BF7A64">
            <w:pPr>
              <w:pStyle w:val="TableNBullet"/>
            </w:pPr>
            <w:r>
              <w:t>Department</w:t>
            </w:r>
            <w:r w:rsidR="00970B72">
              <w:t>al resources are insufficient and unbalanced</w:t>
            </w:r>
            <w:r w:rsidR="00F616DD">
              <w:t>,</w:t>
            </w:r>
            <w:r w:rsidR="00970B72">
              <w:t xml:space="preserve"> </w:t>
            </w:r>
            <w:r w:rsidR="6F38DED7">
              <w:t>leading to</w:t>
            </w:r>
            <w:r w:rsidR="000B44FC">
              <w:t xml:space="preserve"> post-listing reviews </w:t>
            </w:r>
            <w:r w:rsidR="041B5F02">
              <w:t>being</w:t>
            </w:r>
            <w:r w:rsidR="000B44FC">
              <w:t xml:space="preserve"> </w:t>
            </w:r>
            <w:r w:rsidR="003A0E50">
              <w:t>long</w:t>
            </w:r>
            <w:r w:rsidR="70FEFCB0">
              <w:t xml:space="preserve"> and </w:t>
            </w:r>
            <w:r w:rsidR="003A0E50">
              <w:t>drawn-out</w:t>
            </w:r>
            <w:r w:rsidR="555D9EA9">
              <w:t>.</w:t>
            </w:r>
          </w:p>
          <w:p w14:paraId="6661FFBF" w14:textId="478E3579" w:rsidR="00B9597B" w:rsidRDefault="1E19BC59" w:rsidP="00C173DC">
            <w:pPr>
              <w:pStyle w:val="TableExpBullet0"/>
              <w:rPr>
                <w:szCs w:val="17"/>
              </w:rPr>
            </w:pPr>
            <w:r w:rsidRPr="16355DF8">
              <w:rPr>
                <w:szCs w:val="17"/>
              </w:rPr>
              <w:t>T</w:t>
            </w:r>
            <w:r w:rsidR="1FF5E549" w:rsidRPr="7502720F">
              <w:rPr>
                <w:szCs w:val="17"/>
              </w:rPr>
              <w:t>he</w:t>
            </w:r>
            <w:r w:rsidR="00B9597B" w:rsidRPr="3DE3C742">
              <w:rPr>
                <w:szCs w:val="17"/>
              </w:rPr>
              <w:t xml:space="preserve"> </w:t>
            </w:r>
            <w:r w:rsidR="00C0725E">
              <w:rPr>
                <w:szCs w:val="17"/>
              </w:rPr>
              <w:t>Department</w:t>
            </w:r>
            <w:r w:rsidR="00B9597B" w:rsidRPr="3DE3C742">
              <w:rPr>
                <w:szCs w:val="17"/>
              </w:rPr>
              <w:t xml:space="preserve"> can improve </w:t>
            </w:r>
            <w:r w:rsidR="00424FC5" w:rsidRPr="3DE3C742">
              <w:rPr>
                <w:szCs w:val="17"/>
              </w:rPr>
              <w:t xml:space="preserve">the way </w:t>
            </w:r>
            <w:r w:rsidR="004C2A54" w:rsidRPr="3DE3C742">
              <w:rPr>
                <w:szCs w:val="17"/>
              </w:rPr>
              <w:t>results and recommendations</w:t>
            </w:r>
            <w:r w:rsidR="00B9597B" w:rsidRPr="3DE3C742">
              <w:rPr>
                <w:szCs w:val="17"/>
              </w:rPr>
              <w:t xml:space="preserve"> of post-listing reviews </w:t>
            </w:r>
            <w:r w:rsidR="004C2A54" w:rsidRPr="3DE3C742">
              <w:rPr>
                <w:szCs w:val="17"/>
              </w:rPr>
              <w:t>are communicated</w:t>
            </w:r>
            <w:r w:rsidR="00A7047B" w:rsidRPr="3DE3C742">
              <w:rPr>
                <w:szCs w:val="17"/>
              </w:rPr>
              <w:t>.</w:t>
            </w:r>
          </w:p>
          <w:p w14:paraId="49AA3104" w14:textId="16174053" w:rsidR="00A7047B" w:rsidRPr="00E2213C" w:rsidRDefault="00BF7A64" w:rsidP="00C173DC">
            <w:pPr>
              <w:pStyle w:val="TableExpBullet0"/>
            </w:pPr>
            <w:r>
              <w:t>The</w:t>
            </w:r>
            <w:r w:rsidR="00A7047B">
              <w:t xml:space="preserve"> review of </w:t>
            </w:r>
            <w:r w:rsidR="009774ED">
              <w:t>spinal</w:t>
            </w:r>
            <w:r w:rsidR="001F239C">
              <w:t xml:space="preserve"> cord</w:t>
            </w:r>
            <w:r w:rsidR="009774ED">
              <w:t xml:space="preserve"> stimulators </w:t>
            </w:r>
            <w:r w:rsidR="00EC7A34">
              <w:t xml:space="preserve">does not appear to have produced anything to help address the existing issues. </w:t>
            </w:r>
            <w:r w:rsidR="00A7047B">
              <w:t xml:space="preserve"> </w:t>
            </w:r>
          </w:p>
        </w:tc>
      </w:tr>
      <w:tr w:rsidR="00850A4A" w:rsidRPr="00E2213C" w14:paraId="0179A42D" w14:textId="77777777" w:rsidTr="004251B2">
        <w:trPr>
          <w:trHeight w:val="857"/>
        </w:trPr>
        <w:tc>
          <w:tcPr>
            <w:tcW w:w="554" w:type="pct"/>
            <w:shd w:val="clear" w:color="auto" w:fill="00264D" w:themeFill="background2"/>
            <w:vAlign w:val="center"/>
          </w:tcPr>
          <w:p w14:paraId="7B80DBE7" w14:textId="77777777" w:rsidR="00850A4A" w:rsidRPr="00E2213C" w:rsidRDefault="00850A4A" w:rsidP="004251B2">
            <w:pPr>
              <w:spacing w:before="40" w:after="40"/>
              <w:jc w:val="center"/>
              <w:rPr>
                <w:i/>
                <w:iCs/>
              </w:rPr>
            </w:pPr>
            <w:r w:rsidRPr="00E2213C">
              <w:rPr>
                <w:i/>
                <w:iCs/>
                <w:noProof/>
              </w:rPr>
              <w:drawing>
                <wp:inline distT="0" distB="0" distL="0" distR="0" wp14:anchorId="115D2971" wp14:editId="28B52F20">
                  <wp:extent cx="309245" cy="336734"/>
                  <wp:effectExtent l="0" t="0" r="0" b="6350"/>
                  <wp:docPr id="1991245518" name="Graphic 1991245518" descr="Icon of a microscope ">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45518" name="Graphic 1991245518" descr="Icon of a microscope ">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198134B1"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4945B57F" w14:textId="792EF706" w:rsidR="00850A4A" w:rsidRDefault="00B102EE" w:rsidP="00C173DC">
            <w:pPr>
              <w:pStyle w:val="TableExpBullet0"/>
            </w:pPr>
            <w:r>
              <w:t>P</w:t>
            </w:r>
            <w:r w:rsidR="00B645E1">
              <w:t xml:space="preserve">ost-listing reviews are very time intensive for industry, especially as industry is charged for post-listing </w:t>
            </w:r>
            <w:r>
              <w:t>review</w:t>
            </w:r>
            <w:r w:rsidR="00B645E1">
              <w:t xml:space="preserve"> costs. </w:t>
            </w:r>
          </w:p>
          <w:p w14:paraId="4F8A7C9E" w14:textId="407DEF8A" w:rsidR="00B645E1" w:rsidRDefault="00B102EE" w:rsidP="00C173DC">
            <w:pPr>
              <w:pStyle w:val="TableExpBullet0"/>
              <w:rPr>
                <w:szCs w:val="17"/>
              </w:rPr>
            </w:pPr>
            <w:r>
              <w:rPr>
                <w:szCs w:val="17"/>
              </w:rPr>
              <w:t>P</w:t>
            </w:r>
            <w:r w:rsidR="00B645E1" w:rsidRPr="1449A29A">
              <w:rPr>
                <w:szCs w:val="17"/>
              </w:rPr>
              <w:t xml:space="preserve">ost-listing reviews may result in unwarranted claims about devices, especially from insurers. </w:t>
            </w:r>
          </w:p>
          <w:p w14:paraId="0CCF22E0" w14:textId="79315A25" w:rsidR="00B645E1" w:rsidRPr="00E2213C" w:rsidRDefault="00B102EE" w:rsidP="00C173DC">
            <w:pPr>
              <w:pStyle w:val="TableExpBullet0"/>
            </w:pPr>
            <w:r>
              <w:rPr>
                <w:lang w:val="en-US"/>
              </w:rPr>
              <w:t>P</w:t>
            </w:r>
            <w:r w:rsidR="00B645E1" w:rsidRPr="2BB81676">
              <w:rPr>
                <w:lang w:val="en-US"/>
              </w:rPr>
              <w:t xml:space="preserve">roviding an opportunity for sponsors to comment on the validity of a proposed review prior to </w:t>
            </w:r>
            <w:r w:rsidR="00DC036E" w:rsidRPr="2BB81676">
              <w:rPr>
                <w:lang w:val="en-US"/>
              </w:rPr>
              <w:t>it being commenced, or the publication of a forward program of upcoming post-listing reviews</w:t>
            </w:r>
            <w:r w:rsidR="00103EA7">
              <w:rPr>
                <w:lang w:val="en-US"/>
              </w:rPr>
              <w:t>,</w:t>
            </w:r>
            <w:r w:rsidR="00DC036E" w:rsidRPr="2BB81676">
              <w:rPr>
                <w:lang w:val="en-US"/>
              </w:rPr>
              <w:t xml:space="preserve"> </w:t>
            </w:r>
            <w:r w:rsidR="00103EA7">
              <w:rPr>
                <w:lang w:val="en-US"/>
              </w:rPr>
              <w:t>will</w:t>
            </w:r>
            <w:r w:rsidR="00DC036E" w:rsidRPr="2BB81676">
              <w:rPr>
                <w:lang w:val="en-US"/>
              </w:rPr>
              <w:t xml:space="preserve"> enable more time for evidence gathering and development. </w:t>
            </w:r>
          </w:p>
        </w:tc>
      </w:tr>
      <w:tr w:rsidR="008228C8" w:rsidRPr="00E2213C" w14:paraId="66A0674E" w14:textId="77777777" w:rsidTr="004251B2">
        <w:trPr>
          <w:trHeight w:val="857"/>
        </w:trPr>
        <w:tc>
          <w:tcPr>
            <w:tcW w:w="554" w:type="pct"/>
            <w:shd w:val="clear" w:color="auto" w:fill="00264D" w:themeFill="background2"/>
            <w:vAlign w:val="center"/>
          </w:tcPr>
          <w:p w14:paraId="738A7DEB" w14:textId="08403BAC" w:rsidR="008228C8" w:rsidRPr="00E2213C" w:rsidRDefault="008228C8" w:rsidP="008228C8">
            <w:pPr>
              <w:spacing w:before="40" w:after="40"/>
              <w:jc w:val="center"/>
              <w:rPr>
                <w:i/>
                <w:iCs/>
                <w:noProof/>
              </w:rPr>
            </w:pPr>
            <w:r>
              <w:rPr>
                <w:noProof/>
              </w:rPr>
              <w:drawing>
                <wp:inline distT="0" distB="0" distL="0" distR="0" wp14:anchorId="233DED62" wp14:editId="2DE7985C">
                  <wp:extent cx="267970" cy="323215"/>
                  <wp:effectExtent l="0" t="0" r="0" b="635"/>
                  <wp:docPr id="1860342899"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42899"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230D9C74" w14:textId="599BBD33" w:rsidR="008228C8" w:rsidRPr="00E2213C" w:rsidRDefault="008228C8" w:rsidP="008228C8">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r>
              <w:rPr>
                <w:rFonts w:asciiTheme="majorHAnsi" w:hAnsiTheme="majorHAnsi" w:cstheme="majorHAnsi"/>
                <w:sz w:val="18"/>
                <w:szCs w:val="20"/>
              </w:rPr>
              <w:t xml:space="preserve"> </w:t>
            </w:r>
          </w:p>
        </w:tc>
        <w:tc>
          <w:tcPr>
            <w:tcW w:w="3652" w:type="pct"/>
          </w:tcPr>
          <w:p w14:paraId="30939114" w14:textId="77777777" w:rsidR="00BB436E" w:rsidRDefault="00836B4A" w:rsidP="00BB436E">
            <w:pPr>
              <w:pStyle w:val="TableExpBullet0"/>
            </w:pPr>
            <w:r>
              <w:t xml:space="preserve">There needs to be consideration given </w:t>
            </w:r>
            <w:r w:rsidR="00AD6224">
              <w:t xml:space="preserve">to </w:t>
            </w:r>
            <w:r>
              <w:t xml:space="preserve">clinical practice </w:t>
            </w:r>
            <w:r w:rsidR="00AD6224">
              <w:t xml:space="preserve">and expertise </w:t>
            </w:r>
            <w:r>
              <w:t xml:space="preserve">when determining the outcomes of post-listing reviews. </w:t>
            </w:r>
          </w:p>
          <w:p w14:paraId="2F6E28BC" w14:textId="77777777" w:rsidR="008228C8" w:rsidRDefault="00A34B67" w:rsidP="00BB436E">
            <w:pPr>
              <w:pStyle w:val="TableExpBullet0"/>
            </w:pPr>
            <w:r>
              <w:t xml:space="preserve">For </w:t>
            </w:r>
            <w:r w:rsidR="00AD6224">
              <w:t xml:space="preserve">the review of </w:t>
            </w:r>
            <w:r>
              <w:t xml:space="preserve">surgical guides and </w:t>
            </w:r>
            <w:r w:rsidR="00424472">
              <w:t>bio models</w:t>
            </w:r>
            <w:r>
              <w:t xml:space="preserve">, 3D cutting guides approved for </w:t>
            </w:r>
            <w:r w:rsidR="00424472">
              <w:t>maxillofacial</w:t>
            </w:r>
            <w:r>
              <w:t xml:space="preserve"> surgery are often used in </w:t>
            </w:r>
            <w:r w:rsidR="00424472">
              <w:t>orthopaedic</w:t>
            </w:r>
            <w:r>
              <w:t xml:space="preserve"> surgery. Whilst </w:t>
            </w:r>
            <w:r w:rsidR="00424472">
              <w:t>this</w:t>
            </w:r>
            <w:r w:rsidR="00553C7C">
              <w:t xml:space="preserve"> may not be appropriate, there needs to be a way to fund these cutting guides if it’s providing </w:t>
            </w:r>
            <w:r w:rsidR="00424472">
              <w:t>better</w:t>
            </w:r>
            <w:r w:rsidR="00553C7C">
              <w:t xml:space="preserve"> results for the patient, and they are available </w:t>
            </w:r>
            <w:r w:rsidR="00424472">
              <w:t>to be used in</w:t>
            </w:r>
            <w:r w:rsidR="00553C7C">
              <w:t xml:space="preserve"> the public hospitals. </w:t>
            </w:r>
          </w:p>
          <w:p w14:paraId="5C37E030" w14:textId="3FA7FCBF" w:rsidR="0043233D" w:rsidRDefault="0043233D" w:rsidP="00BB436E">
            <w:pPr>
              <w:pStyle w:val="TableExpBullet0"/>
            </w:pPr>
            <w:r>
              <w:t xml:space="preserve">Generally, awareness of post-listing reviews among clinicians is low and </w:t>
            </w:r>
            <w:r w:rsidR="009D611B">
              <w:t xml:space="preserve">these </w:t>
            </w:r>
            <w:r>
              <w:t xml:space="preserve">could be better communicated by the Department. </w:t>
            </w:r>
          </w:p>
        </w:tc>
      </w:tr>
    </w:tbl>
    <w:p w14:paraId="58890978" w14:textId="77777777" w:rsidR="005F7D19" w:rsidRDefault="005F7D19" w:rsidP="00AE10C1">
      <w:pPr>
        <w:pStyle w:val="Bullet"/>
        <w:numPr>
          <w:ilvl w:val="0"/>
          <w:numId w:val="0"/>
        </w:numPr>
      </w:pPr>
    </w:p>
    <w:p w14:paraId="2265CDB0" w14:textId="4848AF52" w:rsidR="00296D0E" w:rsidRPr="001D1DC6" w:rsidRDefault="00262632" w:rsidP="001D1DC6">
      <w:pPr>
        <w:pStyle w:val="Heading3"/>
      </w:pPr>
      <w:bookmarkStart w:id="87" w:name="_Toc181405096"/>
      <w:r>
        <w:t xml:space="preserve">The </w:t>
      </w:r>
      <w:r w:rsidR="00C0725E">
        <w:t>Department</w:t>
      </w:r>
      <w:r>
        <w:t xml:space="preserve"> has established a new</w:t>
      </w:r>
      <w:r w:rsidR="00E6451B">
        <w:t xml:space="preserve"> compliance strategy</w:t>
      </w:r>
      <w:bookmarkEnd w:id="87"/>
    </w:p>
    <w:p w14:paraId="5DB95447" w14:textId="55162AB2" w:rsidR="00741A71" w:rsidRDefault="00741A71" w:rsidP="00741A71">
      <w:pPr>
        <w:pStyle w:val="Heading4"/>
      </w:pPr>
      <w:r w:rsidRPr="00AC08EB">
        <w:t xml:space="preserve">Some progress has been made by the </w:t>
      </w:r>
      <w:r w:rsidR="00C0725E">
        <w:t>Department</w:t>
      </w:r>
      <w:r w:rsidRPr="00AC08EB">
        <w:t xml:space="preserve"> in articulating a PL compliance approach</w:t>
      </w:r>
    </w:p>
    <w:p w14:paraId="29E2FEDC" w14:textId="46B63D05" w:rsidR="00741A71" w:rsidRDefault="00741A71" w:rsidP="00741A71">
      <w:r>
        <w:t xml:space="preserve">At the outset of the reforms, it was determined that the establishment of a compliance program was essential for safeguarding the integrity of the PL. This would ensure there are arrangements in place to ensure robust administration of the PL, limit opportunities for gaming, and have power to address types of non-compliance actions and make compliance decisions. In </w:t>
      </w:r>
      <w:r w:rsidR="00EA4BF1">
        <w:t>May 2023,</w:t>
      </w:r>
      <w:r>
        <w:t xml:space="preserve"> the Department released </w:t>
      </w:r>
      <w:r w:rsidRPr="00DE784E">
        <w:t>Pr</w:t>
      </w:r>
      <w:r w:rsidR="00130689">
        <w:t xml:space="preserve">escribed </w:t>
      </w:r>
      <w:r w:rsidRPr="00DE784E">
        <w:t>List Compliance Strategy</w:t>
      </w:r>
      <w:r>
        <w:t xml:space="preserve"> (The Strategy)</w:t>
      </w:r>
      <w:r w:rsidRPr="00DE784E">
        <w:t xml:space="preserve">, which incorporated stakeholder feedback on the draft strategy </w:t>
      </w:r>
      <w:r>
        <w:t>that</w:t>
      </w:r>
      <w:r w:rsidRPr="00DE784E">
        <w:t xml:space="preserve"> was open for consultation in September and October</w:t>
      </w:r>
      <w:r>
        <w:t xml:space="preserve"> 2022</w:t>
      </w:r>
      <w:r w:rsidRPr="00DE784E">
        <w:t>.</w:t>
      </w:r>
      <w:r w:rsidR="002E2703">
        <w:rPr>
          <w:rStyle w:val="FootnoteReference"/>
        </w:rPr>
        <w:footnoteReference w:id="101"/>
      </w:r>
    </w:p>
    <w:p w14:paraId="04581A50" w14:textId="7C4CBC4D" w:rsidR="00741A71" w:rsidRDefault="00741A71" w:rsidP="00741A71">
      <w:r w:rsidRPr="000D64B2">
        <w:t xml:space="preserve">The Strategy sets out the compliance approach according to a responsive enforcement model, with steps the </w:t>
      </w:r>
      <w:r w:rsidR="00C0725E">
        <w:t>Department</w:t>
      </w:r>
      <w:r w:rsidRPr="000D64B2">
        <w:t xml:space="preserve"> may take when there are concerns about non-complaint practices. The compliance model </w:t>
      </w:r>
      <w:r w:rsidRPr="000D64B2">
        <w:lastRenderedPageBreak/>
        <w:t>recognises four tiers of non-compliance</w:t>
      </w:r>
      <w:r>
        <w:t xml:space="preserve"> and</w:t>
      </w:r>
      <w:r w:rsidRPr="000D64B2">
        <w:t xml:space="preserve"> incorporates both deterrent and cooperative approaches to encourage compliance</w:t>
      </w:r>
      <w:r>
        <w:t xml:space="preserve">, including </w:t>
      </w:r>
      <w:r w:rsidRPr="000D64B2">
        <w:t>a strong focus on increasing education about the PL program to achieve compliance objectives</w:t>
      </w:r>
      <w:r>
        <w:t>. This was followed by Consultation Paper 7 – proposed measures for compliance assurance and information sharing which was open for consultation with stakeholders between July and August 2023.</w:t>
      </w:r>
      <w:r w:rsidR="002E2703">
        <w:rPr>
          <w:rStyle w:val="FootnoteReference"/>
        </w:rPr>
        <w:footnoteReference w:id="102"/>
      </w:r>
      <w:r>
        <w:t xml:space="preserve">  </w:t>
      </w:r>
    </w:p>
    <w:p w14:paraId="42F6211D" w14:textId="7016412E" w:rsidR="00741A71" w:rsidRDefault="00741A71" w:rsidP="00741A71">
      <w:pPr>
        <w:pStyle w:val="Heading4"/>
      </w:pPr>
      <w:r>
        <w:t xml:space="preserve">Many of the proposed </w:t>
      </w:r>
      <w:r w:rsidRPr="005F39BF">
        <w:t xml:space="preserve">measures </w:t>
      </w:r>
      <w:r>
        <w:t>for compliance, assurance and information sharing will require</w:t>
      </w:r>
      <w:r w:rsidRPr="005F39BF">
        <w:t xml:space="preserve"> </w:t>
      </w:r>
      <w:r>
        <w:t>legislative amendments</w:t>
      </w:r>
    </w:p>
    <w:p w14:paraId="05676720" w14:textId="41BF3448" w:rsidR="00446DEA" w:rsidRPr="009D14DA" w:rsidRDefault="00741A71" w:rsidP="67A34CD3">
      <w:pPr>
        <w:rPr>
          <w:highlight w:val="yellow"/>
        </w:rPr>
      </w:pPr>
      <w:r w:rsidRPr="12CA8210">
        <w:rPr>
          <w:lang w:eastAsia="en-AU"/>
        </w:rPr>
        <w:t xml:space="preserve">The proposed measures for compliance, assurance and information in Consultation Paper 7 set out the proposed obligations of various stakeholders in relation to the PL, including sponsors, health providers and insurers. </w:t>
      </w:r>
      <w:r w:rsidR="550B645E" w:rsidRPr="12CA8210">
        <w:rPr>
          <w:lang w:eastAsia="en-AU"/>
        </w:rPr>
        <w:t>It also outlines the proposed changes to legislation under the Private Health Insurance Act 2007 required to provide policy authority for the Department.</w:t>
      </w:r>
      <w:r>
        <w:t xml:space="preserve"> Without this, it would be challenging to compel stakeholders to perform these proposed obligations and enable enforcement of identified non-compliance. A summary of these </w:t>
      </w:r>
      <w:r w:rsidRPr="009D14DA">
        <w:t xml:space="preserve">proposed measures and the required legislative changes are set out in </w:t>
      </w:r>
      <w:r w:rsidR="009D14DA" w:rsidRPr="009D14DA">
        <w:fldChar w:fldCharType="begin"/>
      </w:r>
      <w:r w:rsidR="009D14DA" w:rsidRPr="009D14DA">
        <w:instrText xml:space="preserve"> REF _Ref172040274 \h </w:instrText>
      </w:r>
      <w:r w:rsidR="009D14DA">
        <w:instrText xml:space="preserve"> \* MERGEFORMAT </w:instrText>
      </w:r>
      <w:r w:rsidR="009D14DA" w:rsidRPr="009D14DA">
        <w:fldChar w:fldCharType="separate"/>
      </w:r>
      <w:r w:rsidR="009B5D8D">
        <w:t xml:space="preserve">Table </w:t>
      </w:r>
      <w:r w:rsidR="009B5D8D">
        <w:rPr>
          <w:noProof/>
        </w:rPr>
        <w:t>15</w:t>
      </w:r>
      <w:r w:rsidR="009D14DA" w:rsidRPr="009D14DA">
        <w:fldChar w:fldCharType="end"/>
      </w:r>
      <w:r w:rsidR="009D14DA" w:rsidRPr="009D14DA">
        <w:t xml:space="preserve"> below. </w:t>
      </w:r>
      <w:r w:rsidR="0C3BED5B">
        <w:t>The Department has also proposed additional measures since th</w:t>
      </w:r>
      <w:r w:rsidR="122B0B2A">
        <w:t>e release of Consultation Paper 7</w:t>
      </w:r>
      <w:r w:rsidR="0C3BED5B">
        <w:t>, including a</w:t>
      </w:r>
      <w:r w:rsidR="67202EC7">
        <w:t xml:space="preserve"> proposed</w:t>
      </w:r>
      <w:r w:rsidR="0C3BED5B">
        <w:t xml:space="preserve"> amendment t</w:t>
      </w:r>
      <w:r w:rsidR="283B45A5">
        <w:t xml:space="preserve">o the PHI </w:t>
      </w:r>
      <w:r w:rsidR="5B00F6C0">
        <w:t>Act to align the amount charged for the supply of a PL item, with the corresponding PL benefit in Consultation Paper 8</w:t>
      </w:r>
      <w:r w:rsidR="00FB73B5">
        <w:t>b.</w:t>
      </w:r>
      <w:r w:rsidR="00C50B29">
        <w:rPr>
          <w:rStyle w:val="FootnoteReference"/>
        </w:rPr>
        <w:footnoteReference w:id="103"/>
      </w:r>
      <w:r w:rsidR="00C50B29">
        <w:t xml:space="preserve"> </w:t>
      </w:r>
      <w:r w:rsidR="492F4983">
        <w:t>Currently, the PHI Act does not restrict medical device sponsors from charging more than the PL benefit to supply an item</w:t>
      </w:r>
      <w:r w:rsidR="5A61D12D">
        <w:t xml:space="preserve"> creating potential for an out-of-pocket cost that would be required to be borne by either the hospital or the patient. The Department is currently in the discovery phase of this measure and </w:t>
      </w:r>
      <w:r w:rsidR="56EFAFA8">
        <w:t xml:space="preserve">has </w:t>
      </w:r>
      <w:r w:rsidR="5A61D12D">
        <w:t>consult</w:t>
      </w:r>
      <w:r w:rsidR="3D2BC410">
        <w:t xml:space="preserve">ed </w:t>
      </w:r>
      <w:r w:rsidR="5A61D12D">
        <w:t xml:space="preserve">with stakeholders to </w:t>
      </w:r>
      <w:r w:rsidR="6E15CEAB">
        <w:t>ensure the proposed measure will be</w:t>
      </w:r>
      <w:r w:rsidR="5A61D12D">
        <w:t xml:space="preserve"> fit for purpose and </w:t>
      </w:r>
      <w:r w:rsidR="00B30F1A">
        <w:t>reduces</w:t>
      </w:r>
      <w:r w:rsidR="5A61D12D">
        <w:t xml:space="preserve"> </w:t>
      </w:r>
      <w:r w:rsidR="051D85E6">
        <w:t xml:space="preserve">any </w:t>
      </w:r>
      <w:r w:rsidR="5A61D12D">
        <w:t>unintended consequences.</w:t>
      </w:r>
      <w:r w:rsidR="129B6107">
        <w:t xml:space="preserve"> </w:t>
      </w:r>
      <w:r w:rsidR="75880024">
        <w:t>The PL evaluation will examine this element of the compliance project when the Department makes more information available.</w:t>
      </w:r>
    </w:p>
    <w:p w14:paraId="09D2C702" w14:textId="1FD8BF73" w:rsidR="00446DEA" w:rsidRDefault="00446DEA" w:rsidP="00446DEA">
      <w:pPr>
        <w:pStyle w:val="Caption"/>
      </w:pPr>
      <w:bookmarkStart w:id="88" w:name="_Ref172040274"/>
      <w:bookmarkStart w:id="89" w:name="_Ref172040268"/>
      <w:r>
        <w:lastRenderedPageBreak/>
        <w:t xml:space="preserve">Table </w:t>
      </w:r>
      <w:r>
        <w:fldChar w:fldCharType="begin"/>
      </w:r>
      <w:r>
        <w:instrText xml:space="preserve"> SEQ Table \* ARABIC </w:instrText>
      </w:r>
      <w:r>
        <w:fldChar w:fldCharType="separate"/>
      </w:r>
      <w:r w:rsidR="009B5D8D">
        <w:rPr>
          <w:noProof/>
        </w:rPr>
        <w:t>15</w:t>
      </w:r>
      <w:r>
        <w:fldChar w:fldCharType="end"/>
      </w:r>
      <w:bookmarkEnd w:id="88"/>
      <w:r>
        <w:t xml:space="preserve"> | Proposed measures for PL compliance</w:t>
      </w:r>
      <w:r w:rsidR="53457E7B">
        <w:t xml:space="preserve"> from Consultation Paper 7</w:t>
      </w:r>
      <w:bookmarkEnd w:id="89"/>
    </w:p>
    <w:tbl>
      <w:tblPr>
        <w:tblStyle w:val="NOUSSideHeader3"/>
        <w:tblW w:w="9072" w:type="dxa"/>
        <w:tblLook w:val="04A0" w:firstRow="1" w:lastRow="0" w:firstColumn="1" w:lastColumn="0" w:noHBand="0" w:noVBand="1"/>
      </w:tblPr>
      <w:tblGrid>
        <w:gridCol w:w="2552"/>
        <w:gridCol w:w="3544"/>
        <w:gridCol w:w="2976"/>
      </w:tblGrid>
      <w:tr w:rsidR="006C52A8" w:rsidRPr="00BF1ED7" w14:paraId="2BD0AB9A" w14:textId="77777777" w:rsidTr="00A920D4">
        <w:trPr>
          <w:cnfStyle w:val="100000000000" w:firstRow="1" w:lastRow="0" w:firstColumn="0" w:lastColumn="0" w:oddVBand="0" w:evenVBand="0" w:oddHBand="0" w:evenHBand="0" w:firstRowFirstColumn="0" w:firstRowLastColumn="0" w:lastRowFirstColumn="0" w:lastRowLastColumn="0"/>
        </w:trPr>
        <w:tc>
          <w:tcPr>
            <w:tcW w:w="2552" w:type="dxa"/>
          </w:tcPr>
          <w:p w14:paraId="5C196B57" w14:textId="77777777" w:rsidR="00BF1ED7" w:rsidRPr="00BF1ED7" w:rsidRDefault="00BF1ED7" w:rsidP="00BF1ED7">
            <w:pPr>
              <w:pStyle w:val="TableNheader"/>
            </w:pPr>
            <w:r w:rsidRPr="00BF1ED7">
              <w:t xml:space="preserve">Proposed Measures </w:t>
            </w:r>
          </w:p>
        </w:tc>
        <w:tc>
          <w:tcPr>
            <w:tcW w:w="3544" w:type="dxa"/>
          </w:tcPr>
          <w:p w14:paraId="5637DE64" w14:textId="77777777" w:rsidR="00BF1ED7" w:rsidRPr="00BF1ED7" w:rsidRDefault="00BF1ED7" w:rsidP="00BF1ED7">
            <w:pPr>
              <w:pStyle w:val="TableNheader"/>
            </w:pPr>
            <w:r w:rsidRPr="00BF1ED7">
              <w:t xml:space="preserve">Example of compliance action </w:t>
            </w:r>
          </w:p>
        </w:tc>
        <w:tc>
          <w:tcPr>
            <w:tcW w:w="2976" w:type="dxa"/>
          </w:tcPr>
          <w:p w14:paraId="385B90D9" w14:textId="77777777" w:rsidR="00BF1ED7" w:rsidRPr="00BF1ED7" w:rsidRDefault="00BF1ED7" w:rsidP="00BF1ED7">
            <w:pPr>
              <w:pStyle w:val="TableNheader"/>
            </w:pPr>
            <w:r w:rsidRPr="00BF1ED7">
              <w:t>Requirement for legislative amendment</w:t>
            </w:r>
          </w:p>
        </w:tc>
      </w:tr>
      <w:tr w:rsidR="00BF1ED7" w:rsidRPr="00BF1ED7" w14:paraId="17B79EFE"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7F53F374" w14:textId="77777777" w:rsidR="00BF1ED7" w:rsidRPr="00BF1ED7" w:rsidRDefault="00BF1ED7" w:rsidP="002D4608">
            <w:pPr>
              <w:pStyle w:val="Tableexpheader"/>
            </w:pPr>
            <w:r w:rsidRPr="00BF1ED7">
              <w:t xml:space="preserve">1.  Proposed measures for sponsors </w:t>
            </w:r>
          </w:p>
        </w:tc>
        <w:tc>
          <w:tcPr>
            <w:tcW w:w="3544" w:type="dxa"/>
          </w:tcPr>
          <w:p w14:paraId="52AFB867" w14:textId="7CF9034B" w:rsidR="00BF1ED7" w:rsidRPr="00BF1ED7" w:rsidRDefault="00616AFC" w:rsidP="002D4608">
            <w:pPr>
              <w:pStyle w:val="TableExpText"/>
            </w:pPr>
            <w:r>
              <w:t>Introduce new record keeping and notification obligations for sponsors</w:t>
            </w:r>
            <w:r w:rsidR="00D52282">
              <w:t xml:space="preserve">, to be specified in the MDHTP Rules </w:t>
            </w:r>
          </w:p>
        </w:tc>
        <w:tc>
          <w:tcPr>
            <w:tcW w:w="2976" w:type="dxa"/>
          </w:tcPr>
          <w:p w14:paraId="3A422CA6" w14:textId="3A6B006C" w:rsidR="00BF1ED7" w:rsidRPr="00BF1ED7" w:rsidRDefault="00616AFC" w:rsidP="002D4608">
            <w:pPr>
              <w:pStyle w:val="TableExpText"/>
            </w:pPr>
            <w:r>
              <w:t xml:space="preserve">Yes – Amendment to PHI Act </w:t>
            </w:r>
          </w:p>
        </w:tc>
      </w:tr>
      <w:tr w:rsidR="00BF1ED7" w:rsidRPr="00BF1ED7" w14:paraId="3694F0E3"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7A5B4312" w14:textId="77777777" w:rsidR="00BF1ED7" w:rsidRPr="00BF1ED7" w:rsidRDefault="00BF1ED7" w:rsidP="002D4608">
            <w:pPr>
              <w:pStyle w:val="Tableexpheader"/>
            </w:pPr>
            <w:r w:rsidRPr="00BF1ED7">
              <w:t xml:space="preserve">2. Proposed measures for hospitals </w:t>
            </w:r>
          </w:p>
        </w:tc>
        <w:tc>
          <w:tcPr>
            <w:tcW w:w="3544" w:type="dxa"/>
          </w:tcPr>
          <w:p w14:paraId="1A2910B6" w14:textId="3B03DC7C" w:rsidR="00BF1ED7" w:rsidRPr="00BF1ED7" w:rsidRDefault="006C3CD5" w:rsidP="002D4608">
            <w:pPr>
              <w:pStyle w:val="TableExpText"/>
            </w:pPr>
            <w:r>
              <w:t xml:space="preserve">Introduce new record keeping obligations for hospitals, to be specified in the </w:t>
            </w:r>
            <w:r w:rsidR="00B22962">
              <w:t>Private Health Insurance (Health Insurance Business) Rules</w:t>
            </w:r>
          </w:p>
        </w:tc>
        <w:tc>
          <w:tcPr>
            <w:tcW w:w="2976" w:type="dxa"/>
          </w:tcPr>
          <w:p w14:paraId="3472E3AB" w14:textId="3A48161B" w:rsidR="00BF1ED7" w:rsidRPr="00BF1ED7" w:rsidRDefault="004A6BE4" w:rsidP="002D4608">
            <w:pPr>
              <w:pStyle w:val="TableExpText"/>
            </w:pPr>
            <w:r>
              <w:t xml:space="preserve">Yes – Amendment to PHI Act </w:t>
            </w:r>
          </w:p>
        </w:tc>
      </w:tr>
      <w:tr w:rsidR="00BF1ED7" w:rsidRPr="00BF1ED7" w14:paraId="3FFF2A2A"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0AE9FF2C" w14:textId="77777777" w:rsidR="00BF1ED7" w:rsidRPr="00BF1ED7" w:rsidRDefault="00BF1ED7" w:rsidP="002D4608">
            <w:pPr>
              <w:pStyle w:val="Tableexpheader"/>
            </w:pPr>
            <w:r w:rsidRPr="00BF1ED7">
              <w:t xml:space="preserve">3. Proposed measures for insurers </w:t>
            </w:r>
          </w:p>
        </w:tc>
        <w:tc>
          <w:tcPr>
            <w:tcW w:w="3544" w:type="dxa"/>
          </w:tcPr>
          <w:p w14:paraId="4DEEF222" w14:textId="37C7FA84" w:rsidR="00BF1ED7" w:rsidRPr="00BF1ED7" w:rsidRDefault="003248FA" w:rsidP="002D4608">
            <w:pPr>
              <w:pStyle w:val="TableExpText"/>
            </w:pPr>
            <w:r>
              <w:t xml:space="preserve">Specify record keeping and </w:t>
            </w:r>
            <w:r w:rsidR="000B1187">
              <w:t>notifications requirements relevant for insurers, to be specified in the Private Health Insurance (Complying Product) Rules</w:t>
            </w:r>
          </w:p>
        </w:tc>
        <w:tc>
          <w:tcPr>
            <w:tcW w:w="2976" w:type="dxa"/>
          </w:tcPr>
          <w:p w14:paraId="62CBD033" w14:textId="7EEFD9BF" w:rsidR="00BF1ED7" w:rsidRPr="00BF1ED7" w:rsidRDefault="003248FA" w:rsidP="002D4608">
            <w:pPr>
              <w:pStyle w:val="TableExpText"/>
            </w:pPr>
            <w:r>
              <w:t xml:space="preserve">Yes – Amendment to PHI Act </w:t>
            </w:r>
          </w:p>
        </w:tc>
      </w:tr>
      <w:tr w:rsidR="00BF1ED7" w:rsidRPr="00BF1ED7" w14:paraId="642EF956"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3B016DD7" w14:textId="528167DA" w:rsidR="00BF1ED7" w:rsidRPr="00BF1ED7" w:rsidRDefault="00BF1ED7" w:rsidP="002D4608">
            <w:pPr>
              <w:pStyle w:val="Tableexpheader"/>
            </w:pPr>
            <w:r w:rsidRPr="00BF1ED7">
              <w:t>4. Specific offences appli</w:t>
            </w:r>
            <w:r w:rsidR="003248FA">
              <w:t>c</w:t>
            </w:r>
            <w:r w:rsidRPr="00BF1ED7">
              <w:t xml:space="preserve">able to insurers and health care providers </w:t>
            </w:r>
          </w:p>
        </w:tc>
        <w:tc>
          <w:tcPr>
            <w:tcW w:w="3544" w:type="dxa"/>
          </w:tcPr>
          <w:p w14:paraId="40DFB01D" w14:textId="6663259C" w:rsidR="00BF1ED7" w:rsidRPr="00BF1ED7" w:rsidRDefault="009912F1" w:rsidP="002D4608">
            <w:pPr>
              <w:pStyle w:val="TableExpText"/>
            </w:pPr>
            <w:r>
              <w:t>R</w:t>
            </w:r>
            <w:r w:rsidR="00EC489C">
              <w:t>equirements for provision of information or corrected information, or offe</w:t>
            </w:r>
            <w:r>
              <w:t>nse not exceeding 20 penalty units for refusal or failure to comply</w:t>
            </w:r>
          </w:p>
        </w:tc>
        <w:tc>
          <w:tcPr>
            <w:tcW w:w="2976" w:type="dxa"/>
          </w:tcPr>
          <w:p w14:paraId="60742EA9" w14:textId="3EC595AE" w:rsidR="00BF1ED7" w:rsidRPr="00BF1ED7" w:rsidRDefault="009912F1" w:rsidP="002D4608">
            <w:pPr>
              <w:pStyle w:val="TableExpText"/>
            </w:pPr>
            <w:r>
              <w:t>Yes – Amendment to PHI Act</w:t>
            </w:r>
            <w:r w:rsidR="004330AE">
              <w:t xml:space="preserve"> </w:t>
            </w:r>
          </w:p>
        </w:tc>
      </w:tr>
      <w:tr w:rsidR="00BF1ED7" w:rsidRPr="00BF1ED7" w14:paraId="10E1248A"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79204050" w14:textId="77777777" w:rsidR="00BF1ED7" w:rsidRPr="00BF1ED7" w:rsidRDefault="00BF1ED7" w:rsidP="002D4608">
            <w:pPr>
              <w:pStyle w:val="Tableexpheader"/>
            </w:pPr>
            <w:r w:rsidRPr="00BF1ED7">
              <w:t xml:space="preserve">5. Administrative sanctions for health care providers </w:t>
            </w:r>
          </w:p>
        </w:tc>
        <w:tc>
          <w:tcPr>
            <w:tcW w:w="3544" w:type="dxa"/>
          </w:tcPr>
          <w:p w14:paraId="655048BA" w14:textId="43D7BC4E" w:rsidR="00BF1ED7" w:rsidRPr="00BF1ED7" w:rsidRDefault="007B79A3" w:rsidP="002D4608">
            <w:pPr>
              <w:pStyle w:val="TableExpText"/>
            </w:pPr>
            <w:r>
              <w:t>A declaration for a hospital may be revoked if</w:t>
            </w:r>
            <w:r w:rsidR="00D36B79">
              <w:t xml:space="preserve"> there is refusal or failure to comply with record keeping and notification obligations in Proposed Measure 2</w:t>
            </w:r>
          </w:p>
        </w:tc>
        <w:tc>
          <w:tcPr>
            <w:tcW w:w="2976" w:type="dxa"/>
          </w:tcPr>
          <w:p w14:paraId="5402F796" w14:textId="09532415" w:rsidR="00BF1ED7" w:rsidRPr="00BF1ED7" w:rsidRDefault="00D36B79" w:rsidP="002D4608">
            <w:pPr>
              <w:pStyle w:val="TableExpText"/>
            </w:pPr>
            <w:r>
              <w:t xml:space="preserve">Yes – Amendment to PHI Act </w:t>
            </w:r>
          </w:p>
        </w:tc>
      </w:tr>
      <w:tr w:rsidR="00BF1ED7" w:rsidRPr="00BF1ED7" w14:paraId="562B1B84"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28437CF4" w14:textId="7574B9D5" w:rsidR="00BF1ED7" w:rsidRPr="00BF1ED7" w:rsidRDefault="00BF1ED7" w:rsidP="002D4608">
            <w:pPr>
              <w:pStyle w:val="Tableexpheader"/>
            </w:pPr>
            <w:r w:rsidRPr="00BF1ED7">
              <w:t>6. False or misleading information – administrative sanctions.</w:t>
            </w:r>
          </w:p>
        </w:tc>
        <w:tc>
          <w:tcPr>
            <w:tcW w:w="3544" w:type="dxa"/>
          </w:tcPr>
          <w:p w14:paraId="401D66AC" w14:textId="35C43952" w:rsidR="00BF1ED7" w:rsidRPr="00BF1ED7" w:rsidRDefault="003F64F5" w:rsidP="002D4608">
            <w:pPr>
              <w:pStyle w:val="TableExpText"/>
            </w:pPr>
            <w:r>
              <w:t>Apply sanctions s</w:t>
            </w:r>
            <w:r w:rsidR="00E4774B">
              <w:t>uch as the r</w:t>
            </w:r>
            <w:r w:rsidR="00E04153">
              <w:t xml:space="preserve">emoval of a listed device or product from the </w:t>
            </w:r>
            <w:r w:rsidR="00E4774B">
              <w:t>MDHTP R</w:t>
            </w:r>
            <w:r w:rsidR="00781C48">
              <w:t>ules</w:t>
            </w:r>
          </w:p>
        </w:tc>
        <w:tc>
          <w:tcPr>
            <w:tcW w:w="2976" w:type="dxa"/>
          </w:tcPr>
          <w:p w14:paraId="42F899A5" w14:textId="515024E8" w:rsidR="00BF1ED7" w:rsidRPr="00BF1ED7" w:rsidRDefault="00E4774B" w:rsidP="002D4608">
            <w:pPr>
              <w:pStyle w:val="TableExpText"/>
            </w:pPr>
            <w:r>
              <w:t xml:space="preserve">Yes – Amendment </w:t>
            </w:r>
            <w:r w:rsidR="00781C48">
              <w:t xml:space="preserve">to the PHI Act </w:t>
            </w:r>
          </w:p>
        </w:tc>
      </w:tr>
      <w:tr w:rsidR="00BF1ED7" w:rsidRPr="00BF1ED7" w14:paraId="7EC429BD"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4ECB8938" w14:textId="77777777" w:rsidR="00BF1ED7" w:rsidRPr="00BF1ED7" w:rsidRDefault="00BF1ED7" w:rsidP="002D4608">
            <w:pPr>
              <w:pStyle w:val="Tableexpheader"/>
            </w:pPr>
            <w:r w:rsidRPr="00BF1ED7">
              <w:t>7. False or misleading information – criminal sanctions</w:t>
            </w:r>
          </w:p>
        </w:tc>
        <w:tc>
          <w:tcPr>
            <w:tcW w:w="3544" w:type="dxa"/>
          </w:tcPr>
          <w:p w14:paraId="715C0341" w14:textId="37F4649A" w:rsidR="00BF1ED7" w:rsidRPr="00BF1ED7" w:rsidRDefault="00275BEE" w:rsidP="002D4608">
            <w:pPr>
              <w:pStyle w:val="TableExpText"/>
            </w:pPr>
            <w:r>
              <w:t>Issue</w:t>
            </w:r>
            <w:r w:rsidR="00841972">
              <w:t xml:space="preserve"> 1000 </w:t>
            </w:r>
            <w:r w:rsidR="00415046">
              <w:t>penalty</w:t>
            </w:r>
            <w:r w:rsidR="00841972">
              <w:t xml:space="preserve"> units for a</w:t>
            </w:r>
            <w:r w:rsidR="007F43E8">
              <w:t>n aggravated offence</w:t>
            </w:r>
            <w:r w:rsidR="00841972">
              <w:t xml:space="preserve">, </w:t>
            </w:r>
            <w:r w:rsidR="0068369A">
              <w:t xml:space="preserve">300 penalty units for </w:t>
            </w:r>
            <w:r w:rsidR="00C678DD">
              <w:t>an underlying</w:t>
            </w:r>
            <w:r w:rsidR="0068369A">
              <w:t xml:space="preserve"> offense</w:t>
            </w:r>
            <w:r>
              <w:t xml:space="preserve"> (proposed</w:t>
            </w:r>
            <w:r w:rsidR="00E42C92">
              <w:t>)</w:t>
            </w:r>
          </w:p>
        </w:tc>
        <w:tc>
          <w:tcPr>
            <w:tcW w:w="2976" w:type="dxa"/>
          </w:tcPr>
          <w:p w14:paraId="71F5D39D" w14:textId="19119B1C" w:rsidR="00BF1ED7" w:rsidRPr="00BF1ED7" w:rsidRDefault="00415046" w:rsidP="002D4608">
            <w:pPr>
              <w:pStyle w:val="TableExpText"/>
            </w:pPr>
            <w:r>
              <w:t xml:space="preserve">Yes – </w:t>
            </w:r>
            <w:r w:rsidR="0068369A">
              <w:t>Amendment</w:t>
            </w:r>
            <w:r>
              <w:t xml:space="preserve"> to the PHI Act to </w:t>
            </w:r>
            <w:r w:rsidR="0068369A">
              <w:t xml:space="preserve">include offences for providing false or misleading information </w:t>
            </w:r>
          </w:p>
        </w:tc>
      </w:tr>
      <w:tr w:rsidR="00BF1ED7" w:rsidRPr="00BF1ED7" w14:paraId="0F18D975"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468233AB" w14:textId="77777777" w:rsidR="00BF1ED7" w:rsidRPr="00BF1ED7" w:rsidRDefault="00BF1ED7" w:rsidP="002D4608">
            <w:pPr>
              <w:pStyle w:val="Tableexpheader"/>
            </w:pPr>
            <w:r w:rsidRPr="00BF1ED7">
              <w:t xml:space="preserve">8. Information gathering about listed devices and products </w:t>
            </w:r>
          </w:p>
        </w:tc>
        <w:tc>
          <w:tcPr>
            <w:tcW w:w="3544" w:type="dxa"/>
          </w:tcPr>
          <w:p w14:paraId="0C04F247" w14:textId="15A37755" w:rsidR="00BF1ED7" w:rsidRPr="00BF1ED7" w:rsidRDefault="008A04E8" w:rsidP="002D4608">
            <w:pPr>
              <w:pStyle w:val="TableExpText"/>
            </w:pPr>
            <w:r>
              <w:t>Issue</w:t>
            </w:r>
            <w:r w:rsidR="002051C9">
              <w:t xml:space="preserve"> a</w:t>
            </w:r>
            <w:r w:rsidR="004D7B49">
              <w:t xml:space="preserve"> ‘notice to provide or attend’</w:t>
            </w:r>
            <w:r w:rsidR="002051C9">
              <w:t xml:space="preserve">, </w:t>
            </w:r>
            <w:r w:rsidR="00F920CB">
              <w:t>allowing an agency to require a person to produce information or appear at a hearing</w:t>
            </w:r>
          </w:p>
        </w:tc>
        <w:tc>
          <w:tcPr>
            <w:tcW w:w="2976" w:type="dxa"/>
          </w:tcPr>
          <w:p w14:paraId="34CF4863" w14:textId="75A75361" w:rsidR="00BF1ED7" w:rsidRPr="00BF1ED7" w:rsidRDefault="00514EEF" w:rsidP="002D4608">
            <w:pPr>
              <w:pStyle w:val="TableExpText"/>
            </w:pPr>
            <w:r>
              <w:t xml:space="preserve">Yes – Amendment to PHI Act </w:t>
            </w:r>
          </w:p>
        </w:tc>
      </w:tr>
      <w:tr w:rsidR="00BF1ED7" w:rsidRPr="00BF1ED7" w14:paraId="3502E1FF" w14:textId="77777777" w:rsidTr="00A920D4">
        <w:trPr>
          <w:cnfStyle w:val="000000100000" w:firstRow="0" w:lastRow="0" w:firstColumn="0" w:lastColumn="0" w:oddVBand="0" w:evenVBand="0" w:oddHBand="1" w:evenHBand="0" w:firstRowFirstColumn="0" w:firstRowLastColumn="0" w:lastRowFirstColumn="0" w:lastRowLastColumn="0"/>
        </w:trPr>
        <w:tc>
          <w:tcPr>
            <w:tcW w:w="2552" w:type="dxa"/>
          </w:tcPr>
          <w:p w14:paraId="475B08AA" w14:textId="77777777" w:rsidR="00BF1ED7" w:rsidRPr="00BF1ED7" w:rsidRDefault="00BF1ED7" w:rsidP="002D4608">
            <w:pPr>
              <w:pStyle w:val="Tableexpheader"/>
            </w:pPr>
            <w:r w:rsidRPr="00BF1ED7">
              <w:t xml:space="preserve">9. Disclosure of Information sharing measures </w:t>
            </w:r>
          </w:p>
        </w:tc>
        <w:tc>
          <w:tcPr>
            <w:tcW w:w="3544" w:type="dxa"/>
          </w:tcPr>
          <w:p w14:paraId="0A682D37" w14:textId="0E7C9F49" w:rsidR="00BF1ED7" w:rsidRPr="00BF1ED7" w:rsidRDefault="00BF1ED7" w:rsidP="002D4608">
            <w:pPr>
              <w:pStyle w:val="TableExpText"/>
            </w:pPr>
            <w:r w:rsidRPr="00BF1ED7">
              <w:t>Extend authority to authorise disclosure of protected information to relevant</w:t>
            </w:r>
            <w:r w:rsidR="002D628C">
              <w:t xml:space="preserve"> government</w:t>
            </w:r>
            <w:r w:rsidRPr="00BF1ED7">
              <w:t xml:space="preserve"> authorities </w:t>
            </w:r>
            <w:r w:rsidR="002D628C">
              <w:t xml:space="preserve">to enable </w:t>
            </w:r>
            <w:r w:rsidR="00514EEF">
              <w:t xml:space="preserve">regulation or </w:t>
            </w:r>
            <w:r w:rsidR="002D628C">
              <w:t xml:space="preserve">compliance action </w:t>
            </w:r>
            <w:r w:rsidRPr="00BF1ED7">
              <w:t xml:space="preserve"> </w:t>
            </w:r>
          </w:p>
        </w:tc>
        <w:tc>
          <w:tcPr>
            <w:tcW w:w="2976" w:type="dxa"/>
          </w:tcPr>
          <w:p w14:paraId="599B4715" w14:textId="0ED6EFAA" w:rsidR="00BF1ED7" w:rsidRPr="00BF1ED7" w:rsidRDefault="00BF1ED7" w:rsidP="002D4608">
            <w:pPr>
              <w:pStyle w:val="TableExpText"/>
            </w:pPr>
            <w:r w:rsidRPr="00BF1ED7">
              <w:t xml:space="preserve">Yes – </w:t>
            </w:r>
            <w:r w:rsidR="002D4608" w:rsidRPr="00BF1ED7">
              <w:t>Amendment</w:t>
            </w:r>
            <w:r w:rsidRPr="00BF1ED7">
              <w:t xml:space="preserve"> to extend authority in </w:t>
            </w:r>
            <w:r w:rsidR="002D4608" w:rsidRPr="00BF1ED7">
              <w:t>Division</w:t>
            </w:r>
            <w:r w:rsidRPr="00BF1ED7">
              <w:t xml:space="preserve"> 323 of the PHI Act</w:t>
            </w:r>
          </w:p>
        </w:tc>
      </w:tr>
      <w:tr w:rsidR="00BF1ED7" w:rsidRPr="00BF1ED7" w14:paraId="735A0C87" w14:textId="77777777" w:rsidTr="00A920D4">
        <w:trPr>
          <w:cnfStyle w:val="000000010000" w:firstRow="0" w:lastRow="0" w:firstColumn="0" w:lastColumn="0" w:oddVBand="0" w:evenVBand="0" w:oddHBand="0" w:evenHBand="1" w:firstRowFirstColumn="0" w:firstRowLastColumn="0" w:lastRowFirstColumn="0" w:lastRowLastColumn="0"/>
        </w:trPr>
        <w:tc>
          <w:tcPr>
            <w:tcW w:w="2552" w:type="dxa"/>
          </w:tcPr>
          <w:p w14:paraId="4AA4C6A8" w14:textId="77777777" w:rsidR="00BF1ED7" w:rsidRPr="00BF1ED7" w:rsidRDefault="00BF1ED7" w:rsidP="002D4608">
            <w:pPr>
              <w:pStyle w:val="Tableexpheader"/>
            </w:pPr>
            <w:r w:rsidRPr="00BF1ED7">
              <w:t xml:space="preserve">10. Public Summary Documents </w:t>
            </w:r>
          </w:p>
        </w:tc>
        <w:tc>
          <w:tcPr>
            <w:tcW w:w="3544" w:type="dxa"/>
          </w:tcPr>
          <w:p w14:paraId="2E65FEC3" w14:textId="34707600" w:rsidR="00BF1ED7" w:rsidRPr="00BF1ED7" w:rsidRDefault="00BF1ED7" w:rsidP="002D4608">
            <w:pPr>
              <w:pStyle w:val="TableExpText"/>
            </w:pPr>
            <w:r w:rsidRPr="00BF1ED7">
              <w:t>Completed by the applicants as part of the form for certain applications to include a device or product in the MDHTP Rules</w:t>
            </w:r>
          </w:p>
        </w:tc>
        <w:tc>
          <w:tcPr>
            <w:tcW w:w="2976" w:type="dxa"/>
          </w:tcPr>
          <w:p w14:paraId="19EB4F9D" w14:textId="77777777" w:rsidR="00BF1ED7" w:rsidRPr="00BF1ED7" w:rsidRDefault="00BF1ED7" w:rsidP="002D4608">
            <w:pPr>
              <w:pStyle w:val="TableExpText"/>
            </w:pPr>
            <w:r w:rsidRPr="00BF1ED7">
              <w:t xml:space="preserve">May not require legislative amendment  </w:t>
            </w:r>
          </w:p>
        </w:tc>
      </w:tr>
    </w:tbl>
    <w:p w14:paraId="33847C59" w14:textId="2B121AA6" w:rsidR="00656238" w:rsidRDefault="00AF014A" w:rsidP="006202A2">
      <w:pPr>
        <w:rPr>
          <w:lang w:val="en-AU" w:eastAsia="en-AU"/>
        </w:rPr>
      </w:pPr>
      <w:r>
        <w:rPr>
          <w:lang w:val="en-AU" w:eastAsia="en-AU"/>
        </w:rPr>
        <w:br/>
      </w:r>
      <w:r w:rsidR="00B37A61">
        <w:rPr>
          <w:lang w:val="en-AU" w:eastAsia="en-AU"/>
        </w:rPr>
        <w:t>While</w:t>
      </w:r>
      <w:r w:rsidR="00656238" w:rsidRPr="00761E0D">
        <w:rPr>
          <w:lang w:val="en-AU" w:eastAsia="en-AU"/>
        </w:rPr>
        <w:t xml:space="preserve"> there are some existing legislative instruments that sit outside the </w:t>
      </w:r>
      <w:r w:rsidR="00656238" w:rsidRPr="00761E0D">
        <w:rPr>
          <w:i/>
          <w:iCs/>
          <w:lang w:val="en-AU" w:eastAsia="en-AU"/>
        </w:rPr>
        <w:t>Private Health Insurance Act</w:t>
      </w:r>
      <w:r w:rsidR="00656238" w:rsidRPr="00761E0D">
        <w:rPr>
          <w:lang w:val="en-AU" w:eastAsia="en-AU"/>
        </w:rPr>
        <w:t xml:space="preserve"> that the </w:t>
      </w:r>
      <w:r w:rsidR="00C0725E" w:rsidRPr="00761E0D">
        <w:rPr>
          <w:lang w:val="en-AU" w:eastAsia="en-AU"/>
        </w:rPr>
        <w:t>Department</w:t>
      </w:r>
      <w:r w:rsidR="00656238" w:rsidRPr="00761E0D">
        <w:rPr>
          <w:lang w:val="en-AU" w:eastAsia="en-AU"/>
        </w:rPr>
        <w:t xml:space="preserve"> can draw on to perform more stringent compliance action, a lot of the proposed compliance mechanisms relies on amendments to the PHI to enable assurance and information gathering. Progressing this part of the reform will be critical to safeguard the PL going forward.</w:t>
      </w:r>
      <w:r w:rsidR="00656238" w:rsidRPr="00955D50">
        <w:rPr>
          <w:lang w:val="en-AU" w:eastAsia="en-AU"/>
        </w:rPr>
        <w:t xml:space="preserve"> </w:t>
      </w:r>
    </w:p>
    <w:p w14:paraId="100353B7" w14:textId="20CF6FC8" w:rsidR="00955D50" w:rsidRDefault="00955D50" w:rsidP="00955D50">
      <w:pPr>
        <w:rPr>
          <w:rFonts w:ascii="Segoe UI Semibold" w:eastAsia="Times New Roman" w:hAnsi="Segoe UI Semibold" w:cs="Times New Roman"/>
          <w:color w:val="00264D" w:themeColor="background2"/>
          <w:sz w:val="22"/>
          <w:szCs w:val="19"/>
          <w:lang w:eastAsia="en-AU"/>
        </w:rPr>
      </w:pPr>
      <w:bookmarkStart w:id="90" w:name="_Ref169537972"/>
      <w:r w:rsidRPr="00943230">
        <w:rPr>
          <w:rFonts w:ascii="Segoe UI Semibold" w:eastAsia="Times New Roman" w:hAnsi="Segoe UI Semibold" w:cs="Times New Roman"/>
          <w:color w:val="00264D" w:themeColor="background2"/>
          <w:sz w:val="22"/>
          <w:szCs w:val="19"/>
          <w:lang w:eastAsia="en-AU"/>
        </w:rPr>
        <w:t xml:space="preserve">There is still a significant amount of work to be done to ensure the PL is safeguarded through </w:t>
      </w:r>
      <w:r>
        <w:rPr>
          <w:rFonts w:ascii="Segoe UI Semibold" w:eastAsia="Times New Roman" w:hAnsi="Segoe UI Semibold" w:cs="Times New Roman"/>
          <w:color w:val="00264D" w:themeColor="background2"/>
          <w:sz w:val="22"/>
          <w:szCs w:val="19"/>
          <w:lang w:eastAsia="en-AU"/>
        </w:rPr>
        <w:t xml:space="preserve">an established </w:t>
      </w:r>
      <w:r w:rsidRPr="00943230">
        <w:rPr>
          <w:rFonts w:ascii="Segoe UI Semibold" w:eastAsia="Times New Roman" w:hAnsi="Segoe UI Semibold" w:cs="Times New Roman"/>
          <w:color w:val="00264D" w:themeColor="background2"/>
          <w:sz w:val="22"/>
          <w:szCs w:val="19"/>
          <w:lang w:eastAsia="en-AU"/>
        </w:rPr>
        <w:t xml:space="preserve">compliance </w:t>
      </w:r>
      <w:r>
        <w:rPr>
          <w:rFonts w:ascii="Segoe UI Semibold" w:eastAsia="Times New Roman" w:hAnsi="Segoe UI Semibold" w:cs="Times New Roman"/>
          <w:color w:val="00264D" w:themeColor="background2"/>
          <w:sz w:val="22"/>
          <w:szCs w:val="19"/>
          <w:lang w:eastAsia="en-AU"/>
        </w:rPr>
        <w:t>program</w:t>
      </w:r>
    </w:p>
    <w:p w14:paraId="322BC83C" w14:textId="7ECBCA67" w:rsidR="00955D50" w:rsidRPr="00955D50" w:rsidRDefault="00955D50" w:rsidP="00955D50">
      <w:pPr>
        <w:rPr>
          <w:lang w:val="en-AU" w:eastAsia="en-AU"/>
        </w:rPr>
      </w:pPr>
      <w:bookmarkStart w:id="91" w:name="_Ref172291294"/>
      <w:r w:rsidRPr="00955D50">
        <w:rPr>
          <w:lang w:val="en-AU" w:eastAsia="en-AU"/>
        </w:rPr>
        <w:t xml:space="preserve">The </w:t>
      </w:r>
      <w:r w:rsidR="00C0725E">
        <w:rPr>
          <w:lang w:val="en-AU" w:eastAsia="en-AU"/>
        </w:rPr>
        <w:t>Department</w:t>
      </w:r>
      <w:r w:rsidRPr="00955D50">
        <w:rPr>
          <w:lang w:val="en-AU" w:eastAsia="en-AU"/>
        </w:rPr>
        <w:t xml:space="preserve"> is working towards 30</w:t>
      </w:r>
      <w:r>
        <w:rPr>
          <w:vertAlign w:val="superscript"/>
          <w:lang w:val="en-AU" w:eastAsia="en-AU"/>
        </w:rPr>
        <w:t xml:space="preserve"> </w:t>
      </w:r>
      <w:r w:rsidRPr="00955D50">
        <w:rPr>
          <w:lang w:val="en-AU" w:eastAsia="en-AU"/>
        </w:rPr>
        <w:t>June 2025 as the date for full implementation of the proposed compliance strategy and program. This aligns with the policy authority for compliance cost recovery which occurs from 1</w:t>
      </w:r>
      <w:r>
        <w:rPr>
          <w:vertAlign w:val="superscript"/>
          <w:lang w:val="en-AU" w:eastAsia="en-AU"/>
        </w:rPr>
        <w:t xml:space="preserve"> </w:t>
      </w:r>
      <w:r w:rsidRPr="00955D50">
        <w:rPr>
          <w:lang w:val="en-AU" w:eastAsia="en-AU"/>
        </w:rPr>
        <w:t>July 2025.</w:t>
      </w:r>
      <w:r>
        <w:rPr>
          <w:lang w:val="en-AU" w:eastAsia="en-AU"/>
        </w:rPr>
        <w:t xml:space="preserve"> </w:t>
      </w:r>
      <w:r w:rsidRPr="00955D50">
        <w:rPr>
          <w:lang w:val="en-AU" w:eastAsia="en-AU"/>
        </w:rPr>
        <w:t xml:space="preserve">The Department made progress towards defining the PL compliance program, however current compliance and assurance activities are still in early stages. Largely the current compliance </w:t>
      </w:r>
      <w:r w:rsidRPr="00955D50">
        <w:rPr>
          <w:lang w:val="en-AU" w:eastAsia="en-AU"/>
        </w:rPr>
        <w:lastRenderedPageBreak/>
        <w:t xml:space="preserve">activities being performed by the </w:t>
      </w:r>
      <w:r w:rsidR="00C0725E">
        <w:rPr>
          <w:lang w:val="en-AU" w:eastAsia="en-AU"/>
        </w:rPr>
        <w:t>Department</w:t>
      </w:r>
      <w:r w:rsidRPr="00955D50">
        <w:rPr>
          <w:lang w:val="en-AU" w:eastAsia="en-AU"/>
        </w:rPr>
        <w:t xml:space="preserve"> sits in realm of education, support and assurance.</w:t>
      </w:r>
      <w:r w:rsidR="001E1119">
        <w:rPr>
          <w:lang w:val="en-AU" w:eastAsia="en-AU"/>
        </w:rPr>
        <w:t xml:space="preserve"> </w:t>
      </w:r>
      <w:r w:rsidR="00057925">
        <w:rPr>
          <w:lang w:val="en-AU" w:eastAsia="en-AU"/>
        </w:rPr>
        <w:fldChar w:fldCharType="begin"/>
      </w:r>
      <w:r w:rsidR="00057925">
        <w:rPr>
          <w:lang w:val="en-AU" w:eastAsia="en-AU"/>
        </w:rPr>
        <w:instrText xml:space="preserve"> REF _Ref172291302 \h </w:instrText>
      </w:r>
      <w:r w:rsidR="00057925">
        <w:rPr>
          <w:lang w:val="en-AU" w:eastAsia="en-AU"/>
        </w:rPr>
      </w:r>
      <w:r w:rsidR="00057925">
        <w:rPr>
          <w:lang w:val="en-AU" w:eastAsia="en-AU"/>
        </w:rPr>
        <w:fldChar w:fldCharType="separate"/>
      </w:r>
      <w:r w:rsidR="009B5D8D">
        <w:t xml:space="preserve">Table </w:t>
      </w:r>
      <w:r w:rsidR="009B5D8D">
        <w:rPr>
          <w:noProof/>
        </w:rPr>
        <w:t>16</w:t>
      </w:r>
      <w:r w:rsidR="00057925">
        <w:rPr>
          <w:lang w:val="en-AU" w:eastAsia="en-AU"/>
        </w:rPr>
        <w:fldChar w:fldCharType="end"/>
      </w:r>
      <w:r w:rsidRPr="00955D50">
        <w:rPr>
          <w:lang w:val="en-AU" w:eastAsia="en-AU"/>
        </w:rPr>
        <w:t xml:space="preserve"> below summarises the current compliance activities being performed by the </w:t>
      </w:r>
      <w:r w:rsidR="00C0725E">
        <w:rPr>
          <w:lang w:val="en-AU" w:eastAsia="en-AU"/>
        </w:rPr>
        <w:t>Department</w:t>
      </w:r>
      <w:r w:rsidRPr="00955D50">
        <w:rPr>
          <w:lang w:val="en-AU" w:eastAsia="en-AU"/>
        </w:rPr>
        <w:t>.</w:t>
      </w:r>
    </w:p>
    <w:p w14:paraId="25A0378E" w14:textId="25F615D9" w:rsidR="007C6203" w:rsidRPr="007C6203" w:rsidRDefault="00BF7026" w:rsidP="00BF7026">
      <w:pPr>
        <w:pStyle w:val="Caption"/>
        <w:rPr>
          <w:lang w:eastAsia="en-AU"/>
        </w:rPr>
      </w:pPr>
      <w:bookmarkStart w:id="92" w:name="_Ref172291302"/>
      <w:bookmarkStart w:id="93" w:name="_Ref172291290"/>
      <w:r>
        <w:t xml:space="preserve">Table </w:t>
      </w:r>
      <w:r>
        <w:fldChar w:fldCharType="begin"/>
      </w:r>
      <w:r>
        <w:instrText xml:space="preserve"> SEQ Table \* ARABIC </w:instrText>
      </w:r>
      <w:r>
        <w:fldChar w:fldCharType="separate"/>
      </w:r>
      <w:r w:rsidR="009B5D8D">
        <w:rPr>
          <w:noProof/>
        </w:rPr>
        <w:t>16</w:t>
      </w:r>
      <w:r>
        <w:fldChar w:fldCharType="end"/>
      </w:r>
      <w:bookmarkEnd w:id="90"/>
      <w:bookmarkEnd w:id="91"/>
      <w:bookmarkEnd w:id="92"/>
      <w:r>
        <w:t xml:space="preserve"> | Compliance activities being performed by the </w:t>
      </w:r>
      <w:r w:rsidR="00C0725E">
        <w:t>Department</w:t>
      </w:r>
      <w:bookmarkEnd w:id="93"/>
    </w:p>
    <w:tbl>
      <w:tblPr>
        <w:tblStyle w:val="NOUSSideHeader"/>
        <w:tblW w:w="9042" w:type="dxa"/>
        <w:tblLook w:val="04A0" w:firstRow="1" w:lastRow="0" w:firstColumn="1" w:lastColumn="0" w:noHBand="0" w:noVBand="1"/>
      </w:tblPr>
      <w:tblGrid>
        <w:gridCol w:w="2127"/>
        <w:gridCol w:w="6915"/>
      </w:tblGrid>
      <w:tr w:rsidR="007D75E2" w14:paraId="3E906EEE"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54F46381" w14:textId="38F6F99B" w:rsidR="00A441AD" w:rsidRPr="002A0F53" w:rsidRDefault="00266201" w:rsidP="00BF7026">
            <w:pPr>
              <w:pStyle w:val="Tableexpheader"/>
              <w:rPr>
                <w:b w:val="0"/>
              </w:rPr>
            </w:pPr>
            <w:r w:rsidRPr="002A0F53">
              <w:rPr>
                <w:b w:val="0"/>
              </w:rPr>
              <w:t>E</w:t>
            </w:r>
            <w:r w:rsidR="00A441AD" w:rsidRPr="002A0F53">
              <w:rPr>
                <w:b w:val="0"/>
              </w:rPr>
              <w:t xml:space="preserve">ducation and </w:t>
            </w:r>
            <w:r w:rsidRPr="002A0F53">
              <w:rPr>
                <w:b w:val="0"/>
              </w:rPr>
              <w:t xml:space="preserve">Guidance </w:t>
            </w:r>
          </w:p>
        </w:tc>
        <w:tc>
          <w:tcPr>
            <w:tcW w:w="6915" w:type="dxa"/>
          </w:tcPr>
          <w:p w14:paraId="7BE01045" w14:textId="5BD043F3" w:rsidR="008C34F3" w:rsidRDefault="000C1DC2" w:rsidP="00E73B17">
            <w:pPr>
              <w:pStyle w:val="TableExpBullet0"/>
              <w:cnfStyle w:val="000000000000" w:firstRow="0" w:lastRow="0" w:firstColumn="0" w:lastColumn="0" w:oddVBand="0" w:evenVBand="0" w:oddHBand="0" w:evenHBand="0" w:firstRowFirstColumn="0" w:firstRowLastColumn="0" w:lastRowFirstColumn="0" w:lastRowLastColumn="0"/>
            </w:pPr>
            <w:r>
              <w:t>Provision of</w:t>
            </w:r>
            <w:r w:rsidR="00B12635">
              <w:t xml:space="preserve"> </w:t>
            </w:r>
            <w:r w:rsidR="008C34F3">
              <w:t>advice</w:t>
            </w:r>
            <w:r w:rsidR="00B12635">
              <w:t xml:space="preserve"> to Private Health Insurance Ombudsman </w:t>
            </w:r>
            <w:r w:rsidR="008C34F3">
              <w:t>(the Ombudsman) to assist resolution of disputes between hospitals and insurers</w:t>
            </w:r>
          </w:p>
          <w:p w14:paraId="7A28D175" w14:textId="77777777" w:rsidR="00375593" w:rsidRDefault="008C34F3" w:rsidP="00E73B17">
            <w:pPr>
              <w:pStyle w:val="TableExpBullet0"/>
              <w:cnfStyle w:val="000000000000" w:firstRow="0" w:lastRow="0" w:firstColumn="0" w:lastColumn="0" w:oddVBand="0" w:evenVBand="0" w:oddHBand="0" w:evenHBand="0" w:firstRowFirstColumn="0" w:firstRowLastColumn="0" w:lastRowFirstColumn="0" w:lastRowLastColumn="0"/>
            </w:pPr>
            <w:r>
              <w:t>Provision of standard words for the</w:t>
            </w:r>
            <w:r w:rsidR="000C1DC2">
              <w:t xml:space="preserve"> </w:t>
            </w:r>
            <w:r>
              <w:t xml:space="preserve">Ombudsman to send to stakeholder regarding common issues </w:t>
            </w:r>
          </w:p>
          <w:p w14:paraId="3E9A3FDA" w14:textId="07F09694" w:rsidR="00B8078F" w:rsidRPr="00A441AD" w:rsidRDefault="00B8078F" w:rsidP="00E73B17">
            <w:pPr>
              <w:pStyle w:val="TableExpBullet0"/>
              <w:cnfStyle w:val="000000000000" w:firstRow="0" w:lastRow="0" w:firstColumn="0" w:lastColumn="0" w:oddVBand="0" w:evenVBand="0" w:oddHBand="0" w:evenHBand="0" w:firstRowFirstColumn="0" w:firstRowLastColumn="0" w:lastRowFirstColumn="0" w:lastRowLastColumn="0"/>
            </w:pPr>
            <w:r>
              <w:t xml:space="preserve">Development of a guidance document on MBS item usage when claiming a benefit on the PL (to be released) </w:t>
            </w:r>
          </w:p>
        </w:tc>
      </w:tr>
      <w:tr w:rsidR="007D75E2" w14:paraId="3B1E1E6E"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45FC670B" w14:textId="7EA287D7" w:rsidR="00A441AD" w:rsidRPr="002A0F53" w:rsidRDefault="008C34F3" w:rsidP="00BF7026">
            <w:pPr>
              <w:pStyle w:val="Tableexpheader"/>
              <w:rPr>
                <w:b w:val="0"/>
              </w:rPr>
            </w:pPr>
            <w:r w:rsidRPr="002A0F53">
              <w:rPr>
                <w:b w:val="0"/>
              </w:rPr>
              <w:t>Data analysis</w:t>
            </w:r>
            <w:r w:rsidR="00110370" w:rsidRPr="002A0F53">
              <w:rPr>
                <w:b w:val="0"/>
              </w:rPr>
              <w:t xml:space="preserve"> of usage patterns</w:t>
            </w:r>
            <w:r w:rsidRPr="002A0F53">
              <w:rPr>
                <w:b w:val="0"/>
              </w:rPr>
              <w:t xml:space="preserve"> </w:t>
            </w:r>
          </w:p>
        </w:tc>
        <w:tc>
          <w:tcPr>
            <w:tcW w:w="6915" w:type="dxa"/>
          </w:tcPr>
          <w:p w14:paraId="7F09EEE1" w14:textId="39C72AEB" w:rsidR="00A441AD" w:rsidRPr="00A441AD" w:rsidRDefault="002C5040" w:rsidP="00E73B17">
            <w:pPr>
              <w:pStyle w:val="TableExpBullet0"/>
              <w:cnfStyle w:val="000000000000" w:firstRow="0" w:lastRow="0" w:firstColumn="0" w:lastColumn="0" w:oddVBand="0" w:evenVBand="0" w:oddHBand="0" w:evenHBand="0" w:firstRowFirstColumn="0" w:firstRowLastColumn="0" w:lastRowFirstColumn="0" w:lastRowLastColumn="0"/>
            </w:pPr>
            <w:r>
              <w:t>Requested</w:t>
            </w:r>
            <w:r w:rsidR="00110370">
              <w:t xml:space="preserve"> </w:t>
            </w:r>
            <w:r>
              <w:t xml:space="preserve">and analysed </w:t>
            </w:r>
            <w:r w:rsidR="00110370">
              <w:t>usage</w:t>
            </w:r>
            <w:r>
              <w:t xml:space="preserve"> </w:t>
            </w:r>
            <w:r w:rsidR="00110370">
              <w:t xml:space="preserve">data </w:t>
            </w:r>
            <w:r>
              <w:t xml:space="preserve">on multiple occasions </w:t>
            </w:r>
            <w:r w:rsidR="00C631A2">
              <w:t xml:space="preserve">in relation to reported alleged non-compliance cases of inappropriate PL benefit claiming. </w:t>
            </w:r>
          </w:p>
        </w:tc>
      </w:tr>
      <w:tr w:rsidR="007D75E2" w14:paraId="10968F56"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0D8242FF" w14:textId="76864C5B" w:rsidR="00A441AD" w:rsidRPr="002A0F53" w:rsidRDefault="00B229E2" w:rsidP="00BF7026">
            <w:pPr>
              <w:pStyle w:val="Tableexpheader"/>
              <w:rPr>
                <w:b w:val="0"/>
              </w:rPr>
            </w:pPr>
            <w:r w:rsidRPr="002A0F53">
              <w:rPr>
                <w:b w:val="0"/>
              </w:rPr>
              <w:t>Inve</w:t>
            </w:r>
            <w:r w:rsidR="00B8078F" w:rsidRPr="002A0F53">
              <w:rPr>
                <w:b w:val="0"/>
              </w:rPr>
              <w:t xml:space="preserve">stigations, referrals and case management </w:t>
            </w:r>
          </w:p>
        </w:tc>
        <w:tc>
          <w:tcPr>
            <w:tcW w:w="6915" w:type="dxa"/>
          </w:tcPr>
          <w:p w14:paraId="714FE5FD" w14:textId="069A3C4C" w:rsidR="00A441AD" w:rsidRDefault="00483EBD" w:rsidP="00E73B17">
            <w:pPr>
              <w:pStyle w:val="TableExpBullet0"/>
              <w:cnfStyle w:val="000000000000" w:firstRow="0" w:lastRow="0" w:firstColumn="0" w:lastColumn="0" w:oddVBand="0" w:evenVBand="0" w:oddHBand="0" w:evenHBand="0" w:firstRowFirstColumn="0" w:firstRowLastColumn="0" w:lastRowFirstColumn="0" w:lastRowLastColumn="0"/>
            </w:pPr>
            <w:r>
              <w:t>Compliance email inbox to receive alleged non-compliance reports</w:t>
            </w:r>
            <w:r w:rsidR="006504FC">
              <w:t xml:space="preserve"> and PL queries </w:t>
            </w:r>
          </w:p>
          <w:p w14:paraId="1EEDAA24" w14:textId="77777777" w:rsidR="00483EBD" w:rsidRDefault="00AA26AD" w:rsidP="00E73B17">
            <w:pPr>
              <w:pStyle w:val="TableExpBullet0"/>
              <w:cnfStyle w:val="000000000000" w:firstRow="0" w:lastRow="0" w:firstColumn="0" w:lastColumn="0" w:oddVBand="0" w:evenVBand="0" w:oddHBand="0" w:evenHBand="0" w:firstRowFirstColumn="0" w:firstRowLastColumn="0" w:lastRowFirstColumn="0" w:lastRowLastColumn="0"/>
            </w:pPr>
            <w:r>
              <w:t>Compliance and monitoring tracker to record incoming cases of alleged non-compliance</w:t>
            </w:r>
          </w:p>
          <w:p w14:paraId="77595199" w14:textId="77777777" w:rsidR="00AA26AD" w:rsidRDefault="00405AB5" w:rsidP="00E73B17">
            <w:pPr>
              <w:pStyle w:val="TableExpBullet0"/>
              <w:cnfStyle w:val="000000000000" w:firstRow="0" w:lastRow="0" w:firstColumn="0" w:lastColumn="0" w:oddVBand="0" w:evenVBand="0" w:oddHBand="0" w:evenHBand="0" w:firstRowFirstColumn="0" w:firstRowLastColumn="0" w:lastRowFirstColumn="0" w:lastRowLastColumn="0"/>
            </w:pPr>
            <w:r>
              <w:t xml:space="preserve">Preparation of case reports </w:t>
            </w:r>
            <w:r w:rsidR="00746B59">
              <w:t>about assessment and resolution of compliance issues</w:t>
            </w:r>
          </w:p>
          <w:p w14:paraId="5950ECBA" w14:textId="37187088" w:rsidR="00746B59" w:rsidRPr="00A441AD" w:rsidRDefault="006504FC" w:rsidP="00E73B17">
            <w:pPr>
              <w:pStyle w:val="TableExpBullet0"/>
              <w:cnfStyle w:val="000000000000" w:firstRow="0" w:lastRow="0" w:firstColumn="0" w:lastColumn="0" w:oddVBand="0" w:evenVBand="0" w:oddHBand="0" w:evenHBand="0" w:firstRowFirstColumn="0" w:firstRowLastColumn="0" w:lastRowFirstColumn="0" w:lastRowLastColumn="0"/>
            </w:pPr>
            <w:r>
              <w:t xml:space="preserve">Analysis of queries to identify areas that require further education </w:t>
            </w:r>
          </w:p>
        </w:tc>
      </w:tr>
      <w:tr w:rsidR="007D75E2" w:rsidRPr="00BB016B" w14:paraId="5B86F4E2"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7B05A211" w14:textId="71163EB3" w:rsidR="00A441AD" w:rsidRPr="002A0F53" w:rsidRDefault="00B229E2" w:rsidP="00BF7026">
            <w:pPr>
              <w:pStyle w:val="Tableexpheader"/>
              <w:rPr>
                <w:b w:val="0"/>
              </w:rPr>
            </w:pPr>
            <w:r w:rsidRPr="002A0F53">
              <w:rPr>
                <w:b w:val="0"/>
              </w:rPr>
              <w:t xml:space="preserve">Collaboration with other compliance areas and regulatory authorities </w:t>
            </w:r>
          </w:p>
        </w:tc>
        <w:tc>
          <w:tcPr>
            <w:tcW w:w="6915" w:type="dxa"/>
          </w:tcPr>
          <w:p w14:paraId="52608F37" w14:textId="77777777" w:rsidR="00BB4FB0" w:rsidRDefault="00077713" w:rsidP="00E73B17">
            <w:pPr>
              <w:pStyle w:val="TableExpBullet0"/>
              <w:cnfStyle w:val="000000000000" w:firstRow="0" w:lastRow="0" w:firstColumn="0" w:lastColumn="0" w:oddVBand="0" w:evenVBand="0" w:oddHBand="0" w:evenHBand="0" w:firstRowFirstColumn="0" w:firstRowLastColumn="0" w:lastRowFirstColumn="0" w:lastRowLastColumn="0"/>
            </w:pPr>
            <w:r>
              <w:t xml:space="preserve">Discussion with </w:t>
            </w:r>
            <w:r w:rsidR="00B55B8E">
              <w:t xml:space="preserve">internal compliance areas and </w:t>
            </w:r>
            <w:r w:rsidR="000A7E70">
              <w:t>TGA about proposed PL compliance legislation</w:t>
            </w:r>
            <w:r w:rsidR="00AA53C0">
              <w:t xml:space="preserve">, </w:t>
            </w:r>
            <w:r w:rsidR="0044523B">
              <w:t xml:space="preserve">the effectiveness of their powers and their recommendations for developing </w:t>
            </w:r>
            <w:r w:rsidR="00BB4FB0">
              <w:t>PL compliance</w:t>
            </w:r>
          </w:p>
          <w:p w14:paraId="22275F7D" w14:textId="271C6C5C" w:rsidR="00A441AD" w:rsidRPr="00A441AD" w:rsidRDefault="00BA000E" w:rsidP="00E73B17">
            <w:pPr>
              <w:pStyle w:val="TableExpBullet0"/>
              <w:cnfStyle w:val="000000000000" w:firstRow="0" w:lastRow="0" w:firstColumn="0" w:lastColumn="0" w:oddVBand="0" w:evenVBand="0" w:oddHBand="0" w:evenHBand="0" w:firstRowFirstColumn="0" w:firstRowLastColumn="0" w:lastRowFirstColumn="0" w:lastRowLastColumn="0"/>
            </w:pPr>
            <w:r>
              <w:t>Liaised</w:t>
            </w:r>
            <w:r w:rsidR="00BB4FB0">
              <w:t xml:space="preserve"> with the Ombudsman on multiple </w:t>
            </w:r>
            <w:r w:rsidR="005A63CA">
              <w:t>occasions</w:t>
            </w:r>
            <w:r w:rsidR="00BB4FB0">
              <w:t xml:space="preserve"> </w:t>
            </w:r>
            <w:r w:rsidR="005A63CA">
              <w:t>to assist insurer and hospital disputes</w:t>
            </w:r>
            <w:r w:rsidR="00BB4FB0">
              <w:t xml:space="preserve"> </w:t>
            </w:r>
            <w:r w:rsidR="0044523B">
              <w:t xml:space="preserve"> </w:t>
            </w:r>
          </w:p>
        </w:tc>
      </w:tr>
      <w:tr w:rsidR="007D75E2" w:rsidRPr="00BB016B" w14:paraId="2299E290" w14:textId="77777777" w:rsidTr="00A920D4">
        <w:tc>
          <w:tcPr>
            <w:cnfStyle w:val="001000000000" w:firstRow="0" w:lastRow="0" w:firstColumn="1" w:lastColumn="0" w:oddVBand="0" w:evenVBand="0" w:oddHBand="0" w:evenHBand="0" w:firstRowFirstColumn="0" w:firstRowLastColumn="0" w:lastRowFirstColumn="0" w:lastRowLastColumn="0"/>
            <w:tcW w:w="2127" w:type="dxa"/>
            <w:vAlign w:val="center"/>
          </w:tcPr>
          <w:p w14:paraId="26A374EA" w14:textId="2CEE2F05" w:rsidR="006E50A0" w:rsidRPr="002A0F53" w:rsidRDefault="007C01C4" w:rsidP="00BF7026">
            <w:pPr>
              <w:pStyle w:val="Tableexpheader"/>
              <w:rPr>
                <w:b w:val="0"/>
              </w:rPr>
            </w:pPr>
            <w:r w:rsidRPr="002A0F53">
              <w:rPr>
                <w:b w:val="0"/>
              </w:rPr>
              <w:t>Assurance</w:t>
            </w:r>
          </w:p>
        </w:tc>
        <w:tc>
          <w:tcPr>
            <w:tcW w:w="6915" w:type="dxa"/>
          </w:tcPr>
          <w:p w14:paraId="19736ED6" w14:textId="77777777" w:rsidR="006E50A0" w:rsidRDefault="006248A4" w:rsidP="00E73B17">
            <w:pPr>
              <w:pStyle w:val="TableExpBullet0"/>
              <w:cnfStyle w:val="000000000000" w:firstRow="0" w:lastRow="0" w:firstColumn="0" w:lastColumn="0" w:oddVBand="0" w:evenVBand="0" w:oddHBand="0" w:evenHBand="0" w:firstRowFirstColumn="0" w:firstRowLastColumn="0" w:lastRowFirstColumn="0" w:lastRowLastColumn="0"/>
            </w:pPr>
            <w:r>
              <w:t>S</w:t>
            </w:r>
            <w:r w:rsidRPr="006248A4">
              <w:t xml:space="preserve">taff members </w:t>
            </w:r>
            <w:r w:rsidR="00E62CE0">
              <w:t xml:space="preserve">systematically </w:t>
            </w:r>
            <w:r w:rsidR="00AA29C4">
              <w:t xml:space="preserve">examining several hundred PL items to see if products are listed appropriately, at the correct benefit level and that product claims can be verified. </w:t>
            </w:r>
            <w:r w:rsidR="00030E88">
              <w:t xml:space="preserve">A manual process </w:t>
            </w:r>
            <w:r w:rsidR="00701338">
              <w:t>of</w:t>
            </w:r>
            <w:r w:rsidR="00030E88">
              <w:t xml:space="preserve"> individual assessment and </w:t>
            </w:r>
            <w:r w:rsidR="00701338">
              <w:t>if required,</w:t>
            </w:r>
            <w:r w:rsidR="00030E88">
              <w:t xml:space="preserve"> gathering of clinical input. </w:t>
            </w:r>
            <w:r w:rsidR="00156FD0">
              <w:t xml:space="preserve"> </w:t>
            </w:r>
          </w:p>
          <w:p w14:paraId="67C8EF86" w14:textId="1F6631B6" w:rsidR="00E66735" w:rsidRDefault="00B54B57" w:rsidP="00E73B17">
            <w:pPr>
              <w:pStyle w:val="TableExpBullet0"/>
              <w:cnfStyle w:val="000000000000" w:firstRow="0" w:lastRow="0" w:firstColumn="0" w:lastColumn="0" w:oddVBand="0" w:evenVBand="0" w:oddHBand="0" w:evenHBand="0" w:firstRowFirstColumn="0" w:firstRowLastColumn="0" w:lastRowFirstColumn="0" w:lastRowLastColumn="0"/>
            </w:pPr>
            <w:r>
              <w:t>Pilot</w:t>
            </w:r>
            <w:r w:rsidR="00A26250">
              <w:t xml:space="preserve"> p</w:t>
            </w:r>
            <w:r w:rsidR="00E66735">
              <w:t xml:space="preserve">ost-listing reviews </w:t>
            </w:r>
          </w:p>
        </w:tc>
      </w:tr>
    </w:tbl>
    <w:p w14:paraId="266E7E41" w14:textId="77777777" w:rsidR="001A356B" w:rsidRDefault="001A356B" w:rsidP="006202A2">
      <w:pPr>
        <w:rPr>
          <w:rFonts w:eastAsia="Times New Roman" w:cs="Times New Roman"/>
          <w:color w:val="00264D" w:themeColor="background2"/>
          <w:szCs w:val="19"/>
          <w:lang w:val="en-AU" w:eastAsia="en-AU"/>
        </w:rPr>
      </w:pPr>
    </w:p>
    <w:p w14:paraId="20F6600C" w14:textId="6E7FCD55" w:rsidR="006F5772" w:rsidRDefault="006F5772" w:rsidP="006202A2">
      <w:pPr>
        <w:rPr>
          <w:rFonts w:eastAsia="Times New Roman" w:cs="Times New Roman"/>
          <w:color w:val="00264D" w:themeColor="background2"/>
          <w:szCs w:val="19"/>
          <w:lang w:val="en-AU" w:eastAsia="en-AU"/>
        </w:rPr>
      </w:pPr>
      <w:r>
        <w:rPr>
          <w:rFonts w:ascii="Segoe UI Semibold" w:eastAsia="Times New Roman" w:hAnsi="Segoe UI Semibold" w:cs="Times New Roman"/>
          <w:color w:val="00264D" w:themeColor="background2"/>
          <w:sz w:val="22"/>
          <w:lang w:val="en-AU" w:eastAsia="en-AU"/>
        </w:rPr>
        <w:t>Department</w:t>
      </w:r>
      <w:r w:rsidR="000C2F59">
        <w:rPr>
          <w:rFonts w:ascii="Segoe UI Semibold" w:eastAsia="Times New Roman" w:hAnsi="Segoe UI Semibold" w:cs="Times New Roman"/>
          <w:color w:val="00264D" w:themeColor="background2"/>
          <w:sz w:val="22"/>
          <w:lang w:val="en-AU" w:eastAsia="en-AU"/>
        </w:rPr>
        <w:t>al</w:t>
      </w:r>
      <w:r w:rsidRPr="048A6881">
        <w:rPr>
          <w:rFonts w:ascii="Segoe UI Semibold" w:eastAsia="Times New Roman" w:hAnsi="Segoe UI Semibold" w:cs="Times New Roman"/>
          <w:color w:val="00264D" w:themeColor="background2"/>
          <w:sz w:val="22"/>
          <w:lang w:val="en-AU" w:eastAsia="en-AU"/>
        </w:rPr>
        <w:t xml:space="preserve"> capacity </w:t>
      </w:r>
      <w:r w:rsidR="00086B39">
        <w:rPr>
          <w:rFonts w:ascii="Segoe UI Semibold" w:eastAsia="Times New Roman" w:hAnsi="Segoe UI Semibold" w:cs="Times New Roman"/>
          <w:color w:val="00264D" w:themeColor="background2"/>
          <w:sz w:val="22"/>
          <w:lang w:val="en-AU" w:eastAsia="en-AU"/>
        </w:rPr>
        <w:t>is a critical element</w:t>
      </w:r>
      <w:r>
        <w:rPr>
          <w:rFonts w:ascii="Segoe UI Semibold" w:eastAsia="Times New Roman" w:hAnsi="Segoe UI Semibold" w:cs="Times New Roman"/>
          <w:color w:val="00264D" w:themeColor="background2"/>
          <w:sz w:val="22"/>
          <w:lang w:val="en-AU" w:eastAsia="en-AU"/>
        </w:rPr>
        <w:t xml:space="preserve"> </w:t>
      </w:r>
      <w:r w:rsidR="00086B39">
        <w:rPr>
          <w:rFonts w:ascii="Segoe UI Semibold" w:eastAsia="Times New Roman" w:hAnsi="Segoe UI Semibold" w:cs="Times New Roman"/>
          <w:color w:val="00264D" w:themeColor="background2"/>
          <w:sz w:val="22"/>
          <w:lang w:val="en-AU" w:eastAsia="en-AU"/>
        </w:rPr>
        <w:t xml:space="preserve">required to ensure </w:t>
      </w:r>
      <w:r w:rsidR="003C22D7">
        <w:rPr>
          <w:rFonts w:ascii="Segoe UI Semibold" w:eastAsia="Times New Roman" w:hAnsi="Segoe UI Semibold" w:cs="Times New Roman"/>
          <w:color w:val="00264D" w:themeColor="background2"/>
          <w:sz w:val="22"/>
          <w:lang w:val="en-AU" w:eastAsia="en-AU"/>
        </w:rPr>
        <w:t>an effective and</w:t>
      </w:r>
      <w:r w:rsidR="00A13A2B">
        <w:rPr>
          <w:rFonts w:ascii="Segoe UI Semibold" w:eastAsia="Times New Roman" w:hAnsi="Segoe UI Semibold" w:cs="Times New Roman"/>
          <w:color w:val="00264D" w:themeColor="background2"/>
          <w:sz w:val="22"/>
          <w:lang w:val="en-AU" w:eastAsia="en-AU"/>
        </w:rPr>
        <w:t xml:space="preserve"> sustainable compliance </w:t>
      </w:r>
      <w:r w:rsidR="003C22D7">
        <w:rPr>
          <w:rFonts w:ascii="Segoe UI Semibold" w:eastAsia="Times New Roman" w:hAnsi="Segoe UI Semibold" w:cs="Times New Roman"/>
          <w:color w:val="00264D" w:themeColor="background2"/>
          <w:sz w:val="22"/>
          <w:lang w:val="en-AU" w:eastAsia="en-AU"/>
        </w:rPr>
        <w:t xml:space="preserve">program for the PL. </w:t>
      </w:r>
    </w:p>
    <w:p w14:paraId="7E43209F" w14:textId="3EC1EE01" w:rsidR="00597346" w:rsidRPr="003D5AAA" w:rsidRDefault="00A91603" w:rsidP="003D5AAA">
      <w:pPr>
        <w:rPr>
          <w:rFonts w:eastAsia="Times New Roman" w:cs="Times New Roman"/>
          <w:color w:val="00264D" w:themeColor="background2"/>
          <w:szCs w:val="19"/>
          <w:lang w:val="en-AU" w:eastAsia="en-AU"/>
        </w:rPr>
      </w:pPr>
      <w:r w:rsidRPr="00F32A7E">
        <w:t xml:space="preserve">At this point in the reform </w:t>
      </w:r>
      <w:r w:rsidR="00F979FA" w:rsidRPr="00F32A7E">
        <w:t>process the planned compliance program is delayed and is not yet sufficient</w:t>
      </w:r>
      <w:r w:rsidR="003C22D7" w:rsidRPr="00F32A7E">
        <w:t xml:space="preserve"> to ensure active compliance across the PL. </w:t>
      </w:r>
      <w:r w:rsidR="00661D51" w:rsidRPr="00F32A7E">
        <w:t>Whil</w:t>
      </w:r>
      <w:r w:rsidR="00924A69" w:rsidRPr="00F32A7E">
        <w:t>e</w:t>
      </w:r>
      <w:r w:rsidR="00661D51" w:rsidRPr="00F32A7E">
        <w:t xml:space="preserve"> the </w:t>
      </w:r>
      <w:r w:rsidR="003C22D7" w:rsidRPr="00F32A7E">
        <w:t>Department</w:t>
      </w:r>
      <w:r w:rsidR="00661D51" w:rsidRPr="00F32A7E">
        <w:t xml:space="preserve"> does undertake some assurance activities, they have </w:t>
      </w:r>
      <w:r w:rsidR="001C1E50" w:rsidRPr="00F32A7E">
        <w:t>communicated</w:t>
      </w:r>
      <w:r w:rsidR="00925817" w:rsidRPr="00F32A7E">
        <w:t xml:space="preserve"> that</w:t>
      </w:r>
      <w:r w:rsidR="003C22D7" w:rsidRPr="00F32A7E">
        <w:t xml:space="preserve"> only</w:t>
      </w:r>
      <w:r w:rsidR="00925817" w:rsidRPr="00F32A7E">
        <w:t xml:space="preserve"> </w:t>
      </w:r>
      <w:r w:rsidR="00136EB7" w:rsidRPr="00F32A7E">
        <w:t>externally reported</w:t>
      </w:r>
      <w:r w:rsidR="003C22D7" w:rsidRPr="00F32A7E">
        <w:t xml:space="preserve"> breaches are currently being actioned under the current assurance model.</w:t>
      </w:r>
      <w:r w:rsidR="001C1E50" w:rsidRPr="001C1E50">
        <w:t xml:space="preserve"> </w:t>
      </w:r>
      <w:r w:rsidR="00602A32" w:rsidRPr="00F32A7E">
        <w:t>These</w:t>
      </w:r>
      <w:r w:rsidR="001C1E50" w:rsidRPr="00F32A7E">
        <w:t xml:space="preserve"> are considered when they are raised with the Department by other parties, rather than identified through an internally driven proactive process</w:t>
      </w:r>
      <w:r w:rsidR="00136EB7" w:rsidRPr="00F32A7E">
        <w:t xml:space="preserve">. A more proactive approach would either: a) automatically </w:t>
      </w:r>
      <w:r w:rsidR="00425EEC" w:rsidRPr="00F32A7E">
        <w:t>check</w:t>
      </w:r>
      <w:r w:rsidR="00136EB7" w:rsidRPr="00F32A7E">
        <w:t xml:space="preserve"> a proportion of items or b) products are flagged if they are not used for a period of time and/or c) items are flagged if their use changes by a set percentage.</w:t>
      </w:r>
      <w:r w:rsidR="005344ED" w:rsidRPr="00F32A7E">
        <w:t xml:space="preserve"> </w:t>
      </w:r>
      <w:r w:rsidR="006B2385" w:rsidRPr="00F32A7E">
        <w:t>Of externally</w:t>
      </w:r>
      <w:r w:rsidR="003A0E8C" w:rsidRPr="00F32A7E">
        <w:t xml:space="preserve"> </w:t>
      </w:r>
      <w:r w:rsidR="006B2385" w:rsidRPr="00F32A7E">
        <w:t>reported PL issues</w:t>
      </w:r>
      <w:r w:rsidR="005344ED" w:rsidRPr="00F32A7E">
        <w:t xml:space="preserve">, there is a large backlog </w:t>
      </w:r>
      <w:r w:rsidR="006279C8" w:rsidRPr="00F32A7E">
        <w:t xml:space="preserve">of </w:t>
      </w:r>
      <w:r w:rsidR="005E212C" w:rsidRPr="00F32A7E">
        <w:t>potentially</w:t>
      </w:r>
      <w:r w:rsidR="003D5AAA" w:rsidRPr="00F32A7E">
        <w:t xml:space="preserve"> incorrect listings, </w:t>
      </w:r>
      <w:r w:rsidR="005E212C" w:rsidRPr="00F32A7E">
        <w:t>definitions</w:t>
      </w:r>
      <w:r w:rsidR="003D5AAA" w:rsidRPr="00F32A7E">
        <w:t xml:space="preserve"> or suffixes </w:t>
      </w:r>
      <w:r w:rsidR="005E212C" w:rsidRPr="00F32A7E">
        <w:t xml:space="preserve">that need to be examined </w:t>
      </w:r>
      <w:r w:rsidR="003D5AAA" w:rsidRPr="00F32A7E">
        <w:t xml:space="preserve">and </w:t>
      </w:r>
      <w:r w:rsidR="00C50FC0" w:rsidRPr="00F32A7E">
        <w:t>Department</w:t>
      </w:r>
      <w:r w:rsidR="003D5AAA" w:rsidRPr="00F32A7E">
        <w:t>al progress to resolve</w:t>
      </w:r>
      <w:r w:rsidR="006B2385" w:rsidRPr="00F32A7E">
        <w:t xml:space="preserve"> these</w:t>
      </w:r>
      <w:r w:rsidR="003D5AAA" w:rsidRPr="00F32A7E">
        <w:t xml:space="preserve"> </w:t>
      </w:r>
      <w:r w:rsidR="006B2385" w:rsidRPr="00F32A7E">
        <w:t>has</w:t>
      </w:r>
      <w:r w:rsidR="003D5AAA" w:rsidRPr="00F32A7E">
        <w:t xml:space="preserve"> </w:t>
      </w:r>
      <w:r w:rsidR="006B2385" w:rsidRPr="00F32A7E">
        <w:t>been</w:t>
      </w:r>
      <w:r w:rsidR="003D5AAA" w:rsidRPr="00F32A7E">
        <w:t xml:space="preserve"> slow.</w:t>
      </w:r>
      <w:r w:rsidR="00597346" w:rsidRPr="005E212C">
        <w:t xml:space="preserve"> </w:t>
      </w:r>
      <w:r w:rsidR="006B2385" w:rsidRPr="005E212C">
        <w:t>This demonstrates that f</w:t>
      </w:r>
      <w:r w:rsidR="00597346" w:rsidRPr="005E212C">
        <w:t xml:space="preserve">urther resources are needed to support </w:t>
      </w:r>
      <w:r w:rsidR="005E212C" w:rsidRPr="005E212C">
        <w:t xml:space="preserve">compliance and assurance activities </w:t>
      </w:r>
      <w:r w:rsidR="006B2385" w:rsidRPr="005E212C">
        <w:t>in order to safeguard the integrity of the reforms.</w:t>
      </w:r>
      <w:r w:rsidR="006B2385">
        <w:t xml:space="preserve"> </w:t>
      </w:r>
    </w:p>
    <w:p w14:paraId="23BB7F99" w14:textId="1CA4F23F" w:rsidR="0054455E" w:rsidRDefault="00FD6621" w:rsidP="00A5055A">
      <w:pPr>
        <w:rPr>
          <w:lang w:val="en-AU" w:eastAsia="en-AU"/>
        </w:rPr>
      </w:pPr>
      <w:r>
        <w:rPr>
          <w:lang w:val="en-AU" w:eastAsia="en-AU"/>
        </w:rPr>
        <w:t xml:space="preserve">Likewise, </w:t>
      </w:r>
      <w:r w:rsidR="0046001A">
        <w:rPr>
          <w:lang w:val="en-AU" w:eastAsia="en-AU"/>
        </w:rPr>
        <w:t xml:space="preserve">some </w:t>
      </w:r>
      <w:r>
        <w:rPr>
          <w:lang w:val="en-AU" w:eastAsia="en-AU"/>
        </w:rPr>
        <w:t xml:space="preserve">stakeholders </w:t>
      </w:r>
      <w:r w:rsidR="00AA710F">
        <w:rPr>
          <w:lang w:val="en-AU" w:eastAsia="en-AU"/>
        </w:rPr>
        <w:t>believe</w:t>
      </w:r>
      <w:r>
        <w:rPr>
          <w:lang w:val="en-AU" w:eastAsia="en-AU"/>
        </w:rPr>
        <w:t xml:space="preserve"> </w:t>
      </w:r>
      <w:r w:rsidR="00AA710F">
        <w:rPr>
          <w:lang w:val="en-AU" w:eastAsia="en-AU"/>
        </w:rPr>
        <w:t>that</w:t>
      </w:r>
      <w:r w:rsidR="00E755A2">
        <w:rPr>
          <w:lang w:val="en-AU" w:eastAsia="en-AU"/>
        </w:rPr>
        <w:t xml:space="preserve"> PL compliance activities will result in</w:t>
      </w:r>
      <w:r w:rsidR="005F0BEC">
        <w:rPr>
          <w:lang w:val="en-AU" w:eastAsia="en-AU"/>
        </w:rPr>
        <w:t xml:space="preserve"> </w:t>
      </w:r>
      <w:r w:rsidR="00AA710F">
        <w:rPr>
          <w:lang w:val="en-AU" w:eastAsia="en-AU"/>
        </w:rPr>
        <w:t>a significant</w:t>
      </w:r>
      <w:r w:rsidR="005F0BEC">
        <w:rPr>
          <w:lang w:val="en-AU" w:eastAsia="en-AU"/>
        </w:rPr>
        <w:t xml:space="preserve"> increase of administrative </w:t>
      </w:r>
      <w:r w:rsidR="00E755A2">
        <w:rPr>
          <w:lang w:val="en-AU" w:eastAsia="en-AU"/>
        </w:rPr>
        <w:t>burden</w:t>
      </w:r>
      <w:r w:rsidR="005F0BEC">
        <w:rPr>
          <w:lang w:val="en-AU" w:eastAsia="en-AU"/>
        </w:rPr>
        <w:t xml:space="preserve"> for the </w:t>
      </w:r>
      <w:r w:rsidR="00E755A2">
        <w:rPr>
          <w:lang w:val="en-AU" w:eastAsia="en-AU"/>
        </w:rPr>
        <w:t>Department</w:t>
      </w:r>
      <w:r w:rsidR="0046001A">
        <w:rPr>
          <w:lang w:val="en-AU" w:eastAsia="en-AU"/>
        </w:rPr>
        <w:t>, with flow</w:t>
      </w:r>
      <w:r w:rsidR="001402A3">
        <w:rPr>
          <w:lang w:val="en-AU" w:eastAsia="en-AU"/>
        </w:rPr>
        <w:t>-</w:t>
      </w:r>
      <w:r w:rsidR="0046001A">
        <w:rPr>
          <w:lang w:val="en-AU" w:eastAsia="en-AU"/>
        </w:rPr>
        <w:t>on costs to the sector</w:t>
      </w:r>
      <w:r w:rsidR="00E755A2">
        <w:rPr>
          <w:lang w:val="en-AU" w:eastAsia="en-AU"/>
        </w:rPr>
        <w:t>.</w:t>
      </w:r>
      <w:r w:rsidR="00C027B0">
        <w:rPr>
          <w:lang w:val="en-AU" w:eastAsia="en-AU"/>
        </w:rPr>
        <w:t xml:space="preserve"> Whil</w:t>
      </w:r>
      <w:r w:rsidR="00334048">
        <w:rPr>
          <w:lang w:val="en-AU" w:eastAsia="en-AU"/>
        </w:rPr>
        <w:t>e</w:t>
      </w:r>
      <w:r w:rsidR="00C027B0">
        <w:rPr>
          <w:lang w:val="en-AU" w:eastAsia="en-AU"/>
        </w:rPr>
        <w:t xml:space="preserve"> </w:t>
      </w:r>
      <w:r w:rsidR="009E7562">
        <w:rPr>
          <w:lang w:val="en-AU" w:eastAsia="en-AU"/>
        </w:rPr>
        <w:t xml:space="preserve">a number of the </w:t>
      </w:r>
      <w:r w:rsidR="00C93172">
        <w:rPr>
          <w:lang w:val="en-AU" w:eastAsia="en-AU"/>
        </w:rPr>
        <w:t xml:space="preserve">proposed </w:t>
      </w:r>
      <w:r w:rsidR="009E7562">
        <w:rPr>
          <w:lang w:val="en-AU" w:eastAsia="en-AU"/>
        </w:rPr>
        <w:t xml:space="preserve">compliance </w:t>
      </w:r>
      <w:r w:rsidR="00C93172">
        <w:rPr>
          <w:lang w:val="en-AU" w:eastAsia="en-AU"/>
        </w:rPr>
        <w:t xml:space="preserve">measures </w:t>
      </w:r>
      <w:r w:rsidR="00F82C6C">
        <w:rPr>
          <w:lang w:val="en-AU" w:eastAsia="en-AU"/>
        </w:rPr>
        <w:t>are directed at hospitals and insurers, cost recovery for the compliance program is planned to be secured through a levy applied to medical device sponsors only.</w:t>
      </w:r>
      <w:r w:rsidR="00E755A2">
        <w:rPr>
          <w:lang w:val="en-AU" w:eastAsia="en-AU"/>
        </w:rPr>
        <w:t xml:space="preserve"> </w:t>
      </w:r>
      <w:r w:rsidR="00334048">
        <w:rPr>
          <w:rStyle w:val="ui-provider"/>
        </w:rPr>
        <w:t xml:space="preserve">Under the Australian Government Charging Framework, where an identifiable group creates extra or specific demand for a regulatory activity, they should be charged for the activity. </w:t>
      </w:r>
      <w:r w:rsidR="0046001A">
        <w:rPr>
          <w:lang w:val="en-AU" w:eastAsia="en-AU"/>
        </w:rPr>
        <w:t>Other s</w:t>
      </w:r>
      <w:r w:rsidR="00E755A2">
        <w:rPr>
          <w:lang w:val="en-AU" w:eastAsia="en-AU"/>
        </w:rPr>
        <w:t xml:space="preserve">takeholders </w:t>
      </w:r>
      <w:r w:rsidR="005F0BEC">
        <w:rPr>
          <w:lang w:val="en-AU" w:eastAsia="en-AU"/>
        </w:rPr>
        <w:t xml:space="preserve">have expressed concern about the Department’s capacity to implement the proposed compliance </w:t>
      </w:r>
      <w:r w:rsidR="00E755A2">
        <w:rPr>
          <w:lang w:val="en-AU" w:eastAsia="en-AU"/>
        </w:rPr>
        <w:t>mechanisms</w:t>
      </w:r>
      <w:r w:rsidR="005F0BEC">
        <w:rPr>
          <w:lang w:val="en-AU" w:eastAsia="en-AU"/>
        </w:rPr>
        <w:t xml:space="preserve"> by the agreed timeframes</w:t>
      </w:r>
      <w:r w:rsidR="00A5055A">
        <w:rPr>
          <w:lang w:val="en-AU" w:eastAsia="en-AU"/>
        </w:rPr>
        <w:t xml:space="preserve"> and/or effectively enforce the proposed measures.</w:t>
      </w:r>
    </w:p>
    <w:p w14:paraId="52E1816C" w14:textId="2A0E7C5D" w:rsidR="002C6D66" w:rsidRPr="00A5055A" w:rsidRDefault="002C6D66" w:rsidP="00133AB9">
      <w:pPr>
        <w:pStyle w:val="Caption"/>
        <w:rPr>
          <w:lang w:eastAsia="en-AU"/>
        </w:rPr>
      </w:pPr>
      <w:r>
        <w:lastRenderedPageBreak/>
        <w:t xml:space="preserve">Table </w:t>
      </w:r>
      <w:r>
        <w:fldChar w:fldCharType="begin"/>
      </w:r>
      <w:r>
        <w:instrText xml:space="preserve"> SEQ Table \* ARABIC </w:instrText>
      </w:r>
      <w:r>
        <w:fldChar w:fldCharType="separate"/>
      </w:r>
      <w:r w:rsidR="009B5D8D">
        <w:rPr>
          <w:noProof/>
        </w:rPr>
        <w:t>17</w:t>
      </w:r>
      <w:r>
        <w:fldChar w:fldCharType="end"/>
      </w:r>
      <w:r>
        <w:t xml:space="preserve"> | </w:t>
      </w:r>
      <w:r w:rsidRPr="004B2C67">
        <w:t>Stakeholder perspectives on PL compliance</w:t>
      </w:r>
      <w:r>
        <w:t xml:space="preserve"> measures</w:t>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850A4A" w:rsidRPr="00E2213C" w14:paraId="6566630F" w14:textId="77777777" w:rsidTr="004251B2">
        <w:trPr>
          <w:trHeight w:val="346"/>
        </w:trPr>
        <w:tc>
          <w:tcPr>
            <w:tcW w:w="1348" w:type="pct"/>
            <w:gridSpan w:val="2"/>
            <w:shd w:val="clear" w:color="auto" w:fill="E6E6E1" w:themeFill="accent5"/>
            <w:vAlign w:val="center"/>
          </w:tcPr>
          <w:p w14:paraId="43B51423" w14:textId="77777777" w:rsidR="00850A4A" w:rsidRPr="00E2213C" w:rsidRDefault="00850A4A" w:rsidP="004251B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14D25DD5" w14:textId="77777777" w:rsidR="00850A4A" w:rsidRPr="00E2213C" w:rsidRDefault="00850A4A" w:rsidP="004251B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850A4A" w:rsidRPr="00E2213C" w14:paraId="65625DE0" w14:textId="77777777" w:rsidTr="004251B2">
        <w:trPr>
          <w:trHeight w:val="510"/>
        </w:trPr>
        <w:tc>
          <w:tcPr>
            <w:tcW w:w="554" w:type="pct"/>
            <w:shd w:val="clear" w:color="auto" w:fill="00264D" w:themeFill="background2"/>
            <w:vAlign w:val="center"/>
          </w:tcPr>
          <w:p w14:paraId="23F31682" w14:textId="77777777" w:rsidR="00850A4A" w:rsidRPr="00E2213C" w:rsidRDefault="00850A4A" w:rsidP="004251B2">
            <w:pPr>
              <w:spacing w:before="40" w:after="40"/>
              <w:jc w:val="center"/>
              <w:rPr>
                <w:i/>
                <w:iCs/>
              </w:rPr>
            </w:pPr>
            <w:r w:rsidRPr="00E2213C">
              <w:rPr>
                <w:i/>
                <w:iCs/>
                <w:noProof/>
              </w:rPr>
              <mc:AlternateContent>
                <mc:Choice Requires="wps">
                  <w:drawing>
                    <wp:inline distT="0" distB="0" distL="0" distR="0" wp14:anchorId="661F79D9" wp14:editId="7F7CA479">
                      <wp:extent cx="320633" cy="314696"/>
                      <wp:effectExtent l="0" t="0" r="3810" b="9525"/>
                      <wp:docPr id="1854514561" name="Freeform: Shape 1854514561"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7B1995EF" id="Freeform: Shape 1854514561" o:spid="_x0000_s1026" alt="Icon of a person wearing a healthcare worker outfit"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3FB34DD2"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4916E48A" w14:textId="77777777" w:rsidR="00343147" w:rsidRDefault="00343147" w:rsidP="00343147">
            <w:pPr>
              <w:pStyle w:val="TableExpBullet0"/>
              <w:rPr>
                <w:szCs w:val="17"/>
              </w:rPr>
            </w:pPr>
            <w:r>
              <w:rPr>
                <w:szCs w:val="17"/>
              </w:rPr>
              <w:t>Ensuring</w:t>
            </w:r>
            <w:r w:rsidR="000B6CF8" w:rsidRPr="357B6039">
              <w:rPr>
                <w:szCs w:val="17"/>
              </w:rPr>
              <w:t xml:space="preserve"> proportionality and </w:t>
            </w:r>
            <w:r>
              <w:rPr>
                <w:szCs w:val="17"/>
              </w:rPr>
              <w:t>assessment of</w:t>
            </w:r>
            <w:r w:rsidR="000B6CF8" w:rsidRPr="357B6039">
              <w:rPr>
                <w:szCs w:val="17"/>
              </w:rPr>
              <w:t xml:space="preserve"> unintended consequences of </w:t>
            </w:r>
            <w:r>
              <w:rPr>
                <w:szCs w:val="17"/>
              </w:rPr>
              <w:t>the proposed compliance</w:t>
            </w:r>
            <w:r w:rsidR="000B6CF8" w:rsidRPr="357B6039">
              <w:rPr>
                <w:szCs w:val="17"/>
              </w:rPr>
              <w:t xml:space="preserve"> measures will be critical</w:t>
            </w:r>
            <w:r>
              <w:rPr>
                <w:szCs w:val="17"/>
              </w:rPr>
              <w:t>.</w:t>
            </w:r>
          </w:p>
          <w:p w14:paraId="32E0E08E" w14:textId="577E9ECE" w:rsidR="00850A4A" w:rsidRDefault="1D384712" w:rsidP="00C173DC">
            <w:pPr>
              <w:pStyle w:val="TableExpBullet0"/>
              <w:rPr>
                <w:szCs w:val="17"/>
              </w:rPr>
            </w:pPr>
            <w:r w:rsidRPr="57A70630">
              <w:t>T</w:t>
            </w:r>
            <w:r w:rsidR="00085710" w:rsidRPr="48D3F7F2">
              <w:rPr>
                <w:szCs w:val="17"/>
              </w:rPr>
              <w:t xml:space="preserve">he proposed compliance framework does not include any mechanisms to hold insurers accountable </w:t>
            </w:r>
            <w:r w:rsidR="7999034D" w:rsidRPr="48D3F7F2">
              <w:rPr>
                <w:szCs w:val="17"/>
              </w:rPr>
              <w:t>for</w:t>
            </w:r>
            <w:r w:rsidR="00085710" w:rsidRPr="48D3F7F2">
              <w:rPr>
                <w:szCs w:val="17"/>
              </w:rPr>
              <w:t xml:space="preserve"> meeting their obligations to pay claims </w:t>
            </w:r>
            <w:r w:rsidR="3041EEC4" w:rsidRPr="268E1AF7">
              <w:rPr>
                <w:szCs w:val="17"/>
              </w:rPr>
              <w:t>promptly</w:t>
            </w:r>
            <w:r w:rsidR="00085710" w:rsidRPr="48D3F7F2">
              <w:rPr>
                <w:szCs w:val="17"/>
              </w:rPr>
              <w:t xml:space="preserve">. </w:t>
            </w:r>
          </w:p>
          <w:p w14:paraId="5CBD4DE6" w14:textId="7523F53F" w:rsidR="00085710" w:rsidRPr="000B6CF8" w:rsidRDefault="00BD46C0" w:rsidP="00C173DC">
            <w:pPr>
              <w:pStyle w:val="TableExpBullet0"/>
            </w:pPr>
            <w:r>
              <w:t>There will be</w:t>
            </w:r>
            <w:r w:rsidR="00E60E38">
              <w:t xml:space="preserve"> dramatic increase in administrative burden for the </w:t>
            </w:r>
            <w:r w:rsidR="00C0725E">
              <w:t>Department</w:t>
            </w:r>
            <w:r w:rsidR="00E60E38">
              <w:t xml:space="preserve"> as it takes on the compliance role</w:t>
            </w:r>
            <w:r>
              <w:t>, and this</w:t>
            </w:r>
            <w:r w:rsidR="00E60E38">
              <w:t xml:space="preserve"> will come at a cost to providers and eventually</w:t>
            </w:r>
            <w:r>
              <w:t>,</w:t>
            </w:r>
            <w:r w:rsidR="00E60E38">
              <w:t xml:space="preserve"> consumers. </w:t>
            </w:r>
          </w:p>
        </w:tc>
      </w:tr>
      <w:tr w:rsidR="00850A4A" w:rsidRPr="00E2213C" w14:paraId="23FC6A19" w14:textId="77777777" w:rsidTr="004251B2">
        <w:trPr>
          <w:trHeight w:val="421"/>
        </w:trPr>
        <w:tc>
          <w:tcPr>
            <w:tcW w:w="554" w:type="pct"/>
            <w:shd w:val="clear" w:color="auto" w:fill="00264D" w:themeFill="background2"/>
            <w:vAlign w:val="center"/>
          </w:tcPr>
          <w:p w14:paraId="09B834BE" w14:textId="77777777" w:rsidR="00850A4A" w:rsidRPr="00E2213C" w:rsidRDefault="00850A4A" w:rsidP="004251B2">
            <w:pPr>
              <w:spacing w:before="40" w:after="40"/>
              <w:jc w:val="center"/>
              <w:rPr>
                <w:i/>
                <w:iCs/>
              </w:rPr>
            </w:pPr>
            <w:r w:rsidRPr="00E2213C">
              <w:rPr>
                <w:i/>
                <w:iCs/>
                <w:noProof/>
              </w:rPr>
              <mc:AlternateContent>
                <mc:Choice Requires="wps">
                  <w:drawing>
                    <wp:inline distT="0" distB="0" distL="0" distR="0" wp14:anchorId="697295B7" wp14:editId="013BCB53">
                      <wp:extent cx="292311" cy="292311"/>
                      <wp:effectExtent l="0" t="0" r="0" b="0"/>
                      <wp:docPr id="1061519237" name="Freeform: Shape 1061519237"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BEC9015" id="Freeform: Shape 1061519237"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7ACC12BE"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2ABA7A27" w14:textId="43FB1517" w:rsidR="002D2FE5" w:rsidRDefault="00CD44E1" w:rsidP="00CD44E1">
            <w:pPr>
              <w:pStyle w:val="TableExpBullet0"/>
            </w:pPr>
            <w:r>
              <w:t>S</w:t>
            </w:r>
            <w:r w:rsidR="00FE19A3">
              <w:t>trong measures to improve compliance and increase accountability for the PL</w:t>
            </w:r>
            <w:r>
              <w:t xml:space="preserve"> are </w:t>
            </w:r>
            <w:r w:rsidR="0020143E">
              <w:t xml:space="preserve">required and </w:t>
            </w:r>
            <w:r>
              <w:t>supported</w:t>
            </w:r>
            <w:r w:rsidR="002D2FE5">
              <w:t>.</w:t>
            </w:r>
            <w:r w:rsidR="00A048AD">
              <w:t xml:space="preserve">  </w:t>
            </w:r>
          </w:p>
          <w:p w14:paraId="7FF232F6" w14:textId="17855E10" w:rsidR="00850A4A" w:rsidRDefault="002D2FE5" w:rsidP="00C173DC">
            <w:pPr>
              <w:pStyle w:val="TableExpBullet0"/>
            </w:pPr>
            <w:r>
              <w:t>The Department needs</w:t>
            </w:r>
            <w:r w:rsidR="00FE19A3">
              <w:t xml:space="preserve"> to </w:t>
            </w:r>
            <w:r>
              <w:t>invest more resources in</w:t>
            </w:r>
            <w:r w:rsidR="00FE19A3">
              <w:t xml:space="preserve"> </w:t>
            </w:r>
            <w:r>
              <w:t>correcting known</w:t>
            </w:r>
            <w:r w:rsidR="00FE19A3">
              <w:t xml:space="preserve"> listing errors and </w:t>
            </w:r>
            <w:r w:rsidR="0020143E">
              <w:t>there is a</w:t>
            </w:r>
            <w:r w:rsidR="00FE19A3">
              <w:t xml:space="preserve"> lack of scrutiny over the indicated</w:t>
            </w:r>
            <w:r w:rsidR="00072341">
              <w:t xml:space="preserve"> vs actual</w:t>
            </w:r>
            <w:r w:rsidR="00FE19A3">
              <w:t xml:space="preserve"> use of a device. </w:t>
            </w:r>
          </w:p>
          <w:p w14:paraId="2F646B05" w14:textId="5FD738A3" w:rsidR="00FE19A3" w:rsidRDefault="3DE841B8" w:rsidP="00C173DC">
            <w:pPr>
              <w:pStyle w:val="TableExpBullet0"/>
              <w:rPr>
                <w:szCs w:val="17"/>
              </w:rPr>
            </w:pPr>
            <w:r w:rsidRPr="268E1AF7">
              <w:t>C</w:t>
            </w:r>
            <w:r w:rsidR="00DE3EE3" w:rsidRPr="268E1AF7">
              <w:rPr>
                <w:szCs w:val="17"/>
              </w:rPr>
              <w:t>urrent compliance is inadequate and insufficient, noting</w:t>
            </w:r>
            <w:r w:rsidR="00072341" w:rsidRPr="268E1AF7">
              <w:rPr>
                <w:szCs w:val="17"/>
              </w:rPr>
              <w:t xml:space="preserve"> that substantive PL compliance backed by legislation will not come into effect until at least </w:t>
            </w:r>
            <w:r w:rsidR="00DE3EE3" w:rsidRPr="268E1AF7">
              <w:rPr>
                <w:szCs w:val="17"/>
              </w:rPr>
              <w:t xml:space="preserve">mid-2025. </w:t>
            </w:r>
          </w:p>
          <w:p w14:paraId="01F80C4C" w14:textId="2AF96239" w:rsidR="00DE3EE3" w:rsidRPr="00E2213C" w:rsidRDefault="004C11C4" w:rsidP="00C173DC">
            <w:pPr>
              <w:pStyle w:val="TableExpBullet0"/>
            </w:pPr>
            <w:r>
              <w:t>The</w:t>
            </w:r>
            <w:r w:rsidR="00383962" w:rsidRPr="4F797137">
              <w:t xml:space="preserve"> </w:t>
            </w:r>
            <w:r w:rsidR="00C0725E">
              <w:t>Department</w:t>
            </w:r>
            <w:r w:rsidR="00383962" w:rsidRPr="4F797137">
              <w:t xml:space="preserve"> </w:t>
            </w:r>
            <w:r>
              <w:t xml:space="preserve">may </w:t>
            </w:r>
            <w:r w:rsidR="00383962" w:rsidRPr="4F797137">
              <w:t xml:space="preserve">lack </w:t>
            </w:r>
            <w:r w:rsidR="00A55D30" w:rsidRPr="4F797137">
              <w:t>the required</w:t>
            </w:r>
            <w:r w:rsidR="00383962" w:rsidRPr="4F797137">
              <w:t xml:space="preserve"> capability and capacity </w:t>
            </w:r>
            <w:r w:rsidR="00A55D30" w:rsidRPr="4F797137">
              <w:t xml:space="preserve">to implement and enforce the proposed strategy and framework </w:t>
            </w:r>
            <w:r w:rsidR="00422014" w:rsidRPr="4F797137">
              <w:t>successfully</w:t>
            </w:r>
            <w:r w:rsidR="0020143E">
              <w:t>.</w:t>
            </w:r>
            <w:r w:rsidR="00422014" w:rsidRPr="4F797137">
              <w:t xml:space="preserve"> </w:t>
            </w:r>
            <w:r w:rsidR="0020143E">
              <w:t>S</w:t>
            </w:r>
            <w:r w:rsidR="00422014" w:rsidRPr="4F797137">
              <w:t xml:space="preserve">trengthening this should be a focus to achieve the desired </w:t>
            </w:r>
            <w:r w:rsidR="00CD1139" w:rsidRPr="4F797137">
              <w:t>behavioural</w:t>
            </w:r>
            <w:r w:rsidR="00422014" w:rsidRPr="4F797137">
              <w:t xml:space="preserve"> change. </w:t>
            </w:r>
          </w:p>
        </w:tc>
      </w:tr>
      <w:tr w:rsidR="00850A4A" w:rsidRPr="00E2213C" w14:paraId="348825D0" w14:textId="77777777" w:rsidTr="004251B2">
        <w:trPr>
          <w:trHeight w:val="857"/>
        </w:trPr>
        <w:tc>
          <w:tcPr>
            <w:tcW w:w="554" w:type="pct"/>
            <w:shd w:val="clear" w:color="auto" w:fill="00264D" w:themeFill="background2"/>
            <w:vAlign w:val="center"/>
          </w:tcPr>
          <w:p w14:paraId="257EF430" w14:textId="77777777" w:rsidR="00850A4A" w:rsidRPr="00E2213C" w:rsidRDefault="00850A4A" w:rsidP="004251B2">
            <w:pPr>
              <w:spacing w:before="40" w:after="40"/>
              <w:jc w:val="center"/>
              <w:rPr>
                <w:i/>
                <w:iCs/>
              </w:rPr>
            </w:pPr>
            <w:r w:rsidRPr="00E2213C">
              <w:rPr>
                <w:i/>
                <w:iCs/>
                <w:noProof/>
              </w:rPr>
              <w:drawing>
                <wp:inline distT="0" distB="0" distL="0" distR="0" wp14:anchorId="01EE1CC4" wp14:editId="04D4A69A">
                  <wp:extent cx="309245" cy="336734"/>
                  <wp:effectExtent l="0" t="0" r="0" b="6350"/>
                  <wp:docPr id="1491603040" name="Graphic 1491603040" descr="Icon of a microscope ">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3040" name="Graphic 1491603040" descr="Icon of a microscope ">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126A9B46" w14:textId="77777777" w:rsidR="00850A4A" w:rsidRPr="00E2213C" w:rsidRDefault="00850A4A" w:rsidP="004251B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1EDA65B2" w14:textId="1AED7C76" w:rsidR="00850A4A" w:rsidRDefault="0020143E" w:rsidP="00C173DC">
            <w:pPr>
              <w:pStyle w:val="TableExpBullet0"/>
            </w:pPr>
            <w:r>
              <w:t>It</w:t>
            </w:r>
            <w:r w:rsidR="009929C1">
              <w:t xml:space="preserve"> is unclear what compliance activity the </w:t>
            </w:r>
            <w:r w:rsidR="00C0725E">
              <w:t>Department</w:t>
            </w:r>
            <w:r w:rsidR="009929C1">
              <w:t xml:space="preserve"> has </w:t>
            </w:r>
            <w:r w:rsidR="00324541">
              <w:t>completed</w:t>
            </w:r>
            <w:r w:rsidR="009929C1">
              <w:t xml:space="preserve"> to </w:t>
            </w:r>
            <w:r w:rsidR="009F53CA">
              <w:t>date</w:t>
            </w:r>
            <w:r w:rsidR="00BC2968">
              <w:t>,</w:t>
            </w:r>
            <w:r w:rsidR="009F53CA">
              <w:t xml:space="preserve"> but</w:t>
            </w:r>
            <w:r w:rsidR="009929C1">
              <w:t xml:space="preserve"> </w:t>
            </w:r>
            <w:r w:rsidR="00D26196">
              <w:t>it appears</w:t>
            </w:r>
            <w:r w:rsidR="009929C1">
              <w:t xml:space="preserve"> the </w:t>
            </w:r>
            <w:r w:rsidR="00C0725E">
              <w:t>Department</w:t>
            </w:r>
            <w:r w:rsidR="009929C1">
              <w:t xml:space="preserve"> </w:t>
            </w:r>
            <w:r w:rsidR="00CD1139">
              <w:t>favours</w:t>
            </w:r>
            <w:r w:rsidR="009929C1">
              <w:t xml:space="preserve"> </w:t>
            </w:r>
            <w:r w:rsidR="00584096">
              <w:t>insurers</w:t>
            </w:r>
            <w:r w:rsidR="009929C1">
              <w:t xml:space="preserve"> in the proposed measures, </w:t>
            </w:r>
            <w:r w:rsidR="00D26196">
              <w:t>such as</w:t>
            </w:r>
            <w:r w:rsidR="009929C1">
              <w:t xml:space="preserve"> </w:t>
            </w:r>
            <w:r w:rsidR="00F41E46">
              <w:t>the substantial</w:t>
            </w:r>
            <w:r w:rsidR="00584096">
              <w:t xml:space="preserve"> administrative burden </w:t>
            </w:r>
            <w:r w:rsidR="00F41E46">
              <w:t xml:space="preserve">created </w:t>
            </w:r>
            <w:r w:rsidR="00584096">
              <w:t xml:space="preserve">over unsubstantiated </w:t>
            </w:r>
            <w:r w:rsidR="00F41E46">
              <w:t xml:space="preserve">claims of </w:t>
            </w:r>
            <w:r w:rsidR="00584096">
              <w:t xml:space="preserve">PL </w:t>
            </w:r>
            <w:r w:rsidR="00F41E46">
              <w:t>item</w:t>
            </w:r>
            <w:r w:rsidR="00584096">
              <w:t xml:space="preserve"> misuse. </w:t>
            </w:r>
            <w:r w:rsidR="00850A4A">
              <w:t xml:space="preserve"> </w:t>
            </w:r>
          </w:p>
          <w:p w14:paraId="20DE1A6D" w14:textId="77777777" w:rsidR="00324541" w:rsidRDefault="000C7D24" w:rsidP="00C173DC">
            <w:pPr>
              <w:pStyle w:val="TableExpBullet0"/>
            </w:pPr>
            <w:r>
              <w:t>The</w:t>
            </w:r>
            <w:r w:rsidR="00524984" w:rsidRPr="0374C7A3">
              <w:t xml:space="preserve"> proposed</w:t>
            </w:r>
            <w:r w:rsidR="005722A6" w:rsidRPr="0374C7A3">
              <w:t xml:space="preserve"> compliance</w:t>
            </w:r>
            <w:r w:rsidR="00524984" w:rsidRPr="0374C7A3">
              <w:t xml:space="preserve"> measures for sponsors </w:t>
            </w:r>
            <w:r w:rsidR="009F53CA" w:rsidRPr="0374C7A3">
              <w:t>seem to imply that sponsors are</w:t>
            </w:r>
            <w:r w:rsidR="00524984" w:rsidRPr="0374C7A3">
              <w:t xml:space="preserve"> </w:t>
            </w:r>
            <w:r w:rsidR="009F53CA" w:rsidRPr="0374C7A3">
              <w:t>indefinitely</w:t>
            </w:r>
            <w:r w:rsidR="00524984" w:rsidRPr="0374C7A3">
              <w:t xml:space="preserve"> </w:t>
            </w:r>
            <w:r w:rsidR="009F53CA" w:rsidRPr="0374C7A3">
              <w:t>responsibly</w:t>
            </w:r>
            <w:r w:rsidR="00524984" w:rsidRPr="0374C7A3">
              <w:t xml:space="preserve"> for the status and use of their products</w:t>
            </w:r>
            <w:r w:rsidR="009F53CA" w:rsidRPr="0374C7A3">
              <w:t xml:space="preserve">. </w:t>
            </w:r>
          </w:p>
          <w:p w14:paraId="1ED38AFF" w14:textId="52CA9EE5" w:rsidR="00324541" w:rsidRPr="00E2213C" w:rsidRDefault="00556CB5" w:rsidP="00556CB5">
            <w:pPr>
              <w:pStyle w:val="TableExpBullet0"/>
            </w:pPr>
            <w:r w:rsidRPr="00556CB5">
              <w:t>Consultation Paper 8b (Alignment of amount charged for supply of a device with corresponding PL benefit) inappropriately proposes to impose controls on a private market.</w:t>
            </w:r>
          </w:p>
        </w:tc>
      </w:tr>
      <w:tr w:rsidR="0009182E" w:rsidRPr="00E2213C" w14:paraId="07636B40" w14:textId="77777777" w:rsidTr="004251B2">
        <w:trPr>
          <w:trHeight w:val="857"/>
        </w:trPr>
        <w:tc>
          <w:tcPr>
            <w:tcW w:w="554" w:type="pct"/>
            <w:shd w:val="clear" w:color="auto" w:fill="00264D" w:themeFill="background2"/>
            <w:vAlign w:val="center"/>
          </w:tcPr>
          <w:p w14:paraId="3790545C" w14:textId="2EE4E7C8" w:rsidR="0009182E" w:rsidRPr="00E2213C" w:rsidRDefault="0009182E" w:rsidP="0009182E">
            <w:pPr>
              <w:spacing w:before="40" w:after="40"/>
              <w:jc w:val="center"/>
              <w:rPr>
                <w:i/>
                <w:iCs/>
                <w:noProof/>
              </w:rPr>
            </w:pPr>
            <w:r>
              <w:rPr>
                <w:noProof/>
              </w:rPr>
              <w:drawing>
                <wp:inline distT="0" distB="0" distL="0" distR="0" wp14:anchorId="1E9CA346" wp14:editId="2F88992E">
                  <wp:extent cx="267970" cy="323215"/>
                  <wp:effectExtent l="0" t="0" r="0" b="635"/>
                  <wp:docPr id="800069689"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69689"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37012B88" w14:textId="7F4D8EFC" w:rsidR="0009182E" w:rsidRPr="00E2213C" w:rsidRDefault="0009182E" w:rsidP="0009182E">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p>
        </w:tc>
        <w:tc>
          <w:tcPr>
            <w:tcW w:w="3652" w:type="pct"/>
          </w:tcPr>
          <w:p w14:paraId="0DBC17BD" w14:textId="1F523461" w:rsidR="00484D7E" w:rsidRDefault="006003FC" w:rsidP="00633ADE">
            <w:pPr>
              <w:pStyle w:val="TableExpBullet0"/>
            </w:pPr>
            <w:r>
              <w:t>Compliance is intended to minimise misuse of the system and funding</w:t>
            </w:r>
            <w:r w:rsidR="00484D7E">
              <w:t>, however t</w:t>
            </w:r>
            <w:r w:rsidR="00DA3755">
              <w:t xml:space="preserve">here are barriers to reliably tracking misuse. For example, </w:t>
            </w:r>
            <w:r w:rsidR="005E7B28">
              <w:t>actual vs reported GUI usage in hospitals. Without the Department having access of all ordering data, it remains possible that GUIs can be overbilled.</w:t>
            </w:r>
            <w:r w:rsidR="004B5825">
              <w:t xml:space="preserve"> If </w:t>
            </w:r>
            <w:r w:rsidR="006464B6">
              <w:t>insurers view this as an ongoing</w:t>
            </w:r>
            <w:r w:rsidR="004B5825">
              <w:t xml:space="preserve"> issue</w:t>
            </w:r>
            <w:r w:rsidR="006464B6">
              <w:t>, it</w:t>
            </w:r>
            <w:r w:rsidR="004B5825">
              <w:t xml:space="preserve"> may be better handled between hospitals and insurers themselves. </w:t>
            </w:r>
          </w:p>
          <w:p w14:paraId="42EFDFA4" w14:textId="3B8C910A" w:rsidR="00DA3755" w:rsidRDefault="008F5AAF" w:rsidP="00484D7E">
            <w:pPr>
              <w:pStyle w:val="TableExpBullet0"/>
            </w:pPr>
            <w:r>
              <w:t xml:space="preserve">If the Department is to act as </w:t>
            </w:r>
            <w:r w:rsidR="00633ADE">
              <w:t>an</w:t>
            </w:r>
            <w:r>
              <w:t xml:space="preserve"> </w:t>
            </w:r>
            <w:r w:rsidR="00E620BD">
              <w:t>independent</w:t>
            </w:r>
            <w:r>
              <w:t xml:space="preserve"> manager of this sector it</w:t>
            </w:r>
            <w:r w:rsidR="00633ADE">
              <w:t xml:space="preserve"> need to become more effective with </w:t>
            </w:r>
            <w:r>
              <w:t xml:space="preserve">strong regulation and </w:t>
            </w:r>
            <w:r w:rsidR="00633ADE">
              <w:t xml:space="preserve">improved </w:t>
            </w:r>
            <w:r w:rsidR="00E620BD">
              <w:t xml:space="preserve">internal capability. It is a critical role as the viability of the public hospital system is intertwined with the private one. </w:t>
            </w:r>
            <w:r w:rsidR="005E7B28">
              <w:t xml:space="preserve"> </w:t>
            </w:r>
          </w:p>
        </w:tc>
      </w:tr>
    </w:tbl>
    <w:p w14:paraId="201BCDCE" w14:textId="5493284C" w:rsidR="0025793A" w:rsidRDefault="006053E6" w:rsidP="0025793A">
      <w:pPr>
        <w:pStyle w:val="Heading2"/>
      </w:pPr>
      <w:r>
        <w:t xml:space="preserve"> </w:t>
      </w:r>
      <w:bookmarkStart w:id="94" w:name="_Toc181405097"/>
      <w:r w:rsidR="0025793A">
        <w:t xml:space="preserve">Objective 8: </w:t>
      </w:r>
      <w:r w:rsidR="0018257B">
        <w:t>Ensure ongoing financial sustainability of PL administration through effective and efficient cost recovery arrangements that are compliant with the AGCF</w:t>
      </w:r>
      <w:bookmarkEnd w:id="94"/>
    </w:p>
    <w:p w14:paraId="1ED615A4" w14:textId="66D7A4CA" w:rsidR="00336FFD" w:rsidRPr="00336FFD" w:rsidRDefault="00336FFD" w:rsidP="00336FFD">
      <w:pPr>
        <w:rPr>
          <w:i/>
          <w:iCs/>
          <w:lang w:val="en-AU" w:eastAsia="en-AU"/>
        </w:rPr>
      </w:pPr>
      <w:r w:rsidRPr="00AF014A">
        <w:rPr>
          <w:i/>
          <w:iCs/>
          <w:lang w:val="en-AU" w:eastAsia="en-AU"/>
        </w:rPr>
        <w:t>This section considers the implementation of cost recovery arrangements at a high level, noting a formal assessment of this project is out of scope for th</w:t>
      </w:r>
      <w:r>
        <w:rPr>
          <w:i/>
          <w:iCs/>
          <w:lang w:val="en-AU" w:eastAsia="en-AU"/>
        </w:rPr>
        <w:t>e</w:t>
      </w:r>
      <w:r w:rsidRPr="00AF014A">
        <w:rPr>
          <w:i/>
          <w:iCs/>
          <w:lang w:val="en-AU" w:eastAsia="en-AU"/>
        </w:rPr>
        <w:t xml:space="preserve"> evaluation. This section also considers the financial sustainability of the PL’s administration, outlining any change in PL administrative effort and documenting stakeholders perspectives on its resulting financial sustainability.</w:t>
      </w:r>
    </w:p>
    <w:p w14:paraId="65B31B58" w14:textId="46616AE5" w:rsidR="0025793A" w:rsidRDefault="0025793A" w:rsidP="0025793A">
      <w:pPr>
        <w:pStyle w:val="Caption"/>
      </w:pPr>
      <w:r>
        <w:lastRenderedPageBreak/>
        <w:t xml:space="preserve">Figure </w:t>
      </w:r>
      <w:r>
        <w:fldChar w:fldCharType="begin"/>
      </w:r>
      <w:r>
        <w:instrText xml:space="preserve"> SEQ Figure \* ARABIC </w:instrText>
      </w:r>
      <w:r>
        <w:fldChar w:fldCharType="separate"/>
      </w:r>
      <w:r w:rsidR="009B5D8D">
        <w:rPr>
          <w:noProof/>
        </w:rPr>
        <w:t>26</w:t>
      </w:r>
      <w:r>
        <w:fldChar w:fldCharType="end"/>
      </w:r>
      <w:r>
        <w:t xml:space="preserve"> | Reform projects related to reform objective </w:t>
      </w:r>
      <w:r w:rsidR="00336FFD">
        <w:t>8</w:t>
      </w:r>
    </w:p>
    <w:p w14:paraId="0EDCC25D" w14:textId="10886435" w:rsidR="0025793A" w:rsidRDefault="00251A38" w:rsidP="00787497">
      <w:r w:rsidRPr="00251A38">
        <w:rPr>
          <w:noProof/>
        </w:rPr>
        <w:drawing>
          <wp:inline distT="0" distB="0" distL="0" distR="0" wp14:anchorId="5B790757" wp14:editId="04EC3CA4">
            <wp:extent cx="5758741" cy="1044054"/>
            <wp:effectExtent l="0" t="0" r="0" b="3810"/>
            <wp:docPr id="1975919903" name="Picture 1" descr="A figure showing Objective 8. Financial sustainability connected to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19903" name="Picture 1" descr="A figure showing Objective 8. Financial sustainability connected to cost recovery fees."/>
                    <pic:cNvPicPr/>
                  </pic:nvPicPr>
                  <pic:blipFill>
                    <a:blip r:embed="rId63"/>
                    <a:stretch>
                      <a:fillRect/>
                    </a:stretch>
                  </pic:blipFill>
                  <pic:spPr>
                    <a:xfrm>
                      <a:off x="0" y="0"/>
                      <a:ext cx="5760898" cy="1044445"/>
                    </a:xfrm>
                    <a:prstGeom prst="rect">
                      <a:avLst/>
                    </a:prstGeom>
                  </pic:spPr>
                </pic:pic>
              </a:graphicData>
            </a:graphic>
          </wp:inline>
        </w:drawing>
      </w:r>
    </w:p>
    <w:p w14:paraId="507ABEAE" w14:textId="5F319D47" w:rsidR="00251A38" w:rsidRDefault="00602FBB" w:rsidP="00251A38">
      <w:pPr>
        <w:pStyle w:val="Heading3"/>
      </w:pPr>
      <w:bookmarkStart w:id="95" w:name="_Toc181405098"/>
      <w:r>
        <w:t xml:space="preserve">The reforms have updated </w:t>
      </w:r>
      <w:r w:rsidR="00F12389">
        <w:t>the PL’s c</w:t>
      </w:r>
      <w:r w:rsidR="007B4BEE">
        <w:t>ost recovery arrangements</w:t>
      </w:r>
      <w:bookmarkEnd w:id="95"/>
    </w:p>
    <w:p w14:paraId="6A773719" w14:textId="642CE43D" w:rsidR="0044251B" w:rsidRDefault="00F3029D" w:rsidP="007B5C3E">
      <w:r>
        <w:t>The Department</w:t>
      </w:r>
      <w:r w:rsidR="00B76FBA">
        <w:t xml:space="preserve"> has</w:t>
      </w:r>
      <w:r>
        <w:t xml:space="preserve"> </w:t>
      </w:r>
      <w:r w:rsidR="00280C70">
        <w:t>passed legislation to update the cost recovery arrangements</w:t>
      </w:r>
      <w:r w:rsidR="00B76FBA">
        <w:t xml:space="preserve"> of the PL to help improve the ongoing financial sustainability of the PL. </w:t>
      </w:r>
      <w:r w:rsidR="001F547F">
        <w:t xml:space="preserve">The </w:t>
      </w:r>
      <w:r w:rsidR="001F547F" w:rsidRPr="00EB6EEA">
        <w:t>Department</w:t>
      </w:r>
      <w:r w:rsidR="001F547F">
        <w:t xml:space="preserve"> has</w:t>
      </w:r>
      <w:r w:rsidR="001F547F" w:rsidRPr="00EB6EEA">
        <w:t xml:space="preserve"> consulted on the draft </w:t>
      </w:r>
      <w:r w:rsidR="001F547F" w:rsidRPr="00EB6EEA">
        <w:rPr>
          <w:i/>
          <w:iCs/>
        </w:rPr>
        <w:t>Cost Recovery Implementation Statement for the Administration of the Prescribed List of Benefits for Medical Devices and Human Tissue Products 1 July 2023 to 30 June 2024</w:t>
      </w:r>
      <w:r w:rsidR="001F547F">
        <w:t xml:space="preserve"> and the </w:t>
      </w:r>
      <w:r w:rsidR="001F547F" w:rsidRPr="00EB6EEA">
        <w:t>required</w:t>
      </w:r>
      <w:r w:rsidR="001F547F">
        <w:t xml:space="preserve"> legislative amendments to provide authority for the revised cost recovery arrangements were passed in March 2023. </w:t>
      </w:r>
      <w:r w:rsidR="00B76FBA" w:rsidRPr="002C6D66">
        <w:t xml:space="preserve">The </w:t>
      </w:r>
      <w:r w:rsidR="00B76FBA">
        <w:t>revised</w:t>
      </w:r>
      <w:r w:rsidR="00B76FBA" w:rsidRPr="002C6D66">
        <w:t xml:space="preserve"> cost recovery model</w:t>
      </w:r>
      <w:r w:rsidR="00B76FBA">
        <w:t xml:space="preserve"> </w:t>
      </w:r>
      <w:r w:rsidR="000F2C3C">
        <w:t>commenced</w:t>
      </w:r>
      <w:r w:rsidR="00B76FBA" w:rsidRPr="002C6D66">
        <w:t xml:space="preserve"> </w:t>
      </w:r>
      <w:r w:rsidR="00B76FBA">
        <w:t>on</w:t>
      </w:r>
      <w:r w:rsidR="00B76FBA" w:rsidRPr="002C6D66">
        <w:t xml:space="preserve"> 1 July 2024</w:t>
      </w:r>
      <w:r w:rsidR="00B76FBA">
        <w:t xml:space="preserve"> and introduces</w:t>
      </w:r>
      <w:r w:rsidR="00B76FBA" w:rsidRPr="002C6D66">
        <w:t xml:space="preserve"> a</w:t>
      </w:r>
      <w:r w:rsidR="00C50C60">
        <w:t>n annual</w:t>
      </w:r>
      <w:r w:rsidR="00B76FBA" w:rsidRPr="002C6D66">
        <w:t xml:space="preserve"> cost recovery levy</w:t>
      </w:r>
      <w:r w:rsidR="00B76FBA">
        <w:t xml:space="preserve"> </w:t>
      </w:r>
      <w:r w:rsidR="00C50C60">
        <w:t xml:space="preserve">per PL listing </w:t>
      </w:r>
      <w:r w:rsidR="00B76FBA">
        <w:t xml:space="preserve">for sponsors, </w:t>
      </w:r>
      <w:r w:rsidR="008A687F">
        <w:t xml:space="preserve">and </w:t>
      </w:r>
      <w:r w:rsidR="00B76FBA">
        <w:t xml:space="preserve">well as updated </w:t>
      </w:r>
      <w:r w:rsidR="00B76FBA" w:rsidRPr="002C6D66">
        <w:t xml:space="preserve">cost recovery fees </w:t>
      </w:r>
      <w:r w:rsidR="00B76FBA">
        <w:t>for PL applications</w:t>
      </w:r>
      <w:r w:rsidR="00B76FBA" w:rsidRPr="002C6D66">
        <w:t>.</w:t>
      </w:r>
      <w:r w:rsidR="00B76FBA">
        <w:rPr>
          <w:rStyle w:val="FootnoteReference"/>
        </w:rPr>
        <w:footnoteReference w:id="104"/>
      </w:r>
      <w:r w:rsidR="00B76FBA">
        <w:t xml:space="preserve"> </w:t>
      </w:r>
    </w:p>
    <w:p w14:paraId="7B338923" w14:textId="5D769497" w:rsidR="0044251B" w:rsidRDefault="008E483C" w:rsidP="007B5C3E">
      <w:r>
        <w:t xml:space="preserve">The </w:t>
      </w:r>
      <w:r w:rsidR="008F7F6F">
        <w:t xml:space="preserve">new </w:t>
      </w:r>
      <w:r w:rsidR="00CF38CE">
        <w:t xml:space="preserve">PL </w:t>
      </w:r>
      <w:r>
        <w:t xml:space="preserve">cost recovery levy </w:t>
      </w:r>
      <w:r w:rsidRPr="001C645E">
        <w:t>charges industry</w:t>
      </w:r>
      <w:r w:rsidR="0070292C">
        <w:t xml:space="preserve"> sponsors</w:t>
      </w:r>
      <w:r w:rsidR="00BF01BF">
        <w:t xml:space="preserve"> who have items listed on the PL</w:t>
      </w:r>
      <w:r w:rsidRPr="001C645E">
        <w:t xml:space="preserve"> for costs which cannot be assigned to a specific sponsor</w:t>
      </w:r>
      <w:r w:rsidR="00B46E78">
        <w:t xml:space="preserve">. </w:t>
      </w:r>
      <w:r w:rsidR="00445CDC" w:rsidRPr="00445CDC">
        <w:t>Once implemented,</w:t>
      </w:r>
      <w:r w:rsidR="00445CDC" w:rsidRPr="00445CDC">
        <w:rPr>
          <w:b/>
          <w:bCs/>
        </w:rPr>
        <w:t xml:space="preserve"> </w:t>
      </w:r>
      <w:r w:rsidR="00445CDC" w:rsidRPr="00445CDC">
        <w:t>the levy will be payable once annually for each item (billing code) that a sponsor has listed on the Prescribed List.</w:t>
      </w:r>
      <w:r w:rsidR="00445CDC">
        <w:rPr>
          <w:rStyle w:val="FootnoteReference"/>
        </w:rPr>
        <w:footnoteReference w:id="105"/>
      </w:r>
      <w:r w:rsidR="00445CDC">
        <w:rPr>
          <w:b/>
          <w:bCs/>
        </w:rPr>
        <w:t xml:space="preserve"> </w:t>
      </w:r>
      <w:r w:rsidR="008F7F6F" w:rsidRPr="00306962">
        <w:t xml:space="preserve">The levy amount </w:t>
      </w:r>
      <w:r w:rsidR="008F7F6F">
        <w:t>has not been determined; however, it is</w:t>
      </w:r>
      <w:r w:rsidR="008F7F6F" w:rsidRPr="00306962">
        <w:t xml:space="preserve"> anticipated to be $350 </w:t>
      </w:r>
      <w:r w:rsidR="004F3F79">
        <w:t xml:space="preserve">to </w:t>
      </w:r>
      <w:r w:rsidR="008F7F6F" w:rsidRPr="00306962">
        <w:t>$450 per listed</w:t>
      </w:r>
      <w:r w:rsidR="008F7F6F">
        <w:t xml:space="preserve"> item. </w:t>
      </w:r>
      <w:r w:rsidR="00B46E78">
        <w:t>Costs in</w:t>
      </w:r>
      <w:r w:rsidR="004F3F79">
        <w:t xml:space="preserve"> </w:t>
      </w:r>
      <w:r w:rsidR="00B46E78">
        <w:t xml:space="preserve">scope </w:t>
      </w:r>
      <w:r w:rsidR="00BF01BF">
        <w:t xml:space="preserve">for this levy include </w:t>
      </w:r>
      <w:r w:rsidR="004605C0">
        <w:t xml:space="preserve">PL administration costs and depreciation of </w:t>
      </w:r>
      <w:r w:rsidR="0070292C">
        <w:t>the IT</w:t>
      </w:r>
      <w:r w:rsidR="004605C0">
        <w:t xml:space="preserve"> system</w:t>
      </w:r>
      <w:r w:rsidR="00306962">
        <w:t xml:space="preserve">. </w:t>
      </w:r>
      <w:r w:rsidR="00306962" w:rsidRPr="001C645E">
        <w:t xml:space="preserve">From </w:t>
      </w:r>
      <w:r w:rsidR="00306962">
        <w:t xml:space="preserve">1 </w:t>
      </w:r>
      <w:r w:rsidR="00306962" w:rsidRPr="001C645E">
        <w:t>July 2025</w:t>
      </w:r>
      <w:r w:rsidR="00306962">
        <w:t>,</w:t>
      </w:r>
      <w:r w:rsidR="00306962" w:rsidRPr="001C645E">
        <w:t xml:space="preserve"> the levy will also cover compliance activities and post-listing review costs</w:t>
      </w:r>
      <w:r w:rsidR="00306962" w:rsidRPr="00306962">
        <w:t xml:space="preserve">. The payment date for </w:t>
      </w:r>
      <w:r w:rsidR="00306962">
        <w:t>first</w:t>
      </w:r>
      <w:r w:rsidR="00306962" w:rsidRPr="00306962">
        <w:t xml:space="preserve"> levy</w:t>
      </w:r>
      <w:r w:rsidR="00306962">
        <w:t xml:space="preserve"> </w:t>
      </w:r>
      <w:r w:rsidR="006F0992">
        <w:t xml:space="preserve">fee </w:t>
      </w:r>
      <w:r w:rsidR="00306962">
        <w:t>(2024-25)</w:t>
      </w:r>
      <w:r w:rsidR="00306962" w:rsidRPr="00306962">
        <w:t xml:space="preserve"> is expected to </w:t>
      </w:r>
      <w:r w:rsidR="008F7F6F">
        <w:t>occur in</w:t>
      </w:r>
      <w:r w:rsidR="00306962" w:rsidRPr="00306962">
        <w:t xml:space="preserve"> early 202</w:t>
      </w:r>
      <w:r w:rsidR="008F7F6F">
        <w:t>5</w:t>
      </w:r>
      <w:r w:rsidR="00306962" w:rsidRPr="00306962">
        <w:t>.</w:t>
      </w:r>
      <w:r w:rsidR="00DD3E10">
        <w:rPr>
          <w:rStyle w:val="FootnoteReference"/>
        </w:rPr>
        <w:footnoteReference w:id="106"/>
      </w:r>
    </w:p>
    <w:p w14:paraId="1512F439" w14:textId="6B0AE5B6" w:rsidR="00D47E5B" w:rsidRDefault="00163C2E" w:rsidP="007B5C3E">
      <w:r>
        <w:t>The updated</w:t>
      </w:r>
      <w:r w:rsidR="00CF38CE">
        <w:t xml:space="preserve"> PL</w:t>
      </w:r>
      <w:r>
        <w:t xml:space="preserve"> c</w:t>
      </w:r>
      <w:r w:rsidR="000F4B77">
        <w:t>ost recovery fees</w:t>
      </w:r>
      <w:r w:rsidR="006F0992">
        <w:t xml:space="preserve"> for PL listings</w:t>
      </w:r>
      <w:r w:rsidR="000F4B77">
        <w:t xml:space="preserve"> include a standard application </w:t>
      </w:r>
      <w:r w:rsidR="006F0992">
        <w:t>fee,</w:t>
      </w:r>
      <w:r w:rsidR="000F4B77">
        <w:t xml:space="preserve"> and any additional payable fees </w:t>
      </w:r>
      <w:r>
        <w:t xml:space="preserve">required, depending on which </w:t>
      </w:r>
      <w:r w:rsidR="00FE4874">
        <w:t>as</w:t>
      </w:r>
      <w:r>
        <w:t xml:space="preserve">sessment </w:t>
      </w:r>
      <w:r w:rsidR="00FE4874">
        <w:t>p</w:t>
      </w:r>
      <w:r>
        <w:t>athway (</w:t>
      </w:r>
      <w:r w:rsidR="00FE4874">
        <w:t>ti</w:t>
      </w:r>
      <w:r>
        <w:t>er) is relevant for the medical device or product</w:t>
      </w:r>
      <w:r w:rsidR="006F0992">
        <w:t xml:space="preserve"> application</w:t>
      </w:r>
      <w:r>
        <w:t>.</w:t>
      </w:r>
      <w:r w:rsidR="007B5C3E">
        <w:t xml:space="preserve"> </w:t>
      </w:r>
      <w:r w:rsidR="007B5C3E">
        <w:fldChar w:fldCharType="begin"/>
      </w:r>
      <w:r w:rsidR="007B5C3E">
        <w:instrText xml:space="preserve"> REF _Ref171957117 \h </w:instrText>
      </w:r>
      <w:r w:rsidR="007B5C3E">
        <w:fldChar w:fldCharType="separate"/>
      </w:r>
      <w:r w:rsidR="009B5D8D">
        <w:t xml:space="preserve">Table </w:t>
      </w:r>
      <w:r w:rsidR="009B5D8D">
        <w:rPr>
          <w:noProof/>
        </w:rPr>
        <w:t>18</w:t>
      </w:r>
      <w:r w:rsidR="007B5C3E">
        <w:fldChar w:fldCharType="end"/>
      </w:r>
      <w:r w:rsidR="007B5C3E">
        <w:t xml:space="preserve"> </w:t>
      </w:r>
      <w:r w:rsidR="00C91E83" w:rsidRPr="009022D9">
        <w:t>outlines the cost recovery fees payable for an application in each tier.</w:t>
      </w:r>
    </w:p>
    <w:p w14:paraId="33485D64" w14:textId="18B86E9A" w:rsidR="006C6C85" w:rsidRDefault="007B5C3E" w:rsidP="007B5C3E">
      <w:pPr>
        <w:pStyle w:val="Caption"/>
      </w:pPr>
      <w:bookmarkStart w:id="96" w:name="_Ref171957117"/>
      <w:r>
        <w:t xml:space="preserve">Table </w:t>
      </w:r>
      <w:r>
        <w:fldChar w:fldCharType="begin"/>
      </w:r>
      <w:r>
        <w:instrText xml:space="preserve"> SEQ Table \* ARABIC </w:instrText>
      </w:r>
      <w:r>
        <w:fldChar w:fldCharType="separate"/>
      </w:r>
      <w:r w:rsidR="009B5D8D">
        <w:rPr>
          <w:noProof/>
        </w:rPr>
        <w:t>18</w:t>
      </w:r>
      <w:r>
        <w:fldChar w:fldCharType="end"/>
      </w:r>
      <w:bookmarkEnd w:id="96"/>
      <w:r>
        <w:t xml:space="preserve"> | Updated fees payable for each fee category by </w:t>
      </w:r>
      <w:r w:rsidRPr="007B5C3E">
        <w:t>application</w:t>
      </w:r>
      <w:r w:rsidR="00363057" w:rsidRPr="007B5C3E">
        <w:rPr>
          <w:rStyle w:val="FootnoteReference"/>
        </w:rPr>
        <w:footnoteReference w:id="107"/>
      </w:r>
    </w:p>
    <w:tbl>
      <w:tblPr>
        <w:tblStyle w:val="NOUSSideHeader1"/>
        <w:tblW w:w="9157" w:type="dxa"/>
        <w:tblInd w:w="-85" w:type="dxa"/>
        <w:tblLook w:val="04A0" w:firstRow="1" w:lastRow="0" w:firstColumn="1" w:lastColumn="0" w:noHBand="0" w:noVBand="1"/>
      </w:tblPr>
      <w:tblGrid>
        <w:gridCol w:w="1896"/>
        <w:gridCol w:w="1988"/>
        <w:gridCol w:w="3083"/>
        <w:gridCol w:w="2106"/>
        <w:gridCol w:w="84"/>
      </w:tblGrid>
      <w:tr w:rsidR="007D75E2" w14:paraId="42D33849" w14:textId="3E32FE3E" w:rsidTr="002C71FF">
        <w:trPr>
          <w:gridAfter w:val="1"/>
          <w:cnfStyle w:val="100000000000" w:firstRow="1" w:lastRow="0" w:firstColumn="0" w:lastColumn="0" w:oddVBand="0" w:evenVBand="0" w:oddHBand="0" w:evenHBand="0" w:firstRowFirstColumn="0" w:firstRowLastColumn="0" w:lastRowFirstColumn="0" w:lastRowLastColumn="0"/>
          <w:wAfter w:w="85" w:type="dxa"/>
        </w:trPr>
        <w:tc>
          <w:tcPr>
            <w:tcW w:w="1909" w:type="dxa"/>
          </w:tcPr>
          <w:p w14:paraId="408D855A" w14:textId="3B724E3A" w:rsidR="00276378" w:rsidRDefault="00276378" w:rsidP="00F45607">
            <w:pPr>
              <w:pStyle w:val="TableNheader"/>
              <w:keepNext w:val="0"/>
              <w:keepLines/>
            </w:pPr>
            <w:r>
              <w:t xml:space="preserve">Assessment </w:t>
            </w:r>
            <w:r w:rsidR="00FE4874">
              <w:t>p</w:t>
            </w:r>
            <w:r>
              <w:t>athway (</w:t>
            </w:r>
            <w:r w:rsidR="00FE4874">
              <w:t>t</w:t>
            </w:r>
            <w:r>
              <w:t xml:space="preserve">ier) </w:t>
            </w:r>
          </w:p>
        </w:tc>
        <w:tc>
          <w:tcPr>
            <w:tcW w:w="2004" w:type="dxa"/>
          </w:tcPr>
          <w:p w14:paraId="369F21E7" w14:textId="62C08BF7" w:rsidR="00276378" w:rsidRDefault="00D14EBF" w:rsidP="00F45607">
            <w:pPr>
              <w:pStyle w:val="TableNheader"/>
              <w:keepNext w:val="0"/>
              <w:keepLines/>
            </w:pPr>
            <w:r>
              <w:t>Standard application</w:t>
            </w:r>
            <w:r w:rsidR="00276378">
              <w:t xml:space="preserve"> fee</w:t>
            </w:r>
          </w:p>
        </w:tc>
        <w:tc>
          <w:tcPr>
            <w:tcW w:w="3118" w:type="dxa"/>
          </w:tcPr>
          <w:p w14:paraId="2190FC53" w14:textId="00678F71" w:rsidR="00276378" w:rsidRDefault="00276378" w:rsidP="00F45607">
            <w:pPr>
              <w:pStyle w:val="TableNheader"/>
              <w:keepNext w:val="0"/>
              <w:keepLines/>
            </w:pPr>
            <w:r>
              <w:t>Additional fee</w:t>
            </w:r>
            <w:r w:rsidR="002E64AB">
              <w:t xml:space="preserve">(s) </w:t>
            </w:r>
          </w:p>
        </w:tc>
        <w:tc>
          <w:tcPr>
            <w:tcW w:w="2126" w:type="dxa"/>
          </w:tcPr>
          <w:p w14:paraId="45506EEF" w14:textId="60464C5F" w:rsidR="00276378" w:rsidRDefault="00021DF3" w:rsidP="00F45607">
            <w:pPr>
              <w:pStyle w:val="TableNheader"/>
              <w:keepNext w:val="0"/>
              <w:keepLines/>
            </w:pPr>
            <w:r>
              <w:t xml:space="preserve">Total </w:t>
            </w:r>
          </w:p>
        </w:tc>
      </w:tr>
      <w:tr w:rsidR="00856653" w14:paraId="4D05493B" w14:textId="53AE13C9" w:rsidTr="002C71FF">
        <w:trPr>
          <w:cnfStyle w:val="000000100000" w:firstRow="0" w:lastRow="0" w:firstColumn="0" w:lastColumn="0" w:oddVBand="0" w:evenVBand="0" w:oddHBand="1" w:evenHBand="0" w:firstRowFirstColumn="0" w:firstRowLastColumn="0" w:lastRowFirstColumn="0" w:lastRowLastColumn="0"/>
        </w:trPr>
        <w:tc>
          <w:tcPr>
            <w:tcW w:w="1909" w:type="dxa"/>
          </w:tcPr>
          <w:p w14:paraId="3C231E2A" w14:textId="55C4E90F" w:rsidR="00276378" w:rsidRPr="00E66549" w:rsidRDefault="00021DF3" w:rsidP="00F45607">
            <w:pPr>
              <w:pStyle w:val="TableNText"/>
              <w:keepNext w:val="0"/>
              <w:keepLines/>
              <w:rPr>
                <w:rFonts w:asciiTheme="majorHAnsi" w:hAnsiTheme="majorHAnsi" w:cstheme="majorHAnsi"/>
              </w:rPr>
            </w:pPr>
            <w:r>
              <w:rPr>
                <w:rFonts w:asciiTheme="majorHAnsi" w:hAnsiTheme="majorHAnsi" w:cstheme="majorHAnsi"/>
              </w:rPr>
              <w:t xml:space="preserve">Tier 1 </w:t>
            </w:r>
          </w:p>
        </w:tc>
        <w:tc>
          <w:tcPr>
            <w:tcW w:w="2004" w:type="dxa"/>
          </w:tcPr>
          <w:p w14:paraId="7CE06BAA" w14:textId="1520072E" w:rsidR="00276378" w:rsidRPr="00F32489" w:rsidRDefault="00021DF3" w:rsidP="00F45607">
            <w:pPr>
              <w:pStyle w:val="TableNText"/>
              <w:keepNext w:val="0"/>
              <w:keepLines/>
              <w:rPr>
                <w:rFonts w:asciiTheme="minorHAnsi" w:hAnsiTheme="minorHAnsi" w:cstheme="minorHAnsi"/>
              </w:rPr>
            </w:pPr>
            <w:r w:rsidRPr="00F32489">
              <w:rPr>
                <w:rFonts w:asciiTheme="minorHAnsi" w:hAnsiTheme="minorHAnsi" w:cstheme="minorHAnsi"/>
              </w:rPr>
              <w:t>$1</w:t>
            </w:r>
            <w:r w:rsidR="00336FD3" w:rsidRPr="00F32489">
              <w:rPr>
                <w:rFonts w:asciiTheme="minorHAnsi" w:hAnsiTheme="minorHAnsi" w:cstheme="minorHAnsi"/>
              </w:rPr>
              <w:t>,</w:t>
            </w:r>
            <w:r w:rsidR="00D14EBF" w:rsidRPr="00F32489">
              <w:rPr>
                <w:rFonts w:asciiTheme="minorHAnsi" w:hAnsiTheme="minorHAnsi" w:cstheme="minorHAnsi"/>
              </w:rPr>
              <w:t>420</w:t>
            </w:r>
          </w:p>
        </w:tc>
        <w:tc>
          <w:tcPr>
            <w:tcW w:w="3118" w:type="dxa"/>
          </w:tcPr>
          <w:p w14:paraId="7E55CEEC" w14:textId="73E4E0E9" w:rsidR="00276378" w:rsidRPr="00F32489" w:rsidRDefault="00D14EBF" w:rsidP="00F45607">
            <w:pPr>
              <w:pStyle w:val="TableNText"/>
              <w:keepNext w:val="0"/>
              <w:keepLines/>
              <w:rPr>
                <w:rFonts w:asciiTheme="minorHAnsi" w:hAnsiTheme="minorHAnsi" w:cstheme="minorHAnsi"/>
              </w:rPr>
            </w:pPr>
            <w:r w:rsidRPr="00F32489">
              <w:rPr>
                <w:rFonts w:asciiTheme="minorHAnsi" w:hAnsiTheme="minorHAnsi" w:cstheme="minorHAnsi"/>
              </w:rPr>
              <w:t>NA</w:t>
            </w:r>
          </w:p>
        </w:tc>
        <w:tc>
          <w:tcPr>
            <w:tcW w:w="2126" w:type="dxa"/>
            <w:gridSpan w:val="2"/>
          </w:tcPr>
          <w:p w14:paraId="5839E122" w14:textId="0BEE606E" w:rsidR="00276378" w:rsidRPr="00E66549" w:rsidRDefault="00D14EBF" w:rsidP="00F45607">
            <w:pPr>
              <w:pStyle w:val="TableNText"/>
              <w:keepNext w:val="0"/>
              <w:keepLines/>
              <w:rPr>
                <w:rFonts w:asciiTheme="majorHAnsi" w:hAnsiTheme="majorHAnsi" w:cstheme="majorHAnsi"/>
              </w:rPr>
            </w:pPr>
            <w:r>
              <w:rPr>
                <w:rFonts w:asciiTheme="majorHAnsi" w:hAnsiTheme="majorHAnsi" w:cstheme="majorHAnsi"/>
              </w:rPr>
              <w:t>$1</w:t>
            </w:r>
            <w:r w:rsidR="00336FD3">
              <w:rPr>
                <w:rFonts w:asciiTheme="majorHAnsi" w:hAnsiTheme="majorHAnsi" w:cstheme="majorHAnsi"/>
              </w:rPr>
              <w:t>,</w:t>
            </w:r>
            <w:r>
              <w:rPr>
                <w:rFonts w:asciiTheme="majorHAnsi" w:hAnsiTheme="majorHAnsi" w:cstheme="majorHAnsi"/>
              </w:rPr>
              <w:t>420</w:t>
            </w:r>
          </w:p>
        </w:tc>
      </w:tr>
      <w:tr w:rsidR="00856653" w14:paraId="7CF10A1F" w14:textId="77777777" w:rsidTr="002C71FF">
        <w:trPr>
          <w:cnfStyle w:val="000000010000" w:firstRow="0" w:lastRow="0" w:firstColumn="0" w:lastColumn="0" w:oddVBand="0" w:evenVBand="0" w:oddHBand="0" w:evenHBand="1" w:firstRowFirstColumn="0" w:firstRowLastColumn="0" w:lastRowFirstColumn="0" w:lastRowLastColumn="0"/>
        </w:trPr>
        <w:tc>
          <w:tcPr>
            <w:tcW w:w="1909" w:type="dxa"/>
          </w:tcPr>
          <w:p w14:paraId="18CA304B" w14:textId="3B42E9A4" w:rsidR="00D14EBF" w:rsidRDefault="00D14EBF" w:rsidP="00F45607">
            <w:pPr>
              <w:pStyle w:val="TableNText"/>
              <w:keepNext w:val="0"/>
              <w:keepLines/>
              <w:rPr>
                <w:rFonts w:asciiTheme="majorHAnsi" w:hAnsiTheme="majorHAnsi" w:cstheme="majorHAnsi"/>
              </w:rPr>
            </w:pPr>
            <w:r>
              <w:rPr>
                <w:rFonts w:asciiTheme="majorHAnsi" w:hAnsiTheme="majorHAnsi" w:cstheme="majorHAnsi"/>
              </w:rPr>
              <w:t>Tier 2a</w:t>
            </w:r>
          </w:p>
        </w:tc>
        <w:tc>
          <w:tcPr>
            <w:tcW w:w="2004" w:type="dxa"/>
          </w:tcPr>
          <w:p w14:paraId="1FAB7973" w14:textId="08C0254A" w:rsidR="00D14EBF" w:rsidRPr="00F32489" w:rsidRDefault="00D14EBF" w:rsidP="00F45607">
            <w:pPr>
              <w:pStyle w:val="TableNText"/>
              <w:keepNext w:val="0"/>
              <w:keepLines/>
              <w:rPr>
                <w:rFonts w:asciiTheme="minorHAnsi" w:hAnsiTheme="minorHAnsi" w:cstheme="minorHAnsi"/>
              </w:rPr>
            </w:pPr>
            <w:r w:rsidRPr="00F32489">
              <w:rPr>
                <w:rFonts w:asciiTheme="minorHAnsi" w:hAnsiTheme="minorHAnsi" w:cstheme="minorHAnsi"/>
              </w:rPr>
              <w:t>$1</w:t>
            </w:r>
            <w:r w:rsidR="00336FD3" w:rsidRPr="00F32489">
              <w:rPr>
                <w:rFonts w:asciiTheme="minorHAnsi" w:hAnsiTheme="minorHAnsi" w:cstheme="minorHAnsi"/>
              </w:rPr>
              <w:t>,</w:t>
            </w:r>
            <w:r w:rsidRPr="00F32489">
              <w:rPr>
                <w:rFonts w:asciiTheme="minorHAnsi" w:hAnsiTheme="minorHAnsi" w:cstheme="minorHAnsi"/>
              </w:rPr>
              <w:t>420</w:t>
            </w:r>
          </w:p>
        </w:tc>
        <w:tc>
          <w:tcPr>
            <w:tcW w:w="3118" w:type="dxa"/>
          </w:tcPr>
          <w:p w14:paraId="105F0034" w14:textId="3A543137" w:rsidR="00D14EBF" w:rsidRPr="00F32489" w:rsidRDefault="002E64AB" w:rsidP="00F45607">
            <w:pPr>
              <w:pStyle w:val="TableNText"/>
              <w:keepNext w:val="0"/>
              <w:keepLines/>
              <w:rPr>
                <w:rFonts w:asciiTheme="minorHAnsi" w:hAnsiTheme="minorHAnsi" w:cstheme="minorHAnsi"/>
              </w:rPr>
            </w:pPr>
            <w:r w:rsidRPr="00F32489">
              <w:rPr>
                <w:rFonts w:asciiTheme="minorHAnsi" w:hAnsiTheme="minorHAnsi" w:cstheme="minorHAnsi"/>
              </w:rPr>
              <w:t xml:space="preserve">Clinical assessment fee: </w:t>
            </w:r>
            <w:r w:rsidR="009E32CB" w:rsidRPr="00F32489">
              <w:rPr>
                <w:rFonts w:asciiTheme="minorHAnsi" w:hAnsiTheme="minorHAnsi" w:cstheme="minorHAnsi"/>
              </w:rPr>
              <w:t>$3</w:t>
            </w:r>
            <w:r w:rsidR="00336FD3" w:rsidRPr="00F32489">
              <w:rPr>
                <w:rFonts w:asciiTheme="minorHAnsi" w:hAnsiTheme="minorHAnsi" w:cstheme="minorHAnsi"/>
              </w:rPr>
              <w:t>,</w:t>
            </w:r>
            <w:r w:rsidR="009E32CB" w:rsidRPr="00F32489">
              <w:rPr>
                <w:rFonts w:asciiTheme="minorHAnsi" w:hAnsiTheme="minorHAnsi" w:cstheme="minorHAnsi"/>
              </w:rPr>
              <w:t>970</w:t>
            </w:r>
          </w:p>
        </w:tc>
        <w:tc>
          <w:tcPr>
            <w:tcW w:w="2126" w:type="dxa"/>
            <w:gridSpan w:val="2"/>
          </w:tcPr>
          <w:p w14:paraId="2797930C" w14:textId="426A87F3" w:rsidR="00D14EBF" w:rsidRDefault="00A60A23" w:rsidP="00F45607">
            <w:pPr>
              <w:pStyle w:val="TableNText"/>
              <w:keepNext w:val="0"/>
              <w:keepLines/>
              <w:rPr>
                <w:rFonts w:asciiTheme="majorHAnsi" w:hAnsiTheme="majorHAnsi" w:cstheme="majorHAnsi"/>
              </w:rPr>
            </w:pPr>
            <w:r>
              <w:rPr>
                <w:rFonts w:asciiTheme="majorHAnsi" w:hAnsiTheme="majorHAnsi" w:cstheme="majorHAnsi"/>
              </w:rPr>
              <w:t>$</w:t>
            </w:r>
            <w:r w:rsidR="003358A3">
              <w:rPr>
                <w:rFonts w:asciiTheme="majorHAnsi" w:hAnsiTheme="majorHAnsi" w:cstheme="majorHAnsi"/>
              </w:rPr>
              <w:t>5</w:t>
            </w:r>
            <w:r w:rsidR="00336FD3">
              <w:rPr>
                <w:rFonts w:asciiTheme="majorHAnsi" w:hAnsiTheme="majorHAnsi" w:cstheme="majorHAnsi"/>
              </w:rPr>
              <w:t>,</w:t>
            </w:r>
            <w:r w:rsidR="003358A3">
              <w:rPr>
                <w:rFonts w:asciiTheme="majorHAnsi" w:hAnsiTheme="majorHAnsi" w:cstheme="majorHAnsi"/>
              </w:rPr>
              <w:t>390</w:t>
            </w:r>
          </w:p>
        </w:tc>
      </w:tr>
      <w:tr w:rsidR="00856653" w14:paraId="2A6C4687" w14:textId="77777777" w:rsidTr="002C71FF">
        <w:trPr>
          <w:cnfStyle w:val="000000100000" w:firstRow="0" w:lastRow="0" w:firstColumn="0" w:lastColumn="0" w:oddVBand="0" w:evenVBand="0" w:oddHBand="1" w:evenHBand="0" w:firstRowFirstColumn="0" w:firstRowLastColumn="0" w:lastRowFirstColumn="0" w:lastRowLastColumn="0"/>
        </w:trPr>
        <w:tc>
          <w:tcPr>
            <w:tcW w:w="1909" w:type="dxa"/>
          </w:tcPr>
          <w:p w14:paraId="263AABF7" w14:textId="72ACF2A3" w:rsidR="00D14EBF" w:rsidRDefault="00D14EBF" w:rsidP="00F45607">
            <w:pPr>
              <w:pStyle w:val="TableNText"/>
              <w:keepNext w:val="0"/>
              <w:keepLines/>
              <w:rPr>
                <w:rFonts w:asciiTheme="majorHAnsi" w:hAnsiTheme="majorHAnsi" w:cstheme="majorHAnsi"/>
              </w:rPr>
            </w:pPr>
            <w:r>
              <w:rPr>
                <w:rFonts w:asciiTheme="majorHAnsi" w:hAnsiTheme="majorHAnsi" w:cstheme="majorHAnsi"/>
              </w:rPr>
              <w:t>Tier 2b</w:t>
            </w:r>
          </w:p>
        </w:tc>
        <w:tc>
          <w:tcPr>
            <w:tcW w:w="2004" w:type="dxa"/>
          </w:tcPr>
          <w:p w14:paraId="33E3E378" w14:textId="4E63367D" w:rsidR="00D14EBF" w:rsidRPr="00F32489" w:rsidRDefault="00D14EBF" w:rsidP="00F45607">
            <w:pPr>
              <w:pStyle w:val="TableNText"/>
              <w:keepNext w:val="0"/>
              <w:keepLines/>
              <w:rPr>
                <w:rFonts w:asciiTheme="minorHAnsi" w:hAnsiTheme="minorHAnsi" w:cstheme="minorHAnsi"/>
              </w:rPr>
            </w:pPr>
            <w:r w:rsidRPr="00F32489">
              <w:rPr>
                <w:rFonts w:asciiTheme="minorHAnsi" w:hAnsiTheme="minorHAnsi" w:cstheme="minorHAnsi"/>
              </w:rPr>
              <w:t>$1</w:t>
            </w:r>
            <w:r w:rsidR="00336FD3" w:rsidRPr="00F32489">
              <w:rPr>
                <w:rFonts w:asciiTheme="minorHAnsi" w:hAnsiTheme="minorHAnsi" w:cstheme="minorHAnsi"/>
              </w:rPr>
              <w:t>,</w:t>
            </w:r>
            <w:r w:rsidRPr="00F32489">
              <w:rPr>
                <w:rFonts w:asciiTheme="minorHAnsi" w:hAnsiTheme="minorHAnsi" w:cstheme="minorHAnsi"/>
              </w:rPr>
              <w:t>420</w:t>
            </w:r>
          </w:p>
        </w:tc>
        <w:tc>
          <w:tcPr>
            <w:tcW w:w="3118" w:type="dxa"/>
          </w:tcPr>
          <w:p w14:paraId="32A3A69C" w14:textId="4AF0E738" w:rsidR="0048407F" w:rsidRPr="00F32489" w:rsidRDefault="0048407F" w:rsidP="009356E4">
            <w:pPr>
              <w:pStyle w:val="TableNText"/>
              <w:keepNext w:val="0"/>
              <w:keepLines/>
              <w:rPr>
                <w:rFonts w:asciiTheme="minorHAnsi" w:hAnsiTheme="minorHAnsi" w:cstheme="minorHAnsi"/>
              </w:rPr>
            </w:pPr>
            <w:r w:rsidRPr="00F32489">
              <w:rPr>
                <w:rFonts w:asciiTheme="minorHAnsi" w:hAnsiTheme="minorHAnsi" w:cstheme="minorHAnsi"/>
              </w:rPr>
              <w:t>Clinical assessment fee: $3</w:t>
            </w:r>
            <w:r w:rsidR="00336FD3" w:rsidRPr="00F32489">
              <w:rPr>
                <w:rFonts w:asciiTheme="minorHAnsi" w:hAnsiTheme="minorHAnsi" w:cstheme="minorHAnsi"/>
              </w:rPr>
              <w:t>,</w:t>
            </w:r>
            <w:r w:rsidRPr="00F32489">
              <w:rPr>
                <w:rFonts w:asciiTheme="minorHAnsi" w:hAnsiTheme="minorHAnsi" w:cstheme="minorHAnsi"/>
              </w:rPr>
              <w:t>970</w:t>
            </w:r>
          </w:p>
          <w:p w14:paraId="0D4C4E5E" w14:textId="77777777" w:rsidR="0048407F" w:rsidRPr="00F32489" w:rsidRDefault="0048407F" w:rsidP="0048407F">
            <w:pPr>
              <w:pStyle w:val="TableNText"/>
              <w:keepNext w:val="0"/>
              <w:keepLines/>
              <w:numPr>
                <w:ilvl w:val="0"/>
                <w:numId w:val="0"/>
              </w:numPr>
              <w:rPr>
                <w:rFonts w:asciiTheme="minorHAnsi" w:hAnsiTheme="minorHAnsi" w:cstheme="minorHAnsi"/>
              </w:rPr>
            </w:pPr>
            <w:r w:rsidRPr="00F32489">
              <w:rPr>
                <w:rFonts w:asciiTheme="minorHAnsi" w:hAnsiTheme="minorHAnsi" w:cstheme="minorHAnsi"/>
              </w:rPr>
              <w:t xml:space="preserve">Economic evaluation fee: </w:t>
            </w:r>
          </w:p>
          <w:p w14:paraId="5EB692B4" w14:textId="16E319D3" w:rsidR="0048407F" w:rsidRPr="00F32489" w:rsidRDefault="0048407F" w:rsidP="0048407F">
            <w:pPr>
              <w:pStyle w:val="TableNText"/>
              <w:keepNext w:val="0"/>
              <w:keepLines/>
              <w:numPr>
                <w:ilvl w:val="0"/>
                <w:numId w:val="0"/>
              </w:numPr>
              <w:rPr>
                <w:rFonts w:asciiTheme="minorHAnsi" w:hAnsiTheme="minorHAnsi" w:cstheme="minorHAnsi"/>
              </w:rPr>
            </w:pPr>
            <w:r w:rsidRPr="00F32489">
              <w:rPr>
                <w:rFonts w:asciiTheme="minorHAnsi" w:hAnsiTheme="minorHAnsi" w:cstheme="minorHAnsi"/>
              </w:rPr>
              <w:t>$9</w:t>
            </w:r>
            <w:r w:rsidR="00336FD3" w:rsidRPr="00F32489">
              <w:rPr>
                <w:rFonts w:asciiTheme="minorHAnsi" w:hAnsiTheme="minorHAnsi" w:cstheme="minorHAnsi"/>
              </w:rPr>
              <w:t>,</w:t>
            </w:r>
            <w:r w:rsidRPr="00F32489">
              <w:rPr>
                <w:rFonts w:asciiTheme="minorHAnsi" w:hAnsiTheme="minorHAnsi" w:cstheme="minorHAnsi"/>
              </w:rPr>
              <w:t>250 (simple</w:t>
            </w:r>
          </w:p>
          <w:p w14:paraId="280579EB" w14:textId="21627C43" w:rsidR="0048407F" w:rsidRPr="00F32489" w:rsidRDefault="0048407F" w:rsidP="0048407F">
            <w:pPr>
              <w:pStyle w:val="TableNText"/>
              <w:keepNext w:val="0"/>
              <w:keepLines/>
              <w:numPr>
                <w:ilvl w:val="0"/>
                <w:numId w:val="0"/>
              </w:numPr>
              <w:rPr>
                <w:rFonts w:asciiTheme="minorHAnsi" w:hAnsiTheme="minorHAnsi" w:cstheme="minorHAnsi"/>
              </w:rPr>
            </w:pPr>
            <w:r w:rsidRPr="00F32489">
              <w:rPr>
                <w:rFonts w:asciiTheme="minorHAnsi" w:hAnsiTheme="minorHAnsi" w:cstheme="minorHAnsi"/>
              </w:rPr>
              <w:t>$17</w:t>
            </w:r>
            <w:r w:rsidR="00336FD3" w:rsidRPr="00F32489">
              <w:rPr>
                <w:rFonts w:asciiTheme="minorHAnsi" w:hAnsiTheme="minorHAnsi" w:cstheme="minorHAnsi"/>
              </w:rPr>
              <w:t>,</w:t>
            </w:r>
            <w:r w:rsidR="0080239F" w:rsidRPr="00F32489">
              <w:rPr>
                <w:rFonts w:asciiTheme="minorHAnsi" w:hAnsiTheme="minorHAnsi" w:cstheme="minorHAnsi"/>
              </w:rPr>
              <w:t xml:space="preserve">680 (complex) </w:t>
            </w:r>
          </w:p>
          <w:p w14:paraId="489A4A09" w14:textId="5A45CA30" w:rsidR="0080239F" w:rsidRPr="00F32489" w:rsidRDefault="0080239F" w:rsidP="0048407F">
            <w:pPr>
              <w:pStyle w:val="TableNText"/>
              <w:keepNext w:val="0"/>
              <w:keepLines/>
              <w:numPr>
                <w:ilvl w:val="0"/>
                <w:numId w:val="0"/>
              </w:numPr>
              <w:rPr>
                <w:rFonts w:asciiTheme="minorHAnsi" w:hAnsiTheme="minorHAnsi" w:cstheme="minorHAnsi"/>
              </w:rPr>
            </w:pPr>
            <w:r w:rsidRPr="00F32489">
              <w:rPr>
                <w:rFonts w:asciiTheme="minorHAnsi" w:hAnsiTheme="minorHAnsi" w:cstheme="minorHAnsi"/>
              </w:rPr>
              <w:t>$</w:t>
            </w:r>
            <w:r w:rsidR="009356E4" w:rsidRPr="00F32489">
              <w:rPr>
                <w:rFonts w:asciiTheme="minorHAnsi" w:hAnsiTheme="minorHAnsi" w:cstheme="minorHAnsi"/>
              </w:rPr>
              <w:t>28</w:t>
            </w:r>
            <w:r w:rsidR="00336FD3" w:rsidRPr="00F32489">
              <w:rPr>
                <w:rFonts w:asciiTheme="minorHAnsi" w:hAnsiTheme="minorHAnsi" w:cstheme="minorHAnsi"/>
              </w:rPr>
              <w:t>,</w:t>
            </w:r>
            <w:r w:rsidR="009356E4" w:rsidRPr="00F32489">
              <w:rPr>
                <w:rFonts w:asciiTheme="minorHAnsi" w:hAnsiTheme="minorHAnsi" w:cstheme="minorHAnsi"/>
              </w:rPr>
              <w:t xml:space="preserve">920 (other) </w:t>
            </w:r>
          </w:p>
        </w:tc>
        <w:tc>
          <w:tcPr>
            <w:tcW w:w="2126" w:type="dxa"/>
            <w:gridSpan w:val="2"/>
          </w:tcPr>
          <w:p w14:paraId="62E86B8F" w14:textId="77777777" w:rsidR="00D14EBF" w:rsidRDefault="00A0135A" w:rsidP="00F45607">
            <w:pPr>
              <w:pStyle w:val="TableNText"/>
              <w:keepNext w:val="0"/>
              <w:keepLines/>
              <w:rPr>
                <w:rFonts w:asciiTheme="majorHAnsi" w:hAnsiTheme="majorHAnsi" w:cstheme="majorHAnsi"/>
              </w:rPr>
            </w:pPr>
            <w:r>
              <w:rPr>
                <w:rFonts w:asciiTheme="majorHAnsi" w:hAnsiTheme="majorHAnsi" w:cstheme="majorHAnsi"/>
              </w:rPr>
              <w:t>$14,640</w:t>
            </w:r>
            <w:r w:rsidR="00336FD3">
              <w:rPr>
                <w:rFonts w:asciiTheme="majorHAnsi" w:hAnsiTheme="majorHAnsi" w:cstheme="majorHAnsi"/>
              </w:rPr>
              <w:t xml:space="preserve"> (simple) </w:t>
            </w:r>
          </w:p>
          <w:p w14:paraId="19C46078" w14:textId="77777777" w:rsidR="00336FD3" w:rsidRDefault="00336FD3" w:rsidP="00336FD3">
            <w:pPr>
              <w:pStyle w:val="TableNText"/>
              <w:keepNext w:val="0"/>
              <w:keepLines/>
              <w:rPr>
                <w:rFonts w:asciiTheme="majorHAnsi" w:hAnsiTheme="majorHAnsi" w:cstheme="majorHAnsi"/>
              </w:rPr>
            </w:pPr>
            <w:r>
              <w:rPr>
                <w:rFonts w:asciiTheme="majorHAnsi" w:hAnsiTheme="majorHAnsi" w:cstheme="majorHAnsi"/>
              </w:rPr>
              <w:t xml:space="preserve">$23,070 (complex) </w:t>
            </w:r>
          </w:p>
          <w:p w14:paraId="62171422" w14:textId="1E2CA647" w:rsidR="00336FD3" w:rsidRPr="00336FD3" w:rsidRDefault="00336FD3" w:rsidP="00336FD3">
            <w:pPr>
              <w:pStyle w:val="TableNText"/>
              <w:keepNext w:val="0"/>
              <w:keepLines/>
              <w:rPr>
                <w:rFonts w:asciiTheme="majorHAnsi" w:hAnsiTheme="majorHAnsi" w:cstheme="majorHAnsi"/>
              </w:rPr>
            </w:pPr>
            <w:r>
              <w:rPr>
                <w:rFonts w:asciiTheme="majorHAnsi" w:hAnsiTheme="majorHAnsi" w:cstheme="majorHAnsi"/>
              </w:rPr>
              <w:t>$</w:t>
            </w:r>
            <w:r w:rsidR="00C82D71">
              <w:rPr>
                <w:rFonts w:asciiTheme="majorHAnsi" w:hAnsiTheme="majorHAnsi" w:cstheme="majorHAnsi"/>
              </w:rPr>
              <w:t xml:space="preserve">34,310 (other) </w:t>
            </w:r>
          </w:p>
        </w:tc>
      </w:tr>
      <w:tr w:rsidR="00856653" w14:paraId="58AE1641" w14:textId="77777777" w:rsidTr="002C71FF">
        <w:trPr>
          <w:cnfStyle w:val="000000010000" w:firstRow="0" w:lastRow="0" w:firstColumn="0" w:lastColumn="0" w:oddVBand="0" w:evenVBand="0" w:oddHBand="0" w:evenHBand="1" w:firstRowFirstColumn="0" w:firstRowLastColumn="0" w:lastRowFirstColumn="0" w:lastRowLastColumn="0"/>
        </w:trPr>
        <w:tc>
          <w:tcPr>
            <w:tcW w:w="1909" w:type="dxa"/>
          </w:tcPr>
          <w:p w14:paraId="3F8FA493" w14:textId="2E8B8D79" w:rsidR="00D14EBF" w:rsidRDefault="00D14EBF" w:rsidP="00F45607">
            <w:pPr>
              <w:pStyle w:val="TableNText"/>
              <w:keepNext w:val="0"/>
              <w:keepLines/>
              <w:rPr>
                <w:rFonts w:asciiTheme="majorHAnsi" w:hAnsiTheme="majorHAnsi" w:cstheme="majorHAnsi"/>
              </w:rPr>
            </w:pPr>
            <w:r>
              <w:rPr>
                <w:rFonts w:asciiTheme="majorHAnsi" w:hAnsiTheme="majorHAnsi" w:cstheme="majorHAnsi"/>
              </w:rPr>
              <w:t>Tier 3</w:t>
            </w:r>
          </w:p>
        </w:tc>
        <w:tc>
          <w:tcPr>
            <w:tcW w:w="2004" w:type="dxa"/>
          </w:tcPr>
          <w:p w14:paraId="04A9698E" w14:textId="4F2E3280" w:rsidR="00D14EBF" w:rsidRPr="00F32489" w:rsidRDefault="00D14EBF" w:rsidP="00F45607">
            <w:pPr>
              <w:pStyle w:val="TableNText"/>
              <w:keepNext w:val="0"/>
              <w:keepLines/>
              <w:rPr>
                <w:rFonts w:asciiTheme="minorHAnsi" w:hAnsiTheme="minorHAnsi" w:cstheme="minorHAnsi"/>
              </w:rPr>
            </w:pPr>
            <w:r w:rsidRPr="00F32489">
              <w:rPr>
                <w:rFonts w:asciiTheme="minorHAnsi" w:hAnsiTheme="minorHAnsi" w:cstheme="minorHAnsi"/>
              </w:rPr>
              <w:t>$1</w:t>
            </w:r>
            <w:r w:rsidR="00336FD3" w:rsidRPr="00F32489">
              <w:rPr>
                <w:rFonts w:asciiTheme="minorHAnsi" w:hAnsiTheme="minorHAnsi" w:cstheme="minorHAnsi"/>
              </w:rPr>
              <w:t>,</w:t>
            </w:r>
            <w:r w:rsidRPr="00F32489">
              <w:rPr>
                <w:rFonts w:asciiTheme="minorHAnsi" w:hAnsiTheme="minorHAnsi" w:cstheme="minorHAnsi"/>
              </w:rPr>
              <w:t>420</w:t>
            </w:r>
          </w:p>
        </w:tc>
        <w:tc>
          <w:tcPr>
            <w:tcW w:w="3118" w:type="dxa"/>
          </w:tcPr>
          <w:p w14:paraId="7243315E" w14:textId="2E9D57DC" w:rsidR="00D14EBF" w:rsidRPr="00F32489" w:rsidRDefault="001F7E8A" w:rsidP="00F45607">
            <w:pPr>
              <w:pStyle w:val="TableNText"/>
              <w:keepNext w:val="0"/>
              <w:keepLines/>
              <w:rPr>
                <w:rFonts w:asciiTheme="minorHAnsi" w:hAnsiTheme="minorHAnsi" w:cstheme="minorHAnsi"/>
              </w:rPr>
            </w:pPr>
            <w:r w:rsidRPr="00F32489">
              <w:rPr>
                <w:rFonts w:asciiTheme="minorHAnsi" w:hAnsiTheme="minorHAnsi" w:cstheme="minorHAnsi"/>
              </w:rPr>
              <w:t>Full HTA (MSAC) Pathway Assessment fee: $</w:t>
            </w:r>
            <w:r w:rsidR="00B37656" w:rsidRPr="00F32489">
              <w:rPr>
                <w:rFonts w:asciiTheme="minorHAnsi" w:hAnsiTheme="minorHAnsi" w:cstheme="minorHAnsi"/>
              </w:rPr>
              <w:t>2,990</w:t>
            </w:r>
          </w:p>
        </w:tc>
        <w:tc>
          <w:tcPr>
            <w:tcW w:w="2126" w:type="dxa"/>
            <w:gridSpan w:val="2"/>
          </w:tcPr>
          <w:p w14:paraId="16C9D99D" w14:textId="22130EFE" w:rsidR="00D14EBF" w:rsidRDefault="00B37656" w:rsidP="00F45607">
            <w:pPr>
              <w:pStyle w:val="TableNText"/>
              <w:keepNext w:val="0"/>
              <w:keepLines/>
              <w:rPr>
                <w:rFonts w:asciiTheme="majorHAnsi" w:hAnsiTheme="majorHAnsi" w:cstheme="majorHAnsi"/>
              </w:rPr>
            </w:pPr>
            <w:r>
              <w:rPr>
                <w:rFonts w:asciiTheme="majorHAnsi" w:hAnsiTheme="majorHAnsi" w:cstheme="majorHAnsi"/>
              </w:rPr>
              <w:t>$4,410</w:t>
            </w:r>
          </w:p>
        </w:tc>
      </w:tr>
    </w:tbl>
    <w:p w14:paraId="26E1364E" w14:textId="77777777" w:rsidR="00805ABD" w:rsidRPr="001C645E" w:rsidRDefault="00805ABD" w:rsidP="002C71FF">
      <w:pPr>
        <w:pStyle w:val="Bullet"/>
        <w:numPr>
          <w:ilvl w:val="0"/>
          <w:numId w:val="0"/>
        </w:numPr>
      </w:pPr>
    </w:p>
    <w:p w14:paraId="7CCEAEE4" w14:textId="2AA0D2CD" w:rsidR="00552502" w:rsidRPr="00D13178" w:rsidRDefault="00F12389" w:rsidP="00552502">
      <w:pPr>
        <w:pStyle w:val="Heading3"/>
      </w:pPr>
      <w:bookmarkStart w:id="97" w:name="_Toc181405099"/>
      <w:r w:rsidRPr="00D13178">
        <w:lastRenderedPageBreak/>
        <w:t>The</w:t>
      </w:r>
      <w:r w:rsidR="002131A3" w:rsidRPr="00D13178">
        <w:t>re is improvement in the</w:t>
      </w:r>
      <w:r w:rsidRPr="00D13178">
        <w:t xml:space="preserve"> </w:t>
      </w:r>
      <w:r w:rsidR="00552502" w:rsidRPr="00D13178">
        <w:t>financial s</w:t>
      </w:r>
      <w:r w:rsidRPr="00D13178">
        <w:t>ustainability of PL administration</w:t>
      </w:r>
      <w:bookmarkEnd w:id="97"/>
    </w:p>
    <w:p w14:paraId="5F77C7FD" w14:textId="121852B5" w:rsidR="00B05C6C" w:rsidRPr="00CF38CE" w:rsidRDefault="006060EC" w:rsidP="006D33D2">
      <w:pPr>
        <w:pStyle w:val="Heading4"/>
      </w:pPr>
      <w:r w:rsidRPr="00CF38CE">
        <w:t xml:space="preserve">In updating its cost recovery arrangements, the </w:t>
      </w:r>
      <w:r w:rsidR="00C0725E">
        <w:t>Department</w:t>
      </w:r>
      <w:r w:rsidRPr="00CF38CE">
        <w:t xml:space="preserve"> has made steps towards improving the financial sustainability of the PL’s administration</w:t>
      </w:r>
    </w:p>
    <w:p w14:paraId="079D7A79" w14:textId="5EB90ADC" w:rsidR="00776CB9" w:rsidRPr="00B21B85" w:rsidRDefault="00E3732E" w:rsidP="37AC956C">
      <w:pPr>
        <w:rPr>
          <w:highlight w:val="yellow"/>
          <w:lang w:val="en-AU" w:eastAsia="en-AU"/>
        </w:rPr>
      </w:pPr>
      <w:r>
        <w:t>Prior to these reforms the PL</w:t>
      </w:r>
      <w:r w:rsidR="004E2D9C">
        <w:t xml:space="preserve"> recovery arrangements</w:t>
      </w:r>
      <w:r w:rsidR="003F66F2">
        <w:t xml:space="preserve"> </w:t>
      </w:r>
      <w:r w:rsidR="004E2D9C">
        <w:t>had been</w:t>
      </w:r>
      <w:r w:rsidR="003F66F2">
        <w:t xml:space="preserve"> unchanged since 2009.</w:t>
      </w:r>
      <w:r w:rsidR="003F66F2">
        <w:rPr>
          <w:rStyle w:val="FootnoteReference"/>
        </w:rPr>
        <w:footnoteReference w:id="108"/>
      </w:r>
      <w:r>
        <w:t xml:space="preserve"> Critically,</w:t>
      </w:r>
      <w:r w:rsidR="003F66F2">
        <w:t xml:space="preserve"> the previous arrangements</w:t>
      </w:r>
      <w:r>
        <w:t xml:space="preserve"> </w:t>
      </w:r>
      <w:r w:rsidR="003F66F2">
        <w:t>did not align with the Australian Government Charging Framework (AGCF), as they were not adequately reflective of the size and complexity of the Department’s administration activities related to the PL.</w:t>
      </w:r>
      <w:r w:rsidR="003F66F2">
        <w:rPr>
          <w:rStyle w:val="FootnoteReference"/>
        </w:rPr>
        <w:footnoteReference w:id="109"/>
      </w:r>
      <w:r w:rsidR="00EE14E4">
        <w:t xml:space="preserve"> </w:t>
      </w:r>
    </w:p>
    <w:p w14:paraId="315174E3" w14:textId="165DE0B1" w:rsidR="00776CB9" w:rsidRPr="00B21B85" w:rsidRDefault="00EE14E4" w:rsidP="18B9FD5A">
      <w:pPr>
        <w:rPr>
          <w:highlight w:val="yellow"/>
          <w:lang w:val="en-AU" w:eastAsia="en-AU"/>
        </w:rPr>
      </w:pPr>
      <w:r>
        <w:t xml:space="preserve">To inform the updated cost recovery </w:t>
      </w:r>
      <w:r w:rsidR="007C3362">
        <w:t xml:space="preserve">fee and levy amounts, the Department performed an activity-based costing estimate to ensure that the new figures </w:t>
      </w:r>
      <w:r w:rsidR="0020734F">
        <w:t xml:space="preserve">cover the true cost of PL </w:t>
      </w:r>
      <w:r w:rsidR="000D6E23">
        <w:t>administration</w:t>
      </w:r>
      <w:r w:rsidR="178AFBFB">
        <w:t>, including</w:t>
      </w:r>
      <w:r w:rsidR="000D6E23">
        <w:t xml:space="preserve"> identified administrative costs that are not directly related to the processing of PL application</w:t>
      </w:r>
      <w:r w:rsidR="00671517">
        <w:t>s</w:t>
      </w:r>
      <w:r w:rsidR="000D6E23">
        <w:t xml:space="preserve">. </w:t>
      </w:r>
      <w:r w:rsidR="00D41A50">
        <w:t xml:space="preserve">These revised cost-recovery </w:t>
      </w:r>
      <w:r w:rsidR="00D41A50" w:rsidRPr="00D41A50">
        <w:t xml:space="preserve">arrangements bring the PL administration in line with the </w:t>
      </w:r>
      <w:r w:rsidR="001F547F" w:rsidRPr="00D41A50">
        <w:t>AGCF,</w:t>
      </w:r>
      <w:r w:rsidR="00D41A50">
        <w:t xml:space="preserve"> and fees</w:t>
      </w:r>
      <w:r w:rsidR="00D41A50" w:rsidRPr="00D41A50">
        <w:t xml:space="preserve"> are now proportional to the amount of administrative effort</w:t>
      </w:r>
      <w:r w:rsidR="00D41A50">
        <w:t xml:space="preserve"> it takes to assess an application, based on th</w:t>
      </w:r>
      <w:r w:rsidR="00071510">
        <w:t xml:space="preserve">e relevant </w:t>
      </w:r>
      <w:r w:rsidR="00444802">
        <w:t>a</w:t>
      </w:r>
      <w:r w:rsidR="00071510">
        <w:t xml:space="preserve">ssessment </w:t>
      </w:r>
      <w:r w:rsidR="00444802">
        <w:t>p</w:t>
      </w:r>
      <w:r w:rsidR="00071510">
        <w:t xml:space="preserve">athway. </w:t>
      </w:r>
      <w:r w:rsidR="001610F3">
        <w:t xml:space="preserve">It is expected that these arrangements will be more effective at ensuring financial sustainability of the PL </w:t>
      </w:r>
      <w:r w:rsidR="001F547F">
        <w:t>than</w:t>
      </w:r>
      <w:r w:rsidR="001610F3">
        <w:t xml:space="preserve"> the previous arrangements. </w:t>
      </w:r>
    </w:p>
    <w:p w14:paraId="7D2B772A" w14:textId="4534B18C" w:rsidR="00776CB9" w:rsidRPr="00B21B85" w:rsidRDefault="00A6300A" w:rsidP="00776CB9">
      <w:pPr>
        <w:rPr>
          <w:bCs/>
          <w:highlight w:val="yellow"/>
          <w:lang w:val="en-AU" w:eastAsia="en-AU"/>
        </w:rPr>
      </w:pPr>
      <w:r w:rsidRPr="001610F3">
        <w:rPr>
          <w:bCs/>
          <w:lang w:val="en-AU" w:eastAsia="en-AU"/>
        </w:rPr>
        <w:t xml:space="preserve">The Department has committed to </w:t>
      </w:r>
      <w:r w:rsidR="6C836510" w:rsidRPr="5C952E18">
        <w:rPr>
          <w:lang w:val="en-AU" w:eastAsia="en-AU"/>
        </w:rPr>
        <w:t xml:space="preserve">commissioning </w:t>
      </w:r>
      <w:r w:rsidRPr="5C952E18">
        <w:rPr>
          <w:lang w:val="en-AU" w:eastAsia="en-AU"/>
        </w:rPr>
        <w:t>an</w:t>
      </w:r>
      <w:r w:rsidRPr="001610F3">
        <w:rPr>
          <w:bCs/>
          <w:lang w:val="en-AU" w:eastAsia="en-AU"/>
        </w:rPr>
        <w:t xml:space="preserve"> independent review of the </w:t>
      </w:r>
      <w:r w:rsidRPr="3BC0E6EC">
        <w:rPr>
          <w:lang w:val="en-AU" w:eastAsia="en-AU"/>
        </w:rPr>
        <w:t>P</w:t>
      </w:r>
      <w:r w:rsidR="3562808C" w:rsidRPr="3BC0E6EC">
        <w:rPr>
          <w:lang w:val="en-AU" w:eastAsia="en-AU"/>
        </w:rPr>
        <w:t>L</w:t>
      </w:r>
      <w:r w:rsidRPr="001610F3">
        <w:rPr>
          <w:bCs/>
          <w:lang w:val="en-AU" w:eastAsia="en-AU"/>
        </w:rPr>
        <w:t xml:space="preserve"> cost recovery </w:t>
      </w:r>
      <w:r w:rsidRPr="5C952E18">
        <w:rPr>
          <w:lang w:val="en-AU" w:eastAsia="en-AU"/>
        </w:rPr>
        <w:t>arrangements</w:t>
      </w:r>
      <w:r w:rsidR="00D638FF">
        <w:rPr>
          <w:lang w:val="en-AU" w:eastAsia="en-AU"/>
        </w:rPr>
        <w:t xml:space="preserve"> </w:t>
      </w:r>
      <w:r w:rsidRPr="5C952E18">
        <w:rPr>
          <w:lang w:val="en-AU" w:eastAsia="en-AU"/>
        </w:rPr>
        <w:t>18</w:t>
      </w:r>
      <w:r w:rsidRPr="001610F3">
        <w:rPr>
          <w:bCs/>
          <w:lang w:val="en-AU" w:eastAsia="en-AU"/>
        </w:rPr>
        <w:t>-24 months after implementation (by 1 July 2025). Industry</w:t>
      </w:r>
      <w:r w:rsidRPr="001610F3">
        <w:rPr>
          <w:b/>
          <w:lang w:val="en-AU" w:eastAsia="en-AU"/>
        </w:rPr>
        <w:t xml:space="preserve"> </w:t>
      </w:r>
      <w:r w:rsidRPr="001610F3">
        <w:rPr>
          <w:bCs/>
          <w:lang w:val="en-AU" w:eastAsia="en-AU"/>
        </w:rPr>
        <w:t>will be kept informed as the review is progressed and consulted on the outcomes including through the annual CRIS process.</w:t>
      </w:r>
      <w:r w:rsidR="003C302D">
        <w:rPr>
          <w:rStyle w:val="FootnoteReference"/>
          <w:bCs/>
          <w:lang w:val="en-AU" w:eastAsia="en-AU"/>
        </w:rPr>
        <w:footnoteReference w:id="110"/>
      </w:r>
    </w:p>
    <w:p w14:paraId="61786128" w14:textId="2793C91C" w:rsidR="00776CB9" w:rsidRDefault="00F055E7" w:rsidP="006D33D2">
      <w:pPr>
        <w:pStyle w:val="Heading4"/>
      </w:pPr>
      <w:r w:rsidRPr="00F055E7">
        <w:t xml:space="preserve">Stakeholders have broadly accepted the new arrangements, </w:t>
      </w:r>
      <w:r w:rsidR="46CCCA70">
        <w:t xml:space="preserve">although </w:t>
      </w:r>
      <w:r>
        <w:t>medical</w:t>
      </w:r>
      <w:r w:rsidRPr="00F055E7">
        <w:t xml:space="preserve"> technology companies not</w:t>
      </w:r>
      <w:r w:rsidR="005F7542">
        <w:t>e</w:t>
      </w:r>
      <w:r w:rsidRPr="00F055E7">
        <w:t xml:space="preserve"> that their costs have increased significantly</w:t>
      </w:r>
    </w:p>
    <w:p w14:paraId="6F05D5A6" w14:textId="500654C2" w:rsidR="00776CB9" w:rsidRPr="00F055E7" w:rsidRDefault="003E4F1E" w:rsidP="00F055E7">
      <w:pPr>
        <w:rPr>
          <w:lang w:val="en-AU" w:eastAsia="en-AU"/>
        </w:rPr>
      </w:pPr>
      <w:r>
        <w:rPr>
          <w:lang w:val="en-AU" w:eastAsia="en-AU"/>
        </w:rPr>
        <w:t>Stakeholder feedback acknowledged the need</w:t>
      </w:r>
      <w:r w:rsidR="00B21B85">
        <w:rPr>
          <w:lang w:val="en-AU" w:eastAsia="en-AU"/>
        </w:rPr>
        <w:t xml:space="preserve"> for updated cost recovery arrangements t</w:t>
      </w:r>
      <w:r w:rsidR="72B13EB0">
        <w:rPr>
          <w:lang w:val="en-AU" w:eastAsia="en-AU"/>
        </w:rPr>
        <w:t>o</w:t>
      </w:r>
      <w:r w:rsidR="00B21B85">
        <w:rPr>
          <w:lang w:val="en-AU" w:eastAsia="en-AU"/>
        </w:rPr>
        <w:t xml:space="preserve"> better reflect the administrative </w:t>
      </w:r>
      <w:r w:rsidR="00F01645">
        <w:rPr>
          <w:lang w:val="en-AU" w:eastAsia="en-AU"/>
        </w:rPr>
        <w:t>effort and cost borne by the Department as they oversee the PL.</w:t>
      </w:r>
      <w:r>
        <w:rPr>
          <w:rStyle w:val="FootnoteReference"/>
          <w:lang w:val="en-AU" w:eastAsia="en-AU"/>
        </w:rPr>
        <w:footnoteReference w:id="111"/>
      </w:r>
      <w:r w:rsidR="00F01645">
        <w:rPr>
          <w:lang w:val="en-AU" w:eastAsia="en-AU"/>
        </w:rPr>
        <w:t xml:space="preserve"> </w:t>
      </w:r>
      <w:r w:rsidR="01424B48">
        <w:rPr>
          <w:lang w:val="en-AU" w:eastAsia="en-AU"/>
        </w:rPr>
        <w:t>Nonetheless, p</w:t>
      </w:r>
      <w:r w:rsidR="00C573AA">
        <w:rPr>
          <w:lang w:val="en-AU" w:eastAsia="en-AU"/>
        </w:rPr>
        <w:t xml:space="preserve">rivate health insurers have suggested that more rigorous accountability mechanisms should </w:t>
      </w:r>
      <w:r w:rsidR="008A6A7A">
        <w:rPr>
          <w:lang w:val="en-AU" w:eastAsia="en-AU"/>
        </w:rPr>
        <w:t>complement</w:t>
      </w:r>
      <w:r w:rsidR="00C573AA">
        <w:rPr>
          <w:lang w:val="en-AU" w:eastAsia="en-AU"/>
        </w:rPr>
        <w:t xml:space="preserve"> </w:t>
      </w:r>
      <w:r w:rsidR="007A36C6">
        <w:rPr>
          <w:lang w:val="en-AU" w:eastAsia="en-AU"/>
        </w:rPr>
        <w:t>these</w:t>
      </w:r>
      <w:r w:rsidR="00C573AA">
        <w:rPr>
          <w:lang w:val="en-AU" w:eastAsia="en-AU"/>
        </w:rPr>
        <w:t xml:space="preserve"> arrangements</w:t>
      </w:r>
      <w:r w:rsidR="2FC8FBAF">
        <w:rPr>
          <w:lang w:val="en-AU" w:eastAsia="en-AU"/>
        </w:rPr>
        <w:t xml:space="preserve"> to ensure value for money</w:t>
      </w:r>
      <w:r w:rsidR="00C573AA">
        <w:rPr>
          <w:lang w:val="en-AU" w:eastAsia="en-AU"/>
        </w:rPr>
        <w:t xml:space="preserve">, </w:t>
      </w:r>
      <w:r w:rsidR="00B37A61">
        <w:rPr>
          <w:lang w:val="en-AU" w:eastAsia="en-AU"/>
        </w:rPr>
        <w:t>while</w:t>
      </w:r>
      <w:r w:rsidR="007A36C6">
        <w:rPr>
          <w:lang w:val="en-AU" w:eastAsia="en-AU"/>
        </w:rPr>
        <w:t xml:space="preserve"> medical technology companies warn that effective management processes should be </w:t>
      </w:r>
      <w:r w:rsidR="009542B7">
        <w:rPr>
          <w:lang w:val="en-AU" w:eastAsia="en-AU"/>
        </w:rPr>
        <w:t>prioritised</w:t>
      </w:r>
      <w:r w:rsidR="007A36C6">
        <w:rPr>
          <w:lang w:val="en-AU" w:eastAsia="en-AU"/>
        </w:rPr>
        <w:t xml:space="preserve"> to prevent further </w:t>
      </w:r>
      <w:r w:rsidR="00C12B7F">
        <w:rPr>
          <w:lang w:val="en-AU" w:eastAsia="en-AU"/>
        </w:rPr>
        <w:t>externalising of the cost of administrative burden onto industry.</w:t>
      </w:r>
      <w:r w:rsidR="00FC4428">
        <w:rPr>
          <w:rStyle w:val="FootnoteReference"/>
          <w:lang w:val="en-AU" w:eastAsia="en-AU"/>
        </w:rPr>
        <w:footnoteReference w:id="112"/>
      </w:r>
      <w:r w:rsidR="00C12B7F">
        <w:rPr>
          <w:lang w:val="en-AU" w:eastAsia="en-AU"/>
        </w:rPr>
        <w:t xml:space="preserve"> </w:t>
      </w:r>
      <w:r w:rsidR="007A36C6">
        <w:rPr>
          <w:lang w:val="en-AU" w:eastAsia="en-AU"/>
        </w:rPr>
        <w:t xml:space="preserve"> </w:t>
      </w:r>
    </w:p>
    <w:p w14:paraId="52450E22" w14:textId="38BCE36E" w:rsidR="006D33D2" w:rsidRPr="002C6D66" w:rsidRDefault="006D33D2" w:rsidP="006D33D2">
      <w:pPr>
        <w:pStyle w:val="Caption"/>
      </w:pPr>
      <w:r>
        <w:t xml:space="preserve">Table </w:t>
      </w:r>
      <w:r>
        <w:fldChar w:fldCharType="begin"/>
      </w:r>
      <w:r>
        <w:instrText xml:space="preserve"> SEQ Table \* ARABIC </w:instrText>
      </w:r>
      <w:r>
        <w:fldChar w:fldCharType="separate"/>
      </w:r>
      <w:r w:rsidR="009B5D8D">
        <w:rPr>
          <w:noProof/>
        </w:rPr>
        <w:t>19</w:t>
      </w:r>
      <w:r>
        <w:fldChar w:fldCharType="end"/>
      </w:r>
      <w:r>
        <w:t xml:space="preserve"> | Stakeholder perspectives on PL cost recovery arrangements</w:t>
      </w:r>
      <w:r w:rsidR="00FC4428">
        <w:rPr>
          <w:rStyle w:val="FootnoteReference"/>
        </w:rPr>
        <w:footnoteReference w:id="113"/>
      </w:r>
    </w:p>
    <w:tbl>
      <w:tblPr>
        <w:tblStyle w:val="Table2"/>
        <w:tblW w:w="5000" w:type="pct"/>
        <w:tblCellMar>
          <w:top w:w="57" w:type="dxa"/>
          <w:bottom w:w="57" w:type="dxa"/>
        </w:tblCellMar>
        <w:tblLook w:val="0620" w:firstRow="1" w:lastRow="0" w:firstColumn="0" w:lastColumn="0" w:noHBand="1" w:noVBand="1"/>
      </w:tblPr>
      <w:tblGrid>
        <w:gridCol w:w="1004"/>
        <w:gridCol w:w="1439"/>
        <w:gridCol w:w="6618"/>
      </w:tblGrid>
      <w:tr w:rsidR="006D33D2" w:rsidRPr="00E2213C" w14:paraId="41DF1F09" w14:textId="77777777">
        <w:trPr>
          <w:trHeight w:val="346"/>
        </w:trPr>
        <w:tc>
          <w:tcPr>
            <w:tcW w:w="1348" w:type="pct"/>
            <w:gridSpan w:val="2"/>
            <w:shd w:val="clear" w:color="auto" w:fill="E6E6E1" w:themeFill="accent5"/>
            <w:vAlign w:val="center"/>
          </w:tcPr>
          <w:p w14:paraId="3E3C0917" w14:textId="77777777" w:rsidR="006D33D2" w:rsidRPr="00E2213C" w:rsidRDefault="006D33D2">
            <w:pPr>
              <w:spacing w:before="40" w:after="40"/>
              <w:jc w:val="center"/>
              <w:rPr>
                <w:rFonts w:asciiTheme="majorHAnsi" w:hAnsiTheme="majorHAnsi" w:cstheme="majorHAnsi"/>
                <w:sz w:val="18"/>
                <w:szCs w:val="20"/>
              </w:rPr>
            </w:pPr>
            <w:r w:rsidRPr="00E2213C">
              <w:rPr>
                <w:rFonts w:asciiTheme="majorHAnsi" w:hAnsiTheme="majorHAnsi" w:cstheme="majorHAnsi"/>
                <w:sz w:val="18"/>
                <w:szCs w:val="20"/>
              </w:rPr>
              <w:t>Stakeholder group</w:t>
            </w:r>
          </w:p>
        </w:tc>
        <w:tc>
          <w:tcPr>
            <w:tcW w:w="3652" w:type="pct"/>
            <w:shd w:val="clear" w:color="auto" w:fill="E6E6E1" w:themeFill="accent5"/>
            <w:vAlign w:val="center"/>
          </w:tcPr>
          <w:p w14:paraId="20358FEC" w14:textId="77777777" w:rsidR="006D33D2" w:rsidRPr="00E2213C" w:rsidRDefault="006D33D2">
            <w:pPr>
              <w:spacing w:before="40" w:after="40"/>
              <w:jc w:val="center"/>
              <w:rPr>
                <w:rFonts w:asciiTheme="majorHAnsi" w:hAnsiTheme="majorHAnsi" w:cstheme="majorHAnsi"/>
                <w:sz w:val="18"/>
                <w:szCs w:val="20"/>
              </w:rPr>
            </w:pPr>
            <w:r>
              <w:rPr>
                <w:rFonts w:asciiTheme="majorHAnsi" w:hAnsiTheme="majorHAnsi" w:cstheme="majorHAnsi"/>
                <w:sz w:val="18"/>
                <w:szCs w:val="20"/>
              </w:rPr>
              <w:t xml:space="preserve">Perspectives on reform project </w:t>
            </w:r>
          </w:p>
        </w:tc>
      </w:tr>
      <w:tr w:rsidR="006D33D2" w:rsidRPr="00E2213C" w14:paraId="18C5A6E3" w14:textId="77777777">
        <w:trPr>
          <w:trHeight w:val="510"/>
        </w:trPr>
        <w:tc>
          <w:tcPr>
            <w:tcW w:w="554" w:type="pct"/>
            <w:shd w:val="clear" w:color="auto" w:fill="00264D" w:themeFill="background2"/>
            <w:vAlign w:val="center"/>
          </w:tcPr>
          <w:p w14:paraId="27B66EFE" w14:textId="77777777" w:rsidR="006D33D2" w:rsidRPr="00E2213C" w:rsidRDefault="006D33D2">
            <w:pPr>
              <w:spacing w:before="40" w:after="40"/>
              <w:jc w:val="center"/>
              <w:rPr>
                <w:i/>
                <w:iCs/>
              </w:rPr>
            </w:pPr>
            <w:r w:rsidRPr="00E2213C">
              <w:rPr>
                <w:i/>
                <w:iCs/>
                <w:noProof/>
              </w:rPr>
              <mc:AlternateContent>
                <mc:Choice Requires="wps">
                  <w:drawing>
                    <wp:inline distT="0" distB="0" distL="0" distR="0" wp14:anchorId="66127887" wp14:editId="378E098A">
                      <wp:extent cx="320633" cy="314696"/>
                      <wp:effectExtent l="0" t="0" r="3810" b="9525"/>
                      <wp:docPr id="443022212" name="Freeform: Shape 443022212" descr="Icon of a person wearing a healthcare worker outfit"/>
                      <wp:cNvGraphicFramePr/>
                      <a:graphic xmlns:a="http://schemas.openxmlformats.org/drawingml/2006/main">
                        <a:graphicData uri="http://schemas.microsoft.com/office/word/2010/wordprocessingShape">
                          <wps:wsp>
                            <wps:cNvSpPr/>
                            <wps:spPr>
                              <a:xfrm>
                                <a:off x="0" y="0"/>
                                <a:ext cx="320633" cy="314696"/>
                              </a:xfrm>
                              <a:custGeom>
                                <a:avLst/>
                                <a:gdLst>
                                  <a:gd name="connsiteX0" fmla="*/ 519741 w 533891"/>
                                  <a:gd name="connsiteY0" fmla="*/ 423335 h 533972"/>
                                  <a:gd name="connsiteX1" fmla="*/ 457202 w 533891"/>
                                  <a:gd name="connsiteY1" fmla="*/ 346479 h 533972"/>
                                  <a:gd name="connsiteX2" fmla="*/ 341792 w 533891"/>
                                  <a:gd name="connsiteY2" fmla="*/ 302400 h 533972"/>
                                  <a:gd name="connsiteX3" fmla="*/ 341792 w 533891"/>
                                  <a:gd name="connsiteY3" fmla="*/ 284944 h 533972"/>
                                  <a:gd name="connsiteX4" fmla="*/ 384490 w 533891"/>
                                  <a:gd name="connsiteY4" fmla="*/ 192265 h 533972"/>
                                  <a:gd name="connsiteX5" fmla="*/ 384490 w 533891"/>
                                  <a:gd name="connsiteY5" fmla="*/ 139898 h 533972"/>
                                  <a:gd name="connsiteX6" fmla="*/ 405588 w 533891"/>
                                  <a:gd name="connsiteY6" fmla="*/ 34158 h 533972"/>
                                  <a:gd name="connsiteX7" fmla="*/ 399434 w 533891"/>
                                  <a:gd name="connsiteY7" fmla="*/ 22228 h 533972"/>
                                  <a:gd name="connsiteX8" fmla="*/ 266946 w 533891"/>
                                  <a:gd name="connsiteY8" fmla="*/ 0 h 533972"/>
                                  <a:gd name="connsiteX9" fmla="*/ 134457 w 533891"/>
                                  <a:gd name="connsiteY9" fmla="*/ 22228 h 533972"/>
                                  <a:gd name="connsiteX10" fmla="*/ 128304 w 533891"/>
                                  <a:gd name="connsiteY10" fmla="*/ 34158 h 533972"/>
                                  <a:gd name="connsiteX11" fmla="*/ 149402 w 533891"/>
                                  <a:gd name="connsiteY11" fmla="*/ 139898 h 533972"/>
                                  <a:gd name="connsiteX12" fmla="*/ 149402 w 533891"/>
                                  <a:gd name="connsiteY12" fmla="*/ 192265 h 533972"/>
                                  <a:gd name="connsiteX13" fmla="*/ 192099 w 533891"/>
                                  <a:gd name="connsiteY13" fmla="*/ 284944 h 533972"/>
                                  <a:gd name="connsiteX14" fmla="*/ 192099 w 533891"/>
                                  <a:gd name="connsiteY14" fmla="*/ 302400 h 533972"/>
                                  <a:gd name="connsiteX15" fmla="*/ 76941 w 533891"/>
                                  <a:gd name="connsiteY15" fmla="*/ 346479 h 533972"/>
                                  <a:gd name="connsiteX16" fmla="*/ 14150 w 533891"/>
                                  <a:gd name="connsiteY16" fmla="*/ 423335 h 533972"/>
                                  <a:gd name="connsiteX17" fmla="*/ 85 w 533891"/>
                                  <a:gd name="connsiteY17" fmla="*/ 521791 h 533972"/>
                                  <a:gd name="connsiteX18" fmla="*/ 2597 w 533891"/>
                                  <a:gd name="connsiteY18" fmla="*/ 530330 h 533972"/>
                                  <a:gd name="connsiteX19" fmla="*/ 10634 w 533891"/>
                                  <a:gd name="connsiteY19" fmla="*/ 533972 h 533972"/>
                                  <a:gd name="connsiteX20" fmla="*/ 523257 w 533891"/>
                                  <a:gd name="connsiteY20" fmla="*/ 533972 h 533972"/>
                                  <a:gd name="connsiteX21" fmla="*/ 531295 w 533891"/>
                                  <a:gd name="connsiteY21" fmla="*/ 530330 h 533972"/>
                                  <a:gd name="connsiteX22" fmla="*/ 533806 w 533891"/>
                                  <a:gd name="connsiteY22" fmla="*/ 521791 h 533972"/>
                                  <a:gd name="connsiteX23" fmla="*/ 519741 w 533891"/>
                                  <a:gd name="connsiteY23" fmla="*/ 423335 h 533972"/>
                                  <a:gd name="connsiteX24" fmla="*/ 151034 w 533891"/>
                                  <a:gd name="connsiteY24" fmla="*/ 38805 h 533972"/>
                                  <a:gd name="connsiteX25" fmla="*/ 266946 w 533891"/>
                                  <a:gd name="connsiteY25" fmla="*/ 21349 h 533972"/>
                                  <a:gd name="connsiteX26" fmla="*/ 382857 w 533891"/>
                                  <a:gd name="connsiteY26" fmla="*/ 38805 h 533972"/>
                                  <a:gd name="connsiteX27" fmla="*/ 365778 w 533891"/>
                                  <a:gd name="connsiteY27" fmla="*/ 123823 h 533972"/>
                                  <a:gd name="connsiteX28" fmla="*/ 266946 w 533891"/>
                                  <a:gd name="connsiteY28" fmla="*/ 106744 h 533972"/>
                                  <a:gd name="connsiteX29" fmla="*/ 168113 w 533891"/>
                                  <a:gd name="connsiteY29" fmla="*/ 123823 h 533972"/>
                                  <a:gd name="connsiteX30" fmla="*/ 151034 w 533891"/>
                                  <a:gd name="connsiteY30" fmla="*/ 38805 h 533972"/>
                                  <a:gd name="connsiteX31" fmla="*/ 170876 w 533891"/>
                                  <a:gd name="connsiteY31" fmla="*/ 192265 h 533972"/>
                                  <a:gd name="connsiteX32" fmla="*/ 170876 w 533891"/>
                                  <a:gd name="connsiteY32" fmla="*/ 145800 h 533972"/>
                                  <a:gd name="connsiteX33" fmla="*/ 266946 w 533891"/>
                                  <a:gd name="connsiteY33" fmla="*/ 128093 h 533972"/>
                                  <a:gd name="connsiteX34" fmla="*/ 363016 w 533891"/>
                                  <a:gd name="connsiteY34" fmla="*/ 145800 h 533972"/>
                                  <a:gd name="connsiteX35" fmla="*/ 363016 w 533891"/>
                                  <a:gd name="connsiteY35" fmla="*/ 192265 h 533972"/>
                                  <a:gd name="connsiteX36" fmla="*/ 323834 w 533891"/>
                                  <a:gd name="connsiteY36" fmla="*/ 272260 h 533972"/>
                                  <a:gd name="connsiteX37" fmla="*/ 320318 w 533891"/>
                                  <a:gd name="connsiteY37" fmla="*/ 280172 h 533972"/>
                                  <a:gd name="connsiteX38" fmla="*/ 320318 w 533891"/>
                                  <a:gd name="connsiteY38" fmla="*/ 306167 h 533972"/>
                                  <a:gd name="connsiteX39" fmla="*/ 266946 w 533891"/>
                                  <a:gd name="connsiteY39" fmla="*/ 377372 h 533972"/>
                                  <a:gd name="connsiteX40" fmla="*/ 213574 w 533891"/>
                                  <a:gd name="connsiteY40" fmla="*/ 306167 h 533972"/>
                                  <a:gd name="connsiteX41" fmla="*/ 213574 w 533891"/>
                                  <a:gd name="connsiteY41" fmla="*/ 280172 h 533972"/>
                                  <a:gd name="connsiteX42" fmla="*/ 210057 w 533891"/>
                                  <a:gd name="connsiteY42" fmla="*/ 272260 h 533972"/>
                                  <a:gd name="connsiteX43" fmla="*/ 170876 w 533891"/>
                                  <a:gd name="connsiteY43" fmla="*/ 192265 h 533972"/>
                                  <a:gd name="connsiteX44" fmla="*/ 22941 w 533891"/>
                                  <a:gd name="connsiteY44" fmla="*/ 512623 h 533972"/>
                                  <a:gd name="connsiteX45" fmla="*/ 35248 w 533891"/>
                                  <a:gd name="connsiteY45" fmla="*/ 426349 h 533972"/>
                                  <a:gd name="connsiteX46" fmla="*/ 84350 w 533891"/>
                                  <a:gd name="connsiteY46" fmla="*/ 366447 h 533972"/>
                                  <a:gd name="connsiteX47" fmla="*/ 199132 w 533891"/>
                                  <a:gd name="connsiteY47" fmla="*/ 322619 h 533972"/>
                                  <a:gd name="connsiteX48" fmla="*/ 258406 w 533891"/>
                                  <a:gd name="connsiteY48" fmla="*/ 401609 h 533972"/>
                                  <a:gd name="connsiteX49" fmla="*/ 266946 w 533891"/>
                                  <a:gd name="connsiteY49" fmla="*/ 405879 h 533972"/>
                                  <a:gd name="connsiteX50" fmla="*/ 275485 w 533891"/>
                                  <a:gd name="connsiteY50" fmla="*/ 401609 h 533972"/>
                                  <a:gd name="connsiteX51" fmla="*/ 334760 w 533891"/>
                                  <a:gd name="connsiteY51" fmla="*/ 322619 h 533972"/>
                                  <a:gd name="connsiteX52" fmla="*/ 449792 w 533891"/>
                                  <a:gd name="connsiteY52" fmla="*/ 366572 h 533972"/>
                                  <a:gd name="connsiteX53" fmla="*/ 498644 w 533891"/>
                                  <a:gd name="connsiteY53" fmla="*/ 426349 h 533972"/>
                                  <a:gd name="connsiteX54" fmla="*/ 510951 w 533891"/>
                                  <a:gd name="connsiteY54" fmla="*/ 512623 h 533972"/>
                                  <a:gd name="connsiteX55" fmla="*/ 22941 w 533891"/>
                                  <a:gd name="connsiteY55" fmla="*/ 512623 h 533972"/>
                                  <a:gd name="connsiteX56" fmla="*/ 413123 w 533891"/>
                                  <a:gd name="connsiteY56" fmla="*/ 407135 h 533972"/>
                                  <a:gd name="connsiteX57" fmla="*/ 398555 w 533891"/>
                                  <a:gd name="connsiteY57" fmla="*/ 407135 h 533972"/>
                                  <a:gd name="connsiteX58" fmla="*/ 398555 w 533891"/>
                                  <a:gd name="connsiteY58" fmla="*/ 392567 h 533972"/>
                                  <a:gd name="connsiteX59" fmla="*/ 388006 w 533891"/>
                                  <a:gd name="connsiteY59" fmla="*/ 381893 h 533972"/>
                                  <a:gd name="connsiteX60" fmla="*/ 360378 w 533891"/>
                                  <a:gd name="connsiteY60" fmla="*/ 381893 h 533972"/>
                                  <a:gd name="connsiteX61" fmla="*/ 349830 w 533891"/>
                                  <a:gd name="connsiteY61" fmla="*/ 392567 h 533972"/>
                                  <a:gd name="connsiteX62" fmla="*/ 349830 w 533891"/>
                                  <a:gd name="connsiteY62" fmla="*/ 407135 h 533972"/>
                                  <a:gd name="connsiteX63" fmla="*/ 335262 w 533891"/>
                                  <a:gd name="connsiteY63" fmla="*/ 407135 h 533972"/>
                                  <a:gd name="connsiteX64" fmla="*/ 324713 w 533891"/>
                                  <a:gd name="connsiteY64" fmla="*/ 417809 h 533972"/>
                                  <a:gd name="connsiteX65" fmla="*/ 324713 w 533891"/>
                                  <a:gd name="connsiteY65" fmla="*/ 445437 h 533972"/>
                                  <a:gd name="connsiteX66" fmla="*/ 335262 w 533891"/>
                                  <a:gd name="connsiteY66" fmla="*/ 456112 h 533972"/>
                                  <a:gd name="connsiteX67" fmla="*/ 349830 w 533891"/>
                                  <a:gd name="connsiteY67" fmla="*/ 456112 h 533972"/>
                                  <a:gd name="connsiteX68" fmla="*/ 349830 w 533891"/>
                                  <a:gd name="connsiteY68" fmla="*/ 470679 h 533972"/>
                                  <a:gd name="connsiteX69" fmla="*/ 360378 w 533891"/>
                                  <a:gd name="connsiteY69" fmla="*/ 481354 h 533972"/>
                                  <a:gd name="connsiteX70" fmla="*/ 388006 w 533891"/>
                                  <a:gd name="connsiteY70" fmla="*/ 481354 h 533972"/>
                                  <a:gd name="connsiteX71" fmla="*/ 398555 w 533891"/>
                                  <a:gd name="connsiteY71" fmla="*/ 470679 h 533972"/>
                                  <a:gd name="connsiteX72" fmla="*/ 398555 w 533891"/>
                                  <a:gd name="connsiteY72" fmla="*/ 456112 h 533972"/>
                                  <a:gd name="connsiteX73" fmla="*/ 413123 w 533891"/>
                                  <a:gd name="connsiteY73" fmla="*/ 456112 h 533972"/>
                                  <a:gd name="connsiteX74" fmla="*/ 423671 w 533891"/>
                                  <a:gd name="connsiteY74" fmla="*/ 445437 h 533972"/>
                                  <a:gd name="connsiteX75" fmla="*/ 423671 w 533891"/>
                                  <a:gd name="connsiteY75" fmla="*/ 417809 h 533972"/>
                                  <a:gd name="connsiteX76" fmla="*/ 413123 w 533891"/>
                                  <a:gd name="connsiteY76" fmla="*/ 407135 h 533972"/>
                                  <a:gd name="connsiteX77" fmla="*/ 407220 w 533891"/>
                                  <a:gd name="connsiteY77" fmla="*/ 435516 h 533972"/>
                                  <a:gd name="connsiteX78" fmla="*/ 390016 w 533891"/>
                                  <a:gd name="connsiteY78" fmla="*/ 435516 h 533972"/>
                                  <a:gd name="connsiteX79" fmla="*/ 377960 w 533891"/>
                                  <a:gd name="connsiteY79" fmla="*/ 447572 h 533972"/>
                                  <a:gd name="connsiteX80" fmla="*/ 377960 w 533891"/>
                                  <a:gd name="connsiteY80" fmla="*/ 464777 h 533972"/>
                                  <a:gd name="connsiteX81" fmla="*/ 370048 w 533891"/>
                                  <a:gd name="connsiteY81" fmla="*/ 464777 h 533972"/>
                                  <a:gd name="connsiteX82" fmla="*/ 370048 w 533891"/>
                                  <a:gd name="connsiteY82" fmla="*/ 447572 h 533972"/>
                                  <a:gd name="connsiteX83" fmla="*/ 357992 w 533891"/>
                                  <a:gd name="connsiteY83" fmla="*/ 435516 h 533972"/>
                                  <a:gd name="connsiteX84" fmla="*/ 340788 w 533891"/>
                                  <a:gd name="connsiteY84" fmla="*/ 435516 h 533972"/>
                                  <a:gd name="connsiteX85" fmla="*/ 340788 w 533891"/>
                                  <a:gd name="connsiteY85" fmla="*/ 427605 h 533972"/>
                                  <a:gd name="connsiteX86" fmla="*/ 357992 w 533891"/>
                                  <a:gd name="connsiteY86" fmla="*/ 427605 h 533972"/>
                                  <a:gd name="connsiteX87" fmla="*/ 370048 w 533891"/>
                                  <a:gd name="connsiteY87" fmla="*/ 415549 h 533972"/>
                                  <a:gd name="connsiteX88" fmla="*/ 370048 w 533891"/>
                                  <a:gd name="connsiteY88" fmla="*/ 398344 h 533972"/>
                                  <a:gd name="connsiteX89" fmla="*/ 377960 w 533891"/>
                                  <a:gd name="connsiteY89" fmla="*/ 398344 h 533972"/>
                                  <a:gd name="connsiteX90" fmla="*/ 377960 w 533891"/>
                                  <a:gd name="connsiteY90" fmla="*/ 415549 h 533972"/>
                                  <a:gd name="connsiteX91" fmla="*/ 390016 w 533891"/>
                                  <a:gd name="connsiteY91" fmla="*/ 427605 h 533972"/>
                                  <a:gd name="connsiteX92" fmla="*/ 407220 w 533891"/>
                                  <a:gd name="connsiteY92" fmla="*/ 427605 h 533972"/>
                                  <a:gd name="connsiteX93" fmla="*/ 407220 w 533891"/>
                                  <a:gd name="connsiteY93" fmla="*/ 435516 h 5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533891" h="533972">
                                    <a:moveTo>
                                      <a:pt x="519741" y="423335"/>
                                    </a:moveTo>
                                    <a:cubicBezTo>
                                      <a:pt x="514718" y="387921"/>
                                      <a:pt x="490606" y="358409"/>
                                      <a:pt x="457202" y="346479"/>
                                    </a:cubicBezTo>
                                    <a:lnTo>
                                      <a:pt x="341792" y="302400"/>
                                    </a:lnTo>
                                    <a:lnTo>
                                      <a:pt x="341792" y="284944"/>
                                    </a:lnTo>
                                    <a:cubicBezTo>
                                      <a:pt x="369043" y="258949"/>
                                      <a:pt x="384490" y="225419"/>
                                      <a:pt x="384490" y="192265"/>
                                    </a:cubicBezTo>
                                    <a:lnTo>
                                      <a:pt x="384490" y="139898"/>
                                    </a:lnTo>
                                    <a:lnTo>
                                      <a:pt x="405588" y="34158"/>
                                    </a:lnTo>
                                    <a:cubicBezTo>
                                      <a:pt x="406592" y="29260"/>
                                      <a:pt x="403955" y="24237"/>
                                      <a:pt x="399434" y="22228"/>
                                    </a:cubicBezTo>
                                    <a:cubicBezTo>
                                      <a:pt x="397299" y="21349"/>
                                      <a:pt x="347695" y="0"/>
                                      <a:pt x="266946" y="0"/>
                                    </a:cubicBezTo>
                                    <a:cubicBezTo>
                                      <a:pt x="186197" y="0"/>
                                      <a:pt x="136592" y="21349"/>
                                      <a:pt x="134457" y="22228"/>
                                    </a:cubicBezTo>
                                    <a:cubicBezTo>
                                      <a:pt x="129811" y="24237"/>
                                      <a:pt x="127299" y="29135"/>
                                      <a:pt x="128304" y="34158"/>
                                    </a:cubicBezTo>
                                    <a:lnTo>
                                      <a:pt x="149402" y="139898"/>
                                    </a:lnTo>
                                    <a:lnTo>
                                      <a:pt x="149402" y="192265"/>
                                    </a:lnTo>
                                    <a:cubicBezTo>
                                      <a:pt x="149402" y="225419"/>
                                      <a:pt x="164974" y="258949"/>
                                      <a:pt x="192099" y="284944"/>
                                    </a:cubicBezTo>
                                    <a:lnTo>
                                      <a:pt x="192099" y="302400"/>
                                    </a:lnTo>
                                    <a:lnTo>
                                      <a:pt x="76941" y="346479"/>
                                    </a:lnTo>
                                    <a:cubicBezTo>
                                      <a:pt x="43285" y="358535"/>
                                      <a:pt x="19174" y="387921"/>
                                      <a:pt x="14150" y="423335"/>
                                    </a:cubicBezTo>
                                    <a:lnTo>
                                      <a:pt x="85" y="521791"/>
                                    </a:lnTo>
                                    <a:cubicBezTo>
                                      <a:pt x="-292" y="524805"/>
                                      <a:pt x="588" y="527944"/>
                                      <a:pt x="2597" y="530330"/>
                                    </a:cubicBezTo>
                                    <a:cubicBezTo>
                                      <a:pt x="4606" y="532716"/>
                                      <a:pt x="7620" y="533972"/>
                                      <a:pt x="10634" y="533972"/>
                                    </a:cubicBezTo>
                                    <a:lnTo>
                                      <a:pt x="523257" y="533972"/>
                                    </a:lnTo>
                                    <a:cubicBezTo>
                                      <a:pt x="526397" y="533972"/>
                                      <a:pt x="529285" y="532591"/>
                                      <a:pt x="531295" y="530330"/>
                                    </a:cubicBezTo>
                                    <a:cubicBezTo>
                                      <a:pt x="533304" y="527944"/>
                                      <a:pt x="534183" y="524930"/>
                                      <a:pt x="533806" y="521791"/>
                                    </a:cubicBezTo>
                                    <a:lnTo>
                                      <a:pt x="519741" y="423335"/>
                                    </a:lnTo>
                                    <a:close/>
                                    <a:moveTo>
                                      <a:pt x="151034" y="38805"/>
                                    </a:moveTo>
                                    <a:cubicBezTo>
                                      <a:pt x="167611" y="33153"/>
                                      <a:pt x="208927" y="21349"/>
                                      <a:pt x="266946" y="21349"/>
                                    </a:cubicBezTo>
                                    <a:cubicBezTo>
                                      <a:pt x="324964" y="21349"/>
                                      <a:pt x="366281" y="33153"/>
                                      <a:pt x="382857" y="38805"/>
                                    </a:cubicBezTo>
                                    <a:lnTo>
                                      <a:pt x="365778" y="123823"/>
                                    </a:lnTo>
                                    <a:cubicBezTo>
                                      <a:pt x="348071" y="117167"/>
                                      <a:pt x="312783" y="106744"/>
                                      <a:pt x="266946" y="106744"/>
                                    </a:cubicBezTo>
                                    <a:cubicBezTo>
                                      <a:pt x="220983" y="106744"/>
                                      <a:pt x="185820" y="117167"/>
                                      <a:pt x="168113" y="123823"/>
                                    </a:cubicBezTo>
                                    <a:lnTo>
                                      <a:pt x="151034" y="38805"/>
                                    </a:lnTo>
                                    <a:close/>
                                    <a:moveTo>
                                      <a:pt x="170876" y="192265"/>
                                    </a:moveTo>
                                    <a:lnTo>
                                      <a:pt x="170876" y="145800"/>
                                    </a:lnTo>
                                    <a:cubicBezTo>
                                      <a:pt x="184188" y="140400"/>
                                      <a:pt x="219602" y="128093"/>
                                      <a:pt x="266946" y="128093"/>
                                    </a:cubicBezTo>
                                    <a:cubicBezTo>
                                      <a:pt x="314416" y="128093"/>
                                      <a:pt x="349704" y="140274"/>
                                      <a:pt x="363016" y="145800"/>
                                    </a:cubicBezTo>
                                    <a:lnTo>
                                      <a:pt x="363016" y="192265"/>
                                    </a:lnTo>
                                    <a:cubicBezTo>
                                      <a:pt x="363016" y="220772"/>
                                      <a:pt x="348699" y="249907"/>
                                      <a:pt x="323834" y="272260"/>
                                    </a:cubicBezTo>
                                    <a:cubicBezTo>
                                      <a:pt x="321574" y="274270"/>
                                      <a:pt x="320318" y="277158"/>
                                      <a:pt x="320318" y="280172"/>
                                    </a:cubicBezTo>
                                    <a:lnTo>
                                      <a:pt x="320318" y="306167"/>
                                    </a:lnTo>
                                    <a:lnTo>
                                      <a:pt x="266946" y="377372"/>
                                    </a:lnTo>
                                    <a:lnTo>
                                      <a:pt x="213574" y="306167"/>
                                    </a:lnTo>
                                    <a:lnTo>
                                      <a:pt x="213574" y="280172"/>
                                    </a:lnTo>
                                    <a:cubicBezTo>
                                      <a:pt x="213574" y="277158"/>
                                      <a:pt x="212318" y="274270"/>
                                      <a:pt x="210057" y="272260"/>
                                    </a:cubicBezTo>
                                    <a:cubicBezTo>
                                      <a:pt x="185067" y="249907"/>
                                      <a:pt x="170876" y="220772"/>
                                      <a:pt x="170876" y="192265"/>
                                    </a:cubicBezTo>
                                    <a:close/>
                                    <a:moveTo>
                                      <a:pt x="22941" y="512623"/>
                                    </a:moveTo>
                                    <a:lnTo>
                                      <a:pt x="35248" y="426349"/>
                                    </a:lnTo>
                                    <a:cubicBezTo>
                                      <a:pt x="39141" y="398847"/>
                                      <a:pt x="57853" y="375865"/>
                                      <a:pt x="84350" y="366447"/>
                                    </a:cubicBezTo>
                                    <a:lnTo>
                                      <a:pt x="199132" y="322619"/>
                                    </a:lnTo>
                                    <a:lnTo>
                                      <a:pt x="258406" y="401609"/>
                                    </a:lnTo>
                                    <a:cubicBezTo>
                                      <a:pt x="260416" y="404247"/>
                                      <a:pt x="263555" y="405879"/>
                                      <a:pt x="266946" y="405879"/>
                                    </a:cubicBezTo>
                                    <a:cubicBezTo>
                                      <a:pt x="270336" y="405879"/>
                                      <a:pt x="273476" y="404247"/>
                                      <a:pt x="275485" y="401609"/>
                                    </a:cubicBezTo>
                                    <a:lnTo>
                                      <a:pt x="334760" y="322619"/>
                                    </a:lnTo>
                                    <a:lnTo>
                                      <a:pt x="449792" y="366572"/>
                                    </a:lnTo>
                                    <a:cubicBezTo>
                                      <a:pt x="476039" y="375865"/>
                                      <a:pt x="494751" y="398847"/>
                                      <a:pt x="498644" y="426349"/>
                                    </a:cubicBezTo>
                                    <a:lnTo>
                                      <a:pt x="510951" y="512623"/>
                                    </a:lnTo>
                                    <a:lnTo>
                                      <a:pt x="22941" y="512623"/>
                                    </a:lnTo>
                                    <a:close/>
                                    <a:moveTo>
                                      <a:pt x="413123" y="407135"/>
                                    </a:moveTo>
                                    <a:lnTo>
                                      <a:pt x="398555" y="407135"/>
                                    </a:lnTo>
                                    <a:lnTo>
                                      <a:pt x="398555" y="392567"/>
                                    </a:lnTo>
                                    <a:cubicBezTo>
                                      <a:pt x="398555" y="386665"/>
                                      <a:pt x="393783" y="381893"/>
                                      <a:pt x="388006" y="381893"/>
                                    </a:cubicBezTo>
                                    <a:lnTo>
                                      <a:pt x="360378" y="381893"/>
                                    </a:lnTo>
                                    <a:cubicBezTo>
                                      <a:pt x="354476" y="381893"/>
                                      <a:pt x="349830" y="386665"/>
                                      <a:pt x="349830" y="392567"/>
                                    </a:cubicBezTo>
                                    <a:lnTo>
                                      <a:pt x="349830" y="407135"/>
                                    </a:lnTo>
                                    <a:lnTo>
                                      <a:pt x="335262" y="407135"/>
                                    </a:lnTo>
                                    <a:cubicBezTo>
                                      <a:pt x="329360" y="407135"/>
                                      <a:pt x="324713" y="411907"/>
                                      <a:pt x="324713" y="417809"/>
                                    </a:cubicBezTo>
                                    <a:lnTo>
                                      <a:pt x="324713" y="445437"/>
                                    </a:lnTo>
                                    <a:cubicBezTo>
                                      <a:pt x="324713" y="451340"/>
                                      <a:pt x="329485" y="456112"/>
                                      <a:pt x="335262" y="456112"/>
                                    </a:cubicBezTo>
                                    <a:lnTo>
                                      <a:pt x="349830" y="456112"/>
                                    </a:lnTo>
                                    <a:lnTo>
                                      <a:pt x="349830" y="470679"/>
                                    </a:lnTo>
                                    <a:cubicBezTo>
                                      <a:pt x="349830" y="476581"/>
                                      <a:pt x="354602" y="481354"/>
                                      <a:pt x="360378" y="481354"/>
                                    </a:cubicBezTo>
                                    <a:lnTo>
                                      <a:pt x="388006" y="481354"/>
                                    </a:lnTo>
                                    <a:cubicBezTo>
                                      <a:pt x="393909" y="481354"/>
                                      <a:pt x="398555" y="476581"/>
                                      <a:pt x="398555" y="470679"/>
                                    </a:cubicBezTo>
                                    <a:lnTo>
                                      <a:pt x="398555" y="456112"/>
                                    </a:lnTo>
                                    <a:lnTo>
                                      <a:pt x="413123" y="456112"/>
                                    </a:lnTo>
                                    <a:cubicBezTo>
                                      <a:pt x="419025" y="456112"/>
                                      <a:pt x="423671" y="451340"/>
                                      <a:pt x="423671" y="445437"/>
                                    </a:cubicBezTo>
                                    <a:lnTo>
                                      <a:pt x="423671" y="417809"/>
                                    </a:lnTo>
                                    <a:cubicBezTo>
                                      <a:pt x="423671" y="411907"/>
                                      <a:pt x="418899" y="407135"/>
                                      <a:pt x="413123" y="407135"/>
                                    </a:cubicBezTo>
                                    <a:close/>
                                    <a:moveTo>
                                      <a:pt x="407220" y="435516"/>
                                    </a:moveTo>
                                    <a:lnTo>
                                      <a:pt x="390016" y="435516"/>
                                    </a:lnTo>
                                    <a:cubicBezTo>
                                      <a:pt x="383360" y="435516"/>
                                      <a:pt x="377960" y="440916"/>
                                      <a:pt x="377960" y="447572"/>
                                    </a:cubicBezTo>
                                    <a:lnTo>
                                      <a:pt x="377960" y="464777"/>
                                    </a:lnTo>
                                    <a:lnTo>
                                      <a:pt x="370048" y="464777"/>
                                    </a:lnTo>
                                    <a:lnTo>
                                      <a:pt x="370048" y="447572"/>
                                    </a:lnTo>
                                    <a:cubicBezTo>
                                      <a:pt x="370048" y="440916"/>
                                      <a:pt x="364648" y="435516"/>
                                      <a:pt x="357992" y="435516"/>
                                    </a:cubicBezTo>
                                    <a:lnTo>
                                      <a:pt x="340788" y="435516"/>
                                    </a:lnTo>
                                    <a:lnTo>
                                      <a:pt x="340788" y="427605"/>
                                    </a:lnTo>
                                    <a:lnTo>
                                      <a:pt x="357992" y="427605"/>
                                    </a:lnTo>
                                    <a:cubicBezTo>
                                      <a:pt x="364648" y="427605"/>
                                      <a:pt x="370048" y="422205"/>
                                      <a:pt x="370048" y="415549"/>
                                    </a:cubicBezTo>
                                    <a:lnTo>
                                      <a:pt x="370048" y="398344"/>
                                    </a:lnTo>
                                    <a:lnTo>
                                      <a:pt x="377960" y="398344"/>
                                    </a:lnTo>
                                    <a:lnTo>
                                      <a:pt x="377960" y="415549"/>
                                    </a:lnTo>
                                    <a:cubicBezTo>
                                      <a:pt x="377960" y="422205"/>
                                      <a:pt x="383360" y="427605"/>
                                      <a:pt x="390016" y="427605"/>
                                    </a:cubicBezTo>
                                    <a:lnTo>
                                      <a:pt x="407220" y="427605"/>
                                    </a:lnTo>
                                    <a:lnTo>
                                      <a:pt x="407220" y="435516"/>
                                    </a:lnTo>
                                    <a:close/>
                                  </a:path>
                                </a:pathLst>
                              </a:custGeom>
                              <a:solidFill>
                                <a:sysClr val="window" lastClr="FFFFFF"/>
                              </a:solidFill>
                              <a:ln w="12547" cap="flat">
                                <a:noFill/>
                                <a:prstDash val="solid"/>
                                <a:miter/>
                              </a:ln>
                            </wps:spPr>
                            <wps:bodyPr rtlCol="0" anchor="ctr"/>
                          </wps:wsp>
                        </a:graphicData>
                      </a:graphic>
                    </wp:inline>
                  </w:drawing>
                </mc:Choice>
                <mc:Fallback>
                  <w:pict>
                    <v:shape w14:anchorId="2020DDB1" id="Freeform: Shape 443022212" o:spid="_x0000_s1026" alt="Icon of a person wearing a healthcare worker outfit" style="width:25.25pt;height:24.8pt;visibility:visible;mso-wrap-style:square;mso-left-percent:-10001;mso-top-percent:-10001;mso-position-horizontal:absolute;mso-position-horizontal-relative:char;mso-position-vertical:absolute;mso-position-vertical-relative:line;mso-left-percent:-10001;mso-top-percent:-10001;v-text-anchor:middle" coordsize="533891,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" path="m519741,423335v-5023,-35414,-29135,-64926,-62539,-76856l341792,302400r,-17456c369043,258949,384490,225419,384490,192265r,-52367l405588,34158v1004,-4898,-1633,-9921,-6154,-11930c397299,21349,347695,,266946,,186197,,136592,21349,134457,22228v-4646,2009,-7158,6907,-6153,11930l149402,139898r,52367c149402,225419,164974,258949,192099,284944r,17456l76941,346479c43285,358535,19174,387921,14150,423335l85,521791v-377,3014,503,6153,2512,8539c4606,532716,7620,533972,10634,533972r512623,c526397,533972,529285,532591,531295,530330v2009,-2386,2888,-5400,2511,-8539l519741,423335xm151034,38805c167611,33153,208927,21349,266946,21349v58018,,99335,11804,115911,17456l365778,123823v-17707,-6656,-52995,-17079,-98832,-17079c220983,106744,185820,117167,168113,123823l151034,38805xm170876,192265r,-46465c184188,140400,219602,128093,266946,128093v47470,,82758,12181,96070,17707l363016,192265v,28507,-14317,57642,-39182,79995c321574,274270,320318,277158,320318,280172r,25995l266946,377372,213574,306167r,-25995c213574,277158,212318,274270,210057,272260,185067,249907,170876,220772,170876,192265xm22941,512623l35248,426349v3893,-27502,22605,-50484,49102,-59902l199132,322619r59274,78990c260416,404247,263555,405879,266946,405879v3390,,6530,-1632,8539,-4270l334760,322619r115032,43953c476039,375865,494751,398847,498644,426349r12307,86274l22941,512623xm413123,407135r-14568,l398555,392567v,-5902,-4772,-10674,-10549,-10674l360378,381893v-5902,,-10548,4772,-10548,10674l349830,407135r-14568,c329360,407135,324713,411907,324713,417809r,27628c324713,451340,329485,456112,335262,456112r14568,l349830,470679v,5902,4772,10675,10548,10675l388006,481354v5903,,10549,-4773,10549,-10675l398555,456112r14568,c419025,456112,423671,451340,423671,445437r,-27628c423671,411907,418899,407135,413123,407135xm407220,435516r-17204,c383360,435516,377960,440916,377960,447572r,17205l370048,464777r,-17205c370048,440916,364648,435516,357992,435516r-17204,l340788,427605r17204,c364648,427605,370048,422205,370048,415549r,-17205l377960,398344r,17205c377960,422205,383360,427605,390016,427605r17204,l407220,435516xe" fillcolor="window" stroked="f" strokeweight=".34853mm">
                      <v:stroke joinstyle="miter"/>
                      <v:path arrowok="t" o:connecttype="custom" o:connectlocs="312135,249492;274577,204197;205266,178219;205266,167932;230909,113311;230909,82449;243579,20131;239884,13100;160317,0;80749,13100;77054,20131;89725,82449;89725,113311;115367,167932;115367,178219;46208,204197;8498,249492;51,307517;1560,312550;6386,314696;314247,314696;319074,312550;320582,307517;312135,249492;90705,22870;160317,12582;229928,22870;219671,72975;160317,62909;100962,72975;90705,22870;102621,113311;102621,85927;160317,75492;218012,85927;218012,113311;194481,160456;192370,165119;192370,180439;160317,222404;128264,180439;128264,165119;126152,160456;102621,113311;13777,302114;21169,251268;50657,215965;119590,190135;155188,236688;160317,239204;165445,236688;201043,190135;270127,216039;299465,251268;306856,302114;13777,302114;248105,239945;239356,239945;239356,231359;233020,225068;216428,225068;210094,231359;210094,239945;201345,239945;195009,246235;195009,262518;201345,268809;210094,268809;210094,277394;216428,283686;233020,283686;239356,277394;239356,268809;248105,268809;254439,262518;254439,246235;248105,239945;244560,256671;234228,256671;226987,263776;226987,273916;222236,273916;222236,263776;214995,256671;204663,256671;204663,252009;214995,252009;222236,244903;222236,234764;226987,234764;226987,244903;234228,252009;244560,252009;244560,256671" o:connectangles="0,0,0,0,0,0,0,0,0,0,0,0,0,0,0,0,0,0,0,0,0,0,0,0,0,0,0,0,0,0,0,0,0,0,0,0,0,0,0,0,0,0,0,0,0,0,0,0,0,0,0,0,0,0,0,0,0,0,0,0,0,0,0,0,0,0,0,0,0,0,0,0,0,0,0,0,0,0,0,0,0,0,0,0,0,0,0,0,0,0,0,0,0,0"/>
                      <w10:anchorlock/>
                    </v:shape>
                  </w:pict>
                </mc:Fallback>
              </mc:AlternateContent>
            </w:r>
          </w:p>
        </w:tc>
        <w:tc>
          <w:tcPr>
            <w:tcW w:w="794" w:type="pct"/>
            <w:shd w:val="clear" w:color="auto" w:fill="00264D" w:themeFill="background2"/>
            <w:vAlign w:val="center"/>
          </w:tcPr>
          <w:p w14:paraId="1CCCCE22" w14:textId="77777777" w:rsidR="006D33D2" w:rsidRPr="00E2213C" w:rsidRDefault="006D33D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healthcare providers</w:t>
            </w:r>
          </w:p>
        </w:tc>
        <w:tc>
          <w:tcPr>
            <w:tcW w:w="3652" w:type="pct"/>
          </w:tcPr>
          <w:p w14:paraId="780CA93E" w14:textId="1A20846E" w:rsidR="006D33D2" w:rsidRPr="000B6CF8" w:rsidRDefault="6B8118C9" w:rsidP="008320DE">
            <w:pPr>
              <w:pStyle w:val="TableExpBullet0"/>
              <w:rPr>
                <w:lang w:val="en-US"/>
              </w:rPr>
            </w:pPr>
            <w:r w:rsidRPr="008320DE">
              <w:t>In</w:t>
            </w:r>
            <w:r w:rsidR="006D33D2" w:rsidRPr="008320DE">
              <w:t xml:space="preserve"> the absence of more substantial reform, it is sensible for the Government to play a role in ensuring the PL is delivered properly and that this includes cost recovery measures to mitigate </w:t>
            </w:r>
            <w:r w:rsidR="154655C8" w:rsidRPr="008320DE">
              <w:t xml:space="preserve">the </w:t>
            </w:r>
            <w:r w:rsidR="00C0725E" w:rsidRPr="008320DE">
              <w:t>Department</w:t>
            </w:r>
            <w:r w:rsidR="006D33D2" w:rsidRPr="008320DE">
              <w:t>’s costs.</w:t>
            </w:r>
            <w:r w:rsidR="006D33D2" w:rsidRPr="2BB81676">
              <w:rPr>
                <w:lang w:val="en-US"/>
              </w:rPr>
              <w:t xml:space="preserve">  </w:t>
            </w:r>
          </w:p>
        </w:tc>
      </w:tr>
      <w:tr w:rsidR="006D33D2" w:rsidRPr="00E2213C" w14:paraId="1CD5A637" w14:textId="77777777">
        <w:trPr>
          <w:trHeight w:val="421"/>
        </w:trPr>
        <w:tc>
          <w:tcPr>
            <w:tcW w:w="554" w:type="pct"/>
            <w:shd w:val="clear" w:color="auto" w:fill="00264D" w:themeFill="background2"/>
            <w:vAlign w:val="center"/>
          </w:tcPr>
          <w:p w14:paraId="71A01393" w14:textId="77777777" w:rsidR="006D33D2" w:rsidRPr="00E2213C" w:rsidRDefault="006D33D2">
            <w:pPr>
              <w:spacing w:before="40" w:after="40"/>
              <w:jc w:val="center"/>
              <w:rPr>
                <w:i/>
                <w:iCs/>
              </w:rPr>
            </w:pPr>
            <w:r w:rsidRPr="00E2213C">
              <w:rPr>
                <w:i/>
                <w:iCs/>
                <w:noProof/>
              </w:rPr>
              <mc:AlternateContent>
                <mc:Choice Requires="wps">
                  <w:drawing>
                    <wp:inline distT="0" distB="0" distL="0" distR="0" wp14:anchorId="308AB186" wp14:editId="09414617">
                      <wp:extent cx="292311" cy="292311"/>
                      <wp:effectExtent l="0" t="0" r="0" b="0"/>
                      <wp:docPr id="553395392" name="Freeform: Shape 553395392" descr="Icon of a medical cro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92311" cy="292311"/>
                              </a:xfrm>
                              <a:custGeom>
                                <a:avLst/>
                                <a:gdLst>
                                  <a:gd name="T0" fmla="*/ 3 w 168"/>
                                  <a:gd name="T1" fmla="*/ 114 h 170"/>
                                  <a:gd name="T2" fmla="*/ 55 w 168"/>
                                  <a:gd name="T3" fmla="*/ 114 h 170"/>
                                  <a:gd name="T4" fmla="*/ 55 w 168"/>
                                  <a:gd name="T5" fmla="*/ 166 h 170"/>
                                  <a:gd name="T6" fmla="*/ 59 w 168"/>
                                  <a:gd name="T7" fmla="*/ 170 h 170"/>
                                  <a:gd name="T8" fmla="*/ 109 w 168"/>
                                  <a:gd name="T9" fmla="*/ 170 h 170"/>
                                  <a:gd name="T10" fmla="*/ 113 w 168"/>
                                  <a:gd name="T11" fmla="*/ 166 h 170"/>
                                  <a:gd name="T12" fmla="*/ 113 w 168"/>
                                  <a:gd name="T13" fmla="*/ 114 h 170"/>
                                  <a:gd name="T14" fmla="*/ 165 w 168"/>
                                  <a:gd name="T15" fmla="*/ 114 h 170"/>
                                  <a:gd name="T16" fmla="*/ 168 w 168"/>
                                  <a:gd name="T17" fmla="*/ 111 h 170"/>
                                  <a:gd name="T18" fmla="*/ 168 w 168"/>
                                  <a:gd name="T19" fmla="*/ 59 h 170"/>
                                  <a:gd name="T20" fmla="*/ 165 w 168"/>
                                  <a:gd name="T21" fmla="*/ 55 h 170"/>
                                  <a:gd name="T22" fmla="*/ 113 w 168"/>
                                  <a:gd name="T23" fmla="*/ 55 h 170"/>
                                  <a:gd name="T24" fmla="*/ 113 w 168"/>
                                  <a:gd name="T25" fmla="*/ 3 h 170"/>
                                  <a:gd name="T26" fmla="*/ 109 w 168"/>
                                  <a:gd name="T27" fmla="*/ 0 h 170"/>
                                  <a:gd name="T28" fmla="*/ 59 w 168"/>
                                  <a:gd name="T29" fmla="*/ 0 h 170"/>
                                  <a:gd name="T30" fmla="*/ 55 w 168"/>
                                  <a:gd name="T31" fmla="*/ 3 h 170"/>
                                  <a:gd name="T32" fmla="*/ 55 w 168"/>
                                  <a:gd name="T33" fmla="*/ 55 h 170"/>
                                  <a:gd name="T34" fmla="*/ 3 w 168"/>
                                  <a:gd name="T35" fmla="*/ 55 h 170"/>
                                  <a:gd name="T36" fmla="*/ 0 w 168"/>
                                  <a:gd name="T37" fmla="*/ 59 h 170"/>
                                  <a:gd name="T38" fmla="*/ 0 w 168"/>
                                  <a:gd name="T39" fmla="*/ 111 h 170"/>
                                  <a:gd name="T40" fmla="*/ 3 w 168"/>
                                  <a:gd name="T41" fmla="*/ 114 h 170"/>
                                  <a:gd name="T42" fmla="*/ 7 w 168"/>
                                  <a:gd name="T43" fmla="*/ 62 h 170"/>
                                  <a:gd name="T44" fmla="*/ 59 w 168"/>
                                  <a:gd name="T45" fmla="*/ 62 h 170"/>
                                  <a:gd name="T46" fmla="*/ 62 w 168"/>
                                  <a:gd name="T47" fmla="*/ 59 h 170"/>
                                  <a:gd name="T48" fmla="*/ 62 w 168"/>
                                  <a:gd name="T49" fmla="*/ 7 h 170"/>
                                  <a:gd name="T50" fmla="*/ 106 w 168"/>
                                  <a:gd name="T51" fmla="*/ 7 h 170"/>
                                  <a:gd name="T52" fmla="*/ 106 w 168"/>
                                  <a:gd name="T53" fmla="*/ 59 h 170"/>
                                  <a:gd name="T54" fmla="*/ 109 w 168"/>
                                  <a:gd name="T55" fmla="*/ 62 h 170"/>
                                  <a:gd name="T56" fmla="*/ 161 w 168"/>
                                  <a:gd name="T57" fmla="*/ 62 h 170"/>
                                  <a:gd name="T58" fmla="*/ 161 w 168"/>
                                  <a:gd name="T59" fmla="*/ 107 h 170"/>
                                  <a:gd name="T60" fmla="*/ 109 w 168"/>
                                  <a:gd name="T61" fmla="*/ 107 h 170"/>
                                  <a:gd name="T62" fmla="*/ 106 w 168"/>
                                  <a:gd name="T63" fmla="*/ 111 h 170"/>
                                  <a:gd name="T64" fmla="*/ 106 w 168"/>
                                  <a:gd name="T65" fmla="*/ 163 h 170"/>
                                  <a:gd name="T66" fmla="*/ 62 w 168"/>
                                  <a:gd name="T67" fmla="*/ 163 h 170"/>
                                  <a:gd name="T68" fmla="*/ 62 w 168"/>
                                  <a:gd name="T69" fmla="*/ 111 h 170"/>
                                  <a:gd name="T70" fmla="*/ 59 w 168"/>
                                  <a:gd name="T71" fmla="*/ 107 h 170"/>
                                  <a:gd name="T72" fmla="*/ 7 w 168"/>
                                  <a:gd name="T73" fmla="*/ 107 h 170"/>
                                  <a:gd name="T74" fmla="*/ 7 w 168"/>
                                  <a:gd name="T75" fmla="*/ 6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70">
                                    <a:moveTo>
                                      <a:pt x="3" y="114"/>
                                    </a:moveTo>
                                    <a:cubicBezTo>
                                      <a:pt x="3" y="114"/>
                                      <a:pt x="3" y="114"/>
                                      <a:pt x="55" y="114"/>
                                    </a:cubicBezTo>
                                    <a:cubicBezTo>
                                      <a:pt x="55" y="114"/>
                                      <a:pt x="55" y="114"/>
                                      <a:pt x="55" y="166"/>
                                    </a:cubicBezTo>
                                    <a:cubicBezTo>
                                      <a:pt x="55" y="168"/>
                                      <a:pt x="57" y="170"/>
                                      <a:pt x="59" y="170"/>
                                    </a:cubicBezTo>
                                    <a:cubicBezTo>
                                      <a:pt x="59" y="170"/>
                                      <a:pt x="59" y="170"/>
                                      <a:pt x="109" y="170"/>
                                    </a:cubicBezTo>
                                    <a:cubicBezTo>
                                      <a:pt x="111" y="170"/>
                                      <a:pt x="113" y="168"/>
                                      <a:pt x="113" y="166"/>
                                    </a:cubicBezTo>
                                    <a:cubicBezTo>
                                      <a:pt x="113" y="166"/>
                                      <a:pt x="113" y="166"/>
                                      <a:pt x="113" y="114"/>
                                    </a:cubicBezTo>
                                    <a:cubicBezTo>
                                      <a:pt x="113" y="114"/>
                                      <a:pt x="113" y="114"/>
                                      <a:pt x="165" y="114"/>
                                    </a:cubicBezTo>
                                    <a:cubicBezTo>
                                      <a:pt x="166" y="114"/>
                                      <a:pt x="168" y="113"/>
                                      <a:pt x="168" y="111"/>
                                    </a:cubicBezTo>
                                    <a:cubicBezTo>
                                      <a:pt x="168" y="111"/>
                                      <a:pt x="168" y="111"/>
                                      <a:pt x="168" y="59"/>
                                    </a:cubicBezTo>
                                    <a:cubicBezTo>
                                      <a:pt x="168" y="57"/>
                                      <a:pt x="166" y="55"/>
                                      <a:pt x="165" y="55"/>
                                    </a:cubicBezTo>
                                    <a:cubicBezTo>
                                      <a:pt x="165" y="55"/>
                                      <a:pt x="165" y="55"/>
                                      <a:pt x="113" y="55"/>
                                    </a:cubicBezTo>
                                    <a:cubicBezTo>
                                      <a:pt x="113" y="55"/>
                                      <a:pt x="113" y="55"/>
                                      <a:pt x="113" y="3"/>
                                    </a:cubicBezTo>
                                    <a:cubicBezTo>
                                      <a:pt x="113" y="1"/>
                                      <a:pt x="111" y="0"/>
                                      <a:pt x="109" y="0"/>
                                    </a:cubicBezTo>
                                    <a:cubicBezTo>
                                      <a:pt x="109" y="0"/>
                                      <a:pt x="109" y="0"/>
                                      <a:pt x="59" y="0"/>
                                    </a:cubicBezTo>
                                    <a:cubicBezTo>
                                      <a:pt x="57" y="0"/>
                                      <a:pt x="55" y="1"/>
                                      <a:pt x="55" y="3"/>
                                    </a:cubicBezTo>
                                    <a:cubicBezTo>
                                      <a:pt x="55" y="3"/>
                                      <a:pt x="55" y="3"/>
                                      <a:pt x="55" y="55"/>
                                    </a:cubicBezTo>
                                    <a:cubicBezTo>
                                      <a:pt x="55" y="55"/>
                                      <a:pt x="55" y="55"/>
                                      <a:pt x="3" y="55"/>
                                    </a:cubicBezTo>
                                    <a:cubicBezTo>
                                      <a:pt x="1" y="55"/>
                                      <a:pt x="0" y="57"/>
                                      <a:pt x="0" y="59"/>
                                    </a:cubicBezTo>
                                    <a:cubicBezTo>
                                      <a:pt x="0" y="59"/>
                                      <a:pt x="0" y="59"/>
                                      <a:pt x="0" y="111"/>
                                    </a:cubicBezTo>
                                    <a:cubicBezTo>
                                      <a:pt x="0" y="113"/>
                                      <a:pt x="1" y="114"/>
                                      <a:pt x="3" y="114"/>
                                    </a:cubicBezTo>
                                    <a:close/>
                                    <a:moveTo>
                                      <a:pt x="7" y="62"/>
                                    </a:moveTo>
                                    <a:cubicBezTo>
                                      <a:pt x="7" y="62"/>
                                      <a:pt x="7" y="62"/>
                                      <a:pt x="59" y="62"/>
                                    </a:cubicBezTo>
                                    <a:cubicBezTo>
                                      <a:pt x="60" y="62"/>
                                      <a:pt x="62" y="60"/>
                                      <a:pt x="62" y="59"/>
                                    </a:cubicBezTo>
                                    <a:cubicBezTo>
                                      <a:pt x="62" y="59"/>
                                      <a:pt x="62" y="59"/>
                                      <a:pt x="62" y="7"/>
                                    </a:cubicBezTo>
                                    <a:cubicBezTo>
                                      <a:pt x="62" y="7"/>
                                      <a:pt x="62" y="7"/>
                                      <a:pt x="106" y="7"/>
                                    </a:cubicBezTo>
                                    <a:cubicBezTo>
                                      <a:pt x="106" y="7"/>
                                      <a:pt x="106" y="7"/>
                                      <a:pt x="106" y="59"/>
                                    </a:cubicBezTo>
                                    <a:cubicBezTo>
                                      <a:pt x="106" y="60"/>
                                      <a:pt x="107" y="62"/>
                                      <a:pt x="109" y="62"/>
                                    </a:cubicBezTo>
                                    <a:cubicBezTo>
                                      <a:pt x="109" y="62"/>
                                      <a:pt x="109" y="62"/>
                                      <a:pt x="161" y="62"/>
                                    </a:cubicBezTo>
                                    <a:cubicBezTo>
                                      <a:pt x="161" y="62"/>
                                      <a:pt x="161" y="62"/>
                                      <a:pt x="161" y="107"/>
                                    </a:cubicBezTo>
                                    <a:cubicBezTo>
                                      <a:pt x="161" y="107"/>
                                      <a:pt x="161" y="107"/>
                                      <a:pt x="109" y="107"/>
                                    </a:cubicBezTo>
                                    <a:cubicBezTo>
                                      <a:pt x="107" y="107"/>
                                      <a:pt x="106" y="109"/>
                                      <a:pt x="106" y="111"/>
                                    </a:cubicBezTo>
                                    <a:cubicBezTo>
                                      <a:pt x="106" y="111"/>
                                      <a:pt x="106" y="111"/>
                                      <a:pt x="106" y="163"/>
                                    </a:cubicBezTo>
                                    <a:cubicBezTo>
                                      <a:pt x="106" y="163"/>
                                      <a:pt x="106" y="163"/>
                                      <a:pt x="62" y="163"/>
                                    </a:cubicBezTo>
                                    <a:cubicBezTo>
                                      <a:pt x="62" y="111"/>
                                      <a:pt x="62" y="111"/>
                                      <a:pt x="62" y="111"/>
                                    </a:cubicBezTo>
                                    <a:cubicBezTo>
                                      <a:pt x="62" y="109"/>
                                      <a:pt x="60" y="107"/>
                                      <a:pt x="59" y="107"/>
                                    </a:cubicBezTo>
                                    <a:cubicBezTo>
                                      <a:pt x="59" y="107"/>
                                      <a:pt x="59" y="107"/>
                                      <a:pt x="7" y="107"/>
                                    </a:cubicBezTo>
                                    <a:cubicBezTo>
                                      <a:pt x="7" y="107"/>
                                      <a:pt x="7" y="107"/>
                                      <a:pt x="7" y="62"/>
                                    </a:cubicBez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2939A7B" id="Freeform: Shape 553395392" o:spid="_x0000_s1026" alt="Icon of a medical cross " style="width:23pt;height:23pt;visibility:visible;mso-wrap-style:square;mso-left-percent:-10001;mso-top-percent:-10001;mso-position-horizontal:absolute;mso-position-horizontal-relative:char;mso-position-vertical:absolute;mso-position-vertical-relative:line;mso-left-percent:-10001;mso-top-percent:-10001;v-text-anchor:top" coordsize="16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" path="m3,114v,,,,52,c55,114,55,114,55,166v,2,2,4,4,4c59,170,59,170,109,170v2,,4,-2,4,-4c113,166,113,166,113,114v,,,,52,c166,114,168,113,168,111v,,,,,-52c168,57,166,55,165,55v,,,,-52,c113,55,113,55,113,3,113,1,111,,109,v,,,,-50,c57,,55,1,55,3v,,,,,52c55,55,55,55,3,55,1,55,,57,,59v,,,,,52c,113,1,114,3,114xm7,62v,,,,52,c60,62,62,60,62,59v,,,,,-52c62,7,62,7,106,7v,,,,,52c106,60,107,62,109,62v,,,,52,c161,62,161,62,161,107v,,,,-52,c107,107,106,109,106,111v,,,,,52c106,163,106,163,62,163v,-52,,-52,,-52c62,109,60,107,59,107v,,,,-52,c7,107,7,107,7,62xe" fillcolor="window" stroked="f">
                      <v:path arrowok="t" o:connecttype="custom" o:connectlocs="5220,196020;95697,196020;95697,285433;102657,292311;189654,292311;196614,285433;196614,196020;287091,196020;292311,190862;292311,101449;287091,94571;196614,94571;196614,5158;189654,0;102657,0;95697,5158;95697,94571;5220,94571;0,101449;0,190862;5220,196020;12180,106608;102657,106608;107877,101449;107877,12036;184434,12036;184434,101449;189654,106608;280131,106608;280131,183984;189654,183984;184434,190862;184434,280275;107877,280275;107877,190862;102657,183984;12180,183984;12180,106608" o:connectangles="0,0,0,0,0,0,0,0,0,0,0,0,0,0,0,0,0,0,0,0,0,0,0,0,0,0,0,0,0,0,0,0,0,0,0,0,0,0"/>
                      <o:lock v:ext="edit" aspectratio="t" verticies="t"/>
                      <w10:anchorlock/>
                    </v:shape>
                  </w:pict>
                </mc:Fallback>
              </mc:AlternateContent>
            </w:r>
          </w:p>
        </w:tc>
        <w:tc>
          <w:tcPr>
            <w:tcW w:w="794" w:type="pct"/>
            <w:shd w:val="clear" w:color="auto" w:fill="00264D" w:themeFill="background2"/>
            <w:vAlign w:val="center"/>
          </w:tcPr>
          <w:p w14:paraId="251BE8B0" w14:textId="77777777" w:rsidR="006D33D2" w:rsidRPr="00E2213C" w:rsidRDefault="006D33D2">
            <w:pPr>
              <w:spacing w:before="40" w:after="40"/>
              <w:rPr>
                <w:rFonts w:asciiTheme="majorHAnsi" w:hAnsiTheme="majorHAnsi" w:cstheme="majorHAnsi"/>
                <w:sz w:val="18"/>
                <w:szCs w:val="20"/>
              </w:rPr>
            </w:pPr>
            <w:r w:rsidRPr="00E2213C">
              <w:rPr>
                <w:rFonts w:asciiTheme="majorHAnsi" w:hAnsiTheme="majorHAnsi" w:cstheme="majorHAnsi"/>
                <w:sz w:val="18"/>
                <w:szCs w:val="20"/>
              </w:rPr>
              <w:t>Private health insurance providers</w:t>
            </w:r>
          </w:p>
        </w:tc>
        <w:tc>
          <w:tcPr>
            <w:tcW w:w="3652" w:type="pct"/>
          </w:tcPr>
          <w:p w14:paraId="3F1D735B" w14:textId="5403FD85" w:rsidR="00B947C7" w:rsidRPr="00B947C7" w:rsidRDefault="002842E5" w:rsidP="00570565">
            <w:pPr>
              <w:pStyle w:val="TableExpBullet0"/>
              <w:rPr>
                <w:lang w:val="en-US" w:eastAsia="en-US"/>
              </w:rPr>
            </w:pPr>
            <w:r>
              <w:t xml:space="preserve">Current cost recovery arrangements </w:t>
            </w:r>
            <w:r w:rsidR="009F3C6C">
              <w:t xml:space="preserve">do not go far </w:t>
            </w:r>
            <w:r w:rsidR="00B947C7">
              <w:t xml:space="preserve">enough to ensuring the PL is financially sustainable. </w:t>
            </w:r>
          </w:p>
          <w:p w14:paraId="3ABA6C33" w14:textId="7501D09D" w:rsidR="006D33D2" w:rsidRPr="004911A6" w:rsidRDefault="002842E5" w:rsidP="00570565">
            <w:pPr>
              <w:pStyle w:val="TableExpBullet0"/>
              <w:rPr>
                <w:lang w:val="en-US" w:eastAsia="en-US"/>
              </w:rPr>
            </w:pPr>
            <w:r>
              <w:t>R</w:t>
            </w:r>
            <w:r w:rsidR="006D33D2" w:rsidRPr="00570565">
              <w:t xml:space="preserve">igorous accountability mechanisms </w:t>
            </w:r>
            <w:r>
              <w:t xml:space="preserve">should be introduced </w:t>
            </w:r>
            <w:r w:rsidR="006D33D2" w:rsidRPr="00570565">
              <w:t>for sponsors to ensure the PL becomes and remains financially sustainable and provides value for money.</w:t>
            </w:r>
            <w:r w:rsidR="006D33D2" w:rsidRPr="18CCD361">
              <w:rPr>
                <w:lang w:val="en-US" w:eastAsia="en-US"/>
              </w:rPr>
              <w:t xml:space="preserve"> </w:t>
            </w:r>
          </w:p>
        </w:tc>
      </w:tr>
      <w:tr w:rsidR="006D33D2" w:rsidRPr="00E2213C" w14:paraId="7A863858" w14:textId="77777777">
        <w:trPr>
          <w:trHeight w:val="857"/>
        </w:trPr>
        <w:tc>
          <w:tcPr>
            <w:tcW w:w="554" w:type="pct"/>
            <w:shd w:val="clear" w:color="auto" w:fill="00264D" w:themeFill="background2"/>
            <w:vAlign w:val="center"/>
          </w:tcPr>
          <w:p w14:paraId="4B563C9C" w14:textId="77777777" w:rsidR="006D33D2" w:rsidRPr="00E2213C" w:rsidRDefault="006D33D2">
            <w:pPr>
              <w:spacing w:before="40" w:after="40"/>
              <w:jc w:val="center"/>
              <w:rPr>
                <w:i/>
                <w:iCs/>
              </w:rPr>
            </w:pPr>
            <w:r w:rsidRPr="00E2213C">
              <w:rPr>
                <w:i/>
                <w:iCs/>
                <w:noProof/>
              </w:rPr>
              <w:drawing>
                <wp:inline distT="0" distB="0" distL="0" distR="0" wp14:anchorId="654BA50B" wp14:editId="0B8F3C38">
                  <wp:extent cx="309245" cy="336734"/>
                  <wp:effectExtent l="0" t="0" r="0" b="6350"/>
                  <wp:docPr id="162170237" name="Graphic 162170237" descr="Icon of a microscope ">
                    <a:extLst xmlns:a="http://schemas.openxmlformats.org/drawingml/2006/main">
                      <a:ext uri="{FF2B5EF4-FFF2-40B4-BE49-F238E27FC236}">
                        <a16:creationId xmlns:a16="http://schemas.microsoft.com/office/drawing/2014/main" id="{50353443-A9C9-4A55-9DDE-0A8CFA2D5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237" name="Graphic 162170237" descr="Icon of a microscope ">
                            <a:extLst>
                              <a:ext uri="{FF2B5EF4-FFF2-40B4-BE49-F238E27FC236}">
                                <a16:creationId xmlns:a16="http://schemas.microsoft.com/office/drawing/2014/main" id="{50353443-A9C9-4A55-9DDE-0A8CFA2D513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19264" cy="347644"/>
                          </a:xfrm>
                          <a:prstGeom prst="rect">
                            <a:avLst/>
                          </a:prstGeom>
                        </pic:spPr>
                      </pic:pic>
                    </a:graphicData>
                  </a:graphic>
                </wp:inline>
              </w:drawing>
            </w:r>
          </w:p>
        </w:tc>
        <w:tc>
          <w:tcPr>
            <w:tcW w:w="794" w:type="pct"/>
            <w:shd w:val="clear" w:color="auto" w:fill="00264D" w:themeFill="background2"/>
            <w:vAlign w:val="center"/>
          </w:tcPr>
          <w:p w14:paraId="46600217" w14:textId="77777777" w:rsidR="006D33D2" w:rsidRPr="00E2213C" w:rsidRDefault="006D33D2">
            <w:pPr>
              <w:spacing w:before="40" w:after="40"/>
              <w:rPr>
                <w:rFonts w:asciiTheme="majorHAnsi" w:hAnsiTheme="majorHAnsi" w:cstheme="majorHAnsi"/>
                <w:sz w:val="18"/>
                <w:szCs w:val="20"/>
              </w:rPr>
            </w:pPr>
            <w:r w:rsidRPr="00E2213C">
              <w:rPr>
                <w:rFonts w:asciiTheme="majorHAnsi" w:hAnsiTheme="majorHAnsi" w:cstheme="majorHAnsi"/>
                <w:sz w:val="18"/>
                <w:szCs w:val="20"/>
              </w:rPr>
              <w:t>Medical technology companies</w:t>
            </w:r>
          </w:p>
        </w:tc>
        <w:tc>
          <w:tcPr>
            <w:tcW w:w="3652" w:type="pct"/>
          </w:tcPr>
          <w:p w14:paraId="529A7BC5" w14:textId="69ECE1DD" w:rsidR="00D14CDE" w:rsidRPr="00D14CDE" w:rsidRDefault="00B947C7" w:rsidP="00D14CDE">
            <w:pPr>
              <w:pStyle w:val="TableExpBullet0"/>
            </w:pPr>
            <w:r>
              <w:t>List</w:t>
            </w:r>
            <w:r w:rsidR="00AB2CA6">
              <w:t>ing</w:t>
            </w:r>
            <w:r w:rsidR="00D14CDE" w:rsidRPr="00D14CDE">
              <w:t xml:space="preserve"> costs are substantially higher</w:t>
            </w:r>
            <w:r w:rsidR="00D14CDE">
              <w:t xml:space="preserve"> under the new arrangements</w:t>
            </w:r>
            <w:r w:rsidR="00D14CDE" w:rsidRPr="00D14CDE">
              <w:t>, which may act as a disincentive to apply</w:t>
            </w:r>
            <w:r>
              <w:t xml:space="preserve"> to list a device</w:t>
            </w:r>
            <w:r w:rsidR="00D14CDE">
              <w:t xml:space="preserve">. </w:t>
            </w:r>
          </w:p>
          <w:p w14:paraId="6C3D08E4" w14:textId="1F349732" w:rsidR="006D33D2" w:rsidRDefault="00B947C7" w:rsidP="00B947C7">
            <w:pPr>
              <w:pStyle w:val="TableNBullet"/>
            </w:pPr>
            <w:r w:rsidRPr="5FFDC206">
              <w:rPr>
                <w:lang w:val="en-US"/>
              </w:rPr>
              <w:t>The</w:t>
            </w:r>
            <w:r w:rsidR="006D33D2" w:rsidRPr="5FFDC206">
              <w:rPr>
                <w:lang w:val="en-US"/>
              </w:rPr>
              <w:t xml:space="preserve"> cost to maintain the PL have increased dramatically</w:t>
            </w:r>
            <w:r w:rsidR="00AB2CA6" w:rsidRPr="5FFDC206">
              <w:rPr>
                <w:lang w:val="en-US"/>
              </w:rPr>
              <w:t>. The</w:t>
            </w:r>
            <w:r w:rsidR="006D33D2" w:rsidRPr="5FFDC206">
              <w:rPr>
                <w:lang w:val="en-US"/>
              </w:rPr>
              <w:t xml:space="preserve"> </w:t>
            </w:r>
            <w:r w:rsidR="00C0725E" w:rsidRPr="5FFDC206">
              <w:rPr>
                <w:lang w:val="en-US"/>
              </w:rPr>
              <w:t>Department</w:t>
            </w:r>
            <w:r w:rsidR="006D33D2" w:rsidRPr="5FFDC206">
              <w:rPr>
                <w:lang w:val="en-US"/>
              </w:rPr>
              <w:t xml:space="preserve"> should develop processes for effective management of the listing cycle to not further </w:t>
            </w:r>
            <w:r w:rsidR="006D33D2" w:rsidRPr="5FFDC206">
              <w:rPr>
                <w:lang w:val="en-US"/>
              </w:rPr>
              <w:lastRenderedPageBreak/>
              <w:t>externalise the burden onto industry</w:t>
            </w:r>
            <w:r w:rsidR="0DE5608B" w:rsidRPr="5FFDC206">
              <w:rPr>
                <w:lang w:val="en-US"/>
              </w:rPr>
              <w:t xml:space="preserve"> and</w:t>
            </w:r>
            <w:r w:rsidR="006D33D2" w:rsidRPr="5FFDC206">
              <w:rPr>
                <w:lang w:val="en-US"/>
              </w:rPr>
              <w:t xml:space="preserve"> ensure ongoing financial sustainability of the </w:t>
            </w:r>
            <w:r w:rsidR="00AB2CA6" w:rsidRPr="5FFDC206">
              <w:rPr>
                <w:lang w:val="en-US"/>
              </w:rPr>
              <w:t>PL</w:t>
            </w:r>
            <w:r w:rsidR="006D33D2" w:rsidRPr="5FFDC206">
              <w:rPr>
                <w:lang w:val="en-US"/>
              </w:rPr>
              <w:t xml:space="preserve">. </w:t>
            </w:r>
          </w:p>
          <w:p w14:paraId="7C8AF92D" w14:textId="574F7C18" w:rsidR="006D33D2" w:rsidRPr="00E2213C" w:rsidRDefault="00AB2CA6">
            <w:pPr>
              <w:pStyle w:val="TableExpBullet0"/>
            </w:pPr>
            <w:r>
              <w:t>S</w:t>
            </w:r>
            <w:r w:rsidR="006D33D2">
              <w:t xml:space="preserve">taff resourcing of the PL </w:t>
            </w:r>
            <w:r>
              <w:t>T</w:t>
            </w:r>
            <w:r w:rsidR="006D33D2">
              <w:t xml:space="preserve">askforce within the </w:t>
            </w:r>
            <w:r w:rsidR="00C0725E">
              <w:t>Department</w:t>
            </w:r>
            <w:r w:rsidR="006D33D2">
              <w:t xml:space="preserve"> appears to be a consistent challenge. </w:t>
            </w:r>
          </w:p>
        </w:tc>
      </w:tr>
      <w:tr w:rsidR="00154674" w:rsidRPr="00E2213C" w14:paraId="7D7121AB" w14:textId="77777777">
        <w:trPr>
          <w:trHeight w:val="857"/>
        </w:trPr>
        <w:tc>
          <w:tcPr>
            <w:tcW w:w="554" w:type="pct"/>
            <w:shd w:val="clear" w:color="auto" w:fill="00264D" w:themeFill="background2"/>
            <w:vAlign w:val="center"/>
          </w:tcPr>
          <w:p w14:paraId="608C553C" w14:textId="1D2C5395" w:rsidR="00154674" w:rsidRPr="00E2213C" w:rsidRDefault="00154674" w:rsidP="00154674">
            <w:pPr>
              <w:spacing w:before="40" w:after="40"/>
              <w:jc w:val="center"/>
              <w:rPr>
                <w:i/>
                <w:iCs/>
                <w:noProof/>
              </w:rPr>
            </w:pPr>
            <w:r>
              <w:rPr>
                <w:noProof/>
              </w:rPr>
              <w:lastRenderedPageBreak/>
              <w:drawing>
                <wp:inline distT="0" distB="0" distL="0" distR="0" wp14:anchorId="488F3F50" wp14:editId="115DE8E1">
                  <wp:extent cx="267970" cy="323215"/>
                  <wp:effectExtent l="0" t="0" r="0" b="635"/>
                  <wp:docPr id="724681539" name="Picture 20" descr="Icon of a person with a steth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81539" name="Picture 20" descr="Icon of a person with a stethoscop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794" w:type="pct"/>
            <w:shd w:val="clear" w:color="auto" w:fill="00264D" w:themeFill="background2"/>
            <w:vAlign w:val="center"/>
          </w:tcPr>
          <w:p w14:paraId="02AEBA23" w14:textId="6B971009" w:rsidR="00154674" w:rsidRPr="00E2213C" w:rsidRDefault="00154674" w:rsidP="00154674">
            <w:pPr>
              <w:spacing w:before="40" w:after="40"/>
              <w:rPr>
                <w:rFonts w:asciiTheme="majorHAnsi" w:hAnsiTheme="majorHAnsi" w:cstheme="majorHAnsi"/>
                <w:sz w:val="18"/>
                <w:szCs w:val="20"/>
              </w:rPr>
            </w:pPr>
            <w:r>
              <w:rPr>
                <w:rFonts w:asciiTheme="majorHAnsi" w:hAnsiTheme="majorHAnsi" w:cstheme="majorHAnsi"/>
                <w:sz w:val="18"/>
                <w:szCs w:val="20"/>
              </w:rPr>
              <w:t>Clinician</w:t>
            </w:r>
            <w:r w:rsidR="00624DDD">
              <w:rPr>
                <w:rFonts w:asciiTheme="majorHAnsi" w:hAnsiTheme="majorHAnsi" w:cstheme="majorHAnsi"/>
                <w:sz w:val="18"/>
                <w:szCs w:val="20"/>
              </w:rPr>
              <w:t xml:space="preserve"> </w:t>
            </w:r>
            <w:r w:rsidR="00624DDD" w:rsidRPr="00624DDD">
              <w:rPr>
                <w:rFonts w:asciiTheme="majorHAnsi" w:hAnsiTheme="majorHAnsi" w:cstheme="majorHAnsi"/>
                <w:sz w:val="18"/>
                <w:szCs w:val="20"/>
              </w:rPr>
              <w:t>representative</w:t>
            </w:r>
            <w:r>
              <w:rPr>
                <w:rFonts w:asciiTheme="majorHAnsi" w:hAnsiTheme="majorHAnsi" w:cstheme="majorHAnsi"/>
                <w:sz w:val="18"/>
                <w:szCs w:val="20"/>
              </w:rPr>
              <w:t xml:space="preserve"> </w:t>
            </w:r>
          </w:p>
        </w:tc>
        <w:tc>
          <w:tcPr>
            <w:tcW w:w="3652" w:type="pct"/>
          </w:tcPr>
          <w:p w14:paraId="0427944E" w14:textId="2ABA02F0" w:rsidR="00154674" w:rsidRDefault="00154674" w:rsidP="00154674">
            <w:pPr>
              <w:pStyle w:val="TableExpBullet0"/>
            </w:pPr>
            <w:r>
              <w:t>The PL needs someone that ensures that all listed items are up to date and providing good value, however it is a large and expensive undertaking, and it is not government money at stake.</w:t>
            </w:r>
          </w:p>
        </w:tc>
      </w:tr>
    </w:tbl>
    <w:p w14:paraId="5F88709D" w14:textId="77777777" w:rsidR="007C76EE" w:rsidRDefault="007C76EE" w:rsidP="007C76EE">
      <w:pPr>
        <w:rPr>
          <w:lang w:val="en-AU" w:eastAsia="en-AU"/>
        </w:rPr>
      </w:pPr>
    </w:p>
    <w:p w14:paraId="1F63957A" w14:textId="4E6C366A" w:rsidR="0031126D" w:rsidRPr="00850AC2" w:rsidRDefault="00850AC2" w:rsidP="00850AC2">
      <w:pPr>
        <w:pStyle w:val="Heading3"/>
      </w:pPr>
      <w:bookmarkStart w:id="98" w:name="_Toc181405100"/>
      <w:r w:rsidRPr="00850AC2">
        <w:t xml:space="preserve">In addition to cost recovery, </w:t>
      </w:r>
      <w:r w:rsidR="1DF718CF">
        <w:t>t</w:t>
      </w:r>
      <w:r>
        <w:t>he</w:t>
      </w:r>
      <w:r w:rsidRPr="00850AC2">
        <w:t xml:space="preserve"> Department should ensure </w:t>
      </w:r>
      <w:r w:rsidR="00ED3B1B">
        <w:t>it has</w:t>
      </w:r>
      <w:r w:rsidRPr="00850AC2">
        <w:t xml:space="preserve"> sufficient resource capacity to administer the PL</w:t>
      </w:r>
      <w:bookmarkEnd w:id="98"/>
    </w:p>
    <w:p w14:paraId="450AB7EF" w14:textId="47C25585" w:rsidR="009542B7" w:rsidRDefault="00BD547F" w:rsidP="0031126D">
      <w:pPr>
        <w:pStyle w:val="Heading4"/>
      </w:pPr>
      <w:r w:rsidRPr="00BD547F">
        <w:t xml:space="preserve">The Department has estimated it </w:t>
      </w:r>
      <w:r w:rsidR="006E4EFA" w:rsidRPr="00BD547F">
        <w:t xml:space="preserve">takes </w:t>
      </w:r>
      <w:r w:rsidR="00485324" w:rsidRPr="00BD547F">
        <w:t>6056</w:t>
      </w:r>
      <w:r w:rsidR="006E4EFA" w:rsidRPr="00BD547F">
        <w:t xml:space="preserve"> days</w:t>
      </w:r>
      <w:r w:rsidR="00403EF5">
        <w:t xml:space="preserve"> </w:t>
      </w:r>
      <w:r w:rsidRPr="00BD547F">
        <w:t xml:space="preserve">per </w:t>
      </w:r>
      <w:r w:rsidR="00485324" w:rsidRPr="00BD547F">
        <w:t xml:space="preserve">year </w:t>
      </w:r>
      <w:r w:rsidR="006E4EFA" w:rsidRPr="00BD547F">
        <w:t>to administer the PL</w:t>
      </w:r>
    </w:p>
    <w:p w14:paraId="7F2D871A" w14:textId="7C2C3A9F" w:rsidR="00600858" w:rsidRPr="006E4EFA" w:rsidRDefault="00BD547F" w:rsidP="00F12389">
      <w:pPr>
        <w:rPr>
          <w:lang w:val="en-AU" w:eastAsia="en-AU"/>
        </w:rPr>
      </w:pPr>
      <w:r>
        <w:rPr>
          <w:lang w:val="en-AU" w:eastAsia="en-AU"/>
        </w:rPr>
        <w:fldChar w:fldCharType="begin"/>
      </w:r>
      <w:r>
        <w:rPr>
          <w:lang w:val="en-AU" w:eastAsia="en-AU"/>
        </w:rPr>
        <w:instrText xml:space="preserve"> REF _Ref171963895 \h </w:instrText>
      </w:r>
      <w:r>
        <w:rPr>
          <w:lang w:val="en-AU" w:eastAsia="en-AU"/>
        </w:rPr>
      </w:r>
      <w:r>
        <w:rPr>
          <w:lang w:val="en-AU" w:eastAsia="en-AU"/>
        </w:rPr>
        <w:fldChar w:fldCharType="separate"/>
      </w:r>
      <w:r w:rsidR="009B5D8D">
        <w:t xml:space="preserve">Table </w:t>
      </w:r>
      <w:r w:rsidR="009B5D8D">
        <w:rPr>
          <w:noProof/>
        </w:rPr>
        <w:t>20</w:t>
      </w:r>
      <w:r>
        <w:rPr>
          <w:lang w:val="en-AU" w:eastAsia="en-AU"/>
        </w:rPr>
        <w:fldChar w:fldCharType="end"/>
      </w:r>
      <w:r w:rsidR="00E068DB">
        <w:rPr>
          <w:lang w:val="en-AU" w:eastAsia="en-AU"/>
        </w:rPr>
        <w:t xml:space="preserve"> provides the projected FY23 administrative effort</w:t>
      </w:r>
      <w:r w:rsidR="0023341E">
        <w:rPr>
          <w:lang w:val="en-AU" w:eastAsia="en-AU"/>
        </w:rPr>
        <w:t xml:space="preserve">, forecasted using FY22 data during the early stages of PL reform. </w:t>
      </w:r>
      <w:r>
        <w:rPr>
          <w:lang w:val="en-AU" w:eastAsia="en-AU"/>
        </w:rPr>
        <w:t xml:space="preserve">Using these figures, PL compliance, Departmental application assessment and Tier 2 application assessment </w:t>
      </w:r>
      <w:r w:rsidR="009F3AC0">
        <w:rPr>
          <w:lang w:val="en-AU" w:eastAsia="en-AU"/>
        </w:rPr>
        <w:t xml:space="preserve">respectively </w:t>
      </w:r>
      <w:r>
        <w:rPr>
          <w:lang w:val="en-AU" w:eastAsia="en-AU"/>
        </w:rPr>
        <w:t>are</w:t>
      </w:r>
      <w:r w:rsidR="00175719">
        <w:rPr>
          <w:lang w:val="en-AU" w:eastAsia="en-AU"/>
        </w:rPr>
        <w:t xml:space="preserve"> the</w:t>
      </w:r>
      <w:r>
        <w:rPr>
          <w:lang w:val="en-AU" w:eastAsia="en-AU"/>
        </w:rPr>
        <w:t xml:space="preserve"> </w:t>
      </w:r>
      <w:r w:rsidR="00175719">
        <w:rPr>
          <w:lang w:val="en-AU" w:eastAsia="en-AU"/>
        </w:rPr>
        <w:t xml:space="preserve">workload areas anticipated to require the most administrative resources and time. </w:t>
      </w:r>
      <w:r>
        <w:rPr>
          <w:lang w:val="en-AU" w:eastAsia="en-AU"/>
        </w:rPr>
        <w:t>As the Department has based their cost-recovery revisions on estimated administrative effort, t</w:t>
      </w:r>
      <w:r w:rsidR="0031126D">
        <w:rPr>
          <w:lang w:val="en-AU" w:eastAsia="en-AU"/>
        </w:rPr>
        <w:t>here</w:t>
      </w:r>
      <w:r>
        <w:rPr>
          <w:lang w:val="en-AU" w:eastAsia="en-AU"/>
        </w:rPr>
        <w:t xml:space="preserve"> remains </w:t>
      </w:r>
      <w:r w:rsidR="0031126D">
        <w:rPr>
          <w:lang w:val="en-AU" w:eastAsia="en-AU"/>
        </w:rPr>
        <w:t xml:space="preserve">a risk that the updated cost-recovery </w:t>
      </w:r>
      <w:r w:rsidR="7414CCC7">
        <w:rPr>
          <w:lang w:val="en-AU" w:eastAsia="en-AU"/>
        </w:rPr>
        <w:t xml:space="preserve">estimates </w:t>
      </w:r>
      <w:r w:rsidR="0031126D">
        <w:rPr>
          <w:lang w:val="en-AU" w:eastAsia="en-AU"/>
        </w:rPr>
        <w:t>won’t be sustainable if effort required to administ</w:t>
      </w:r>
      <w:r w:rsidR="7ECB3A5D">
        <w:rPr>
          <w:lang w:val="en-AU" w:eastAsia="en-AU"/>
        </w:rPr>
        <w:t>er</w:t>
      </w:r>
      <w:r w:rsidR="0031126D">
        <w:rPr>
          <w:lang w:val="en-AU" w:eastAsia="en-AU"/>
        </w:rPr>
        <w:t xml:space="preserve"> the PL increases </w:t>
      </w:r>
      <w:r w:rsidR="1B87C6D1">
        <w:rPr>
          <w:lang w:val="en-AU" w:eastAsia="en-AU"/>
        </w:rPr>
        <w:t>because</w:t>
      </w:r>
      <w:r w:rsidR="0031126D">
        <w:rPr>
          <w:lang w:val="en-AU" w:eastAsia="en-AU"/>
        </w:rPr>
        <w:t xml:space="preserve"> of the reform</w:t>
      </w:r>
      <w:r w:rsidR="702632CE">
        <w:rPr>
          <w:lang w:val="en-AU" w:eastAsia="en-AU"/>
        </w:rPr>
        <w:t>s or other requirements</w:t>
      </w:r>
      <w:r w:rsidR="0031126D">
        <w:rPr>
          <w:lang w:val="en-AU" w:eastAsia="en-AU"/>
        </w:rPr>
        <w:t xml:space="preserve">. </w:t>
      </w:r>
      <w:r w:rsidR="0031126D" w:rsidRPr="006E4EFA">
        <w:rPr>
          <w:lang w:val="en-AU" w:eastAsia="en-AU"/>
        </w:rPr>
        <w:t xml:space="preserve">At this stage, any change in the PL administrative effort </w:t>
      </w:r>
      <w:r w:rsidRPr="006E4EFA">
        <w:rPr>
          <w:lang w:val="en-AU" w:eastAsia="en-AU"/>
        </w:rPr>
        <w:t>because of</w:t>
      </w:r>
      <w:r w:rsidR="0031126D" w:rsidRPr="006E4EFA">
        <w:rPr>
          <w:lang w:val="en-AU" w:eastAsia="en-AU"/>
        </w:rPr>
        <w:t xml:space="preserve"> reform activities is unknown to the evaluation. </w:t>
      </w:r>
      <w:r w:rsidR="00212093">
        <w:rPr>
          <w:lang w:val="en-AU" w:eastAsia="en-AU"/>
        </w:rPr>
        <w:t>The evaluation</w:t>
      </w:r>
      <w:r w:rsidR="0031126D" w:rsidRPr="006E4EFA">
        <w:rPr>
          <w:lang w:val="en-AU" w:eastAsia="en-AU"/>
        </w:rPr>
        <w:t xml:space="preserve"> will report on this in future reporting as data is made available.</w:t>
      </w:r>
    </w:p>
    <w:p w14:paraId="0715F5B7" w14:textId="7427B6F9" w:rsidR="00B36A9A" w:rsidRDefault="00B36A9A" w:rsidP="00B36A9A">
      <w:pPr>
        <w:pStyle w:val="Caption"/>
      </w:pPr>
      <w:bookmarkStart w:id="99" w:name="_Ref171963895"/>
      <w:r>
        <w:t xml:space="preserve">Table </w:t>
      </w:r>
      <w:r>
        <w:fldChar w:fldCharType="begin"/>
      </w:r>
      <w:r>
        <w:instrText xml:space="preserve"> SEQ Table \* ARABIC </w:instrText>
      </w:r>
      <w:r>
        <w:fldChar w:fldCharType="separate"/>
      </w:r>
      <w:r w:rsidR="009B5D8D">
        <w:rPr>
          <w:noProof/>
        </w:rPr>
        <w:t>20</w:t>
      </w:r>
      <w:r>
        <w:fldChar w:fldCharType="end"/>
      </w:r>
      <w:bookmarkEnd w:id="99"/>
      <w:r>
        <w:t xml:space="preserve"> | </w:t>
      </w:r>
      <w:bookmarkStart w:id="100" w:name="OLE_LINK1"/>
      <w:r>
        <w:t>Estimate of PL administrative effort in FY23</w:t>
      </w:r>
      <w:r w:rsidR="00AC07BA">
        <w:t xml:space="preserve"> in days</w:t>
      </w:r>
      <w:bookmarkEnd w:id="100"/>
    </w:p>
    <w:tbl>
      <w:tblPr>
        <w:tblStyle w:val="NOUS"/>
        <w:tblW w:w="9072" w:type="dxa"/>
        <w:tblLook w:val="04A0" w:firstRow="1" w:lastRow="0" w:firstColumn="1" w:lastColumn="0" w:noHBand="0" w:noVBand="1"/>
      </w:tblPr>
      <w:tblGrid>
        <w:gridCol w:w="2232"/>
        <w:gridCol w:w="2232"/>
        <w:gridCol w:w="2233"/>
        <w:gridCol w:w="2375"/>
      </w:tblGrid>
      <w:tr w:rsidR="005B30BC" w14:paraId="3B91E763" w14:textId="77777777" w:rsidTr="003C216F">
        <w:trPr>
          <w:cnfStyle w:val="100000000000" w:firstRow="1" w:lastRow="0" w:firstColumn="0" w:lastColumn="0" w:oddVBand="0" w:evenVBand="0" w:oddHBand="0" w:evenHBand="0" w:firstRowFirstColumn="0" w:firstRowLastColumn="0" w:lastRowFirstColumn="0" w:lastRowLastColumn="0"/>
        </w:trPr>
        <w:tc>
          <w:tcPr>
            <w:tcW w:w="2232" w:type="dxa"/>
          </w:tcPr>
          <w:p w14:paraId="63342E7A" w14:textId="77777777" w:rsidR="005B30BC" w:rsidRDefault="005B30BC" w:rsidP="00706204">
            <w:pPr>
              <w:pStyle w:val="TableNheader"/>
            </w:pPr>
          </w:p>
        </w:tc>
        <w:tc>
          <w:tcPr>
            <w:tcW w:w="2232" w:type="dxa"/>
          </w:tcPr>
          <w:p w14:paraId="63E7E80B" w14:textId="309F8B2B" w:rsidR="005B30BC" w:rsidRPr="007F1456" w:rsidRDefault="007F1456" w:rsidP="00706204">
            <w:pPr>
              <w:pStyle w:val="TableNheader"/>
              <w:jc w:val="center"/>
              <w:rPr>
                <w:b w:val="0"/>
                <w:bCs/>
              </w:rPr>
            </w:pPr>
            <w:r w:rsidRPr="007F1456">
              <w:rPr>
                <w:b w:val="0"/>
                <w:bCs/>
              </w:rPr>
              <w:t>Executive &amp; SES Days</w:t>
            </w:r>
          </w:p>
        </w:tc>
        <w:tc>
          <w:tcPr>
            <w:tcW w:w="2233" w:type="dxa"/>
          </w:tcPr>
          <w:p w14:paraId="52BDD326" w14:textId="60DCCB8E" w:rsidR="005B30BC" w:rsidRPr="007F1456" w:rsidRDefault="007F1456" w:rsidP="00706204">
            <w:pPr>
              <w:pStyle w:val="TableNheader"/>
              <w:jc w:val="center"/>
              <w:rPr>
                <w:b w:val="0"/>
                <w:bCs/>
              </w:rPr>
            </w:pPr>
            <w:r w:rsidRPr="007F1456">
              <w:rPr>
                <w:b w:val="0"/>
                <w:bCs/>
              </w:rPr>
              <w:t>APS Days</w:t>
            </w:r>
          </w:p>
        </w:tc>
        <w:tc>
          <w:tcPr>
            <w:tcW w:w="2375" w:type="dxa"/>
          </w:tcPr>
          <w:p w14:paraId="575A3AE2" w14:textId="099426A2" w:rsidR="005B30BC" w:rsidRPr="007F1456" w:rsidRDefault="007F1456" w:rsidP="00706204">
            <w:pPr>
              <w:pStyle w:val="TableNheader"/>
              <w:jc w:val="center"/>
              <w:rPr>
                <w:b w:val="0"/>
                <w:bCs/>
              </w:rPr>
            </w:pPr>
            <w:r w:rsidRPr="007F1456">
              <w:rPr>
                <w:b w:val="0"/>
                <w:bCs/>
              </w:rPr>
              <w:t>Total Days</w:t>
            </w:r>
          </w:p>
        </w:tc>
      </w:tr>
      <w:tr w:rsidR="00706204" w14:paraId="2B6B9B5A" w14:textId="77777777" w:rsidTr="003C216F">
        <w:tc>
          <w:tcPr>
            <w:tcW w:w="2232" w:type="dxa"/>
          </w:tcPr>
          <w:p w14:paraId="6766A165" w14:textId="3FE181CE" w:rsidR="00706204" w:rsidRPr="00706204" w:rsidRDefault="00C12B7F" w:rsidP="00706204">
            <w:pPr>
              <w:pStyle w:val="TableNText"/>
              <w:rPr>
                <w:rFonts w:asciiTheme="majorHAnsi" w:hAnsiTheme="majorHAnsi" w:cstheme="majorHAnsi"/>
              </w:rPr>
            </w:pPr>
            <w:r>
              <w:rPr>
                <w:rFonts w:asciiTheme="majorHAnsi" w:hAnsiTheme="majorHAnsi" w:cstheme="majorHAnsi"/>
              </w:rPr>
              <w:t>D</w:t>
            </w:r>
            <w:r w:rsidR="007B7B65">
              <w:rPr>
                <w:rFonts w:asciiTheme="majorHAnsi" w:hAnsiTheme="majorHAnsi" w:cstheme="majorHAnsi"/>
              </w:rPr>
              <w:t>epartment</w:t>
            </w:r>
            <w:r w:rsidR="00706204" w:rsidRPr="00706204">
              <w:rPr>
                <w:rFonts w:asciiTheme="majorHAnsi" w:hAnsiTheme="majorHAnsi" w:cstheme="majorHAnsi"/>
              </w:rPr>
              <w:t xml:space="preserve"> assessment</w:t>
            </w:r>
          </w:p>
        </w:tc>
        <w:tc>
          <w:tcPr>
            <w:tcW w:w="2232" w:type="dxa"/>
          </w:tcPr>
          <w:p w14:paraId="674A9720" w14:textId="0B363E01" w:rsidR="00706204" w:rsidRDefault="00706204" w:rsidP="00706204">
            <w:pPr>
              <w:pStyle w:val="TableNText"/>
              <w:jc w:val="center"/>
            </w:pPr>
            <w:r w:rsidRPr="00F42AAA">
              <w:t>851</w:t>
            </w:r>
          </w:p>
        </w:tc>
        <w:tc>
          <w:tcPr>
            <w:tcW w:w="2233" w:type="dxa"/>
          </w:tcPr>
          <w:p w14:paraId="339494FF" w14:textId="3AF55B32" w:rsidR="00706204" w:rsidRDefault="00706204" w:rsidP="00706204">
            <w:pPr>
              <w:pStyle w:val="TableNText"/>
              <w:jc w:val="center"/>
            </w:pPr>
            <w:r w:rsidRPr="00F42AAA">
              <w:t>650</w:t>
            </w:r>
          </w:p>
        </w:tc>
        <w:tc>
          <w:tcPr>
            <w:tcW w:w="2375" w:type="dxa"/>
          </w:tcPr>
          <w:p w14:paraId="6624C377" w14:textId="71B854CB" w:rsidR="00706204" w:rsidRDefault="00706204" w:rsidP="00706204">
            <w:pPr>
              <w:pStyle w:val="TableNText"/>
              <w:jc w:val="center"/>
            </w:pPr>
            <w:r w:rsidRPr="00F42AAA">
              <w:t>1501</w:t>
            </w:r>
          </w:p>
        </w:tc>
      </w:tr>
      <w:tr w:rsidR="00706204" w14:paraId="0A0A851A" w14:textId="77777777" w:rsidTr="003C216F">
        <w:tc>
          <w:tcPr>
            <w:tcW w:w="2232" w:type="dxa"/>
          </w:tcPr>
          <w:p w14:paraId="5A338D7B" w14:textId="4799E276"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Tier 2 assessment</w:t>
            </w:r>
          </w:p>
        </w:tc>
        <w:tc>
          <w:tcPr>
            <w:tcW w:w="2232" w:type="dxa"/>
          </w:tcPr>
          <w:p w14:paraId="06C793F5" w14:textId="7591A64D" w:rsidR="00706204" w:rsidRDefault="00706204" w:rsidP="00706204">
            <w:pPr>
              <w:pStyle w:val="TableNText"/>
              <w:jc w:val="center"/>
            </w:pPr>
            <w:r w:rsidRPr="00F42AAA">
              <w:t>281</w:t>
            </w:r>
          </w:p>
        </w:tc>
        <w:tc>
          <w:tcPr>
            <w:tcW w:w="2233" w:type="dxa"/>
          </w:tcPr>
          <w:p w14:paraId="3183E38A" w14:textId="6FA5C537" w:rsidR="00706204" w:rsidRDefault="00706204" w:rsidP="00706204">
            <w:pPr>
              <w:pStyle w:val="TableNText"/>
              <w:jc w:val="center"/>
            </w:pPr>
            <w:r w:rsidRPr="00F42AAA">
              <w:t>373</w:t>
            </w:r>
          </w:p>
        </w:tc>
        <w:tc>
          <w:tcPr>
            <w:tcW w:w="2375" w:type="dxa"/>
          </w:tcPr>
          <w:p w14:paraId="2BBCEE31" w14:textId="458BC8E4" w:rsidR="00706204" w:rsidRDefault="00706204" w:rsidP="00706204">
            <w:pPr>
              <w:pStyle w:val="TableNText"/>
              <w:jc w:val="center"/>
            </w:pPr>
            <w:r w:rsidRPr="00F42AAA">
              <w:t>654</w:t>
            </w:r>
          </w:p>
        </w:tc>
      </w:tr>
      <w:tr w:rsidR="00706204" w14:paraId="31A71BF7" w14:textId="77777777" w:rsidTr="003C216F">
        <w:tc>
          <w:tcPr>
            <w:tcW w:w="2232" w:type="dxa"/>
          </w:tcPr>
          <w:p w14:paraId="50A0EBDE" w14:textId="1EA69AB0"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Tier 3 assessment</w:t>
            </w:r>
          </w:p>
        </w:tc>
        <w:tc>
          <w:tcPr>
            <w:tcW w:w="2232" w:type="dxa"/>
          </w:tcPr>
          <w:p w14:paraId="4885910B" w14:textId="78890CD4" w:rsidR="00706204" w:rsidRDefault="00706204" w:rsidP="00706204">
            <w:pPr>
              <w:pStyle w:val="TableNText"/>
              <w:jc w:val="center"/>
            </w:pPr>
            <w:r w:rsidRPr="00F42AAA">
              <w:t>36</w:t>
            </w:r>
          </w:p>
        </w:tc>
        <w:tc>
          <w:tcPr>
            <w:tcW w:w="2233" w:type="dxa"/>
          </w:tcPr>
          <w:p w14:paraId="471A3454" w14:textId="3CBE1860" w:rsidR="00706204" w:rsidRDefault="00706204" w:rsidP="00706204">
            <w:pPr>
              <w:pStyle w:val="TableNText"/>
              <w:jc w:val="center"/>
            </w:pPr>
            <w:r w:rsidRPr="00F42AAA">
              <w:t>6</w:t>
            </w:r>
          </w:p>
        </w:tc>
        <w:tc>
          <w:tcPr>
            <w:tcW w:w="2375" w:type="dxa"/>
          </w:tcPr>
          <w:p w14:paraId="5356527B" w14:textId="63BA0259" w:rsidR="00706204" w:rsidRDefault="00706204" w:rsidP="00706204">
            <w:pPr>
              <w:pStyle w:val="TableNText"/>
              <w:jc w:val="center"/>
            </w:pPr>
            <w:r w:rsidRPr="00F42AAA">
              <w:t>42</w:t>
            </w:r>
          </w:p>
        </w:tc>
      </w:tr>
      <w:tr w:rsidR="00706204" w14:paraId="3451DB2A" w14:textId="77777777" w:rsidTr="003C216F">
        <w:tc>
          <w:tcPr>
            <w:tcW w:w="2232" w:type="dxa"/>
          </w:tcPr>
          <w:p w14:paraId="72E8A00E" w14:textId="71F90A9D"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Transfer applications</w:t>
            </w:r>
          </w:p>
        </w:tc>
        <w:tc>
          <w:tcPr>
            <w:tcW w:w="2232" w:type="dxa"/>
          </w:tcPr>
          <w:p w14:paraId="6151244E" w14:textId="7A1913A8" w:rsidR="00706204" w:rsidRDefault="00706204" w:rsidP="00706204">
            <w:pPr>
              <w:pStyle w:val="TableNText"/>
              <w:jc w:val="center"/>
            </w:pPr>
            <w:r w:rsidRPr="00F42AAA">
              <w:t>7</w:t>
            </w:r>
          </w:p>
        </w:tc>
        <w:tc>
          <w:tcPr>
            <w:tcW w:w="2233" w:type="dxa"/>
          </w:tcPr>
          <w:p w14:paraId="00EAC1D8" w14:textId="2F140027" w:rsidR="00706204" w:rsidRDefault="00706204" w:rsidP="00706204">
            <w:pPr>
              <w:pStyle w:val="TableNText"/>
              <w:jc w:val="center"/>
            </w:pPr>
            <w:r w:rsidRPr="00F42AAA">
              <w:t>45</w:t>
            </w:r>
          </w:p>
        </w:tc>
        <w:tc>
          <w:tcPr>
            <w:tcW w:w="2375" w:type="dxa"/>
          </w:tcPr>
          <w:p w14:paraId="491B3876" w14:textId="2D56B634" w:rsidR="00706204" w:rsidRDefault="00706204" w:rsidP="00706204">
            <w:pPr>
              <w:pStyle w:val="TableNText"/>
              <w:jc w:val="center"/>
            </w:pPr>
            <w:r w:rsidRPr="00F42AAA">
              <w:t>52</w:t>
            </w:r>
          </w:p>
        </w:tc>
      </w:tr>
      <w:tr w:rsidR="00706204" w14:paraId="26C5491A" w14:textId="77777777" w:rsidTr="003C216F">
        <w:tc>
          <w:tcPr>
            <w:tcW w:w="2232" w:type="dxa"/>
          </w:tcPr>
          <w:p w14:paraId="4351A676" w14:textId="7298C127"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Deletions applications</w:t>
            </w:r>
          </w:p>
        </w:tc>
        <w:tc>
          <w:tcPr>
            <w:tcW w:w="2232" w:type="dxa"/>
          </w:tcPr>
          <w:p w14:paraId="2E6BCC4B" w14:textId="6936F452" w:rsidR="00706204" w:rsidRDefault="00706204" w:rsidP="00706204">
            <w:pPr>
              <w:pStyle w:val="TableNText"/>
              <w:jc w:val="center"/>
            </w:pPr>
            <w:r w:rsidRPr="00F42AAA">
              <w:t>20</w:t>
            </w:r>
          </w:p>
        </w:tc>
        <w:tc>
          <w:tcPr>
            <w:tcW w:w="2233" w:type="dxa"/>
          </w:tcPr>
          <w:p w14:paraId="78892166" w14:textId="7C47D111" w:rsidR="00706204" w:rsidRDefault="00706204" w:rsidP="00706204">
            <w:pPr>
              <w:pStyle w:val="TableNText"/>
              <w:jc w:val="center"/>
            </w:pPr>
            <w:r w:rsidRPr="00F42AAA">
              <w:t>127</w:t>
            </w:r>
          </w:p>
        </w:tc>
        <w:tc>
          <w:tcPr>
            <w:tcW w:w="2375" w:type="dxa"/>
          </w:tcPr>
          <w:p w14:paraId="3FD3432F" w14:textId="6A2C6CDD" w:rsidR="00706204" w:rsidRDefault="00706204" w:rsidP="00706204">
            <w:pPr>
              <w:pStyle w:val="TableNText"/>
              <w:jc w:val="center"/>
            </w:pPr>
            <w:r w:rsidRPr="00F42AAA">
              <w:t>147</w:t>
            </w:r>
          </w:p>
        </w:tc>
      </w:tr>
      <w:tr w:rsidR="00706204" w14:paraId="71978DEE" w14:textId="77777777" w:rsidTr="003C216F">
        <w:tc>
          <w:tcPr>
            <w:tcW w:w="2232" w:type="dxa"/>
          </w:tcPr>
          <w:p w14:paraId="79923AEA" w14:textId="45594582"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Granting decision</w:t>
            </w:r>
          </w:p>
        </w:tc>
        <w:tc>
          <w:tcPr>
            <w:tcW w:w="2232" w:type="dxa"/>
          </w:tcPr>
          <w:p w14:paraId="79EB265B" w14:textId="0CCC634C" w:rsidR="00706204" w:rsidRDefault="00706204" w:rsidP="00706204">
            <w:pPr>
              <w:pStyle w:val="TableNText"/>
              <w:jc w:val="center"/>
            </w:pPr>
            <w:r w:rsidRPr="00F42AAA">
              <w:t>92</w:t>
            </w:r>
          </w:p>
        </w:tc>
        <w:tc>
          <w:tcPr>
            <w:tcW w:w="2233" w:type="dxa"/>
          </w:tcPr>
          <w:p w14:paraId="4D2B5AEF" w14:textId="180A10A3" w:rsidR="00706204" w:rsidRDefault="00706204" w:rsidP="00706204">
            <w:pPr>
              <w:pStyle w:val="TableNText"/>
              <w:jc w:val="center"/>
            </w:pPr>
            <w:r w:rsidRPr="00F42AAA">
              <w:t>167</w:t>
            </w:r>
          </w:p>
        </w:tc>
        <w:tc>
          <w:tcPr>
            <w:tcW w:w="2375" w:type="dxa"/>
          </w:tcPr>
          <w:p w14:paraId="134C4FA1" w14:textId="552CEF44" w:rsidR="00706204" w:rsidRDefault="00706204" w:rsidP="00706204">
            <w:pPr>
              <w:pStyle w:val="TableNText"/>
              <w:jc w:val="center"/>
            </w:pPr>
            <w:r w:rsidRPr="00F42AAA">
              <w:t>259</w:t>
            </w:r>
          </w:p>
        </w:tc>
      </w:tr>
      <w:tr w:rsidR="00706204" w14:paraId="111BA9FE" w14:textId="77777777" w:rsidTr="003C216F">
        <w:tc>
          <w:tcPr>
            <w:tcW w:w="2232" w:type="dxa"/>
          </w:tcPr>
          <w:p w14:paraId="5E2CD760" w14:textId="37E3EA6E"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Invoicing</w:t>
            </w:r>
          </w:p>
        </w:tc>
        <w:tc>
          <w:tcPr>
            <w:tcW w:w="2232" w:type="dxa"/>
          </w:tcPr>
          <w:p w14:paraId="794F57B6" w14:textId="3DA558ED" w:rsidR="00706204" w:rsidRDefault="00706204" w:rsidP="00706204">
            <w:pPr>
              <w:pStyle w:val="TableNText"/>
              <w:jc w:val="center"/>
            </w:pPr>
            <w:r w:rsidRPr="00F42AAA">
              <w:t>133</w:t>
            </w:r>
          </w:p>
        </w:tc>
        <w:tc>
          <w:tcPr>
            <w:tcW w:w="2233" w:type="dxa"/>
          </w:tcPr>
          <w:p w14:paraId="73E4D926" w14:textId="0B514335" w:rsidR="00706204" w:rsidRDefault="00706204" w:rsidP="00706204">
            <w:pPr>
              <w:pStyle w:val="TableNText"/>
              <w:jc w:val="center"/>
            </w:pPr>
            <w:r w:rsidRPr="00F42AAA">
              <w:t>534</w:t>
            </w:r>
          </w:p>
        </w:tc>
        <w:tc>
          <w:tcPr>
            <w:tcW w:w="2375" w:type="dxa"/>
          </w:tcPr>
          <w:p w14:paraId="2D6B86B5" w14:textId="478C0A31" w:rsidR="00706204" w:rsidRDefault="00706204" w:rsidP="00706204">
            <w:pPr>
              <w:pStyle w:val="TableNText"/>
              <w:jc w:val="center"/>
            </w:pPr>
            <w:r w:rsidRPr="00F42AAA">
              <w:t>667</w:t>
            </w:r>
          </w:p>
        </w:tc>
      </w:tr>
      <w:tr w:rsidR="00706204" w14:paraId="6817946B" w14:textId="77777777" w:rsidTr="003C216F">
        <w:tc>
          <w:tcPr>
            <w:tcW w:w="2232" w:type="dxa"/>
          </w:tcPr>
          <w:p w14:paraId="2C26FB41" w14:textId="626FCDA5"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CAG meetings</w:t>
            </w:r>
          </w:p>
        </w:tc>
        <w:tc>
          <w:tcPr>
            <w:tcW w:w="2232" w:type="dxa"/>
          </w:tcPr>
          <w:p w14:paraId="6E81BDD5" w14:textId="76311698" w:rsidR="00706204" w:rsidRDefault="00706204" w:rsidP="00706204">
            <w:pPr>
              <w:pStyle w:val="TableNText"/>
              <w:jc w:val="center"/>
            </w:pPr>
            <w:r w:rsidRPr="00F42AAA">
              <w:t>104</w:t>
            </w:r>
          </w:p>
        </w:tc>
        <w:tc>
          <w:tcPr>
            <w:tcW w:w="2233" w:type="dxa"/>
          </w:tcPr>
          <w:p w14:paraId="025C90B0" w14:textId="543CB563" w:rsidR="00706204" w:rsidRDefault="00706204" w:rsidP="00706204">
            <w:pPr>
              <w:pStyle w:val="TableNText"/>
              <w:jc w:val="center"/>
            </w:pPr>
            <w:r w:rsidRPr="00F42AAA">
              <w:t>226</w:t>
            </w:r>
          </w:p>
        </w:tc>
        <w:tc>
          <w:tcPr>
            <w:tcW w:w="2375" w:type="dxa"/>
          </w:tcPr>
          <w:p w14:paraId="3427709A" w14:textId="38076DA8" w:rsidR="00706204" w:rsidRDefault="00706204" w:rsidP="00706204">
            <w:pPr>
              <w:pStyle w:val="TableNText"/>
              <w:jc w:val="center"/>
            </w:pPr>
            <w:r w:rsidRPr="00F42AAA">
              <w:t>330</w:t>
            </w:r>
          </w:p>
        </w:tc>
      </w:tr>
      <w:tr w:rsidR="00706204" w14:paraId="61F0A91A" w14:textId="77777777" w:rsidTr="003C216F">
        <w:tc>
          <w:tcPr>
            <w:tcW w:w="2232" w:type="dxa"/>
          </w:tcPr>
          <w:p w14:paraId="6BA5C0DC" w14:textId="1006A5F1"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PLAC meetings</w:t>
            </w:r>
          </w:p>
        </w:tc>
        <w:tc>
          <w:tcPr>
            <w:tcW w:w="2232" w:type="dxa"/>
          </w:tcPr>
          <w:p w14:paraId="50E498A7" w14:textId="6A18D535" w:rsidR="00706204" w:rsidRDefault="00706204" w:rsidP="00706204">
            <w:pPr>
              <w:pStyle w:val="TableNText"/>
              <w:jc w:val="center"/>
            </w:pPr>
            <w:r w:rsidRPr="00F42AAA">
              <w:t>39</w:t>
            </w:r>
          </w:p>
        </w:tc>
        <w:tc>
          <w:tcPr>
            <w:tcW w:w="2233" w:type="dxa"/>
          </w:tcPr>
          <w:p w14:paraId="6CC12BB0" w14:textId="55B8371B" w:rsidR="00706204" w:rsidRDefault="00706204" w:rsidP="00706204">
            <w:pPr>
              <w:pStyle w:val="TableNText"/>
              <w:jc w:val="center"/>
            </w:pPr>
            <w:r w:rsidRPr="00F42AAA">
              <w:t>50</w:t>
            </w:r>
          </w:p>
        </w:tc>
        <w:tc>
          <w:tcPr>
            <w:tcW w:w="2375" w:type="dxa"/>
          </w:tcPr>
          <w:p w14:paraId="49B5E3CA" w14:textId="1726F362" w:rsidR="00706204" w:rsidRDefault="00706204" w:rsidP="00706204">
            <w:pPr>
              <w:pStyle w:val="TableNText"/>
              <w:jc w:val="center"/>
            </w:pPr>
            <w:r w:rsidRPr="00F42AAA">
              <w:t>89</w:t>
            </w:r>
          </w:p>
        </w:tc>
      </w:tr>
      <w:tr w:rsidR="00706204" w14:paraId="0FD0C047" w14:textId="77777777" w:rsidTr="003C216F">
        <w:tc>
          <w:tcPr>
            <w:tcW w:w="2232" w:type="dxa"/>
          </w:tcPr>
          <w:p w14:paraId="689439C9" w14:textId="4C53B1A5"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Prostheses Rules</w:t>
            </w:r>
          </w:p>
        </w:tc>
        <w:tc>
          <w:tcPr>
            <w:tcW w:w="2232" w:type="dxa"/>
          </w:tcPr>
          <w:p w14:paraId="1979D114" w14:textId="41D2E5E0" w:rsidR="00706204" w:rsidRDefault="00706204" w:rsidP="00706204">
            <w:pPr>
              <w:pStyle w:val="TableNText"/>
              <w:jc w:val="center"/>
            </w:pPr>
            <w:r w:rsidRPr="00F42AAA">
              <w:t>14</w:t>
            </w:r>
          </w:p>
        </w:tc>
        <w:tc>
          <w:tcPr>
            <w:tcW w:w="2233" w:type="dxa"/>
          </w:tcPr>
          <w:p w14:paraId="7156A5CF" w14:textId="52C9A188" w:rsidR="00706204" w:rsidRDefault="00706204" w:rsidP="00706204">
            <w:pPr>
              <w:pStyle w:val="TableNText"/>
              <w:jc w:val="center"/>
            </w:pPr>
            <w:r w:rsidRPr="00F42AAA">
              <w:t>5</w:t>
            </w:r>
          </w:p>
        </w:tc>
        <w:tc>
          <w:tcPr>
            <w:tcW w:w="2375" w:type="dxa"/>
          </w:tcPr>
          <w:p w14:paraId="2423E339" w14:textId="1C46D279" w:rsidR="00706204" w:rsidRDefault="00706204" w:rsidP="00706204">
            <w:pPr>
              <w:pStyle w:val="TableNText"/>
              <w:jc w:val="center"/>
            </w:pPr>
            <w:r w:rsidRPr="00F42AAA">
              <w:t>19</w:t>
            </w:r>
          </w:p>
        </w:tc>
      </w:tr>
      <w:tr w:rsidR="00706204" w14:paraId="36B2E3AC" w14:textId="77777777" w:rsidTr="003C216F">
        <w:tc>
          <w:tcPr>
            <w:tcW w:w="2232" w:type="dxa"/>
          </w:tcPr>
          <w:p w14:paraId="566D0A9B" w14:textId="64052D4B"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Compliance</w:t>
            </w:r>
          </w:p>
        </w:tc>
        <w:tc>
          <w:tcPr>
            <w:tcW w:w="2232" w:type="dxa"/>
          </w:tcPr>
          <w:p w14:paraId="303CB998" w14:textId="35A77F12" w:rsidR="00706204" w:rsidRDefault="00706204" w:rsidP="00706204">
            <w:pPr>
              <w:pStyle w:val="TableNText"/>
              <w:jc w:val="center"/>
            </w:pPr>
            <w:r w:rsidRPr="00F42AAA">
              <w:t>959</w:t>
            </w:r>
          </w:p>
        </w:tc>
        <w:tc>
          <w:tcPr>
            <w:tcW w:w="2233" w:type="dxa"/>
          </w:tcPr>
          <w:p w14:paraId="24A8DB88" w14:textId="75C2B3CC" w:rsidR="00706204" w:rsidRDefault="00706204" w:rsidP="00706204">
            <w:pPr>
              <w:pStyle w:val="TableNText"/>
              <w:jc w:val="center"/>
            </w:pPr>
            <w:r w:rsidRPr="00F42AAA">
              <w:t>639</w:t>
            </w:r>
          </w:p>
        </w:tc>
        <w:tc>
          <w:tcPr>
            <w:tcW w:w="2375" w:type="dxa"/>
          </w:tcPr>
          <w:p w14:paraId="7CFAA5AD" w14:textId="49788648" w:rsidR="00706204" w:rsidRDefault="00706204" w:rsidP="00706204">
            <w:pPr>
              <w:pStyle w:val="TableNText"/>
              <w:jc w:val="center"/>
            </w:pPr>
            <w:r w:rsidRPr="00F42AAA">
              <w:t>1598</w:t>
            </w:r>
          </w:p>
        </w:tc>
      </w:tr>
      <w:tr w:rsidR="00706204" w14:paraId="59125BC2" w14:textId="77777777" w:rsidTr="003C216F">
        <w:tc>
          <w:tcPr>
            <w:tcW w:w="2232" w:type="dxa"/>
          </w:tcPr>
          <w:p w14:paraId="07D500D9" w14:textId="2FC444A9"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Stakeholder engagement</w:t>
            </w:r>
          </w:p>
        </w:tc>
        <w:tc>
          <w:tcPr>
            <w:tcW w:w="2232" w:type="dxa"/>
          </w:tcPr>
          <w:p w14:paraId="118E43A0" w14:textId="178ACC55" w:rsidR="00706204" w:rsidRDefault="00706204" w:rsidP="00706204">
            <w:pPr>
              <w:pStyle w:val="TableNText"/>
              <w:jc w:val="center"/>
            </w:pPr>
            <w:r w:rsidRPr="00F42AAA">
              <w:t>299</w:t>
            </w:r>
          </w:p>
        </w:tc>
        <w:tc>
          <w:tcPr>
            <w:tcW w:w="2233" w:type="dxa"/>
          </w:tcPr>
          <w:p w14:paraId="19C50CD8" w14:textId="42CD908D" w:rsidR="00706204" w:rsidRDefault="00706204" w:rsidP="00706204">
            <w:pPr>
              <w:pStyle w:val="TableNText"/>
              <w:jc w:val="center"/>
            </w:pPr>
            <w:r w:rsidRPr="00F42AAA">
              <w:t>218</w:t>
            </w:r>
          </w:p>
        </w:tc>
        <w:tc>
          <w:tcPr>
            <w:tcW w:w="2375" w:type="dxa"/>
          </w:tcPr>
          <w:p w14:paraId="378A8B64" w14:textId="632F497D" w:rsidR="00706204" w:rsidRDefault="00706204" w:rsidP="00706204">
            <w:pPr>
              <w:pStyle w:val="TableNText"/>
              <w:jc w:val="center"/>
            </w:pPr>
            <w:r w:rsidRPr="00F42AAA">
              <w:t>516</w:t>
            </w:r>
          </w:p>
        </w:tc>
      </w:tr>
      <w:tr w:rsidR="00706204" w14:paraId="7B416194" w14:textId="77777777" w:rsidTr="003C216F">
        <w:tc>
          <w:tcPr>
            <w:tcW w:w="2232" w:type="dxa"/>
          </w:tcPr>
          <w:p w14:paraId="305718EA" w14:textId="28231934"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General administration</w:t>
            </w:r>
          </w:p>
        </w:tc>
        <w:tc>
          <w:tcPr>
            <w:tcW w:w="2232" w:type="dxa"/>
          </w:tcPr>
          <w:p w14:paraId="18639104" w14:textId="658A9CBB" w:rsidR="00706204" w:rsidRDefault="00706204" w:rsidP="00706204">
            <w:pPr>
              <w:pStyle w:val="TableNText"/>
              <w:jc w:val="center"/>
            </w:pPr>
            <w:r w:rsidRPr="00F42AAA">
              <w:t>73</w:t>
            </w:r>
          </w:p>
        </w:tc>
        <w:tc>
          <w:tcPr>
            <w:tcW w:w="2233" w:type="dxa"/>
          </w:tcPr>
          <w:p w14:paraId="3EBF0F49" w14:textId="11AB9EA8" w:rsidR="00706204" w:rsidRDefault="00706204" w:rsidP="00706204">
            <w:pPr>
              <w:pStyle w:val="TableNText"/>
              <w:jc w:val="center"/>
            </w:pPr>
            <w:r w:rsidRPr="00F42AAA">
              <w:t>110</w:t>
            </w:r>
          </w:p>
        </w:tc>
        <w:tc>
          <w:tcPr>
            <w:tcW w:w="2375" w:type="dxa"/>
          </w:tcPr>
          <w:p w14:paraId="42BA2C46" w14:textId="7FF25C02" w:rsidR="00706204" w:rsidRDefault="00706204" w:rsidP="00706204">
            <w:pPr>
              <w:pStyle w:val="TableNText"/>
              <w:jc w:val="center"/>
            </w:pPr>
            <w:r w:rsidRPr="00F42AAA">
              <w:t>184</w:t>
            </w:r>
          </w:p>
        </w:tc>
      </w:tr>
      <w:tr w:rsidR="00706204" w14:paraId="177AF338" w14:textId="77777777" w:rsidTr="003C216F">
        <w:tc>
          <w:tcPr>
            <w:tcW w:w="2232" w:type="dxa"/>
          </w:tcPr>
          <w:p w14:paraId="1649570A" w14:textId="2E6F2430" w:rsidR="00706204" w:rsidRPr="00706204" w:rsidRDefault="00706204" w:rsidP="00706204">
            <w:pPr>
              <w:pStyle w:val="TableNText"/>
              <w:rPr>
                <w:rFonts w:asciiTheme="majorHAnsi" w:hAnsiTheme="majorHAnsi" w:cstheme="majorHAnsi"/>
              </w:rPr>
            </w:pPr>
            <w:r w:rsidRPr="00706204">
              <w:rPr>
                <w:rFonts w:asciiTheme="majorHAnsi" w:hAnsiTheme="majorHAnsi" w:cstheme="majorHAnsi"/>
              </w:rPr>
              <w:t>Total</w:t>
            </w:r>
          </w:p>
        </w:tc>
        <w:tc>
          <w:tcPr>
            <w:tcW w:w="2232" w:type="dxa"/>
          </w:tcPr>
          <w:p w14:paraId="169CE03E" w14:textId="6F0A99A3" w:rsidR="00706204" w:rsidRPr="00706204" w:rsidRDefault="00706204" w:rsidP="00706204">
            <w:pPr>
              <w:pStyle w:val="TableNText"/>
              <w:jc w:val="center"/>
              <w:rPr>
                <w:rFonts w:asciiTheme="majorHAnsi" w:hAnsiTheme="majorHAnsi" w:cstheme="majorHAnsi"/>
              </w:rPr>
            </w:pPr>
            <w:r w:rsidRPr="00706204">
              <w:rPr>
                <w:rFonts w:asciiTheme="majorHAnsi" w:hAnsiTheme="majorHAnsi" w:cstheme="majorHAnsi"/>
              </w:rPr>
              <w:t>2906</w:t>
            </w:r>
          </w:p>
        </w:tc>
        <w:tc>
          <w:tcPr>
            <w:tcW w:w="2233" w:type="dxa"/>
          </w:tcPr>
          <w:p w14:paraId="1B537A8D" w14:textId="04B4F635" w:rsidR="00706204" w:rsidRPr="00706204" w:rsidRDefault="00706204" w:rsidP="00706204">
            <w:pPr>
              <w:pStyle w:val="TableNText"/>
              <w:jc w:val="center"/>
              <w:rPr>
                <w:rFonts w:asciiTheme="majorHAnsi" w:hAnsiTheme="majorHAnsi" w:cstheme="majorHAnsi"/>
              </w:rPr>
            </w:pPr>
            <w:r w:rsidRPr="00706204">
              <w:rPr>
                <w:rFonts w:asciiTheme="majorHAnsi" w:hAnsiTheme="majorHAnsi" w:cstheme="majorHAnsi"/>
              </w:rPr>
              <w:t>3150</w:t>
            </w:r>
          </w:p>
        </w:tc>
        <w:tc>
          <w:tcPr>
            <w:tcW w:w="2375" w:type="dxa"/>
          </w:tcPr>
          <w:p w14:paraId="6C912665" w14:textId="2D5609A0" w:rsidR="00706204" w:rsidRPr="00706204" w:rsidRDefault="00706204" w:rsidP="00706204">
            <w:pPr>
              <w:pStyle w:val="TableNText"/>
              <w:jc w:val="center"/>
              <w:rPr>
                <w:rFonts w:asciiTheme="majorHAnsi" w:hAnsiTheme="majorHAnsi" w:cstheme="majorHAnsi"/>
              </w:rPr>
            </w:pPr>
            <w:r w:rsidRPr="00706204">
              <w:rPr>
                <w:rFonts w:asciiTheme="majorHAnsi" w:hAnsiTheme="majorHAnsi" w:cstheme="majorHAnsi"/>
              </w:rPr>
              <w:t>6056</w:t>
            </w:r>
          </w:p>
        </w:tc>
      </w:tr>
    </w:tbl>
    <w:p w14:paraId="166F20E7" w14:textId="77777777" w:rsidR="00B36A9A" w:rsidRPr="00B36A9A" w:rsidRDefault="00B36A9A" w:rsidP="00B36A9A">
      <w:pPr>
        <w:rPr>
          <w:lang w:val="en-AU"/>
        </w:rPr>
      </w:pPr>
    </w:p>
    <w:p w14:paraId="0F2E1DA8" w14:textId="7114C119" w:rsidR="00175719" w:rsidRDefault="00854B68" w:rsidP="000C3A7A">
      <w:pPr>
        <w:pStyle w:val="Heading4"/>
      </w:pPr>
      <w:r w:rsidRPr="000C3A7A">
        <w:lastRenderedPageBreak/>
        <w:t xml:space="preserve">Stakeholders and the </w:t>
      </w:r>
      <w:r w:rsidR="00485324" w:rsidRPr="000C3A7A">
        <w:t>Department</w:t>
      </w:r>
      <w:r w:rsidRPr="000C3A7A">
        <w:t xml:space="preserve"> have </w:t>
      </w:r>
      <w:r w:rsidR="000C3A7A" w:rsidRPr="000C3A7A">
        <w:t>acknowledged limited</w:t>
      </w:r>
      <w:r w:rsidR="00485324" w:rsidRPr="000C3A7A">
        <w:t xml:space="preserve"> </w:t>
      </w:r>
      <w:r w:rsidR="000C3A7A" w:rsidRPr="000C3A7A">
        <w:t xml:space="preserve">internal </w:t>
      </w:r>
      <w:r w:rsidR="00485324" w:rsidRPr="000C3A7A">
        <w:t xml:space="preserve">resourcing </w:t>
      </w:r>
      <w:r w:rsidR="000C3A7A">
        <w:t xml:space="preserve">as a potential risk for </w:t>
      </w:r>
      <w:r w:rsidR="2FCC6A0F">
        <w:t xml:space="preserve">continued implementation of </w:t>
      </w:r>
      <w:r w:rsidR="000C3A7A">
        <w:t>the reform and ongoing administration</w:t>
      </w:r>
      <w:r w:rsidR="00390759">
        <w:t xml:space="preserve"> of the PL</w:t>
      </w:r>
      <w:r w:rsidR="000C3A7A">
        <w:t xml:space="preserve"> </w:t>
      </w:r>
    </w:p>
    <w:p w14:paraId="3A4D4768" w14:textId="122C1FFB" w:rsidR="00AB4ED4" w:rsidRDefault="00462D4E" w:rsidP="008B36BF">
      <w:pPr>
        <w:rPr>
          <w:lang w:val="en-AU" w:eastAsia="en-AU"/>
        </w:rPr>
      </w:pPr>
      <w:r>
        <w:rPr>
          <w:lang w:val="en-AU" w:eastAsia="en-AU"/>
        </w:rPr>
        <w:t xml:space="preserve">Ensuring </w:t>
      </w:r>
      <w:r w:rsidR="00BC6CE6">
        <w:rPr>
          <w:lang w:val="en-AU" w:eastAsia="en-AU"/>
        </w:rPr>
        <w:t xml:space="preserve">sufficient Departmental staffing levels </w:t>
      </w:r>
      <w:r w:rsidR="00713AED">
        <w:rPr>
          <w:lang w:val="en-AU" w:eastAsia="en-AU"/>
        </w:rPr>
        <w:t xml:space="preserve">is important </w:t>
      </w:r>
      <w:r w:rsidR="0809A3D8" w:rsidRPr="448E75C1">
        <w:rPr>
          <w:lang w:val="en-AU" w:eastAsia="en-AU"/>
        </w:rPr>
        <w:t>for</w:t>
      </w:r>
      <w:r w:rsidR="00713AED">
        <w:rPr>
          <w:lang w:val="en-AU" w:eastAsia="en-AU"/>
        </w:rPr>
        <w:t xml:space="preserve"> sustaining the PL’s administration. </w:t>
      </w:r>
      <w:r w:rsidR="000C3A7A">
        <w:rPr>
          <w:lang w:val="en-AU" w:eastAsia="en-AU"/>
        </w:rPr>
        <w:t xml:space="preserve">Stakeholders have expressed concern </w:t>
      </w:r>
      <w:r w:rsidR="00390759">
        <w:rPr>
          <w:lang w:val="en-AU" w:eastAsia="en-AU"/>
        </w:rPr>
        <w:t>over the Department’s capacity to deliver</w:t>
      </w:r>
      <w:r w:rsidR="001474ED">
        <w:rPr>
          <w:lang w:val="en-AU" w:eastAsia="en-AU"/>
        </w:rPr>
        <w:t xml:space="preserve"> the PL reform, specifically drawing attention to the time it has taken to undertake the pilot post-listing reviews</w:t>
      </w:r>
      <w:r w:rsidR="00FF7DCF">
        <w:rPr>
          <w:lang w:val="en-AU" w:eastAsia="en-AU"/>
        </w:rPr>
        <w:t xml:space="preserve"> and other delays to milestones throughout the reform</w:t>
      </w:r>
      <w:r w:rsidR="001474ED">
        <w:rPr>
          <w:lang w:val="en-AU" w:eastAsia="en-AU"/>
        </w:rPr>
        <w:t>.</w:t>
      </w:r>
      <w:r w:rsidR="00FF7DCF">
        <w:rPr>
          <w:lang w:val="en-AU" w:eastAsia="en-AU"/>
        </w:rPr>
        <w:t xml:space="preserve"> </w:t>
      </w:r>
      <w:r w:rsidR="00AB4ED4">
        <w:rPr>
          <w:lang w:val="en-AU" w:eastAsia="en-AU"/>
        </w:rPr>
        <w:t xml:space="preserve">Medical device companies have also provided feedback that it can be challenging to get in contact with the Department with listing queries and receive timely feedback, noting that the </w:t>
      </w:r>
      <w:r w:rsidR="00DE493A">
        <w:rPr>
          <w:lang w:val="en-AU" w:eastAsia="en-AU"/>
        </w:rPr>
        <w:t>listing guide available is still not final.</w:t>
      </w:r>
      <w:r w:rsidR="003B2BED">
        <w:rPr>
          <w:rStyle w:val="FootnoteReference"/>
          <w:lang w:val="en-AU" w:eastAsia="en-AU"/>
        </w:rPr>
        <w:footnoteReference w:id="114"/>
      </w:r>
      <w:r w:rsidR="00DE493A">
        <w:rPr>
          <w:lang w:val="en-AU" w:eastAsia="en-AU"/>
        </w:rPr>
        <w:t xml:space="preserve"> </w:t>
      </w:r>
    </w:p>
    <w:p w14:paraId="6F9F1D9E" w14:textId="4B24F71C" w:rsidR="007E7CA2" w:rsidRDefault="00FF7DCF" w:rsidP="00B0149B">
      <w:pPr>
        <w:rPr>
          <w:lang w:val="en-AU" w:eastAsia="en-AU"/>
        </w:rPr>
      </w:pPr>
      <w:r>
        <w:rPr>
          <w:lang w:val="en-AU" w:eastAsia="en-AU"/>
        </w:rPr>
        <w:t>Stakeholders also</w:t>
      </w:r>
      <w:r w:rsidR="001474ED">
        <w:rPr>
          <w:lang w:val="en-AU" w:eastAsia="en-AU"/>
        </w:rPr>
        <w:t xml:space="preserve"> </w:t>
      </w:r>
      <w:r>
        <w:rPr>
          <w:lang w:val="en-AU" w:eastAsia="en-AU"/>
        </w:rPr>
        <w:t>have expressed that</w:t>
      </w:r>
      <w:r w:rsidR="001474ED">
        <w:rPr>
          <w:lang w:val="en-AU" w:eastAsia="en-AU"/>
        </w:rPr>
        <w:t xml:space="preserve"> </w:t>
      </w:r>
      <w:r>
        <w:rPr>
          <w:lang w:val="en-AU" w:eastAsia="en-AU"/>
        </w:rPr>
        <w:t>they believe</w:t>
      </w:r>
      <w:r w:rsidR="001474ED">
        <w:rPr>
          <w:lang w:val="en-AU" w:eastAsia="en-AU"/>
        </w:rPr>
        <w:t xml:space="preserve"> the proposed compliance measures will significantly increase </w:t>
      </w:r>
      <w:r w:rsidR="00713AED">
        <w:rPr>
          <w:lang w:val="en-AU" w:eastAsia="en-AU"/>
        </w:rPr>
        <w:t>administrative burden for the Department</w:t>
      </w:r>
      <w:r w:rsidR="0071287F">
        <w:rPr>
          <w:lang w:val="en-AU" w:eastAsia="en-AU"/>
        </w:rPr>
        <w:t>.</w:t>
      </w:r>
      <w:r w:rsidR="003B2BED">
        <w:rPr>
          <w:rStyle w:val="FootnoteReference"/>
          <w:lang w:val="en-AU" w:eastAsia="en-AU"/>
        </w:rPr>
        <w:footnoteReference w:id="115"/>
      </w:r>
      <w:r w:rsidR="0071287F">
        <w:rPr>
          <w:lang w:val="en-AU" w:eastAsia="en-AU"/>
        </w:rPr>
        <w:t xml:space="preserve"> The Department has also </w:t>
      </w:r>
      <w:r w:rsidR="008E3C02">
        <w:rPr>
          <w:lang w:val="en-AU" w:eastAsia="en-AU"/>
        </w:rPr>
        <w:t>acknowledged</w:t>
      </w:r>
      <w:r w:rsidR="0071287F">
        <w:rPr>
          <w:lang w:val="en-AU" w:eastAsia="en-AU"/>
        </w:rPr>
        <w:t xml:space="preserve"> the </w:t>
      </w:r>
      <w:r w:rsidR="00CC7CDB">
        <w:rPr>
          <w:lang w:val="en-AU" w:eastAsia="en-AU"/>
        </w:rPr>
        <w:t>challenge of</w:t>
      </w:r>
      <w:r w:rsidR="0071287F">
        <w:rPr>
          <w:lang w:val="en-AU" w:eastAsia="en-AU"/>
        </w:rPr>
        <w:t xml:space="preserve"> </w:t>
      </w:r>
      <w:r w:rsidR="00CC7CDB">
        <w:rPr>
          <w:lang w:val="en-AU" w:eastAsia="en-AU"/>
        </w:rPr>
        <w:t xml:space="preserve">attracting and maintaining appropriate staff within this area of the Department as an </w:t>
      </w:r>
      <w:r w:rsidR="0071287F">
        <w:rPr>
          <w:lang w:val="en-AU" w:eastAsia="en-AU"/>
        </w:rPr>
        <w:t xml:space="preserve">additional constraint </w:t>
      </w:r>
      <w:r w:rsidR="00CC7CDB">
        <w:rPr>
          <w:lang w:val="en-AU" w:eastAsia="en-AU"/>
        </w:rPr>
        <w:t>on delivering reform projects and</w:t>
      </w:r>
      <w:r w:rsidR="0071287F">
        <w:rPr>
          <w:lang w:val="en-AU" w:eastAsia="en-AU"/>
        </w:rPr>
        <w:t xml:space="preserve"> </w:t>
      </w:r>
      <w:r w:rsidR="00CC7CDB">
        <w:rPr>
          <w:lang w:val="en-AU" w:eastAsia="en-AU"/>
        </w:rPr>
        <w:t>maintaining the</w:t>
      </w:r>
      <w:r w:rsidR="0071287F">
        <w:rPr>
          <w:lang w:val="en-AU" w:eastAsia="en-AU"/>
        </w:rPr>
        <w:t xml:space="preserve"> </w:t>
      </w:r>
      <w:r w:rsidR="00CC7CDB">
        <w:rPr>
          <w:lang w:val="en-AU" w:eastAsia="en-AU"/>
        </w:rPr>
        <w:t xml:space="preserve">PL. </w:t>
      </w:r>
      <w:r w:rsidR="008E3C02">
        <w:rPr>
          <w:lang w:val="en-AU" w:eastAsia="en-AU"/>
        </w:rPr>
        <w:t xml:space="preserve">One critical implication of this is that </w:t>
      </w:r>
      <w:r w:rsidR="00EC2B24">
        <w:rPr>
          <w:lang w:val="en-AU" w:eastAsia="en-AU"/>
        </w:rPr>
        <w:t>insufficient resourcing</w:t>
      </w:r>
      <w:r w:rsidR="008E3C02">
        <w:rPr>
          <w:lang w:val="en-AU" w:eastAsia="en-AU"/>
        </w:rPr>
        <w:t xml:space="preserve"> may limit the </w:t>
      </w:r>
      <w:r w:rsidR="00EB6EEA">
        <w:rPr>
          <w:lang w:val="en-AU" w:eastAsia="en-AU"/>
        </w:rPr>
        <w:t>number</w:t>
      </w:r>
      <w:r w:rsidR="00EC2B24">
        <w:rPr>
          <w:lang w:val="en-AU" w:eastAsia="en-AU"/>
        </w:rPr>
        <w:t xml:space="preserve"> of additional actions </w:t>
      </w:r>
      <w:r w:rsidR="00455A7C">
        <w:rPr>
          <w:lang w:val="en-AU" w:eastAsia="en-AU"/>
        </w:rPr>
        <w:t xml:space="preserve">able to be performed by the team, such as compliance actions and additional post-listing reviews. As a result, there is potential for </w:t>
      </w:r>
      <w:r w:rsidR="00EB6EEA">
        <w:rPr>
          <w:lang w:val="en-AU" w:eastAsia="en-AU"/>
        </w:rPr>
        <w:t>the reform measures to safeguard the PL becoming diluted. Ensuring sufficient internal resourcing must be a focus for the Department going forward.</w:t>
      </w:r>
    </w:p>
    <w:p w14:paraId="2581C60A" w14:textId="4F22A300" w:rsidR="007E7CA2" w:rsidRDefault="00904C9C" w:rsidP="0011201A">
      <w:pPr>
        <w:pStyle w:val="xAppendixLevel1"/>
      </w:pPr>
      <w:bookmarkStart w:id="101" w:name="_Toc181405101"/>
      <w:r>
        <w:lastRenderedPageBreak/>
        <w:t>Methodology</w:t>
      </w:r>
      <w:bookmarkEnd w:id="101"/>
    </w:p>
    <w:p w14:paraId="6CD65E4A" w14:textId="617487EC" w:rsidR="00716835" w:rsidRPr="00716835" w:rsidRDefault="00716835" w:rsidP="00716835">
      <w:pPr>
        <w:pStyle w:val="xAppendixLevel2"/>
      </w:pPr>
      <w:bookmarkStart w:id="102" w:name="_Toc181405102"/>
      <w:r w:rsidRPr="00716835">
        <w:t>Purpose and key objectives</w:t>
      </w:r>
      <w:bookmarkEnd w:id="102"/>
      <w:r w:rsidRPr="00716835">
        <w:t> </w:t>
      </w:r>
    </w:p>
    <w:p w14:paraId="76EC3BE2" w14:textId="77777777" w:rsidR="00716835" w:rsidRPr="000E4068" w:rsidRDefault="00716835" w:rsidP="000E4068">
      <w:pPr>
        <w:rPr>
          <w:rStyle w:val="Strong"/>
        </w:rPr>
      </w:pPr>
      <w:r w:rsidRPr="000E4068">
        <w:rPr>
          <w:rStyle w:val="Strong"/>
        </w:rPr>
        <w:t>The evaluation seeks to understand the extent to which PL reform activities have delivered the objectives of the reform </w:t>
      </w:r>
    </w:p>
    <w:p w14:paraId="5FC248CE" w14:textId="78334BDD" w:rsidR="00716835" w:rsidRPr="00716835" w:rsidRDefault="00716835" w:rsidP="00716835">
      <w:pPr>
        <w:rPr>
          <w:lang w:val="en-AU" w:eastAsia="en-AU"/>
        </w:rPr>
      </w:pPr>
      <w:r w:rsidRPr="00716835">
        <w:rPr>
          <w:lang w:val="en-AU" w:eastAsia="en-AU"/>
        </w:rPr>
        <w:t>The purpose of the evaluation is to understand the extent to which PL reform activities have delivered the objectives and provide formative insight into their delivery. The key objectives of the evaluation are: </w:t>
      </w:r>
    </w:p>
    <w:p w14:paraId="3B7002D8" w14:textId="77777777" w:rsidR="00716835" w:rsidRPr="00716835" w:rsidRDefault="00716835" w:rsidP="006B3E23">
      <w:pPr>
        <w:numPr>
          <w:ilvl w:val="0"/>
          <w:numId w:val="10"/>
        </w:numPr>
        <w:rPr>
          <w:lang w:val="en-AU" w:eastAsia="en-AU"/>
        </w:rPr>
      </w:pPr>
      <w:r w:rsidRPr="00716835">
        <w:rPr>
          <w:lang w:val="en-AU" w:eastAsia="en-AU"/>
        </w:rPr>
        <w:t>Documenting the implementation of PL reform activities, enabling and constraining factors, and the degree to which the PL reform is implemented as intended. </w:t>
      </w:r>
    </w:p>
    <w:p w14:paraId="5329E38C" w14:textId="77777777" w:rsidR="00716835" w:rsidRPr="00716835" w:rsidRDefault="00716835" w:rsidP="006B3E23">
      <w:pPr>
        <w:numPr>
          <w:ilvl w:val="0"/>
          <w:numId w:val="10"/>
        </w:numPr>
        <w:rPr>
          <w:lang w:val="en-AU" w:eastAsia="en-AU"/>
        </w:rPr>
      </w:pPr>
      <w:r w:rsidRPr="00716835">
        <w:rPr>
          <w:lang w:val="en-AU" w:eastAsia="en-AU"/>
        </w:rPr>
        <w:t>Determining whether PL reform activities are achieving their intended objectives, and where possible, indicating the extent to which the desired outcomes have been achieved. </w:t>
      </w:r>
    </w:p>
    <w:p w14:paraId="090B4BDA" w14:textId="77777777" w:rsidR="00716835" w:rsidRPr="00716835" w:rsidRDefault="00716835" w:rsidP="006B3E23">
      <w:pPr>
        <w:numPr>
          <w:ilvl w:val="0"/>
          <w:numId w:val="11"/>
        </w:numPr>
        <w:rPr>
          <w:lang w:val="en-AU" w:eastAsia="en-AU"/>
        </w:rPr>
      </w:pPr>
      <w:r w:rsidRPr="00716835">
        <w:rPr>
          <w:lang w:val="en-AU" w:eastAsia="en-AU"/>
        </w:rPr>
        <w:t>Identifying unintended consequences of reform activities and provide insight into how negative unintended consequences can be mitigated. </w:t>
      </w:r>
    </w:p>
    <w:p w14:paraId="352DCDFA" w14:textId="407244CC" w:rsidR="0011201A" w:rsidRPr="007B0A40" w:rsidRDefault="00716835" w:rsidP="006B3E23">
      <w:pPr>
        <w:numPr>
          <w:ilvl w:val="0"/>
          <w:numId w:val="11"/>
        </w:numPr>
        <w:rPr>
          <w:lang w:val="en-AU" w:eastAsia="en-AU"/>
        </w:rPr>
      </w:pPr>
      <w:r w:rsidRPr="00716835">
        <w:rPr>
          <w:lang w:val="en-AU" w:eastAsia="en-AU"/>
        </w:rPr>
        <w:t>Providing ongoing insight into additional activities to support the objectives of the program and findings to inform the future direction of PL management. </w:t>
      </w:r>
    </w:p>
    <w:p w14:paraId="6B9CB6FE" w14:textId="1AED8467" w:rsidR="00E6442D" w:rsidRDefault="005A63D8" w:rsidP="0011201A">
      <w:pPr>
        <w:pStyle w:val="xAppendixLevel2"/>
      </w:pPr>
      <w:bookmarkStart w:id="103" w:name="_Ref172225544"/>
      <w:bookmarkStart w:id="104" w:name="_Toc181405103"/>
      <w:r w:rsidRPr="0011201A">
        <w:t>Evaluation</w:t>
      </w:r>
      <w:r>
        <w:t xml:space="preserve"> plan </w:t>
      </w:r>
      <w:r w:rsidR="0025728E">
        <w:t>and theory of change</w:t>
      </w:r>
      <w:bookmarkEnd w:id="103"/>
      <w:bookmarkEnd w:id="104"/>
    </w:p>
    <w:p w14:paraId="60D81339" w14:textId="4A13E25E" w:rsidR="00C34A0D" w:rsidRPr="00413DDC" w:rsidRDefault="00C34A0D" w:rsidP="00413DDC">
      <w:pPr>
        <w:rPr>
          <w:rStyle w:val="Strong"/>
        </w:rPr>
      </w:pPr>
      <w:r w:rsidRPr="00413DDC">
        <w:rPr>
          <w:rStyle w:val="Strong"/>
        </w:rPr>
        <w:t xml:space="preserve">Nous planned </w:t>
      </w:r>
      <w:r w:rsidR="005051F9" w:rsidRPr="00413DDC">
        <w:rPr>
          <w:rStyle w:val="Strong"/>
        </w:rPr>
        <w:t xml:space="preserve">the PL </w:t>
      </w:r>
      <w:r w:rsidRPr="00413DDC">
        <w:rPr>
          <w:rStyle w:val="Strong"/>
        </w:rPr>
        <w:t xml:space="preserve">evaluation </w:t>
      </w:r>
      <w:r w:rsidR="005051F9" w:rsidRPr="00413DDC">
        <w:rPr>
          <w:rStyle w:val="Strong"/>
        </w:rPr>
        <w:t xml:space="preserve">using the </w:t>
      </w:r>
      <w:r w:rsidR="00C0725E" w:rsidRPr="00413DDC">
        <w:rPr>
          <w:rStyle w:val="Strong"/>
        </w:rPr>
        <w:t>Department</w:t>
      </w:r>
      <w:r w:rsidR="005051F9" w:rsidRPr="00413DDC">
        <w:rPr>
          <w:rStyle w:val="Strong"/>
        </w:rPr>
        <w:t xml:space="preserve">’s </w:t>
      </w:r>
      <w:r w:rsidR="002B2183" w:rsidRPr="00413DDC">
        <w:rPr>
          <w:rStyle w:val="Strong"/>
        </w:rPr>
        <w:t>framework</w:t>
      </w:r>
    </w:p>
    <w:p w14:paraId="012FADFE" w14:textId="16A4163C" w:rsidR="005A2E51" w:rsidRDefault="005A2E51" w:rsidP="00A26F9C">
      <w:pPr>
        <w:rPr>
          <w:lang w:val="en-AU" w:eastAsia="en-AU"/>
        </w:rPr>
      </w:pPr>
      <w:r>
        <w:rPr>
          <w:lang w:val="en-AU" w:eastAsia="en-AU"/>
        </w:rPr>
        <w:t xml:space="preserve">The </w:t>
      </w:r>
      <w:r w:rsidR="00C0725E">
        <w:rPr>
          <w:lang w:val="en-AU" w:eastAsia="en-AU"/>
        </w:rPr>
        <w:t>Department</w:t>
      </w:r>
      <w:r>
        <w:rPr>
          <w:lang w:val="en-AU" w:eastAsia="en-AU"/>
        </w:rPr>
        <w:t xml:space="preserve"> </w:t>
      </w:r>
      <w:r w:rsidR="000F5E61">
        <w:rPr>
          <w:lang w:val="en-AU" w:eastAsia="en-AU"/>
        </w:rPr>
        <w:t>established the P</w:t>
      </w:r>
      <w:r w:rsidR="006B13C1">
        <w:rPr>
          <w:lang w:val="en-AU" w:eastAsia="en-AU"/>
        </w:rPr>
        <w:t xml:space="preserve">rostheses List </w:t>
      </w:r>
      <w:r w:rsidR="000F5E61">
        <w:rPr>
          <w:lang w:val="en-AU" w:eastAsia="en-AU"/>
        </w:rPr>
        <w:t xml:space="preserve">Evaluation Framework </w:t>
      </w:r>
      <w:r w:rsidR="00273A73">
        <w:rPr>
          <w:lang w:val="en-AU" w:eastAsia="en-AU"/>
        </w:rPr>
        <w:t xml:space="preserve">in 2021 </w:t>
      </w:r>
      <w:r w:rsidR="00273A73" w:rsidRPr="0088201A">
        <w:rPr>
          <w:lang w:val="en-AU" w:eastAsia="en-AU"/>
        </w:rPr>
        <w:t xml:space="preserve">to inform a consistent monitoring and evaluation approach that is applicable from the conceptualisation of the PL </w:t>
      </w:r>
      <w:r w:rsidR="002626D3">
        <w:rPr>
          <w:lang w:val="en-AU" w:eastAsia="en-AU"/>
        </w:rPr>
        <w:t>r</w:t>
      </w:r>
      <w:r w:rsidR="00273A73" w:rsidRPr="0088201A">
        <w:rPr>
          <w:lang w:val="en-AU" w:eastAsia="en-AU"/>
        </w:rPr>
        <w:t>eform</w:t>
      </w:r>
      <w:r w:rsidR="002626D3">
        <w:rPr>
          <w:lang w:val="en-AU" w:eastAsia="en-AU"/>
        </w:rPr>
        <w:t>s</w:t>
      </w:r>
      <w:r w:rsidR="00273A73" w:rsidRPr="0088201A">
        <w:rPr>
          <w:lang w:val="en-AU" w:eastAsia="en-AU"/>
        </w:rPr>
        <w:t xml:space="preserve"> through to its implementation and beyond.</w:t>
      </w:r>
      <w:r w:rsidR="002626D3">
        <w:rPr>
          <w:lang w:val="en-AU" w:eastAsia="en-AU"/>
        </w:rPr>
        <w:t xml:space="preserve"> Nous was commissioned to evaluate the PL reforms</w:t>
      </w:r>
      <w:r w:rsidR="00EB2FDF">
        <w:rPr>
          <w:lang w:val="en-AU" w:eastAsia="en-AU"/>
        </w:rPr>
        <w:t xml:space="preserve"> using the evaluation framework.</w:t>
      </w:r>
      <w:r w:rsidR="00BE2C2A">
        <w:rPr>
          <w:lang w:val="en-AU" w:eastAsia="en-AU"/>
        </w:rPr>
        <w:t xml:space="preserve"> Nous has independently reviewed the </w:t>
      </w:r>
      <w:r w:rsidR="00C0725E">
        <w:rPr>
          <w:lang w:val="en-AU" w:eastAsia="en-AU"/>
        </w:rPr>
        <w:t>Department</w:t>
      </w:r>
      <w:r w:rsidR="00BE2C2A">
        <w:rPr>
          <w:lang w:val="en-AU" w:eastAsia="en-AU"/>
        </w:rPr>
        <w:t xml:space="preserve">’s evaluation framework and </w:t>
      </w:r>
      <w:r w:rsidR="00212093">
        <w:rPr>
          <w:lang w:val="en-AU" w:eastAsia="en-AU"/>
        </w:rPr>
        <w:t>the evaluation team is</w:t>
      </w:r>
      <w:r w:rsidR="00BE2C2A">
        <w:rPr>
          <w:lang w:val="en-AU" w:eastAsia="en-AU"/>
        </w:rPr>
        <w:t xml:space="preserve"> satisfied it </w:t>
      </w:r>
      <w:r w:rsidR="00BE2C2A" w:rsidRPr="0088201A">
        <w:rPr>
          <w:lang w:val="en-AU" w:eastAsia="en-AU"/>
        </w:rPr>
        <w:t xml:space="preserve">outlines </w:t>
      </w:r>
      <w:r w:rsidR="00BE2C2A">
        <w:rPr>
          <w:lang w:val="en-AU" w:eastAsia="en-AU"/>
        </w:rPr>
        <w:t>an appropriate</w:t>
      </w:r>
      <w:r w:rsidR="00BE2C2A" w:rsidRPr="0088201A">
        <w:rPr>
          <w:lang w:val="en-AU" w:eastAsia="en-AU"/>
        </w:rPr>
        <w:t xml:space="preserve"> structure by which the reforms should be evaluated.</w:t>
      </w:r>
    </w:p>
    <w:p w14:paraId="46BB7465" w14:textId="6D634877" w:rsidR="00A6101E" w:rsidRDefault="00164CAC" w:rsidP="00A26F9C">
      <w:pPr>
        <w:rPr>
          <w:lang w:val="en-AU" w:eastAsia="en-AU"/>
        </w:rPr>
      </w:pPr>
      <w:r>
        <w:rPr>
          <w:lang w:val="en-AU" w:eastAsia="en-AU"/>
        </w:rPr>
        <w:t xml:space="preserve">Nous delivered its evaluation plan to the </w:t>
      </w:r>
      <w:r w:rsidR="00C0725E">
        <w:rPr>
          <w:lang w:val="en-AU" w:eastAsia="en-AU"/>
        </w:rPr>
        <w:t>Department</w:t>
      </w:r>
      <w:r>
        <w:rPr>
          <w:lang w:val="en-AU" w:eastAsia="en-AU"/>
        </w:rPr>
        <w:t xml:space="preserve"> on 14 August 2023, </w:t>
      </w:r>
      <w:r w:rsidR="00B636C7">
        <w:rPr>
          <w:lang w:val="en-AU" w:eastAsia="en-AU"/>
        </w:rPr>
        <w:t>detail</w:t>
      </w:r>
      <w:r w:rsidR="005452FB">
        <w:rPr>
          <w:lang w:val="en-AU" w:eastAsia="en-AU"/>
        </w:rPr>
        <w:t xml:space="preserve">ing </w:t>
      </w:r>
      <w:r w:rsidR="00A736BC">
        <w:rPr>
          <w:lang w:val="en-AU" w:eastAsia="en-AU"/>
        </w:rPr>
        <w:t xml:space="preserve">the evaluation </w:t>
      </w:r>
      <w:r w:rsidR="00722DDD">
        <w:rPr>
          <w:lang w:val="en-AU" w:eastAsia="en-AU"/>
        </w:rPr>
        <w:t xml:space="preserve">context, </w:t>
      </w:r>
      <w:r w:rsidR="00F36298">
        <w:rPr>
          <w:lang w:val="en-AU" w:eastAsia="en-AU"/>
        </w:rPr>
        <w:t xml:space="preserve">objectives, </w:t>
      </w:r>
      <w:r w:rsidR="00A736BC">
        <w:rPr>
          <w:lang w:val="en-AU" w:eastAsia="en-AU"/>
        </w:rPr>
        <w:t xml:space="preserve">approach, methodology </w:t>
      </w:r>
      <w:r w:rsidR="00F36298">
        <w:rPr>
          <w:lang w:val="en-AU" w:eastAsia="en-AU"/>
        </w:rPr>
        <w:t>and project plan.</w:t>
      </w:r>
      <w:r w:rsidR="003C0A82">
        <w:rPr>
          <w:lang w:val="en-AU" w:eastAsia="en-AU"/>
        </w:rPr>
        <w:t xml:space="preserve"> This is summarised </w:t>
      </w:r>
      <w:r w:rsidR="00434AF8">
        <w:rPr>
          <w:lang w:val="en-AU" w:eastAsia="en-AU"/>
        </w:rPr>
        <w:t xml:space="preserve">in </w:t>
      </w:r>
      <w:r w:rsidR="005C48D4">
        <w:rPr>
          <w:lang w:val="en-AU" w:eastAsia="en-AU"/>
        </w:rPr>
        <w:t>sub-a</w:t>
      </w:r>
      <w:r w:rsidR="00434AF8">
        <w:rPr>
          <w:lang w:val="en-AU" w:eastAsia="en-AU"/>
        </w:rPr>
        <w:t>ppendi</w:t>
      </w:r>
      <w:r w:rsidR="005C48D4">
        <w:rPr>
          <w:lang w:val="en-AU" w:eastAsia="en-AU"/>
        </w:rPr>
        <w:t>ces</w:t>
      </w:r>
      <w:r w:rsidR="00434AF8">
        <w:rPr>
          <w:lang w:val="en-AU" w:eastAsia="en-AU"/>
        </w:rPr>
        <w:t xml:space="preserve"> </w:t>
      </w:r>
      <w:r w:rsidR="00434AF8">
        <w:rPr>
          <w:lang w:val="en-AU" w:eastAsia="en-AU"/>
        </w:rPr>
        <w:fldChar w:fldCharType="begin"/>
      </w:r>
      <w:r w:rsidR="00434AF8">
        <w:rPr>
          <w:lang w:val="en-AU" w:eastAsia="en-AU"/>
        </w:rPr>
        <w:instrText xml:space="preserve"> REF _Ref170379350 \r \h </w:instrText>
      </w:r>
      <w:r w:rsidR="00434AF8">
        <w:rPr>
          <w:lang w:val="en-AU" w:eastAsia="en-AU"/>
        </w:rPr>
      </w:r>
      <w:r w:rsidR="00434AF8">
        <w:rPr>
          <w:lang w:val="en-AU" w:eastAsia="en-AU"/>
        </w:rPr>
        <w:fldChar w:fldCharType="separate"/>
      </w:r>
      <w:r w:rsidR="009B5D8D">
        <w:rPr>
          <w:lang w:val="en-AU" w:eastAsia="en-AU"/>
        </w:rPr>
        <w:t>A.3</w:t>
      </w:r>
      <w:r w:rsidR="00434AF8">
        <w:rPr>
          <w:lang w:val="en-AU" w:eastAsia="en-AU"/>
        </w:rPr>
        <w:fldChar w:fldCharType="end"/>
      </w:r>
      <w:r w:rsidR="005C48D4">
        <w:rPr>
          <w:lang w:val="en-AU" w:eastAsia="en-AU"/>
        </w:rPr>
        <w:t xml:space="preserve"> and </w:t>
      </w:r>
      <w:r w:rsidR="00434AF8">
        <w:rPr>
          <w:lang w:val="en-AU" w:eastAsia="en-AU"/>
        </w:rPr>
        <w:fldChar w:fldCharType="begin"/>
      </w:r>
      <w:r w:rsidR="00434AF8">
        <w:rPr>
          <w:lang w:val="en-AU" w:eastAsia="en-AU"/>
        </w:rPr>
        <w:instrText xml:space="preserve"> REF _Ref170379352 \r \h </w:instrText>
      </w:r>
      <w:r w:rsidR="00434AF8">
        <w:rPr>
          <w:lang w:val="en-AU" w:eastAsia="en-AU"/>
        </w:rPr>
      </w:r>
      <w:r w:rsidR="00434AF8">
        <w:rPr>
          <w:lang w:val="en-AU" w:eastAsia="en-AU"/>
        </w:rPr>
        <w:fldChar w:fldCharType="separate"/>
      </w:r>
      <w:r w:rsidR="009B5D8D">
        <w:rPr>
          <w:lang w:val="en-AU" w:eastAsia="en-AU"/>
        </w:rPr>
        <w:t>A.4</w:t>
      </w:r>
      <w:r w:rsidR="00434AF8">
        <w:rPr>
          <w:lang w:val="en-AU" w:eastAsia="en-AU"/>
        </w:rPr>
        <w:fldChar w:fldCharType="end"/>
      </w:r>
      <w:r w:rsidR="005C48D4">
        <w:rPr>
          <w:lang w:val="en-AU" w:eastAsia="en-AU"/>
        </w:rPr>
        <w:t xml:space="preserve"> below. </w:t>
      </w:r>
      <w:r w:rsidR="001B3573">
        <w:rPr>
          <w:lang w:val="en-AU" w:eastAsia="en-AU"/>
        </w:rPr>
        <w:t xml:space="preserve">The evaluation plan </w:t>
      </w:r>
      <w:r w:rsidR="00731AA6">
        <w:rPr>
          <w:lang w:val="en-AU" w:eastAsia="en-AU"/>
        </w:rPr>
        <w:t xml:space="preserve">maintained the Framework’s </w:t>
      </w:r>
      <w:r w:rsidR="004A7799">
        <w:rPr>
          <w:lang w:val="en-AU" w:eastAsia="en-AU"/>
        </w:rPr>
        <w:t xml:space="preserve">overarching program logic and key </w:t>
      </w:r>
      <w:r w:rsidR="004A7799" w:rsidRPr="0088201A">
        <w:rPr>
          <w:lang w:val="en-AU" w:eastAsia="en-AU"/>
        </w:rPr>
        <w:t xml:space="preserve">evaluation </w:t>
      </w:r>
      <w:r w:rsidR="004A7799">
        <w:rPr>
          <w:lang w:val="en-AU" w:eastAsia="en-AU"/>
        </w:rPr>
        <w:t>questions (KEQs)</w:t>
      </w:r>
      <w:r w:rsidR="00505B92">
        <w:rPr>
          <w:lang w:val="en-AU" w:eastAsia="en-AU"/>
        </w:rPr>
        <w:t>, whil</w:t>
      </w:r>
      <w:r w:rsidR="008326BD">
        <w:rPr>
          <w:lang w:val="en-AU" w:eastAsia="en-AU"/>
        </w:rPr>
        <w:t>e</w:t>
      </w:r>
      <w:r w:rsidR="00594D10">
        <w:rPr>
          <w:lang w:val="en-AU" w:eastAsia="en-AU"/>
        </w:rPr>
        <w:t xml:space="preserve"> developing </w:t>
      </w:r>
      <w:r w:rsidR="005C2AB1">
        <w:rPr>
          <w:lang w:val="en-AU" w:eastAsia="en-AU"/>
        </w:rPr>
        <w:t xml:space="preserve">an explicit theory of change, </w:t>
      </w:r>
      <w:r w:rsidR="00E2680D">
        <w:rPr>
          <w:lang w:val="en-AU" w:eastAsia="en-AU"/>
        </w:rPr>
        <w:t>and including its</w:t>
      </w:r>
      <w:r w:rsidR="008326BD">
        <w:rPr>
          <w:lang w:val="en-AU" w:eastAsia="en-AU"/>
        </w:rPr>
        <w:t xml:space="preserve"> </w:t>
      </w:r>
      <w:r w:rsidR="00E2680D">
        <w:rPr>
          <w:lang w:val="en-AU" w:eastAsia="en-AU"/>
        </w:rPr>
        <w:t>own evaluation</w:t>
      </w:r>
      <w:r w:rsidR="004D314A">
        <w:rPr>
          <w:lang w:val="en-AU" w:eastAsia="en-AU"/>
        </w:rPr>
        <w:t xml:space="preserve"> activities</w:t>
      </w:r>
      <w:r w:rsidR="00607976">
        <w:rPr>
          <w:lang w:val="en-AU" w:eastAsia="en-AU"/>
        </w:rPr>
        <w:t>,</w:t>
      </w:r>
      <w:r w:rsidR="006A0B0F">
        <w:rPr>
          <w:lang w:val="en-AU" w:eastAsia="en-AU"/>
        </w:rPr>
        <w:t xml:space="preserve"> sub-</w:t>
      </w:r>
      <w:r w:rsidR="0006085C">
        <w:rPr>
          <w:lang w:val="en-AU" w:eastAsia="en-AU"/>
        </w:rPr>
        <w:t>research questions</w:t>
      </w:r>
      <w:r w:rsidR="00607976">
        <w:rPr>
          <w:lang w:val="en-AU" w:eastAsia="en-AU"/>
        </w:rPr>
        <w:t>, indicators and measures.</w:t>
      </w:r>
    </w:p>
    <w:p w14:paraId="43FC0BFA" w14:textId="5DD32C25" w:rsidR="003D6DEB" w:rsidRPr="00A6101E" w:rsidRDefault="00A6101E" w:rsidP="00A6101E">
      <w:pPr>
        <w:rPr>
          <w:rFonts w:ascii="Segoe UI Semibold" w:eastAsia="Times New Roman" w:hAnsi="Segoe UI Semibold" w:cs="Times New Roman"/>
          <w:color w:val="00264D" w:themeColor="background2"/>
          <w:sz w:val="22"/>
          <w:szCs w:val="19"/>
          <w:lang w:val="en-AU" w:eastAsia="en-AU"/>
        </w:rPr>
      </w:pPr>
      <w:r w:rsidRPr="00A6101E">
        <w:rPr>
          <w:rFonts w:ascii="Segoe UI Semibold" w:eastAsia="Times New Roman" w:hAnsi="Segoe UI Semibold" w:cs="Times New Roman"/>
          <w:color w:val="00264D" w:themeColor="background2"/>
          <w:sz w:val="22"/>
          <w:szCs w:val="19"/>
          <w:lang w:val="en-AU" w:eastAsia="en-AU"/>
        </w:rPr>
        <w:t xml:space="preserve">The program logic and theory of change outline the reasoning between completion of evaluation </w:t>
      </w:r>
      <w:r w:rsidR="00623AF9">
        <w:rPr>
          <w:rFonts w:ascii="Segoe UI Semibold" w:eastAsia="Times New Roman" w:hAnsi="Segoe UI Semibold" w:cs="Times New Roman"/>
          <w:color w:val="00264D" w:themeColor="background2"/>
          <w:sz w:val="22"/>
          <w:szCs w:val="19"/>
          <w:lang w:val="en-AU" w:eastAsia="en-AU"/>
        </w:rPr>
        <w:t>activities</w:t>
      </w:r>
      <w:r w:rsidRPr="00A6101E">
        <w:rPr>
          <w:rFonts w:ascii="Segoe UI Semibold" w:eastAsia="Times New Roman" w:hAnsi="Segoe UI Semibold" w:cs="Times New Roman"/>
          <w:color w:val="00264D" w:themeColor="background2"/>
          <w:sz w:val="22"/>
          <w:szCs w:val="19"/>
          <w:lang w:val="en-AU" w:eastAsia="en-AU"/>
        </w:rPr>
        <w:t xml:space="preserve"> and measurable changes in outcomes. </w:t>
      </w:r>
    </w:p>
    <w:p w14:paraId="2C04546D" w14:textId="00F11638" w:rsidR="00A6101E" w:rsidRDefault="006D0285" w:rsidP="00993117">
      <w:pPr>
        <w:rPr>
          <w:lang w:val="en-AU" w:eastAsia="en-AU"/>
        </w:rPr>
      </w:pPr>
      <w:r w:rsidRPr="006D0285">
        <w:rPr>
          <w:lang w:val="en-AU" w:eastAsia="en-AU"/>
        </w:rPr>
        <w:t xml:space="preserve">The Federal Government </w:t>
      </w:r>
      <w:r w:rsidR="00993117">
        <w:rPr>
          <w:lang w:val="en-AU" w:eastAsia="en-AU"/>
        </w:rPr>
        <w:t xml:space="preserve">has </w:t>
      </w:r>
      <w:r w:rsidRPr="006D0285">
        <w:rPr>
          <w:lang w:val="en-AU" w:eastAsia="en-AU"/>
        </w:rPr>
        <w:t>allocated $22 million and provided additional resources, including the establishment of the Pr</w:t>
      </w:r>
      <w:r w:rsidR="00130689">
        <w:rPr>
          <w:lang w:val="en-AU" w:eastAsia="en-AU"/>
        </w:rPr>
        <w:t>escribed</w:t>
      </w:r>
      <w:r w:rsidRPr="006D0285">
        <w:rPr>
          <w:lang w:val="en-AU" w:eastAsia="en-AU"/>
        </w:rPr>
        <w:t xml:space="preserve"> List Taskforce within the </w:t>
      </w:r>
      <w:r w:rsidR="00C0725E">
        <w:rPr>
          <w:lang w:val="en-AU" w:eastAsia="en-AU"/>
        </w:rPr>
        <w:t>Department</w:t>
      </w:r>
      <w:r w:rsidRPr="006D0285">
        <w:rPr>
          <w:lang w:val="en-AU" w:eastAsia="en-AU"/>
        </w:rPr>
        <w:t>, to drive the successful implementation of the reform program.</w:t>
      </w:r>
      <w:r w:rsidR="00993117">
        <w:rPr>
          <w:lang w:val="en-AU" w:eastAsia="en-AU"/>
        </w:rPr>
        <w:t xml:space="preserve"> </w:t>
      </w:r>
      <w:r w:rsidR="00993117" w:rsidRPr="00993117">
        <w:rPr>
          <w:lang w:val="en-AU" w:eastAsia="en-AU"/>
        </w:rPr>
        <w:t xml:space="preserve">The reform utilises various inputs such as </w:t>
      </w:r>
      <w:r w:rsidR="006B13C1">
        <w:rPr>
          <w:lang w:val="en-AU" w:eastAsia="en-AU"/>
        </w:rPr>
        <w:t>PL</w:t>
      </w:r>
      <w:r w:rsidR="00993117" w:rsidRPr="00993117">
        <w:rPr>
          <w:lang w:val="en-AU" w:eastAsia="en-AU"/>
        </w:rPr>
        <w:t xml:space="preserve"> data, reference pricing, clinical data, technological systems, and existing research, which support a series of targeted activities designed to refine documentation, engage stakeholders, enhance systems, and create a robust monitoring and evaluation framework.</w:t>
      </w:r>
      <w:r w:rsidR="00993117">
        <w:rPr>
          <w:lang w:val="en-AU" w:eastAsia="en-AU"/>
        </w:rPr>
        <w:t xml:space="preserve"> </w:t>
      </w:r>
    </w:p>
    <w:p w14:paraId="67658375" w14:textId="6ADD0146" w:rsidR="00993117" w:rsidRPr="00993117" w:rsidRDefault="00993117" w:rsidP="00993117">
      <w:pPr>
        <w:rPr>
          <w:lang w:val="en-AU" w:eastAsia="en-AU"/>
        </w:rPr>
      </w:pPr>
      <w:r w:rsidRPr="00993117">
        <w:rPr>
          <w:lang w:val="en-AU" w:eastAsia="en-AU"/>
        </w:rPr>
        <w:t>Activities conducted are expected to lead to distinct outcomes in the short term (e.g., reduced pricing disparities, legislative clarity, streamlined processes), medium term (e.g., improved compliance activities, transparent administration), and long term (e.g., better access to cost-effective prostheses, more affordable private health insurance).</w:t>
      </w:r>
      <w:r w:rsidR="00B132FC">
        <w:rPr>
          <w:lang w:val="en-AU" w:eastAsia="en-AU"/>
        </w:rPr>
        <w:t xml:space="preserve"> </w:t>
      </w:r>
      <w:r w:rsidR="00B132FC" w:rsidRPr="0088201A">
        <w:rPr>
          <w:lang w:val="en-AU" w:eastAsia="en-AU"/>
        </w:rPr>
        <w:t>The program logic diagram depicted in</w:t>
      </w:r>
      <w:r w:rsidR="00B132FC">
        <w:rPr>
          <w:lang w:val="en-AU" w:eastAsia="en-AU"/>
        </w:rPr>
        <w:t xml:space="preserve"> </w:t>
      </w:r>
      <w:r w:rsidR="00B132FC">
        <w:rPr>
          <w:lang w:val="en-AU" w:eastAsia="en-AU"/>
        </w:rPr>
        <w:fldChar w:fldCharType="begin"/>
      </w:r>
      <w:r w:rsidR="00B132FC">
        <w:rPr>
          <w:lang w:val="en-AU" w:eastAsia="en-AU"/>
        </w:rPr>
        <w:instrText xml:space="preserve"> REF _Ref142000480 \h </w:instrText>
      </w:r>
      <w:r w:rsidR="00B132FC">
        <w:rPr>
          <w:lang w:val="en-AU" w:eastAsia="en-AU"/>
        </w:rPr>
      </w:r>
      <w:r w:rsidR="00B132FC">
        <w:rPr>
          <w:lang w:val="en-AU" w:eastAsia="en-AU"/>
        </w:rPr>
        <w:fldChar w:fldCharType="separate"/>
      </w:r>
      <w:r w:rsidR="009B5D8D">
        <w:t xml:space="preserve">Figure </w:t>
      </w:r>
      <w:r w:rsidR="009B5D8D">
        <w:rPr>
          <w:noProof/>
        </w:rPr>
        <w:t>27</w:t>
      </w:r>
      <w:r w:rsidR="00B132FC">
        <w:rPr>
          <w:lang w:val="en-AU" w:eastAsia="en-AU"/>
        </w:rPr>
        <w:fldChar w:fldCharType="end"/>
      </w:r>
      <w:r w:rsidR="00B132FC" w:rsidRPr="0088201A">
        <w:rPr>
          <w:lang w:val="en-AU" w:eastAsia="en-AU"/>
        </w:rPr>
        <w:t xml:space="preserve"> provides a summary of </w:t>
      </w:r>
      <w:r w:rsidR="00B132FC">
        <w:rPr>
          <w:lang w:val="en-AU" w:eastAsia="en-AU"/>
        </w:rPr>
        <w:t>the reform program as described above</w:t>
      </w:r>
    </w:p>
    <w:p w14:paraId="6EC0A720" w14:textId="1A58642E" w:rsidR="00D84CD7" w:rsidRDefault="00993117" w:rsidP="00D84CD7">
      <w:pPr>
        <w:rPr>
          <w:lang w:val="en-AU" w:eastAsia="en-AU"/>
        </w:rPr>
      </w:pPr>
      <w:r w:rsidRPr="00993117">
        <w:rPr>
          <w:lang w:val="en-AU" w:eastAsia="en-AU"/>
        </w:rPr>
        <w:t>The theory of change posits that cost reduction in PL-listed items and PL administration will translate into better value for the public, with no adverse effects on patients' clinical outcomes, aligning spending on more valuable initiatives and improving value-for-money in private health cover.</w:t>
      </w:r>
      <w:r>
        <w:rPr>
          <w:lang w:val="en-AU" w:eastAsia="en-AU"/>
        </w:rPr>
        <w:t xml:space="preserve"> </w:t>
      </w:r>
      <w:r w:rsidRPr="00993117">
        <w:rPr>
          <w:lang w:val="en-AU" w:eastAsia="en-AU"/>
        </w:rPr>
        <w:t xml:space="preserve">The activities, outcomes, </w:t>
      </w:r>
      <w:r w:rsidRPr="00993117">
        <w:rPr>
          <w:lang w:val="en-AU" w:eastAsia="en-AU"/>
        </w:rPr>
        <w:lastRenderedPageBreak/>
        <w:t>and long-term objectives of the reform are linked causally, with these relationships detailed in the causal logic diagram</w:t>
      </w:r>
      <w:r w:rsidR="00CB67E3">
        <w:rPr>
          <w:lang w:val="en-AU" w:eastAsia="en-AU"/>
        </w:rPr>
        <w:t xml:space="preserve"> in</w:t>
      </w:r>
      <w:r w:rsidR="00D84CD7">
        <w:rPr>
          <w:lang w:val="en-AU" w:eastAsia="en-AU"/>
        </w:rPr>
        <w:t xml:space="preserve"> </w:t>
      </w:r>
      <w:r w:rsidR="00D84CD7">
        <w:rPr>
          <w:lang w:val="en-AU" w:eastAsia="en-AU"/>
        </w:rPr>
        <w:fldChar w:fldCharType="begin"/>
      </w:r>
      <w:r w:rsidR="00D84CD7">
        <w:rPr>
          <w:lang w:val="en-AU" w:eastAsia="en-AU"/>
        </w:rPr>
        <w:instrText xml:space="preserve"> REF _Ref142000496 \h </w:instrText>
      </w:r>
      <w:r w:rsidR="00D84CD7">
        <w:rPr>
          <w:lang w:val="en-AU" w:eastAsia="en-AU"/>
        </w:rPr>
      </w:r>
      <w:r w:rsidR="00D84CD7">
        <w:rPr>
          <w:lang w:val="en-AU" w:eastAsia="en-AU"/>
        </w:rPr>
        <w:fldChar w:fldCharType="separate"/>
      </w:r>
      <w:r w:rsidR="009B5D8D">
        <w:t xml:space="preserve">Figure </w:t>
      </w:r>
      <w:r w:rsidR="009B5D8D">
        <w:rPr>
          <w:noProof/>
        </w:rPr>
        <w:t>28</w:t>
      </w:r>
      <w:r w:rsidR="00D84CD7">
        <w:rPr>
          <w:lang w:val="en-AU" w:eastAsia="en-AU"/>
        </w:rPr>
        <w:fldChar w:fldCharType="end"/>
      </w:r>
      <w:r w:rsidRPr="00993117">
        <w:rPr>
          <w:lang w:val="en-AU" w:eastAsia="en-AU"/>
        </w:rPr>
        <w:t xml:space="preserve"> and encapsulated within the broader theory of change</w:t>
      </w:r>
      <w:r w:rsidR="00D84CD7">
        <w:rPr>
          <w:lang w:val="en-AU" w:eastAsia="en-AU"/>
        </w:rPr>
        <w:t xml:space="preserve">: </w:t>
      </w:r>
    </w:p>
    <w:p w14:paraId="6F28B634" w14:textId="5FCA4B89" w:rsidR="00D84CD7" w:rsidRPr="00DB46AC" w:rsidRDefault="00D84CD7" w:rsidP="00D84CD7">
      <w:pPr>
        <w:rPr>
          <w:rFonts w:asciiTheme="majorHAnsi" w:hAnsiTheme="majorHAnsi" w:cstheme="majorHAnsi"/>
          <w:i/>
          <w:iCs/>
        </w:rPr>
      </w:pPr>
      <w:r w:rsidRPr="00763472">
        <w:rPr>
          <w:rStyle w:val="cf01"/>
          <w:rFonts w:asciiTheme="majorHAnsi" w:hAnsiTheme="majorHAnsi" w:cstheme="majorHAnsi"/>
          <w:i/>
          <w:iCs/>
          <w:color w:val="00264D" w:themeColor="background2"/>
        </w:rPr>
        <w:t>If costs associated with the purchase of PL-listed items and with the administration of the PL are reduced, then this value will be passed to the public in the form of improved allocation of tax revenue to other valuable initiatives, reduced private health insurance premiums, or otherwise improved value-for-money in private health insurance. These</w:t>
      </w:r>
      <w:r>
        <w:rPr>
          <w:rStyle w:val="cf01"/>
          <w:rFonts w:asciiTheme="majorHAnsi" w:hAnsiTheme="majorHAnsi" w:cstheme="majorHAnsi"/>
          <w:i/>
          <w:iCs/>
          <w:color w:val="00264D" w:themeColor="background2"/>
        </w:rPr>
        <w:t xml:space="preserve"> cost</w:t>
      </w:r>
      <w:r w:rsidRPr="00763472">
        <w:rPr>
          <w:rStyle w:val="cf01"/>
          <w:rFonts w:asciiTheme="majorHAnsi" w:hAnsiTheme="majorHAnsi" w:cstheme="majorHAnsi"/>
          <w:i/>
          <w:iCs/>
          <w:color w:val="00264D" w:themeColor="background2"/>
        </w:rPr>
        <w:t xml:space="preserve"> reductions can be achieved without any negative impacts to </w:t>
      </w:r>
      <w:r>
        <w:rPr>
          <w:rStyle w:val="cf01"/>
          <w:rFonts w:asciiTheme="majorHAnsi" w:hAnsiTheme="majorHAnsi" w:cstheme="majorHAnsi"/>
          <w:i/>
          <w:iCs/>
          <w:color w:val="00264D" w:themeColor="background2"/>
        </w:rPr>
        <w:t>consumers and their</w:t>
      </w:r>
      <w:r w:rsidRPr="00763472">
        <w:rPr>
          <w:rStyle w:val="cf01"/>
          <w:rFonts w:asciiTheme="majorHAnsi" w:hAnsiTheme="majorHAnsi" w:cstheme="majorHAnsi"/>
          <w:i/>
          <w:iCs/>
          <w:color w:val="00264D" w:themeColor="background2"/>
        </w:rPr>
        <w:t xml:space="preserve"> clinical outcomes.</w:t>
      </w:r>
    </w:p>
    <w:p w14:paraId="632FC06F" w14:textId="07E2EB92" w:rsidR="00993117" w:rsidRDefault="00993117" w:rsidP="00993117">
      <w:pPr>
        <w:rPr>
          <w:lang w:val="en-AU" w:eastAsia="en-AU"/>
        </w:rPr>
        <w:sectPr w:rsidR="00993117" w:rsidSect="00081654">
          <w:pgSz w:w="11907" w:h="16839" w:code="9"/>
          <w:pgMar w:top="1247" w:right="1418" w:bottom="1701" w:left="1418" w:header="720" w:footer="720" w:gutter="0"/>
          <w:cols w:space="720"/>
          <w:docGrid w:linePitch="360"/>
        </w:sectPr>
      </w:pPr>
    </w:p>
    <w:p w14:paraId="7D290A62" w14:textId="0C515626" w:rsidR="00C920F1" w:rsidRDefault="00C920F1" w:rsidP="009A41C2">
      <w:pPr>
        <w:pStyle w:val="Caption"/>
        <w:spacing w:before="240"/>
        <w:rPr>
          <w:lang w:eastAsia="en-AU"/>
        </w:rPr>
      </w:pPr>
      <w:bookmarkStart w:id="105" w:name="_Ref142000480"/>
      <w:r>
        <w:lastRenderedPageBreak/>
        <w:t xml:space="preserve">Figure </w:t>
      </w:r>
      <w:r>
        <w:fldChar w:fldCharType="begin"/>
      </w:r>
      <w:r>
        <w:instrText xml:space="preserve"> SEQ Figure \* ARABIC </w:instrText>
      </w:r>
      <w:r>
        <w:fldChar w:fldCharType="separate"/>
      </w:r>
      <w:r w:rsidR="009B5D8D">
        <w:rPr>
          <w:noProof/>
        </w:rPr>
        <w:t>27</w:t>
      </w:r>
      <w:r>
        <w:fldChar w:fldCharType="end"/>
      </w:r>
      <w:bookmarkEnd w:id="105"/>
      <w:r>
        <w:rPr>
          <w:lang w:eastAsia="en-AU"/>
        </w:rPr>
        <w:t xml:space="preserve"> | Pr</w:t>
      </w:r>
      <w:r w:rsidR="00943DAD">
        <w:rPr>
          <w:lang w:eastAsia="en-AU"/>
        </w:rPr>
        <w:t>escribed</w:t>
      </w:r>
      <w:r>
        <w:rPr>
          <w:lang w:eastAsia="en-AU"/>
        </w:rPr>
        <w:t xml:space="preserve"> List Reform Program Logic</w:t>
      </w:r>
    </w:p>
    <w:p w14:paraId="3ADD4A15" w14:textId="4493ACE7" w:rsidR="00400863" w:rsidRDefault="00916C9B" w:rsidP="00D13DE7">
      <w:pPr>
        <w:rPr>
          <w:lang w:val="en-AU" w:eastAsia="en-AU"/>
        </w:rPr>
      </w:pPr>
      <w:r>
        <w:rPr>
          <w:noProof/>
          <w:lang w:val="en-AU" w:eastAsia="en-AU"/>
        </w:rPr>
        <w:drawing>
          <wp:inline distT="0" distB="0" distL="0" distR="0" wp14:anchorId="705CEC43" wp14:editId="5635EBBC">
            <wp:extent cx="8809630" cy="5312797"/>
            <wp:effectExtent l="0" t="0" r="0" b="2540"/>
            <wp:docPr id="54" name="Picture 54" descr="A figure of the protheses list reform program logic. It figure has a theory of change, descriptions under program logic categories, and the objectives of the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figure of the protheses list reform program logic. It figure has a theory of change, descriptions under program logic categories, and the objectives of the reform."/>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833861" cy="5327410"/>
                    </a:xfrm>
                    <a:prstGeom prst="rect">
                      <a:avLst/>
                    </a:prstGeom>
                  </pic:spPr>
                </pic:pic>
              </a:graphicData>
            </a:graphic>
          </wp:inline>
        </w:drawing>
      </w:r>
    </w:p>
    <w:p w14:paraId="02F4A281" w14:textId="08A0779B" w:rsidR="002D0BCA" w:rsidRDefault="002D0BCA" w:rsidP="002D0BCA">
      <w:pPr>
        <w:pStyle w:val="Caption"/>
        <w:rPr>
          <w:lang w:eastAsia="en-AU"/>
        </w:rPr>
      </w:pPr>
      <w:bookmarkStart w:id="106" w:name="_Ref142000496"/>
      <w:r>
        <w:lastRenderedPageBreak/>
        <w:t xml:space="preserve">Figure </w:t>
      </w:r>
      <w:r>
        <w:fldChar w:fldCharType="begin"/>
      </w:r>
      <w:r>
        <w:instrText xml:space="preserve"> SEQ Figure \* ARABIC </w:instrText>
      </w:r>
      <w:r>
        <w:fldChar w:fldCharType="separate"/>
      </w:r>
      <w:r w:rsidR="009B5D8D">
        <w:rPr>
          <w:noProof/>
        </w:rPr>
        <w:t>28</w:t>
      </w:r>
      <w:r>
        <w:fldChar w:fldCharType="end"/>
      </w:r>
      <w:bookmarkEnd w:id="106"/>
      <w:r>
        <w:t xml:space="preserve"> </w:t>
      </w:r>
      <w:r>
        <w:rPr>
          <w:lang w:eastAsia="en-AU"/>
        </w:rPr>
        <w:t>| Causal logic diagram</w:t>
      </w:r>
    </w:p>
    <w:p w14:paraId="73F5C1CD" w14:textId="4DBE328D" w:rsidR="00916C9B" w:rsidRDefault="003C104F" w:rsidP="00D13DE7">
      <w:pPr>
        <w:rPr>
          <w:lang w:val="en-AU" w:eastAsia="en-AU"/>
        </w:rPr>
      </w:pPr>
      <w:r>
        <w:rPr>
          <w:noProof/>
          <w:lang w:val="en-AU" w:eastAsia="en-AU"/>
        </w:rPr>
        <w:drawing>
          <wp:inline distT="0" distB="0" distL="0" distR="0" wp14:anchorId="14A6176D" wp14:editId="117A1C40">
            <wp:extent cx="8843749" cy="5374561"/>
            <wp:effectExtent l="0" t="0" r="0" b="0"/>
            <wp:docPr id="55" name="Picture 55" descr="A diagram showing causal logic from activity to immediate outcomes to secondary outcomes to impacts. The objectives of the reform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showing causal logic from activity to immediate outcomes to secondary outcomes to impacts. The objectives of the reform are includ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858405" cy="5383468"/>
                    </a:xfrm>
                    <a:prstGeom prst="rect">
                      <a:avLst/>
                    </a:prstGeom>
                  </pic:spPr>
                </pic:pic>
              </a:graphicData>
            </a:graphic>
          </wp:inline>
        </w:drawing>
      </w:r>
    </w:p>
    <w:p w14:paraId="38F2045E" w14:textId="77777777" w:rsidR="00400863" w:rsidRDefault="00400863" w:rsidP="00D13DE7">
      <w:pPr>
        <w:rPr>
          <w:lang w:val="en-AU" w:eastAsia="en-AU"/>
        </w:rPr>
        <w:sectPr w:rsidR="00400863" w:rsidSect="009A41C2">
          <w:pgSz w:w="16839" w:h="11907" w:orient="landscape" w:code="9"/>
          <w:pgMar w:top="1418" w:right="1418" w:bottom="1418" w:left="1418" w:header="720" w:footer="720" w:gutter="0"/>
          <w:cols w:space="720"/>
          <w:docGrid w:linePitch="360"/>
        </w:sectPr>
      </w:pPr>
    </w:p>
    <w:p w14:paraId="430E4638" w14:textId="39944D0E" w:rsidR="001B4E78" w:rsidRPr="001B4E78" w:rsidRDefault="00623AF9" w:rsidP="001B4E78">
      <w:pPr>
        <w:rPr>
          <w:highlight w:val="yellow"/>
          <w:lang w:val="en-AU" w:eastAsia="en-AU"/>
        </w:rPr>
      </w:pPr>
      <w:r w:rsidRPr="00623AF9">
        <w:rPr>
          <w:rFonts w:ascii="Segoe UI Semibold" w:eastAsia="Times New Roman" w:hAnsi="Segoe UI Semibold" w:cs="Times New Roman"/>
          <w:color w:val="00264D" w:themeColor="background2"/>
          <w:sz w:val="22"/>
          <w:szCs w:val="19"/>
          <w:lang w:val="en-AU" w:eastAsia="en-AU"/>
        </w:rPr>
        <w:lastRenderedPageBreak/>
        <w:t xml:space="preserve">The scope of this evaluation is informed by both a formative and summative evaluation approach </w:t>
      </w:r>
    </w:p>
    <w:p w14:paraId="51C8758F" w14:textId="6C0408E7" w:rsidR="00223486" w:rsidRDefault="001B4E78" w:rsidP="00A61349">
      <w:pPr>
        <w:rPr>
          <w:lang w:val="en-AU" w:eastAsia="en-AU"/>
        </w:rPr>
      </w:pPr>
      <w:r w:rsidRPr="00091C03">
        <w:t xml:space="preserve">The evaluation consists of three components – a baseline report, </w:t>
      </w:r>
      <w:r w:rsidR="005B02CF">
        <w:t>interim</w:t>
      </w:r>
      <w:r w:rsidRPr="00091C03">
        <w:t xml:space="preserve"> reports and a final report</w:t>
      </w:r>
      <w:r w:rsidR="00623AF9">
        <w:rPr>
          <w:lang w:val="en-AU" w:eastAsia="en-AU"/>
        </w:rPr>
        <w:t xml:space="preserve">. </w:t>
      </w:r>
      <w:r w:rsidR="0097010E" w:rsidRPr="0097010E">
        <w:rPr>
          <w:lang w:val="en-AU" w:eastAsia="en-AU"/>
        </w:rPr>
        <w:t>Each of the reports that the evaluation produces will have a distinct purpose.</w:t>
      </w:r>
      <w:r w:rsidR="0097010E">
        <w:rPr>
          <w:lang w:val="en-AU" w:eastAsia="en-AU"/>
        </w:rPr>
        <w:t xml:space="preserve"> This first interim report is a key </w:t>
      </w:r>
      <w:r w:rsidR="004B513C" w:rsidRPr="0097010E">
        <w:rPr>
          <w:lang w:val="en-AU" w:eastAsia="en-AU"/>
        </w:rPr>
        <w:t xml:space="preserve">milestone in the </w:t>
      </w:r>
      <w:r w:rsidR="00A575C0" w:rsidRPr="0097010E">
        <w:rPr>
          <w:lang w:val="en-AU" w:eastAsia="en-AU"/>
        </w:rPr>
        <w:t xml:space="preserve">progress monitoring stage of the evaluation. </w:t>
      </w:r>
      <w:r w:rsidR="00D44F99">
        <w:rPr>
          <w:lang w:val="en-AU" w:eastAsia="en-AU"/>
        </w:rPr>
        <w:t>As</w:t>
      </w:r>
      <w:r w:rsidR="00223486">
        <w:rPr>
          <w:lang w:val="en-AU" w:eastAsia="en-AU"/>
        </w:rPr>
        <w:t xml:space="preserve"> </w:t>
      </w:r>
      <w:r w:rsidR="00D44F99">
        <w:rPr>
          <w:lang w:val="en-AU" w:eastAsia="en-AU"/>
        </w:rPr>
        <w:t>the</w:t>
      </w:r>
      <w:r w:rsidR="00D44F99" w:rsidRPr="00D44F99">
        <w:rPr>
          <w:lang w:val="en-AU" w:eastAsia="en-AU"/>
        </w:rPr>
        <w:t xml:space="preserve"> evaluation is </w:t>
      </w:r>
      <w:r w:rsidR="00D44F99">
        <w:rPr>
          <w:lang w:val="en-AU" w:eastAsia="en-AU"/>
        </w:rPr>
        <w:t>occurring</w:t>
      </w:r>
      <w:r w:rsidR="00D44F99" w:rsidRPr="00D44F99">
        <w:rPr>
          <w:lang w:val="en-AU" w:eastAsia="en-AU"/>
        </w:rPr>
        <w:t xml:space="preserve"> at a time where PL reform activities are ongoing and where some outcomes are yet to be realised, Nous will share ongoing findings with the </w:t>
      </w:r>
      <w:r w:rsidR="00C0725E">
        <w:rPr>
          <w:lang w:val="en-AU" w:eastAsia="en-AU"/>
        </w:rPr>
        <w:t>Department</w:t>
      </w:r>
      <w:r w:rsidR="00D7693F">
        <w:rPr>
          <w:lang w:val="en-AU" w:eastAsia="en-AU"/>
        </w:rPr>
        <w:t>. These</w:t>
      </w:r>
      <w:r w:rsidR="00D7693F" w:rsidRPr="00D7693F">
        <w:rPr>
          <w:lang w:val="en-AU" w:eastAsia="en-AU"/>
        </w:rPr>
        <w:t xml:space="preserve"> formative aspects of the evaluation</w:t>
      </w:r>
      <w:r w:rsidR="00D7693F">
        <w:rPr>
          <w:lang w:val="en-AU" w:eastAsia="en-AU"/>
        </w:rPr>
        <w:t xml:space="preserve"> are</w:t>
      </w:r>
      <w:r w:rsidR="00D44F99" w:rsidRPr="00D44F99">
        <w:rPr>
          <w:lang w:val="en-AU" w:eastAsia="en-AU"/>
        </w:rPr>
        <w:t xml:space="preserve"> in the interest of improving PL reform activities and outputs to achieve the desired outcomes and mitigate against any unintended negative consequences.</w:t>
      </w:r>
    </w:p>
    <w:p w14:paraId="11BE3D38" w14:textId="4C42A63E" w:rsidR="00D44F99" w:rsidRDefault="00A61349" w:rsidP="00D13DE7">
      <w:pPr>
        <w:rPr>
          <w:lang w:val="en-AU" w:eastAsia="en-AU"/>
        </w:rPr>
      </w:pPr>
      <w:r w:rsidRPr="00A61349">
        <w:rPr>
          <w:lang w:val="en-AU" w:eastAsia="en-AU"/>
        </w:rPr>
        <w:t xml:space="preserve">The evaluation will also have summative components to understand the actions that have already been done (and will be done) and to assess early outcomes. </w:t>
      </w:r>
      <w:r w:rsidR="00D44F99">
        <w:rPr>
          <w:lang w:val="en-AU" w:eastAsia="en-AU"/>
        </w:rPr>
        <w:t>This</w:t>
      </w:r>
      <w:r w:rsidRPr="00A61349">
        <w:rPr>
          <w:lang w:val="en-AU" w:eastAsia="en-AU"/>
        </w:rPr>
        <w:t xml:space="preserve"> report </w:t>
      </w:r>
      <w:r w:rsidR="00D44F99">
        <w:rPr>
          <w:lang w:val="en-AU" w:eastAsia="en-AU"/>
        </w:rPr>
        <w:t>contains</w:t>
      </w:r>
      <w:r w:rsidRPr="00A61349">
        <w:rPr>
          <w:lang w:val="en-AU" w:eastAsia="en-AU"/>
        </w:rPr>
        <w:t xml:space="preserve"> some summative analysis of early </w:t>
      </w:r>
      <w:r w:rsidR="00D44F99" w:rsidRPr="00A61349">
        <w:rPr>
          <w:lang w:val="en-AU" w:eastAsia="en-AU"/>
        </w:rPr>
        <w:t>activities,</w:t>
      </w:r>
      <w:r w:rsidRPr="00A61349">
        <w:rPr>
          <w:lang w:val="en-AU" w:eastAsia="en-AU"/>
        </w:rPr>
        <w:t xml:space="preserve"> and the final evaluation report will provide more substantial summative analysis of the PL Reforms. The evaluation will also consider the extent to which the reform activities have been implemented as planned at </w:t>
      </w:r>
      <w:r w:rsidR="00D44F99" w:rsidRPr="00A61349">
        <w:rPr>
          <w:lang w:val="en-AU" w:eastAsia="en-AU"/>
        </w:rPr>
        <w:t>completion and</w:t>
      </w:r>
      <w:r w:rsidRPr="00A61349">
        <w:rPr>
          <w:lang w:val="en-AU" w:eastAsia="en-AU"/>
        </w:rPr>
        <w:t xml:space="preserve"> will distil lessons learned from the implementation experience to inform ongoing monitoring and evaluation of the PL itself.</w:t>
      </w:r>
    </w:p>
    <w:p w14:paraId="2456D532" w14:textId="56D03F64" w:rsidR="00341D1C" w:rsidRDefault="00341D1C" w:rsidP="00D13DE7">
      <w:pPr>
        <w:rPr>
          <w:lang w:val="en-AU" w:eastAsia="en-AU"/>
        </w:rPr>
      </w:pPr>
      <w:r w:rsidRPr="0088201A">
        <w:rPr>
          <w:lang w:val="en-AU"/>
        </w:rPr>
        <w:t>Key elements of the evaluation’s scope are outlined below</w:t>
      </w:r>
      <w:r>
        <w:rPr>
          <w:lang w:val="en-AU"/>
        </w:rPr>
        <w:t xml:space="preserve"> in </w:t>
      </w:r>
      <w:r>
        <w:rPr>
          <w:lang w:val="en-AU"/>
        </w:rPr>
        <w:fldChar w:fldCharType="begin"/>
      </w:r>
      <w:r>
        <w:rPr>
          <w:lang w:val="en-AU"/>
        </w:rPr>
        <w:instrText xml:space="preserve"> REF _Ref141884015 \h </w:instrText>
      </w:r>
      <w:r>
        <w:rPr>
          <w:lang w:val="en-AU"/>
        </w:rPr>
      </w:r>
      <w:r>
        <w:rPr>
          <w:lang w:val="en-AU"/>
        </w:rPr>
        <w:fldChar w:fldCharType="separate"/>
      </w:r>
      <w:r w:rsidR="009B5D8D" w:rsidRPr="0088201A">
        <w:t xml:space="preserve">Table </w:t>
      </w:r>
      <w:r w:rsidR="009B5D8D">
        <w:rPr>
          <w:noProof/>
        </w:rPr>
        <w:t>21</w:t>
      </w:r>
      <w:r>
        <w:rPr>
          <w:lang w:val="en-AU"/>
        </w:rPr>
        <w:fldChar w:fldCharType="end"/>
      </w:r>
      <w:r>
        <w:rPr>
          <w:lang w:val="en-AU"/>
        </w:rPr>
        <w:t xml:space="preserve">. </w:t>
      </w:r>
    </w:p>
    <w:p w14:paraId="42898F77" w14:textId="6A7DD06D" w:rsidR="001B0155" w:rsidRPr="0088201A" w:rsidRDefault="001B0155" w:rsidP="001B0155">
      <w:pPr>
        <w:pStyle w:val="Caption"/>
      </w:pPr>
      <w:bookmarkStart w:id="107" w:name="_Ref141884015"/>
      <w:bookmarkStart w:id="108" w:name="_Ref170394453"/>
      <w:r w:rsidRPr="0088201A">
        <w:t xml:space="preserve">Table </w:t>
      </w:r>
      <w:r w:rsidRPr="0088201A">
        <w:fldChar w:fldCharType="begin"/>
      </w:r>
      <w:r w:rsidRPr="0088201A">
        <w:instrText xml:space="preserve"> SEQ Table \* ARABIC </w:instrText>
      </w:r>
      <w:r w:rsidRPr="0088201A">
        <w:fldChar w:fldCharType="separate"/>
      </w:r>
      <w:r w:rsidR="009B5D8D">
        <w:rPr>
          <w:noProof/>
        </w:rPr>
        <w:t>21</w:t>
      </w:r>
      <w:r w:rsidRPr="0088201A">
        <w:fldChar w:fldCharType="end"/>
      </w:r>
      <w:bookmarkEnd w:id="107"/>
      <w:r w:rsidRPr="0088201A">
        <w:t xml:space="preserve"> | Scope of the evaluation</w:t>
      </w:r>
      <w:bookmarkEnd w:id="108"/>
    </w:p>
    <w:tbl>
      <w:tblPr>
        <w:tblStyle w:val="NOUSSideHeader"/>
        <w:tblW w:w="9072" w:type="dxa"/>
        <w:tblInd w:w="-30" w:type="dxa"/>
        <w:tblLook w:val="04A0" w:firstRow="1" w:lastRow="0" w:firstColumn="1" w:lastColumn="0" w:noHBand="0" w:noVBand="1"/>
      </w:tblPr>
      <w:tblGrid>
        <w:gridCol w:w="2694"/>
        <w:gridCol w:w="6378"/>
      </w:tblGrid>
      <w:tr w:rsidR="00B75773" w14:paraId="243F10B7" w14:textId="77777777" w:rsidTr="000128D8">
        <w:tc>
          <w:tcPr>
            <w:cnfStyle w:val="001000000000" w:firstRow="0" w:lastRow="0" w:firstColumn="1" w:lastColumn="0" w:oddVBand="0" w:evenVBand="0" w:oddHBand="0" w:evenHBand="0" w:firstRowFirstColumn="0" w:firstRowLastColumn="0" w:lastRowFirstColumn="0" w:lastRowLastColumn="0"/>
            <w:tcW w:w="2694" w:type="dxa"/>
          </w:tcPr>
          <w:p w14:paraId="3251A106" w14:textId="77777777" w:rsidR="001B0155" w:rsidRPr="0088201A" w:rsidRDefault="001B0155" w:rsidP="00400566">
            <w:pPr>
              <w:pStyle w:val="TableNheader"/>
              <w:keepNext w:val="0"/>
              <w:keepLines/>
              <w:jc w:val="left"/>
              <w:rPr>
                <w:b w:val="0"/>
              </w:rPr>
            </w:pPr>
            <w:r w:rsidRPr="0088201A">
              <w:rPr>
                <w:b w:val="0"/>
                <w:bCs/>
              </w:rPr>
              <w:t>In</w:t>
            </w:r>
            <w:r>
              <w:rPr>
                <w:b w:val="0"/>
                <w:bCs/>
              </w:rPr>
              <w:t>-</w:t>
            </w:r>
            <w:r w:rsidRPr="0088201A">
              <w:rPr>
                <w:b w:val="0"/>
                <w:bCs/>
              </w:rPr>
              <w:t>scope aspects of the evaluation</w:t>
            </w:r>
          </w:p>
        </w:tc>
        <w:tc>
          <w:tcPr>
            <w:tcW w:w="6378" w:type="dxa"/>
          </w:tcPr>
          <w:p w14:paraId="009B2B7D" w14:textId="2081C302"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 xml:space="preserve">PL </w:t>
            </w:r>
            <w:r>
              <w:t>r</w:t>
            </w:r>
            <w:r w:rsidRPr="0088201A">
              <w:t>eform implementation, effectiveness and impact (extent to which intended outcomes were achieved)</w:t>
            </w:r>
          </w:p>
          <w:p w14:paraId="5BE018C0" w14:textId="2D22DEEC"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Unintended positive or negative consequences beyond the expected outcomes</w:t>
            </w:r>
          </w:p>
          <w:p w14:paraId="3F225C63" w14:textId="2DCECA3E"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Experiences of consumers, private health insurers, private hospitals, public hospitals, medical device</w:t>
            </w:r>
            <w:r>
              <w:t xml:space="preserve"> sponsors</w:t>
            </w:r>
            <w:r w:rsidRPr="0088201A">
              <w:t xml:space="preserve"> and clinicians</w:t>
            </w:r>
          </w:p>
        </w:tc>
      </w:tr>
      <w:tr w:rsidR="00B75773" w14:paraId="1D194C91" w14:textId="77777777" w:rsidTr="000128D8">
        <w:tc>
          <w:tcPr>
            <w:cnfStyle w:val="001000000000" w:firstRow="0" w:lastRow="0" w:firstColumn="1" w:lastColumn="0" w:oddVBand="0" w:evenVBand="0" w:oddHBand="0" w:evenHBand="0" w:firstRowFirstColumn="0" w:firstRowLastColumn="0" w:lastRowFirstColumn="0" w:lastRowLastColumn="0"/>
            <w:tcW w:w="2694" w:type="dxa"/>
          </w:tcPr>
          <w:p w14:paraId="227112A6" w14:textId="0F3799BF" w:rsidR="001B0155" w:rsidRPr="0088201A" w:rsidRDefault="001B0155" w:rsidP="00400566">
            <w:pPr>
              <w:pStyle w:val="TableNheader"/>
              <w:keepNext w:val="0"/>
              <w:keepLines/>
              <w:jc w:val="left"/>
              <w:rPr>
                <w:b w:val="0"/>
              </w:rPr>
            </w:pPr>
            <w:r w:rsidRPr="0088201A">
              <w:rPr>
                <w:b w:val="0"/>
                <w:bCs/>
              </w:rPr>
              <w:t>Out</w:t>
            </w:r>
            <w:r>
              <w:rPr>
                <w:b w:val="0"/>
                <w:bCs/>
              </w:rPr>
              <w:t>-</w:t>
            </w:r>
            <w:r w:rsidRPr="0088201A">
              <w:rPr>
                <w:b w:val="0"/>
                <w:bCs/>
              </w:rPr>
              <w:t>of</w:t>
            </w:r>
            <w:r>
              <w:rPr>
                <w:b w:val="0"/>
                <w:bCs/>
              </w:rPr>
              <w:t>-</w:t>
            </w:r>
            <w:r w:rsidRPr="0088201A">
              <w:rPr>
                <w:b w:val="0"/>
                <w:bCs/>
              </w:rPr>
              <w:t>scope aspects of the evaluation</w:t>
            </w:r>
          </w:p>
        </w:tc>
        <w:tc>
          <w:tcPr>
            <w:tcW w:w="6378" w:type="dxa"/>
          </w:tcPr>
          <w:p w14:paraId="66E53FCC" w14:textId="71318370"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t>Full cost-benefit analysis and/or economic evaluation, beyond that required to establish the suitability/sustainability of cost recovery efforts</w:t>
            </w:r>
          </w:p>
          <w:p w14:paraId="03CD589E" w14:textId="138C5481"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 xml:space="preserve">Evaluation of the </w:t>
            </w:r>
            <w:r w:rsidR="00C0725E">
              <w:t>Department</w:t>
            </w:r>
            <w:r w:rsidRPr="0088201A">
              <w:t xml:space="preserve">’s wider </w:t>
            </w:r>
            <w:r>
              <w:t>PHI</w:t>
            </w:r>
            <w:r w:rsidRPr="0088201A">
              <w:t xml:space="preserve"> reforms</w:t>
            </w:r>
          </w:p>
          <w:p w14:paraId="77CD6143" w14:textId="0992933C"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t>Evaluation or analysis of PL components not impacted by the scope of the reforms</w:t>
            </w:r>
          </w:p>
        </w:tc>
      </w:tr>
      <w:tr w:rsidR="00B75773" w14:paraId="0F57620D" w14:textId="77777777" w:rsidTr="000128D8">
        <w:tc>
          <w:tcPr>
            <w:cnfStyle w:val="001000000000" w:firstRow="0" w:lastRow="0" w:firstColumn="1" w:lastColumn="0" w:oddVBand="0" w:evenVBand="0" w:oddHBand="0" w:evenHBand="0" w:firstRowFirstColumn="0" w:firstRowLastColumn="0" w:lastRowFirstColumn="0" w:lastRowLastColumn="0"/>
            <w:tcW w:w="2694" w:type="dxa"/>
          </w:tcPr>
          <w:p w14:paraId="6E9B08A7" w14:textId="77777777" w:rsidR="001B0155" w:rsidRPr="0088201A" w:rsidRDefault="001B0155" w:rsidP="00400566">
            <w:pPr>
              <w:pStyle w:val="TableNheader"/>
              <w:keepNext w:val="0"/>
              <w:keepLines/>
              <w:jc w:val="left"/>
              <w:rPr>
                <w:b w:val="0"/>
              </w:rPr>
            </w:pPr>
            <w:r w:rsidRPr="0088201A">
              <w:rPr>
                <w:b w:val="0"/>
                <w:bCs/>
              </w:rPr>
              <w:t>Any context or related activities that need to be considered</w:t>
            </w:r>
          </w:p>
        </w:tc>
        <w:tc>
          <w:tcPr>
            <w:tcW w:w="6378" w:type="dxa"/>
          </w:tcPr>
          <w:p w14:paraId="4CA7CE6D" w14:textId="57272B61"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Understanding of the Government’s PHI reforms and policy agenda</w:t>
            </w:r>
          </w:p>
          <w:p w14:paraId="5CA70AD5" w14:textId="14B80620" w:rsidR="001B0155" w:rsidRPr="0088201A" w:rsidRDefault="001B0155" w:rsidP="00400566">
            <w:pPr>
              <w:pStyle w:val="TableNBullet"/>
              <w:keepLines/>
              <w:cnfStyle w:val="000000000000" w:firstRow="0" w:lastRow="0" w:firstColumn="0" w:lastColumn="0" w:oddVBand="0" w:evenVBand="0" w:oddHBand="0" w:evenHBand="0" w:firstRowFirstColumn="0" w:firstRowLastColumn="0" w:lastRowFirstColumn="0" w:lastRowLastColumn="0"/>
            </w:pPr>
            <w:r w:rsidRPr="0088201A">
              <w:t>Understanding of stakeholder consultations and input to the PL Reforms that have already taken place and how reform activities have changed as a result of these</w:t>
            </w:r>
          </w:p>
        </w:tc>
      </w:tr>
    </w:tbl>
    <w:p w14:paraId="04777EBC" w14:textId="18069E38" w:rsidR="00580EB8" w:rsidRDefault="00580EB8" w:rsidP="0011201A">
      <w:pPr>
        <w:pStyle w:val="xAppendixLevel2"/>
      </w:pPr>
      <w:bookmarkStart w:id="109" w:name="_Ref170379350"/>
      <w:bookmarkStart w:id="110" w:name="_Toc181405104"/>
      <w:r>
        <w:t xml:space="preserve">Overall approach and </w:t>
      </w:r>
      <w:r w:rsidR="002B1CAB">
        <w:t>KEQs</w:t>
      </w:r>
      <w:bookmarkEnd w:id="109"/>
      <w:bookmarkEnd w:id="110"/>
    </w:p>
    <w:p w14:paraId="49D02C8A" w14:textId="59C12A7B" w:rsidR="005D2C1C" w:rsidRPr="00413DDC" w:rsidRDefault="00571EA0" w:rsidP="00413DDC">
      <w:pPr>
        <w:rPr>
          <w:rStyle w:val="Strong"/>
        </w:rPr>
      </w:pPr>
      <w:r w:rsidRPr="00413DDC">
        <w:rPr>
          <w:rStyle w:val="Strong"/>
        </w:rPr>
        <w:t>The evaluation is guided by three KEQs</w:t>
      </w:r>
    </w:p>
    <w:p w14:paraId="55209806" w14:textId="77777777" w:rsidR="00103B9D" w:rsidRPr="00103B9D" w:rsidRDefault="00103B9D" w:rsidP="00103B9D">
      <w:pPr>
        <w:rPr>
          <w:lang w:val="en-AU" w:eastAsia="en-AU"/>
        </w:rPr>
      </w:pPr>
      <w:r w:rsidRPr="00103B9D">
        <w:rPr>
          <w:lang w:val="en-AU" w:eastAsia="en-AU"/>
        </w:rPr>
        <w:t>There are three key evaluation questions (KEQs) for the evaluation:</w:t>
      </w:r>
    </w:p>
    <w:p w14:paraId="5E750967" w14:textId="7ABA4F31" w:rsidR="00103B9D" w:rsidRPr="00943DAD" w:rsidRDefault="00103B9D" w:rsidP="00943DAD">
      <w:pPr>
        <w:pStyle w:val="Listnumbered"/>
        <w:numPr>
          <w:ilvl w:val="0"/>
          <w:numId w:val="40"/>
        </w:numPr>
        <w:rPr>
          <w:lang w:val="en-AU" w:eastAsia="en-AU"/>
        </w:rPr>
      </w:pPr>
      <w:r w:rsidRPr="00943DAD">
        <w:rPr>
          <w:lang w:val="en-AU" w:eastAsia="en-AU"/>
        </w:rPr>
        <w:t xml:space="preserve">Is the PL </w:t>
      </w:r>
      <w:r w:rsidR="00943DAD" w:rsidRPr="00943DAD">
        <w:rPr>
          <w:lang w:val="en-AU" w:eastAsia="en-AU"/>
        </w:rPr>
        <w:t>r</w:t>
      </w:r>
      <w:r w:rsidRPr="00943DAD">
        <w:rPr>
          <w:lang w:val="en-AU" w:eastAsia="en-AU"/>
        </w:rPr>
        <w:t xml:space="preserve">eform </w:t>
      </w:r>
      <w:r w:rsidR="00943DAD" w:rsidRPr="00943DAD">
        <w:rPr>
          <w:lang w:val="en-AU" w:eastAsia="en-AU"/>
        </w:rPr>
        <w:t>p</w:t>
      </w:r>
      <w:r w:rsidRPr="00943DAD">
        <w:rPr>
          <w:lang w:val="en-AU" w:eastAsia="en-AU"/>
        </w:rPr>
        <w:t>rogram being implemented as intended?</w:t>
      </w:r>
    </w:p>
    <w:p w14:paraId="4AF68B7C" w14:textId="7152BAE1" w:rsidR="00103B9D" w:rsidRPr="00103B9D" w:rsidRDefault="00103B9D" w:rsidP="002738F4">
      <w:pPr>
        <w:pStyle w:val="Listnumbered"/>
        <w:rPr>
          <w:lang w:val="en-AU" w:eastAsia="en-AU"/>
        </w:rPr>
      </w:pPr>
      <w:r w:rsidRPr="28E2C4BB">
        <w:rPr>
          <w:lang w:val="en-AU" w:eastAsia="en-AU"/>
        </w:rPr>
        <w:t xml:space="preserve">Is the PL </w:t>
      </w:r>
      <w:r w:rsidR="00943DAD">
        <w:rPr>
          <w:lang w:val="en-AU" w:eastAsia="en-AU"/>
        </w:rPr>
        <w:t>r</w:t>
      </w:r>
      <w:r w:rsidR="00943DAD" w:rsidRPr="003379B6">
        <w:rPr>
          <w:lang w:val="en-AU" w:eastAsia="en-AU"/>
        </w:rPr>
        <w:t xml:space="preserve">eform </w:t>
      </w:r>
      <w:r w:rsidR="00943DAD">
        <w:rPr>
          <w:lang w:val="en-AU" w:eastAsia="en-AU"/>
        </w:rPr>
        <w:t>p</w:t>
      </w:r>
      <w:r w:rsidR="00943DAD" w:rsidRPr="003379B6">
        <w:rPr>
          <w:lang w:val="en-AU" w:eastAsia="en-AU"/>
        </w:rPr>
        <w:t xml:space="preserve">rogram </w:t>
      </w:r>
      <w:r w:rsidRPr="28E2C4BB">
        <w:rPr>
          <w:lang w:val="en-AU" w:eastAsia="en-AU"/>
        </w:rPr>
        <w:t>achieving the expected outcomes?</w:t>
      </w:r>
    </w:p>
    <w:p w14:paraId="7D2744DB" w14:textId="634D7DB8" w:rsidR="0065189D" w:rsidRDefault="00103B9D" w:rsidP="002738F4">
      <w:pPr>
        <w:pStyle w:val="Listnumbered"/>
        <w:rPr>
          <w:lang w:val="en-AU" w:eastAsia="en-AU"/>
        </w:rPr>
      </w:pPr>
      <w:r w:rsidRPr="28E2C4BB">
        <w:rPr>
          <w:lang w:val="en-AU" w:eastAsia="en-AU"/>
        </w:rPr>
        <w:t xml:space="preserve">What are the ongoing and future directions, opportunities and priorities for the PL </w:t>
      </w:r>
      <w:r w:rsidR="00943DAD">
        <w:rPr>
          <w:lang w:val="en-AU" w:eastAsia="en-AU"/>
        </w:rPr>
        <w:t>r</w:t>
      </w:r>
      <w:r w:rsidRPr="28E2C4BB">
        <w:rPr>
          <w:lang w:val="en-AU" w:eastAsia="en-AU"/>
        </w:rPr>
        <w:t>eform</w:t>
      </w:r>
      <w:r w:rsidR="00943DAD">
        <w:rPr>
          <w:lang w:val="en-AU" w:eastAsia="en-AU"/>
        </w:rPr>
        <w:t>s</w:t>
      </w:r>
      <w:r w:rsidRPr="28E2C4BB">
        <w:rPr>
          <w:lang w:val="en-AU" w:eastAsia="en-AU"/>
        </w:rPr>
        <w:t>?</w:t>
      </w:r>
    </w:p>
    <w:p w14:paraId="45C910FB" w14:textId="7CEDD6B0" w:rsidR="0065189D" w:rsidRDefault="002738F4" w:rsidP="002B1CAB">
      <w:pPr>
        <w:rPr>
          <w:lang w:val="en-AU" w:eastAsia="en-AU"/>
        </w:rPr>
      </w:pPr>
      <w:r>
        <w:rPr>
          <w:lang w:val="en-AU" w:eastAsia="en-AU"/>
        </w:rPr>
        <w:t>The focus of this first interim report is to bring the evaluation up to the present day, introducing findings around the key projects of the PL reforms</w:t>
      </w:r>
      <w:r w:rsidR="00D45C1B">
        <w:rPr>
          <w:lang w:val="en-AU" w:eastAsia="en-AU"/>
        </w:rPr>
        <w:t xml:space="preserve"> up to 30 June 2024</w:t>
      </w:r>
      <w:r>
        <w:rPr>
          <w:lang w:val="en-AU" w:eastAsia="en-AU"/>
        </w:rPr>
        <w:t xml:space="preserve"> (i.e., reporting on KEQ 1 and KEQ 2 as the reforms stand). Subsequent reports will then have a greater emphasis on the ongoing and future directions, opportunities and priorities of the PL (i.e., KEQ 3).</w:t>
      </w:r>
    </w:p>
    <w:p w14:paraId="0F1F74A3" w14:textId="74E59D21" w:rsidR="00571EA0" w:rsidRPr="00413DDC" w:rsidRDefault="002C041F" w:rsidP="00413DDC">
      <w:pPr>
        <w:rPr>
          <w:rStyle w:val="Strong"/>
        </w:rPr>
      </w:pPr>
      <w:r w:rsidRPr="00413DDC">
        <w:rPr>
          <w:rStyle w:val="Strong"/>
        </w:rPr>
        <w:t xml:space="preserve">Nous has </w:t>
      </w:r>
      <w:r w:rsidR="0014478F" w:rsidRPr="00413DDC">
        <w:rPr>
          <w:rStyle w:val="Strong"/>
        </w:rPr>
        <w:t xml:space="preserve">structured the evaluation by the </w:t>
      </w:r>
      <w:r w:rsidR="00F017DC" w:rsidRPr="00413DDC">
        <w:rPr>
          <w:rStyle w:val="Strong"/>
        </w:rPr>
        <w:t xml:space="preserve">eight </w:t>
      </w:r>
      <w:r w:rsidR="0014478F" w:rsidRPr="00413DDC">
        <w:rPr>
          <w:rStyle w:val="Strong"/>
        </w:rPr>
        <w:t>objectives of the PL reforms</w:t>
      </w:r>
    </w:p>
    <w:p w14:paraId="0A20DF47" w14:textId="794ED8DF" w:rsidR="00F017DC" w:rsidRDefault="00C1423E" w:rsidP="002B1CAB">
      <w:pPr>
        <w:rPr>
          <w:lang w:val="en-AU" w:eastAsia="en-AU"/>
        </w:rPr>
      </w:pPr>
      <w:r>
        <w:rPr>
          <w:lang w:val="en-AU" w:eastAsia="en-AU"/>
        </w:rPr>
        <w:lastRenderedPageBreak/>
        <w:t xml:space="preserve">The evaluation team </w:t>
      </w:r>
      <w:r w:rsidR="00235A6E">
        <w:rPr>
          <w:lang w:val="en-AU" w:eastAsia="en-AU"/>
        </w:rPr>
        <w:t xml:space="preserve">developed a structure for </w:t>
      </w:r>
      <w:r w:rsidR="00C73007">
        <w:rPr>
          <w:lang w:val="en-AU" w:eastAsia="en-AU"/>
        </w:rPr>
        <w:t>the</w:t>
      </w:r>
      <w:r w:rsidR="00235A6E">
        <w:rPr>
          <w:lang w:val="en-AU" w:eastAsia="en-AU"/>
        </w:rPr>
        <w:t xml:space="preserve"> </w:t>
      </w:r>
      <w:r w:rsidR="00C73007">
        <w:rPr>
          <w:lang w:val="en-AU" w:eastAsia="en-AU"/>
        </w:rPr>
        <w:t>ongoing reporting of the evaluation</w:t>
      </w:r>
      <w:r w:rsidR="00235A6E">
        <w:rPr>
          <w:lang w:val="en-AU" w:eastAsia="en-AU"/>
        </w:rPr>
        <w:t xml:space="preserve"> that </w:t>
      </w:r>
      <w:r w:rsidR="00C73007">
        <w:rPr>
          <w:lang w:val="en-AU" w:eastAsia="en-AU"/>
        </w:rPr>
        <w:t>is adapted to</w:t>
      </w:r>
      <w:r w:rsidR="00A430D1">
        <w:rPr>
          <w:lang w:val="en-AU" w:eastAsia="en-AU"/>
        </w:rPr>
        <w:t xml:space="preserve"> </w:t>
      </w:r>
      <w:r w:rsidR="00381390">
        <w:rPr>
          <w:lang w:val="en-AU" w:eastAsia="en-AU"/>
        </w:rPr>
        <w:t>the evolving projects and priorities of the reform program, while still aligning with th</w:t>
      </w:r>
      <w:r w:rsidR="00571EA0">
        <w:rPr>
          <w:lang w:val="en-AU" w:eastAsia="en-AU"/>
        </w:rPr>
        <w:t xml:space="preserve">e KEQs and </w:t>
      </w:r>
      <w:r w:rsidR="00381390">
        <w:rPr>
          <w:lang w:val="en-AU" w:eastAsia="en-AU"/>
        </w:rPr>
        <w:t>evaluation plan.</w:t>
      </w:r>
      <w:r w:rsidR="00037279">
        <w:rPr>
          <w:lang w:val="en-AU" w:eastAsia="en-AU"/>
        </w:rPr>
        <w:t xml:space="preserve"> </w:t>
      </w:r>
      <w:r w:rsidR="008508A9">
        <w:rPr>
          <w:lang w:val="en-AU" w:eastAsia="en-AU"/>
        </w:rPr>
        <w:t xml:space="preserve">The structure is centred </w:t>
      </w:r>
      <w:r w:rsidR="009E4AD3">
        <w:rPr>
          <w:lang w:val="en-AU" w:eastAsia="en-AU"/>
        </w:rPr>
        <w:t xml:space="preserve">around the eight objectives of the PL reforms established by the Department’s </w:t>
      </w:r>
      <w:r w:rsidR="006B13C1">
        <w:rPr>
          <w:lang w:val="en-AU" w:eastAsia="en-AU"/>
        </w:rPr>
        <w:t>PL</w:t>
      </w:r>
      <w:r w:rsidR="009E4AD3">
        <w:rPr>
          <w:lang w:val="en-AU" w:eastAsia="en-AU"/>
        </w:rPr>
        <w:t xml:space="preserve"> Evaluation Framework</w:t>
      </w:r>
      <w:r w:rsidR="00AA2D68">
        <w:rPr>
          <w:lang w:val="en-AU" w:eastAsia="en-AU"/>
        </w:rPr>
        <w:t xml:space="preserve">, with </w:t>
      </w:r>
      <w:r w:rsidR="00E84B94">
        <w:rPr>
          <w:lang w:val="en-AU" w:eastAsia="en-AU"/>
        </w:rPr>
        <w:t>nine</w:t>
      </w:r>
      <w:r w:rsidR="00AA2D68">
        <w:rPr>
          <w:lang w:val="en-AU" w:eastAsia="en-AU"/>
        </w:rPr>
        <w:t xml:space="preserve"> key projects summarising the primary actions of the reforms.</w:t>
      </w:r>
    </w:p>
    <w:p w14:paraId="118E871E" w14:textId="52880288" w:rsidR="00AA2D68" w:rsidRDefault="00AA2D68" w:rsidP="00AA2D68">
      <w:pPr>
        <w:pStyle w:val="Caption"/>
        <w:rPr>
          <w:lang w:eastAsia="en-AU"/>
        </w:rPr>
      </w:pPr>
      <w:r w:rsidRPr="00151DDA">
        <w:t xml:space="preserve">Figure </w:t>
      </w:r>
      <w:r w:rsidRPr="00151DDA">
        <w:fldChar w:fldCharType="begin"/>
      </w:r>
      <w:r w:rsidRPr="00151DDA">
        <w:instrText xml:space="preserve"> SEQ Figure \* ARABIC </w:instrText>
      </w:r>
      <w:r w:rsidRPr="00151DDA">
        <w:fldChar w:fldCharType="separate"/>
      </w:r>
      <w:r w:rsidR="009B5D8D">
        <w:rPr>
          <w:noProof/>
        </w:rPr>
        <w:t>29</w:t>
      </w:r>
      <w:r w:rsidRPr="00151DDA">
        <w:fldChar w:fldCharType="end"/>
      </w:r>
      <w:r w:rsidRPr="00151DDA">
        <w:t xml:space="preserve"> | </w:t>
      </w:r>
      <w:r w:rsidR="00151DDA">
        <w:t xml:space="preserve">PL </w:t>
      </w:r>
      <w:r w:rsidR="004312B8">
        <w:t>reform objectives and reform projects</w:t>
      </w:r>
    </w:p>
    <w:p w14:paraId="18AB9756" w14:textId="0EF7E042" w:rsidR="005F05C1" w:rsidRDefault="002C50B6" w:rsidP="002B1CAB">
      <w:pPr>
        <w:rPr>
          <w:lang w:val="en-AU" w:eastAsia="en-AU"/>
        </w:rPr>
      </w:pPr>
      <w:r>
        <w:rPr>
          <w:noProof/>
          <w:lang w:val="en-AU" w:eastAsia="en-AU"/>
        </w:rPr>
        <w:drawing>
          <wp:inline distT="0" distB="0" distL="0" distR="0" wp14:anchorId="5C3699CC" wp14:editId="4773AD2C">
            <wp:extent cx="5815965" cy="6437630"/>
            <wp:effectExtent l="0" t="0" r="0" b="1270"/>
            <wp:docPr id="785071850" name="Picture 20" descr="A diagram showing the reform objectives alongside the reform projects. Objective 1. Alignment of scheduled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71850" name="Picture 20" descr="A diagram showing the reform objectives alongside the reform projects. Objective 1. Alignment of scheduled benefit reductions is connected to the Benefit reductions. Objective 2. Maintain no additional out-of-pocket costs is maintained through guardrails on benefit reductions. Objective 3. Maintain clinician choice is maintain baseline policy position. Objective 4. Affordability and value of PHI is achieved through objectives 1, 2 and 3. Objective 5. Purpose, definition and scope of the PL is connected to clarifying scope and definition in legislation, regrouping of the PL, and review general use items. Objective 6. PL assessment pathways is connected to modernised pathways and governance arrangements. Objective 7. PL listing reviews and PL compliance frameworks is connected to post-listing reviews and compliance activities. Objective 8. Financial sustainability is connected to cost recovery fe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5965" cy="6437630"/>
                    </a:xfrm>
                    <a:prstGeom prst="rect">
                      <a:avLst/>
                    </a:prstGeom>
                    <a:noFill/>
                  </pic:spPr>
                </pic:pic>
              </a:graphicData>
            </a:graphic>
          </wp:inline>
        </w:drawing>
      </w:r>
    </w:p>
    <w:p w14:paraId="5DE3637D" w14:textId="1F384C48" w:rsidR="008508A9" w:rsidRDefault="008508A9" w:rsidP="002B1CAB">
      <w:pPr>
        <w:rPr>
          <w:lang w:val="en-AU" w:eastAsia="en-AU"/>
        </w:rPr>
      </w:pPr>
    </w:p>
    <w:p w14:paraId="2BBBD79C" w14:textId="6E8F8371" w:rsidR="00F017DC" w:rsidRPr="00413DDC" w:rsidRDefault="0068558D" w:rsidP="00413DDC">
      <w:pPr>
        <w:rPr>
          <w:rStyle w:val="Strong"/>
        </w:rPr>
      </w:pPr>
      <w:r w:rsidRPr="00413DDC">
        <w:rPr>
          <w:rStyle w:val="Strong"/>
        </w:rPr>
        <w:t>A set of i</w:t>
      </w:r>
      <w:r w:rsidR="00F017DC" w:rsidRPr="00413DDC">
        <w:rPr>
          <w:rStyle w:val="Strong"/>
        </w:rPr>
        <w:t xml:space="preserve">ndicators and measures </w:t>
      </w:r>
      <w:r w:rsidRPr="00413DDC">
        <w:rPr>
          <w:rStyle w:val="Strong"/>
        </w:rPr>
        <w:t>guide the data collection, analysis and reporting</w:t>
      </w:r>
    </w:p>
    <w:p w14:paraId="58637EA3" w14:textId="51508469" w:rsidR="000A390F" w:rsidRDefault="00AA211C" w:rsidP="000A390F">
      <w:pPr>
        <w:rPr>
          <w:lang w:val="en-AU" w:eastAsia="en-AU"/>
        </w:rPr>
      </w:pPr>
      <w:r>
        <w:rPr>
          <w:lang w:val="en-AU" w:eastAsia="en-AU"/>
        </w:rPr>
        <w:t>The evaluation team</w:t>
      </w:r>
      <w:r w:rsidR="00381390" w:rsidRPr="00BA61BC">
        <w:rPr>
          <w:lang w:val="en-AU" w:eastAsia="en-AU"/>
        </w:rPr>
        <w:t xml:space="preserve"> developed a set of indicators and measures that </w:t>
      </w:r>
      <w:r w:rsidR="005E7657" w:rsidRPr="00BA61BC">
        <w:rPr>
          <w:lang w:val="en-AU" w:eastAsia="en-AU"/>
        </w:rPr>
        <w:t>sit under each of the eight objectives of the PL reforms</w:t>
      </w:r>
      <w:r w:rsidR="00F14853" w:rsidRPr="00BA61BC">
        <w:rPr>
          <w:lang w:val="en-AU" w:eastAsia="en-AU"/>
        </w:rPr>
        <w:t xml:space="preserve"> </w:t>
      </w:r>
      <w:r w:rsidR="00802271">
        <w:rPr>
          <w:lang w:val="en-AU" w:eastAsia="en-AU"/>
        </w:rPr>
        <w:t>(see</w:t>
      </w:r>
      <w:r w:rsidR="00F14853" w:rsidRPr="00BA61BC">
        <w:rPr>
          <w:lang w:val="en-AU" w:eastAsia="en-AU"/>
        </w:rPr>
        <w:t xml:space="preserve"> </w:t>
      </w:r>
      <w:r w:rsidR="008B4081">
        <w:rPr>
          <w:lang w:val="en-AU" w:eastAsia="en-AU"/>
        </w:rPr>
        <w:fldChar w:fldCharType="begin"/>
      </w:r>
      <w:r w:rsidR="008B4081">
        <w:rPr>
          <w:lang w:val="en-AU" w:eastAsia="en-AU"/>
        </w:rPr>
        <w:instrText xml:space="preserve"> REF _Ref172301864 \h </w:instrText>
      </w:r>
      <w:r w:rsidR="008B4081">
        <w:rPr>
          <w:lang w:val="en-AU" w:eastAsia="en-AU"/>
        </w:rPr>
      </w:r>
      <w:r w:rsidR="008B4081">
        <w:rPr>
          <w:lang w:val="en-AU" w:eastAsia="en-AU"/>
        </w:rPr>
        <w:fldChar w:fldCharType="separate"/>
      </w:r>
      <w:r w:rsidR="009B5D8D">
        <w:t xml:space="preserve">Table </w:t>
      </w:r>
      <w:r w:rsidR="009B5D8D">
        <w:rPr>
          <w:noProof/>
        </w:rPr>
        <w:t>22</w:t>
      </w:r>
      <w:r w:rsidR="008B4081">
        <w:rPr>
          <w:lang w:val="en-AU" w:eastAsia="en-AU"/>
        </w:rPr>
        <w:fldChar w:fldCharType="end"/>
      </w:r>
      <w:r w:rsidR="00F14853">
        <w:rPr>
          <w:lang w:val="en-AU" w:eastAsia="en-AU"/>
        </w:rPr>
        <w:t xml:space="preserve"> overleaf)</w:t>
      </w:r>
      <w:r w:rsidR="005E7657">
        <w:rPr>
          <w:lang w:val="en-AU" w:eastAsia="en-AU"/>
        </w:rPr>
        <w:t xml:space="preserve">. </w:t>
      </w:r>
      <w:r w:rsidR="00AA051A">
        <w:rPr>
          <w:lang w:val="en-AU" w:eastAsia="en-AU"/>
        </w:rPr>
        <w:t xml:space="preserve">The indicators and measures </w:t>
      </w:r>
      <w:r w:rsidR="005E5C13">
        <w:rPr>
          <w:lang w:val="en-AU" w:eastAsia="en-AU"/>
        </w:rPr>
        <w:t xml:space="preserve">cover KEQ 1 and KEQ </w:t>
      </w:r>
      <w:r w:rsidR="00EA4BF1">
        <w:rPr>
          <w:lang w:val="en-AU" w:eastAsia="en-AU"/>
        </w:rPr>
        <w:t>2 and</w:t>
      </w:r>
      <w:r w:rsidR="005E5C13">
        <w:rPr>
          <w:lang w:val="en-AU" w:eastAsia="en-AU"/>
        </w:rPr>
        <w:t xml:space="preserve"> </w:t>
      </w:r>
      <w:r w:rsidR="004961C3">
        <w:rPr>
          <w:lang w:val="en-AU" w:eastAsia="en-AU"/>
        </w:rPr>
        <w:t xml:space="preserve">resemble the key evaluation sub-questions introduced </w:t>
      </w:r>
      <w:r w:rsidR="004506DE">
        <w:rPr>
          <w:lang w:val="en-AU" w:eastAsia="en-AU"/>
        </w:rPr>
        <w:t>in the Department’s</w:t>
      </w:r>
      <w:r w:rsidR="00134F72">
        <w:rPr>
          <w:lang w:val="en-AU" w:eastAsia="en-AU"/>
        </w:rPr>
        <w:t xml:space="preserve"> </w:t>
      </w:r>
      <w:r w:rsidR="006B13C1">
        <w:rPr>
          <w:lang w:val="en-AU" w:eastAsia="en-AU"/>
        </w:rPr>
        <w:t>PL</w:t>
      </w:r>
      <w:r w:rsidR="00E23804">
        <w:rPr>
          <w:lang w:val="en-AU" w:eastAsia="en-AU"/>
        </w:rPr>
        <w:t xml:space="preserve"> Evaluation Framework.</w:t>
      </w:r>
      <w:r w:rsidR="00D173C1">
        <w:rPr>
          <w:lang w:val="en-AU" w:eastAsia="en-AU"/>
        </w:rPr>
        <w:t xml:space="preserve"> </w:t>
      </w:r>
      <w:r w:rsidR="00C070CC">
        <w:rPr>
          <w:lang w:val="en-AU" w:eastAsia="en-AU"/>
        </w:rPr>
        <w:lastRenderedPageBreak/>
        <w:t xml:space="preserve">Since the Baseline Evaluation, </w:t>
      </w:r>
      <w:r w:rsidR="0022544C">
        <w:rPr>
          <w:lang w:val="en-AU" w:eastAsia="en-AU"/>
        </w:rPr>
        <w:t>t</w:t>
      </w:r>
      <w:r w:rsidR="005E7657">
        <w:rPr>
          <w:lang w:val="en-AU" w:eastAsia="en-AU"/>
        </w:rPr>
        <w:t xml:space="preserve">he indicators and measures </w:t>
      </w:r>
      <w:r w:rsidR="0022544C">
        <w:rPr>
          <w:lang w:val="en-AU" w:eastAsia="en-AU"/>
        </w:rPr>
        <w:t xml:space="preserve">have </w:t>
      </w:r>
      <w:r w:rsidR="0099298E">
        <w:rPr>
          <w:lang w:val="en-AU" w:eastAsia="en-AU"/>
        </w:rPr>
        <w:t>guide</w:t>
      </w:r>
      <w:r w:rsidR="0022544C">
        <w:rPr>
          <w:lang w:val="en-AU" w:eastAsia="en-AU"/>
        </w:rPr>
        <w:t xml:space="preserve">d </w:t>
      </w:r>
      <w:r w:rsidR="00894CFE">
        <w:rPr>
          <w:lang w:val="en-AU" w:eastAsia="en-AU"/>
        </w:rPr>
        <w:t>the evaluation team’s</w:t>
      </w:r>
      <w:r w:rsidR="0099298E">
        <w:rPr>
          <w:lang w:val="en-AU" w:eastAsia="en-AU"/>
        </w:rPr>
        <w:t xml:space="preserve"> data collection, analysis and reporting</w:t>
      </w:r>
      <w:r w:rsidR="009A340C">
        <w:rPr>
          <w:lang w:val="en-AU" w:eastAsia="en-AU"/>
        </w:rPr>
        <w:t xml:space="preserve">. </w:t>
      </w:r>
      <w:r w:rsidR="00255BEE">
        <w:rPr>
          <w:lang w:val="en-AU" w:eastAsia="en-AU"/>
        </w:rPr>
        <w:fldChar w:fldCharType="begin"/>
      </w:r>
      <w:r w:rsidR="00255BEE">
        <w:rPr>
          <w:lang w:val="en-AU" w:eastAsia="en-AU"/>
        </w:rPr>
        <w:instrText xml:space="preserve"> REF _Ref168587867 \r \h </w:instrText>
      </w:r>
      <w:r w:rsidR="00255BEE">
        <w:rPr>
          <w:lang w:val="en-AU" w:eastAsia="en-AU"/>
        </w:rPr>
      </w:r>
      <w:r w:rsidR="00255BEE">
        <w:rPr>
          <w:lang w:val="en-AU" w:eastAsia="en-AU"/>
        </w:rPr>
        <w:fldChar w:fldCharType="separate"/>
      </w:r>
      <w:r w:rsidR="009B5D8D">
        <w:rPr>
          <w:lang w:val="en-AU" w:eastAsia="en-AU"/>
        </w:rPr>
        <w:t>Appendix B</w:t>
      </w:r>
      <w:r w:rsidR="00255BEE">
        <w:rPr>
          <w:lang w:val="en-AU" w:eastAsia="en-AU"/>
        </w:rPr>
        <w:fldChar w:fldCharType="end"/>
      </w:r>
      <w:r w:rsidR="00255BEE">
        <w:rPr>
          <w:lang w:val="en-AU" w:eastAsia="en-AU"/>
        </w:rPr>
        <w:t xml:space="preserve"> </w:t>
      </w:r>
      <w:r w:rsidR="000301E6">
        <w:rPr>
          <w:lang w:val="en-AU" w:eastAsia="en-AU"/>
        </w:rPr>
        <w:t>hold</w:t>
      </w:r>
      <w:r w:rsidR="00255BEE">
        <w:rPr>
          <w:lang w:val="en-AU" w:eastAsia="en-AU"/>
        </w:rPr>
        <w:t>s</w:t>
      </w:r>
      <w:r w:rsidR="000301E6">
        <w:rPr>
          <w:lang w:val="en-AU" w:eastAsia="en-AU"/>
        </w:rPr>
        <w:t xml:space="preserve"> more detailed information on the measures</w:t>
      </w:r>
      <w:r w:rsidR="00D173C1">
        <w:rPr>
          <w:lang w:val="en-AU" w:eastAsia="en-AU"/>
        </w:rPr>
        <w:t xml:space="preserve"> not captured in the body of the report.</w:t>
      </w:r>
    </w:p>
    <w:p w14:paraId="1A44F58B" w14:textId="7BFE2600" w:rsidR="00CA68F8" w:rsidRDefault="00CA68F8" w:rsidP="000A390F">
      <w:pPr>
        <w:pStyle w:val="Caption"/>
        <w:rPr>
          <w:lang w:eastAsia="en-AU"/>
        </w:rPr>
      </w:pPr>
    </w:p>
    <w:p w14:paraId="3B509DF4" w14:textId="77777777" w:rsidR="00F14853" w:rsidRDefault="00F14853" w:rsidP="00302D7B">
      <w:pPr>
        <w:pStyle w:val="Caption"/>
        <w:sectPr w:rsidR="00F14853" w:rsidSect="00AA38DC">
          <w:pgSz w:w="11907" w:h="16839" w:code="9"/>
          <w:pgMar w:top="1247" w:right="1418" w:bottom="1701" w:left="1559" w:header="720" w:footer="720" w:gutter="0"/>
          <w:cols w:space="720"/>
          <w:docGrid w:linePitch="360"/>
        </w:sectPr>
      </w:pPr>
      <w:bookmarkStart w:id="111" w:name="_Ref170378184"/>
    </w:p>
    <w:p w14:paraId="51F5DFB6" w14:textId="6B1BA57F" w:rsidR="00046666" w:rsidRDefault="00564B44" w:rsidP="00302D7B">
      <w:pPr>
        <w:pStyle w:val="Caption"/>
      </w:pPr>
      <w:bookmarkStart w:id="112" w:name="_Ref172301864"/>
      <w:r>
        <w:lastRenderedPageBreak/>
        <w:t xml:space="preserve">Table </w:t>
      </w:r>
      <w:r>
        <w:fldChar w:fldCharType="begin"/>
      </w:r>
      <w:r>
        <w:instrText xml:space="preserve"> SEQ Table \* ARABIC </w:instrText>
      </w:r>
      <w:r>
        <w:fldChar w:fldCharType="separate"/>
      </w:r>
      <w:r w:rsidR="009B5D8D">
        <w:rPr>
          <w:noProof/>
        </w:rPr>
        <w:t>22</w:t>
      </w:r>
      <w:r>
        <w:fldChar w:fldCharType="end"/>
      </w:r>
      <w:bookmarkEnd w:id="111"/>
      <w:bookmarkEnd w:id="112"/>
      <w:r>
        <w:t xml:space="preserve"> | Overview of indicators and measures</w:t>
      </w:r>
    </w:p>
    <w:tbl>
      <w:tblPr>
        <w:tblStyle w:val="NOUSSideHeader1"/>
        <w:tblW w:w="14034" w:type="dxa"/>
        <w:tblLook w:val="04A0" w:firstRow="1" w:lastRow="0" w:firstColumn="1" w:lastColumn="0" w:noHBand="0" w:noVBand="1"/>
      </w:tblPr>
      <w:tblGrid>
        <w:gridCol w:w="2835"/>
        <w:gridCol w:w="851"/>
        <w:gridCol w:w="3544"/>
        <w:gridCol w:w="6804"/>
      </w:tblGrid>
      <w:tr w:rsidR="000B17A2" w14:paraId="23836245" w14:textId="77777777" w:rsidTr="00FB7586">
        <w:trPr>
          <w:cnfStyle w:val="100000000000" w:firstRow="1" w:lastRow="0" w:firstColumn="0" w:lastColumn="0" w:oddVBand="0" w:evenVBand="0" w:oddHBand="0" w:evenHBand="0" w:firstRowFirstColumn="0" w:firstRowLastColumn="0" w:lastRowFirstColumn="0" w:lastRowLastColumn="0"/>
        </w:trPr>
        <w:tc>
          <w:tcPr>
            <w:tcW w:w="2835" w:type="dxa"/>
          </w:tcPr>
          <w:p w14:paraId="3FDEA8D6" w14:textId="77777777" w:rsidR="003C4597" w:rsidRDefault="003C4597" w:rsidP="00400566">
            <w:pPr>
              <w:pStyle w:val="TableNheader"/>
              <w:keepNext w:val="0"/>
              <w:keepLines/>
              <w:spacing w:before="20" w:after="20"/>
            </w:pPr>
            <w:r>
              <w:t>Objective</w:t>
            </w:r>
          </w:p>
        </w:tc>
        <w:tc>
          <w:tcPr>
            <w:tcW w:w="851" w:type="dxa"/>
          </w:tcPr>
          <w:p w14:paraId="5BFFF262" w14:textId="77777777" w:rsidR="003C4597" w:rsidRDefault="003C4597" w:rsidP="00400566">
            <w:pPr>
              <w:pStyle w:val="TableNheader"/>
              <w:keepNext w:val="0"/>
              <w:keepLines/>
              <w:spacing w:before="20" w:after="20"/>
              <w:jc w:val="center"/>
            </w:pPr>
            <w:r>
              <w:t>KEQ</w:t>
            </w:r>
          </w:p>
        </w:tc>
        <w:tc>
          <w:tcPr>
            <w:tcW w:w="3544" w:type="dxa"/>
          </w:tcPr>
          <w:p w14:paraId="05026EE0" w14:textId="77777777" w:rsidR="003C4597" w:rsidRDefault="003C4597" w:rsidP="00400566">
            <w:pPr>
              <w:pStyle w:val="TableNheader"/>
              <w:keepNext w:val="0"/>
              <w:keepLines/>
              <w:spacing w:before="20" w:after="20"/>
            </w:pPr>
            <w:r>
              <w:t>Indicators</w:t>
            </w:r>
          </w:p>
        </w:tc>
        <w:tc>
          <w:tcPr>
            <w:tcW w:w="6804" w:type="dxa"/>
          </w:tcPr>
          <w:p w14:paraId="49642F9C" w14:textId="77777777" w:rsidR="003C4597" w:rsidRDefault="003C4597" w:rsidP="00400566">
            <w:pPr>
              <w:pStyle w:val="TableNheader"/>
              <w:keepNext w:val="0"/>
              <w:keepLines/>
              <w:spacing w:before="20" w:after="20"/>
            </w:pPr>
            <w:r>
              <w:t>Key evaluation sub-questions</w:t>
            </w:r>
          </w:p>
        </w:tc>
      </w:tr>
      <w:tr w:rsidR="003C4597" w14:paraId="6793F141"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025DA871" w14:textId="77777777" w:rsidR="003C4597" w:rsidRDefault="003C4597" w:rsidP="00400566">
            <w:pPr>
              <w:pStyle w:val="TableNText"/>
              <w:keepNext w:val="0"/>
              <w:keepLines/>
              <w:spacing w:before="20" w:after="20"/>
              <w:rPr>
                <w:rFonts w:eastAsia="Segoe UI"/>
              </w:rPr>
            </w:pPr>
            <w:r>
              <w:rPr>
                <w:rFonts w:eastAsia="Segoe UI"/>
              </w:rPr>
              <w:t>1. Improve alignment of the scheduled benefits of the PL with the prices paid in more competitive markets such as the public hospital system and comparable international markets</w:t>
            </w:r>
          </w:p>
        </w:tc>
        <w:tc>
          <w:tcPr>
            <w:tcW w:w="851" w:type="dxa"/>
          </w:tcPr>
          <w:p w14:paraId="5E13B371" w14:textId="77777777" w:rsidR="003C4597" w:rsidRDefault="003C4597" w:rsidP="00400566">
            <w:pPr>
              <w:pStyle w:val="TableNText"/>
              <w:keepNext w:val="0"/>
              <w:keepLines/>
              <w:spacing w:before="20" w:after="20"/>
              <w:jc w:val="center"/>
            </w:pPr>
            <w:r>
              <w:t>1</w:t>
            </w:r>
          </w:p>
        </w:tc>
        <w:tc>
          <w:tcPr>
            <w:tcW w:w="3544" w:type="dxa"/>
          </w:tcPr>
          <w:p w14:paraId="34D7DF54" w14:textId="77777777" w:rsidR="003C4597" w:rsidRPr="000573F8" w:rsidRDefault="003C4597" w:rsidP="00400566">
            <w:pPr>
              <w:pStyle w:val="TableNText"/>
              <w:keepLines/>
              <w:spacing w:before="20" w:after="20"/>
              <w:rPr>
                <w:rFonts w:eastAsia="Segoe UI"/>
                <w:i/>
                <w:iCs/>
              </w:rPr>
            </w:pPr>
            <w:r w:rsidRPr="002C0A43">
              <w:rPr>
                <w:rFonts w:asciiTheme="majorHAnsi" w:eastAsia="Segoe UI" w:hAnsiTheme="majorHAnsi" w:cstheme="majorHAnsi"/>
              </w:rPr>
              <w:t>Indicator 1</w:t>
            </w:r>
            <w:r>
              <w:rPr>
                <w:rFonts w:eastAsia="Segoe UI"/>
              </w:rPr>
              <w:t>: Reduction in benefits</w:t>
            </w:r>
          </w:p>
        </w:tc>
        <w:tc>
          <w:tcPr>
            <w:tcW w:w="6804" w:type="dxa"/>
          </w:tcPr>
          <w:p w14:paraId="589F6BDC"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1.1</w:t>
            </w:r>
            <w:r>
              <w:rPr>
                <w:rFonts w:eastAsia="Segoe UI"/>
              </w:rPr>
              <w:t>: Change in PL benefits</w:t>
            </w:r>
          </w:p>
          <w:p w14:paraId="76F9C8A9" w14:textId="77777777" w:rsidR="003C4597" w:rsidRPr="004A0C1C"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1.2</w:t>
            </w:r>
            <w:r w:rsidRPr="3787E91E">
              <w:rPr>
                <w:rFonts w:eastAsia="Segoe UI"/>
              </w:rPr>
              <w:t>: Benefit reduction methodology</w:t>
            </w:r>
          </w:p>
        </w:tc>
      </w:tr>
      <w:tr w:rsidR="003C4597" w14:paraId="1691E479"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319B402D" w14:textId="77777777" w:rsidR="003C4597" w:rsidRDefault="003C4597" w:rsidP="00400566">
            <w:pPr>
              <w:pStyle w:val="TableNText"/>
              <w:keepNext w:val="0"/>
              <w:keepLines/>
              <w:spacing w:before="20" w:after="20"/>
              <w:rPr>
                <w:rFonts w:eastAsia="Segoe UI"/>
              </w:rPr>
            </w:pPr>
          </w:p>
        </w:tc>
        <w:tc>
          <w:tcPr>
            <w:tcW w:w="851" w:type="dxa"/>
          </w:tcPr>
          <w:p w14:paraId="2BF9D7F7" w14:textId="77777777" w:rsidR="003C4597" w:rsidRDefault="003C4597" w:rsidP="00400566">
            <w:pPr>
              <w:pStyle w:val="TableNText"/>
              <w:keepNext w:val="0"/>
              <w:keepLines/>
              <w:spacing w:before="20" w:after="20"/>
              <w:jc w:val="center"/>
            </w:pPr>
            <w:r>
              <w:t>2</w:t>
            </w:r>
          </w:p>
        </w:tc>
        <w:tc>
          <w:tcPr>
            <w:tcW w:w="3544" w:type="dxa"/>
          </w:tcPr>
          <w:p w14:paraId="2ADEDB80" w14:textId="77777777" w:rsidR="003C4597" w:rsidRDefault="003C4597" w:rsidP="00400566">
            <w:pPr>
              <w:pStyle w:val="TableNText"/>
              <w:keepLines/>
              <w:spacing w:before="20" w:after="20"/>
            </w:pPr>
            <w:r w:rsidRPr="002C0A43">
              <w:rPr>
                <w:rFonts w:asciiTheme="majorHAnsi" w:eastAsia="Segoe UI" w:hAnsiTheme="majorHAnsi" w:cstheme="majorHAnsi"/>
              </w:rPr>
              <w:t>Indicator 2</w:t>
            </w:r>
            <w:r w:rsidRPr="001722B8">
              <w:rPr>
                <w:rFonts w:eastAsia="Segoe UI"/>
              </w:rPr>
              <w:t>: Change in the size of the gap between PL benefits and prices paid in more competitive markets</w:t>
            </w:r>
          </w:p>
        </w:tc>
        <w:tc>
          <w:tcPr>
            <w:tcW w:w="6804" w:type="dxa"/>
          </w:tcPr>
          <w:p w14:paraId="42977CE4" w14:textId="77777777" w:rsidR="003C4597" w:rsidRPr="00720568" w:rsidRDefault="003C4597" w:rsidP="00400566">
            <w:pPr>
              <w:pStyle w:val="TableNBullet"/>
              <w:keepLines/>
              <w:spacing w:before="20" w:after="20"/>
            </w:pPr>
            <w:r w:rsidRPr="002251DD">
              <w:rPr>
                <w:rFonts w:asciiTheme="majorHAnsi" w:hAnsiTheme="majorHAnsi" w:cstheme="majorHAnsi"/>
                <w:color w:val="F25E21" w:themeColor="accent2"/>
              </w:rPr>
              <w:t>Measure 2.1</w:t>
            </w:r>
            <w:r>
              <w:t xml:space="preserve">: </w:t>
            </w:r>
            <w:r w:rsidRPr="00720568">
              <w:t>Overall savings associated with benefit reductions</w:t>
            </w:r>
          </w:p>
          <w:p w14:paraId="489F03EE" w14:textId="77777777" w:rsidR="003C4597" w:rsidRDefault="003C4597" w:rsidP="00400566">
            <w:pPr>
              <w:pStyle w:val="TableNBullet"/>
              <w:keepLines/>
              <w:spacing w:before="20" w:after="20"/>
            </w:pPr>
            <w:r w:rsidRPr="002251DD">
              <w:rPr>
                <w:rFonts w:asciiTheme="majorHAnsi" w:hAnsiTheme="majorHAnsi" w:cstheme="majorHAnsi"/>
                <w:color w:val="F25E21" w:themeColor="accent2"/>
              </w:rPr>
              <w:t>Measure 2.</w:t>
            </w:r>
            <w:r>
              <w:rPr>
                <w:rFonts w:asciiTheme="majorHAnsi" w:hAnsiTheme="majorHAnsi" w:cstheme="majorHAnsi"/>
                <w:color w:val="F25E21" w:themeColor="accent2"/>
              </w:rPr>
              <w:t>2</w:t>
            </w:r>
            <w:r>
              <w:t xml:space="preserve">: </w:t>
            </w:r>
            <w:r w:rsidRPr="007D04B8">
              <w:t>Gap between PL benefits and prices in Australian public hospitals</w:t>
            </w:r>
          </w:p>
          <w:p w14:paraId="176697C8" w14:textId="77777777" w:rsidR="003C4597" w:rsidRDefault="003C4597" w:rsidP="00400566">
            <w:pPr>
              <w:pStyle w:val="TableNBullet"/>
              <w:keepLines/>
              <w:spacing w:before="20" w:after="20"/>
            </w:pPr>
            <w:r w:rsidRPr="3787E91E">
              <w:rPr>
                <w:rFonts w:asciiTheme="majorHAnsi" w:hAnsiTheme="majorHAnsi" w:cstheme="majorBidi"/>
                <w:color w:val="F25E21" w:themeColor="accent2"/>
              </w:rPr>
              <w:t>Measure 2.3</w:t>
            </w:r>
            <w:r w:rsidRPr="3787E91E">
              <w:t>: Gap between PL benefits and prices on the Liste des Produits et Prestations (LPP) and Pharmac Hospital Medical Devices Schedule</w:t>
            </w:r>
          </w:p>
          <w:p w14:paraId="55D990B9" w14:textId="77777777" w:rsidR="003C4597" w:rsidRDefault="003C4597" w:rsidP="00400566">
            <w:pPr>
              <w:pStyle w:val="TableNBullet"/>
              <w:keepLines/>
              <w:spacing w:before="20" w:after="20"/>
            </w:pPr>
            <w:r w:rsidRPr="002251DD">
              <w:rPr>
                <w:rFonts w:asciiTheme="majorHAnsi" w:hAnsiTheme="majorHAnsi" w:cstheme="majorHAnsi"/>
                <w:color w:val="F25E21" w:themeColor="accent2"/>
              </w:rPr>
              <w:t>Measure 2.</w:t>
            </w:r>
            <w:r>
              <w:rPr>
                <w:rFonts w:asciiTheme="majorHAnsi" w:hAnsiTheme="majorHAnsi" w:cstheme="majorHAnsi"/>
                <w:color w:val="F25E21" w:themeColor="accent2"/>
              </w:rPr>
              <w:t>4</w:t>
            </w:r>
            <w:r w:rsidRPr="00B74582">
              <w:t>: Stakeholder perspectives on the gap between PL benefits and prices in more competitive markets</w:t>
            </w:r>
          </w:p>
        </w:tc>
      </w:tr>
      <w:tr w:rsidR="003C4597" w14:paraId="22E6EE57"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75F6B292" w14:textId="77777777" w:rsidR="003C4597" w:rsidRDefault="003C4597" w:rsidP="00400566">
            <w:pPr>
              <w:pStyle w:val="TableNText"/>
              <w:keepNext w:val="0"/>
              <w:keepLines/>
              <w:spacing w:before="20" w:after="20"/>
              <w:rPr>
                <w:rFonts w:eastAsia="Segoe UI"/>
              </w:rPr>
            </w:pPr>
            <w:r w:rsidRPr="3787E91E">
              <w:rPr>
                <w:rFonts w:eastAsia="Segoe UI"/>
              </w:rPr>
              <w:t>2. Maintain no additional out-of-pocket costs associated with the PL devices for consumers</w:t>
            </w:r>
          </w:p>
        </w:tc>
        <w:tc>
          <w:tcPr>
            <w:tcW w:w="851" w:type="dxa"/>
          </w:tcPr>
          <w:p w14:paraId="142D8939" w14:textId="77777777" w:rsidR="003C4597" w:rsidRDefault="003C4597" w:rsidP="00400566">
            <w:pPr>
              <w:pStyle w:val="TableNText"/>
              <w:keepNext w:val="0"/>
              <w:keepLines/>
              <w:spacing w:before="20" w:after="20"/>
              <w:jc w:val="center"/>
            </w:pPr>
            <w:r>
              <w:t>1</w:t>
            </w:r>
          </w:p>
        </w:tc>
        <w:tc>
          <w:tcPr>
            <w:tcW w:w="3544" w:type="dxa"/>
          </w:tcPr>
          <w:p w14:paraId="31F5FEB0" w14:textId="77777777" w:rsidR="003C4597" w:rsidRPr="00375B83" w:rsidRDefault="003C4597" w:rsidP="00400566">
            <w:pPr>
              <w:pStyle w:val="TableNText"/>
              <w:keepLines/>
              <w:spacing w:before="20" w:after="20"/>
              <w:rPr>
                <w:i/>
                <w:iCs/>
              </w:rPr>
            </w:pPr>
            <w:r w:rsidRPr="00375B83">
              <w:rPr>
                <w:i/>
                <w:iCs/>
              </w:rPr>
              <w:t>No activity directly associated</w:t>
            </w:r>
          </w:p>
        </w:tc>
        <w:tc>
          <w:tcPr>
            <w:tcW w:w="6804" w:type="dxa"/>
          </w:tcPr>
          <w:p w14:paraId="45387B81" w14:textId="77777777" w:rsidR="003C4597" w:rsidRDefault="003C4597" w:rsidP="00400566">
            <w:pPr>
              <w:pStyle w:val="TableNBullet"/>
              <w:keepLines/>
              <w:numPr>
                <w:ilvl w:val="0"/>
                <w:numId w:val="0"/>
              </w:numPr>
              <w:spacing w:before="20" w:after="20"/>
            </w:pPr>
          </w:p>
        </w:tc>
      </w:tr>
      <w:tr w:rsidR="003C4597" w14:paraId="0303911E"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1052375B" w14:textId="77777777" w:rsidR="003C4597" w:rsidRDefault="003C4597" w:rsidP="00400566">
            <w:pPr>
              <w:pStyle w:val="TableNText"/>
              <w:keepNext w:val="0"/>
              <w:keepLines/>
              <w:spacing w:before="20" w:after="20"/>
            </w:pPr>
          </w:p>
        </w:tc>
        <w:tc>
          <w:tcPr>
            <w:tcW w:w="851" w:type="dxa"/>
          </w:tcPr>
          <w:p w14:paraId="3D2256EE" w14:textId="77777777" w:rsidR="003C4597" w:rsidRDefault="003C4597" w:rsidP="00400566">
            <w:pPr>
              <w:pStyle w:val="TableNText"/>
              <w:keepNext w:val="0"/>
              <w:keepLines/>
              <w:spacing w:before="20" w:after="20"/>
              <w:jc w:val="center"/>
            </w:pPr>
            <w:r>
              <w:t>2</w:t>
            </w:r>
          </w:p>
        </w:tc>
        <w:tc>
          <w:tcPr>
            <w:tcW w:w="3544" w:type="dxa"/>
          </w:tcPr>
          <w:p w14:paraId="696DBD21" w14:textId="77777777" w:rsidR="003C4597" w:rsidRDefault="003C4597" w:rsidP="00400566">
            <w:pPr>
              <w:pStyle w:val="TableNText"/>
              <w:keepLines/>
              <w:spacing w:before="20" w:after="20"/>
            </w:pPr>
            <w:r w:rsidRPr="002C0A43">
              <w:rPr>
                <w:rFonts w:asciiTheme="majorHAnsi" w:hAnsiTheme="majorHAnsi" w:cstheme="majorHAnsi"/>
              </w:rPr>
              <w:t>Indicator 3</w:t>
            </w:r>
            <w:r w:rsidRPr="003B3A7E">
              <w:t>: Change in out-of-pocket expenses related to PL items</w:t>
            </w:r>
          </w:p>
        </w:tc>
        <w:tc>
          <w:tcPr>
            <w:tcW w:w="6804" w:type="dxa"/>
          </w:tcPr>
          <w:p w14:paraId="31FD7E92" w14:textId="77777777" w:rsidR="003C4597" w:rsidRDefault="003C4597" w:rsidP="00400566">
            <w:pPr>
              <w:pStyle w:val="TableNBullet"/>
              <w:keepLines/>
              <w:spacing w:before="20" w:after="20"/>
            </w:pPr>
            <w:r w:rsidRPr="002C0A43">
              <w:rPr>
                <w:rFonts w:asciiTheme="majorHAnsi" w:hAnsiTheme="majorHAnsi" w:cstheme="majorHAnsi"/>
                <w:color w:val="F25E21" w:themeColor="accent2"/>
              </w:rPr>
              <w:t>Measure 3.1</w:t>
            </w:r>
            <w:r w:rsidRPr="00F53D21">
              <w:t xml:space="preserve">: </w:t>
            </w:r>
            <w:r>
              <w:t>P</w:t>
            </w:r>
            <w:r w:rsidRPr="00F53D21">
              <w:t>revalence of a gap payment for PL items</w:t>
            </w:r>
          </w:p>
          <w:p w14:paraId="64ED69E0" w14:textId="77777777" w:rsidR="003C4597" w:rsidRDefault="003C4597" w:rsidP="00400566">
            <w:pPr>
              <w:pStyle w:val="TableNBullet"/>
              <w:keepLines/>
              <w:spacing w:before="20" w:after="20"/>
            </w:pPr>
            <w:r w:rsidRPr="002C0A43">
              <w:rPr>
                <w:rFonts w:asciiTheme="majorHAnsi" w:hAnsiTheme="majorHAnsi" w:cstheme="majorHAnsi"/>
                <w:color w:val="F25E21" w:themeColor="accent2"/>
              </w:rPr>
              <w:t>Measure 3.2</w:t>
            </w:r>
            <w:r w:rsidRPr="00375B83">
              <w:t xml:space="preserve">: </w:t>
            </w:r>
            <w:r>
              <w:t>A</w:t>
            </w:r>
            <w:r w:rsidRPr="00375B83">
              <w:t>verage gap payment for PL-listed items</w:t>
            </w:r>
          </w:p>
        </w:tc>
      </w:tr>
      <w:tr w:rsidR="003C4597" w14:paraId="652EFB3B"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3AE2DE1A" w14:textId="77777777" w:rsidR="003C4597" w:rsidRDefault="003C4597" w:rsidP="00400566">
            <w:pPr>
              <w:pStyle w:val="TableNText"/>
              <w:keepNext w:val="0"/>
              <w:keepLines/>
              <w:spacing w:before="20" w:after="20"/>
              <w:rPr>
                <w:rFonts w:eastAsia="Segoe UI"/>
              </w:rPr>
            </w:pPr>
            <w:r w:rsidRPr="3787E91E">
              <w:rPr>
                <w:rFonts w:eastAsia="Segoe UI"/>
              </w:rPr>
              <w:t>3. Maintain clinician choice of appropriate prostheses for their patients</w:t>
            </w:r>
          </w:p>
        </w:tc>
        <w:tc>
          <w:tcPr>
            <w:tcW w:w="851" w:type="dxa"/>
          </w:tcPr>
          <w:p w14:paraId="2C6F59C0" w14:textId="77777777" w:rsidR="003C4597" w:rsidRDefault="003C4597" w:rsidP="00400566">
            <w:pPr>
              <w:pStyle w:val="TableNText"/>
              <w:keepNext w:val="0"/>
              <w:keepLines/>
              <w:spacing w:before="20" w:after="20"/>
              <w:jc w:val="center"/>
            </w:pPr>
            <w:r>
              <w:t>1</w:t>
            </w:r>
          </w:p>
        </w:tc>
        <w:tc>
          <w:tcPr>
            <w:tcW w:w="3544" w:type="dxa"/>
          </w:tcPr>
          <w:p w14:paraId="46D2DE1C" w14:textId="77777777" w:rsidR="003C4597" w:rsidRPr="004A0C1C" w:rsidRDefault="003C4597" w:rsidP="00400566">
            <w:pPr>
              <w:pStyle w:val="TableNText"/>
              <w:keepLines/>
              <w:spacing w:before="20" w:after="20"/>
              <w:rPr>
                <w:rFonts w:eastAsia="Segoe UI"/>
              </w:rPr>
            </w:pPr>
            <w:r w:rsidRPr="00375B83">
              <w:rPr>
                <w:i/>
                <w:iCs/>
              </w:rPr>
              <w:t>No activity directly associated</w:t>
            </w:r>
          </w:p>
        </w:tc>
        <w:tc>
          <w:tcPr>
            <w:tcW w:w="6804" w:type="dxa"/>
          </w:tcPr>
          <w:p w14:paraId="229FBD54" w14:textId="77777777" w:rsidR="003C4597" w:rsidRPr="004A0C1C" w:rsidRDefault="003C4597" w:rsidP="00400566">
            <w:pPr>
              <w:pStyle w:val="TableNBullet"/>
              <w:keepLines/>
              <w:numPr>
                <w:ilvl w:val="0"/>
                <w:numId w:val="0"/>
              </w:numPr>
              <w:spacing w:before="20" w:after="20"/>
              <w:ind w:left="227" w:hanging="227"/>
              <w:rPr>
                <w:rFonts w:eastAsia="Segoe UI"/>
              </w:rPr>
            </w:pPr>
          </w:p>
        </w:tc>
      </w:tr>
      <w:tr w:rsidR="003C4597" w14:paraId="46DA31DD"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5668FDB8" w14:textId="77777777" w:rsidR="003C4597" w:rsidRDefault="003C4597" w:rsidP="00400566">
            <w:pPr>
              <w:pStyle w:val="TableNText"/>
              <w:keepNext w:val="0"/>
              <w:keepLines/>
              <w:spacing w:before="20" w:after="20"/>
              <w:rPr>
                <w:rFonts w:eastAsia="Segoe UI"/>
              </w:rPr>
            </w:pPr>
          </w:p>
        </w:tc>
        <w:tc>
          <w:tcPr>
            <w:tcW w:w="851" w:type="dxa"/>
            <w:vMerge w:val="restart"/>
          </w:tcPr>
          <w:p w14:paraId="14DA5C48" w14:textId="77777777" w:rsidR="003C4597" w:rsidRDefault="003C4597" w:rsidP="00400566">
            <w:pPr>
              <w:pStyle w:val="TableNText"/>
              <w:keepNext w:val="0"/>
              <w:keepLines/>
              <w:spacing w:before="20" w:after="20"/>
              <w:jc w:val="center"/>
            </w:pPr>
            <w:r>
              <w:t>2</w:t>
            </w:r>
          </w:p>
        </w:tc>
        <w:tc>
          <w:tcPr>
            <w:tcW w:w="3544" w:type="dxa"/>
          </w:tcPr>
          <w:p w14:paraId="1812E0DE"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4</w:t>
            </w:r>
            <w:r w:rsidRPr="00026471">
              <w:rPr>
                <w:rFonts w:eastAsia="Segoe UI"/>
              </w:rPr>
              <w:t>: Change in clinician experience of choosing prostheses</w:t>
            </w:r>
          </w:p>
        </w:tc>
        <w:tc>
          <w:tcPr>
            <w:tcW w:w="6804" w:type="dxa"/>
          </w:tcPr>
          <w:p w14:paraId="27496CA8" w14:textId="77777777" w:rsidR="003C4597" w:rsidRPr="00D747E2"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4.1</w:t>
            </w:r>
            <w:r w:rsidRPr="00CC6407">
              <w:rPr>
                <w:rFonts w:eastAsia="Segoe UI"/>
              </w:rPr>
              <w:t>: Clinician perspectives on the level of clinician choice</w:t>
            </w:r>
          </w:p>
        </w:tc>
      </w:tr>
      <w:tr w:rsidR="003C4597" w14:paraId="1E6C4DB2"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tcPr>
          <w:p w14:paraId="3BB7B40B" w14:textId="77777777" w:rsidR="003C4597" w:rsidRDefault="003C4597" w:rsidP="00400566">
            <w:pPr>
              <w:pStyle w:val="TableNText"/>
              <w:keepNext w:val="0"/>
              <w:keepLines/>
              <w:spacing w:before="20" w:after="20"/>
              <w:rPr>
                <w:rFonts w:eastAsia="Segoe UI"/>
              </w:rPr>
            </w:pPr>
          </w:p>
        </w:tc>
        <w:tc>
          <w:tcPr>
            <w:tcW w:w="851" w:type="dxa"/>
            <w:vMerge/>
          </w:tcPr>
          <w:p w14:paraId="1182CBC9" w14:textId="77777777" w:rsidR="003C4597" w:rsidRDefault="003C4597" w:rsidP="00400566">
            <w:pPr>
              <w:pStyle w:val="TableNText"/>
              <w:keepNext w:val="0"/>
              <w:keepLines/>
              <w:spacing w:before="20" w:after="20"/>
              <w:jc w:val="center"/>
            </w:pPr>
          </w:p>
        </w:tc>
        <w:tc>
          <w:tcPr>
            <w:tcW w:w="3544" w:type="dxa"/>
          </w:tcPr>
          <w:p w14:paraId="61D0A3ED"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5</w:t>
            </w:r>
            <w:r w:rsidRPr="00877733">
              <w:rPr>
                <w:rFonts w:eastAsia="Segoe UI"/>
              </w:rPr>
              <w:t xml:space="preserve">: Change in utilisation of PL items  </w:t>
            </w:r>
          </w:p>
        </w:tc>
        <w:tc>
          <w:tcPr>
            <w:tcW w:w="6804" w:type="dxa"/>
          </w:tcPr>
          <w:p w14:paraId="1C2DA6FF" w14:textId="77777777" w:rsidR="003C4597" w:rsidRPr="004A0C1C"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5.1</w:t>
            </w:r>
            <w:r w:rsidRPr="00D747E2">
              <w:rPr>
                <w:rFonts w:eastAsia="Segoe UI"/>
              </w:rPr>
              <w:t>: Utilisation of PL items</w:t>
            </w:r>
          </w:p>
        </w:tc>
      </w:tr>
      <w:tr w:rsidR="003C4597" w14:paraId="748278E8"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val="restart"/>
          </w:tcPr>
          <w:p w14:paraId="3BED5CF6" w14:textId="77777777" w:rsidR="003C4597" w:rsidRDefault="003C4597" w:rsidP="00400566">
            <w:pPr>
              <w:pStyle w:val="TableNText"/>
              <w:keepNext w:val="0"/>
              <w:keepLines/>
              <w:spacing w:before="20" w:after="20"/>
              <w:rPr>
                <w:rFonts w:eastAsia="Segoe UI"/>
              </w:rPr>
            </w:pPr>
            <w:r>
              <w:rPr>
                <w:rFonts w:eastAsia="Segoe UI"/>
              </w:rPr>
              <w:t>4. Improve the affordability and value of private health insurance for privately insured Australians</w:t>
            </w:r>
          </w:p>
        </w:tc>
        <w:tc>
          <w:tcPr>
            <w:tcW w:w="851" w:type="dxa"/>
          </w:tcPr>
          <w:p w14:paraId="1C142528" w14:textId="77777777" w:rsidR="003C4597" w:rsidRDefault="003C4597" w:rsidP="00400566">
            <w:pPr>
              <w:pStyle w:val="TableNText"/>
              <w:keepNext w:val="0"/>
              <w:keepLines/>
              <w:spacing w:before="20" w:after="20"/>
              <w:jc w:val="center"/>
            </w:pPr>
            <w:r>
              <w:t>1</w:t>
            </w:r>
          </w:p>
        </w:tc>
        <w:tc>
          <w:tcPr>
            <w:tcW w:w="3544" w:type="dxa"/>
          </w:tcPr>
          <w:p w14:paraId="4BE23690" w14:textId="77777777" w:rsidR="003C4597" w:rsidRPr="004A0C1C" w:rsidRDefault="003C4597" w:rsidP="00400566">
            <w:pPr>
              <w:pStyle w:val="TableNText"/>
              <w:keepLines/>
              <w:spacing w:before="20" w:after="20"/>
              <w:rPr>
                <w:rFonts w:eastAsia="Segoe UI"/>
              </w:rPr>
            </w:pPr>
            <w:r w:rsidRPr="00375B83">
              <w:rPr>
                <w:i/>
                <w:iCs/>
              </w:rPr>
              <w:t>No activity directly associated</w:t>
            </w:r>
          </w:p>
        </w:tc>
        <w:tc>
          <w:tcPr>
            <w:tcW w:w="6804" w:type="dxa"/>
          </w:tcPr>
          <w:p w14:paraId="405413A5" w14:textId="77777777" w:rsidR="003C4597" w:rsidRPr="004A0C1C" w:rsidRDefault="003C4597" w:rsidP="00400566">
            <w:pPr>
              <w:pStyle w:val="TableNBullet"/>
              <w:keepLines/>
              <w:numPr>
                <w:ilvl w:val="0"/>
                <w:numId w:val="0"/>
              </w:numPr>
              <w:spacing w:before="20" w:after="20"/>
              <w:rPr>
                <w:rFonts w:eastAsia="Segoe UI"/>
              </w:rPr>
            </w:pPr>
          </w:p>
        </w:tc>
      </w:tr>
      <w:tr w:rsidR="003C4597" w14:paraId="0C6657A5"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tcPr>
          <w:p w14:paraId="4C653F90" w14:textId="77777777" w:rsidR="003C4597" w:rsidRDefault="003C4597" w:rsidP="00400566">
            <w:pPr>
              <w:pStyle w:val="TableNText"/>
              <w:keepNext w:val="0"/>
              <w:keepLines/>
              <w:spacing w:before="20" w:after="20"/>
              <w:rPr>
                <w:rFonts w:eastAsia="Segoe UI"/>
              </w:rPr>
            </w:pPr>
          </w:p>
        </w:tc>
        <w:tc>
          <w:tcPr>
            <w:tcW w:w="851" w:type="dxa"/>
            <w:vMerge w:val="restart"/>
          </w:tcPr>
          <w:p w14:paraId="634444B6" w14:textId="77777777" w:rsidR="003C4597" w:rsidRDefault="003C4597" w:rsidP="00400566">
            <w:pPr>
              <w:pStyle w:val="TableNText"/>
              <w:keepNext w:val="0"/>
              <w:keepLines/>
              <w:spacing w:before="20" w:after="20"/>
              <w:jc w:val="center"/>
            </w:pPr>
            <w:r>
              <w:t>2</w:t>
            </w:r>
          </w:p>
        </w:tc>
        <w:tc>
          <w:tcPr>
            <w:tcW w:w="3544" w:type="dxa"/>
          </w:tcPr>
          <w:p w14:paraId="4D0CEC4F"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6</w:t>
            </w:r>
            <w:r w:rsidRPr="005B17F4">
              <w:rPr>
                <w:rFonts w:eastAsia="Segoe UI"/>
              </w:rPr>
              <w:t>: Change in PHI premium increases</w:t>
            </w:r>
          </w:p>
        </w:tc>
        <w:tc>
          <w:tcPr>
            <w:tcW w:w="6804" w:type="dxa"/>
          </w:tcPr>
          <w:p w14:paraId="03D265A6"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6.1</w:t>
            </w:r>
            <w:r w:rsidRPr="006A37D9">
              <w:rPr>
                <w:rFonts w:eastAsia="Segoe UI"/>
              </w:rPr>
              <w:t>: PHI premium price changes over time</w:t>
            </w:r>
          </w:p>
          <w:p w14:paraId="399247B4"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6.2</w:t>
            </w:r>
            <w:r w:rsidRPr="0040679D">
              <w:rPr>
                <w:rFonts w:eastAsia="Segoe UI"/>
              </w:rPr>
              <w:t>: Change in PHI premiums related to PL item expenditure</w:t>
            </w:r>
          </w:p>
          <w:p w14:paraId="3BD59949" w14:textId="77777777" w:rsidR="003C4597" w:rsidRPr="004A0C1C"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6.3</w:t>
            </w:r>
            <w:r w:rsidRPr="004A0253">
              <w:rPr>
                <w:rFonts w:eastAsia="Segoe UI"/>
              </w:rPr>
              <w:t>: Stakeholder perspectives on the drivers of change in PHI premiums</w:t>
            </w:r>
          </w:p>
        </w:tc>
      </w:tr>
      <w:tr w:rsidR="003C4597" w14:paraId="2C77B0BF"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4D3D0B6A" w14:textId="77777777" w:rsidR="003C4597" w:rsidRDefault="003C4597" w:rsidP="00400566">
            <w:pPr>
              <w:pStyle w:val="TableNText"/>
              <w:keepNext w:val="0"/>
              <w:keepLines/>
              <w:spacing w:before="20" w:after="20"/>
              <w:rPr>
                <w:rFonts w:eastAsia="Segoe UI"/>
              </w:rPr>
            </w:pPr>
          </w:p>
        </w:tc>
        <w:tc>
          <w:tcPr>
            <w:tcW w:w="851" w:type="dxa"/>
            <w:vMerge/>
          </w:tcPr>
          <w:p w14:paraId="39EBBD5F" w14:textId="77777777" w:rsidR="003C4597" w:rsidRDefault="003C4597" w:rsidP="00400566">
            <w:pPr>
              <w:pStyle w:val="TableNText"/>
              <w:keepNext w:val="0"/>
              <w:keepLines/>
              <w:spacing w:before="20" w:after="20"/>
              <w:jc w:val="center"/>
            </w:pPr>
          </w:p>
        </w:tc>
        <w:tc>
          <w:tcPr>
            <w:tcW w:w="3544" w:type="dxa"/>
          </w:tcPr>
          <w:p w14:paraId="23CCB384"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7</w:t>
            </w:r>
            <w:r w:rsidRPr="00C945B2">
              <w:rPr>
                <w:rFonts w:eastAsia="Segoe UI"/>
              </w:rPr>
              <w:t>: Change in PHI coverage and for whom</w:t>
            </w:r>
          </w:p>
        </w:tc>
        <w:tc>
          <w:tcPr>
            <w:tcW w:w="6804" w:type="dxa"/>
          </w:tcPr>
          <w:p w14:paraId="7F0F85CC"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7.1</w:t>
            </w:r>
            <w:r w:rsidRPr="001C5201">
              <w:rPr>
                <w:rFonts w:eastAsia="Segoe UI"/>
              </w:rPr>
              <w:t>: PHI coverage by demographic group</w:t>
            </w:r>
          </w:p>
          <w:p w14:paraId="118CE1D1"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7.2</w:t>
            </w:r>
            <w:r w:rsidRPr="00E250C6">
              <w:rPr>
                <w:rFonts w:eastAsia="Segoe UI"/>
              </w:rPr>
              <w:t>: Utilisation of PL items by privately insured patients</w:t>
            </w:r>
          </w:p>
          <w:p w14:paraId="64BFC865" w14:textId="77777777" w:rsidR="003C4597" w:rsidRPr="004A0C1C"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7.3</w:t>
            </w:r>
            <w:r w:rsidRPr="008117B8">
              <w:rPr>
                <w:rFonts w:eastAsia="Segoe UI"/>
              </w:rPr>
              <w:t>: Stakeholder perspectives on the drivers of change in PHI coverage</w:t>
            </w:r>
          </w:p>
        </w:tc>
      </w:tr>
      <w:tr w:rsidR="003C4597" w14:paraId="5A7FC0A9"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06C45200" w14:textId="77777777" w:rsidR="003C4597" w:rsidRDefault="003C4597" w:rsidP="00400566">
            <w:pPr>
              <w:pStyle w:val="TableNText"/>
              <w:keepNext w:val="0"/>
              <w:keepLines/>
              <w:spacing w:before="20" w:after="20"/>
              <w:rPr>
                <w:rFonts w:eastAsia="Segoe UI"/>
              </w:rPr>
            </w:pPr>
            <w:r>
              <w:rPr>
                <w:rFonts w:eastAsia="Segoe UI"/>
              </w:rPr>
              <w:t>5. Clarify the purpose, definition, and scope of the PL in legislation</w:t>
            </w:r>
          </w:p>
        </w:tc>
        <w:tc>
          <w:tcPr>
            <w:tcW w:w="851" w:type="dxa"/>
            <w:vMerge w:val="restart"/>
          </w:tcPr>
          <w:p w14:paraId="348A8FD6" w14:textId="77777777" w:rsidR="003C4597" w:rsidRDefault="003C4597" w:rsidP="00400566">
            <w:pPr>
              <w:pStyle w:val="TableNText"/>
              <w:keepNext w:val="0"/>
              <w:keepLines/>
              <w:spacing w:before="20" w:after="20"/>
              <w:jc w:val="center"/>
            </w:pPr>
            <w:r>
              <w:t>1</w:t>
            </w:r>
          </w:p>
        </w:tc>
        <w:tc>
          <w:tcPr>
            <w:tcW w:w="3544" w:type="dxa"/>
          </w:tcPr>
          <w:p w14:paraId="42BCC34F" w14:textId="77777777" w:rsidR="003C4597" w:rsidRPr="004A0C1C" w:rsidRDefault="003C4597" w:rsidP="00400566">
            <w:pPr>
              <w:pStyle w:val="TableNText"/>
              <w:keepLines/>
              <w:spacing w:before="20" w:after="20"/>
              <w:rPr>
                <w:rFonts w:eastAsia="Segoe UI"/>
              </w:rPr>
            </w:pPr>
            <w:r w:rsidRPr="002C0A43">
              <w:rPr>
                <w:rFonts w:asciiTheme="majorHAnsi" w:eastAsia="Segoe UI" w:hAnsiTheme="majorHAnsi" w:cstheme="majorHAnsi"/>
              </w:rPr>
              <w:t>Indicator 8</w:t>
            </w:r>
            <w:r w:rsidRPr="00C31B20">
              <w:rPr>
                <w:rFonts w:eastAsia="Segoe UI"/>
              </w:rPr>
              <w:t>: Legislative changes to the PL</w:t>
            </w:r>
          </w:p>
        </w:tc>
        <w:tc>
          <w:tcPr>
            <w:tcW w:w="6804" w:type="dxa"/>
          </w:tcPr>
          <w:p w14:paraId="5E9D7AE0" w14:textId="77777777" w:rsidR="003C4597" w:rsidRPr="004A0C1C"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8.1</w:t>
            </w:r>
            <w:r w:rsidRPr="3787E91E">
              <w:rPr>
                <w:rFonts w:eastAsia="Segoe UI"/>
              </w:rPr>
              <w:t>: Description of the PL's purpose, definition and scope in legislation</w:t>
            </w:r>
          </w:p>
        </w:tc>
      </w:tr>
      <w:tr w:rsidR="003C4597" w14:paraId="0EA309EE"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720EF2B3" w14:textId="77777777" w:rsidR="003C4597" w:rsidRPr="00983AE3" w:rsidRDefault="003C4597" w:rsidP="00400566">
            <w:pPr>
              <w:pStyle w:val="TableNText"/>
              <w:keepNext w:val="0"/>
              <w:keepLines/>
              <w:spacing w:before="20" w:after="20"/>
              <w:rPr>
                <w:rFonts w:eastAsia="Segoe UI"/>
              </w:rPr>
            </w:pPr>
          </w:p>
        </w:tc>
        <w:tc>
          <w:tcPr>
            <w:tcW w:w="851" w:type="dxa"/>
            <w:vMerge/>
          </w:tcPr>
          <w:p w14:paraId="4281BF07" w14:textId="77777777" w:rsidR="003C4597" w:rsidRPr="00983AE3" w:rsidRDefault="003C4597" w:rsidP="00400566">
            <w:pPr>
              <w:pStyle w:val="TableNText"/>
              <w:keepNext w:val="0"/>
              <w:keepLines/>
              <w:spacing w:before="20" w:after="20"/>
              <w:jc w:val="center"/>
            </w:pPr>
          </w:p>
        </w:tc>
        <w:tc>
          <w:tcPr>
            <w:tcW w:w="3544" w:type="dxa"/>
          </w:tcPr>
          <w:p w14:paraId="068A4F15"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9</w:t>
            </w:r>
            <w:r w:rsidRPr="00983AE3">
              <w:rPr>
                <w:rFonts w:eastAsia="Segoe UI"/>
              </w:rPr>
              <w:t>: Implementation of PL regrouping</w:t>
            </w:r>
          </w:p>
        </w:tc>
        <w:tc>
          <w:tcPr>
            <w:tcW w:w="6804" w:type="dxa"/>
          </w:tcPr>
          <w:p w14:paraId="03087C73"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9.1</w:t>
            </w:r>
            <w:r w:rsidRPr="00983AE3">
              <w:rPr>
                <w:rFonts w:eastAsia="Segoe UI"/>
              </w:rPr>
              <w:t>: Changes made to the PL grouping structure and PL item categorisation</w:t>
            </w:r>
          </w:p>
          <w:p w14:paraId="779AF482"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9.2</w:t>
            </w:r>
            <w:r w:rsidRPr="00E3596B">
              <w:rPr>
                <w:rFonts w:eastAsia="Segoe UI"/>
              </w:rPr>
              <w:t>: Number of PL items and benefit groups</w:t>
            </w:r>
          </w:p>
        </w:tc>
      </w:tr>
      <w:tr w:rsidR="003C4597" w14:paraId="4F16F158"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tcPr>
          <w:p w14:paraId="1FC0ACD4" w14:textId="77777777" w:rsidR="003C4597" w:rsidRPr="00983AE3" w:rsidRDefault="003C4597" w:rsidP="00400566">
            <w:pPr>
              <w:pStyle w:val="TableNText"/>
              <w:keepNext w:val="0"/>
              <w:keepLines/>
              <w:spacing w:before="20" w:after="20"/>
              <w:rPr>
                <w:rFonts w:eastAsia="Segoe UI"/>
              </w:rPr>
            </w:pPr>
          </w:p>
        </w:tc>
        <w:tc>
          <w:tcPr>
            <w:tcW w:w="851" w:type="dxa"/>
            <w:vMerge/>
          </w:tcPr>
          <w:p w14:paraId="3DB311CA" w14:textId="77777777" w:rsidR="003C4597" w:rsidRPr="00983AE3" w:rsidRDefault="003C4597" w:rsidP="00400566">
            <w:pPr>
              <w:pStyle w:val="TableNText"/>
              <w:keepNext w:val="0"/>
              <w:keepLines/>
              <w:spacing w:before="20" w:after="20"/>
              <w:jc w:val="center"/>
            </w:pPr>
          </w:p>
        </w:tc>
        <w:tc>
          <w:tcPr>
            <w:tcW w:w="3544" w:type="dxa"/>
          </w:tcPr>
          <w:p w14:paraId="19BE44E2" w14:textId="77777777" w:rsidR="003C4597" w:rsidRPr="00983AE3" w:rsidRDefault="003C4597" w:rsidP="00400566">
            <w:pPr>
              <w:pStyle w:val="TableNText"/>
              <w:keepLines/>
              <w:spacing w:before="20" w:after="20"/>
              <w:rPr>
                <w:rFonts w:eastAsia="Segoe UI"/>
              </w:rPr>
            </w:pPr>
            <w:r w:rsidRPr="3787E91E">
              <w:rPr>
                <w:rFonts w:asciiTheme="majorHAnsi" w:eastAsia="Segoe UI" w:hAnsiTheme="majorHAnsi" w:cstheme="majorBidi"/>
              </w:rPr>
              <w:t>Indicator 10</w:t>
            </w:r>
            <w:r w:rsidRPr="3787E91E">
              <w:rPr>
                <w:rFonts w:eastAsia="Segoe UI"/>
              </w:rPr>
              <w:t>: Implementation of changes to general use items</w:t>
            </w:r>
          </w:p>
        </w:tc>
        <w:tc>
          <w:tcPr>
            <w:tcW w:w="6804" w:type="dxa"/>
          </w:tcPr>
          <w:p w14:paraId="3365450E" w14:textId="77777777" w:rsidR="003C4597" w:rsidRPr="00983AE3"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10.1</w:t>
            </w:r>
            <w:r w:rsidRPr="3787E91E">
              <w:rPr>
                <w:rFonts w:eastAsia="Segoe UI"/>
              </w:rPr>
              <w:t>: Description of changes to general use items</w:t>
            </w:r>
          </w:p>
        </w:tc>
      </w:tr>
      <w:tr w:rsidR="003C4597" w14:paraId="3191D29F"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3E358CD8" w14:textId="77777777" w:rsidR="003C4597" w:rsidRPr="00983AE3" w:rsidRDefault="003C4597" w:rsidP="00400566">
            <w:pPr>
              <w:pStyle w:val="TableNText"/>
              <w:keepNext w:val="0"/>
              <w:keepLines/>
              <w:spacing w:before="20" w:after="20"/>
              <w:rPr>
                <w:rFonts w:eastAsia="Segoe UI"/>
              </w:rPr>
            </w:pPr>
          </w:p>
        </w:tc>
        <w:tc>
          <w:tcPr>
            <w:tcW w:w="851" w:type="dxa"/>
            <w:vMerge w:val="restart"/>
          </w:tcPr>
          <w:p w14:paraId="27690613" w14:textId="77777777" w:rsidR="003C4597" w:rsidRPr="00983AE3" w:rsidRDefault="003C4597" w:rsidP="00400566">
            <w:pPr>
              <w:pStyle w:val="TableNText"/>
              <w:keepNext w:val="0"/>
              <w:keepLines/>
              <w:spacing w:before="20" w:after="20"/>
              <w:jc w:val="center"/>
            </w:pPr>
            <w:r w:rsidRPr="00983AE3">
              <w:t>2</w:t>
            </w:r>
          </w:p>
        </w:tc>
        <w:tc>
          <w:tcPr>
            <w:tcW w:w="3544" w:type="dxa"/>
          </w:tcPr>
          <w:p w14:paraId="031AC4F2"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11</w:t>
            </w:r>
            <w:r w:rsidRPr="0031301D">
              <w:rPr>
                <w:rFonts w:eastAsia="Segoe UI"/>
              </w:rPr>
              <w:t>: Assessment of legislative changes to the PL</w:t>
            </w:r>
          </w:p>
        </w:tc>
        <w:tc>
          <w:tcPr>
            <w:tcW w:w="6804" w:type="dxa"/>
          </w:tcPr>
          <w:p w14:paraId="35023AAD" w14:textId="77777777" w:rsidR="003C4597" w:rsidRPr="00983AE3"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11.1</w:t>
            </w:r>
            <w:r w:rsidRPr="3787E91E">
              <w:rPr>
                <w:rFonts w:eastAsia="Segoe UI"/>
              </w:rPr>
              <w:t>: Stakeholder perspectives on the level of clarity in the PL's purpose, definition and scope</w:t>
            </w:r>
          </w:p>
        </w:tc>
      </w:tr>
      <w:tr w:rsidR="003C4597" w14:paraId="5EA9EACD"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tcPr>
          <w:p w14:paraId="4249EB17" w14:textId="77777777" w:rsidR="003C4597" w:rsidRPr="00983AE3" w:rsidRDefault="003C4597" w:rsidP="00400566">
            <w:pPr>
              <w:pStyle w:val="TableNText"/>
              <w:keepNext w:val="0"/>
              <w:keepLines/>
              <w:spacing w:before="20" w:after="20"/>
              <w:rPr>
                <w:rFonts w:eastAsia="Segoe UI"/>
              </w:rPr>
            </w:pPr>
          </w:p>
        </w:tc>
        <w:tc>
          <w:tcPr>
            <w:tcW w:w="851" w:type="dxa"/>
            <w:vMerge/>
          </w:tcPr>
          <w:p w14:paraId="28CC9637" w14:textId="77777777" w:rsidR="003C4597" w:rsidRPr="00983AE3" w:rsidRDefault="003C4597" w:rsidP="00400566">
            <w:pPr>
              <w:pStyle w:val="TableNText"/>
              <w:keepNext w:val="0"/>
              <w:keepLines/>
              <w:spacing w:before="20" w:after="20"/>
              <w:jc w:val="center"/>
            </w:pPr>
          </w:p>
        </w:tc>
        <w:tc>
          <w:tcPr>
            <w:tcW w:w="3544" w:type="dxa"/>
          </w:tcPr>
          <w:p w14:paraId="4BAB930C"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12</w:t>
            </w:r>
            <w:r w:rsidRPr="000E7340">
              <w:rPr>
                <w:rFonts w:eastAsia="Segoe UI"/>
              </w:rPr>
              <w:t>: Assessment of PL regrouping</w:t>
            </w:r>
          </w:p>
        </w:tc>
        <w:tc>
          <w:tcPr>
            <w:tcW w:w="6804" w:type="dxa"/>
          </w:tcPr>
          <w:p w14:paraId="10350FC0"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12.1</w:t>
            </w:r>
            <w:r w:rsidRPr="00BE3590">
              <w:rPr>
                <w:rFonts w:eastAsia="Segoe UI"/>
              </w:rPr>
              <w:t>: Stakeholder perspectives on PL regrouping</w:t>
            </w:r>
          </w:p>
        </w:tc>
      </w:tr>
      <w:tr w:rsidR="003C4597" w14:paraId="33FB477B"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37A1A133" w14:textId="77777777" w:rsidR="003C4597" w:rsidRPr="00983AE3" w:rsidRDefault="003C4597" w:rsidP="00400566">
            <w:pPr>
              <w:pStyle w:val="TableNText"/>
              <w:keepNext w:val="0"/>
              <w:keepLines/>
              <w:spacing w:before="20" w:after="20"/>
              <w:rPr>
                <w:rFonts w:eastAsia="Segoe UI"/>
              </w:rPr>
            </w:pPr>
          </w:p>
        </w:tc>
        <w:tc>
          <w:tcPr>
            <w:tcW w:w="851" w:type="dxa"/>
            <w:vMerge/>
          </w:tcPr>
          <w:p w14:paraId="4EB1FC7D" w14:textId="77777777" w:rsidR="003C4597" w:rsidRPr="00983AE3" w:rsidRDefault="003C4597" w:rsidP="00400566">
            <w:pPr>
              <w:pStyle w:val="TableNText"/>
              <w:keepNext w:val="0"/>
              <w:keepLines/>
              <w:spacing w:before="20" w:after="20"/>
              <w:jc w:val="center"/>
            </w:pPr>
          </w:p>
        </w:tc>
        <w:tc>
          <w:tcPr>
            <w:tcW w:w="3544" w:type="dxa"/>
          </w:tcPr>
          <w:p w14:paraId="1D3034E2" w14:textId="77777777" w:rsidR="003C4597" w:rsidRPr="00983AE3" w:rsidRDefault="003C4597" w:rsidP="00400566">
            <w:pPr>
              <w:pStyle w:val="TableNText"/>
              <w:keepLines/>
              <w:spacing w:before="20" w:after="20"/>
              <w:rPr>
                <w:rFonts w:eastAsia="Segoe UI"/>
              </w:rPr>
            </w:pPr>
            <w:r w:rsidRPr="3787E91E">
              <w:rPr>
                <w:rFonts w:asciiTheme="majorHAnsi" w:eastAsia="Segoe UI" w:hAnsiTheme="majorHAnsi" w:cstheme="majorBidi"/>
              </w:rPr>
              <w:t>Indicator 13</w:t>
            </w:r>
            <w:r w:rsidRPr="3787E91E">
              <w:rPr>
                <w:rFonts w:eastAsia="Segoe UI"/>
              </w:rPr>
              <w:t>: Assessment of changes to general use items</w:t>
            </w:r>
          </w:p>
        </w:tc>
        <w:tc>
          <w:tcPr>
            <w:tcW w:w="6804" w:type="dxa"/>
          </w:tcPr>
          <w:p w14:paraId="5D698409" w14:textId="77777777" w:rsidR="003C4597" w:rsidRPr="00983AE3" w:rsidRDefault="003C4597" w:rsidP="00400566">
            <w:pPr>
              <w:pStyle w:val="TableNBullet"/>
              <w:keepLines/>
              <w:spacing w:before="20" w:after="20"/>
              <w:rPr>
                <w:rFonts w:eastAsia="Segoe UI"/>
              </w:rPr>
            </w:pPr>
            <w:r w:rsidRPr="3787E91E">
              <w:rPr>
                <w:rFonts w:asciiTheme="majorHAnsi" w:eastAsia="Segoe UI" w:hAnsiTheme="majorHAnsi" w:cstheme="majorBidi"/>
                <w:color w:val="F25E21" w:themeColor="accent2"/>
              </w:rPr>
              <w:t>Measure 13.1</w:t>
            </w:r>
            <w:r w:rsidRPr="3787E91E">
              <w:rPr>
                <w:rFonts w:eastAsia="Segoe UI"/>
              </w:rPr>
              <w:t>: Stakeholder perspectives on changes to general use items</w:t>
            </w:r>
          </w:p>
        </w:tc>
      </w:tr>
      <w:tr w:rsidR="003C4597" w14:paraId="23B0DCB5"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49F1F6FA" w14:textId="77777777" w:rsidR="003C4597" w:rsidRPr="00983AE3" w:rsidRDefault="003C4597" w:rsidP="00400566">
            <w:pPr>
              <w:pStyle w:val="TableNText"/>
              <w:keepNext w:val="0"/>
              <w:keepLines/>
              <w:spacing w:before="20" w:after="20"/>
              <w:rPr>
                <w:rFonts w:eastAsia="Segoe UI"/>
              </w:rPr>
            </w:pPr>
            <w:r w:rsidRPr="00983AE3">
              <w:rPr>
                <w:rFonts w:eastAsia="Segoe UI"/>
              </w:rPr>
              <w:t>6. Implement new PL assessment pathways aligned to Health Technology Assessment Policy Branch principles and streamline application process through simple and robust IT infrastructure</w:t>
            </w:r>
          </w:p>
        </w:tc>
        <w:tc>
          <w:tcPr>
            <w:tcW w:w="851" w:type="dxa"/>
          </w:tcPr>
          <w:p w14:paraId="629C9E9F" w14:textId="77777777" w:rsidR="003C4597" w:rsidRPr="00983AE3" w:rsidRDefault="003C4597" w:rsidP="00400566">
            <w:pPr>
              <w:pStyle w:val="TableNText"/>
              <w:keepNext w:val="0"/>
              <w:keepLines/>
              <w:spacing w:before="20" w:after="20"/>
              <w:jc w:val="center"/>
            </w:pPr>
            <w:r>
              <w:t>1</w:t>
            </w:r>
          </w:p>
        </w:tc>
        <w:tc>
          <w:tcPr>
            <w:tcW w:w="3544" w:type="dxa"/>
          </w:tcPr>
          <w:p w14:paraId="2D7E36BE"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14</w:t>
            </w:r>
            <w:r w:rsidRPr="00A77282">
              <w:rPr>
                <w:rFonts w:eastAsia="Segoe UI"/>
              </w:rPr>
              <w:t>: Implementation of new assessment processes</w:t>
            </w:r>
          </w:p>
        </w:tc>
        <w:tc>
          <w:tcPr>
            <w:tcW w:w="6804" w:type="dxa"/>
          </w:tcPr>
          <w:p w14:paraId="5E06EFF6"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14.1</w:t>
            </w:r>
            <w:r w:rsidRPr="00CA1294">
              <w:rPr>
                <w:rFonts w:eastAsia="Segoe UI"/>
              </w:rPr>
              <w:t>: Description of assessment pathways</w:t>
            </w:r>
          </w:p>
          <w:p w14:paraId="4B30A182" w14:textId="77777777" w:rsidR="003C4597" w:rsidRPr="007E50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14.2</w:t>
            </w:r>
            <w:r w:rsidRPr="00A51CC8">
              <w:rPr>
                <w:rFonts w:eastAsia="Segoe UI"/>
              </w:rPr>
              <w:t>: Description of governance processes</w:t>
            </w:r>
          </w:p>
        </w:tc>
      </w:tr>
      <w:tr w:rsidR="003C4597" w14:paraId="471FD1C9" w14:textId="77777777" w:rsidTr="00FB7586">
        <w:trPr>
          <w:cnfStyle w:val="000000010000" w:firstRow="0" w:lastRow="0" w:firstColumn="0" w:lastColumn="0" w:oddVBand="0" w:evenVBand="0" w:oddHBand="0" w:evenHBand="1" w:firstRowFirstColumn="0" w:firstRowLastColumn="0" w:lastRowFirstColumn="0" w:lastRowLastColumn="0"/>
          <w:trHeight w:val="664"/>
        </w:trPr>
        <w:tc>
          <w:tcPr>
            <w:tcW w:w="2835" w:type="dxa"/>
            <w:vMerge/>
          </w:tcPr>
          <w:p w14:paraId="530FD57C" w14:textId="77777777" w:rsidR="003C4597" w:rsidRPr="00983AE3" w:rsidRDefault="003C4597" w:rsidP="00400566">
            <w:pPr>
              <w:pStyle w:val="TableNText"/>
              <w:keepNext w:val="0"/>
              <w:keepLines/>
              <w:spacing w:before="20" w:after="20"/>
              <w:rPr>
                <w:rFonts w:eastAsia="Segoe UI"/>
              </w:rPr>
            </w:pPr>
          </w:p>
        </w:tc>
        <w:tc>
          <w:tcPr>
            <w:tcW w:w="851" w:type="dxa"/>
          </w:tcPr>
          <w:p w14:paraId="217DC5B3" w14:textId="77777777" w:rsidR="003C4597" w:rsidRPr="00983AE3" w:rsidRDefault="003C4597" w:rsidP="00400566">
            <w:pPr>
              <w:pStyle w:val="TableNText"/>
              <w:keepNext w:val="0"/>
              <w:keepLines/>
              <w:spacing w:before="20" w:after="20"/>
              <w:jc w:val="center"/>
            </w:pPr>
            <w:r>
              <w:t>2</w:t>
            </w:r>
          </w:p>
        </w:tc>
        <w:tc>
          <w:tcPr>
            <w:tcW w:w="3544" w:type="dxa"/>
          </w:tcPr>
          <w:p w14:paraId="71161AB9"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15</w:t>
            </w:r>
            <w:r w:rsidRPr="00FB410A">
              <w:rPr>
                <w:rFonts w:eastAsia="Segoe UI"/>
              </w:rPr>
              <w:t>: Assessment of new assessment processes</w:t>
            </w:r>
          </w:p>
        </w:tc>
        <w:tc>
          <w:tcPr>
            <w:tcW w:w="6804" w:type="dxa"/>
          </w:tcPr>
          <w:p w14:paraId="780C1BF9"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15.1</w:t>
            </w:r>
            <w:r w:rsidRPr="002C0A43">
              <w:rPr>
                <w:rFonts w:asciiTheme="minorHAnsi" w:eastAsia="Segoe UI" w:hAnsiTheme="minorHAnsi" w:cstheme="minorHAnsi"/>
              </w:rPr>
              <w:t>: Volume</w:t>
            </w:r>
            <w:r w:rsidRPr="002C0A43">
              <w:rPr>
                <w:rFonts w:eastAsia="Segoe UI"/>
              </w:rPr>
              <w:t xml:space="preserve"> </w:t>
            </w:r>
            <w:r w:rsidRPr="000C35CC">
              <w:rPr>
                <w:rFonts w:eastAsia="Segoe UI"/>
              </w:rPr>
              <w:t>of PL applications per tier</w:t>
            </w:r>
          </w:p>
          <w:p w14:paraId="039A0789"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15.2</w:t>
            </w:r>
            <w:r w:rsidRPr="00B60431">
              <w:rPr>
                <w:rFonts w:eastAsia="Segoe UI"/>
              </w:rPr>
              <w:t>: Stakeholder perspectives on the assessment pathways and listing process</w:t>
            </w:r>
          </w:p>
        </w:tc>
      </w:tr>
      <w:tr w:rsidR="003C4597" w14:paraId="2C372C30"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2ABFDCA5" w14:textId="77777777" w:rsidR="003C4597" w:rsidRPr="00983AE3" w:rsidRDefault="003C4597" w:rsidP="00400566">
            <w:pPr>
              <w:pStyle w:val="TableNText"/>
              <w:keepNext w:val="0"/>
              <w:keepLines/>
              <w:spacing w:before="20" w:after="20"/>
              <w:rPr>
                <w:rFonts w:eastAsia="Segoe UI"/>
              </w:rPr>
            </w:pPr>
            <w:r w:rsidRPr="00983AE3">
              <w:rPr>
                <w:rFonts w:eastAsia="Segoe UI"/>
              </w:rPr>
              <w:t>7. Develop and implement PL listing review and PL compliance frameworks to safeguard the PL reforms</w:t>
            </w:r>
          </w:p>
        </w:tc>
        <w:tc>
          <w:tcPr>
            <w:tcW w:w="851" w:type="dxa"/>
          </w:tcPr>
          <w:p w14:paraId="1D806A81" w14:textId="77777777" w:rsidR="003C4597" w:rsidRPr="00983AE3" w:rsidRDefault="003C4597" w:rsidP="00400566">
            <w:pPr>
              <w:pStyle w:val="TableNText"/>
              <w:keepNext w:val="0"/>
              <w:keepLines/>
              <w:spacing w:before="20" w:after="20"/>
              <w:jc w:val="center"/>
            </w:pPr>
            <w:r>
              <w:t>1</w:t>
            </w:r>
          </w:p>
        </w:tc>
        <w:tc>
          <w:tcPr>
            <w:tcW w:w="3544" w:type="dxa"/>
          </w:tcPr>
          <w:p w14:paraId="6282920E"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16</w:t>
            </w:r>
            <w:r w:rsidRPr="000559D2">
              <w:rPr>
                <w:rFonts w:eastAsia="Segoe UI"/>
              </w:rPr>
              <w:t>: Change in listing review and compliance frameworks</w:t>
            </w:r>
          </w:p>
        </w:tc>
        <w:tc>
          <w:tcPr>
            <w:tcW w:w="6804" w:type="dxa"/>
          </w:tcPr>
          <w:p w14:paraId="462A0FF5"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16.1</w:t>
            </w:r>
            <w:r w:rsidRPr="00BA3CCD">
              <w:rPr>
                <w:rFonts w:eastAsia="Segoe UI"/>
              </w:rPr>
              <w:t>: Description of post-listing review framework</w:t>
            </w:r>
          </w:p>
          <w:p w14:paraId="56B300EB"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16.2</w:t>
            </w:r>
            <w:r w:rsidRPr="005E6C6E">
              <w:rPr>
                <w:rFonts w:eastAsia="Segoe UI"/>
              </w:rPr>
              <w:t>: Description of compliance strategy</w:t>
            </w:r>
          </w:p>
        </w:tc>
      </w:tr>
      <w:tr w:rsidR="003C4597" w14:paraId="7B9E2E79"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5BA6E7BB" w14:textId="77777777" w:rsidR="003C4597" w:rsidRPr="00983AE3" w:rsidRDefault="003C4597" w:rsidP="00400566">
            <w:pPr>
              <w:pStyle w:val="TableNText"/>
              <w:keepNext w:val="0"/>
              <w:keepLines/>
              <w:spacing w:before="20" w:after="20"/>
              <w:rPr>
                <w:rFonts w:eastAsia="Segoe UI"/>
              </w:rPr>
            </w:pPr>
          </w:p>
        </w:tc>
        <w:tc>
          <w:tcPr>
            <w:tcW w:w="851" w:type="dxa"/>
          </w:tcPr>
          <w:p w14:paraId="2D14D6EA" w14:textId="77777777" w:rsidR="003C4597" w:rsidRPr="00983AE3" w:rsidRDefault="003C4597" w:rsidP="00400566">
            <w:pPr>
              <w:pStyle w:val="TableNText"/>
              <w:keepNext w:val="0"/>
              <w:keepLines/>
              <w:spacing w:before="20" w:after="20"/>
              <w:jc w:val="center"/>
              <w:rPr>
                <w:rFonts w:eastAsia="Segoe UI"/>
              </w:rPr>
            </w:pPr>
            <w:r>
              <w:rPr>
                <w:rFonts w:eastAsia="Segoe UI"/>
              </w:rPr>
              <w:t>2</w:t>
            </w:r>
          </w:p>
        </w:tc>
        <w:tc>
          <w:tcPr>
            <w:tcW w:w="3544" w:type="dxa"/>
          </w:tcPr>
          <w:p w14:paraId="13858AA7"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17</w:t>
            </w:r>
            <w:r w:rsidRPr="0001189F">
              <w:rPr>
                <w:rFonts w:eastAsia="Segoe UI"/>
              </w:rPr>
              <w:t>: Assessment of listing review and compliance frameworks</w:t>
            </w:r>
          </w:p>
        </w:tc>
        <w:tc>
          <w:tcPr>
            <w:tcW w:w="6804" w:type="dxa"/>
          </w:tcPr>
          <w:p w14:paraId="0524F2A0"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17.1</w:t>
            </w:r>
            <w:r w:rsidRPr="00CB6233">
              <w:rPr>
                <w:rFonts w:eastAsia="Segoe UI"/>
              </w:rPr>
              <w:t>: Description of post-listing reviews conducted</w:t>
            </w:r>
          </w:p>
          <w:p w14:paraId="757CA250"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17.2</w:t>
            </w:r>
            <w:r w:rsidRPr="007F4E03">
              <w:rPr>
                <w:rFonts w:eastAsia="Segoe UI"/>
              </w:rPr>
              <w:t>: Stakeholder perspectives on post-listing reviews</w:t>
            </w:r>
          </w:p>
          <w:p w14:paraId="496BCE20"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17.3</w:t>
            </w:r>
            <w:r w:rsidRPr="00A3575A">
              <w:rPr>
                <w:rFonts w:eastAsia="Segoe UI"/>
              </w:rPr>
              <w:t>: Description of compliance activities conducted</w:t>
            </w:r>
          </w:p>
          <w:p w14:paraId="47CF6D3A"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17.4</w:t>
            </w:r>
            <w:r w:rsidRPr="009D6B9E">
              <w:rPr>
                <w:rFonts w:eastAsia="Segoe UI"/>
              </w:rPr>
              <w:t>: Stakeholder perspectives on PL compliance</w:t>
            </w:r>
          </w:p>
        </w:tc>
      </w:tr>
      <w:tr w:rsidR="003C4597" w14:paraId="5465E39D" w14:textId="77777777" w:rsidTr="00FB7586">
        <w:trPr>
          <w:cnfStyle w:val="000000100000" w:firstRow="0" w:lastRow="0" w:firstColumn="0" w:lastColumn="0" w:oddVBand="0" w:evenVBand="0" w:oddHBand="1" w:evenHBand="0" w:firstRowFirstColumn="0" w:firstRowLastColumn="0" w:lastRowFirstColumn="0" w:lastRowLastColumn="0"/>
        </w:trPr>
        <w:tc>
          <w:tcPr>
            <w:tcW w:w="2835" w:type="dxa"/>
            <w:vMerge w:val="restart"/>
          </w:tcPr>
          <w:p w14:paraId="7E69C114" w14:textId="77777777" w:rsidR="003C4597" w:rsidRPr="00983AE3" w:rsidRDefault="003C4597" w:rsidP="00400566">
            <w:pPr>
              <w:pStyle w:val="TableNText"/>
              <w:keepNext w:val="0"/>
              <w:keepLines/>
              <w:spacing w:before="20" w:after="20"/>
              <w:rPr>
                <w:rFonts w:eastAsia="Segoe UI"/>
              </w:rPr>
            </w:pPr>
            <w:r w:rsidRPr="00983AE3">
              <w:rPr>
                <w:rFonts w:eastAsia="Segoe UI"/>
              </w:rPr>
              <w:t>8. Ensure ongoing financial sustainability of PL administration through effective and efficient cost recovery arrangements that are compliant with the AGCF</w:t>
            </w:r>
          </w:p>
        </w:tc>
        <w:tc>
          <w:tcPr>
            <w:tcW w:w="851" w:type="dxa"/>
          </w:tcPr>
          <w:p w14:paraId="3A211679" w14:textId="77777777" w:rsidR="003C4597" w:rsidRPr="00983AE3" w:rsidRDefault="003C4597" w:rsidP="00400566">
            <w:pPr>
              <w:pStyle w:val="TableNText"/>
              <w:keepNext w:val="0"/>
              <w:keepLines/>
              <w:spacing w:before="20" w:after="20"/>
              <w:jc w:val="center"/>
              <w:rPr>
                <w:rFonts w:eastAsia="Segoe UI"/>
              </w:rPr>
            </w:pPr>
            <w:r>
              <w:rPr>
                <w:rFonts w:eastAsia="Segoe UI"/>
              </w:rPr>
              <w:t>1</w:t>
            </w:r>
          </w:p>
        </w:tc>
        <w:tc>
          <w:tcPr>
            <w:tcW w:w="3544" w:type="dxa"/>
          </w:tcPr>
          <w:p w14:paraId="226803B0"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18</w:t>
            </w:r>
            <w:r w:rsidRPr="00E40C6C">
              <w:rPr>
                <w:rFonts w:eastAsia="Segoe UI"/>
              </w:rPr>
              <w:t>: Implementation of cost recovery arrangements</w:t>
            </w:r>
          </w:p>
        </w:tc>
        <w:tc>
          <w:tcPr>
            <w:tcW w:w="6804" w:type="dxa"/>
          </w:tcPr>
          <w:p w14:paraId="0B6247B7"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18.1</w:t>
            </w:r>
            <w:r w:rsidRPr="00CD3D0A">
              <w:rPr>
                <w:rFonts w:eastAsia="Segoe UI"/>
              </w:rPr>
              <w:t>: Description of cost recovery arrangements</w:t>
            </w:r>
          </w:p>
        </w:tc>
      </w:tr>
      <w:tr w:rsidR="003C4597" w14:paraId="68085AE7" w14:textId="77777777" w:rsidTr="00FB7586">
        <w:trPr>
          <w:cnfStyle w:val="000000010000" w:firstRow="0" w:lastRow="0" w:firstColumn="0" w:lastColumn="0" w:oddVBand="0" w:evenVBand="0" w:oddHBand="0" w:evenHBand="1" w:firstRowFirstColumn="0" w:firstRowLastColumn="0" w:lastRowFirstColumn="0" w:lastRowLastColumn="0"/>
        </w:trPr>
        <w:tc>
          <w:tcPr>
            <w:tcW w:w="2835" w:type="dxa"/>
            <w:vMerge/>
          </w:tcPr>
          <w:p w14:paraId="63D9D759" w14:textId="77777777" w:rsidR="003C4597" w:rsidRPr="00983AE3" w:rsidRDefault="003C4597" w:rsidP="00400566">
            <w:pPr>
              <w:pStyle w:val="TableNText"/>
              <w:keepNext w:val="0"/>
              <w:keepLines/>
              <w:spacing w:before="20" w:after="20"/>
              <w:rPr>
                <w:rFonts w:eastAsia="Segoe UI"/>
              </w:rPr>
            </w:pPr>
          </w:p>
        </w:tc>
        <w:tc>
          <w:tcPr>
            <w:tcW w:w="851" w:type="dxa"/>
          </w:tcPr>
          <w:p w14:paraId="37275EF4" w14:textId="77777777" w:rsidR="003C4597" w:rsidRPr="00983AE3" w:rsidRDefault="003C4597" w:rsidP="00400566">
            <w:pPr>
              <w:pStyle w:val="TableNText"/>
              <w:keepNext w:val="0"/>
              <w:keepLines/>
              <w:spacing w:before="20" w:after="20"/>
              <w:jc w:val="center"/>
              <w:rPr>
                <w:rFonts w:eastAsia="Segoe UI"/>
              </w:rPr>
            </w:pPr>
            <w:r>
              <w:rPr>
                <w:rFonts w:eastAsia="Segoe UI"/>
              </w:rPr>
              <w:t>2</w:t>
            </w:r>
          </w:p>
        </w:tc>
        <w:tc>
          <w:tcPr>
            <w:tcW w:w="3544" w:type="dxa"/>
          </w:tcPr>
          <w:p w14:paraId="7C728683" w14:textId="77777777" w:rsidR="003C4597" w:rsidRPr="00983AE3" w:rsidRDefault="003C4597" w:rsidP="00400566">
            <w:pPr>
              <w:pStyle w:val="TableNText"/>
              <w:keepLines/>
              <w:spacing w:before="20" w:after="20"/>
              <w:rPr>
                <w:rFonts w:eastAsia="Segoe UI"/>
              </w:rPr>
            </w:pPr>
            <w:r w:rsidRPr="002C0A43">
              <w:rPr>
                <w:rFonts w:asciiTheme="majorHAnsi" w:eastAsia="Segoe UI" w:hAnsiTheme="majorHAnsi" w:cstheme="majorHAnsi"/>
              </w:rPr>
              <w:t>Indicator 19</w:t>
            </w:r>
            <w:r w:rsidRPr="00B325C4">
              <w:rPr>
                <w:rFonts w:eastAsia="Segoe UI"/>
              </w:rPr>
              <w:t>: Financial sustainability of PL administration</w:t>
            </w:r>
          </w:p>
        </w:tc>
        <w:tc>
          <w:tcPr>
            <w:tcW w:w="6804" w:type="dxa"/>
          </w:tcPr>
          <w:p w14:paraId="509F418E" w14:textId="77777777" w:rsidR="003C4597"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19.1</w:t>
            </w:r>
            <w:r w:rsidRPr="00F571E2">
              <w:rPr>
                <w:rFonts w:eastAsia="Segoe UI"/>
              </w:rPr>
              <w:t>: Change in PL administrative effort</w:t>
            </w:r>
          </w:p>
          <w:p w14:paraId="08A2C912" w14:textId="77777777" w:rsidR="003C4597" w:rsidRPr="00983AE3" w:rsidRDefault="003C4597" w:rsidP="00400566">
            <w:pPr>
              <w:pStyle w:val="TableNBullet"/>
              <w:keepLines/>
              <w:spacing w:before="20" w:after="20"/>
              <w:rPr>
                <w:rFonts w:eastAsia="Segoe UI"/>
              </w:rPr>
            </w:pPr>
            <w:r w:rsidRPr="002C0A43">
              <w:rPr>
                <w:rFonts w:asciiTheme="majorHAnsi" w:eastAsia="Segoe UI" w:hAnsiTheme="majorHAnsi" w:cstheme="majorHAnsi"/>
                <w:color w:val="F25E21" w:themeColor="accent2"/>
              </w:rPr>
              <w:t>Measure 19.2</w:t>
            </w:r>
            <w:r w:rsidRPr="00DB1EC0">
              <w:rPr>
                <w:rFonts w:eastAsia="Segoe UI"/>
              </w:rPr>
              <w:t>: Stakeholder perspectives on the financial sustainability of PL administration</w:t>
            </w:r>
          </w:p>
        </w:tc>
      </w:tr>
    </w:tbl>
    <w:p w14:paraId="1F3D2216" w14:textId="77777777" w:rsidR="00F14853" w:rsidRDefault="00F14853" w:rsidP="00F14853">
      <w:pPr>
        <w:rPr>
          <w:lang w:val="en-AU"/>
        </w:rPr>
        <w:sectPr w:rsidR="00F14853" w:rsidSect="00FB7586">
          <w:pgSz w:w="16839" w:h="11907" w:orient="landscape" w:code="9"/>
          <w:pgMar w:top="1418" w:right="1418" w:bottom="1418" w:left="1418" w:header="720" w:footer="720" w:gutter="0"/>
          <w:cols w:space="720"/>
          <w:docGrid w:linePitch="360"/>
        </w:sectPr>
      </w:pPr>
    </w:p>
    <w:p w14:paraId="38761A71" w14:textId="725751E4" w:rsidR="00372D45" w:rsidRDefault="00E61F23" w:rsidP="0011201A">
      <w:pPr>
        <w:pStyle w:val="xAppendixLevel2"/>
      </w:pPr>
      <w:bookmarkStart w:id="113" w:name="_Ref170379352"/>
      <w:bookmarkStart w:id="114" w:name="_Toc181405105"/>
      <w:r>
        <w:lastRenderedPageBreak/>
        <w:t>Approach to data collection and engagement</w:t>
      </w:r>
      <w:bookmarkEnd w:id="113"/>
      <w:bookmarkEnd w:id="114"/>
    </w:p>
    <w:p w14:paraId="20BA1CD2" w14:textId="30545885" w:rsidR="003C4597" w:rsidRPr="00413DDC" w:rsidRDefault="0071743A" w:rsidP="00413DDC">
      <w:pPr>
        <w:rPr>
          <w:rStyle w:val="Strong"/>
        </w:rPr>
      </w:pPr>
      <w:r w:rsidRPr="00413DDC">
        <w:rPr>
          <w:rStyle w:val="Strong"/>
        </w:rPr>
        <w:t>The evaluation is using a ‘mixed methods’ approach</w:t>
      </w:r>
    </w:p>
    <w:p w14:paraId="7DA597D1" w14:textId="3D99F072" w:rsidR="1FB44803" w:rsidRDefault="000C6F77" w:rsidP="383BDA4A">
      <w:pPr>
        <w:rPr>
          <w:rFonts w:eastAsia="Segoe UI" w:cs="Segoe UI"/>
          <w:szCs w:val="19"/>
          <w:lang w:val="en-AU"/>
        </w:rPr>
      </w:pPr>
      <w:r>
        <w:rPr>
          <w:rFonts w:eastAsia="Segoe UI" w:cs="Segoe UI"/>
          <w:szCs w:val="19"/>
          <w:lang w:val="en-AU"/>
        </w:rPr>
        <w:t xml:space="preserve">Evaluating the PL reforms </w:t>
      </w:r>
      <w:r w:rsidR="002215B5">
        <w:rPr>
          <w:rFonts w:eastAsia="Segoe UI" w:cs="Segoe UI"/>
          <w:szCs w:val="19"/>
          <w:lang w:val="en-AU"/>
        </w:rPr>
        <w:t xml:space="preserve">involves </w:t>
      </w:r>
      <w:r w:rsidR="002215B5" w:rsidRPr="002215B5">
        <w:rPr>
          <w:rFonts w:eastAsia="Segoe UI" w:cs="Segoe UI"/>
          <w:szCs w:val="19"/>
          <w:lang w:val="en-AU"/>
        </w:rPr>
        <w:t xml:space="preserve">a large and diverse group of stakeholders, </w:t>
      </w:r>
      <w:r w:rsidR="002215B5">
        <w:rPr>
          <w:rFonts w:eastAsia="Segoe UI" w:cs="Segoe UI"/>
          <w:szCs w:val="19"/>
          <w:lang w:val="en-AU"/>
        </w:rPr>
        <w:t>a</w:t>
      </w:r>
      <w:r w:rsidR="002215B5" w:rsidRPr="002215B5">
        <w:rPr>
          <w:rFonts w:eastAsia="Segoe UI" w:cs="Segoe UI"/>
          <w:szCs w:val="19"/>
          <w:lang w:val="en-AU"/>
        </w:rPr>
        <w:t xml:space="preserve"> nuanced prostheses market, intertwined reform initiatives, and several intangible outcomes</w:t>
      </w:r>
      <w:r w:rsidR="002215B5">
        <w:rPr>
          <w:rFonts w:eastAsia="Segoe UI" w:cs="Segoe UI"/>
          <w:szCs w:val="19"/>
          <w:lang w:val="en-AU"/>
        </w:rPr>
        <w:t xml:space="preserve">. </w:t>
      </w:r>
      <w:r w:rsidR="002215B5" w:rsidRPr="002215B5">
        <w:rPr>
          <w:rFonts w:eastAsia="Segoe UI" w:cs="Segoe UI"/>
          <w:szCs w:val="19"/>
          <w:lang w:val="en-AU"/>
        </w:rPr>
        <w:t xml:space="preserve">To address </w:t>
      </w:r>
      <w:r w:rsidR="00BE6156">
        <w:rPr>
          <w:rFonts w:eastAsia="Segoe UI" w:cs="Segoe UI"/>
          <w:szCs w:val="19"/>
          <w:lang w:val="en-AU"/>
        </w:rPr>
        <w:t>this complexity,</w:t>
      </w:r>
      <w:r w:rsidR="002215B5" w:rsidRPr="002215B5">
        <w:rPr>
          <w:rFonts w:eastAsia="Segoe UI" w:cs="Segoe UI"/>
          <w:szCs w:val="19"/>
          <w:lang w:val="en-AU"/>
        </w:rPr>
        <w:t xml:space="preserve"> </w:t>
      </w:r>
      <w:r w:rsidR="007F340C">
        <w:rPr>
          <w:rFonts w:eastAsia="Segoe UI" w:cs="Segoe UI"/>
          <w:szCs w:val="19"/>
          <w:lang w:val="en-AU"/>
        </w:rPr>
        <w:t xml:space="preserve">this </w:t>
      </w:r>
      <w:r w:rsidR="002215B5" w:rsidRPr="002215B5">
        <w:rPr>
          <w:rFonts w:eastAsia="Segoe UI" w:cs="Segoe UI"/>
          <w:szCs w:val="19"/>
          <w:lang w:val="en-AU"/>
        </w:rPr>
        <w:t>evaluation</w:t>
      </w:r>
      <w:r w:rsidR="002215B5">
        <w:rPr>
          <w:rFonts w:eastAsia="Segoe UI" w:cs="Segoe UI"/>
          <w:szCs w:val="19"/>
          <w:lang w:val="en-AU"/>
        </w:rPr>
        <w:t xml:space="preserve"> </w:t>
      </w:r>
      <w:r w:rsidR="00893C43">
        <w:rPr>
          <w:rFonts w:eastAsia="Segoe UI" w:cs="Segoe UI"/>
          <w:szCs w:val="19"/>
          <w:lang w:val="en-AU"/>
        </w:rPr>
        <w:t>is using a</w:t>
      </w:r>
      <w:r w:rsidR="00490B12">
        <w:rPr>
          <w:rFonts w:eastAsia="Segoe UI" w:cs="Segoe UI"/>
          <w:szCs w:val="19"/>
          <w:lang w:val="en-AU"/>
        </w:rPr>
        <w:t xml:space="preserve"> </w:t>
      </w:r>
      <w:r w:rsidR="002215B5" w:rsidRPr="002215B5">
        <w:rPr>
          <w:rFonts w:eastAsia="Segoe UI" w:cs="Segoe UI"/>
          <w:szCs w:val="19"/>
          <w:lang w:val="en-AU"/>
        </w:rPr>
        <w:t>principles-based approach</w:t>
      </w:r>
      <w:r w:rsidR="003E4102">
        <w:rPr>
          <w:rFonts w:eastAsia="Segoe UI" w:cs="Segoe UI"/>
          <w:szCs w:val="19"/>
          <w:lang w:val="en-AU"/>
        </w:rPr>
        <w:t xml:space="preserve"> </w:t>
      </w:r>
      <w:r w:rsidR="00893C43">
        <w:rPr>
          <w:rFonts w:eastAsia="Segoe UI" w:cs="Segoe UI"/>
          <w:szCs w:val="19"/>
          <w:lang w:val="en-AU"/>
        </w:rPr>
        <w:t xml:space="preserve">with </w:t>
      </w:r>
      <w:r w:rsidR="00C65060">
        <w:rPr>
          <w:rFonts w:eastAsia="Segoe UI" w:cs="Segoe UI"/>
          <w:szCs w:val="19"/>
          <w:lang w:val="en-AU"/>
        </w:rPr>
        <w:t xml:space="preserve">KEQ </w:t>
      </w:r>
      <w:r w:rsidR="002215B5" w:rsidRPr="002215B5">
        <w:rPr>
          <w:rFonts w:eastAsia="Segoe UI" w:cs="Segoe UI"/>
          <w:szCs w:val="19"/>
          <w:lang w:val="en-AU"/>
        </w:rPr>
        <w:t xml:space="preserve">and </w:t>
      </w:r>
      <w:r w:rsidR="003E4102">
        <w:rPr>
          <w:rFonts w:eastAsia="Segoe UI" w:cs="Segoe UI"/>
          <w:szCs w:val="19"/>
          <w:lang w:val="en-AU"/>
        </w:rPr>
        <w:t xml:space="preserve">a </w:t>
      </w:r>
      <w:r w:rsidR="002215B5" w:rsidRPr="002215B5">
        <w:rPr>
          <w:rFonts w:eastAsia="Segoe UI" w:cs="Segoe UI"/>
          <w:szCs w:val="19"/>
          <w:lang w:val="en-AU"/>
        </w:rPr>
        <w:t>program logic</w:t>
      </w:r>
      <w:r w:rsidR="003E4102">
        <w:rPr>
          <w:rFonts w:eastAsia="Segoe UI" w:cs="Segoe UI"/>
          <w:szCs w:val="19"/>
          <w:lang w:val="en-AU"/>
        </w:rPr>
        <w:t xml:space="preserve"> to </w:t>
      </w:r>
      <w:r w:rsidR="002215B5" w:rsidRPr="002215B5">
        <w:rPr>
          <w:rFonts w:eastAsia="Segoe UI" w:cs="Segoe UI"/>
          <w:szCs w:val="19"/>
          <w:lang w:val="en-AU"/>
        </w:rPr>
        <w:t>focus the evaluation on the intentions</w:t>
      </w:r>
      <w:r w:rsidR="002215B5">
        <w:rPr>
          <w:rFonts w:eastAsia="Segoe UI" w:cs="Segoe UI"/>
          <w:szCs w:val="19"/>
          <w:lang w:val="en-AU"/>
        </w:rPr>
        <w:t xml:space="preserve"> of the reform. </w:t>
      </w:r>
    </w:p>
    <w:p w14:paraId="7354913D" w14:textId="491B53CD" w:rsidR="0062499E" w:rsidRPr="0026550A" w:rsidRDefault="009E38E6" w:rsidP="0071743A">
      <w:pPr>
        <w:rPr>
          <w:rFonts w:eastAsia="Segoe UI" w:cs="Segoe UI"/>
          <w:szCs w:val="19"/>
          <w:lang w:val="en-AU"/>
        </w:rPr>
      </w:pPr>
      <w:r>
        <w:rPr>
          <w:rFonts w:eastAsia="Segoe UI" w:cs="Segoe UI"/>
          <w:szCs w:val="19"/>
          <w:lang w:val="en-AU"/>
        </w:rPr>
        <w:t>This</w:t>
      </w:r>
      <w:r w:rsidRPr="009E38E6">
        <w:rPr>
          <w:rFonts w:eastAsia="Segoe UI" w:cs="Segoe UI"/>
          <w:szCs w:val="19"/>
          <w:lang w:val="en-AU"/>
        </w:rPr>
        <w:t xml:space="preserve"> </w:t>
      </w:r>
      <w:r>
        <w:rPr>
          <w:rFonts w:eastAsia="Segoe UI" w:cs="Segoe UI"/>
          <w:szCs w:val="19"/>
          <w:lang w:val="en-AU"/>
        </w:rPr>
        <w:t xml:space="preserve">interim report </w:t>
      </w:r>
      <w:r w:rsidR="007F340C">
        <w:rPr>
          <w:rFonts w:eastAsia="Segoe UI" w:cs="Segoe UI"/>
          <w:szCs w:val="19"/>
          <w:lang w:val="en-AU"/>
        </w:rPr>
        <w:t xml:space="preserve">uses a </w:t>
      </w:r>
      <w:r w:rsidR="0016787D">
        <w:rPr>
          <w:rFonts w:eastAsia="Segoe UI" w:cs="Segoe UI"/>
          <w:szCs w:val="19"/>
          <w:lang w:val="en-AU"/>
        </w:rPr>
        <w:t>‘</w:t>
      </w:r>
      <w:r>
        <w:rPr>
          <w:rFonts w:eastAsia="Segoe UI" w:cs="Segoe UI"/>
          <w:szCs w:val="19"/>
          <w:lang w:val="en-AU"/>
        </w:rPr>
        <w:t>mixed method</w:t>
      </w:r>
      <w:r w:rsidR="0016787D">
        <w:rPr>
          <w:rFonts w:eastAsia="Segoe UI" w:cs="Segoe UI"/>
          <w:szCs w:val="19"/>
          <w:lang w:val="en-AU"/>
        </w:rPr>
        <w:t>s’</w:t>
      </w:r>
      <w:r>
        <w:rPr>
          <w:rFonts w:eastAsia="Segoe UI" w:cs="Segoe UI"/>
          <w:szCs w:val="19"/>
          <w:lang w:val="en-AU"/>
        </w:rPr>
        <w:t xml:space="preserve"> approach</w:t>
      </w:r>
      <w:r w:rsidR="0016787D">
        <w:rPr>
          <w:rFonts w:eastAsia="Segoe UI" w:cs="Segoe UI"/>
          <w:szCs w:val="19"/>
          <w:lang w:val="en-AU"/>
        </w:rPr>
        <w:t xml:space="preserve">, collecting </w:t>
      </w:r>
      <w:r w:rsidRPr="009E38E6">
        <w:rPr>
          <w:rFonts w:eastAsia="Segoe UI" w:cs="Segoe UI"/>
          <w:szCs w:val="19"/>
          <w:lang w:val="en-AU"/>
        </w:rPr>
        <w:t>both qualitative and quantitative data</w:t>
      </w:r>
      <w:r w:rsidR="00787802">
        <w:rPr>
          <w:rFonts w:eastAsia="Segoe UI" w:cs="Segoe UI"/>
          <w:szCs w:val="19"/>
          <w:lang w:val="en-AU"/>
        </w:rPr>
        <w:t xml:space="preserve"> </w:t>
      </w:r>
      <w:r w:rsidR="00787802" w:rsidRPr="0088201A">
        <w:rPr>
          <w:lang w:val="en-AU" w:eastAsia="en-AU"/>
        </w:rPr>
        <w:t xml:space="preserve">from interviews, focus groups, desktop research, surveys and existing </w:t>
      </w:r>
      <w:r w:rsidR="0062499E" w:rsidRPr="0088201A">
        <w:rPr>
          <w:lang w:val="en-AU" w:eastAsia="en-AU"/>
        </w:rPr>
        <w:t>dat</w:t>
      </w:r>
      <w:r w:rsidR="0062499E">
        <w:rPr>
          <w:lang w:val="en-AU" w:eastAsia="en-AU"/>
        </w:rPr>
        <w:t>asets</w:t>
      </w:r>
      <w:r w:rsidR="0062499E" w:rsidRPr="009E38E6">
        <w:rPr>
          <w:rFonts w:eastAsia="Segoe UI" w:cs="Segoe UI"/>
          <w:szCs w:val="19"/>
          <w:lang w:val="en-AU"/>
        </w:rPr>
        <w:t>.</w:t>
      </w:r>
      <w:r w:rsidR="0062499E" w:rsidRPr="0062499E">
        <w:rPr>
          <w:rFonts w:eastAsia="Segoe UI" w:cs="Segoe UI"/>
          <w:szCs w:val="19"/>
          <w:lang w:val="en-AU"/>
        </w:rPr>
        <w:t xml:space="preserve"> Data analysis </w:t>
      </w:r>
      <w:r w:rsidR="0062499E">
        <w:rPr>
          <w:rFonts w:eastAsia="Segoe UI" w:cs="Segoe UI"/>
          <w:szCs w:val="19"/>
          <w:lang w:val="en-AU"/>
        </w:rPr>
        <w:t>has involved</w:t>
      </w:r>
      <w:r w:rsidR="0062499E" w:rsidRPr="0062499E">
        <w:rPr>
          <w:rFonts w:eastAsia="Segoe UI" w:cs="Segoe UI"/>
          <w:szCs w:val="19"/>
          <w:lang w:val="en-AU"/>
        </w:rPr>
        <w:t xml:space="preserve"> thematic, descriptive, and inferential techniques with triangulation of findings from various sources to validate the evidence.</w:t>
      </w:r>
    </w:p>
    <w:p w14:paraId="30E586D6" w14:textId="25A67632" w:rsidR="0071743A" w:rsidRPr="00413DDC" w:rsidRDefault="00266BD8" w:rsidP="00413DDC">
      <w:pPr>
        <w:rPr>
          <w:rStyle w:val="Strong"/>
        </w:rPr>
      </w:pPr>
      <w:r w:rsidRPr="00413DDC">
        <w:rPr>
          <w:rStyle w:val="Strong"/>
        </w:rPr>
        <w:t xml:space="preserve">Quantitative analysis </w:t>
      </w:r>
      <w:r w:rsidR="0024297D" w:rsidRPr="00413DDC">
        <w:rPr>
          <w:rStyle w:val="Strong"/>
        </w:rPr>
        <w:t xml:space="preserve">is informing an assessment </w:t>
      </w:r>
      <w:r w:rsidR="0018187A" w:rsidRPr="00413DDC">
        <w:rPr>
          <w:rStyle w:val="Strong"/>
        </w:rPr>
        <w:t xml:space="preserve">of </w:t>
      </w:r>
      <w:r w:rsidR="00AE31C4" w:rsidRPr="00413DDC">
        <w:rPr>
          <w:rStyle w:val="Strong"/>
        </w:rPr>
        <w:t>reforms’ outcomes</w:t>
      </w:r>
    </w:p>
    <w:p w14:paraId="1F30CCF8" w14:textId="412EC3CF" w:rsidR="00595602" w:rsidRPr="00595602" w:rsidRDefault="00241713" w:rsidP="00CE4604">
      <w:pPr>
        <w:rPr>
          <w:lang w:val="en-AU" w:eastAsia="en-AU"/>
        </w:rPr>
      </w:pPr>
      <w:r w:rsidRPr="0029266B">
        <w:rPr>
          <w:lang w:val="en-AU" w:eastAsia="en-AU"/>
        </w:rPr>
        <w:t xml:space="preserve">The performance of the PL </w:t>
      </w:r>
      <w:r w:rsidR="0029266B" w:rsidRPr="0029266B">
        <w:rPr>
          <w:lang w:val="en-AU" w:eastAsia="en-AU"/>
        </w:rPr>
        <w:t>r</w:t>
      </w:r>
      <w:r w:rsidRPr="0029266B">
        <w:rPr>
          <w:lang w:val="en-AU" w:eastAsia="en-AU"/>
        </w:rPr>
        <w:t xml:space="preserve">eforms </w:t>
      </w:r>
      <w:r w:rsidR="0029266B" w:rsidRPr="0029266B">
        <w:rPr>
          <w:lang w:val="en-AU" w:eastAsia="en-AU"/>
        </w:rPr>
        <w:t>is being</w:t>
      </w:r>
      <w:r w:rsidRPr="0029266B">
        <w:rPr>
          <w:lang w:val="en-AU" w:eastAsia="en-AU"/>
        </w:rPr>
        <w:t xml:space="preserve"> assessed through an analysis of a range of quantitative indicators. This involved compiling and assessing relevant descriptive statistics to develop hypotheses related to the sub-research questions</w:t>
      </w:r>
      <w:r w:rsidR="001F61D0">
        <w:rPr>
          <w:lang w:val="en-AU" w:eastAsia="en-AU"/>
        </w:rPr>
        <w:t xml:space="preserve"> and categorised under the indicators and measures</w:t>
      </w:r>
      <w:r w:rsidRPr="0029266B">
        <w:rPr>
          <w:lang w:val="en-AU" w:eastAsia="en-AU"/>
        </w:rPr>
        <w:t xml:space="preserve">. Where feasible, inferential methods, such as </w:t>
      </w:r>
      <w:r w:rsidR="0029266B" w:rsidRPr="0029266B">
        <w:rPr>
          <w:lang w:val="en-AU" w:eastAsia="en-AU"/>
        </w:rPr>
        <w:t>regression models</w:t>
      </w:r>
      <w:r w:rsidRPr="0029266B">
        <w:rPr>
          <w:lang w:val="en-AU" w:eastAsia="en-AU"/>
        </w:rPr>
        <w:t xml:space="preserve"> </w:t>
      </w:r>
      <w:r w:rsidR="0029266B" w:rsidRPr="0029266B">
        <w:rPr>
          <w:lang w:val="en-AU" w:eastAsia="en-AU"/>
        </w:rPr>
        <w:t>are</w:t>
      </w:r>
      <w:r w:rsidRPr="0029266B">
        <w:rPr>
          <w:lang w:val="en-AU" w:eastAsia="en-AU"/>
        </w:rPr>
        <w:t xml:space="preserve"> also </w:t>
      </w:r>
      <w:r w:rsidR="0029266B" w:rsidRPr="0029266B">
        <w:rPr>
          <w:lang w:val="en-AU" w:eastAsia="en-AU"/>
        </w:rPr>
        <w:t xml:space="preserve">being used </w:t>
      </w:r>
      <w:r w:rsidRPr="0029266B">
        <w:rPr>
          <w:lang w:val="en-AU" w:eastAsia="en-AU"/>
        </w:rPr>
        <w:t>to add rigour to the analysis and support efforts to attribute changes to the reforms</w:t>
      </w:r>
      <w:r w:rsidR="00C62B86" w:rsidRPr="0029266B">
        <w:rPr>
          <w:lang w:val="en-AU" w:eastAsia="en-AU"/>
        </w:rPr>
        <w:t>. As part of this, graphs</w:t>
      </w:r>
      <w:r w:rsidR="0029266B" w:rsidRPr="0029266B">
        <w:rPr>
          <w:lang w:val="en-AU" w:eastAsia="en-AU"/>
        </w:rPr>
        <w:t xml:space="preserve"> have been included</w:t>
      </w:r>
      <w:r w:rsidR="00C62B86" w:rsidRPr="0029266B">
        <w:rPr>
          <w:lang w:val="en-AU" w:eastAsia="en-AU"/>
        </w:rPr>
        <w:t xml:space="preserve"> to visualise, develop, and convey important findings</w:t>
      </w:r>
      <w:r w:rsidR="0029266B" w:rsidRPr="0029266B">
        <w:rPr>
          <w:lang w:val="en-AU" w:eastAsia="en-AU"/>
        </w:rPr>
        <w:t xml:space="preserve"> and analysis.</w:t>
      </w:r>
    </w:p>
    <w:p w14:paraId="1E24C33E" w14:textId="4B9F25B7" w:rsidR="00595602" w:rsidRPr="00413DDC" w:rsidRDefault="00595602" w:rsidP="00413DDC">
      <w:pPr>
        <w:rPr>
          <w:rStyle w:val="Strong"/>
        </w:rPr>
      </w:pPr>
      <w:r w:rsidRPr="00413DDC">
        <w:rPr>
          <w:rStyle w:val="Strong"/>
        </w:rPr>
        <w:t xml:space="preserve">Qualitative analysis </w:t>
      </w:r>
      <w:r w:rsidR="00304CD7" w:rsidRPr="00413DDC">
        <w:rPr>
          <w:rStyle w:val="Strong"/>
        </w:rPr>
        <w:t xml:space="preserve">is </w:t>
      </w:r>
      <w:r w:rsidR="00A839F8" w:rsidRPr="00413DDC">
        <w:rPr>
          <w:rStyle w:val="Strong"/>
        </w:rPr>
        <w:t>crucial</w:t>
      </w:r>
      <w:r w:rsidR="00F71884" w:rsidRPr="00413DDC">
        <w:rPr>
          <w:rStyle w:val="Strong"/>
        </w:rPr>
        <w:t xml:space="preserve"> to answering the</w:t>
      </w:r>
      <w:r w:rsidR="00A839F8" w:rsidRPr="00413DDC">
        <w:rPr>
          <w:rStyle w:val="Strong"/>
        </w:rPr>
        <w:t xml:space="preserve"> evaluation’s research </w:t>
      </w:r>
      <w:r w:rsidR="00F71884" w:rsidRPr="00413DDC">
        <w:rPr>
          <w:rStyle w:val="Strong"/>
        </w:rPr>
        <w:t>questions</w:t>
      </w:r>
    </w:p>
    <w:p w14:paraId="6686CB51" w14:textId="35AF6E80" w:rsidR="00017E9E" w:rsidRPr="00017E9E" w:rsidRDefault="00017E9E" w:rsidP="00017E9E">
      <w:pPr>
        <w:rPr>
          <w:lang w:val="en-AU" w:eastAsia="en-AU"/>
        </w:rPr>
      </w:pPr>
      <w:r w:rsidRPr="00017E9E">
        <w:rPr>
          <w:lang w:val="en-AU" w:eastAsia="en-AU"/>
        </w:rPr>
        <w:t xml:space="preserve">On its own, quantitative analysis </w:t>
      </w:r>
      <w:r>
        <w:rPr>
          <w:lang w:val="en-AU" w:eastAsia="en-AU"/>
        </w:rPr>
        <w:t>is unable</w:t>
      </w:r>
      <w:r w:rsidRPr="00017E9E">
        <w:rPr>
          <w:lang w:val="en-AU" w:eastAsia="en-AU"/>
        </w:rPr>
        <w:t xml:space="preserve"> to satisfactorily answer all the evaluation’s sub-research questions. In many circumstances, quantitative data </w:t>
      </w:r>
      <w:r>
        <w:rPr>
          <w:lang w:val="en-AU" w:eastAsia="en-AU"/>
        </w:rPr>
        <w:t>is</w:t>
      </w:r>
      <w:r w:rsidRPr="00017E9E">
        <w:rPr>
          <w:lang w:val="en-AU" w:eastAsia="en-AU"/>
        </w:rPr>
        <w:t xml:space="preserve"> missing or </w:t>
      </w:r>
      <w:r>
        <w:rPr>
          <w:lang w:val="en-AU" w:eastAsia="en-AU"/>
        </w:rPr>
        <w:t xml:space="preserve">is </w:t>
      </w:r>
      <w:r w:rsidRPr="00017E9E">
        <w:rPr>
          <w:lang w:val="en-AU" w:eastAsia="en-AU"/>
        </w:rPr>
        <w:t xml:space="preserve">of inadequate quality, requiring a qualitative approach that allows the evaluation team to hear directly from stakeholders. </w:t>
      </w:r>
      <w:r>
        <w:rPr>
          <w:lang w:val="en-AU" w:eastAsia="en-AU"/>
        </w:rPr>
        <w:t>In circumstances where</w:t>
      </w:r>
      <w:r w:rsidRPr="00017E9E">
        <w:rPr>
          <w:lang w:val="en-AU" w:eastAsia="en-AU"/>
        </w:rPr>
        <w:t xml:space="preserve"> sufficient quantitative data </w:t>
      </w:r>
      <w:r>
        <w:rPr>
          <w:lang w:val="en-AU" w:eastAsia="en-AU"/>
        </w:rPr>
        <w:t>has been</w:t>
      </w:r>
      <w:r w:rsidRPr="00017E9E">
        <w:rPr>
          <w:lang w:val="en-AU" w:eastAsia="en-AU"/>
        </w:rPr>
        <w:t xml:space="preserve"> available, qualitative evidence bolster</w:t>
      </w:r>
      <w:r w:rsidR="005048A9">
        <w:rPr>
          <w:lang w:val="en-AU" w:eastAsia="en-AU"/>
        </w:rPr>
        <w:t>s</w:t>
      </w:r>
      <w:r w:rsidRPr="00017E9E">
        <w:rPr>
          <w:lang w:val="en-AU" w:eastAsia="en-AU"/>
        </w:rPr>
        <w:t xml:space="preserve"> the evidence base underpinning the evaluation’s findings, by allowing insights to be triangulated from different sources of information. </w:t>
      </w:r>
    </w:p>
    <w:p w14:paraId="345908EB" w14:textId="446108D5" w:rsidR="00A839F8" w:rsidRDefault="00017E9E" w:rsidP="00A839F8">
      <w:pPr>
        <w:rPr>
          <w:lang w:val="en-AU" w:eastAsia="en-AU"/>
        </w:rPr>
      </w:pPr>
      <w:r w:rsidRPr="00017E9E">
        <w:rPr>
          <w:lang w:val="en-AU" w:eastAsia="en-AU"/>
        </w:rPr>
        <w:t xml:space="preserve">Qualitative research methods – including surveys, interviews and workshops – are also ideal for understanding individual stakeholder perspectives, experiences and sensitivities in depth, especially in relation to the “how” and “why” elements of our KEQs which cannot be adequately answered with reference to quantitative data. This process </w:t>
      </w:r>
      <w:r w:rsidR="005048A9">
        <w:rPr>
          <w:lang w:val="en-AU" w:eastAsia="en-AU"/>
        </w:rPr>
        <w:t>also continues to</w:t>
      </w:r>
      <w:r w:rsidRPr="00017E9E">
        <w:rPr>
          <w:lang w:val="en-AU" w:eastAsia="en-AU"/>
        </w:rPr>
        <w:t xml:space="preserve"> help to build buy-in for the evaluation’s findings and recommendations, by facilitating forums for those impacted by the reforms to have their perspective heard.</w:t>
      </w:r>
      <w:r w:rsidR="008A1240">
        <w:rPr>
          <w:lang w:val="en-AU" w:eastAsia="en-AU"/>
        </w:rPr>
        <w:t xml:space="preserve"> </w:t>
      </w:r>
    </w:p>
    <w:p w14:paraId="1A921026" w14:textId="2557E26E" w:rsidR="00B25216" w:rsidRPr="00B25216" w:rsidRDefault="008A1240" w:rsidP="00B25216">
      <w:pPr>
        <w:rPr>
          <w:lang w:val="en-AU"/>
        </w:rPr>
      </w:pPr>
      <w:r w:rsidRPr="0088201A">
        <w:rPr>
          <w:lang w:val="en-AU" w:eastAsia="en-AU"/>
        </w:rPr>
        <w:t xml:space="preserve">The evaluation </w:t>
      </w:r>
      <w:r>
        <w:rPr>
          <w:lang w:val="en-AU" w:eastAsia="en-AU"/>
        </w:rPr>
        <w:t xml:space="preserve">has drawn on </w:t>
      </w:r>
      <w:r w:rsidRPr="0088201A">
        <w:rPr>
          <w:lang w:val="en-AU" w:eastAsia="en-AU"/>
        </w:rPr>
        <w:t>several different</w:t>
      </w:r>
      <w:r>
        <w:rPr>
          <w:lang w:val="en-AU" w:eastAsia="en-AU"/>
        </w:rPr>
        <w:t xml:space="preserve"> qualitative</w:t>
      </w:r>
      <w:r w:rsidRPr="0088201A">
        <w:rPr>
          <w:lang w:val="en-AU" w:eastAsia="en-AU"/>
        </w:rPr>
        <w:t xml:space="preserve"> data sources </w:t>
      </w:r>
      <w:r w:rsidR="00546766">
        <w:rPr>
          <w:lang w:val="en-AU" w:eastAsia="en-AU"/>
        </w:rPr>
        <w:t>including Departmental documentation</w:t>
      </w:r>
      <w:r w:rsidR="007908DA">
        <w:rPr>
          <w:lang w:val="en-AU" w:eastAsia="en-AU"/>
        </w:rPr>
        <w:t xml:space="preserve"> and </w:t>
      </w:r>
      <w:r w:rsidR="00DB6D13">
        <w:rPr>
          <w:lang w:val="en-AU" w:eastAsia="en-AU"/>
        </w:rPr>
        <w:t>PL planning documentation, p</w:t>
      </w:r>
      <w:r w:rsidR="00DB6D13" w:rsidRPr="00DB6D13">
        <w:rPr>
          <w:lang w:val="en-AU" w:eastAsia="en-AU"/>
        </w:rPr>
        <w:t>ublished stakeholder submissions and perspectives</w:t>
      </w:r>
      <w:r w:rsidR="00DB6D13">
        <w:rPr>
          <w:lang w:val="en-AU" w:eastAsia="en-AU"/>
        </w:rPr>
        <w:t>, st</w:t>
      </w:r>
      <w:r w:rsidR="001C128C">
        <w:rPr>
          <w:lang w:val="en-AU" w:eastAsia="en-AU"/>
        </w:rPr>
        <w:t>akeholder interviews and stakeholder information requests.</w:t>
      </w:r>
    </w:p>
    <w:p w14:paraId="74CFBB9A" w14:textId="385B0577" w:rsidR="00961693" w:rsidRDefault="00243711" w:rsidP="0011201A">
      <w:pPr>
        <w:pStyle w:val="xAppendixLevel1"/>
      </w:pPr>
      <w:bookmarkStart w:id="115" w:name="_Ref168587867"/>
      <w:bookmarkStart w:id="116" w:name="_Ref168587998"/>
      <w:bookmarkStart w:id="117" w:name="_Toc181405106"/>
      <w:r>
        <w:lastRenderedPageBreak/>
        <w:t>Measures detail</w:t>
      </w:r>
      <w:bookmarkEnd w:id="115"/>
      <w:bookmarkEnd w:id="116"/>
      <w:bookmarkEnd w:id="117"/>
    </w:p>
    <w:p w14:paraId="2A9C6201" w14:textId="0ECEDA01" w:rsidR="00E458E4" w:rsidRDefault="009B14C6" w:rsidP="00AC3889">
      <w:pPr>
        <w:pStyle w:val="xAppendixLevel2"/>
      </w:pPr>
      <w:bookmarkStart w:id="118" w:name="_Toc181405107"/>
      <w:bookmarkStart w:id="119" w:name="_Ref168587800"/>
      <w:r w:rsidRPr="009B14C6">
        <w:t>Indicator 1: Reduction in benefits</w:t>
      </w:r>
      <w:bookmarkEnd w:id="118"/>
    </w:p>
    <w:p w14:paraId="762E1FF5" w14:textId="17CB8860" w:rsidR="009B14C6" w:rsidRDefault="009B14C6" w:rsidP="009B14C6">
      <w:pPr>
        <w:pStyle w:val="Heading4"/>
      </w:pPr>
      <w:r w:rsidRPr="1C144C82">
        <w:rPr>
          <w:color w:val="F25E21" w:themeColor="accent2"/>
        </w:rPr>
        <w:t xml:space="preserve">Measure 1.1: </w:t>
      </w:r>
      <w:r>
        <w:t>Change in PL benefits</w:t>
      </w:r>
    </w:p>
    <w:p w14:paraId="08261DB1" w14:textId="152050CF" w:rsidR="00AC3DC2" w:rsidRPr="00AC3DC2" w:rsidRDefault="00E61044" w:rsidP="006E526C">
      <w:pPr>
        <w:pStyle w:val="Caption"/>
        <w:spacing w:before="240" w:after="120"/>
      </w:pPr>
      <w:bookmarkStart w:id="120" w:name="_Ref159320890"/>
      <w:r>
        <w:t xml:space="preserve">Table </w:t>
      </w:r>
      <w:r>
        <w:fldChar w:fldCharType="begin"/>
      </w:r>
      <w:r>
        <w:instrText xml:space="preserve"> SEQ Table \* ARABIC </w:instrText>
      </w:r>
      <w:r>
        <w:fldChar w:fldCharType="separate"/>
      </w:r>
      <w:r w:rsidR="009B5D8D">
        <w:rPr>
          <w:noProof/>
        </w:rPr>
        <w:t>23</w:t>
      </w:r>
      <w:r>
        <w:fldChar w:fldCharType="end"/>
      </w:r>
      <w:bookmarkEnd w:id="120"/>
      <w:r>
        <w:t xml:space="preserve"> | Benefit groups</w:t>
      </w:r>
      <w:r w:rsidR="00EE10E2">
        <w:rPr>
          <w:rStyle w:val="FootnoteReference"/>
        </w:rPr>
        <w:footnoteReference w:id="116"/>
      </w:r>
      <w:r>
        <w:t xml:space="preserve"> </w:t>
      </w:r>
      <w:r w:rsidR="00AC3DC2">
        <w:t xml:space="preserve">and items </w:t>
      </w:r>
      <w:r>
        <w:t xml:space="preserve">subject to </w:t>
      </w:r>
      <w:r w:rsidR="0014505B">
        <w:t xml:space="preserve">reform </w:t>
      </w:r>
      <w:r>
        <w:t>reductions (Parts A and D, excluding CIED items)</w:t>
      </w:r>
      <w:r>
        <w:rPr>
          <w:rStyle w:val="FootnoteReference"/>
        </w:rPr>
        <w:footnoteReference w:id="117"/>
      </w:r>
    </w:p>
    <w:tbl>
      <w:tblPr>
        <w:tblStyle w:val="NOUS"/>
        <w:tblW w:w="9072" w:type="dxa"/>
        <w:tblLook w:val="04A0" w:firstRow="1" w:lastRow="0" w:firstColumn="1" w:lastColumn="0" w:noHBand="0" w:noVBand="1"/>
      </w:tblPr>
      <w:tblGrid>
        <w:gridCol w:w="2835"/>
        <w:gridCol w:w="3261"/>
        <w:gridCol w:w="2976"/>
      </w:tblGrid>
      <w:tr w:rsidR="00E61044" w14:paraId="53926525" w14:textId="77777777" w:rsidTr="00F6083A">
        <w:trPr>
          <w:cnfStyle w:val="100000000000" w:firstRow="1" w:lastRow="0" w:firstColumn="0" w:lastColumn="0" w:oddVBand="0" w:evenVBand="0" w:oddHBand="0" w:evenHBand="0" w:firstRowFirstColumn="0" w:firstRowLastColumn="0" w:lastRowFirstColumn="0" w:lastRowLastColumn="0"/>
        </w:trPr>
        <w:tc>
          <w:tcPr>
            <w:tcW w:w="2835" w:type="dxa"/>
            <w:vAlign w:val="center"/>
          </w:tcPr>
          <w:p w14:paraId="3E678B3D" w14:textId="77777777" w:rsidR="00E61044" w:rsidRPr="0059516F" w:rsidRDefault="00E61044" w:rsidP="002E7D07">
            <w:pPr>
              <w:pStyle w:val="TableNheader"/>
              <w:outlineLvl w:val="3"/>
              <w:rPr>
                <w:b w:val="0"/>
                <w:bCs/>
              </w:rPr>
            </w:pPr>
            <w:r w:rsidRPr="0059516F">
              <w:rPr>
                <w:b w:val="0"/>
                <w:bCs/>
              </w:rPr>
              <w:t>Categories</w:t>
            </w:r>
          </w:p>
        </w:tc>
        <w:tc>
          <w:tcPr>
            <w:tcW w:w="3261" w:type="dxa"/>
            <w:vAlign w:val="center"/>
          </w:tcPr>
          <w:p w14:paraId="25556792" w14:textId="77777777" w:rsidR="00E61044" w:rsidRPr="0059516F" w:rsidRDefault="00E61044" w:rsidP="002E7D07">
            <w:pPr>
              <w:pStyle w:val="TableNheader"/>
              <w:jc w:val="center"/>
              <w:outlineLvl w:val="3"/>
              <w:rPr>
                <w:b w:val="0"/>
                <w:bCs/>
              </w:rPr>
            </w:pPr>
            <w:r w:rsidRPr="0059516F">
              <w:rPr>
                <w:b w:val="0"/>
                <w:bCs/>
              </w:rPr>
              <w:t>Benefits groups subject to reductions</w:t>
            </w:r>
          </w:p>
        </w:tc>
        <w:tc>
          <w:tcPr>
            <w:tcW w:w="2976" w:type="dxa"/>
            <w:vAlign w:val="center"/>
          </w:tcPr>
          <w:p w14:paraId="58731FA8" w14:textId="77777777" w:rsidR="00E61044" w:rsidRPr="0059516F" w:rsidRDefault="00E61044" w:rsidP="002E7D07">
            <w:pPr>
              <w:pStyle w:val="TableNheader"/>
              <w:jc w:val="center"/>
              <w:outlineLvl w:val="3"/>
              <w:rPr>
                <w:b w:val="0"/>
                <w:bCs/>
              </w:rPr>
            </w:pPr>
            <w:r w:rsidRPr="0059516F">
              <w:rPr>
                <w:b w:val="0"/>
                <w:bCs/>
              </w:rPr>
              <w:t>Items subject to reductions</w:t>
            </w:r>
          </w:p>
        </w:tc>
      </w:tr>
      <w:tr w:rsidR="00E61044" w14:paraId="368D9112" w14:textId="77777777" w:rsidTr="00F6083A">
        <w:tc>
          <w:tcPr>
            <w:tcW w:w="2835" w:type="dxa"/>
          </w:tcPr>
          <w:p w14:paraId="323F129C"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01 - Ophthalmic</w:t>
            </w:r>
          </w:p>
        </w:tc>
        <w:tc>
          <w:tcPr>
            <w:tcW w:w="3261" w:type="dxa"/>
          </w:tcPr>
          <w:p w14:paraId="38B9C02A" w14:textId="080F44C0" w:rsidR="00E61044" w:rsidRDefault="00965261" w:rsidP="002E7D07">
            <w:pPr>
              <w:pStyle w:val="TableNText"/>
              <w:jc w:val="center"/>
              <w:outlineLvl w:val="3"/>
            </w:pPr>
            <w:r w:rsidRPr="00EA76E0">
              <w:t>23</w:t>
            </w:r>
          </w:p>
        </w:tc>
        <w:tc>
          <w:tcPr>
            <w:tcW w:w="2976" w:type="dxa"/>
          </w:tcPr>
          <w:p w14:paraId="490DEEC3" w14:textId="7486B02C" w:rsidR="00E61044" w:rsidRDefault="00965261" w:rsidP="002E7D07">
            <w:pPr>
              <w:pStyle w:val="TableNText"/>
              <w:jc w:val="center"/>
              <w:outlineLvl w:val="3"/>
            </w:pPr>
            <w:r w:rsidRPr="00EA76E0">
              <w:t>162</w:t>
            </w:r>
          </w:p>
        </w:tc>
      </w:tr>
      <w:tr w:rsidR="00E61044" w14:paraId="3EFFFFF3" w14:textId="77777777" w:rsidTr="00F6083A">
        <w:tc>
          <w:tcPr>
            <w:tcW w:w="2835" w:type="dxa"/>
          </w:tcPr>
          <w:p w14:paraId="70033E65"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02 - Ear, Nose &amp; Throat</w:t>
            </w:r>
          </w:p>
        </w:tc>
        <w:tc>
          <w:tcPr>
            <w:tcW w:w="3261" w:type="dxa"/>
          </w:tcPr>
          <w:p w14:paraId="477DA73F" w14:textId="1738EDC6" w:rsidR="00E61044" w:rsidRDefault="00E61044" w:rsidP="002E7D07">
            <w:pPr>
              <w:pStyle w:val="TableNText"/>
              <w:jc w:val="center"/>
              <w:outlineLvl w:val="3"/>
            </w:pPr>
            <w:r w:rsidRPr="00262B7F">
              <w:t>6</w:t>
            </w:r>
          </w:p>
        </w:tc>
        <w:tc>
          <w:tcPr>
            <w:tcW w:w="2976" w:type="dxa"/>
          </w:tcPr>
          <w:p w14:paraId="3A85EDC9" w14:textId="5B1D6A3E" w:rsidR="00E61044" w:rsidRDefault="00965261" w:rsidP="002E7D07">
            <w:pPr>
              <w:pStyle w:val="TableNText"/>
              <w:jc w:val="center"/>
              <w:outlineLvl w:val="3"/>
            </w:pPr>
            <w:r w:rsidRPr="00EA76E0">
              <w:t>26</w:t>
            </w:r>
          </w:p>
        </w:tc>
      </w:tr>
      <w:tr w:rsidR="00E61044" w14:paraId="2FEF15DC" w14:textId="77777777" w:rsidTr="00F6083A">
        <w:tc>
          <w:tcPr>
            <w:tcW w:w="2835" w:type="dxa"/>
          </w:tcPr>
          <w:p w14:paraId="7E0AF580"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03 - General Miscellaneous</w:t>
            </w:r>
          </w:p>
        </w:tc>
        <w:tc>
          <w:tcPr>
            <w:tcW w:w="3261" w:type="dxa"/>
          </w:tcPr>
          <w:p w14:paraId="057922BE" w14:textId="14FFF6A1" w:rsidR="00E61044" w:rsidRDefault="00965261" w:rsidP="002E7D07">
            <w:pPr>
              <w:pStyle w:val="TableNText"/>
              <w:jc w:val="center"/>
              <w:outlineLvl w:val="3"/>
            </w:pPr>
            <w:r w:rsidRPr="00EA76E0">
              <w:t>66</w:t>
            </w:r>
          </w:p>
        </w:tc>
        <w:tc>
          <w:tcPr>
            <w:tcW w:w="2976" w:type="dxa"/>
          </w:tcPr>
          <w:p w14:paraId="13369497" w14:textId="70914A58" w:rsidR="00E61044" w:rsidRDefault="00965261" w:rsidP="002E7D07">
            <w:pPr>
              <w:pStyle w:val="TableNText"/>
              <w:jc w:val="center"/>
              <w:outlineLvl w:val="3"/>
            </w:pPr>
            <w:r w:rsidRPr="00EA76E0">
              <w:t>234</w:t>
            </w:r>
          </w:p>
        </w:tc>
      </w:tr>
      <w:tr w:rsidR="00E61044" w14:paraId="47B5B2EB" w14:textId="77777777" w:rsidTr="00F6083A">
        <w:tc>
          <w:tcPr>
            <w:tcW w:w="2835" w:type="dxa"/>
          </w:tcPr>
          <w:p w14:paraId="02266AD3"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04 - Neurosurgical</w:t>
            </w:r>
          </w:p>
        </w:tc>
        <w:tc>
          <w:tcPr>
            <w:tcW w:w="3261" w:type="dxa"/>
          </w:tcPr>
          <w:p w14:paraId="16DCC239" w14:textId="32777337" w:rsidR="00E61044" w:rsidRDefault="00965261" w:rsidP="002E7D07">
            <w:pPr>
              <w:pStyle w:val="TableNText"/>
              <w:jc w:val="center"/>
              <w:outlineLvl w:val="3"/>
            </w:pPr>
            <w:r w:rsidRPr="00EA76E0">
              <w:t>24</w:t>
            </w:r>
          </w:p>
        </w:tc>
        <w:tc>
          <w:tcPr>
            <w:tcW w:w="2976" w:type="dxa"/>
          </w:tcPr>
          <w:p w14:paraId="2E13C693" w14:textId="2E71A12A" w:rsidR="00E61044" w:rsidRDefault="00965261" w:rsidP="002E7D07">
            <w:pPr>
              <w:pStyle w:val="TableNText"/>
              <w:jc w:val="center"/>
              <w:outlineLvl w:val="3"/>
            </w:pPr>
            <w:r w:rsidRPr="00EA76E0">
              <w:t>98</w:t>
            </w:r>
          </w:p>
        </w:tc>
      </w:tr>
      <w:tr w:rsidR="00E61044" w14:paraId="5F6670D5" w14:textId="77777777" w:rsidTr="00F6083A">
        <w:tc>
          <w:tcPr>
            <w:tcW w:w="2835" w:type="dxa"/>
          </w:tcPr>
          <w:p w14:paraId="209DC015"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05 - Urogenital</w:t>
            </w:r>
          </w:p>
        </w:tc>
        <w:tc>
          <w:tcPr>
            <w:tcW w:w="3261" w:type="dxa"/>
          </w:tcPr>
          <w:p w14:paraId="5EDEAFE2" w14:textId="3E6CFABC" w:rsidR="00E61044" w:rsidRDefault="00965261" w:rsidP="002E7D07">
            <w:pPr>
              <w:pStyle w:val="TableNText"/>
              <w:jc w:val="center"/>
              <w:outlineLvl w:val="3"/>
            </w:pPr>
            <w:r w:rsidRPr="00EA76E0">
              <w:t>10</w:t>
            </w:r>
          </w:p>
        </w:tc>
        <w:tc>
          <w:tcPr>
            <w:tcW w:w="2976" w:type="dxa"/>
          </w:tcPr>
          <w:p w14:paraId="200E4B2B" w14:textId="0D16B2DE" w:rsidR="00E61044" w:rsidRDefault="00965261" w:rsidP="002E7D07">
            <w:pPr>
              <w:pStyle w:val="TableNText"/>
              <w:jc w:val="center"/>
              <w:outlineLvl w:val="3"/>
            </w:pPr>
            <w:r w:rsidRPr="00EA76E0">
              <w:t>55</w:t>
            </w:r>
          </w:p>
        </w:tc>
      </w:tr>
      <w:tr w:rsidR="00E61044" w14:paraId="03A3FAB6" w14:textId="77777777" w:rsidTr="00F6083A">
        <w:tc>
          <w:tcPr>
            <w:tcW w:w="2835" w:type="dxa"/>
          </w:tcPr>
          <w:p w14:paraId="78038EC4"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06 - Specialist Orthopaedic</w:t>
            </w:r>
          </w:p>
        </w:tc>
        <w:tc>
          <w:tcPr>
            <w:tcW w:w="3261" w:type="dxa"/>
          </w:tcPr>
          <w:p w14:paraId="3B88EAEB" w14:textId="220A4BBC" w:rsidR="00E61044" w:rsidRDefault="00965261" w:rsidP="002E7D07">
            <w:pPr>
              <w:pStyle w:val="TableNText"/>
              <w:jc w:val="center"/>
              <w:outlineLvl w:val="3"/>
            </w:pPr>
            <w:r w:rsidRPr="00EA76E0">
              <w:t>173</w:t>
            </w:r>
          </w:p>
        </w:tc>
        <w:tc>
          <w:tcPr>
            <w:tcW w:w="2976" w:type="dxa"/>
          </w:tcPr>
          <w:p w14:paraId="0EA8FAA3" w14:textId="5257E630" w:rsidR="00E61044" w:rsidRDefault="00965261" w:rsidP="002E7D07">
            <w:pPr>
              <w:pStyle w:val="TableNText"/>
              <w:jc w:val="center"/>
              <w:outlineLvl w:val="3"/>
            </w:pPr>
            <w:r w:rsidRPr="00EA76E0">
              <w:t>1840</w:t>
            </w:r>
          </w:p>
        </w:tc>
      </w:tr>
      <w:tr w:rsidR="00E61044" w14:paraId="1BACACB0" w14:textId="77777777" w:rsidTr="00F6083A">
        <w:tc>
          <w:tcPr>
            <w:tcW w:w="2835" w:type="dxa"/>
          </w:tcPr>
          <w:p w14:paraId="44D5D423"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07 - Plastic and Reconstructive</w:t>
            </w:r>
          </w:p>
        </w:tc>
        <w:tc>
          <w:tcPr>
            <w:tcW w:w="3261" w:type="dxa"/>
          </w:tcPr>
          <w:p w14:paraId="5A380925" w14:textId="119C4F0D" w:rsidR="00E61044" w:rsidRDefault="00965261" w:rsidP="002E7D07">
            <w:pPr>
              <w:pStyle w:val="TableNText"/>
              <w:jc w:val="center"/>
              <w:outlineLvl w:val="3"/>
            </w:pPr>
            <w:r w:rsidRPr="00EA76E0">
              <w:t>74</w:t>
            </w:r>
          </w:p>
        </w:tc>
        <w:tc>
          <w:tcPr>
            <w:tcW w:w="2976" w:type="dxa"/>
          </w:tcPr>
          <w:p w14:paraId="32C3C6C1" w14:textId="4A1FE848" w:rsidR="00E61044" w:rsidRDefault="00965261" w:rsidP="002E7D07">
            <w:pPr>
              <w:pStyle w:val="TableNText"/>
              <w:jc w:val="center"/>
              <w:outlineLvl w:val="3"/>
            </w:pPr>
            <w:r w:rsidRPr="00EA76E0">
              <w:t>275</w:t>
            </w:r>
          </w:p>
        </w:tc>
      </w:tr>
      <w:tr w:rsidR="00E61044" w14:paraId="0A48CA1D" w14:textId="77777777" w:rsidTr="00F6083A">
        <w:tc>
          <w:tcPr>
            <w:tcW w:w="2835" w:type="dxa"/>
          </w:tcPr>
          <w:p w14:paraId="4A6995DB"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08 - Cardiac</w:t>
            </w:r>
          </w:p>
        </w:tc>
        <w:tc>
          <w:tcPr>
            <w:tcW w:w="3261" w:type="dxa"/>
          </w:tcPr>
          <w:p w14:paraId="4FA6DC0F" w14:textId="4E396858" w:rsidR="00E61044" w:rsidRDefault="00E61044" w:rsidP="002E7D07">
            <w:pPr>
              <w:pStyle w:val="TableNText"/>
              <w:jc w:val="center"/>
              <w:outlineLvl w:val="3"/>
            </w:pPr>
            <w:r w:rsidRPr="00557B18">
              <w:t>3</w:t>
            </w:r>
          </w:p>
        </w:tc>
        <w:tc>
          <w:tcPr>
            <w:tcW w:w="2976" w:type="dxa"/>
          </w:tcPr>
          <w:p w14:paraId="4F54FBB2" w14:textId="34F18DF6" w:rsidR="00E61044" w:rsidRDefault="00965261" w:rsidP="002E7D07">
            <w:pPr>
              <w:pStyle w:val="TableNText"/>
              <w:jc w:val="center"/>
              <w:outlineLvl w:val="3"/>
            </w:pPr>
            <w:r w:rsidRPr="00EA76E0">
              <w:t>23</w:t>
            </w:r>
          </w:p>
        </w:tc>
      </w:tr>
      <w:tr w:rsidR="00E61044" w14:paraId="6E1EBE8F" w14:textId="77777777" w:rsidTr="00F6083A">
        <w:tc>
          <w:tcPr>
            <w:tcW w:w="2835" w:type="dxa"/>
          </w:tcPr>
          <w:p w14:paraId="257E63F9"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09 - Cardiothoracic</w:t>
            </w:r>
          </w:p>
        </w:tc>
        <w:tc>
          <w:tcPr>
            <w:tcW w:w="3261" w:type="dxa"/>
          </w:tcPr>
          <w:p w14:paraId="7CCE0C17" w14:textId="736B9CD3" w:rsidR="00E61044" w:rsidRDefault="00E61044" w:rsidP="002E7D07">
            <w:pPr>
              <w:pStyle w:val="TableNText"/>
              <w:jc w:val="center"/>
              <w:outlineLvl w:val="3"/>
            </w:pPr>
            <w:r w:rsidRPr="00262B7F">
              <w:t>8</w:t>
            </w:r>
          </w:p>
        </w:tc>
        <w:tc>
          <w:tcPr>
            <w:tcW w:w="2976" w:type="dxa"/>
          </w:tcPr>
          <w:p w14:paraId="07B2B6E2" w14:textId="0E4FD304" w:rsidR="00E61044" w:rsidRDefault="00965261" w:rsidP="002E7D07">
            <w:pPr>
              <w:pStyle w:val="TableNText"/>
              <w:jc w:val="center"/>
              <w:outlineLvl w:val="3"/>
            </w:pPr>
            <w:r w:rsidRPr="00EA76E0">
              <w:t>17</w:t>
            </w:r>
          </w:p>
        </w:tc>
      </w:tr>
      <w:tr w:rsidR="00E61044" w14:paraId="06BB4843" w14:textId="77777777" w:rsidTr="00F6083A">
        <w:tc>
          <w:tcPr>
            <w:tcW w:w="2835" w:type="dxa"/>
          </w:tcPr>
          <w:p w14:paraId="2C817893"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10 - Vascular</w:t>
            </w:r>
          </w:p>
        </w:tc>
        <w:tc>
          <w:tcPr>
            <w:tcW w:w="3261" w:type="dxa"/>
          </w:tcPr>
          <w:p w14:paraId="7DFB665B" w14:textId="03F41548" w:rsidR="00E61044" w:rsidRDefault="00965261" w:rsidP="002E7D07">
            <w:pPr>
              <w:pStyle w:val="TableNText"/>
              <w:jc w:val="center"/>
              <w:outlineLvl w:val="3"/>
            </w:pPr>
            <w:r w:rsidRPr="00EA76E0">
              <w:t>36</w:t>
            </w:r>
          </w:p>
        </w:tc>
        <w:tc>
          <w:tcPr>
            <w:tcW w:w="2976" w:type="dxa"/>
          </w:tcPr>
          <w:p w14:paraId="3092B1C9" w14:textId="692A3578" w:rsidR="00E61044" w:rsidRDefault="00965261" w:rsidP="002E7D07">
            <w:pPr>
              <w:pStyle w:val="TableNText"/>
              <w:jc w:val="center"/>
              <w:outlineLvl w:val="3"/>
            </w:pPr>
            <w:r w:rsidRPr="00EA76E0">
              <w:t>208</w:t>
            </w:r>
          </w:p>
        </w:tc>
      </w:tr>
      <w:tr w:rsidR="00E61044" w14:paraId="15EEC71E" w14:textId="77777777" w:rsidTr="00F6083A">
        <w:tc>
          <w:tcPr>
            <w:tcW w:w="2835" w:type="dxa"/>
          </w:tcPr>
          <w:p w14:paraId="59CFD674"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11 - Hip</w:t>
            </w:r>
          </w:p>
        </w:tc>
        <w:tc>
          <w:tcPr>
            <w:tcW w:w="3261" w:type="dxa"/>
          </w:tcPr>
          <w:p w14:paraId="15630F1D" w14:textId="51E552F5" w:rsidR="00E61044" w:rsidRDefault="00965261" w:rsidP="002E7D07">
            <w:pPr>
              <w:pStyle w:val="TableNText"/>
              <w:jc w:val="center"/>
              <w:outlineLvl w:val="3"/>
            </w:pPr>
            <w:r w:rsidRPr="00EA76E0">
              <w:t>43</w:t>
            </w:r>
          </w:p>
        </w:tc>
        <w:tc>
          <w:tcPr>
            <w:tcW w:w="2976" w:type="dxa"/>
          </w:tcPr>
          <w:p w14:paraId="14477F63" w14:textId="2156946F" w:rsidR="00E61044" w:rsidRDefault="00965261" w:rsidP="002E7D07">
            <w:pPr>
              <w:pStyle w:val="TableNText"/>
              <w:jc w:val="center"/>
              <w:outlineLvl w:val="3"/>
            </w:pPr>
            <w:r w:rsidRPr="00EA76E0">
              <w:t>396</w:t>
            </w:r>
          </w:p>
        </w:tc>
      </w:tr>
      <w:tr w:rsidR="00E61044" w14:paraId="25DC0D51" w14:textId="77777777" w:rsidTr="00F6083A">
        <w:tc>
          <w:tcPr>
            <w:tcW w:w="2835" w:type="dxa"/>
          </w:tcPr>
          <w:p w14:paraId="04598EB0"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12 - Knee</w:t>
            </w:r>
          </w:p>
        </w:tc>
        <w:tc>
          <w:tcPr>
            <w:tcW w:w="3261" w:type="dxa"/>
          </w:tcPr>
          <w:p w14:paraId="7AC39FAB" w14:textId="5724F750" w:rsidR="00E61044" w:rsidRDefault="00965261" w:rsidP="002E7D07">
            <w:pPr>
              <w:pStyle w:val="TableNText"/>
              <w:jc w:val="center"/>
              <w:outlineLvl w:val="3"/>
            </w:pPr>
            <w:r w:rsidRPr="00EA76E0">
              <w:t>20</w:t>
            </w:r>
          </w:p>
        </w:tc>
        <w:tc>
          <w:tcPr>
            <w:tcW w:w="2976" w:type="dxa"/>
          </w:tcPr>
          <w:p w14:paraId="3DD169FE" w14:textId="21CA630F" w:rsidR="00E61044" w:rsidRDefault="00965261" w:rsidP="002E7D07">
            <w:pPr>
              <w:pStyle w:val="TableNText"/>
              <w:jc w:val="center"/>
              <w:outlineLvl w:val="3"/>
            </w:pPr>
            <w:r w:rsidRPr="00EA76E0">
              <w:t>331</w:t>
            </w:r>
          </w:p>
        </w:tc>
      </w:tr>
      <w:tr w:rsidR="00E61044" w14:paraId="1E1D1F85" w14:textId="77777777" w:rsidTr="00F6083A">
        <w:tc>
          <w:tcPr>
            <w:tcW w:w="2835" w:type="dxa"/>
          </w:tcPr>
          <w:p w14:paraId="05F7A051"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13 - Spinal</w:t>
            </w:r>
          </w:p>
        </w:tc>
        <w:tc>
          <w:tcPr>
            <w:tcW w:w="3261" w:type="dxa"/>
          </w:tcPr>
          <w:p w14:paraId="07CDE645" w14:textId="7999E2F8" w:rsidR="00E61044" w:rsidRDefault="00E61044" w:rsidP="002E7D07">
            <w:pPr>
              <w:pStyle w:val="TableNText"/>
              <w:jc w:val="center"/>
              <w:outlineLvl w:val="3"/>
            </w:pPr>
            <w:r w:rsidRPr="00262B7F">
              <w:t>51</w:t>
            </w:r>
          </w:p>
        </w:tc>
        <w:tc>
          <w:tcPr>
            <w:tcW w:w="2976" w:type="dxa"/>
          </w:tcPr>
          <w:p w14:paraId="0107AA4E" w14:textId="23875A5B" w:rsidR="00E61044" w:rsidRDefault="00965261" w:rsidP="002E7D07">
            <w:pPr>
              <w:pStyle w:val="TableNText"/>
              <w:jc w:val="center"/>
              <w:outlineLvl w:val="3"/>
            </w:pPr>
            <w:r w:rsidRPr="00EA76E0">
              <w:t>1474</w:t>
            </w:r>
          </w:p>
        </w:tc>
      </w:tr>
      <w:tr w:rsidR="00E61044" w14:paraId="04CA20AC" w14:textId="77777777" w:rsidTr="00F6083A">
        <w:tc>
          <w:tcPr>
            <w:tcW w:w="2835" w:type="dxa"/>
          </w:tcPr>
          <w:p w14:paraId="5E4EF919" w14:textId="77777777" w:rsidR="00E61044" w:rsidRPr="00E919F0" w:rsidRDefault="00E61044" w:rsidP="002E7D07">
            <w:pPr>
              <w:pStyle w:val="TableNText"/>
              <w:outlineLvl w:val="3"/>
              <w:rPr>
                <w:rFonts w:asciiTheme="majorHAnsi" w:hAnsiTheme="majorHAnsi" w:cstheme="majorHAnsi"/>
              </w:rPr>
            </w:pPr>
            <w:r w:rsidRPr="00E919F0">
              <w:rPr>
                <w:rFonts w:asciiTheme="majorHAnsi" w:hAnsiTheme="majorHAnsi" w:cstheme="majorHAnsi"/>
              </w:rPr>
              <w:t>Total</w:t>
            </w:r>
          </w:p>
        </w:tc>
        <w:tc>
          <w:tcPr>
            <w:tcW w:w="3261" w:type="dxa"/>
          </w:tcPr>
          <w:p w14:paraId="16B719E0" w14:textId="5941B27F" w:rsidR="00E61044" w:rsidRPr="00E919F0" w:rsidRDefault="00965261" w:rsidP="002E7D07">
            <w:pPr>
              <w:pStyle w:val="TableNText"/>
              <w:jc w:val="center"/>
              <w:outlineLvl w:val="3"/>
              <w:rPr>
                <w:rFonts w:asciiTheme="majorHAnsi" w:hAnsiTheme="majorHAnsi" w:cstheme="majorHAnsi"/>
              </w:rPr>
            </w:pPr>
            <w:r w:rsidRPr="00EA76E0">
              <w:t>537</w:t>
            </w:r>
          </w:p>
        </w:tc>
        <w:tc>
          <w:tcPr>
            <w:tcW w:w="2976" w:type="dxa"/>
          </w:tcPr>
          <w:p w14:paraId="096863D2" w14:textId="142327E2" w:rsidR="00E61044" w:rsidRPr="00E919F0" w:rsidRDefault="00965261" w:rsidP="002E7D07">
            <w:pPr>
              <w:pStyle w:val="TableNText"/>
              <w:jc w:val="center"/>
              <w:outlineLvl w:val="3"/>
              <w:rPr>
                <w:rFonts w:asciiTheme="majorHAnsi" w:hAnsiTheme="majorHAnsi" w:cstheme="majorHAnsi"/>
              </w:rPr>
            </w:pPr>
            <w:r w:rsidRPr="00EA76E0">
              <w:t>5139</w:t>
            </w:r>
          </w:p>
        </w:tc>
      </w:tr>
    </w:tbl>
    <w:p w14:paraId="6DD00364" w14:textId="77777777" w:rsidR="00413DDC" w:rsidRDefault="00413DDC">
      <w:pPr>
        <w:spacing w:after="160" w:line="259" w:lineRule="auto"/>
        <w:rPr>
          <w:lang w:val="en-AU" w:eastAsia="en-AU"/>
        </w:rPr>
      </w:pPr>
      <w:r>
        <w:rPr>
          <w:lang w:val="en-AU" w:eastAsia="en-AU"/>
        </w:rPr>
        <w:br w:type="page"/>
      </w:r>
    </w:p>
    <w:p w14:paraId="3287A060" w14:textId="69A2EE49" w:rsidR="00AC3889" w:rsidRDefault="00AC3889" w:rsidP="00AC3889">
      <w:pPr>
        <w:pStyle w:val="xAppendixLevel2"/>
      </w:pPr>
      <w:bookmarkStart w:id="121" w:name="_Ref178289749"/>
      <w:bookmarkStart w:id="122" w:name="_Toc181405108"/>
      <w:r>
        <w:lastRenderedPageBreak/>
        <w:t xml:space="preserve">Indicator 2: </w:t>
      </w:r>
      <w:r w:rsidR="002139E7" w:rsidRPr="00A86CF9">
        <w:t>Change in the size of the gap between PL benefits</w:t>
      </w:r>
      <w:r w:rsidR="002139E7">
        <w:t xml:space="preserve"> </w:t>
      </w:r>
      <w:r w:rsidR="002139E7" w:rsidRPr="00A86CF9">
        <w:t>and prices paid in more competitive markets</w:t>
      </w:r>
      <w:bookmarkEnd w:id="121"/>
      <w:bookmarkEnd w:id="122"/>
    </w:p>
    <w:p w14:paraId="394CC298" w14:textId="4D02F1C3" w:rsidR="00171B7B" w:rsidRDefault="00171B7B" w:rsidP="00171B7B">
      <w:pPr>
        <w:pStyle w:val="Heading4"/>
      </w:pPr>
      <w:r w:rsidRPr="006E465D">
        <w:rPr>
          <w:color w:val="F25E21" w:themeColor="accent2"/>
        </w:rPr>
        <w:t>Measure 2.</w:t>
      </w:r>
      <w:r>
        <w:rPr>
          <w:color w:val="F25E21" w:themeColor="accent2"/>
        </w:rPr>
        <w:t>1</w:t>
      </w:r>
      <w:r w:rsidRPr="006E465D">
        <w:rPr>
          <w:color w:val="F25E21" w:themeColor="accent2"/>
        </w:rPr>
        <w:t xml:space="preserve">: </w:t>
      </w:r>
      <w:r w:rsidR="008B1746" w:rsidRPr="008B1746">
        <w:t>Overall savings associated with benefit reductions</w:t>
      </w:r>
    </w:p>
    <w:p w14:paraId="275E1F8C" w14:textId="409D1137" w:rsidR="003B0B95" w:rsidRDefault="000A6189" w:rsidP="003B0B95">
      <w:pPr>
        <w:pStyle w:val="Heading5"/>
      </w:pPr>
      <w:r>
        <w:t xml:space="preserve">Data </w:t>
      </w:r>
      <w:r w:rsidR="00C21345">
        <w:t>used for this measure</w:t>
      </w:r>
    </w:p>
    <w:p w14:paraId="5815EC86" w14:textId="7A0994BD" w:rsidR="00F441A7" w:rsidRDefault="00F55FEA" w:rsidP="008B1746">
      <w:r>
        <w:t>Estimates of overall savings</w:t>
      </w:r>
      <w:r w:rsidR="00317724">
        <w:t xml:space="preserve"> </w:t>
      </w:r>
      <w:r w:rsidR="00C623E5">
        <w:t>used to report</w:t>
      </w:r>
      <w:r w:rsidR="0048754C">
        <w:t xml:space="preserve"> against</w:t>
      </w:r>
      <w:r w:rsidR="00AB0390">
        <w:t xml:space="preserve"> </w:t>
      </w:r>
      <w:r w:rsidR="00C623E5">
        <w:t xml:space="preserve">this </w:t>
      </w:r>
      <w:r w:rsidR="00AB0390">
        <w:t>measure</w:t>
      </w:r>
      <w:r w:rsidR="000C79CC">
        <w:t xml:space="preserve"> </w:t>
      </w:r>
      <w:r w:rsidR="00C623E5">
        <w:t>ha</w:t>
      </w:r>
      <w:r w:rsidR="00CB70CE">
        <w:t>ve</w:t>
      </w:r>
      <w:r w:rsidR="00C623E5">
        <w:t xml:space="preserve"> been</w:t>
      </w:r>
      <w:r w:rsidR="000C79CC">
        <w:t xml:space="preserve"> derived solely </w:t>
      </w:r>
      <w:r w:rsidR="000640F5">
        <w:t>from analysis</w:t>
      </w:r>
      <w:r w:rsidR="00C623E5">
        <w:t xml:space="preserve"> conducted by IHACPA </w:t>
      </w:r>
      <w:r w:rsidR="0076191E">
        <w:t>and p</w:t>
      </w:r>
      <w:r w:rsidR="00F53423">
        <w:t xml:space="preserve">rovided </w:t>
      </w:r>
      <w:r w:rsidR="007813C1">
        <w:t>to the evaluation team by the Departmen</w:t>
      </w:r>
      <w:r w:rsidR="00CD5FD4">
        <w:t>t.</w:t>
      </w:r>
    </w:p>
    <w:p w14:paraId="2B93A7E5" w14:textId="5ADFD5B2" w:rsidR="005E6272" w:rsidRDefault="009B6381" w:rsidP="008B1746">
      <w:pPr>
        <w:rPr>
          <w:lang w:val="en-AU" w:eastAsia="en-AU"/>
        </w:rPr>
      </w:pPr>
      <w:r>
        <w:t>Following</w:t>
      </w:r>
      <w:r w:rsidR="00710A2B">
        <w:t xml:space="preserve"> the MOU</w:t>
      </w:r>
      <w:r w:rsidR="005E6272">
        <w:t xml:space="preserve"> </w:t>
      </w:r>
      <w:r w:rsidR="005E6272" w:rsidRPr="00C905FE">
        <w:rPr>
          <w:lang w:val="en-AU" w:eastAsia="en-AU"/>
        </w:rPr>
        <w:t xml:space="preserve">between the </w:t>
      </w:r>
      <w:r w:rsidR="005E6272">
        <w:rPr>
          <w:lang w:val="en-AU" w:eastAsia="en-AU"/>
        </w:rPr>
        <w:t xml:space="preserve">then </w:t>
      </w:r>
      <w:r w:rsidR="005E6272" w:rsidRPr="00C905FE">
        <w:rPr>
          <w:lang w:val="en-AU" w:eastAsia="en-AU"/>
        </w:rPr>
        <w:t xml:space="preserve">Australian Government and the MTAA </w:t>
      </w:r>
      <w:r w:rsidR="00E824F8">
        <w:rPr>
          <w:lang w:val="en-AU" w:eastAsia="en-AU"/>
        </w:rPr>
        <w:t xml:space="preserve">on 12 March 2022 </w:t>
      </w:r>
      <w:r w:rsidR="00390824">
        <w:rPr>
          <w:lang w:val="en-AU" w:eastAsia="en-AU"/>
        </w:rPr>
        <w:t>that set the policy parameters for the reform’s benefit reductions</w:t>
      </w:r>
      <w:r w:rsidR="00E824F8">
        <w:rPr>
          <w:lang w:val="en-AU" w:eastAsia="en-AU"/>
        </w:rPr>
        <w:t>,</w:t>
      </w:r>
      <w:r w:rsidR="00E824F8">
        <w:rPr>
          <w:rStyle w:val="FootnoteReference"/>
          <w:lang w:val="en-AU" w:eastAsia="en-AU"/>
        </w:rPr>
        <w:footnoteReference w:id="118"/>
      </w:r>
      <w:r w:rsidR="0083026A">
        <w:rPr>
          <w:lang w:val="en-AU" w:eastAsia="en-AU"/>
        </w:rPr>
        <w:t xml:space="preserve"> the Department requested IHACPA </w:t>
      </w:r>
      <w:r w:rsidR="00616114">
        <w:rPr>
          <w:lang w:val="en-AU" w:eastAsia="en-AU"/>
        </w:rPr>
        <w:t>calculate estimates of the project</w:t>
      </w:r>
      <w:r w:rsidR="00F97EA4">
        <w:rPr>
          <w:lang w:val="en-AU" w:eastAsia="en-AU"/>
        </w:rPr>
        <w:t xml:space="preserve">ed benefits and savings over </w:t>
      </w:r>
      <w:r w:rsidR="00E638D9">
        <w:rPr>
          <w:lang w:val="en-AU" w:eastAsia="en-AU"/>
        </w:rPr>
        <w:t>the four-year PL reform period.</w:t>
      </w:r>
      <w:r w:rsidR="00E638D9">
        <w:rPr>
          <w:rStyle w:val="FootnoteReference"/>
          <w:lang w:val="en-AU" w:eastAsia="en-AU"/>
        </w:rPr>
        <w:footnoteReference w:id="119"/>
      </w:r>
      <w:r w:rsidR="0093232B">
        <w:rPr>
          <w:lang w:val="en-AU" w:eastAsia="en-AU"/>
        </w:rPr>
        <w:t xml:space="preserve"> </w:t>
      </w:r>
      <w:r w:rsidR="00D609C7">
        <w:rPr>
          <w:lang w:val="en-AU" w:eastAsia="en-AU"/>
        </w:rPr>
        <w:t>The Department</w:t>
      </w:r>
      <w:r w:rsidR="00144790">
        <w:rPr>
          <w:lang w:val="en-AU" w:eastAsia="en-AU"/>
        </w:rPr>
        <w:t xml:space="preserve"> presented this </w:t>
      </w:r>
      <w:r w:rsidR="00AC0997">
        <w:rPr>
          <w:lang w:val="en-AU" w:eastAsia="en-AU"/>
        </w:rPr>
        <w:t>analysis at a roundtable with key stakeholders on 12 October 2022.</w:t>
      </w:r>
      <w:r w:rsidR="0061020A">
        <w:rPr>
          <w:rStyle w:val="FootnoteReference"/>
          <w:lang w:val="en-AU" w:eastAsia="en-AU"/>
        </w:rPr>
        <w:footnoteReference w:id="120"/>
      </w:r>
      <w:r w:rsidR="0061020A">
        <w:rPr>
          <w:lang w:val="en-AU" w:eastAsia="en-AU"/>
        </w:rPr>
        <w:t xml:space="preserve"> </w:t>
      </w:r>
      <w:r w:rsidR="0015664C">
        <w:rPr>
          <w:lang w:val="en-AU" w:eastAsia="en-AU"/>
        </w:rPr>
        <w:t xml:space="preserve">Later, the Department requested </w:t>
      </w:r>
      <w:r w:rsidR="004C098B">
        <w:rPr>
          <w:lang w:val="en-AU" w:eastAsia="en-AU"/>
        </w:rPr>
        <w:t>IHACPA provide updated estimates of project benefits and savings</w:t>
      </w:r>
      <w:r w:rsidR="007B4F86">
        <w:rPr>
          <w:lang w:val="en-AU" w:eastAsia="en-AU"/>
        </w:rPr>
        <w:t xml:space="preserve">, and </w:t>
      </w:r>
      <w:r w:rsidR="000C1F27">
        <w:rPr>
          <w:lang w:val="en-AU" w:eastAsia="en-AU"/>
        </w:rPr>
        <w:t xml:space="preserve">IHACPA </w:t>
      </w:r>
      <w:r w:rsidR="00354C9E">
        <w:rPr>
          <w:lang w:val="en-AU" w:eastAsia="en-AU"/>
        </w:rPr>
        <w:t xml:space="preserve">delivered this on </w:t>
      </w:r>
      <w:r w:rsidR="00B26302">
        <w:rPr>
          <w:lang w:val="en-AU" w:eastAsia="en-AU"/>
        </w:rPr>
        <w:t>13 December 2023.</w:t>
      </w:r>
      <w:r w:rsidR="00B26302">
        <w:rPr>
          <w:rStyle w:val="FootnoteReference"/>
          <w:lang w:val="en-AU" w:eastAsia="en-AU"/>
        </w:rPr>
        <w:footnoteReference w:id="121"/>
      </w:r>
      <w:r w:rsidR="005D7D07">
        <w:rPr>
          <w:lang w:val="en-AU" w:eastAsia="en-AU"/>
        </w:rPr>
        <w:t xml:space="preserve"> </w:t>
      </w:r>
      <w:r w:rsidR="00D214B5">
        <w:rPr>
          <w:lang w:val="en-AU" w:eastAsia="en-AU"/>
        </w:rPr>
        <w:t>T</w:t>
      </w:r>
      <w:r w:rsidR="007C3288">
        <w:rPr>
          <w:lang w:val="en-AU" w:eastAsia="en-AU"/>
        </w:rPr>
        <w:t xml:space="preserve">he </w:t>
      </w:r>
      <w:r w:rsidR="00A04EE4">
        <w:rPr>
          <w:lang w:val="en-AU" w:eastAsia="en-AU"/>
        </w:rPr>
        <w:t xml:space="preserve">evaluation </w:t>
      </w:r>
      <w:r w:rsidR="00C41065">
        <w:rPr>
          <w:lang w:val="en-AU" w:eastAsia="en-AU"/>
        </w:rPr>
        <w:t>team</w:t>
      </w:r>
      <w:r w:rsidR="00A04EE4">
        <w:rPr>
          <w:lang w:val="en-AU" w:eastAsia="en-AU"/>
        </w:rPr>
        <w:t xml:space="preserve"> anticipates that the Department and IHACPA will provide </w:t>
      </w:r>
      <w:r w:rsidR="00F10C53">
        <w:rPr>
          <w:lang w:val="en-AU" w:eastAsia="en-AU"/>
        </w:rPr>
        <w:t xml:space="preserve">stakeholders a further </w:t>
      </w:r>
      <w:r w:rsidR="006B77E9">
        <w:rPr>
          <w:lang w:val="en-AU" w:eastAsia="en-AU"/>
        </w:rPr>
        <w:t>update to th</w:t>
      </w:r>
      <w:r w:rsidR="00C41065">
        <w:rPr>
          <w:lang w:val="en-AU" w:eastAsia="en-AU"/>
        </w:rPr>
        <w:t>ese</w:t>
      </w:r>
      <w:r w:rsidR="006B77E9">
        <w:rPr>
          <w:lang w:val="en-AU" w:eastAsia="en-AU"/>
        </w:rPr>
        <w:t xml:space="preserve"> estimates </w:t>
      </w:r>
      <w:r w:rsidR="009C4F87">
        <w:rPr>
          <w:lang w:val="en-AU" w:eastAsia="en-AU"/>
        </w:rPr>
        <w:t xml:space="preserve">in the future </w:t>
      </w:r>
      <w:r w:rsidR="00C04F49">
        <w:rPr>
          <w:lang w:val="en-AU" w:eastAsia="en-AU"/>
        </w:rPr>
        <w:t xml:space="preserve">to incorporate </w:t>
      </w:r>
      <w:r w:rsidR="008F48AD">
        <w:rPr>
          <w:lang w:val="en-AU" w:eastAsia="en-AU"/>
        </w:rPr>
        <w:t>more recent utilisation data</w:t>
      </w:r>
      <w:r w:rsidR="00A00F18">
        <w:rPr>
          <w:lang w:val="en-AU" w:eastAsia="en-AU"/>
        </w:rPr>
        <w:t xml:space="preserve">, to reflect </w:t>
      </w:r>
      <w:r w:rsidR="00E77E2C">
        <w:rPr>
          <w:lang w:val="en-AU" w:eastAsia="en-AU"/>
        </w:rPr>
        <w:t>changes</w:t>
      </w:r>
      <w:r w:rsidR="00A00F18">
        <w:rPr>
          <w:lang w:val="en-AU" w:eastAsia="en-AU"/>
        </w:rPr>
        <w:t xml:space="preserve"> to </w:t>
      </w:r>
      <w:r w:rsidR="005A6CF4">
        <w:rPr>
          <w:lang w:val="en-AU" w:eastAsia="en-AU"/>
        </w:rPr>
        <w:t>benefit reduction parameter</w:t>
      </w:r>
      <w:r w:rsidR="00634965">
        <w:rPr>
          <w:lang w:val="en-AU" w:eastAsia="en-AU"/>
        </w:rPr>
        <w:t>s</w:t>
      </w:r>
      <w:r w:rsidR="005A6CF4">
        <w:rPr>
          <w:lang w:val="en-AU" w:eastAsia="en-AU"/>
        </w:rPr>
        <w:t xml:space="preserve"> (e.g., for CIED items)</w:t>
      </w:r>
      <w:r w:rsidR="00A00F18">
        <w:rPr>
          <w:lang w:val="en-AU" w:eastAsia="en-AU"/>
        </w:rPr>
        <w:t xml:space="preserve"> and </w:t>
      </w:r>
      <w:r w:rsidR="00E77E2C">
        <w:rPr>
          <w:lang w:val="en-AU" w:eastAsia="en-AU"/>
        </w:rPr>
        <w:t>to</w:t>
      </w:r>
      <w:r w:rsidR="00DD7ED0">
        <w:rPr>
          <w:lang w:val="en-AU" w:eastAsia="en-AU"/>
        </w:rPr>
        <w:t xml:space="preserve"> </w:t>
      </w:r>
      <w:r w:rsidR="00125368">
        <w:rPr>
          <w:lang w:val="en-AU" w:eastAsia="en-AU"/>
        </w:rPr>
        <w:t>adjust for errors</w:t>
      </w:r>
      <w:r w:rsidR="00B7092C">
        <w:rPr>
          <w:lang w:val="en-AU" w:eastAsia="en-AU"/>
        </w:rPr>
        <w:t xml:space="preserve"> in previous estimates.</w:t>
      </w:r>
      <w:r w:rsidR="00A60076">
        <w:rPr>
          <w:rStyle w:val="FootnoteReference"/>
          <w:lang w:val="en-AU" w:eastAsia="en-AU"/>
        </w:rPr>
        <w:footnoteReference w:id="122"/>
      </w:r>
    </w:p>
    <w:p w14:paraId="39549AD5" w14:textId="1BD4C66B" w:rsidR="007101F5" w:rsidRPr="007101F5" w:rsidRDefault="007101F5" w:rsidP="007101F5">
      <w:pPr>
        <w:pStyle w:val="Heading5"/>
      </w:pPr>
      <w:r w:rsidRPr="007101F5">
        <w:t xml:space="preserve">How the estimates </w:t>
      </w:r>
      <w:r w:rsidR="00CD5FD4">
        <w:t>were</w:t>
      </w:r>
      <w:r w:rsidRPr="007101F5">
        <w:t xml:space="preserve"> calculated</w:t>
      </w:r>
    </w:p>
    <w:p w14:paraId="3E2B7A0E" w14:textId="06BA8694" w:rsidR="006062DD" w:rsidRDefault="00D1224C" w:rsidP="008B1746">
      <w:pPr>
        <w:rPr>
          <w:lang w:val="en-AU" w:eastAsia="en-AU"/>
        </w:rPr>
      </w:pPr>
      <w:r>
        <w:rPr>
          <w:lang w:val="en-AU" w:eastAsia="en-AU"/>
        </w:rPr>
        <w:t xml:space="preserve">The </w:t>
      </w:r>
      <w:r w:rsidR="00C814C2">
        <w:rPr>
          <w:lang w:val="en-AU" w:eastAsia="en-AU"/>
        </w:rPr>
        <w:t>estimate</w:t>
      </w:r>
      <w:r>
        <w:rPr>
          <w:lang w:val="en-AU" w:eastAsia="en-AU"/>
        </w:rPr>
        <w:t>s of</w:t>
      </w:r>
      <w:r w:rsidR="00C814C2">
        <w:rPr>
          <w:lang w:val="en-AU" w:eastAsia="en-AU"/>
        </w:rPr>
        <w:t xml:space="preserve"> </w:t>
      </w:r>
      <w:r w:rsidR="00411D7F">
        <w:rPr>
          <w:lang w:val="en-AU" w:eastAsia="en-AU"/>
        </w:rPr>
        <w:t>the projected benefits</w:t>
      </w:r>
      <w:r w:rsidR="00CD5FD4">
        <w:rPr>
          <w:lang w:val="en-AU" w:eastAsia="en-AU"/>
        </w:rPr>
        <w:t xml:space="preserve"> were</w:t>
      </w:r>
      <w:r>
        <w:rPr>
          <w:lang w:val="en-AU" w:eastAsia="en-AU"/>
        </w:rPr>
        <w:t xml:space="preserve"> calculated by multiplying the</w:t>
      </w:r>
      <w:r w:rsidR="00282696">
        <w:rPr>
          <w:lang w:val="en-AU" w:eastAsia="en-AU"/>
        </w:rPr>
        <w:t xml:space="preserve"> baseline and future </w:t>
      </w:r>
      <w:r w:rsidR="00F45C48">
        <w:rPr>
          <w:lang w:val="en-AU" w:eastAsia="en-AU"/>
        </w:rPr>
        <w:t xml:space="preserve">PL benefits </w:t>
      </w:r>
      <w:r w:rsidR="00231618">
        <w:rPr>
          <w:lang w:val="en-AU" w:eastAsia="en-AU"/>
        </w:rPr>
        <w:t xml:space="preserve">by </w:t>
      </w:r>
      <w:r w:rsidR="004022FA">
        <w:rPr>
          <w:lang w:val="en-AU" w:eastAsia="en-AU"/>
        </w:rPr>
        <w:t>item utilisation</w:t>
      </w:r>
      <w:r w:rsidR="00A00E25">
        <w:rPr>
          <w:lang w:val="en-AU" w:eastAsia="en-AU"/>
        </w:rPr>
        <w:t xml:space="preserve"> vo</w:t>
      </w:r>
      <w:r w:rsidR="00207145">
        <w:rPr>
          <w:lang w:val="en-AU" w:eastAsia="en-AU"/>
        </w:rPr>
        <w:t xml:space="preserve">lumes recorded in </w:t>
      </w:r>
      <w:r w:rsidR="005A5FB1">
        <w:rPr>
          <w:lang w:val="en-AU" w:eastAsia="en-AU"/>
        </w:rPr>
        <w:t>HCP data</w:t>
      </w:r>
      <w:r w:rsidR="00E97441">
        <w:rPr>
          <w:lang w:val="en-AU" w:eastAsia="en-AU"/>
        </w:rPr>
        <w:t>.</w:t>
      </w:r>
      <w:r w:rsidR="008C1A6C">
        <w:rPr>
          <w:rStyle w:val="FootnoteReference"/>
          <w:lang w:val="en-AU" w:eastAsia="en-AU"/>
        </w:rPr>
        <w:footnoteReference w:id="123"/>
      </w:r>
      <w:r w:rsidR="00E97441">
        <w:rPr>
          <w:lang w:val="en-AU" w:eastAsia="en-AU"/>
        </w:rPr>
        <w:t xml:space="preserve"> </w:t>
      </w:r>
      <w:r w:rsidR="007E3D19">
        <w:rPr>
          <w:lang w:val="en-AU" w:eastAsia="en-AU"/>
        </w:rPr>
        <w:t xml:space="preserve">The </w:t>
      </w:r>
      <w:r w:rsidR="007F3A00">
        <w:rPr>
          <w:lang w:val="en-AU" w:eastAsia="en-AU"/>
        </w:rPr>
        <w:t>December 2023 estimates used</w:t>
      </w:r>
      <w:r w:rsidR="004D0FD4">
        <w:rPr>
          <w:lang w:val="en-AU" w:eastAsia="en-AU"/>
        </w:rPr>
        <w:t xml:space="preserve"> the</w:t>
      </w:r>
      <w:r w:rsidR="007F3A00">
        <w:rPr>
          <w:lang w:val="en-AU" w:eastAsia="en-AU"/>
        </w:rPr>
        <w:t xml:space="preserve"> </w:t>
      </w:r>
      <w:r w:rsidR="000F3D9A">
        <w:rPr>
          <w:lang w:val="en-AU" w:eastAsia="en-AU"/>
        </w:rPr>
        <w:t xml:space="preserve">1 November 2023 PL </w:t>
      </w:r>
      <w:r w:rsidR="00CE15AE">
        <w:rPr>
          <w:lang w:val="en-AU" w:eastAsia="en-AU"/>
        </w:rPr>
        <w:t xml:space="preserve">and </w:t>
      </w:r>
      <w:r w:rsidR="00322512">
        <w:rPr>
          <w:lang w:val="en-AU" w:eastAsia="en-AU"/>
        </w:rPr>
        <w:t xml:space="preserve">item </w:t>
      </w:r>
      <w:r w:rsidR="004B3C5A">
        <w:rPr>
          <w:lang w:val="en-AU" w:eastAsia="en-AU"/>
        </w:rPr>
        <w:t xml:space="preserve">utilisation from </w:t>
      </w:r>
      <w:r w:rsidR="00CE15AE">
        <w:rPr>
          <w:lang w:val="en-AU" w:eastAsia="en-AU"/>
        </w:rPr>
        <w:t>FY23</w:t>
      </w:r>
      <w:r w:rsidR="00842D6E">
        <w:rPr>
          <w:lang w:val="en-AU" w:eastAsia="en-AU"/>
        </w:rPr>
        <w:t xml:space="preserve"> (grossed up to align with 2023 APRA figures</w:t>
      </w:r>
      <w:r w:rsidR="00842D6E">
        <w:rPr>
          <w:rStyle w:val="FootnoteReference"/>
        </w:rPr>
        <w:footnoteReference w:id="124"/>
      </w:r>
      <w:r w:rsidR="00842D6E">
        <w:t>)</w:t>
      </w:r>
      <w:r w:rsidR="00B64C23">
        <w:t xml:space="preserve">. </w:t>
      </w:r>
      <w:r w:rsidR="003543B1">
        <w:t xml:space="preserve">These volumes </w:t>
      </w:r>
      <w:r w:rsidR="002B63EF">
        <w:t xml:space="preserve">were </w:t>
      </w:r>
      <w:r w:rsidR="003543B1">
        <w:t xml:space="preserve">scaled uniformly to account for </w:t>
      </w:r>
      <w:r w:rsidR="009C7130">
        <w:t xml:space="preserve">utilisation growth </w:t>
      </w:r>
      <w:r w:rsidR="000E4A83">
        <w:t>over the following four-year period.</w:t>
      </w:r>
      <w:r w:rsidR="00F50E2E">
        <w:t xml:space="preserve"> The associated savings </w:t>
      </w:r>
      <w:r w:rsidR="002B63EF">
        <w:t>were</w:t>
      </w:r>
      <w:r w:rsidR="00FF403A">
        <w:t xml:space="preserve"> then calculated by </w:t>
      </w:r>
      <w:r w:rsidR="006064EA">
        <w:t xml:space="preserve">comparing to </w:t>
      </w:r>
      <w:r w:rsidR="00B47DE6">
        <w:t>PL scheduled benefits in place prior to the reforms.</w:t>
      </w:r>
      <w:r w:rsidR="008C1A6C">
        <w:rPr>
          <w:rStyle w:val="FootnoteReference"/>
          <w:lang w:val="en-AU" w:eastAsia="en-AU"/>
        </w:rPr>
        <w:footnoteReference w:id="125"/>
      </w:r>
    </w:p>
    <w:p w14:paraId="287D9DFE" w14:textId="1D030771" w:rsidR="009A1901" w:rsidRDefault="009A1901" w:rsidP="009A1901">
      <w:pPr>
        <w:pStyle w:val="Heading5"/>
      </w:pPr>
      <w:r>
        <w:t>Difference</w:t>
      </w:r>
      <w:r w:rsidR="00440C6F">
        <w:t>s between the</w:t>
      </w:r>
      <w:r w:rsidR="009B192D">
        <w:t xml:space="preserve"> </w:t>
      </w:r>
      <w:r w:rsidR="004D5CA5">
        <w:t>initial estimate</w:t>
      </w:r>
      <w:r w:rsidR="009B192D">
        <w:t>s</w:t>
      </w:r>
      <w:r w:rsidR="004D5CA5">
        <w:t xml:space="preserve"> and updated </w:t>
      </w:r>
      <w:r w:rsidR="00F917E4">
        <w:t>estimate</w:t>
      </w:r>
      <w:r w:rsidR="009B192D">
        <w:t>s</w:t>
      </w:r>
    </w:p>
    <w:p w14:paraId="717F4AD1" w14:textId="6B61888A" w:rsidR="0040363A" w:rsidRDefault="007026D7" w:rsidP="00142646">
      <w:pPr>
        <w:spacing w:after="160" w:line="259" w:lineRule="auto"/>
      </w:pPr>
      <w:r>
        <w:t xml:space="preserve">A comparison of </w:t>
      </w:r>
      <w:r w:rsidR="000E6CE8">
        <w:t xml:space="preserve">the </w:t>
      </w:r>
      <w:r w:rsidR="00983242">
        <w:t xml:space="preserve">projected </w:t>
      </w:r>
      <w:r w:rsidR="000E6CE8">
        <w:t xml:space="preserve">savings </w:t>
      </w:r>
      <w:r w:rsidR="00761C1B">
        <w:t xml:space="preserve">from the October 2022 and December 2023 estimates are </w:t>
      </w:r>
      <w:r w:rsidR="00983242">
        <w:t xml:space="preserve">shown in </w:t>
      </w:r>
      <w:r w:rsidR="00983242">
        <w:fldChar w:fldCharType="begin"/>
      </w:r>
      <w:r w:rsidR="00983242">
        <w:instrText xml:space="preserve"> REF _Ref178267060 \h </w:instrText>
      </w:r>
      <w:r w:rsidR="00983242">
        <w:fldChar w:fldCharType="separate"/>
      </w:r>
      <w:r w:rsidR="009B5D8D">
        <w:t xml:space="preserve">Table </w:t>
      </w:r>
      <w:r w:rsidR="009B5D8D">
        <w:rPr>
          <w:noProof/>
        </w:rPr>
        <w:t>24</w:t>
      </w:r>
      <w:r w:rsidR="00983242">
        <w:fldChar w:fldCharType="end"/>
      </w:r>
      <w:r w:rsidR="00983242">
        <w:t xml:space="preserve"> below.</w:t>
      </w:r>
      <w:r w:rsidR="0081582F">
        <w:t xml:space="preserve"> </w:t>
      </w:r>
      <w:r w:rsidR="00956444">
        <w:t>Savings to date (July 2022 to June 2024) and five-year projected savings (July 2022 to June 202</w:t>
      </w:r>
      <w:r w:rsidR="00400365">
        <w:t>7</w:t>
      </w:r>
      <w:r w:rsidR="00956444">
        <w:t>)</w:t>
      </w:r>
      <w:r w:rsidR="0081582F">
        <w:t xml:space="preserve"> are compared for all items and all items excluding CIEDs</w:t>
      </w:r>
      <w:r w:rsidR="00956444">
        <w:t>.</w:t>
      </w:r>
      <w:r w:rsidR="00142646">
        <w:t xml:space="preserve"> The lower estimates for each category are based </w:t>
      </w:r>
      <w:r w:rsidR="007A6DCA">
        <w:t>on 0% annual utilisation growth and the upper estimates are based on a 5% annual utilisation growth</w:t>
      </w:r>
      <w:r w:rsidR="0040363A">
        <w:t>.</w:t>
      </w:r>
    </w:p>
    <w:p w14:paraId="4AF60B3C" w14:textId="524D2AD7" w:rsidR="0040109B" w:rsidRDefault="0040109B" w:rsidP="00142646">
      <w:pPr>
        <w:spacing w:after="160" w:line="259" w:lineRule="auto"/>
        <w:rPr>
          <w:highlight w:val="yellow"/>
        </w:rPr>
      </w:pPr>
      <w:r w:rsidRPr="000C3E35">
        <w:t xml:space="preserve">The </w:t>
      </w:r>
      <w:r w:rsidR="001D67A3" w:rsidRPr="000C3E35">
        <w:t xml:space="preserve">initial October 2022 estimates used </w:t>
      </w:r>
      <w:r w:rsidR="00A523F4" w:rsidRPr="000C3E35">
        <w:t>FY2</w:t>
      </w:r>
      <w:r w:rsidR="00E5396C">
        <w:t>1</w:t>
      </w:r>
      <w:r w:rsidR="00A523F4" w:rsidRPr="000C3E35">
        <w:t xml:space="preserve"> HCP utilisation data, while the updated December 2023 estimates </w:t>
      </w:r>
      <w:r w:rsidR="00CD68EB" w:rsidRPr="000C3E35">
        <w:t>used FY23</w:t>
      </w:r>
      <w:r w:rsidR="00CD68EB">
        <w:t xml:space="preserve"> HCP utilisation data </w:t>
      </w:r>
      <w:r w:rsidR="00D77B3D">
        <w:t>(</w:t>
      </w:r>
      <w:r w:rsidR="00CD68EB">
        <w:t>grossed up to align with 2023 APRA figures</w:t>
      </w:r>
      <w:r w:rsidR="00CD68EB">
        <w:rPr>
          <w:rStyle w:val="FootnoteReference"/>
        </w:rPr>
        <w:footnoteReference w:id="126"/>
      </w:r>
      <w:r w:rsidR="00D77B3D">
        <w:t xml:space="preserve">) </w:t>
      </w:r>
      <w:r w:rsidR="00CD68EB">
        <w:t>giving more accurate projected savings.</w:t>
      </w:r>
      <w:r w:rsidR="00CD68EB">
        <w:rPr>
          <w:rStyle w:val="FootnoteReference"/>
        </w:rPr>
        <w:footnoteReference w:id="127"/>
      </w:r>
      <w:r w:rsidR="00CD68EB">
        <w:t xml:space="preserve"> </w:t>
      </w:r>
      <w:r w:rsidR="00712394">
        <w:t xml:space="preserve">There are three other reasons </w:t>
      </w:r>
      <w:r w:rsidR="007D7755">
        <w:t>the updated estimates differ from the initial estimates:</w:t>
      </w:r>
    </w:p>
    <w:p w14:paraId="3D3049AF" w14:textId="77777777" w:rsidR="000E05E2" w:rsidRDefault="00866389" w:rsidP="00EB3006">
      <w:pPr>
        <w:pStyle w:val="Listnumbered"/>
        <w:numPr>
          <w:ilvl w:val="0"/>
          <w:numId w:val="39"/>
        </w:numPr>
      </w:pPr>
      <w:r w:rsidRPr="000C3E35">
        <w:rPr>
          <w:rFonts w:asciiTheme="majorHAnsi" w:hAnsiTheme="majorHAnsi" w:cstheme="majorHAnsi"/>
        </w:rPr>
        <w:t xml:space="preserve">Different </w:t>
      </w:r>
      <w:r w:rsidR="00AF023F" w:rsidRPr="000C3E35">
        <w:rPr>
          <w:rFonts w:asciiTheme="majorHAnsi" w:hAnsiTheme="majorHAnsi" w:cstheme="majorHAnsi"/>
        </w:rPr>
        <w:t>future PL scheduled benefits</w:t>
      </w:r>
      <w:r w:rsidR="00AF023F" w:rsidRPr="000C3E35">
        <w:t xml:space="preserve"> </w:t>
      </w:r>
      <w:r w:rsidR="00531F0C" w:rsidRPr="000C3E35">
        <w:t xml:space="preserve">– </w:t>
      </w:r>
      <w:r w:rsidR="00D558F2">
        <w:t xml:space="preserve">While </w:t>
      </w:r>
      <w:r w:rsidR="000F4A69">
        <w:t>the</w:t>
      </w:r>
      <w:r w:rsidR="00D558F2">
        <w:t xml:space="preserve"> policy parameters </w:t>
      </w:r>
      <w:r w:rsidR="000F4A69">
        <w:t xml:space="preserve">guiding </w:t>
      </w:r>
      <w:r w:rsidR="00C14E86">
        <w:t xml:space="preserve">the benefit reductions have </w:t>
      </w:r>
      <w:r w:rsidR="000F4A69">
        <w:t>remained largely unchanged since the commencement of the reforms,</w:t>
      </w:r>
      <w:r w:rsidR="005B1238">
        <w:t xml:space="preserve"> a</w:t>
      </w:r>
      <w:r w:rsidR="0045034E">
        <w:t xml:space="preserve"> revised </w:t>
      </w:r>
      <w:r w:rsidR="005B1238">
        <w:t xml:space="preserve">set of </w:t>
      </w:r>
      <w:r w:rsidR="006021FD">
        <w:t xml:space="preserve">future </w:t>
      </w:r>
      <w:r w:rsidR="006021FD">
        <w:lastRenderedPageBreak/>
        <w:t>schedule</w:t>
      </w:r>
      <w:r w:rsidR="000D1316">
        <w:t>d benefits was used</w:t>
      </w:r>
      <w:r w:rsidR="00F0093A">
        <w:t xml:space="preserve"> </w:t>
      </w:r>
      <w:r w:rsidR="0045034E">
        <w:t>for the updated</w:t>
      </w:r>
      <w:r w:rsidR="00F0093A">
        <w:t xml:space="preserve"> estimate</w:t>
      </w:r>
      <w:r w:rsidR="00B75F15">
        <w:t>s to capture</w:t>
      </w:r>
      <w:r w:rsidR="00AE3E55">
        <w:t xml:space="preserve"> </w:t>
      </w:r>
      <w:r w:rsidR="00A91DE4">
        <w:t xml:space="preserve">any </w:t>
      </w:r>
      <w:r w:rsidR="00AE3E55">
        <w:t>benefit reduction</w:t>
      </w:r>
      <w:r w:rsidR="00B75F15">
        <w:t xml:space="preserve"> changes</w:t>
      </w:r>
      <w:r w:rsidR="00AE3E55">
        <w:t xml:space="preserve"> and clarifications </w:t>
      </w:r>
      <w:r w:rsidR="0086521F">
        <w:t>since t</w:t>
      </w:r>
      <w:r w:rsidR="0045034E">
        <w:t>he initial estimates.</w:t>
      </w:r>
      <w:r w:rsidR="00A91DE4">
        <w:t xml:space="preserve"> </w:t>
      </w:r>
      <w:r w:rsidR="009E1640">
        <w:t xml:space="preserve">This most notably applied to </w:t>
      </w:r>
      <w:r w:rsidR="00BF4589">
        <w:t>CIED items</w:t>
      </w:r>
      <w:r w:rsidR="000E05E2">
        <w:t>:</w:t>
      </w:r>
    </w:p>
    <w:p w14:paraId="30C52A49" w14:textId="26F6F59C" w:rsidR="00531F0C" w:rsidRDefault="00F43E38" w:rsidP="000E05E2">
      <w:pPr>
        <w:pStyle w:val="Listnumbered"/>
        <w:numPr>
          <w:ilvl w:val="1"/>
          <w:numId w:val="39"/>
        </w:numPr>
      </w:pPr>
      <w:r>
        <w:t xml:space="preserve">The October 2022 estimates </w:t>
      </w:r>
      <w:r w:rsidR="00BB4A38">
        <w:t>applied</w:t>
      </w:r>
      <w:r>
        <w:t xml:space="preserve"> </w:t>
      </w:r>
      <w:r w:rsidR="00C81DC1">
        <w:t xml:space="preserve">the </w:t>
      </w:r>
      <w:r w:rsidR="00D51C6E">
        <w:t>standard reduction parameters</w:t>
      </w:r>
      <w:r w:rsidR="009419EF">
        <w:t xml:space="preserve"> </w:t>
      </w:r>
      <w:r w:rsidR="002838E6">
        <w:t>on the</w:t>
      </w:r>
      <w:r w:rsidR="0050478B">
        <w:t xml:space="preserve"> full CIED benefit</w:t>
      </w:r>
      <w:r w:rsidR="005C49DC">
        <w:t>,</w:t>
      </w:r>
      <w:r w:rsidR="0093644E">
        <w:t xml:space="preserve"> with the first reduction commencing </w:t>
      </w:r>
      <w:r w:rsidR="001238AA">
        <w:t>with t</w:t>
      </w:r>
      <w:r w:rsidR="00DB37BD">
        <w:t>he 1 July 2023 PL update.</w:t>
      </w:r>
    </w:p>
    <w:p w14:paraId="714CBC68" w14:textId="3004AD3F" w:rsidR="005C49DC" w:rsidRPr="000C3E35" w:rsidRDefault="005C49DC" w:rsidP="000E05E2">
      <w:pPr>
        <w:pStyle w:val="Listnumbered"/>
        <w:numPr>
          <w:ilvl w:val="1"/>
          <w:numId w:val="39"/>
        </w:numPr>
      </w:pPr>
      <w:r>
        <w:t>The December 2023 estimate</w:t>
      </w:r>
      <w:r w:rsidR="00716993">
        <w:t>s</w:t>
      </w:r>
      <w:r>
        <w:t xml:space="preserve"> </w:t>
      </w:r>
      <w:r w:rsidR="003B249E">
        <w:t xml:space="preserve">applied </w:t>
      </w:r>
      <w:r w:rsidR="007632EC">
        <w:t xml:space="preserve">two </w:t>
      </w:r>
      <w:r w:rsidR="00404219">
        <w:t xml:space="preserve">phases of </w:t>
      </w:r>
      <w:r w:rsidR="00623B10">
        <w:t>reductions</w:t>
      </w:r>
      <w:r w:rsidR="00404219">
        <w:t xml:space="preserve"> to CIEDs</w:t>
      </w:r>
      <w:r w:rsidR="00716993">
        <w:t>, reflecting</w:t>
      </w:r>
      <w:r w:rsidR="00B3751A">
        <w:t xml:space="preserve"> </w:t>
      </w:r>
      <w:r w:rsidR="00275618">
        <w:t>a revised benefit reduction approach</w:t>
      </w:r>
      <w:r w:rsidR="00094177">
        <w:t>. The first</w:t>
      </w:r>
      <w:r w:rsidR="00F5139F">
        <w:t xml:space="preserve"> was </w:t>
      </w:r>
      <w:r w:rsidR="004174FD">
        <w:t xml:space="preserve">applying </w:t>
      </w:r>
      <w:r w:rsidR="00EA6156">
        <w:t>40%/20%/20% reductions</w:t>
      </w:r>
      <w:r w:rsidR="001D2D63">
        <w:t xml:space="preserve"> </w:t>
      </w:r>
      <w:r w:rsidR="00BF1ED8">
        <w:t>of the gap between</w:t>
      </w:r>
      <w:r w:rsidR="00163D74">
        <w:t xml:space="preserve"> </w:t>
      </w:r>
      <w:r w:rsidR="001D2D63">
        <w:t xml:space="preserve">the device component </w:t>
      </w:r>
      <w:r w:rsidR="00620A94">
        <w:t xml:space="preserve">of </w:t>
      </w:r>
      <w:r w:rsidR="001D2D63">
        <w:t>the CIED benefit</w:t>
      </w:r>
      <w:r w:rsidR="00BF1ED8">
        <w:t xml:space="preserve"> (</w:t>
      </w:r>
      <w:r w:rsidR="00DE3AC8">
        <w:t>either</w:t>
      </w:r>
      <w:r w:rsidR="00333C5E">
        <w:t xml:space="preserve"> 54%</w:t>
      </w:r>
      <w:r w:rsidR="00DE3AC8">
        <w:t xml:space="preserve"> or 56.</w:t>
      </w:r>
      <w:r w:rsidR="003B2B0D">
        <w:t>3</w:t>
      </w:r>
      <w:r w:rsidR="00DE3AC8">
        <w:t>%</w:t>
      </w:r>
      <w:r w:rsidR="0000234B">
        <w:t xml:space="preserve"> of the total</w:t>
      </w:r>
      <w:r w:rsidR="00620A94">
        <w:t xml:space="preserve"> </w:t>
      </w:r>
      <w:r w:rsidR="0000234B">
        <w:t>benefit)</w:t>
      </w:r>
      <w:r w:rsidR="00163D74">
        <w:t xml:space="preserve"> and </w:t>
      </w:r>
      <w:r w:rsidR="00464792">
        <w:t xml:space="preserve">the full </w:t>
      </w:r>
      <w:r w:rsidR="00A6586E">
        <w:t>public benchmark price</w:t>
      </w:r>
      <w:r w:rsidR="001D2D63">
        <w:t>, commencing with the 1 July 2023 PL update.</w:t>
      </w:r>
      <w:r w:rsidR="00EA6156">
        <w:t xml:space="preserve"> </w:t>
      </w:r>
      <w:r w:rsidR="002726CB">
        <w:t xml:space="preserve">The second was applying </w:t>
      </w:r>
      <w:r w:rsidR="00163D74">
        <w:t>40%/30%/30% reductions of the gap betwee</w:t>
      </w:r>
      <w:r w:rsidR="00A6586E">
        <w:t>n the technical</w:t>
      </w:r>
      <w:r w:rsidR="00DD50BA">
        <w:t xml:space="preserve"> support</w:t>
      </w:r>
      <w:r w:rsidR="00A6586E">
        <w:t xml:space="preserve"> services </w:t>
      </w:r>
      <w:r w:rsidR="00807C57">
        <w:t>component of the CIED benefits (assumed to be 46%</w:t>
      </w:r>
      <w:r w:rsidR="00464792">
        <w:t xml:space="preserve"> or 43.7%</w:t>
      </w:r>
      <w:r w:rsidR="00807C57">
        <w:t xml:space="preserve"> of the total benefit)</w:t>
      </w:r>
      <w:r w:rsidR="007419E5">
        <w:t xml:space="preserve"> and an </w:t>
      </w:r>
      <w:r w:rsidR="00011938">
        <w:t>estimate of reasonable costs for technical support services advised by MSAC</w:t>
      </w:r>
      <w:r w:rsidR="00B26285">
        <w:rPr>
          <w:rStyle w:val="FootnoteReference"/>
        </w:rPr>
        <w:footnoteReference w:id="128"/>
      </w:r>
      <w:r w:rsidR="007267A3">
        <w:t>, commencing with the</w:t>
      </w:r>
      <w:r w:rsidR="004A6ACA">
        <w:t xml:space="preserve"> 1 July 2024 PL update.</w:t>
      </w:r>
    </w:p>
    <w:p w14:paraId="437EEDFD" w14:textId="5E2AEA14" w:rsidR="00A01856" w:rsidRPr="00142646" w:rsidRDefault="00B965B6" w:rsidP="006622CA">
      <w:pPr>
        <w:pStyle w:val="Listnumbered"/>
      </w:pPr>
      <w:r w:rsidRPr="000556E8">
        <w:rPr>
          <w:rFonts w:asciiTheme="majorHAnsi" w:hAnsiTheme="majorHAnsi" w:cstheme="majorHAnsi"/>
        </w:rPr>
        <w:t>Different</w:t>
      </w:r>
      <w:r w:rsidR="0012511F" w:rsidRPr="000556E8">
        <w:rPr>
          <w:rFonts w:asciiTheme="majorHAnsi" w:hAnsiTheme="majorHAnsi" w:cstheme="majorHAnsi"/>
        </w:rPr>
        <w:t xml:space="preserve"> base year for </w:t>
      </w:r>
      <w:r w:rsidR="00BE22E6">
        <w:rPr>
          <w:rFonts w:asciiTheme="majorHAnsi" w:hAnsiTheme="majorHAnsi" w:cstheme="majorHAnsi"/>
        </w:rPr>
        <w:t>a</w:t>
      </w:r>
      <w:r w:rsidR="00681660" w:rsidRPr="000556E8">
        <w:rPr>
          <w:rFonts w:asciiTheme="majorHAnsi" w:hAnsiTheme="majorHAnsi" w:cstheme="majorHAnsi"/>
        </w:rPr>
        <w:t xml:space="preserve">nnual </w:t>
      </w:r>
      <w:r w:rsidR="0012511F" w:rsidRPr="000556E8">
        <w:rPr>
          <w:rFonts w:asciiTheme="majorHAnsi" w:hAnsiTheme="majorHAnsi" w:cstheme="majorHAnsi"/>
        </w:rPr>
        <w:t xml:space="preserve">utilisation </w:t>
      </w:r>
      <w:r w:rsidR="00681660" w:rsidRPr="000556E8">
        <w:rPr>
          <w:rFonts w:asciiTheme="majorHAnsi" w:hAnsiTheme="majorHAnsi" w:cstheme="majorHAnsi"/>
        </w:rPr>
        <w:t>change rate</w:t>
      </w:r>
      <w:r w:rsidR="0042483B" w:rsidRPr="000556E8">
        <w:rPr>
          <w:rFonts w:asciiTheme="majorHAnsi" w:hAnsiTheme="majorHAnsi" w:cstheme="majorHAnsi"/>
        </w:rPr>
        <w:t xml:space="preserve"> calculations</w:t>
      </w:r>
      <w:r w:rsidR="0042483B">
        <w:t xml:space="preserve"> –</w:t>
      </w:r>
      <w:r w:rsidR="00C8576B">
        <w:t xml:space="preserve"> The </w:t>
      </w:r>
      <w:r w:rsidR="00D752E3">
        <w:t>October 2022 estimates</w:t>
      </w:r>
      <w:r w:rsidR="00C8576B">
        <w:t xml:space="preserve"> </w:t>
      </w:r>
      <w:r w:rsidR="00BE004D">
        <w:t>have</w:t>
      </w:r>
      <w:r w:rsidR="00C8576B">
        <w:t xml:space="preserve"> </w:t>
      </w:r>
      <w:r w:rsidR="00EF4E41">
        <w:t>a base year for annual utilisation growth calculations (FY21)</w:t>
      </w:r>
      <w:r w:rsidR="00A96ADB">
        <w:t xml:space="preserve"> that </w:t>
      </w:r>
      <w:r w:rsidR="00CC2A1B">
        <w:t>is</w:t>
      </w:r>
      <w:r w:rsidR="00A96ADB">
        <w:t xml:space="preserve"> two years </w:t>
      </w:r>
      <w:r w:rsidR="00812196">
        <w:t>before</w:t>
      </w:r>
      <w:r w:rsidR="00A96ADB">
        <w:t xml:space="preserve"> the first year of savings</w:t>
      </w:r>
      <w:r w:rsidR="00BE22E6">
        <w:t xml:space="preserve">. </w:t>
      </w:r>
      <w:r w:rsidR="00A96ADB">
        <w:t xml:space="preserve">Conversely, the </w:t>
      </w:r>
      <w:r w:rsidR="00D752E3">
        <w:t>December 2023 estimates’</w:t>
      </w:r>
      <w:r w:rsidR="00642985">
        <w:t xml:space="preserve"> base year for</w:t>
      </w:r>
      <w:r w:rsidR="00F94F79">
        <w:t xml:space="preserve"> annual utilisation growth calculation</w:t>
      </w:r>
      <w:r w:rsidR="006549AE">
        <w:t>s</w:t>
      </w:r>
      <w:r w:rsidR="00F94F79">
        <w:t xml:space="preserve"> </w:t>
      </w:r>
      <w:r w:rsidR="005A3379">
        <w:t>is</w:t>
      </w:r>
      <w:r w:rsidR="00F94F79">
        <w:t xml:space="preserve"> the same </w:t>
      </w:r>
      <w:r w:rsidR="006549AE">
        <w:t>as the first year of savings (FY23).</w:t>
      </w:r>
      <w:r w:rsidR="0052292A">
        <w:t xml:space="preserve"> </w:t>
      </w:r>
      <w:r w:rsidR="00FD22AB">
        <w:t>This mean</w:t>
      </w:r>
      <w:r w:rsidR="005A3379">
        <w:t>s</w:t>
      </w:r>
      <w:r w:rsidR="00FD22AB">
        <w:t xml:space="preserve"> the</w:t>
      </w:r>
      <w:r w:rsidR="004A11EF">
        <w:t xml:space="preserve"> October 2022</w:t>
      </w:r>
      <w:r w:rsidR="00FD22AB">
        <w:t xml:space="preserve"> estimates </w:t>
      </w:r>
      <w:r w:rsidR="00001E0A">
        <w:t xml:space="preserve">for benefits and savings </w:t>
      </w:r>
      <w:r w:rsidR="00660C43">
        <w:t xml:space="preserve">effectively </w:t>
      </w:r>
      <w:r w:rsidR="006056D1">
        <w:t>ha</w:t>
      </w:r>
      <w:r w:rsidR="00CC2A1B">
        <w:t>v</w:t>
      </w:r>
      <w:r w:rsidR="005A3379">
        <w:t>e</w:t>
      </w:r>
      <w:r w:rsidR="00FD22AB">
        <w:t xml:space="preserve"> two years of com</w:t>
      </w:r>
      <w:r w:rsidR="006056D1">
        <w:t xml:space="preserve">pounding growth </w:t>
      </w:r>
      <w:r w:rsidR="00001E0A">
        <w:t>prior to the first year of savings</w:t>
      </w:r>
      <w:r w:rsidR="00DC52EC">
        <w:t xml:space="preserve"> presented</w:t>
      </w:r>
      <w:r w:rsidR="00692537">
        <w:t xml:space="preserve"> </w:t>
      </w:r>
      <w:r w:rsidR="00AA3208">
        <w:t>(FY23).</w:t>
      </w:r>
      <w:r w:rsidR="00695733">
        <w:t xml:space="preserve"> While </w:t>
      </w:r>
      <w:r w:rsidR="0027205D">
        <w:t xml:space="preserve">the </w:t>
      </w:r>
      <w:r w:rsidR="00B942B9">
        <w:t xml:space="preserve">differing </w:t>
      </w:r>
      <w:r w:rsidR="0027205D">
        <w:t>methods were appropriate and necessary</w:t>
      </w:r>
      <w:r w:rsidR="00AD6F12">
        <w:t xml:space="preserve"> given the data available at each point</w:t>
      </w:r>
      <w:r w:rsidR="00156166">
        <w:t xml:space="preserve"> in time,</w:t>
      </w:r>
      <w:r w:rsidR="00AD6F12">
        <w:t xml:space="preserve"> </w:t>
      </w:r>
      <w:r w:rsidR="00DC52EC">
        <w:t>this skews</w:t>
      </w:r>
      <w:r w:rsidR="006E1AA2">
        <w:t xml:space="preserve"> the difference in </w:t>
      </w:r>
      <w:r w:rsidR="0014704E">
        <w:t>benefits and savings</w:t>
      </w:r>
      <w:r w:rsidR="006E1AA2">
        <w:t xml:space="preserve"> when comparing betw</w:t>
      </w:r>
      <w:r w:rsidR="00532EFE">
        <w:t>een the two</w:t>
      </w:r>
      <w:r w:rsidR="003A357F">
        <w:t xml:space="preserve"> sets of estimates</w:t>
      </w:r>
      <w:r w:rsidR="00532EFE">
        <w:t>.</w:t>
      </w:r>
      <w:r w:rsidR="005962B2">
        <w:t xml:space="preserve"> For example, </w:t>
      </w:r>
      <w:r w:rsidR="002A1B2D">
        <w:t xml:space="preserve">looking at </w:t>
      </w:r>
      <w:r w:rsidR="0039239A">
        <w:t>estimated savings</w:t>
      </w:r>
      <w:r w:rsidR="008961C9">
        <w:t xml:space="preserve"> for the </w:t>
      </w:r>
      <w:r w:rsidR="002A1B2D">
        <w:t>01 – Oph</w:t>
      </w:r>
      <w:r w:rsidR="008961C9">
        <w:t xml:space="preserve">thalmic category in </w:t>
      </w:r>
      <w:r w:rsidR="00B737EB">
        <w:t>FY2</w:t>
      </w:r>
      <w:r w:rsidR="008961C9">
        <w:t>3,</w:t>
      </w:r>
      <w:r w:rsidR="0032365B">
        <w:t xml:space="preserve"> the October 2022 figures estimate $5.0 million </w:t>
      </w:r>
      <w:r w:rsidR="00871684">
        <w:t>for</w:t>
      </w:r>
      <w:r w:rsidR="00FE2700">
        <w:t xml:space="preserve"> </w:t>
      </w:r>
      <w:r w:rsidR="0072059D">
        <w:t xml:space="preserve">a 0% annual utilisation growth and </w:t>
      </w:r>
      <w:r w:rsidR="00871684">
        <w:t>$5.5 million for a 5% annual utilisation growth</w:t>
      </w:r>
      <w:r w:rsidR="00831A27">
        <w:t>, while the December 2023 figures estimate $</w:t>
      </w:r>
      <w:r w:rsidR="00AF7DE3">
        <w:t xml:space="preserve">5.6 million for </w:t>
      </w:r>
      <w:r w:rsidR="00EA4BF1">
        <w:t>both the</w:t>
      </w:r>
      <w:r w:rsidR="00AF7DE3">
        <w:t xml:space="preserve"> 0% and 5% annual utilisation growth assumptions.</w:t>
      </w:r>
    </w:p>
    <w:p w14:paraId="4F6DF029" w14:textId="690D56F6" w:rsidR="00E13345" w:rsidRDefault="00AF023F" w:rsidP="00DD4694">
      <w:pPr>
        <w:pStyle w:val="Listnumbered"/>
      </w:pPr>
      <w:r w:rsidRPr="000C3E35">
        <w:rPr>
          <w:rFonts w:asciiTheme="majorHAnsi" w:hAnsiTheme="majorHAnsi" w:cstheme="majorHAnsi"/>
        </w:rPr>
        <w:t>Miscellaneous</w:t>
      </w:r>
      <w:r w:rsidR="002C6491" w:rsidRPr="000C3E35">
        <w:rPr>
          <w:rFonts w:asciiTheme="majorHAnsi" w:hAnsiTheme="majorHAnsi" w:cstheme="majorHAnsi"/>
        </w:rPr>
        <w:t xml:space="preserve"> adjustments</w:t>
      </w:r>
      <w:r w:rsidR="002C6491">
        <w:t xml:space="preserve"> – </w:t>
      </w:r>
      <w:r w:rsidR="00B657E2">
        <w:t xml:space="preserve">Additionally, the Department </w:t>
      </w:r>
      <w:r w:rsidR="0068768D">
        <w:t>included</w:t>
      </w:r>
      <w:r w:rsidR="00973E1D">
        <w:t xml:space="preserve"> adjustments </w:t>
      </w:r>
      <w:r w:rsidR="0068768D">
        <w:t xml:space="preserve">in its instructions </w:t>
      </w:r>
      <w:r w:rsidR="00066DA7">
        <w:t xml:space="preserve">and advice provided </w:t>
      </w:r>
      <w:r w:rsidR="00651D89">
        <w:t xml:space="preserve">to IHACPA </w:t>
      </w:r>
      <w:r w:rsidR="006F46A4">
        <w:t xml:space="preserve">to </w:t>
      </w:r>
      <w:r w:rsidR="00D07F80">
        <w:t xml:space="preserve">account for additional factors. </w:t>
      </w:r>
      <w:r w:rsidR="00BF775E">
        <w:t xml:space="preserve">These included </w:t>
      </w:r>
      <w:r w:rsidR="001B6409">
        <w:t>historical billing code</w:t>
      </w:r>
      <w:r w:rsidR="002D1B87">
        <w:t xml:space="preserve"> changes, </w:t>
      </w:r>
      <w:r w:rsidR="00222924">
        <w:t xml:space="preserve">corrections to </w:t>
      </w:r>
      <w:r w:rsidR="00601CD4">
        <w:t xml:space="preserve">an error </w:t>
      </w:r>
      <w:r w:rsidR="00A454E6">
        <w:t xml:space="preserve">on the </w:t>
      </w:r>
      <w:r w:rsidR="00741AE5">
        <w:t>August 2022 PL update</w:t>
      </w:r>
      <w:r w:rsidR="007D4AA5">
        <w:t xml:space="preserve"> (</w:t>
      </w:r>
      <w:r w:rsidR="001C1403">
        <w:t>~</w:t>
      </w:r>
      <w:r w:rsidR="00C13677">
        <w:t>$</w:t>
      </w:r>
      <w:r w:rsidR="0066121E">
        <w:t>1</w:t>
      </w:r>
      <w:r w:rsidR="0075573D">
        <w:t>.6</w:t>
      </w:r>
      <w:r w:rsidR="0066121E">
        <w:t xml:space="preserve"> million </w:t>
      </w:r>
      <w:r w:rsidR="00C13677">
        <w:t>adjustment</w:t>
      </w:r>
      <w:r w:rsidR="0066121E">
        <w:t>)</w:t>
      </w:r>
      <w:r w:rsidR="0000032A">
        <w:t xml:space="preserve">, and </w:t>
      </w:r>
      <w:r w:rsidR="00E56158">
        <w:t>correcti</w:t>
      </w:r>
      <w:r w:rsidR="004C2EB6">
        <w:t xml:space="preserve">ons to </w:t>
      </w:r>
      <w:r w:rsidR="0028437F">
        <w:t xml:space="preserve">fix some </w:t>
      </w:r>
      <w:r w:rsidR="00B40E63">
        <w:t>date</w:t>
      </w:r>
      <w:r w:rsidR="0028437F">
        <w:t>-related</w:t>
      </w:r>
      <w:r w:rsidR="007569EA">
        <w:t xml:space="preserve"> </w:t>
      </w:r>
      <w:r w:rsidR="003022FC">
        <w:t>errors</w:t>
      </w:r>
      <w:r w:rsidR="00BF775E">
        <w:t>.</w:t>
      </w:r>
      <w:r w:rsidR="00964431">
        <w:rPr>
          <w:rStyle w:val="FootnoteReference"/>
        </w:rPr>
        <w:footnoteReference w:id="129"/>
      </w:r>
      <w:r w:rsidR="006F7A35">
        <w:t xml:space="preserve"> The parameters </w:t>
      </w:r>
      <w:r w:rsidR="00A2607B">
        <w:t>or details</w:t>
      </w:r>
      <w:r w:rsidR="006F7A35">
        <w:t xml:space="preserve"> </w:t>
      </w:r>
      <w:r w:rsidR="00855EF9">
        <w:t xml:space="preserve">of these adjustments were </w:t>
      </w:r>
      <w:r w:rsidR="000752FF">
        <w:t xml:space="preserve">not included </w:t>
      </w:r>
      <w:r w:rsidR="00A2607B">
        <w:t>with</w:t>
      </w:r>
      <w:r w:rsidR="000752FF">
        <w:t xml:space="preserve"> the </w:t>
      </w:r>
      <w:r w:rsidR="002B4DB8">
        <w:t>published estimates.</w:t>
      </w:r>
    </w:p>
    <w:p w14:paraId="605989F6" w14:textId="1A832F5E" w:rsidR="004637D5" w:rsidRDefault="004637D5" w:rsidP="004637D5">
      <w:pPr>
        <w:pStyle w:val="Caption"/>
        <w:rPr>
          <w:lang w:eastAsia="en-AU"/>
        </w:rPr>
      </w:pPr>
      <w:bookmarkStart w:id="123" w:name="_Ref178267060"/>
      <w:r>
        <w:t xml:space="preserve">Table </w:t>
      </w:r>
      <w:r>
        <w:fldChar w:fldCharType="begin"/>
      </w:r>
      <w:r>
        <w:instrText xml:space="preserve"> SEQ Table \* ARABIC </w:instrText>
      </w:r>
      <w:r>
        <w:fldChar w:fldCharType="separate"/>
      </w:r>
      <w:r w:rsidR="009B5D8D">
        <w:rPr>
          <w:noProof/>
        </w:rPr>
        <w:t>24</w:t>
      </w:r>
      <w:r>
        <w:fldChar w:fldCharType="end"/>
      </w:r>
      <w:bookmarkEnd w:id="123"/>
      <w:r>
        <w:t xml:space="preserve"> | </w:t>
      </w:r>
      <w:r w:rsidR="00172A3F">
        <w:t>Comparison of</w:t>
      </w:r>
      <w:r w:rsidR="0041138B">
        <w:t xml:space="preserve"> projected</w:t>
      </w:r>
      <w:r w:rsidR="00172A3F">
        <w:t xml:space="preserve"> savings </w:t>
      </w:r>
      <w:r w:rsidR="007026D7">
        <w:t>–</w:t>
      </w:r>
      <w:r w:rsidR="00172A3F">
        <w:t xml:space="preserve"> </w:t>
      </w:r>
      <w:r w:rsidR="0041138B">
        <w:t>initial and updated estimates</w:t>
      </w:r>
      <w:r w:rsidR="001B61FB">
        <w:rPr>
          <w:rStyle w:val="FootnoteReference"/>
          <w:lang w:eastAsia="en-AU"/>
        </w:rPr>
        <w:footnoteReference w:id="130"/>
      </w:r>
    </w:p>
    <w:tbl>
      <w:tblPr>
        <w:tblStyle w:val="NOUS"/>
        <w:tblW w:w="0" w:type="auto"/>
        <w:tblLook w:val="04A0" w:firstRow="1" w:lastRow="0" w:firstColumn="1" w:lastColumn="0" w:noHBand="0" w:noVBand="1"/>
      </w:tblPr>
      <w:tblGrid>
        <w:gridCol w:w="918"/>
        <w:gridCol w:w="2544"/>
        <w:gridCol w:w="32"/>
        <w:gridCol w:w="1829"/>
        <w:gridCol w:w="79"/>
        <w:gridCol w:w="1794"/>
        <w:gridCol w:w="39"/>
        <w:gridCol w:w="1836"/>
      </w:tblGrid>
      <w:tr w:rsidR="00A01856" w14:paraId="299A9BD7" w14:textId="77777777" w:rsidTr="00A01856">
        <w:trPr>
          <w:cnfStyle w:val="100000000000" w:firstRow="1" w:lastRow="0" w:firstColumn="0" w:lastColumn="0" w:oddVBand="0" w:evenVBand="0" w:oddHBand="0" w:evenHBand="0" w:firstRowFirstColumn="0" w:firstRowLastColumn="0" w:lastRowFirstColumn="0" w:lastRowLastColumn="0"/>
        </w:trPr>
        <w:tc>
          <w:tcPr>
            <w:tcW w:w="851" w:type="dxa"/>
          </w:tcPr>
          <w:p w14:paraId="77D17A68" w14:textId="4E809B74" w:rsidR="00A01856" w:rsidRPr="001A2EB5" w:rsidRDefault="00142646" w:rsidP="004637D5">
            <w:pPr>
              <w:pStyle w:val="TableNheader"/>
              <w:rPr>
                <w:b w:val="0"/>
                <w:bCs/>
              </w:rPr>
            </w:pPr>
            <w:r>
              <w:rPr>
                <w:b w:val="0"/>
                <w:bCs/>
              </w:rPr>
              <w:t>Scope of PL items</w:t>
            </w:r>
          </w:p>
        </w:tc>
        <w:tc>
          <w:tcPr>
            <w:tcW w:w="2602" w:type="dxa"/>
            <w:gridSpan w:val="2"/>
          </w:tcPr>
          <w:p w14:paraId="79AAF6AA" w14:textId="202450A1" w:rsidR="00A01856" w:rsidRPr="001A2EB5" w:rsidRDefault="001A2EB5" w:rsidP="004637D5">
            <w:pPr>
              <w:pStyle w:val="TableNheader"/>
              <w:rPr>
                <w:b w:val="0"/>
                <w:bCs/>
              </w:rPr>
            </w:pPr>
            <w:r w:rsidRPr="001A2EB5">
              <w:rPr>
                <w:b w:val="0"/>
                <w:bCs/>
              </w:rPr>
              <w:t>Savings</w:t>
            </w:r>
            <w:r w:rsidR="00142646">
              <w:rPr>
                <w:b w:val="0"/>
                <w:bCs/>
              </w:rPr>
              <w:t xml:space="preserve"> period</w:t>
            </w:r>
          </w:p>
        </w:tc>
        <w:tc>
          <w:tcPr>
            <w:tcW w:w="1844" w:type="dxa"/>
          </w:tcPr>
          <w:p w14:paraId="32221394" w14:textId="77777777" w:rsidR="00BA03F2" w:rsidRPr="00BA03F2" w:rsidRDefault="00A01856" w:rsidP="004637D5">
            <w:pPr>
              <w:pStyle w:val="TableNheader"/>
              <w:rPr>
                <w:b w:val="0"/>
                <w:bCs/>
              </w:rPr>
            </w:pPr>
            <w:r>
              <w:rPr>
                <w:b w:val="0"/>
                <w:bCs/>
              </w:rPr>
              <w:t>October 2022 estimate</w:t>
            </w:r>
          </w:p>
          <w:p w14:paraId="2EC5BF74" w14:textId="5E4903C2" w:rsidR="00A01856" w:rsidRPr="004637D5" w:rsidRDefault="00565734" w:rsidP="004637D5">
            <w:pPr>
              <w:pStyle w:val="TableNheader"/>
              <w:rPr>
                <w:b w:val="0"/>
                <w:bCs/>
              </w:rPr>
            </w:pPr>
            <w:r>
              <w:rPr>
                <w:b w:val="0"/>
                <w:bCs/>
              </w:rPr>
              <w:t>(0% to 5% annual growth)</w:t>
            </w:r>
          </w:p>
        </w:tc>
        <w:tc>
          <w:tcPr>
            <w:tcW w:w="1886" w:type="dxa"/>
            <w:gridSpan w:val="2"/>
          </w:tcPr>
          <w:p w14:paraId="47C162F6" w14:textId="77777777" w:rsidR="00BA03F2" w:rsidRPr="00BA03F2" w:rsidRDefault="00A01856" w:rsidP="00BA03F2">
            <w:pPr>
              <w:pStyle w:val="TableNheader"/>
              <w:rPr>
                <w:b w:val="0"/>
                <w:bCs/>
              </w:rPr>
            </w:pPr>
            <w:r>
              <w:rPr>
                <w:b w:val="0"/>
                <w:bCs/>
              </w:rPr>
              <w:t>December 2023 estimate</w:t>
            </w:r>
          </w:p>
          <w:p w14:paraId="3058514A" w14:textId="7AB9DF88" w:rsidR="00565734" w:rsidRPr="00BA03F2" w:rsidRDefault="00BA03F2" w:rsidP="00BA03F2">
            <w:pPr>
              <w:pStyle w:val="TableNheader"/>
              <w:rPr>
                <w:b w:val="0"/>
                <w:bCs/>
              </w:rPr>
            </w:pPr>
            <w:r w:rsidRPr="00BA03F2">
              <w:rPr>
                <w:b w:val="0"/>
                <w:bCs/>
              </w:rPr>
              <w:t>(0% to 5% annual growth)</w:t>
            </w:r>
          </w:p>
        </w:tc>
        <w:tc>
          <w:tcPr>
            <w:tcW w:w="1888" w:type="dxa"/>
            <w:gridSpan w:val="2"/>
          </w:tcPr>
          <w:p w14:paraId="734E9AEE" w14:textId="4D89B1D9" w:rsidR="00A01856" w:rsidRPr="004637D5" w:rsidRDefault="00A01856" w:rsidP="004637D5">
            <w:pPr>
              <w:pStyle w:val="TableNheader"/>
              <w:rPr>
                <w:b w:val="0"/>
                <w:bCs/>
              </w:rPr>
            </w:pPr>
            <w:r>
              <w:rPr>
                <w:b w:val="0"/>
                <w:bCs/>
              </w:rPr>
              <w:t>Difference</w:t>
            </w:r>
          </w:p>
        </w:tc>
      </w:tr>
      <w:tr w:rsidR="00172A3F" w14:paraId="5DED5A6D" w14:textId="77777777" w:rsidTr="00A01856">
        <w:tc>
          <w:tcPr>
            <w:tcW w:w="851" w:type="dxa"/>
            <w:vMerge w:val="restart"/>
          </w:tcPr>
          <w:p w14:paraId="1D996EE6" w14:textId="040EAE35" w:rsidR="00172A3F" w:rsidRPr="00770EB8" w:rsidRDefault="00172A3F" w:rsidP="004637D5">
            <w:pPr>
              <w:pStyle w:val="TableNbiophoto"/>
              <w:rPr>
                <w:rFonts w:asciiTheme="majorHAnsi" w:hAnsiTheme="majorHAnsi" w:cstheme="majorHAnsi"/>
                <w:lang w:eastAsia="en-AU"/>
              </w:rPr>
            </w:pPr>
            <w:r w:rsidRPr="00770EB8">
              <w:rPr>
                <w:rFonts w:asciiTheme="majorHAnsi" w:hAnsiTheme="majorHAnsi" w:cstheme="majorHAnsi"/>
                <w:lang w:eastAsia="en-AU"/>
              </w:rPr>
              <w:t>All items</w:t>
            </w:r>
          </w:p>
        </w:tc>
        <w:tc>
          <w:tcPr>
            <w:tcW w:w="2570" w:type="dxa"/>
          </w:tcPr>
          <w:p w14:paraId="2B5958DB" w14:textId="3730F9A8" w:rsidR="00172A3F" w:rsidRPr="00770EB8" w:rsidRDefault="00172A3F" w:rsidP="004637D5">
            <w:pPr>
              <w:pStyle w:val="TableNbiophoto"/>
              <w:rPr>
                <w:rFonts w:asciiTheme="majorHAnsi" w:hAnsiTheme="majorHAnsi" w:cstheme="majorHAnsi"/>
                <w:lang w:eastAsia="en-AU"/>
              </w:rPr>
            </w:pPr>
            <w:r w:rsidRPr="00770EB8">
              <w:rPr>
                <w:rFonts w:asciiTheme="majorHAnsi" w:hAnsiTheme="majorHAnsi" w:cstheme="majorHAnsi"/>
                <w:lang w:eastAsia="en-AU"/>
              </w:rPr>
              <w:t>Savings to date</w:t>
            </w:r>
            <w:r w:rsidRPr="00770EB8">
              <w:rPr>
                <w:rFonts w:asciiTheme="majorHAnsi" w:hAnsiTheme="majorHAnsi" w:cstheme="majorHAnsi"/>
                <w:lang w:eastAsia="en-AU"/>
              </w:rPr>
              <w:br/>
              <w:t>(July 2022 to June 2024)</w:t>
            </w:r>
          </w:p>
        </w:tc>
        <w:tc>
          <w:tcPr>
            <w:tcW w:w="1955" w:type="dxa"/>
            <w:gridSpan w:val="3"/>
          </w:tcPr>
          <w:p w14:paraId="1DB2838E" w14:textId="75CA89AE" w:rsidR="00172A3F" w:rsidRDefault="0058116B" w:rsidP="004637D5">
            <w:pPr>
              <w:pStyle w:val="TableNbiophoto"/>
              <w:rPr>
                <w:lang w:eastAsia="en-AU"/>
              </w:rPr>
            </w:pPr>
            <w:r>
              <w:rPr>
                <w:lang w:eastAsia="en-AU"/>
              </w:rPr>
              <w:t>$27</w:t>
            </w:r>
            <w:r w:rsidR="00760254">
              <w:rPr>
                <w:lang w:eastAsia="en-AU"/>
              </w:rPr>
              <w:t>4</w:t>
            </w:r>
            <w:r>
              <w:rPr>
                <w:lang w:eastAsia="en-AU"/>
              </w:rPr>
              <w:t xml:space="preserve"> million to $31</w:t>
            </w:r>
            <w:r w:rsidR="00760254">
              <w:rPr>
                <w:lang w:eastAsia="en-AU"/>
              </w:rPr>
              <w:t>2</w:t>
            </w:r>
            <w:r>
              <w:rPr>
                <w:lang w:eastAsia="en-AU"/>
              </w:rPr>
              <w:t xml:space="preserve"> million</w:t>
            </w:r>
          </w:p>
        </w:tc>
        <w:tc>
          <w:tcPr>
            <w:tcW w:w="1846" w:type="dxa"/>
            <w:gridSpan w:val="2"/>
          </w:tcPr>
          <w:p w14:paraId="56EA29FB" w14:textId="7309E253" w:rsidR="00172A3F" w:rsidRDefault="00F634A9" w:rsidP="004637D5">
            <w:pPr>
              <w:pStyle w:val="TableNbiophoto"/>
              <w:rPr>
                <w:lang w:eastAsia="en-AU"/>
              </w:rPr>
            </w:pPr>
            <w:r>
              <w:rPr>
                <w:lang w:eastAsia="en-AU"/>
              </w:rPr>
              <w:t>$28</w:t>
            </w:r>
            <w:r w:rsidR="00BC70B0">
              <w:rPr>
                <w:lang w:eastAsia="en-AU"/>
              </w:rPr>
              <w:t>2 million to $291 million</w:t>
            </w:r>
          </w:p>
        </w:tc>
        <w:tc>
          <w:tcPr>
            <w:tcW w:w="1849" w:type="dxa"/>
          </w:tcPr>
          <w:p w14:paraId="646DA8B0" w14:textId="594048A8" w:rsidR="007B3FEA" w:rsidRDefault="00541512" w:rsidP="004637D5">
            <w:pPr>
              <w:pStyle w:val="TableNbiophoto"/>
              <w:rPr>
                <w:lang w:eastAsia="en-AU"/>
              </w:rPr>
            </w:pPr>
            <w:r>
              <w:rPr>
                <w:lang w:eastAsia="en-AU"/>
              </w:rPr>
              <w:t>-</w:t>
            </w:r>
            <w:r w:rsidR="00565734">
              <w:rPr>
                <w:lang w:eastAsia="en-AU"/>
              </w:rPr>
              <w:t>$2</w:t>
            </w:r>
            <w:r w:rsidR="00760254">
              <w:rPr>
                <w:lang w:eastAsia="en-AU"/>
              </w:rPr>
              <w:t>1</w:t>
            </w:r>
            <w:r w:rsidR="00565734">
              <w:rPr>
                <w:lang w:eastAsia="en-AU"/>
              </w:rPr>
              <w:t xml:space="preserve"> million </w:t>
            </w:r>
            <w:r w:rsidR="00BA03F2">
              <w:rPr>
                <w:lang w:eastAsia="en-AU"/>
              </w:rPr>
              <w:t>to</w:t>
            </w:r>
            <w:r w:rsidR="00BA03F2">
              <w:rPr>
                <w:lang w:eastAsia="en-AU"/>
              </w:rPr>
              <w:br/>
            </w:r>
            <w:r w:rsidR="00406CE8">
              <w:rPr>
                <w:lang w:eastAsia="en-AU"/>
              </w:rPr>
              <w:t>+</w:t>
            </w:r>
            <w:r w:rsidR="00565734">
              <w:rPr>
                <w:lang w:eastAsia="en-AU"/>
              </w:rPr>
              <w:t>$</w:t>
            </w:r>
            <w:r w:rsidR="00760254">
              <w:rPr>
                <w:lang w:eastAsia="en-AU"/>
              </w:rPr>
              <w:t>9</w:t>
            </w:r>
            <w:r w:rsidR="00565734">
              <w:rPr>
                <w:lang w:eastAsia="en-AU"/>
              </w:rPr>
              <w:t xml:space="preserve"> million</w:t>
            </w:r>
          </w:p>
        </w:tc>
      </w:tr>
      <w:tr w:rsidR="00172A3F" w14:paraId="0D989B62" w14:textId="77777777" w:rsidTr="00A01856">
        <w:tc>
          <w:tcPr>
            <w:tcW w:w="851" w:type="dxa"/>
            <w:vMerge/>
          </w:tcPr>
          <w:p w14:paraId="235FE683" w14:textId="77777777" w:rsidR="00172A3F" w:rsidRPr="00770EB8" w:rsidRDefault="00172A3F" w:rsidP="004637D5">
            <w:pPr>
              <w:pStyle w:val="TableNbiophoto"/>
              <w:rPr>
                <w:rFonts w:asciiTheme="majorHAnsi" w:hAnsiTheme="majorHAnsi" w:cstheme="majorHAnsi"/>
                <w:lang w:eastAsia="en-AU"/>
              </w:rPr>
            </w:pPr>
          </w:p>
        </w:tc>
        <w:tc>
          <w:tcPr>
            <w:tcW w:w="2570" w:type="dxa"/>
          </w:tcPr>
          <w:p w14:paraId="75B2F66A" w14:textId="0294C62C" w:rsidR="00172A3F" w:rsidRPr="00770EB8" w:rsidRDefault="00172A3F" w:rsidP="004637D5">
            <w:pPr>
              <w:pStyle w:val="TableNbiophoto"/>
              <w:rPr>
                <w:rFonts w:asciiTheme="majorHAnsi" w:hAnsiTheme="majorHAnsi" w:cstheme="majorHAnsi"/>
                <w:lang w:eastAsia="en-AU"/>
              </w:rPr>
            </w:pPr>
            <w:r w:rsidRPr="00770EB8">
              <w:rPr>
                <w:rFonts w:asciiTheme="majorHAnsi" w:hAnsiTheme="majorHAnsi" w:cstheme="majorHAnsi"/>
                <w:lang w:eastAsia="en-AU"/>
              </w:rPr>
              <w:t>Five-year projected savings</w:t>
            </w:r>
            <w:r w:rsidRPr="00770EB8">
              <w:rPr>
                <w:rFonts w:asciiTheme="majorHAnsi" w:hAnsiTheme="majorHAnsi" w:cstheme="majorHAnsi"/>
                <w:lang w:eastAsia="en-AU"/>
              </w:rPr>
              <w:br/>
              <w:t>(July 2022 to June 2027)</w:t>
            </w:r>
            <w:r w:rsidR="001A2EB5" w:rsidRPr="00770EB8">
              <w:rPr>
                <w:rStyle w:val="FootnoteReference"/>
                <w:rFonts w:asciiTheme="majorHAnsi" w:hAnsiTheme="majorHAnsi" w:cstheme="majorHAnsi"/>
                <w:lang w:eastAsia="en-AU"/>
              </w:rPr>
              <w:footnoteReference w:id="131"/>
            </w:r>
          </w:p>
        </w:tc>
        <w:tc>
          <w:tcPr>
            <w:tcW w:w="1955" w:type="dxa"/>
            <w:gridSpan w:val="3"/>
          </w:tcPr>
          <w:p w14:paraId="6DA43325" w14:textId="6FAC6353" w:rsidR="00172A3F" w:rsidRDefault="00F634A9" w:rsidP="004637D5">
            <w:pPr>
              <w:pStyle w:val="TableNbiophoto"/>
              <w:rPr>
                <w:lang w:eastAsia="en-AU"/>
              </w:rPr>
            </w:pPr>
            <w:r>
              <w:rPr>
                <w:lang w:eastAsia="en-AU"/>
              </w:rPr>
              <w:t>$1,04</w:t>
            </w:r>
            <w:r w:rsidR="00760254">
              <w:rPr>
                <w:lang w:eastAsia="en-AU"/>
              </w:rPr>
              <w:t>5</w:t>
            </w:r>
            <w:r>
              <w:rPr>
                <w:lang w:eastAsia="en-AU"/>
              </w:rPr>
              <w:t xml:space="preserve"> million to $1,29</w:t>
            </w:r>
            <w:r w:rsidR="00760254">
              <w:rPr>
                <w:lang w:eastAsia="en-AU"/>
              </w:rPr>
              <w:t>9</w:t>
            </w:r>
            <w:r>
              <w:rPr>
                <w:lang w:eastAsia="en-AU"/>
              </w:rPr>
              <w:t xml:space="preserve"> million</w:t>
            </w:r>
          </w:p>
        </w:tc>
        <w:tc>
          <w:tcPr>
            <w:tcW w:w="1846" w:type="dxa"/>
            <w:gridSpan w:val="2"/>
          </w:tcPr>
          <w:p w14:paraId="2EA2B1DB" w14:textId="2505A585" w:rsidR="00172A3F" w:rsidRDefault="00BC70B0" w:rsidP="004637D5">
            <w:pPr>
              <w:pStyle w:val="TableNbiophoto"/>
              <w:rPr>
                <w:lang w:eastAsia="en-AU"/>
              </w:rPr>
            </w:pPr>
            <w:r>
              <w:rPr>
                <w:lang w:eastAsia="en-AU"/>
              </w:rPr>
              <w:t>$1,042 million to $1,173</w:t>
            </w:r>
            <w:r w:rsidR="000443A6">
              <w:rPr>
                <w:lang w:eastAsia="en-AU"/>
              </w:rPr>
              <w:t xml:space="preserve"> million</w:t>
            </w:r>
          </w:p>
        </w:tc>
        <w:tc>
          <w:tcPr>
            <w:tcW w:w="1849" w:type="dxa"/>
          </w:tcPr>
          <w:p w14:paraId="4F4B0F59" w14:textId="43636A67" w:rsidR="00172A3F" w:rsidRDefault="00CD1084" w:rsidP="004637D5">
            <w:pPr>
              <w:pStyle w:val="TableNbiophoto"/>
              <w:rPr>
                <w:lang w:eastAsia="en-AU"/>
              </w:rPr>
            </w:pPr>
            <w:r>
              <w:rPr>
                <w:lang w:eastAsia="en-AU"/>
              </w:rPr>
              <w:t>-$125 million to</w:t>
            </w:r>
            <w:r w:rsidR="00406CE8">
              <w:rPr>
                <w:lang w:eastAsia="en-AU"/>
              </w:rPr>
              <w:br/>
              <w:t>-$</w:t>
            </w:r>
            <w:r w:rsidR="00760254">
              <w:rPr>
                <w:lang w:eastAsia="en-AU"/>
              </w:rPr>
              <w:t>3</w:t>
            </w:r>
            <w:r w:rsidR="00406CE8">
              <w:rPr>
                <w:lang w:eastAsia="en-AU"/>
              </w:rPr>
              <w:t xml:space="preserve"> million</w:t>
            </w:r>
          </w:p>
        </w:tc>
      </w:tr>
      <w:tr w:rsidR="00172A3F" w14:paraId="0DC0BB40" w14:textId="77777777" w:rsidTr="00A01856">
        <w:tc>
          <w:tcPr>
            <w:tcW w:w="851" w:type="dxa"/>
            <w:vMerge w:val="restart"/>
          </w:tcPr>
          <w:p w14:paraId="1C74B8B0" w14:textId="52242C15" w:rsidR="00172A3F" w:rsidRPr="00770EB8" w:rsidRDefault="00172A3F" w:rsidP="00A01856">
            <w:pPr>
              <w:pStyle w:val="TableNbiophoto"/>
              <w:rPr>
                <w:rFonts w:asciiTheme="majorHAnsi" w:hAnsiTheme="majorHAnsi" w:cstheme="majorHAnsi"/>
                <w:lang w:eastAsia="en-AU"/>
              </w:rPr>
            </w:pPr>
            <w:r w:rsidRPr="00770EB8">
              <w:rPr>
                <w:rFonts w:asciiTheme="majorHAnsi" w:hAnsiTheme="majorHAnsi" w:cstheme="majorHAnsi"/>
                <w:lang w:eastAsia="en-AU"/>
              </w:rPr>
              <w:t xml:space="preserve">All items </w:t>
            </w:r>
            <w:r w:rsidR="0081582F" w:rsidRPr="00770EB8">
              <w:rPr>
                <w:rFonts w:asciiTheme="majorHAnsi" w:hAnsiTheme="majorHAnsi" w:cstheme="majorHAnsi"/>
                <w:lang w:eastAsia="en-AU"/>
              </w:rPr>
              <w:t xml:space="preserve">excluding </w:t>
            </w:r>
            <w:r w:rsidRPr="00770EB8">
              <w:rPr>
                <w:rFonts w:asciiTheme="majorHAnsi" w:hAnsiTheme="majorHAnsi" w:cstheme="majorHAnsi"/>
                <w:lang w:eastAsia="en-AU"/>
              </w:rPr>
              <w:t>CIEDs</w:t>
            </w:r>
          </w:p>
        </w:tc>
        <w:tc>
          <w:tcPr>
            <w:tcW w:w="2570" w:type="dxa"/>
          </w:tcPr>
          <w:p w14:paraId="328DAE1B" w14:textId="67863889" w:rsidR="00172A3F" w:rsidRPr="00770EB8" w:rsidRDefault="00172A3F" w:rsidP="00A01856">
            <w:pPr>
              <w:pStyle w:val="TableNbiophoto"/>
              <w:rPr>
                <w:rFonts w:asciiTheme="majorHAnsi" w:hAnsiTheme="majorHAnsi" w:cstheme="majorHAnsi"/>
                <w:lang w:eastAsia="en-AU"/>
              </w:rPr>
            </w:pPr>
            <w:r w:rsidRPr="00770EB8">
              <w:rPr>
                <w:rFonts w:asciiTheme="majorHAnsi" w:hAnsiTheme="majorHAnsi" w:cstheme="majorHAnsi"/>
                <w:lang w:eastAsia="en-AU"/>
              </w:rPr>
              <w:t>Savings to date</w:t>
            </w:r>
            <w:r w:rsidRPr="00770EB8">
              <w:rPr>
                <w:rFonts w:asciiTheme="majorHAnsi" w:hAnsiTheme="majorHAnsi" w:cstheme="majorHAnsi"/>
                <w:lang w:eastAsia="en-AU"/>
              </w:rPr>
              <w:br/>
              <w:t>(July 2022 to June 2024)</w:t>
            </w:r>
          </w:p>
        </w:tc>
        <w:tc>
          <w:tcPr>
            <w:tcW w:w="1955" w:type="dxa"/>
            <w:gridSpan w:val="3"/>
          </w:tcPr>
          <w:p w14:paraId="005D21CC" w14:textId="4BDAD818" w:rsidR="00172A3F" w:rsidRDefault="00292053" w:rsidP="00A01856">
            <w:pPr>
              <w:pStyle w:val="TableNbiophoto"/>
              <w:rPr>
                <w:lang w:eastAsia="en-AU"/>
              </w:rPr>
            </w:pPr>
            <w:r>
              <w:rPr>
                <w:lang w:eastAsia="en-AU"/>
              </w:rPr>
              <w:t>$</w:t>
            </w:r>
            <w:r w:rsidR="00537F10">
              <w:rPr>
                <w:lang w:eastAsia="en-AU"/>
              </w:rPr>
              <w:t>218 million to $24</w:t>
            </w:r>
            <w:r w:rsidR="00760254">
              <w:rPr>
                <w:lang w:eastAsia="en-AU"/>
              </w:rPr>
              <w:t>8</w:t>
            </w:r>
            <w:r w:rsidR="00537F10">
              <w:rPr>
                <w:lang w:eastAsia="en-AU"/>
              </w:rPr>
              <w:t xml:space="preserve"> million</w:t>
            </w:r>
          </w:p>
        </w:tc>
        <w:tc>
          <w:tcPr>
            <w:tcW w:w="1846" w:type="dxa"/>
            <w:gridSpan w:val="2"/>
          </w:tcPr>
          <w:p w14:paraId="2019A391" w14:textId="27A746A8" w:rsidR="00172A3F" w:rsidRDefault="00D4270C" w:rsidP="00A01856">
            <w:pPr>
              <w:pStyle w:val="TableNbiophoto"/>
              <w:rPr>
                <w:lang w:eastAsia="en-AU"/>
              </w:rPr>
            </w:pPr>
            <w:r>
              <w:rPr>
                <w:lang w:eastAsia="en-AU"/>
              </w:rPr>
              <w:t>$25</w:t>
            </w:r>
            <w:r w:rsidR="00760254">
              <w:rPr>
                <w:lang w:eastAsia="en-AU"/>
              </w:rPr>
              <w:t>6</w:t>
            </w:r>
            <w:r>
              <w:rPr>
                <w:lang w:eastAsia="en-AU"/>
              </w:rPr>
              <w:t xml:space="preserve"> million</w:t>
            </w:r>
            <w:r w:rsidR="00F73752">
              <w:rPr>
                <w:lang w:eastAsia="en-AU"/>
              </w:rPr>
              <w:t xml:space="preserve"> to $263 million</w:t>
            </w:r>
          </w:p>
        </w:tc>
        <w:tc>
          <w:tcPr>
            <w:tcW w:w="1849" w:type="dxa"/>
          </w:tcPr>
          <w:p w14:paraId="0FE63660" w14:textId="79941F32" w:rsidR="00172A3F" w:rsidRDefault="004B7DB2" w:rsidP="00A01856">
            <w:pPr>
              <w:pStyle w:val="TableNbiophoto"/>
              <w:rPr>
                <w:lang w:eastAsia="en-AU"/>
              </w:rPr>
            </w:pPr>
            <w:r>
              <w:rPr>
                <w:lang w:eastAsia="en-AU"/>
              </w:rPr>
              <w:t>+</w:t>
            </w:r>
            <w:r w:rsidR="00DC7230">
              <w:rPr>
                <w:lang w:eastAsia="en-AU"/>
              </w:rPr>
              <w:t>$1</w:t>
            </w:r>
            <w:r w:rsidR="00760254">
              <w:rPr>
                <w:lang w:eastAsia="en-AU"/>
              </w:rPr>
              <w:t>6</w:t>
            </w:r>
            <w:r w:rsidR="00DC7230">
              <w:rPr>
                <w:lang w:eastAsia="en-AU"/>
              </w:rPr>
              <w:t xml:space="preserve"> million to</w:t>
            </w:r>
            <w:r w:rsidR="00DC7230">
              <w:rPr>
                <w:lang w:eastAsia="en-AU"/>
              </w:rPr>
              <w:br/>
            </w:r>
            <w:r>
              <w:rPr>
                <w:lang w:eastAsia="en-AU"/>
              </w:rPr>
              <w:t>+</w:t>
            </w:r>
            <w:r w:rsidR="00DC7230">
              <w:rPr>
                <w:lang w:eastAsia="en-AU"/>
              </w:rPr>
              <w:t>$3</w:t>
            </w:r>
            <w:r w:rsidR="00760254">
              <w:rPr>
                <w:lang w:eastAsia="en-AU"/>
              </w:rPr>
              <w:t>8</w:t>
            </w:r>
            <w:r w:rsidR="00DC7230">
              <w:rPr>
                <w:lang w:eastAsia="en-AU"/>
              </w:rPr>
              <w:t xml:space="preserve"> million</w:t>
            </w:r>
          </w:p>
        </w:tc>
      </w:tr>
      <w:tr w:rsidR="00172A3F" w14:paraId="45AEF2F8" w14:textId="77777777" w:rsidTr="00A01856">
        <w:tc>
          <w:tcPr>
            <w:tcW w:w="851" w:type="dxa"/>
            <w:vMerge/>
          </w:tcPr>
          <w:p w14:paraId="2B0ECE05" w14:textId="77777777" w:rsidR="00172A3F" w:rsidRDefault="00172A3F" w:rsidP="00A01856">
            <w:pPr>
              <w:pStyle w:val="TableNbiophoto"/>
              <w:rPr>
                <w:lang w:eastAsia="en-AU"/>
              </w:rPr>
            </w:pPr>
          </w:p>
        </w:tc>
        <w:tc>
          <w:tcPr>
            <w:tcW w:w="2570" w:type="dxa"/>
          </w:tcPr>
          <w:p w14:paraId="35DC34D6" w14:textId="7C19A8B5" w:rsidR="00172A3F" w:rsidRPr="00770EB8" w:rsidRDefault="00172A3F" w:rsidP="00A01856">
            <w:pPr>
              <w:pStyle w:val="TableNbiophoto"/>
              <w:rPr>
                <w:rFonts w:asciiTheme="majorHAnsi" w:hAnsiTheme="majorHAnsi" w:cstheme="majorHAnsi"/>
                <w:lang w:eastAsia="en-AU"/>
              </w:rPr>
            </w:pPr>
            <w:r w:rsidRPr="00770EB8">
              <w:rPr>
                <w:rFonts w:asciiTheme="majorHAnsi" w:hAnsiTheme="majorHAnsi" w:cstheme="majorHAnsi"/>
                <w:lang w:eastAsia="en-AU"/>
              </w:rPr>
              <w:t>Five-year projected savings</w:t>
            </w:r>
            <w:r w:rsidRPr="00770EB8">
              <w:rPr>
                <w:rFonts w:asciiTheme="majorHAnsi" w:hAnsiTheme="majorHAnsi" w:cstheme="majorHAnsi"/>
                <w:lang w:eastAsia="en-AU"/>
              </w:rPr>
              <w:br/>
              <w:t>(July 2022 to June 2027)</w:t>
            </w:r>
          </w:p>
        </w:tc>
        <w:tc>
          <w:tcPr>
            <w:tcW w:w="1955" w:type="dxa"/>
            <w:gridSpan w:val="3"/>
          </w:tcPr>
          <w:p w14:paraId="5BE3D6AE" w14:textId="6ECF8F7D" w:rsidR="00172A3F" w:rsidRDefault="00E20C2B" w:rsidP="00A01856">
            <w:pPr>
              <w:pStyle w:val="TableNbiophoto"/>
              <w:rPr>
                <w:lang w:eastAsia="en-AU"/>
              </w:rPr>
            </w:pPr>
            <w:r>
              <w:rPr>
                <w:lang w:eastAsia="en-AU"/>
              </w:rPr>
              <w:t xml:space="preserve">$685 million </w:t>
            </w:r>
            <w:r w:rsidR="00D4270C">
              <w:rPr>
                <w:lang w:eastAsia="en-AU"/>
              </w:rPr>
              <w:t>to $844 million</w:t>
            </w:r>
          </w:p>
        </w:tc>
        <w:tc>
          <w:tcPr>
            <w:tcW w:w="1846" w:type="dxa"/>
            <w:gridSpan w:val="2"/>
          </w:tcPr>
          <w:p w14:paraId="69A0468A" w14:textId="51101E26" w:rsidR="00172A3F" w:rsidRDefault="00D4270C" w:rsidP="00A01856">
            <w:pPr>
              <w:pStyle w:val="TableNbiophoto"/>
              <w:rPr>
                <w:lang w:eastAsia="en-AU"/>
              </w:rPr>
            </w:pPr>
            <w:r>
              <w:rPr>
                <w:lang w:eastAsia="en-AU"/>
              </w:rPr>
              <w:t>$782 million to $873 million</w:t>
            </w:r>
          </w:p>
        </w:tc>
        <w:tc>
          <w:tcPr>
            <w:tcW w:w="1849" w:type="dxa"/>
          </w:tcPr>
          <w:p w14:paraId="4EAFB491" w14:textId="2CCAB8C4" w:rsidR="00172A3F" w:rsidRDefault="004B7DB2" w:rsidP="00A01856">
            <w:pPr>
              <w:pStyle w:val="TableNbiophoto"/>
              <w:rPr>
                <w:lang w:eastAsia="en-AU"/>
              </w:rPr>
            </w:pPr>
            <w:r>
              <w:rPr>
                <w:lang w:eastAsia="en-AU"/>
              </w:rPr>
              <w:t>+</w:t>
            </w:r>
            <w:r w:rsidR="00DC7230">
              <w:rPr>
                <w:lang w:eastAsia="en-AU"/>
              </w:rPr>
              <w:t>$2</w:t>
            </w:r>
            <w:r w:rsidR="00760254">
              <w:rPr>
                <w:lang w:eastAsia="en-AU"/>
              </w:rPr>
              <w:t>9</w:t>
            </w:r>
            <w:r w:rsidR="00DC7230">
              <w:rPr>
                <w:lang w:eastAsia="en-AU"/>
              </w:rPr>
              <w:t xml:space="preserve"> mil</w:t>
            </w:r>
            <w:r w:rsidR="007026D7">
              <w:rPr>
                <w:lang w:eastAsia="en-AU"/>
              </w:rPr>
              <w:t>lion to</w:t>
            </w:r>
            <w:r w:rsidR="007026D7">
              <w:rPr>
                <w:lang w:eastAsia="en-AU"/>
              </w:rPr>
              <w:br/>
            </w:r>
            <w:r>
              <w:rPr>
                <w:lang w:eastAsia="en-AU"/>
              </w:rPr>
              <w:t>+</w:t>
            </w:r>
            <w:r w:rsidR="007026D7">
              <w:rPr>
                <w:lang w:eastAsia="en-AU"/>
              </w:rPr>
              <w:t>$97 million</w:t>
            </w:r>
          </w:p>
        </w:tc>
      </w:tr>
    </w:tbl>
    <w:p w14:paraId="73540979" w14:textId="76F57FE8" w:rsidR="00C11811" w:rsidRDefault="00C11811" w:rsidP="00C11811">
      <w:pPr>
        <w:pStyle w:val="Heading5"/>
      </w:pPr>
      <w:r>
        <w:t>Validation of these estimates</w:t>
      </w:r>
    </w:p>
    <w:p w14:paraId="00332258" w14:textId="45077AEC" w:rsidR="00E97AF8" w:rsidRDefault="005F3FA5" w:rsidP="0BEAC013">
      <w:pPr>
        <w:rPr>
          <w:lang w:eastAsia="en-AU"/>
        </w:rPr>
      </w:pPr>
      <w:r>
        <w:rPr>
          <w:lang w:eastAsia="en-AU"/>
        </w:rPr>
        <w:t xml:space="preserve">The Nous evaluation team </w:t>
      </w:r>
      <w:r w:rsidR="001D15F2">
        <w:rPr>
          <w:lang w:eastAsia="en-AU"/>
        </w:rPr>
        <w:t xml:space="preserve">has relied on the work of IHACPA in calculating </w:t>
      </w:r>
      <w:r w:rsidR="00436B0D">
        <w:rPr>
          <w:lang w:eastAsia="en-AU"/>
        </w:rPr>
        <w:t xml:space="preserve">these </w:t>
      </w:r>
      <w:r w:rsidR="000E45BC">
        <w:rPr>
          <w:lang w:eastAsia="en-AU"/>
        </w:rPr>
        <w:t>estimates</w:t>
      </w:r>
      <w:r w:rsidR="00436B0D">
        <w:rPr>
          <w:lang w:eastAsia="en-AU"/>
        </w:rPr>
        <w:t xml:space="preserve"> based on advice provided by the Department.</w:t>
      </w:r>
      <w:r w:rsidR="00846236">
        <w:rPr>
          <w:lang w:eastAsia="en-AU"/>
        </w:rPr>
        <w:t xml:space="preserve"> </w:t>
      </w:r>
      <w:r w:rsidR="0017302E" w:rsidRPr="0BEAC013">
        <w:rPr>
          <w:lang w:eastAsia="en-AU"/>
        </w:rPr>
        <w:t>IHACPA</w:t>
      </w:r>
      <w:r w:rsidR="004D5EC7" w:rsidRPr="0BEAC013">
        <w:rPr>
          <w:lang w:eastAsia="en-AU"/>
        </w:rPr>
        <w:t xml:space="preserve"> notes </w:t>
      </w:r>
      <w:r w:rsidR="00410C1A" w:rsidRPr="0BEAC013">
        <w:rPr>
          <w:lang w:eastAsia="en-AU"/>
        </w:rPr>
        <w:t>that</w:t>
      </w:r>
      <w:r w:rsidR="003F7201" w:rsidRPr="0BEAC013">
        <w:rPr>
          <w:lang w:eastAsia="en-AU"/>
        </w:rPr>
        <w:t xml:space="preserve">, “The </w:t>
      </w:r>
      <w:r w:rsidR="00083B1B" w:rsidRPr="0BEAC013">
        <w:rPr>
          <w:lang w:eastAsia="en-AU"/>
        </w:rPr>
        <w:t>future PL schedule</w:t>
      </w:r>
      <w:r w:rsidR="00423E28" w:rsidRPr="0BEAC013">
        <w:rPr>
          <w:lang w:eastAsia="en-AU"/>
        </w:rPr>
        <w:t xml:space="preserve">d benefits used in the calculations </w:t>
      </w:r>
      <w:r w:rsidR="00902BCC" w:rsidRPr="0BEAC013">
        <w:rPr>
          <w:lang w:eastAsia="en-AU"/>
        </w:rPr>
        <w:t>are based on advice from the Department</w:t>
      </w:r>
      <w:r w:rsidR="0041570E" w:rsidRPr="0BEAC013">
        <w:rPr>
          <w:lang w:eastAsia="en-AU"/>
        </w:rPr>
        <w:t xml:space="preserve">, and are consistent with </w:t>
      </w:r>
      <w:r w:rsidR="00EF7900" w:rsidRPr="0BEAC013">
        <w:rPr>
          <w:lang w:eastAsia="en-AU"/>
        </w:rPr>
        <w:t>the policy parameters of the MoU</w:t>
      </w:r>
      <w:r w:rsidR="001062EC" w:rsidRPr="0BEAC013">
        <w:rPr>
          <w:lang w:eastAsia="en-AU"/>
        </w:rPr>
        <w:t>”.</w:t>
      </w:r>
      <w:r w:rsidR="001062EC" w:rsidRPr="0BEAC013">
        <w:rPr>
          <w:rStyle w:val="FootnoteReference"/>
          <w:lang w:eastAsia="en-AU"/>
        </w:rPr>
        <w:footnoteReference w:id="132"/>
      </w:r>
      <w:r w:rsidR="00821CB1">
        <w:rPr>
          <w:lang w:eastAsia="en-AU"/>
        </w:rPr>
        <w:t xml:space="preserve"> The evaluation team has</w:t>
      </w:r>
      <w:r w:rsidR="00E97AF8">
        <w:rPr>
          <w:lang w:eastAsia="en-AU"/>
        </w:rPr>
        <w:t xml:space="preserve"> not been able to independently validate these estimates </w:t>
      </w:r>
      <w:r w:rsidR="00F91AC6">
        <w:rPr>
          <w:lang w:eastAsia="en-AU"/>
        </w:rPr>
        <w:t xml:space="preserve">through analysis </w:t>
      </w:r>
      <w:r w:rsidR="00612F65">
        <w:rPr>
          <w:lang w:eastAsia="en-AU"/>
        </w:rPr>
        <w:t xml:space="preserve">of the same data sources following </w:t>
      </w:r>
      <w:r w:rsidR="009B35E5">
        <w:rPr>
          <w:lang w:eastAsia="en-AU"/>
        </w:rPr>
        <w:t xml:space="preserve">only </w:t>
      </w:r>
      <w:r w:rsidR="00612F65">
        <w:rPr>
          <w:lang w:eastAsia="en-AU"/>
        </w:rPr>
        <w:t xml:space="preserve">the policy </w:t>
      </w:r>
      <w:r w:rsidR="00AE54E7">
        <w:rPr>
          <w:lang w:eastAsia="en-AU"/>
        </w:rPr>
        <w:t>parameters of the MoU</w:t>
      </w:r>
      <w:r w:rsidR="009B35E5">
        <w:rPr>
          <w:lang w:eastAsia="en-AU"/>
        </w:rPr>
        <w:t xml:space="preserve">, </w:t>
      </w:r>
      <w:r w:rsidR="002D42F5">
        <w:rPr>
          <w:lang w:eastAsia="en-AU"/>
        </w:rPr>
        <w:t xml:space="preserve">as we </w:t>
      </w:r>
      <w:r w:rsidR="00986233">
        <w:rPr>
          <w:lang w:eastAsia="en-AU"/>
        </w:rPr>
        <w:t xml:space="preserve">have not been given access to the same </w:t>
      </w:r>
      <w:r w:rsidR="005A247B">
        <w:rPr>
          <w:lang w:eastAsia="en-AU"/>
        </w:rPr>
        <w:t xml:space="preserve">advice and </w:t>
      </w:r>
      <w:r w:rsidR="00563269">
        <w:rPr>
          <w:lang w:eastAsia="en-AU"/>
        </w:rPr>
        <w:t xml:space="preserve">adjustments </w:t>
      </w:r>
      <w:r w:rsidR="00041B88">
        <w:rPr>
          <w:lang w:eastAsia="en-AU"/>
        </w:rPr>
        <w:t xml:space="preserve">provided </w:t>
      </w:r>
      <w:r w:rsidR="00821CB1">
        <w:rPr>
          <w:lang w:eastAsia="en-AU"/>
        </w:rPr>
        <w:t>to IHACPA.</w:t>
      </w:r>
    </w:p>
    <w:p w14:paraId="12085B8A" w14:textId="08692DDB" w:rsidR="00E638D9" w:rsidRPr="001062EC" w:rsidRDefault="00D52182" w:rsidP="008B1746">
      <w:pPr>
        <w:rPr>
          <w:lang w:val="en-AU" w:eastAsia="en-AU"/>
        </w:rPr>
      </w:pPr>
      <w:r>
        <w:rPr>
          <w:lang w:val="en-AU" w:eastAsia="en-AU"/>
        </w:rPr>
        <w:t xml:space="preserve">The 12 December 2023 estimates include </w:t>
      </w:r>
      <w:r w:rsidR="00A27E17">
        <w:rPr>
          <w:lang w:val="en-AU" w:eastAsia="en-AU"/>
        </w:rPr>
        <w:t xml:space="preserve">projected </w:t>
      </w:r>
      <w:r>
        <w:rPr>
          <w:lang w:val="en-AU" w:eastAsia="en-AU"/>
        </w:rPr>
        <w:t>savings from</w:t>
      </w:r>
      <w:r w:rsidR="006900A2">
        <w:rPr>
          <w:lang w:val="en-AU" w:eastAsia="en-AU"/>
        </w:rPr>
        <w:t xml:space="preserve"> </w:t>
      </w:r>
      <w:r w:rsidR="00A27E17">
        <w:rPr>
          <w:lang w:val="en-AU" w:eastAsia="en-AU"/>
        </w:rPr>
        <w:t xml:space="preserve">reducing the </w:t>
      </w:r>
      <w:r w:rsidR="006900A2">
        <w:rPr>
          <w:lang w:val="en-AU" w:eastAsia="en-AU"/>
        </w:rPr>
        <w:t>technical support services component o</w:t>
      </w:r>
      <w:r w:rsidR="00323166">
        <w:rPr>
          <w:lang w:val="en-AU" w:eastAsia="en-AU"/>
        </w:rPr>
        <w:t xml:space="preserve">f CIED </w:t>
      </w:r>
      <w:r w:rsidR="00751438">
        <w:rPr>
          <w:lang w:val="en-AU" w:eastAsia="en-AU"/>
        </w:rPr>
        <w:t>benefits</w:t>
      </w:r>
      <w:r w:rsidR="00BE2D24">
        <w:rPr>
          <w:lang w:val="en-AU" w:eastAsia="en-AU"/>
        </w:rPr>
        <w:t xml:space="preserve">, including </w:t>
      </w:r>
      <w:r w:rsidR="00B76E54">
        <w:rPr>
          <w:lang w:val="en-AU" w:eastAsia="en-AU"/>
        </w:rPr>
        <w:t>a projected</w:t>
      </w:r>
      <w:r w:rsidR="00BE2D24">
        <w:rPr>
          <w:lang w:val="en-AU" w:eastAsia="en-AU"/>
        </w:rPr>
        <w:t xml:space="preserve"> reduction </w:t>
      </w:r>
      <w:r w:rsidR="00B76E54">
        <w:rPr>
          <w:lang w:val="en-AU" w:eastAsia="en-AU"/>
        </w:rPr>
        <w:t>on 1 July 2024, which did not occur</w:t>
      </w:r>
      <w:r w:rsidR="00B44045">
        <w:rPr>
          <w:lang w:val="en-AU" w:eastAsia="en-AU"/>
        </w:rPr>
        <w:t xml:space="preserve">. The reforms’ approach to </w:t>
      </w:r>
      <w:r w:rsidR="00801651">
        <w:rPr>
          <w:lang w:val="en-AU" w:eastAsia="en-AU"/>
        </w:rPr>
        <w:t>re</w:t>
      </w:r>
      <w:r w:rsidR="00243066">
        <w:rPr>
          <w:lang w:val="en-AU" w:eastAsia="en-AU"/>
        </w:rPr>
        <w:t>ducing</w:t>
      </w:r>
      <w:r w:rsidR="008F6891">
        <w:rPr>
          <w:lang w:val="en-AU" w:eastAsia="en-AU"/>
        </w:rPr>
        <w:t xml:space="preserve"> the </w:t>
      </w:r>
      <w:r w:rsidR="001B4117">
        <w:rPr>
          <w:lang w:val="en-AU" w:eastAsia="en-AU"/>
        </w:rPr>
        <w:t xml:space="preserve">technical </w:t>
      </w:r>
      <w:r w:rsidR="00102468">
        <w:rPr>
          <w:lang w:val="en-AU" w:eastAsia="en-AU"/>
        </w:rPr>
        <w:t xml:space="preserve">support </w:t>
      </w:r>
      <w:r w:rsidR="001B4117">
        <w:rPr>
          <w:lang w:val="en-AU" w:eastAsia="en-AU"/>
        </w:rPr>
        <w:t>servic</w:t>
      </w:r>
      <w:r w:rsidR="00F40F7D">
        <w:rPr>
          <w:lang w:val="en-AU" w:eastAsia="en-AU"/>
        </w:rPr>
        <w:t>e</w:t>
      </w:r>
      <w:r w:rsidR="009E6322">
        <w:rPr>
          <w:lang w:val="en-AU" w:eastAsia="en-AU"/>
        </w:rPr>
        <w:t>s</w:t>
      </w:r>
      <w:r w:rsidR="0001328C">
        <w:rPr>
          <w:lang w:val="en-AU" w:eastAsia="en-AU"/>
        </w:rPr>
        <w:t xml:space="preserve"> component</w:t>
      </w:r>
      <w:r w:rsidR="009E6322">
        <w:rPr>
          <w:lang w:val="en-AU" w:eastAsia="en-AU"/>
        </w:rPr>
        <w:t xml:space="preserve"> </w:t>
      </w:r>
      <w:r w:rsidR="0040344E">
        <w:rPr>
          <w:lang w:val="en-AU" w:eastAsia="en-AU"/>
        </w:rPr>
        <w:t>of C</w:t>
      </w:r>
      <w:r w:rsidR="00B44045">
        <w:rPr>
          <w:lang w:val="en-AU" w:eastAsia="en-AU"/>
        </w:rPr>
        <w:t>IED benefit</w:t>
      </w:r>
      <w:r w:rsidR="0040344E">
        <w:rPr>
          <w:lang w:val="en-AU" w:eastAsia="en-AU"/>
        </w:rPr>
        <w:t>s</w:t>
      </w:r>
      <w:r w:rsidR="00FB6149">
        <w:rPr>
          <w:lang w:val="en-AU" w:eastAsia="en-AU"/>
        </w:rPr>
        <w:t xml:space="preserve"> </w:t>
      </w:r>
      <w:r w:rsidR="00507FAD">
        <w:rPr>
          <w:lang w:val="en-AU" w:eastAsia="en-AU"/>
        </w:rPr>
        <w:t>has not</w:t>
      </w:r>
      <w:r w:rsidR="004F49A9">
        <w:rPr>
          <w:lang w:val="en-AU" w:eastAsia="en-AU"/>
        </w:rPr>
        <w:t xml:space="preserve"> been</w:t>
      </w:r>
      <w:r w:rsidR="00507FAD">
        <w:rPr>
          <w:lang w:val="en-AU" w:eastAsia="en-AU"/>
        </w:rPr>
        <w:t xml:space="preserve"> announced</w:t>
      </w:r>
      <w:r w:rsidR="00917A3A">
        <w:rPr>
          <w:lang w:val="en-AU" w:eastAsia="en-AU"/>
        </w:rPr>
        <w:t xml:space="preserve"> </w:t>
      </w:r>
      <w:r w:rsidR="002640E5">
        <w:rPr>
          <w:lang w:val="en-AU" w:eastAsia="en-AU"/>
        </w:rPr>
        <w:t>at the time of this</w:t>
      </w:r>
      <w:r w:rsidR="006C0635">
        <w:rPr>
          <w:lang w:val="en-AU" w:eastAsia="en-AU"/>
        </w:rPr>
        <w:t xml:space="preserve"> evaluation</w:t>
      </w:r>
      <w:r w:rsidR="002640E5">
        <w:rPr>
          <w:lang w:val="en-AU" w:eastAsia="en-AU"/>
        </w:rPr>
        <w:t xml:space="preserve"> report.</w:t>
      </w:r>
      <w:r w:rsidR="002F0700">
        <w:rPr>
          <w:lang w:val="en-AU" w:eastAsia="en-AU"/>
        </w:rPr>
        <w:t xml:space="preserve"> </w:t>
      </w:r>
      <w:r w:rsidR="004F3DDB">
        <w:rPr>
          <w:lang w:val="en-AU" w:eastAsia="en-AU"/>
        </w:rPr>
        <w:t>T</w:t>
      </w:r>
      <w:r w:rsidR="00512739">
        <w:rPr>
          <w:lang w:val="en-AU" w:eastAsia="en-AU"/>
        </w:rPr>
        <w:t>he parameters of</w:t>
      </w:r>
      <w:r w:rsidR="002F0700">
        <w:rPr>
          <w:lang w:val="en-AU" w:eastAsia="en-AU"/>
        </w:rPr>
        <w:t xml:space="preserve"> these</w:t>
      </w:r>
      <w:r w:rsidR="00512739">
        <w:rPr>
          <w:lang w:val="en-AU" w:eastAsia="en-AU"/>
        </w:rPr>
        <w:t xml:space="preserve"> future </w:t>
      </w:r>
      <w:r w:rsidR="004F3DDB">
        <w:rPr>
          <w:lang w:val="en-AU" w:eastAsia="en-AU"/>
        </w:rPr>
        <w:t>CIED</w:t>
      </w:r>
      <w:r w:rsidR="00512739">
        <w:rPr>
          <w:lang w:val="en-AU" w:eastAsia="en-AU"/>
        </w:rPr>
        <w:t xml:space="preserve"> reductions </w:t>
      </w:r>
      <w:r w:rsidR="00651A4B">
        <w:rPr>
          <w:lang w:val="en-AU" w:eastAsia="en-AU"/>
        </w:rPr>
        <w:t xml:space="preserve">included in the estimates </w:t>
      </w:r>
      <w:r w:rsidR="00512739">
        <w:rPr>
          <w:lang w:val="en-AU" w:eastAsia="en-AU"/>
        </w:rPr>
        <w:t xml:space="preserve">are redacted in the </w:t>
      </w:r>
      <w:r w:rsidR="00184958">
        <w:rPr>
          <w:lang w:val="en-AU" w:eastAsia="en-AU"/>
        </w:rPr>
        <w:t>document provided to the evaluation team.</w:t>
      </w:r>
      <w:r w:rsidR="00A13A78">
        <w:rPr>
          <w:lang w:val="en-AU" w:eastAsia="en-AU"/>
        </w:rPr>
        <w:t xml:space="preserve"> Note that </w:t>
      </w:r>
      <w:r w:rsidR="00BD3DD5">
        <w:rPr>
          <w:lang w:val="en-AU" w:eastAsia="en-AU"/>
        </w:rPr>
        <w:t xml:space="preserve">CIED reductions account for 24-25% of the </w:t>
      </w:r>
      <w:r w:rsidR="001471BF">
        <w:rPr>
          <w:lang w:val="en-AU" w:eastAsia="en-AU"/>
        </w:rPr>
        <w:t>five-year projected savings from the reforms</w:t>
      </w:r>
      <w:r w:rsidR="00BD11D4">
        <w:rPr>
          <w:lang w:val="en-AU" w:eastAsia="en-AU"/>
        </w:rPr>
        <w:t xml:space="preserve"> in these estimates</w:t>
      </w:r>
      <w:r w:rsidR="001471BF">
        <w:rPr>
          <w:lang w:val="en-AU" w:eastAsia="en-AU"/>
        </w:rPr>
        <w:t>.</w:t>
      </w:r>
      <w:r w:rsidR="00767ECE">
        <w:rPr>
          <w:rStyle w:val="FootnoteReference"/>
          <w:lang w:val="en-AU" w:eastAsia="en-AU"/>
        </w:rPr>
        <w:footnoteReference w:id="133"/>
      </w:r>
    </w:p>
    <w:p w14:paraId="1C3769CB" w14:textId="6D1501CC" w:rsidR="002139E7" w:rsidRDefault="006E465D" w:rsidP="006E465D">
      <w:pPr>
        <w:pStyle w:val="Heading4"/>
      </w:pPr>
      <w:r w:rsidRPr="006E465D">
        <w:rPr>
          <w:color w:val="F25E21" w:themeColor="accent2"/>
        </w:rPr>
        <w:t xml:space="preserve">Measure 2.3: </w:t>
      </w:r>
      <w:r w:rsidRPr="006E465D">
        <w:t>Gap between PL benefits and prices on the Liste des Produits et Prestations (LPP) and Pharmac Hospital Medical Devices Schedule</w:t>
      </w:r>
    </w:p>
    <w:p w14:paraId="233BA65D" w14:textId="1E395CF4" w:rsidR="00D668F9" w:rsidRPr="00D668F9" w:rsidRDefault="00D668F9" w:rsidP="00D668F9">
      <w:pPr>
        <w:rPr>
          <w:lang w:val="en-AU" w:eastAsia="en-AU"/>
        </w:rPr>
      </w:pPr>
      <w:r>
        <w:rPr>
          <w:lang w:val="en-AU" w:eastAsia="en-AU"/>
        </w:rPr>
        <w:t xml:space="preserve">This measure contributes </w:t>
      </w:r>
      <w:r w:rsidR="008541DE">
        <w:rPr>
          <w:lang w:val="en-AU" w:eastAsia="en-AU"/>
        </w:rPr>
        <w:t xml:space="preserve">to an understanding of the extent to which the reforms </w:t>
      </w:r>
      <w:r w:rsidR="00AD2C4D">
        <w:rPr>
          <w:lang w:val="en-AU" w:eastAsia="en-AU"/>
        </w:rPr>
        <w:t xml:space="preserve">are achieving </w:t>
      </w:r>
      <w:r w:rsidR="00007EB5">
        <w:t>objective</w:t>
      </w:r>
      <w:r>
        <w:t xml:space="preserve"> </w:t>
      </w:r>
      <w:r w:rsidR="00AD2C4D">
        <w:t xml:space="preserve">1, </w:t>
      </w:r>
      <w:r>
        <w:t>to “Improve the alignment of the scheduled benefits of the PL with the</w:t>
      </w:r>
      <w:r w:rsidRPr="004942D4">
        <w:t xml:space="preserve"> prices paid</w:t>
      </w:r>
      <w:r w:rsidRPr="00C13D2A">
        <w:rPr>
          <w:i/>
          <w:iCs/>
        </w:rPr>
        <w:t xml:space="preserve"> in more</w:t>
      </w:r>
      <w:r w:rsidRPr="00C13D2A">
        <w:rPr>
          <w:i/>
        </w:rPr>
        <w:t xml:space="preserve"> competitive markets</w:t>
      </w:r>
      <w:r>
        <w:t>”.</w:t>
      </w:r>
    </w:p>
    <w:p w14:paraId="1B3A3BFE" w14:textId="010C647F" w:rsidR="001375C5" w:rsidRDefault="001375C5" w:rsidP="001375C5">
      <w:pPr>
        <w:pStyle w:val="Heading5"/>
      </w:pPr>
      <w:r>
        <w:t>Methodology</w:t>
      </w:r>
    </w:p>
    <w:p w14:paraId="529FD2F7" w14:textId="7E6E0B93" w:rsidR="000B673E" w:rsidRDefault="00990DE2" w:rsidP="00141EA9">
      <w:r>
        <w:t>T</w:t>
      </w:r>
      <w:r w:rsidR="007255E8">
        <w:t xml:space="preserve">he evaluation team </w:t>
      </w:r>
      <w:r w:rsidR="00566027">
        <w:t>has chosen three PL benefit groups as case studies to compare</w:t>
      </w:r>
      <w:r w:rsidR="001E4E8B">
        <w:t xml:space="preserve"> with</w:t>
      </w:r>
      <w:r w:rsidR="001A74FF">
        <w:t xml:space="preserve"> the same products</w:t>
      </w:r>
      <w:r w:rsidR="001E4E8B" w:rsidRPr="005627CB">
        <w:t xml:space="preserve"> on the Liste des Produits et Prestations (LPP)</w:t>
      </w:r>
      <w:r w:rsidR="001E4E8B" w:rsidRPr="005627CB">
        <w:rPr>
          <w:rStyle w:val="FootnoteReference"/>
        </w:rPr>
        <w:footnoteReference w:id="134"/>
      </w:r>
      <w:r w:rsidR="001E4E8B" w:rsidRPr="005627CB">
        <w:t xml:space="preserve"> and the Pharmac Hospital Medical Devices Schedule (Pharmac)</w:t>
      </w:r>
      <w:r w:rsidR="001A74FF">
        <w:t>.</w:t>
      </w:r>
      <w:r w:rsidR="001E4E8B" w:rsidRPr="005627CB">
        <w:rPr>
          <w:rStyle w:val="FootnoteReference"/>
        </w:rPr>
        <w:footnoteReference w:id="135"/>
      </w:r>
      <w:r w:rsidR="00790608">
        <w:t xml:space="preserve"> </w:t>
      </w:r>
      <w:r w:rsidR="00790608" w:rsidRPr="005627CB">
        <w:t xml:space="preserve">Given limitations in accessing and comparing products across </w:t>
      </w:r>
      <w:r w:rsidR="00790608">
        <w:t>international markets</w:t>
      </w:r>
      <w:r w:rsidR="00790608" w:rsidRPr="005627CB">
        <w:t xml:space="preserve">, </w:t>
      </w:r>
      <w:r w:rsidR="00790608">
        <w:t xml:space="preserve">a case study approach allows </w:t>
      </w:r>
      <w:r w:rsidR="00943402">
        <w:t xml:space="preserve">us </w:t>
      </w:r>
      <w:r w:rsidR="00790608">
        <w:t>to isolate the scenarios in which we</w:t>
      </w:r>
      <w:r w:rsidR="00790608" w:rsidRPr="005627CB">
        <w:t xml:space="preserve"> can </w:t>
      </w:r>
      <w:r w:rsidR="00790608">
        <w:t xml:space="preserve">reasonably </w:t>
      </w:r>
      <w:r w:rsidR="00790608" w:rsidRPr="005627CB">
        <w:t>ensure a direct comparison.</w:t>
      </w:r>
      <w:r w:rsidR="006263D8">
        <w:t xml:space="preserve"> </w:t>
      </w:r>
      <w:r w:rsidR="003E3EAA">
        <w:t xml:space="preserve">The </w:t>
      </w:r>
      <w:r w:rsidR="00941E14">
        <w:t>case studies were selected based on four criteria:</w:t>
      </w:r>
    </w:p>
    <w:p w14:paraId="2BDCC325" w14:textId="62983725" w:rsidR="00941E14" w:rsidRDefault="00941E14" w:rsidP="00C80178">
      <w:pPr>
        <w:pStyle w:val="Listnumbered"/>
        <w:numPr>
          <w:ilvl w:val="0"/>
          <w:numId w:val="33"/>
        </w:numPr>
      </w:pPr>
      <w:r w:rsidRPr="001C72BF">
        <w:rPr>
          <w:rFonts w:asciiTheme="majorHAnsi" w:hAnsiTheme="majorHAnsi" w:cstheme="majorHAnsi"/>
        </w:rPr>
        <w:t>Data availability</w:t>
      </w:r>
      <w:r>
        <w:t xml:space="preserve"> – </w:t>
      </w:r>
      <w:r w:rsidR="00F334B6">
        <w:t>a</w:t>
      </w:r>
      <w:r w:rsidR="0059447C">
        <w:t>t least three products within the PL benefit</w:t>
      </w:r>
      <w:r w:rsidR="0097642B">
        <w:t xml:space="preserve"> group</w:t>
      </w:r>
      <w:r w:rsidR="0059447C">
        <w:t xml:space="preserve"> can be found in the LPP and Pharmac schedule</w:t>
      </w:r>
    </w:p>
    <w:p w14:paraId="27348E74" w14:textId="55F784B3" w:rsidR="00345DA3" w:rsidRDefault="00345DA3" w:rsidP="00C80178">
      <w:pPr>
        <w:pStyle w:val="Listnumbered"/>
        <w:numPr>
          <w:ilvl w:val="0"/>
          <w:numId w:val="33"/>
        </w:numPr>
      </w:pPr>
      <w:r w:rsidRPr="001C72BF">
        <w:rPr>
          <w:rFonts w:asciiTheme="majorHAnsi" w:hAnsiTheme="majorHAnsi" w:cstheme="majorHAnsi"/>
        </w:rPr>
        <w:t>Matching certainty</w:t>
      </w:r>
      <w:r>
        <w:t xml:space="preserve"> – evidence that products are a </w:t>
      </w:r>
      <w:r w:rsidR="009130C0">
        <w:t xml:space="preserve">true comparison </w:t>
      </w:r>
      <w:r w:rsidR="005328EB">
        <w:t>by cross-referencing sponsor product information, model numbers, s</w:t>
      </w:r>
      <w:r w:rsidR="003126EC">
        <w:t>izes and other details (</w:t>
      </w:r>
      <w:r w:rsidR="005246B9">
        <w:t xml:space="preserve">noting that there is no unique identifier </w:t>
      </w:r>
      <w:r w:rsidR="008652DB">
        <w:t>that is common to the lists)</w:t>
      </w:r>
    </w:p>
    <w:p w14:paraId="16823873" w14:textId="15AA6038" w:rsidR="008652DB" w:rsidRDefault="008652DB" w:rsidP="00C80178">
      <w:pPr>
        <w:pStyle w:val="Listnumbered"/>
        <w:numPr>
          <w:ilvl w:val="0"/>
          <w:numId w:val="33"/>
        </w:numPr>
      </w:pPr>
      <w:r w:rsidRPr="001C72BF">
        <w:rPr>
          <w:rFonts w:asciiTheme="majorHAnsi" w:hAnsiTheme="majorHAnsi" w:cstheme="majorHAnsi"/>
        </w:rPr>
        <w:t>Volume</w:t>
      </w:r>
      <w:r>
        <w:t xml:space="preserve"> – avoiding low-volume benefit groups that could </w:t>
      </w:r>
      <w:r w:rsidR="00B26245">
        <w:t>be price/benefit outliers</w:t>
      </w:r>
    </w:p>
    <w:p w14:paraId="4A7AD52F" w14:textId="0ADE7C3B" w:rsidR="00D32F70" w:rsidRDefault="00D32F70" w:rsidP="00C80178">
      <w:pPr>
        <w:pStyle w:val="Listnumbered"/>
        <w:numPr>
          <w:ilvl w:val="0"/>
          <w:numId w:val="33"/>
        </w:numPr>
      </w:pPr>
      <w:r w:rsidRPr="001C72BF">
        <w:rPr>
          <w:rFonts w:asciiTheme="majorHAnsi" w:hAnsiTheme="majorHAnsi" w:cstheme="majorHAnsi"/>
        </w:rPr>
        <w:lastRenderedPageBreak/>
        <w:t>Pricing history</w:t>
      </w:r>
      <w:r>
        <w:t xml:space="preserve"> </w:t>
      </w:r>
      <w:r w:rsidR="007D36D4">
        <w:t>–</w:t>
      </w:r>
      <w:r>
        <w:t xml:space="preserve"> </w:t>
      </w:r>
      <w:r w:rsidR="007D36D4">
        <w:t>product</w:t>
      </w:r>
      <w:r w:rsidR="00255EB2">
        <w:t xml:space="preserve">s with </w:t>
      </w:r>
      <w:r w:rsidR="00E36D8E">
        <w:t>multiple years of pricing history to provide meaningful comparisons.</w:t>
      </w:r>
    </w:p>
    <w:p w14:paraId="0A526151" w14:textId="77777777" w:rsidR="006263D8" w:rsidRDefault="006263D8" w:rsidP="006263D8">
      <w:r>
        <w:t>The three case studies comparing the PL to the French and New Zealand markets are:</w:t>
      </w:r>
    </w:p>
    <w:p w14:paraId="156C05AB" w14:textId="77777777" w:rsidR="006263D8" w:rsidRDefault="006263D8" w:rsidP="006263D8">
      <w:pPr>
        <w:pStyle w:val="Bullet"/>
      </w:pPr>
      <w:r w:rsidRPr="001C72BF">
        <w:rPr>
          <w:rFonts w:asciiTheme="majorHAnsi" w:hAnsiTheme="majorHAnsi" w:cstheme="majorHAnsi"/>
        </w:rPr>
        <w:t>Case study 1</w:t>
      </w:r>
      <w:r>
        <w:t xml:space="preserve"> – </w:t>
      </w:r>
      <w:r w:rsidRPr="000C10D7">
        <w:t>A sample of four products from the 12.08.01 PL category (knee implant – patellar component, cemented, all polyethylene) found on the LPP and Pharmac lists</w:t>
      </w:r>
      <w:r>
        <w:t>.</w:t>
      </w:r>
    </w:p>
    <w:p w14:paraId="6C222F29" w14:textId="77777777" w:rsidR="006263D8" w:rsidRDefault="006263D8" w:rsidP="006263D8">
      <w:pPr>
        <w:pStyle w:val="Bullet"/>
      </w:pPr>
      <w:r w:rsidRPr="001C72BF">
        <w:rPr>
          <w:rFonts w:asciiTheme="majorHAnsi" w:hAnsiTheme="majorHAnsi" w:cstheme="majorHAnsi"/>
        </w:rPr>
        <w:t>Case study 2</w:t>
      </w:r>
      <w:r>
        <w:t xml:space="preserve"> – </w:t>
      </w:r>
      <w:r w:rsidRPr="00EC6F43">
        <w:t>A sample of six products from the 12.08.01 PL category (hip joint implant – femoral head, conventional, &gt;32mm, ceramic) found on the LPP and Pharmac lists.</w:t>
      </w:r>
    </w:p>
    <w:p w14:paraId="2F91E030" w14:textId="62DD1907" w:rsidR="006263D8" w:rsidRDefault="006263D8" w:rsidP="006263D8">
      <w:pPr>
        <w:pStyle w:val="Bullet"/>
      </w:pPr>
      <w:r w:rsidRPr="001C72BF">
        <w:rPr>
          <w:rFonts w:asciiTheme="majorHAnsi" w:hAnsiTheme="majorHAnsi" w:cstheme="majorHAnsi"/>
        </w:rPr>
        <w:t>Case study 3</w:t>
      </w:r>
      <w:r>
        <w:t xml:space="preserve"> – </w:t>
      </w:r>
      <w:r w:rsidRPr="00CD4FCA">
        <w:t xml:space="preserve">A sample of four products from the 13.10.01.02 PL category (spinal fusion cage – interbody, integral fixation, </w:t>
      </w:r>
      <w:r w:rsidR="006B06DC">
        <w:t>t</w:t>
      </w:r>
      <w:r w:rsidR="00EA4BF1" w:rsidRPr="00CD4FCA">
        <w:t>horacolumbar</w:t>
      </w:r>
      <w:r w:rsidRPr="00CD4FCA">
        <w:t>) found on the LPP and Pharmac lists.</w:t>
      </w:r>
    </w:p>
    <w:p w14:paraId="3F4C7399" w14:textId="02490BD2" w:rsidR="001375C5" w:rsidRPr="000F353A" w:rsidRDefault="00D635B8" w:rsidP="001375C5">
      <w:r>
        <w:t>Nous</w:t>
      </w:r>
      <w:r w:rsidR="006365E6">
        <w:t xml:space="preserve"> selected these case studies </w:t>
      </w:r>
      <w:r w:rsidR="00F8667C">
        <w:t>a</w:t>
      </w:r>
      <w:r w:rsidR="00C07CE9">
        <w:t>t</w:t>
      </w:r>
      <w:r w:rsidR="003F5616">
        <w:t xml:space="preserve"> baseline</w:t>
      </w:r>
      <w:r w:rsidR="00FB5D89">
        <w:t xml:space="preserve"> before </w:t>
      </w:r>
      <w:r w:rsidR="00BF49A2">
        <w:t xml:space="preserve">observing </w:t>
      </w:r>
      <w:r w:rsidR="00051841">
        <w:t>any difference in</w:t>
      </w:r>
      <w:r w:rsidR="005E59FA">
        <w:t xml:space="preserve"> price</w:t>
      </w:r>
      <w:r w:rsidR="004460F4">
        <w:t xml:space="preserve"> and without </w:t>
      </w:r>
      <w:r w:rsidR="007A78EB">
        <w:t>determining how they would be affected by the reforms</w:t>
      </w:r>
      <w:r w:rsidR="005E59FA">
        <w:t>.</w:t>
      </w:r>
      <w:r w:rsidR="00567DCA">
        <w:t xml:space="preserve"> </w:t>
      </w:r>
      <w:r w:rsidR="00405873">
        <w:t>The evaluation team does</w:t>
      </w:r>
      <w:r w:rsidR="006F5F91">
        <w:t xml:space="preserve"> not claim the three </w:t>
      </w:r>
      <w:r w:rsidR="00106036">
        <w:t>benefit groups selected as international comparison case studies are representative of the overall or average gap between the selected markets.</w:t>
      </w:r>
    </w:p>
    <w:p w14:paraId="6A40D0FF" w14:textId="66804C5E" w:rsidR="001375C5" w:rsidRPr="00BE4509" w:rsidRDefault="001375C5" w:rsidP="008C73E2">
      <w:pPr>
        <w:pStyle w:val="Heading5"/>
      </w:pPr>
      <w:r>
        <w:t>Analysis</w:t>
      </w:r>
    </w:p>
    <w:p w14:paraId="247505EB" w14:textId="5C535F60" w:rsidR="008C73E2" w:rsidRPr="00A67537" w:rsidRDefault="007112A9" w:rsidP="008C73E2">
      <w:pPr>
        <w:rPr>
          <w:lang w:val="en-AU" w:eastAsia="en-AU"/>
        </w:rPr>
      </w:pPr>
      <w:r>
        <w:rPr>
          <w:lang w:val="en-AU" w:eastAsia="en-AU"/>
        </w:rPr>
        <w:t xml:space="preserve">Case study 1 in </w:t>
      </w:r>
      <w:r w:rsidR="008C73E2">
        <w:rPr>
          <w:lang w:val="en-AU" w:eastAsia="en-AU"/>
        </w:rPr>
        <w:fldChar w:fldCharType="begin"/>
      </w:r>
      <w:r w:rsidR="008C73E2">
        <w:rPr>
          <w:lang w:val="en-AU" w:eastAsia="en-AU"/>
        </w:rPr>
        <w:instrText xml:space="preserve"> REF _Ref168585866 \h </w:instrText>
      </w:r>
      <w:r w:rsidR="008C73E2">
        <w:rPr>
          <w:lang w:val="en-AU" w:eastAsia="en-AU"/>
        </w:rPr>
      </w:r>
      <w:r w:rsidR="008C73E2">
        <w:rPr>
          <w:lang w:val="en-AU" w:eastAsia="en-AU"/>
        </w:rPr>
        <w:fldChar w:fldCharType="separate"/>
      </w:r>
      <w:r w:rsidR="009B5D8D">
        <w:t xml:space="preserve">Figure </w:t>
      </w:r>
      <w:r w:rsidR="009B5D8D">
        <w:rPr>
          <w:noProof/>
        </w:rPr>
        <w:t>30</w:t>
      </w:r>
      <w:r w:rsidR="008C73E2">
        <w:rPr>
          <w:lang w:val="en-AU" w:eastAsia="en-AU"/>
        </w:rPr>
        <w:fldChar w:fldCharType="end"/>
      </w:r>
      <w:r w:rsidR="008C73E2">
        <w:rPr>
          <w:lang w:val="en-AU" w:eastAsia="en-AU"/>
        </w:rPr>
        <w:t xml:space="preserve"> shows the benefit and pricing history of four products from the 12.08.01 PL benefit group from 2016 to 2023. The PL benefit saw some gradual reduction in the years prior to 2021, followed by substantial reduction in the first two tranches of the reforms. While the Pharmac series (median price) shows movement as products were introduced to the list, the price of each of the four constituent products did not change until July 2023, where two of the products saw a marginal increase.</w:t>
      </w:r>
    </w:p>
    <w:p w14:paraId="3870D39A" w14:textId="01EA7EDB" w:rsidR="008C73E2" w:rsidRDefault="008C73E2" w:rsidP="008C73E2">
      <w:pPr>
        <w:pStyle w:val="Caption"/>
      </w:pPr>
      <w:bookmarkStart w:id="124" w:name="_Ref168585866"/>
      <w:r>
        <w:t xml:space="preserve">Figure </w:t>
      </w:r>
      <w:r>
        <w:fldChar w:fldCharType="begin"/>
      </w:r>
      <w:r>
        <w:instrText xml:space="preserve"> SEQ Figure \* ARABIC </w:instrText>
      </w:r>
      <w:r>
        <w:fldChar w:fldCharType="separate"/>
      </w:r>
      <w:r w:rsidR="009B5D8D">
        <w:rPr>
          <w:noProof/>
        </w:rPr>
        <w:t>30</w:t>
      </w:r>
      <w:r>
        <w:fldChar w:fldCharType="end"/>
      </w:r>
      <w:bookmarkEnd w:id="124"/>
      <w:r>
        <w:t xml:space="preserve"> | </w:t>
      </w:r>
      <w:r w:rsidRPr="00CB7DB5">
        <w:t xml:space="preserve">International case study 1 (knee implant) – </w:t>
      </w:r>
      <w:r>
        <w:t>Benefit group</w:t>
      </w:r>
      <w:r w:rsidRPr="00CB7DB5">
        <w:t xml:space="preserve"> comparison over tim</w:t>
      </w:r>
      <w:r w:rsidR="00590D62">
        <w:t>e</w:t>
      </w:r>
      <w:r w:rsidR="00590D62">
        <w:rPr>
          <w:rStyle w:val="FootnoteReference"/>
        </w:rPr>
        <w:footnoteReference w:id="136"/>
      </w:r>
    </w:p>
    <w:p w14:paraId="5B727C82" w14:textId="77777777" w:rsidR="008C73E2" w:rsidRDefault="008C73E2" w:rsidP="008C73E2">
      <w:pPr>
        <w:rPr>
          <w:lang w:val="en-AU" w:eastAsia="en-AU"/>
        </w:rPr>
      </w:pPr>
      <w:r w:rsidRPr="00F26A4E">
        <w:rPr>
          <w:noProof/>
          <w:lang w:val="en-AU" w:eastAsia="en-AU"/>
        </w:rPr>
        <w:drawing>
          <wp:inline distT="0" distB="0" distL="0" distR="0" wp14:anchorId="33E4A167" wp14:editId="307549D5">
            <wp:extent cx="5670550" cy="2389505"/>
            <wp:effectExtent l="0" t="0" r="6350" b="0"/>
            <wp:docPr id="807628476" name="Picture 1" descr="A graph showing International case study 1 (knee implant) – Benefit group comparison over time from 2016 to 2023. This graph displays the price of four products from the 12.08.01 PL category (knee implant - patellar component, cemented, all polyethylene), compared to the same products found on the LPP list in France and the Pharmac list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28476" name="Picture 1" descr="A graph showing International case study 1 (knee implant) – Benefit group comparison over time from 2016 to 2023. This graph displays the price of four products from the 12.08.01 PL category (knee implant - patellar component, cemented, all polyethylene), compared to the same products found on the LPP list in France and the Pharmac list in New Zealand. "/>
                    <pic:cNvPicPr/>
                  </pic:nvPicPr>
                  <pic:blipFill>
                    <a:blip r:embed="rId67"/>
                    <a:stretch>
                      <a:fillRect/>
                    </a:stretch>
                  </pic:blipFill>
                  <pic:spPr>
                    <a:xfrm>
                      <a:off x="0" y="0"/>
                      <a:ext cx="5670550" cy="2389505"/>
                    </a:xfrm>
                    <a:prstGeom prst="rect">
                      <a:avLst/>
                    </a:prstGeom>
                  </pic:spPr>
                </pic:pic>
              </a:graphicData>
            </a:graphic>
          </wp:inline>
        </w:drawing>
      </w:r>
    </w:p>
    <w:p w14:paraId="1DC9FE31" w14:textId="4F86FE9B" w:rsidR="00956916" w:rsidRPr="008C73E2" w:rsidRDefault="008C73E2" w:rsidP="008C73E2">
      <w:pPr>
        <w:rPr>
          <w:lang w:val="en-AU" w:eastAsia="en-AU"/>
        </w:rPr>
      </w:pPr>
      <w:r>
        <w:rPr>
          <w:lang w:val="en-AU" w:eastAsia="en-AU"/>
        </w:rPr>
        <w:fldChar w:fldCharType="begin"/>
      </w:r>
      <w:r>
        <w:rPr>
          <w:lang w:val="en-AU" w:eastAsia="en-AU"/>
        </w:rPr>
        <w:instrText xml:space="preserve"> REF _Ref168588218 \h </w:instrText>
      </w:r>
      <w:r>
        <w:rPr>
          <w:lang w:val="en-AU" w:eastAsia="en-AU"/>
        </w:rPr>
      </w:r>
      <w:r>
        <w:rPr>
          <w:lang w:val="en-AU" w:eastAsia="en-AU"/>
        </w:rPr>
        <w:fldChar w:fldCharType="separate"/>
      </w:r>
      <w:r w:rsidR="009B5D8D">
        <w:t xml:space="preserve">Figure </w:t>
      </w:r>
      <w:r w:rsidR="009B5D8D">
        <w:rPr>
          <w:noProof/>
        </w:rPr>
        <w:t>31</w:t>
      </w:r>
      <w:r>
        <w:rPr>
          <w:lang w:val="en-AU" w:eastAsia="en-AU"/>
        </w:rPr>
        <w:fldChar w:fldCharType="end"/>
      </w:r>
      <w:r>
        <w:rPr>
          <w:lang w:val="en-AU" w:eastAsia="en-AU"/>
        </w:rPr>
        <w:t xml:space="preserve"> </w:t>
      </w:r>
      <w:r w:rsidR="00EA4F6E">
        <w:rPr>
          <w:lang w:val="en-AU" w:eastAsia="en-AU"/>
        </w:rPr>
        <w:t xml:space="preserve">introduces case study 2, six hip joint implants from the 11.02.02.05 PL benefit group. </w:t>
      </w:r>
      <w:r w:rsidR="00874551">
        <w:rPr>
          <w:lang w:val="en-AU" w:eastAsia="en-AU"/>
        </w:rPr>
        <w:t>Prior</w:t>
      </w:r>
      <w:r w:rsidR="00F46D12">
        <w:rPr>
          <w:lang w:val="en-AU" w:eastAsia="en-AU"/>
        </w:rPr>
        <w:t xml:space="preserve"> to</w:t>
      </w:r>
      <w:r w:rsidR="00874551">
        <w:rPr>
          <w:lang w:val="en-AU" w:eastAsia="en-AU"/>
        </w:rPr>
        <w:t xml:space="preserve"> the reforms, the PL benefit was higher than the LPP and Pharmac category prices on average</w:t>
      </w:r>
      <w:r w:rsidR="00F46D12">
        <w:rPr>
          <w:lang w:val="en-AU" w:eastAsia="en-AU"/>
        </w:rPr>
        <w:t>, though lower than some Pharmac products</w:t>
      </w:r>
      <w:r w:rsidR="00874551">
        <w:rPr>
          <w:lang w:val="en-AU" w:eastAsia="en-AU"/>
        </w:rPr>
        <w:t xml:space="preserve">. </w:t>
      </w:r>
      <w:r w:rsidR="005C5B50">
        <w:rPr>
          <w:lang w:val="en-AU" w:eastAsia="en-AU"/>
        </w:rPr>
        <w:t xml:space="preserve">Following </w:t>
      </w:r>
      <w:r w:rsidR="00874551">
        <w:rPr>
          <w:lang w:val="en-AU" w:eastAsia="en-AU"/>
        </w:rPr>
        <w:t xml:space="preserve">substantial benefit reductions in </w:t>
      </w:r>
      <w:r w:rsidR="005C5B50">
        <w:rPr>
          <w:lang w:val="en-AU" w:eastAsia="en-AU"/>
        </w:rPr>
        <w:t>July 2022 and July 2023, the PL</w:t>
      </w:r>
      <w:r w:rsidR="00F46D12">
        <w:rPr>
          <w:lang w:val="en-AU" w:eastAsia="en-AU"/>
        </w:rPr>
        <w:t xml:space="preserve"> benefit is </w:t>
      </w:r>
      <w:r w:rsidR="0004485E">
        <w:rPr>
          <w:lang w:val="en-AU" w:eastAsia="en-AU"/>
        </w:rPr>
        <w:t>currently l</w:t>
      </w:r>
      <w:r w:rsidR="00F46D12">
        <w:rPr>
          <w:lang w:val="en-AU" w:eastAsia="en-AU"/>
        </w:rPr>
        <w:t xml:space="preserve">ower than five of the six </w:t>
      </w:r>
      <w:r w:rsidR="00F63427">
        <w:rPr>
          <w:lang w:val="en-AU" w:eastAsia="en-AU"/>
        </w:rPr>
        <w:t>Pharmac products but remains higher than the LPP price.</w:t>
      </w:r>
    </w:p>
    <w:p w14:paraId="521F5E98" w14:textId="1927E2C9" w:rsidR="008C73E2" w:rsidRDefault="008C73E2" w:rsidP="008C73E2">
      <w:pPr>
        <w:pStyle w:val="Caption"/>
      </w:pPr>
      <w:bookmarkStart w:id="125" w:name="_Ref168588218"/>
      <w:bookmarkStart w:id="126" w:name="_Ref168588215"/>
      <w:r>
        <w:lastRenderedPageBreak/>
        <w:t xml:space="preserve">Figure </w:t>
      </w:r>
      <w:r>
        <w:fldChar w:fldCharType="begin"/>
      </w:r>
      <w:r>
        <w:instrText xml:space="preserve"> SEQ Figure \* ARABIC </w:instrText>
      </w:r>
      <w:r>
        <w:fldChar w:fldCharType="separate"/>
      </w:r>
      <w:r w:rsidR="009B5D8D">
        <w:rPr>
          <w:noProof/>
        </w:rPr>
        <w:t>31</w:t>
      </w:r>
      <w:r>
        <w:fldChar w:fldCharType="end"/>
      </w:r>
      <w:bookmarkEnd w:id="125"/>
      <w:r>
        <w:t xml:space="preserve"> | </w:t>
      </w:r>
      <w:r w:rsidRPr="00B914BC">
        <w:t>International case study 2 (hip joint implant) –</w:t>
      </w:r>
      <w:r>
        <w:t xml:space="preserve"> Benefit group</w:t>
      </w:r>
      <w:r w:rsidRPr="00B914BC">
        <w:t xml:space="preserve"> comparison over tim</w:t>
      </w:r>
      <w:bookmarkEnd w:id="126"/>
      <w:r w:rsidR="00590D62">
        <w:t>e</w:t>
      </w:r>
      <w:r w:rsidR="00590D62">
        <w:rPr>
          <w:rStyle w:val="FootnoteReference"/>
        </w:rPr>
        <w:footnoteReference w:id="137"/>
      </w:r>
    </w:p>
    <w:p w14:paraId="187CBF1E" w14:textId="77777777" w:rsidR="008C73E2" w:rsidRDefault="008C73E2" w:rsidP="008C73E2">
      <w:pPr>
        <w:rPr>
          <w:lang w:val="en-AU" w:eastAsia="en-AU"/>
        </w:rPr>
      </w:pPr>
      <w:r w:rsidRPr="00800F06">
        <w:rPr>
          <w:noProof/>
          <w:lang w:val="en-AU" w:eastAsia="en-AU"/>
        </w:rPr>
        <w:drawing>
          <wp:inline distT="0" distB="0" distL="0" distR="0" wp14:anchorId="4BE98DCF" wp14:editId="7CC84B7D">
            <wp:extent cx="5670550" cy="2403475"/>
            <wp:effectExtent l="0" t="0" r="6350" b="0"/>
            <wp:docPr id="292108078" name="Picture 1" descr="A graph showing International case study 2 (hip joint implant) – Benefit group comparison over time from 2016 to 2023. This graph displays the price of six products from the 12.08.01 PL category (hip joint implant - femoral head, conventional, &gt;32mm, ceramic), compared to the same products found on the LPP list in France and the Pharmac list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08078" name="Picture 1" descr="A graph showing International case study 2 (hip joint implant) – Benefit group comparison over time from 2016 to 2023. This graph displays the price of six products from the 12.08.01 PL category (hip joint implant - femoral head, conventional, &gt;32mm, ceramic), compared to the same products found on the LPP list in France and the Pharmac list in New Zealand. "/>
                    <pic:cNvPicPr/>
                  </pic:nvPicPr>
                  <pic:blipFill>
                    <a:blip r:embed="rId68"/>
                    <a:stretch>
                      <a:fillRect/>
                    </a:stretch>
                  </pic:blipFill>
                  <pic:spPr>
                    <a:xfrm>
                      <a:off x="0" y="0"/>
                      <a:ext cx="5670550" cy="2403475"/>
                    </a:xfrm>
                    <a:prstGeom prst="rect">
                      <a:avLst/>
                    </a:prstGeom>
                  </pic:spPr>
                </pic:pic>
              </a:graphicData>
            </a:graphic>
          </wp:inline>
        </w:drawing>
      </w:r>
    </w:p>
    <w:p w14:paraId="7F4476BF" w14:textId="4E488CDF" w:rsidR="0004485E" w:rsidRDefault="0004485E" w:rsidP="0004485E">
      <w:bookmarkStart w:id="127" w:name="_Ref168585281"/>
      <w:bookmarkStart w:id="128" w:name="_Ref168588556"/>
      <w:r>
        <w:t xml:space="preserve">Case study 3, in </w:t>
      </w:r>
      <w:r>
        <w:fldChar w:fldCharType="begin"/>
      </w:r>
      <w:r>
        <w:instrText xml:space="preserve"> REF _Ref168588570 \h </w:instrText>
      </w:r>
      <w:r>
        <w:fldChar w:fldCharType="separate"/>
      </w:r>
      <w:r w:rsidR="009B5D8D">
        <w:t xml:space="preserve">Figure </w:t>
      </w:r>
      <w:r w:rsidR="009B5D8D">
        <w:rPr>
          <w:noProof/>
        </w:rPr>
        <w:t>32</w:t>
      </w:r>
      <w:r>
        <w:fldChar w:fldCharType="end"/>
      </w:r>
      <w:r>
        <w:t xml:space="preserve"> below, relates to four products </w:t>
      </w:r>
      <w:r w:rsidR="00583724">
        <w:t xml:space="preserve">from the 13.10.01.02 PL benefit group. Prices vary across the Pharmac </w:t>
      </w:r>
      <w:r w:rsidR="001C7EC0">
        <w:t xml:space="preserve">products, but all comparison products remain under the PL benefit. Though </w:t>
      </w:r>
      <w:r w:rsidR="008B3884">
        <w:t xml:space="preserve">the reforms reduced the PL benefit in July 2022 and again in July 2023, </w:t>
      </w:r>
      <w:r w:rsidR="000167D9">
        <w:t>the benefit</w:t>
      </w:r>
      <w:r w:rsidR="008B3884">
        <w:t xml:space="preserve"> remains </w:t>
      </w:r>
      <w:r w:rsidR="00055FEA">
        <w:t xml:space="preserve">around six times </w:t>
      </w:r>
      <w:r w:rsidR="000B7556">
        <w:t>the LPP price.</w:t>
      </w:r>
    </w:p>
    <w:p w14:paraId="04BCA9D5" w14:textId="132188A6" w:rsidR="008C73E2" w:rsidRPr="009710E4" w:rsidRDefault="008C73E2" w:rsidP="008C73E2">
      <w:pPr>
        <w:pStyle w:val="Caption"/>
        <w:rPr>
          <w:lang w:eastAsia="en-AU"/>
        </w:rPr>
      </w:pPr>
      <w:bookmarkStart w:id="129" w:name="_Ref168588570"/>
      <w:r>
        <w:t xml:space="preserve">Figure </w:t>
      </w:r>
      <w:r>
        <w:fldChar w:fldCharType="begin"/>
      </w:r>
      <w:r>
        <w:instrText xml:space="preserve"> SEQ Figure \* ARABIC </w:instrText>
      </w:r>
      <w:r>
        <w:fldChar w:fldCharType="separate"/>
      </w:r>
      <w:r w:rsidR="009B5D8D">
        <w:rPr>
          <w:noProof/>
        </w:rPr>
        <w:t>32</w:t>
      </w:r>
      <w:r>
        <w:fldChar w:fldCharType="end"/>
      </w:r>
      <w:bookmarkEnd w:id="127"/>
      <w:bookmarkEnd w:id="128"/>
      <w:bookmarkEnd w:id="129"/>
      <w:r>
        <w:t xml:space="preserve"> | </w:t>
      </w:r>
      <w:r w:rsidRPr="0091037F">
        <w:t xml:space="preserve">International case study 3 (spinal fusion cage) – </w:t>
      </w:r>
      <w:r>
        <w:t xml:space="preserve">Benefit group </w:t>
      </w:r>
      <w:r w:rsidRPr="0091037F">
        <w:t>comparison over tim</w:t>
      </w:r>
      <w:r w:rsidR="00590D62">
        <w:t>e</w:t>
      </w:r>
      <w:r w:rsidR="00590D62">
        <w:rPr>
          <w:rStyle w:val="FootnoteReference"/>
        </w:rPr>
        <w:footnoteReference w:id="138"/>
      </w:r>
    </w:p>
    <w:p w14:paraId="54CC123D" w14:textId="77777777" w:rsidR="008C73E2" w:rsidRDefault="008C73E2" w:rsidP="008C73E2">
      <w:pPr>
        <w:rPr>
          <w:lang w:val="en-AU" w:eastAsia="en-AU"/>
        </w:rPr>
      </w:pPr>
      <w:r w:rsidRPr="00800F06">
        <w:rPr>
          <w:noProof/>
          <w:lang w:val="en-AU" w:eastAsia="en-AU"/>
        </w:rPr>
        <w:drawing>
          <wp:inline distT="0" distB="0" distL="0" distR="0" wp14:anchorId="379C88CA" wp14:editId="47FE0230">
            <wp:extent cx="5670550" cy="2401570"/>
            <wp:effectExtent l="0" t="0" r="6350" b="0"/>
            <wp:docPr id="2142843226" name="Picture 1" descr="A graph showing International case study 3 (spinal fusion cage) – Benefit group comparison over time from 2016 to 2023. This graph displays the price of four  products from the 13.10.01.02 PL category (spinal fusion cage - interbody, integral fixation, ThoracoLubar), compared to the same products found on the LPP list in France and the Pharmac list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43226" name="Picture 1" descr="A graph showing International case study 3 (spinal fusion cage) – Benefit group comparison over time from 2016 to 2023. This graph displays the price of four  products from the 13.10.01.02 PL category (spinal fusion cage - interbody, integral fixation, ThoracoLubar), compared to the same products found on the LPP list in France and the Pharmac list in New Zealand.  "/>
                    <pic:cNvPicPr/>
                  </pic:nvPicPr>
                  <pic:blipFill>
                    <a:blip r:embed="rId69"/>
                    <a:stretch>
                      <a:fillRect/>
                    </a:stretch>
                  </pic:blipFill>
                  <pic:spPr>
                    <a:xfrm>
                      <a:off x="0" y="0"/>
                      <a:ext cx="5670550" cy="2401570"/>
                    </a:xfrm>
                    <a:prstGeom prst="rect">
                      <a:avLst/>
                    </a:prstGeom>
                  </pic:spPr>
                </pic:pic>
              </a:graphicData>
            </a:graphic>
          </wp:inline>
        </w:drawing>
      </w:r>
    </w:p>
    <w:p w14:paraId="3623F9A3" w14:textId="0EFFEACD" w:rsidR="007F3633" w:rsidRDefault="007F3633" w:rsidP="007F3633">
      <w:pPr>
        <w:pStyle w:val="xAppendixLevel2"/>
      </w:pPr>
      <w:bookmarkStart w:id="130" w:name="_Ref177565790"/>
      <w:bookmarkStart w:id="131" w:name="_Ref178283980"/>
      <w:bookmarkStart w:id="132" w:name="_Toc181405109"/>
      <w:r>
        <w:lastRenderedPageBreak/>
        <w:t xml:space="preserve">Indicator 3: </w:t>
      </w:r>
      <w:r w:rsidRPr="007F3633">
        <w:t>Change in out-of-pocket expenses related to PL items</w:t>
      </w:r>
      <w:bookmarkEnd w:id="130"/>
      <w:bookmarkEnd w:id="131"/>
      <w:bookmarkEnd w:id="132"/>
    </w:p>
    <w:p w14:paraId="4E20430A" w14:textId="365AF9E0" w:rsidR="007F3633" w:rsidRDefault="007F3633" w:rsidP="007F3633">
      <w:pPr>
        <w:pStyle w:val="Heading4"/>
      </w:pPr>
      <w:r w:rsidRPr="00F91859">
        <w:rPr>
          <w:color w:val="F25E21" w:themeColor="accent2"/>
        </w:rPr>
        <w:t xml:space="preserve">Measure </w:t>
      </w:r>
      <w:r>
        <w:rPr>
          <w:color w:val="F25E21" w:themeColor="accent2"/>
        </w:rPr>
        <w:t>3</w:t>
      </w:r>
      <w:r w:rsidRPr="00F91859">
        <w:rPr>
          <w:color w:val="F25E21" w:themeColor="accent2"/>
        </w:rPr>
        <w:t>.</w:t>
      </w:r>
      <w:r>
        <w:rPr>
          <w:color w:val="F25E21" w:themeColor="accent2"/>
        </w:rPr>
        <w:t>1</w:t>
      </w:r>
      <w:r w:rsidRPr="00F91859">
        <w:rPr>
          <w:color w:val="F25E21" w:themeColor="accent2"/>
        </w:rPr>
        <w:t xml:space="preserve">: </w:t>
      </w:r>
      <w:r w:rsidRPr="007F3633">
        <w:t>Prevalence of a gap payment for PL items</w:t>
      </w:r>
    </w:p>
    <w:p w14:paraId="756576BB" w14:textId="38660AC3" w:rsidR="001A183D" w:rsidRDefault="001A183D" w:rsidP="001A183D">
      <w:pPr>
        <w:pStyle w:val="Caption"/>
      </w:pPr>
      <w:bookmarkStart w:id="133" w:name="_Ref173003386"/>
      <w:r>
        <w:t xml:space="preserve">Table </w:t>
      </w:r>
      <w:r>
        <w:fldChar w:fldCharType="begin"/>
      </w:r>
      <w:r>
        <w:instrText xml:space="preserve"> SEQ Table \* ARABIC </w:instrText>
      </w:r>
      <w:r>
        <w:fldChar w:fldCharType="separate"/>
      </w:r>
      <w:r w:rsidR="009B5D8D">
        <w:rPr>
          <w:noProof/>
        </w:rPr>
        <w:t>25</w:t>
      </w:r>
      <w:r>
        <w:fldChar w:fldCharType="end"/>
      </w:r>
      <w:bookmarkEnd w:id="133"/>
      <w:r>
        <w:t xml:space="preserve"> | Prevalence of gap by PL category for items in Part A</w:t>
      </w:r>
      <w:r>
        <w:rPr>
          <w:rStyle w:val="FootnoteReference"/>
        </w:rPr>
        <w:footnoteReference w:id="139"/>
      </w:r>
    </w:p>
    <w:tbl>
      <w:tblPr>
        <w:tblStyle w:val="NOUS"/>
        <w:tblW w:w="0" w:type="auto"/>
        <w:tblLook w:val="04A0" w:firstRow="1" w:lastRow="0" w:firstColumn="1" w:lastColumn="0" w:noHBand="0" w:noVBand="1"/>
      </w:tblPr>
      <w:tblGrid>
        <w:gridCol w:w="2127"/>
        <w:gridCol w:w="992"/>
        <w:gridCol w:w="992"/>
        <w:gridCol w:w="992"/>
        <w:gridCol w:w="993"/>
        <w:gridCol w:w="992"/>
        <w:gridCol w:w="992"/>
        <w:gridCol w:w="991"/>
      </w:tblGrid>
      <w:tr w:rsidR="001A183D" w14:paraId="18D0A1BC" w14:textId="77777777" w:rsidTr="001A183D">
        <w:trPr>
          <w:cnfStyle w:val="100000000000" w:firstRow="1" w:lastRow="0" w:firstColumn="0" w:lastColumn="0" w:oddVBand="0" w:evenVBand="0" w:oddHBand="0" w:evenHBand="0" w:firstRowFirstColumn="0" w:firstRowLastColumn="0" w:lastRowFirstColumn="0" w:lastRowLastColumn="0"/>
        </w:trPr>
        <w:tc>
          <w:tcPr>
            <w:tcW w:w="2127" w:type="dxa"/>
            <w:tcBorders>
              <w:bottom w:val="single" w:sz="8" w:space="0" w:color="E6E6E1" w:themeColor="accent5"/>
            </w:tcBorders>
          </w:tcPr>
          <w:p w14:paraId="5088C7F6" w14:textId="77777777" w:rsidR="001A183D" w:rsidRPr="00654913" w:rsidRDefault="001A183D">
            <w:pPr>
              <w:pStyle w:val="TableNheader"/>
              <w:rPr>
                <w:b w:val="0"/>
                <w:bCs/>
              </w:rPr>
            </w:pPr>
          </w:p>
        </w:tc>
        <w:tc>
          <w:tcPr>
            <w:tcW w:w="2976" w:type="dxa"/>
            <w:gridSpan w:val="3"/>
          </w:tcPr>
          <w:p w14:paraId="2A6C1517" w14:textId="77777777" w:rsidR="001A183D" w:rsidRPr="00654913" w:rsidRDefault="001A183D">
            <w:pPr>
              <w:pStyle w:val="TableNheader"/>
              <w:rPr>
                <w:b w:val="0"/>
                <w:bCs/>
              </w:rPr>
            </w:pPr>
            <w:r>
              <w:rPr>
                <w:b w:val="0"/>
                <w:bCs/>
              </w:rPr>
              <w:t>FY22</w:t>
            </w:r>
          </w:p>
        </w:tc>
        <w:tc>
          <w:tcPr>
            <w:tcW w:w="2977" w:type="dxa"/>
            <w:gridSpan w:val="3"/>
          </w:tcPr>
          <w:p w14:paraId="0F71DC57" w14:textId="77777777" w:rsidR="001A183D" w:rsidRPr="00654913" w:rsidRDefault="001A183D">
            <w:pPr>
              <w:pStyle w:val="TableNheader"/>
              <w:rPr>
                <w:b w:val="0"/>
                <w:bCs/>
              </w:rPr>
            </w:pPr>
            <w:r>
              <w:rPr>
                <w:b w:val="0"/>
                <w:bCs/>
              </w:rPr>
              <w:t>FY23</w:t>
            </w:r>
          </w:p>
        </w:tc>
        <w:tc>
          <w:tcPr>
            <w:tcW w:w="991" w:type="dxa"/>
          </w:tcPr>
          <w:p w14:paraId="1E1EA5F0" w14:textId="77777777" w:rsidR="001A183D" w:rsidRPr="00654913" w:rsidRDefault="001A183D">
            <w:pPr>
              <w:pStyle w:val="TableNheader"/>
              <w:rPr>
                <w:b w:val="0"/>
                <w:bCs/>
              </w:rPr>
            </w:pPr>
          </w:p>
        </w:tc>
      </w:tr>
      <w:tr w:rsidR="001A183D" w14:paraId="4AC0F931" w14:textId="77777777" w:rsidTr="001A183D">
        <w:tc>
          <w:tcPr>
            <w:tcW w:w="2127" w:type="dxa"/>
            <w:tcBorders>
              <w:top w:val="single" w:sz="8" w:space="0" w:color="E6E6E1" w:themeColor="accent5"/>
              <w:right w:val="single" w:sz="8" w:space="0" w:color="FFFFFF" w:themeColor="background1"/>
            </w:tcBorders>
            <w:shd w:val="clear" w:color="auto" w:fill="E6E6E1" w:themeFill="accent5"/>
            <w:vAlign w:val="bottom"/>
          </w:tcPr>
          <w:p w14:paraId="16D96FF5" w14:textId="77777777" w:rsidR="001A183D" w:rsidRPr="001A183D" w:rsidRDefault="001A183D">
            <w:pPr>
              <w:pStyle w:val="TableNheader"/>
            </w:pPr>
            <w:r w:rsidRPr="001A183D">
              <w:rPr>
                <w:sz w:val="16"/>
                <w:szCs w:val="22"/>
              </w:rPr>
              <w:t>Categories</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2EA8C87F" w14:textId="77777777" w:rsidR="001A183D" w:rsidRPr="001A183D" w:rsidRDefault="001A183D">
            <w:pPr>
              <w:pStyle w:val="TableNheader"/>
              <w:rPr>
                <w:sz w:val="16"/>
                <w:szCs w:val="22"/>
              </w:rPr>
            </w:pPr>
            <w:r w:rsidRPr="001A183D">
              <w:rPr>
                <w:sz w:val="16"/>
                <w:szCs w:val="22"/>
              </w:rPr>
              <w:t># of items</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C207659" w14:textId="77777777" w:rsidR="001A183D" w:rsidRPr="001A183D" w:rsidRDefault="001A183D">
            <w:pPr>
              <w:pStyle w:val="TableNheader"/>
              <w:rPr>
                <w:sz w:val="16"/>
                <w:szCs w:val="22"/>
              </w:rPr>
            </w:pPr>
            <w:r w:rsidRPr="001A183D">
              <w:rPr>
                <w:sz w:val="16"/>
                <w:szCs w:val="22"/>
              </w:rPr>
              <w:t># of items with a gap</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2468EF61" w14:textId="77777777" w:rsidR="001A183D" w:rsidRPr="001A183D" w:rsidRDefault="001A183D">
            <w:pPr>
              <w:pStyle w:val="TableNheader"/>
              <w:rPr>
                <w:sz w:val="16"/>
                <w:szCs w:val="22"/>
              </w:rPr>
            </w:pPr>
            <w:r w:rsidRPr="001A183D">
              <w:rPr>
                <w:sz w:val="16"/>
                <w:szCs w:val="22"/>
              </w:rPr>
              <w:t>Rate of gap</w:t>
            </w:r>
          </w:p>
        </w:tc>
        <w:tc>
          <w:tcPr>
            <w:tcW w:w="993"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68B414CF" w14:textId="77777777" w:rsidR="001A183D" w:rsidRPr="001A183D" w:rsidRDefault="001A183D">
            <w:pPr>
              <w:pStyle w:val="TableNheader"/>
              <w:rPr>
                <w:sz w:val="16"/>
                <w:szCs w:val="22"/>
              </w:rPr>
            </w:pPr>
            <w:r w:rsidRPr="001A183D">
              <w:rPr>
                <w:sz w:val="16"/>
                <w:szCs w:val="22"/>
              </w:rPr>
              <w:t># of items</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5F8F285B" w14:textId="77777777" w:rsidR="001A183D" w:rsidRPr="001A183D" w:rsidRDefault="001A183D">
            <w:pPr>
              <w:pStyle w:val="TableNheader"/>
              <w:rPr>
                <w:sz w:val="16"/>
                <w:szCs w:val="22"/>
              </w:rPr>
            </w:pPr>
            <w:r w:rsidRPr="001A183D">
              <w:rPr>
                <w:sz w:val="16"/>
                <w:szCs w:val="22"/>
              </w:rPr>
              <w:t># of items with a gap</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20C1F20" w14:textId="77777777" w:rsidR="001A183D" w:rsidRPr="001A183D" w:rsidRDefault="001A183D">
            <w:pPr>
              <w:pStyle w:val="TableNheader"/>
              <w:rPr>
                <w:sz w:val="16"/>
                <w:szCs w:val="22"/>
              </w:rPr>
            </w:pPr>
            <w:r w:rsidRPr="001A183D">
              <w:rPr>
                <w:sz w:val="16"/>
                <w:szCs w:val="22"/>
              </w:rPr>
              <w:t>Rate of gap</w:t>
            </w:r>
          </w:p>
        </w:tc>
        <w:tc>
          <w:tcPr>
            <w:tcW w:w="991" w:type="dxa"/>
            <w:tcBorders>
              <w:left w:val="single" w:sz="8" w:space="0" w:color="FFFFFF" w:themeColor="background1"/>
            </w:tcBorders>
            <w:shd w:val="clear" w:color="auto" w:fill="E6E6E1" w:themeFill="accent5"/>
            <w:vAlign w:val="bottom"/>
          </w:tcPr>
          <w:p w14:paraId="7612CFF6" w14:textId="77777777" w:rsidR="001A183D" w:rsidRPr="001A183D" w:rsidRDefault="001A183D">
            <w:pPr>
              <w:pStyle w:val="TableNheader"/>
              <w:rPr>
                <w:sz w:val="16"/>
                <w:szCs w:val="22"/>
              </w:rPr>
            </w:pPr>
            <w:r w:rsidRPr="001A183D">
              <w:rPr>
                <w:sz w:val="16"/>
                <w:szCs w:val="22"/>
              </w:rPr>
              <w:t>Change in rate of gap</w:t>
            </w:r>
          </w:p>
        </w:tc>
      </w:tr>
      <w:tr w:rsidR="001A183D" w14:paraId="3708A138" w14:textId="77777777">
        <w:tc>
          <w:tcPr>
            <w:tcW w:w="2127" w:type="dxa"/>
          </w:tcPr>
          <w:p w14:paraId="6824AB22" w14:textId="77777777" w:rsidR="001A183D" w:rsidRPr="005E4220" w:rsidRDefault="001A183D">
            <w:pPr>
              <w:pStyle w:val="TableNbiophoto"/>
              <w:rPr>
                <w:rFonts w:asciiTheme="majorHAnsi" w:hAnsiTheme="majorHAnsi" w:cstheme="majorHAnsi"/>
                <w:b/>
                <w:bCs/>
                <w:sz w:val="16"/>
                <w:szCs w:val="20"/>
              </w:rPr>
            </w:pPr>
            <w:r w:rsidRPr="005E4220">
              <w:rPr>
                <w:rFonts w:asciiTheme="majorHAnsi" w:hAnsiTheme="majorHAnsi" w:cstheme="majorHAnsi"/>
                <w:sz w:val="16"/>
                <w:szCs w:val="20"/>
              </w:rPr>
              <w:t>01 - Ophthalmic</w:t>
            </w:r>
          </w:p>
        </w:tc>
        <w:tc>
          <w:tcPr>
            <w:tcW w:w="992" w:type="dxa"/>
          </w:tcPr>
          <w:p w14:paraId="61C62B7D" w14:textId="77777777" w:rsidR="001A183D" w:rsidRPr="005E4220" w:rsidRDefault="001A183D">
            <w:pPr>
              <w:pStyle w:val="TableNbiophoto"/>
              <w:rPr>
                <w:b/>
                <w:bCs/>
                <w:sz w:val="16"/>
                <w:szCs w:val="20"/>
              </w:rPr>
            </w:pPr>
            <w:r w:rsidRPr="005E4220">
              <w:rPr>
                <w:sz w:val="16"/>
                <w:szCs w:val="20"/>
              </w:rPr>
              <w:t>345764</w:t>
            </w:r>
          </w:p>
        </w:tc>
        <w:tc>
          <w:tcPr>
            <w:tcW w:w="992" w:type="dxa"/>
          </w:tcPr>
          <w:p w14:paraId="0A7F4915" w14:textId="77777777" w:rsidR="001A183D" w:rsidRPr="005E4220" w:rsidRDefault="001A183D">
            <w:pPr>
              <w:pStyle w:val="TableNbiophoto"/>
              <w:rPr>
                <w:b/>
                <w:bCs/>
                <w:sz w:val="16"/>
                <w:szCs w:val="20"/>
              </w:rPr>
            </w:pPr>
            <w:r w:rsidRPr="005E4220">
              <w:rPr>
                <w:sz w:val="16"/>
                <w:szCs w:val="20"/>
              </w:rPr>
              <w:t>1193</w:t>
            </w:r>
          </w:p>
        </w:tc>
        <w:tc>
          <w:tcPr>
            <w:tcW w:w="992" w:type="dxa"/>
          </w:tcPr>
          <w:p w14:paraId="502368F8" w14:textId="77777777" w:rsidR="001A183D" w:rsidRPr="005E4220" w:rsidRDefault="001A183D">
            <w:pPr>
              <w:pStyle w:val="TableNbiophoto"/>
              <w:rPr>
                <w:b/>
                <w:bCs/>
                <w:sz w:val="16"/>
                <w:szCs w:val="20"/>
              </w:rPr>
            </w:pPr>
            <w:r w:rsidRPr="005E4220">
              <w:rPr>
                <w:sz w:val="16"/>
                <w:szCs w:val="20"/>
              </w:rPr>
              <w:t>0.35%</w:t>
            </w:r>
          </w:p>
        </w:tc>
        <w:tc>
          <w:tcPr>
            <w:tcW w:w="993" w:type="dxa"/>
          </w:tcPr>
          <w:p w14:paraId="797ED0BA" w14:textId="77777777" w:rsidR="001A183D" w:rsidRPr="005E4220" w:rsidRDefault="001A183D">
            <w:pPr>
              <w:pStyle w:val="TableNbiophoto"/>
              <w:rPr>
                <w:b/>
                <w:bCs/>
                <w:sz w:val="16"/>
                <w:szCs w:val="20"/>
              </w:rPr>
            </w:pPr>
            <w:r w:rsidRPr="005E4220">
              <w:rPr>
                <w:sz w:val="16"/>
                <w:szCs w:val="20"/>
              </w:rPr>
              <w:t>355893</w:t>
            </w:r>
          </w:p>
        </w:tc>
        <w:tc>
          <w:tcPr>
            <w:tcW w:w="992" w:type="dxa"/>
          </w:tcPr>
          <w:p w14:paraId="111A5939" w14:textId="77777777" w:rsidR="001A183D" w:rsidRPr="005E4220" w:rsidRDefault="001A183D">
            <w:pPr>
              <w:pStyle w:val="TableNbiophoto"/>
              <w:rPr>
                <w:b/>
                <w:bCs/>
                <w:sz w:val="16"/>
                <w:szCs w:val="20"/>
              </w:rPr>
            </w:pPr>
            <w:r w:rsidRPr="005E4220">
              <w:rPr>
                <w:sz w:val="16"/>
                <w:szCs w:val="20"/>
              </w:rPr>
              <w:t>3745</w:t>
            </w:r>
          </w:p>
        </w:tc>
        <w:tc>
          <w:tcPr>
            <w:tcW w:w="992" w:type="dxa"/>
          </w:tcPr>
          <w:p w14:paraId="3ADD97AE" w14:textId="77777777" w:rsidR="001A183D" w:rsidRPr="005E4220" w:rsidRDefault="001A183D">
            <w:pPr>
              <w:pStyle w:val="TableNbiophoto"/>
              <w:rPr>
                <w:b/>
                <w:bCs/>
                <w:sz w:val="16"/>
                <w:szCs w:val="20"/>
              </w:rPr>
            </w:pPr>
            <w:r w:rsidRPr="005E4220">
              <w:rPr>
                <w:sz w:val="16"/>
                <w:szCs w:val="20"/>
              </w:rPr>
              <w:t>1.05%</w:t>
            </w:r>
          </w:p>
        </w:tc>
        <w:tc>
          <w:tcPr>
            <w:tcW w:w="991" w:type="dxa"/>
          </w:tcPr>
          <w:p w14:paraId="6210BBFC" w14:textId="77777777" w:rsidR="001A183D" w:rsidRPr="005E4220" w:rsidRDefault="001A183D">
            <w:pPr>
              <w:pStyle w:val="TableNbiophoto"/>
              <w:rPr>
                <w:rFonts w:asciiTheme="majorHAnsi" w:hAnsiTheme="majorHAnsi" w:cstheme="majorHAnsi"/>
                <w:b/>
                <w:bCs/>
                <w:sz w:val="16"/>
                <w:szCs w:val="20"/>
              </w:rPr>
            </w:pPr>
            <w:r w:rsidRPr="005E4220">
              <w:rPr>
                <w:rFonts w:asciiTheme="majorHAnsi" w:hAnsiTheme="majorHAnsi" w:cstheme="majorHAnsi"/>
                <w:sz w:val="16"/>
                <w:szCs w:val="20"/>
              </w:rPr>
              <w:t>0.71%</w:t>
            </w:r>
          </w:p>
        </w:tc>
      </w:tr>
      <w:tr w:rsidR="001A183D" w14:paraId="6EDC74EB" w14:textId="77777777">
        <w:tc>
          <w:tcPr>
            <w:tcW w:w="2127" w:type="dxa"/>
          </w:tcPr>
          <w:p w14:paraId="611D9FAF" w14:textId="77777777" w:rsidR="001A183D" w:rsidRPr="005E4220" w:rsidRDefault="001A183D">
            <w:pPr>
              <w:pStyle w:val="TableNbiophoto"/>
              <w:rPr>
                <w:rFonts w:asciiTheme="majorHAnsi" w:hAnsiTheme="majorHAnsi" w:cstheme="majorHAnsi"/>
                <w:b/>
                <w:bCs/>
                <w:sz w:val="16"/>
                <w:szCs w:val="20"/>
              </w:rPr>
            </w:pPr>
            <w:r w:rsidRPr="005E4220">
              <w:rPr>
                <w:rFonts w:asciiTheme="majorHAnsi" w:hAnsiTheme="majorHAnsi" w:cstheme="majorHAnsi"/>
                <w:sz w:val="16"/>
                <w:szCs w:val="20"/>
              </w:rPr>
              <w:t>02 - Ear; Nose &amp; Throat</w:t>
            </w:r>
          </w:p>
        </w:tc>
        <w:tc>
          <w:tcPr>
            <w:tcW w:w="992" w:type="dxa"/>
          </w:tcPr>
          <w:p w14:paraId="4883DB35" w14:textId="77777777" w:rsidR="001A183D" w:rsidRPr="005E4220" w:rsidRDefault="001A183D">
            <w:pPr>
              <w:pStyle w:val="TableNbiophoto"/>
              <w:rPr>
                <w:b/>
                <w:bCs/>
                <w:sz w:val="16"/>
                <w:szCs w:val="20"/>
              </w:rPr>
            </w:pPr>
            <w:r w:rsidRPr="005E4220">
              <w:rPr>
                <w:sz w:val="16"/>
                <w:szCs w:val="20"/>
              </w:rPr>
              <w:t>26925</w:t>
            </w:r>
          </w:p>
        </w:tc>
        <w:tc>
          <w:tcPr>
            <w:tcW w:w="992" w:type="dxa"/>
          </w:tcPr>
          <w:p w14:paraId="057D69E8" w14:textId="77777777" w:rsidR="001A183D" w:rsidRPr="005E4220" w:rsidRDefault="001A183D">
            <w:pPr>
              <w:pStyle w:val="TableNbiophoto"/>
              <w:rPr>
                <w:b/>
                <w:bCs/>
                <w:sz w:val="16"/>
                <w:szCs w:val="20"/>
              </w:rPr>
            </w:pPr>
            <w:r w:rsidRPr="005E4220">
              <w:rPr>
                <w:sz w:val="16"/>
                <w:szCs w:val="20"/>
              </w:rPr>
              <w:t>25</w:t>
            </w:r>
          </w:p>
        </w:tc>
        <w:tc>
          <w:tcPr>
            <w:tcW w:w="992" w:type="dxa"/>
          </w:tcPr>
          <w:p w14:paraId="3754A11B" w14:textId="77777777" w:rsidR="001A183D" w:rsidRPr="005E4220" w:rsidRDefault="001A183D">
            <w:pPr>
              <w:pStyle w:val="TableNbiophoto"/>
              <w:rPr>
                <w:b/>
                <w:bCs/>
                <w:sz w:val="16"/>
                <w:szCs w:val="20"/>
              </w:rPr>
            </w:pPr>
            <w:r w:rsidRPr="005E4220">
              <w:rPr>
                <w:sz w:val="16"/>
                <w:szCs w:val="20"/>
              </w:rPr>
              <w:t>0.09%</w:t>
            </w:r>
          </w:p>
        </w:tc>
        <w:tc>
          <w:tcPr>
            <w:tcW w:w="993" w:type="dxa"/>
          </w:tcPr>
          <w:p w14:paraId="44B548A6" w14:textId="77777777" w:rsidR="001A183D" w:rsidRPr="005E4220" w:rsidRDefault="001A183D">
            <w:pPr>
              <w:pStyle w:val="TableNbiophoto"/>
              <w:rPr>
                <w:b/>
                <w:bCs/>
                <w:sz w:val="16"/>
                <w:szCs w:val="20"/>
              </w:rPr>
            </w:pPr>
            <w:r w:rsidRPr="005E4220">
              <w:rPr>
                <w:sz w:val="16"/>
                <w:szCs w:val="20"/>
              </w:rPr>
              <w:t>37978</w:t>
            </w:r>
          </w:p>
        </w:tc>
        <w:tc>
          <w:tcPr>
            <w:tcW w:w="992" w:type="dxa"/>
          </w:tcPr>
          <w:p w14:paraId="79B0D8D9" w14:textId="77777777" w:rsidR="001A183D" w:rsidRPr="005E4220" w:rsidRDefault="001A183D">
            <w:pPr>
              <w:pStyle w:val="TableNbiophoto"/>
              <w:rPr>
                <w:b/>
                <w:bCs/>
                <w:sz w:val="16"/>
                <w:szCs w:val="20"/>
              </w:rPr>
            </w:pPr>
            <w:r w:rsidRPr="005E4220">
              <w:rPr>
                <w:sz w:val="16"/>
                <w:szCs w:val="20"/>
              </w:rPr>
              <w:t>21</w:t>
            </w:r>
          </w:p>
        </w:tc>
        <w:tc>
          <w:tcPr>
            <w:tcW w:w="992" w:type="dxa"/>
          </w:tcPr>
          <w:p w14:paraId="107C0727" w14:textId="77777777" w:rsidR="001A183D" w:rsidRPr="005E4220" w:rsidRDefault="001A183D">
            <w:pPr>
              <w:pStyle w:val="TableNbiophoto"/>
              <w:rPr>
                <w:b/>
                <w:bCs/>
                <w:sz w:val="16"/>
                <w:szCs w:val="20"/>
              </w:rPr>
            </w:pPr>
            <w:r w:rsidRPr="005E4220">
              <w:rPr>
                <w:sz w:val="16"/>
                <w:szCs w:val="20"/>
              </w:rPr>
              <w:t>0.06%</w:t>
            </w:r>
          </w:p>
        </w:tc>
        <w:tc>
          <w:tcPr>
            <w:tcW w:w="991" w:type="dxa"/>
          </w:tcPr>
          <w:p w14:paraId="012B22A3" w14:textId="77777777" w:rsidR="001A183D" w:rsidRPr="005E4220" w:rsidRDefault="001A183D">
            <w:pPr>
              <w:pStyle w:val="TableNbiophoto"/>
              <w:rPr>
                <w:rFonts w:asciiTheme="majorHAnsi" w:hAnsiTheme="majorHAnsi" w:cstheme="majorHAnsi"/>
                <w:b/>
                <w:bCs/>
                <w:sz w:val="16"/>
                <w:szCs w:val="20"/>
              </w:rPr>
            </w:pPr>
            <w:r w:rsidRPr="005E4220">
              <w:rPr>
                <w:rFonts w:asciiTheme="majorHAnsi" w:hAnsiTheme="majorHAnsi" w:cstheme="majorHAnsi"/>
                <w:sz w:val="16"/>
                <w:szCs w:val="20"/>
              </w:rPr>
              <w:t>-0.04%</w:t>
            </w:r>
          </w:p>
        </w:tc>
      </w:tr>
      <w:tr w:rsidR="001A183D" w14:paraId="146E7748" w14:textId="77777777">
        <w:tc>
          <w:tcPr>
            <w:tcW w:w="2127" w:type="dxa"/>
          </w:tcPr>
          <w:p w14:paraId="1A7E53EF"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03 - General Miscellaneous</w:t>
            </w:r>
          </w:p>
        </w:tc>
        <w:tc>
          <w:tcPr>
            <w:tcW w:w="992" w:type="dxa"/>
          </w:tcPr>
          <w:p w14:paraId="7B66C0E0" w14:textId="77777777" w:rsidR="001A183D" w:rsidRPr="005E4220" w:rsidRDefault="001A183D">
            <w:pPr>
              <w:pStyle w:val="TableNbiophoto"/>
              <w:rPr>
                <w:sz w:val="16"/>
                <w:szCs w:val="20"/>
              </w:rPr>
            </w:pPr>
            <w:r w:rsidRPr="005E4220">
              <w:rPr>
                <w:sz w:val="16"/>
                <w:szCs w:val="20"/>
              </w:rPr>
              <w:t>109990</w:t>
            </w:r>
          </w:p>
        </w:tc>
        <w:tc>
          <w:tcPr>
            <w:tcW w:w="992" w:type="dxa"/>
          </w:tcPr>
          <w:p w14:paraId="30025566" w14:textId="77777777" w:rsidR="001A183D" w:rsidRPr="005E4220" w:rsidRDefault="001A183D">
            <w:pPr>
              <w:pStyle w:val="TableNbiophoto"/>
              <w:rPr>
                <w:sz w:val="16"/>
                <w:szCs w:val="20"/>
              </w:rPr>
            </w:pPr>
            <w:r w:rsidRPr="005E4220">
              <w:rPr>
                <w:sz w:val="16"/>
                <w:szCs w:val="20"/>
              </w:rPr>
              <w:t>140</w:t>
            </w:r>
          </w:p>
        </w:tc>
        <w:tc>
          <w:tcPr>
            <w:tcW w:w="992" w:type="dxa"/>
          </w:tcPr>
          <w:p w14:paraId="649305FD" w14:textId="77777777" w:rsidR="001A183D" w:rsidRPr="005E4220" w:rsidRDefault="001A183D">
            <w:pPr>
              <w:pStyle w:val="TableNbiophoto"/>
              <w:rPr>
                <w:sz w:val="16"/>
                <w:szCs w:val="20"/>
              </w:rPr>
            </w:pPr>
            <w:r w:rsidRPr="005E4220">
              <w:rPr>
                <w:sz w:val="16"/>
                <w:szCs w:val="20"/>
              </w:rPr>
              <w:t>0.13%</w:t>
            </w:r>
          </w:p>
        </w:tc>
        <w:tc>
          <w:tcPr>
            <w:tcW w:w="993" w:type="dxa"/>
          </w:tcPr>
          <w:p w14:paraId="7759B63D" w14:textId="77777777" w:rsidR="001A183D" w:rsidRPr="005E4220" w:rsidRDefault="001A183D">
            <w:pPr>
              <w:pStyle w:val="TableNbiophoto"/>
              <w:rPr>
                <w:sz w:val="16"/>
                <w:szCs w:val="20"/>
              </w:rPr>
            </w:pPr>
            <w:r w:rsidRPr="005E4220">
              <w:rPr>
                <w:sz w:val="16"/>
                <w:szCs w:val="20"/>
              </w:rPr>
              <w:t>123124</w:t>
            </w:r>
          </w:p>
        </w:tc>
        <w:tc>
          <w:tcPr>
            <w:tcW w:w="992" w:type="dxa"/>
          </w:tcPr>
          <w:p w14:paraId="47B1419D" w14:textId="77777777" w:rsidR="001A183D" w:rsidRPr="005E4220" w:rsidRDefault="001A183D">
            <w:pPr>
              <w:pStyle w:val="TableNbiophoto"/>
              <w:rPr>
                <w:sz w:val="16"/>
                <w:szCs w:val="20"/>
              </w:rPr>
            </w:pPr>
            <w:r w:rsidRPr="005E4220">
              <w:rPr>
                <w:sz w:val="16"/>
                <w:szCs w:val="20"/>
              </w:rPr>
              <w:t>185</w:t>
            </w:r>
          </w:p>
        </w:tc>
        <w:tc>
          <w:tcPr>
            <w:tcW w:w="992" w:type="dxa"/>
          </w:tcPr>
          <w:p w14:paraId="762EFCD2" w14:textId="77777777" w:rsidR="001A183D" w:rsidRPr="005E4220" w:rsidRDefault="001A183D">
            <w:pPr>
              <w:pStyle w:val="TableNbiophoto"/>
              <w:rPr>
                <w:sz w:val="16"/>
                <w:szCs w:val="20"/>
              </w:rPr>
            </w:pPr>
            <w:r w:rsidRPr="005E4220">
              <w:rPr>
                <w:sz w:val="16"/>
                <w:szCs w:val="20"/>
              </w:rPr>
              <w:t>0.15%</w:t>
            </w:r>
          </w:p>
        </w:tc>
        <w:tc>
          <w:tcPr>
            <w:tcW w:w="991" w:type="dxa"/>
          </w:tcPr>
          <w:p w14:paraId="03A60DDD"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0.02%</w:t>
            </w:r>
          </w:p>
        </w:tc>
      </w:tr>
      <w:tr w:rsidR="001A183D" w14:paraId="4DF8D24F" w14:textId="77777777">
        <w:tc>
          <w:tcPr>
            <w:tcW w:w="2127" w:type="dxa"/>
          </w:tcPr>
          <w:p w14:paraId="6CE2CE22"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04 - Neurosurgical</w:t>
            </w:r>
          </w:p>
        </w:tc>
        <w:tc>
          <w:tcPr>
            <w:tcW w:w="992" w:type="dxa"/>
          </w:tcPr>
          <w:p w14:paraId="540AEB68" w14:textId="77777777" w:rsidR="001A183D" w:rsidRPr="005E4220" w:rsidRDefault="001A183D">
            <w:pPr>
              <w:pStyle w:val="TableNbiophoto"/>
              <w:rPr>
                <w:sz w:val="16"/>
                <w:szCs w:val="20"/>
              </w:rPr>
            </w:pPr>
            <w:r w:rsidRPr="005E4220">
              <w:rPr>
                <w:sz w:val="16"/>
                <w:szCs w:val="20"/>
              </w:rPr>
              <w:t>22371</w:t>
            </w:r>
          </w:p>
        </w:tc>
        <w:tc>
          <w:tcPr>
            <w:tcW w:w="992" w:type="dxa"/>
          </w:tcPr>
          <w:p w14:paraId="41F5D4C4" w14:textId="77777777" w:rsidR="001A183D" w:rsidRPr="005E4220" w:rsidRDefault="001A183D">
            <w:pPr>
              <w:pStyle w:val="TableNbiophoto"/>
              <w:rPr>
                <w:sz w:val="16"/>
                <w:szCs w:val="20"/>
              </w:rPr>
            </w:pPr>
            <w:r w:rsidRPr="005E4220">
              <w:rPr>
                <w:sz w:val="16"/>
                <w:szCs w:val="20"/>
              </w:rPr>
              <w:t>36</w:t>
            </w:r>
          </w:p>
        </w:tc>
        <w:tc>
          <w:tcPr>
            <w:tcW w:w="992" w:type="dxa"/>
          </w:tcPr>
          <w:p w14:paraId="0EF030D5" w14:textId="77777777" w:rsidR="001A183D" w:rsidRPr="005E4220" w:rsidRDefault="001A183D">
            <w:pPr>
              <w:pStyle w:val="TableNbiophoto"/>
              <w:rPr>
                <w:sz w:val="16"/>
                <w:szCs w:val="20"/>
              </w:rPr>
            </w:pPr>
            <w:r w:rsidRPr="005E4220">
              <w:rPr>
                <w:sz w:val="16"/>
                <w:szCs w:val="20"/>
              </w:rPr>
              <w:t>0.16%</w:t>
            </w:r>
          </w:p>
        </w:tc>
        <w:tc>
          <w:tcPr>
            <w:tcW w:w="993" w:type="dxa"/>
          </w:tcPr>
          <w:p w14:paraId="2F8E15C0" w14:textId="77777777" w:rsidR="001A183D" w:rsidRPr="005E4220" w:rsidRDefault="001A183D">
            <w:pPr>
              <w:pStyle w:val="TableNbiophoto"/>
              <w:rPr>
                <w:sz w:val="16"/>
                <w:szCs w:val="20"/>
              </w:rPr>
            </w:pPr>
            <w:r w:rsidRPr="005E4220">
              <w:rPr>
                <w:sz w:val="16"/>
                <w:szCs w:val="20"/>
              </w:rPr>
              <w:t>21957</w:t>
            </w:r>
          </w:p>
        </w:tc>
        <w:tc>
          <w:tcPr>
            <w:tcW w:w="992" w:type="dxa"/>
          </w:tcPr>
          <w:p w14:paraId="78E52D54" w14:textId="77777777" w:rsidR="001A183D" w:rsidRPr="005E4220" w:rsidRDefault="001A183D">
            <w:pPr>
              <w:pStyle w:val="TableNbiophoto"/>
              <w:rPr>
                <w:sz w:val="16"/>
                <w:szCs w:val="20"/>
              </w:rPr>
            </w:pPr>
            <w:r w:rsidRPr="005E4220">
              <w:rPr>
                <w:sz w:val="16"/>
                <w:szCs w:val="20"/>
              </w:rPr>
              <w:t>83</w:t>
            </w:r>
          </w:p>
        </w:tc>
        <w:tc>
          <w:tcPr>
            <w:tcW w:w="992" w:type="dxa"/>
          </w:tcPr>
          <w:p w14:paraId="0B08F3C5" w14:textId="77777777" w:rsidR="001A183D" w:rsidRPr="005E4220" w:rsidRDefault="001A183D">
            <w:pPr>
              <w:pStyle w:val="TableNbiophoto"/>
              <w:rPr>
                <w:sz w:val="16"/>
                <w:szCs w:val="20"/>
              </w:rPr>
            </w:pPr>
            <w:r w:rsidRPr="005E4220">
              <w:rPr>
                <w:sz w:val="16"/>
                <w:szCs w:val="20"/>
              </w:rPr>
              <w:t>0.38%</w:t>
            </w:r>
          </w:p>
        </w:tc>
        <w:tc>
          <w:tcPr>
            <w:tcW w:w="991" w:type="dxa"/>
          </w:tcPr>
          <w:p w14:paraId="717C709B"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0.22%</w:t>
            </w:r>
          </w:p>
        </w:tc>
      </w:tr>
      <w:tr w:rsidR="001A183D" w14:paraId="71C6B106" w14:textId="77777777">
        <w:tc>
          <w:tcPr>
            <w:tcW w:w="2127" w:type="dxa"/>
          </w:tcPr>
          <w:p w14:paraId="5DA8FF08"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05 - Urogenital</w:t>
            </w:r>
          </w:p>
        </w:tc>
        <w:tc>
          <w:tcPr>
            <w:tcW w:w="992" w:type="dxa"/>
          </w:tcPr>
          <w:p w14:paraId="374CCA0C" w14:textId="77777777" w:rsidR="001A183D" w:rsidRPr="005E4220" w:rsidRDefault="001A183D">
            <w:pPr>
              <w:pStyle w:val="TableNbiophoto"/>
              <w:rPr>
                <w:sz w:val="16"/>
                <w:szCs w:val="20"/>
              </w:rPr>
            </w:pPr>
            <w:r w:rsidRPr="005E4220">
              <w:rPr>
                <w:sz w:val="16"/>
                <w:szCs w:val="20"/>
              </w:rPr>
              <w:t>40567</w:t>
            </w:r>
          </w:p>
        </w:tc>
        <w:tc>
          <w:tcPr>
            <w:tcW w:w="992" w:type="dxa"/>
          </w:tcPr>
          <w:p w14:paraId="17EFF6AB" w14:textId="77777777" w:rsidR="001A183D" w:rsidRPr="005E4220" w:rsidRDefault="001A183D">
            <w:pPr>
              <w:pStyle w:val="TableNbiophoto"/>
              <w:rPr>
                <w:sz w:val="16"/>
                <w:szCs w:val="20"/>
              </w:rPr>
            </w:pPr>
            <w:r w:rsidRPr="005E4220">
              <w:rPr>
                <w:sz w:val="16"/>
                <w:szCs w:val="20"/>
              </w:rPr>
              <w:t>105</w:t>
            </w:r>
          </w:p>
        </w:tc>
        <w:tc>
          <w:tcPr>
            <w:tcW w:w="992" w:type="dxa"/>
          </w:tcPr>
          <w:p w14:paraId="6BD6BC76" w14:textId="77777777" w:rsidR="001A183D" w:rsidRPr="005E4220" w:rsidRDefault="001A183D">
            <w:pPr>
              <w:pStyle w:val="TableNbiophoto"/>
              <w:rPr>
                <w:sz w:val="16"/>
                <w:szCs w:val="20"/>
              </w:rPr>
            </w:pPr>
            <w:r w:rsidRPr="005E4220">
              <w:rPr>
                <w:sz w:val="16"/>
                <w:szCs w:val="20"/>
              </w:rPr>
              <w:t>0.26%</w:t>
            </w:r>
          </w:p>
        </w:tc>
        <w:tc>
          <w:tcPr>
            <w:tcW w:w="993" w:type="dxa"/>
          </w:tcPr>
          <w:p w14:paraId="2808D981" w14:textId="77777777" w:rsidR="001A183D" w:rsidRPr="005E4220" w:rsidRDefault="001A183D">
            <w:pPr>
              <w:pStyle w:val="TableNbiophoto"/>
              <w:rPr>
                <w:sz w:val="16"/>
                <w:szCs w:val="20"/>
              </w:rPr>
            </w:pPr>
            <w:r w:rsidRPr="005E4220">
              <w:rPr>
                <w:sz w:val="16"/>
                <w:szCs w:val="20"/>
              </w:rPr>
              <w:t>40564</w:t>
            </w:r>
          </w:p>
        </w:tc>
        <w:tc>
          <w:tcPr>
            <w:tcW w:w="992" w:type="dxa"/>
          </w:tcPr>
          <w:p w14:paraId="768CED39" w14:textId="77777777" w:rsidR="001A183D" w:rsidRPr="005E4220" w:rsidRDefault="001A183D">
            <w:pPr>
              <w:pStyle w:val="TableNbiophoto"/>
              <w:rPr>
                <w:sz w:val="16"/>
                <w:szCs w:val="20"/>
              </w:rPr>
            </w:pPr>
            <w:r w:rsidRPr="005E4220">
              <w:rPr>
                <w:sz w:val="16"/>
                <w:szCs w:val="20"/>
              </w:rPr>
              <w:t>132</w:t>
            </w:r>
          </w:p>
        </w:tc>
        <w:tc>
          <w:tcPr>
            <w:tcW w:w="992" w:type="dxa"/>
          </w:tcPr>
          <w:p w14:paraId="177588DD" w14:textId="77777777" w:rsidR="001A183D" w:rsidRPr="005E4220" w:rsidRDefault="001A183D">
            <w:pPr>
              <w:pStyle w:val="TableNbiophoto"/>
              <w:rPr>
                <w:sz w:val="16"/>
                <w:szCs w:val="20"/>
              </w:rPr>
            </w:pPr>
            <w:r w:rsidRPr="005E4220">
              <w:rPr>
                <w:sz w:val="16"/>
                <w:szCs w:val="20"/>
              </w:rPr>
              <w:t>0.33%</w:t>
            </w:r>
          </w:p>
        </w:tc>
        <w:tc>
          <w:tcPr>
            <w:tcW w:w="991" w:type="dxa"/>
          </w:tcPr>
          <w:p w14:paraId="13104228"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0.07%</w:t>
            </w:r>
          </w:p>
        </w:tc>
      </w:tr>
      <w:tr w:rsidR="001A183D" w14:paraId="0AC3777D" w14:textId="77777777">
        <w:tc>
          <w:tcPr>
            <w:tcW w:w="2127" w:type="dxa"/>
          </w:tcPr>
          <w:p w14:paraId="6E8231BB"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06 - Specialist Orthopaedic</w:t>
            </w:r>
          </w:p>
        </w:tc>
        <w:tc>
          <w:tcPr>
            <w:tcW w:w="992" w:type="dxa"/>
          </w:tcPr>
          <w:p w14:paraId="13BACB32" w14:textId="77777777" w:rsidR="001A183D" w:rsidRPr="005E4220" w:rsidRDefault="001A183D">
            <w:pPr>
              <w:pStyle w:val="TableNbiophoto"/>
              <w:rPr>
                <w:sz w:val="16"/>
                <w:szCs w:val="20"/>
              </w:rPr>
            </w:pPr>
            <w:r w:rsidRPr="005E4220">
              <w:rPr>
                <w:sz w:val="16"/>
                <w:szCs w:val="20"/>
              </w:rPr>
              <w:t>576636</w:t>
            </w:r>
          </w:p>
        </w:tc>
        <w:tc>
          <w:tcPr>
            <w:tcW w:w="992" w:type="dxa"/>
          </w:tcPr>
          <w:p w14:paraId="0012052D" w14:textId="77777777" w:rsidR="001A183D" w:rsidRPr="005E4220" w:rsidRDefault="001A183D">
            <w:pPr>
              <w:pStyle w:val="TableNbiophoto"/>
              <w:rPr>
                <w:sz w:val="16"/>
                <w:szCs w:val="20"/>
              </w:rPr>
            </w:pPr>
            <w:r w:rsidRPr="005E4220">
              <w:rPr>
                <w:sz w:val="16"/>
                <w:szCs w:val="20"/>
              </w:rPr>
              <w:t>518</w:t>
            </w:r>
          </w:p>
        </w:tc>
        <w:tc>
          <w:tcPr>
            <w:tcW w:w="992" w:type="dxa"/>
          </w:tcPr>
          <w:p w14:paraId="4E5D31D0" w14:textId="77777777" w:rsidR="001A183D" w:rsidRPr="005E4220" w:rsidRDefault="001A183D">
            <w:pPr>
              <w:pStyle w:val="TableNbiophoto"/>
              <w:rPr>
                <w:sz w:val="16"/>
                <w:szCs w:val="20"/>
              </w:rPr>
            </w:pPr>
            <w:r w:rsidRPr="005E4220">
              <w:rPr>
                <w:sz w:val="16"/>
                <w:szCs w:val="20"/>
              </w:rPr>
              <w:t>0.09%</w:t>
            </w:r>
          </w:p>
        </w:tc>
        <w:tc>
          <w:tcPr>
            <w:tcW w:w="993" w:type="dxa"/>
          </w:tcPr>
          <w:p w14:paraId="684CE7AE" w14:textId="77777777" w:rsidR="001A183D" w:rsidRPr="005E4220" w:rsidRDefault="001A183D">
            <w:pPr>
              <w:pStyle w:val="TableNbiophoto"/>
              <w:rPr>
                <w:sz w:val="16"/>
                <w:szCs w:val="20"/>
              </w:rPr>
            </w:pPr>
            <w:r w:rsidRPr="005E4220">
              <w:rPr>
                <w:sz w:val="16"/>
                <w:szCs w:val="20"/>
              </w:rPr>
              <w:t>603234</w:t>
            </w:r>
          </w:p>
        </w:tc>
        <w:tc>
          <w:tcPr>
            <w:tcW w:w="992" w:type="dxa"/>
          </w:tcPr>
          <w:p w14:paraId="6960F3FF" w14:textId="77777777" w:rsidR="001A183D" w:rsidRPr="005E4220" w:rsidRDefault="001A183D">
            <w:pPr>
              <w:pStyle w:val="TableNbiophoto"/>
              <w:rPr>
                <w:sz w:val="16"/>
                <w:szCs w:val="20"/>
              </w:rPr>
            </w:pPr>
            <w:r w:rsidRPr="005E4220">
              <w:rPr>
                <w:sz w:val="16"/>
                <w:szCs w:val="20"/>
              </w:rPr>
              <w:t>2389</w:t>
            </w:r>
          </w:p>
        </w:tc>
        <w:tc>
          <w:tcPr>
            <w:tcW w:w="992" w:type="dxa"/>
          </w:tcPr>
          <w:p w14:paraId="477D6C28" w14:textId="77777777" w:rsidR="001A183D" w:rsidRPr="005E4220" w:rsidRDefault="001A183D">
            <w:pPr>
              <w:pStyle w:val="TableNbiophoto"/>
              <w:rPr>
                <w:sz w:val="16"/>
                <w:szCs w:val="20"/>
              </w:rPr>
            </w:pPr>
            <w:r w:rsidRPr="005E4220">
              <w:rPr>
                <w:sz w:val="16"/>
                <w:szCs w:val="20"/>
              </w:rPr>
              <w:t>0.40%</w:t>
            </w:r>
          </w:p>
        </w:tc>
        <w:tc>
          <w:tcPr>
            <w:tcW w:w="991" w:type="dxa"/>
          </w:tcPr>
          <w:p w14:paraId="31AB114D"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0.31%</w:t>
            </w:r>
          </w:p>
        </w:tc>
      </w:tr>
      <w:tr w:rsidR="001A183D" w14:paraId="5A53918C" w14:textId="77777777">
        <w:tc>
          <w:tcPr>
            <w:tcW w:w="2127" w:type="dxa"/>
          </w:tcPr>
          <w:p w14:paraId="07CBB8F3"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07 - Plastic and Reconstructive</w:t>
            </w:r>
          </w:p>
        </w:tc>
        <w:tc>
          <w:tcPr>
            <w:tcW w:w="992" w:type="dxa"/>
          </w:tcPr>
          <w:p w14:paraId="2D830125" w14:textId="77777777" w:rsidR="001A183D" w:rsidRPr="005E4220" w:rsidRDefault="001A183D">
            <w:pPr>
              <w:pStyle w:val="TableNbiophoto"/>
              <w:rPr>
                <w:sz w:val="16"/>
                <w:szCs w:val="20"/>
              </w:rPr>
            </w:pPr>
            <w:r w:rsidRPr="005E4220">
              <w:rPr>
                <w:sz w:val="16"/>
                <w:szCs w:val="20"/>
              </w:rPr>
              <w:t>112710</w:t>
            </w:r>
          </w:p>
        </w:tc>
        <w:tc>
          <w:tcPr>
            <w:tcW w:w="992" w:type="dxa"/>
          </w:tcPr>
          <w:p w14:paraId="15CFAB21" w14:textId="77777777" w:rsidR="001A183D" w:rsidRPr="005E4220" w:rsidRDefault="001A183D">
            <w:pPr>
              <w:pStyle w:val="TableNbiophoto"/>
              <w:rPr>
                <w:sz w:val="16"/>
                <w:szCs w:val="20"/>
              </w:rPr>
            </w:pPr>
            <w:r w:rsidRPr="005E4220">
              <w:rPr>
                <w:sz w:val="16"/>
                <w:szCs w:val="20"/>
              </w:rPr>
              <w:t>259</w:t>
            </w:r>
          </w:p>
        </w:tc>
        <w:tc>
          <w:tcPr>
            <w:tcW w:w="992" w:type="dxa"/>
          </w:tcPr>
          <w:p w14:paraId="5AE4DDCA" w14:textId="77777777" w:rsidR="001A183D" w:rsidRPr="005E4220" w:rsidRDefault="001A183D">
            <w:pPr>
              <w:pStyle w:val="TableNbiophoto"/>
              <w:rPr>
                <w:sz w:val="16"/>
                <w:szCs w:val="20"/>
              </w:rPr>
            </w:pPr>
            <w:r w:rsidRPr="005E4220">
              <w:rPr>
                <w:sz w:val="16"/>
                <w:szCs w:val="20"/>
              </w:rPr>
              <w:t>0.23%</w:t>
            </w:r>
          </w:p>
        </w:tc>
        <w:tc>
          <w:tcPr>
            <w:tcW w:w="993" w:type="dxa"/>
          </w:tcPr>
          <w:p w14:paraId="191D6F31" w14:textId="77777777" w:rsidR="001A183D" w:rsidRPr="005E4220" w:rsidRDefault="001A183D">
            <w:pPr>
              <w:pStyle w:val="TableNbiophoto"/>
              <w:rPr>
                <w:sz w:val="16"/>
                <w:szCs w:val="20"/>
              </w:rPr>
            </w:pPr>
            <w:r w:rsidRPr="005E4220">
              <w:rPr>
                <w:sz w:val="16"/>
                <w:szCs w:val="20"/>
              </w:rPr>
              <w:t>124658</w:t>
            </w:r>
          </w:p>
        </w:tc>
        <w:tc>
          <w:tcPr>
            <w:tcW w:w="992" w:type="dxa"/>
          </w:tcPr>
          <w:p w14:paraId="193F785B" w14:textId="77777777" w:rsidR="001A183D" w:rsidRPr="005E4220" w:rsidRDefault="001A183D">
            <w:pPr>
              <w:pStyle w:val="TableNbiophoto"/>
              <w:rPr>
                <w:sz w:val="16"/>
                <w:szCs w:val="20"/>
              </w:rPr>
            </w:pPr>
            <w:r w:rsidRPr="005E4220">
              <w:rPr>
                <w:sz w:val="16"/>
                <w:szCs w:val="20"/>
              </w:rPr>
              <w:t>492</w:t>
            </w:r>
          </w:p>
        </w:tc>
        <w:tc>
          <w:tcPr>
            <w:tcW w:w="992" w:type="dxa"/>
          </w:tcPr>
          <w:p w14:paraId="32F8EE76" w14:textId="77777777" w:rsidR="001A183D" w:rsidRPr="005E4220" w:rsidRDefault="001A183D">
            <w:pPr>
              <w:pStyle w:val="TableNbiophoto"/>
              <w:rPr>
                <w:sz w:val="16"/>
                <w:szCs w:val="20"/>
              </w:rPr>
            </w:pPr>
            <w:r w:rsidRPr="005E4220">
              <w:rPr>
                <w:sz w:val="16"/>
                <w:szCs w:val="20"/>
              </w:rPr>
              <w:t>0.39%</w:t>
            </w:r>
          </w:p>
        </w:tc>
        <w:tc>
          <w:tcPr>
            <w:tcW w:w="991" w:type="dxa"/>
          </w:tcPr>
          <w:p w14:paraId="12E0EF93"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0.16%</w:t>
            </w:r>
          </w:p>
        </w:tc>
      </w:tr>
      <w:tr w:rsidR="001A183D" w14:paraId="5CA836B4" w14:textId="77777777">
        <w:tc>
          <w:tcPr>
            <w:tcW w:w="2127" w:type="dxa"/>
          </w:tcPr>
          <w:p w14:paraId="53039C13"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08 - Cardiac</w:t>
            </w:r>
          </w:p>
        </w:tc>
        <w:tc>
          <w:tcPr>
            <w:tcW w:w="992" w:type="dxa"/>
          </w:tcPr>
          <w:p w14:paraId="4C87542D" w14:textId="77777777" w:rsidR="001A183D" w:rsidRPr="005E4220" w:rsidRDefault="001A183D">
            <w:pPr>
              <w:pStyle w:val="TableNbiophoto"/>
              <w:rPr>
                <w:sz w:val="16"/>
                <w:szCs w:val="20"/>
              </w:rPr>
            </w:pPr>
            <w:r w:rsidRPr="005E4220">
              <w:rPr>
                <w:sz w:val="16"/>
                <w:szCs w:val="20"/>
              </w:rPr>
              <w:t>72199</w:t>
            </w:r>
          </w:p>
        </w:tc>
        <w:tc>
          <w:tcPr>
            <w:tcW w:w="992" w:type="dxa"/>
          </w:tcPr>
          <w:p w14:paraId="7EB522ED" w14:textId="77777777" w:rsidR="001A183D" w:rsidRPr="005E4220" w:rsidRDefault="001A183D">
            <w:pPr>
              <w:pStyle w:val="TableNbiophoto"/>
              <w:rPr>
                <w:sz w:val="16"/>
                <w:szCs w:val="20"/>
              </w:rPr>
            </w:pPr>
            <w:r w:rsidRPr="005E4220">
              <w:rPr>
                <w:sz w:val="16"/>
                <w:szCs w:val="20"/>
              </w:rPr>
              <w:t>588</w:t>
            </w:r>
          </w:p>
        </w:tc>
        <w:tc>
          <w:tcPr>
            <w:tcW w:w="992" w:type="dxa"/>
          </w:tcPr>
          <w:p w14:paraId="0609E379" w14:textId="77777777" w:rsidR="001A183D" w:rsidRPr="005E4220" w:rsidRDefault="001A183D">
            <w:pPr>
              <w:pStyle w:val="TableNbiophoto"/>
              <w:rPr>
                <w:sz w:val="16"/>
                <w:szCs w:val="20"/>
              </w:rPr>
            </w:pPr>
            <w:r w:rsidRPr="005E4220">
              <w:rPr>
                <w:sz w:val="16"/>
                <w:szCs w:val="20"/>
              </w:rPr>
              <w:t>0.81%</w:t>
            </w:r>
          </w:p>
        </w:tc>
        <w:tc>
          <w:tcPr>
            <w:tcW w:w="993" w:type="dxa"/>
          </w:tcPr>
          <w:p w14:paraId="446858B9" w14:textId="77777777" w:rsidR="001A183D" w:rsidRPr="005E4220" w:rsidRDefault="001A183D">
            <w:pPr>
              <w:pStyle w:val="TableNbiophoto"/>
              <w:rPr>
                <w:sz w:val="16"/>
                <w:szCs w:val="20"/>
              </w:rPr>
            </w:pPr>
            <w:r w:rsidRPr="005E4220">
              <w:rPr>
                <w:sz w:val="16"/>
                <w:szCs w:val="20"/>
              </w:rPr>
              <w:t>71339</w:t>
            </w:r>
          </w:p>
        </w:tc>
        <w:tc>
          <w:tcPr>
            <w:tcW w:w="992" w:type="dxa"/>
          </w:tcPr>
          <w:p w14:paraId="72207AC9" w14:textId="77777777" w:rsidR="001A183D" w:rsidRPr="005E4220" w:rsidRDefault="001A183D">
            <w:pPr>
              <w:pStyle w:val="TableNbiophoto"/>
              <w:rPr>
                <w:sz w:val="16"/>
                <w:szCs w:val="20"/>
              </w:rPr>
            </w:pPr>
            <w:r w:rsidRPr="005E4220">
              <w:rPr>
                <w:sz w:val="16"/>
                <w:szCs w:val="20"/>
              </w:rPr>
              <w:t>817</w:t>
            </w:r>
          </w:p>
        </w:tc>
        <w:tc>
          <w:tcPr>
            <w:tcW w:w="992" w:type="dxa"/>
          </w:tcPr>
          <w:p w14:paraId="63135918" w14:textId="77777777" w:rsidR="001A183D" w:rsidRPr="005E4220" w:rsidRDefault="001A183D">
            <w:pPr>
              <w:pStyle w:val="TableNbiophoto"/>
              <w:rPr>
                <w:sz w:val="16"/>
                <w:szCs w:val="20"/>
              </w:rPr>
            </w:pPr>
            <w:r w:rsidRPr="005E4220">
              <w:rPr>
                <w:sz w:val="16"/>
                <w:szCs w:val="20"/>
              </w:rPr>
              <w:t>1.15%</w:t>
            </w:r>
          </w:p>
        </w:tc>
        <w:tc>
          <w:tcPr>
            <w:tcW w:w="991" w:type="dxa"/>
          </w:tcPr>
          <w:p w14:paraId="784DD318"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0.33%</w:t>
            </w:r>
          </w:p>
        </w:tc>
      </w:tr>
      <w:tr w:rsidR="001A183D" w14:paraId="53C26C6F" w14:textId="77777777">
        <w:tc>
          <w:tcPr>
            <w:tcW w:w="2127" w:type="dxa"/>
          </w:tcPr>
          <w:p w14:paraId="3C478250"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09 - Cardiothoracic</w:t>
            </w:r>
          </w:p>
        </w:tc>
        <w:tc>
          <w:tcPr>
            <w:tcW w:w="992" w:type="dxa"/>
          </w:tcPr>
          <w:p w14:paraId="1E5F189F" w14:textId="77777777" w:rsidR="001A183D" w:rsidRPr="005E4220" w:rsidRDefault="001A183D">
            <w:pPr>
              <w:pStyle w:val="TableNbiophoto"/>
              <w:rPr>
                <w:sz w:val="16"/>
                <w:szCs w:val="20"/>
              </w:rPr>
            </w:pPr>
            <w:r w:rsidRPr="005E4220">
              <w:rPr>
                <w:sz w:val="16"/>
                <w:szCs w:val="20"/>
              </w:rPr>
              <w:t>8091</w:t>
            </w:r>
          </w:p>
        </w:tc>
        <w:tc>
          <w:tcPr>
            <w:tcW w:w="992" w:type="dxa"/>
          </w:tcPr>
          <w:p w14:paraId="41405245" w14:textId="77777777" w:rsidR="001A183D" w:rsidRPr="005E4220" w:rsidRDefault="001A183D">
            <w:pPr>
              <w:pStyle w:val="TableNbiophoto"/>
              <w:rPr>
                <w:sz w:val="16"/>
                <w:szCs w:val="20"/>
              </w:rPr>
            </w:pPr>
            <w:r w:rsidRPr="005E4220">
              <w:rPr>
                <w:sz w:val="16"/>
                <w:szCs w:val="20"/>
              </w:rPr>
              <w:t>198</w:t>
            </w:r>
          </w:p>
        </w:tc>
        <w:tc>
          <w:tcPr>
            <w:tcW w:w="992" w:type="dxa"/>
          </w:tcPr>
          <w:p w14:paraId="5BA0F7FB" w14:textId="77777777" w:rsidR="001A183D" w:rsidRPr="005E4220" w:rsidRDefault="001A183D">
            <w:pPr>
              <w:pStyle w:val="TableNbiophoto"/>
              <w:rPr>
                <w:sz w:val="16"/>
                <w:szCs w:val="20"/>
              </w:rPr>
            </w:pPr>
            <w:r w:rsidRPr="005E4220">
              <w:rPr>
                <w:sz w:val="16"/>
                <w:szCs w:val="20"/>
              </w:rPr>
              <w:t>2.45%</w:t>
            </w:r>
          </w:p>
        </w:tc>
        <w:tc>
          <w:tcPr>
            <w:tcW w:w="993" w:type="dxa"/>
          </w:tcPr>
          <w:p w14:paraId="49564CFF" w14:textId="77777777" w:rsidR="001A183D" w:rsidRPr="005E4220" w:rsidRDefault="001A183D">
            <w:pPr>
              <w:pStyle w:val="TableNbiophoto"/>
              <w:rPr>
                <w:sz w:val="16"/>
                <w:szCs w:val="20"/>
              </w:rPr>
            </w:pPr>
            <w:r w:rsidRPr="005E4220">
              <w:rPr>
                <w:sz w:val="16"/>
                <w:szCs w:val="20"/>
              </w:rPr>
              <w:t>8208</w:t>
            </w:r>
          </w:p>
        </w:tc>
        <w:tc>
          <w:tcPr>
            <w:tcW w:w="992" w:type="dxa"/>
          </w:tcPr>
          <w:p w14:paraId="0ED4B34C" w14:textId="77777777" w:rsidR="001A183D" w:rsidRPr="005E4220" w:rsidRDefault="001A183D">
            <w:pPr>
              <w:pStyle w:val="TableNbiophoto"/>
              <w:rPr>
                <w:sz w:val="16"/>
                <w:szCs w:val="20"/>
              </w:rPr>
            </w:pPr>
            <w:r w:rsidRPr="005E4220">
              <w:rPr>
                <w:sz w:val="16"/>
                <w:szCs w:val="20"/>
              </w:rPr>
              <w:t>181</w:t>
            </w:r>
          </w:p>
        </w:tc>
        <w:tc>
          <w:tcPr>
            <w:tcW w:w="992" w:type="dxa"/>
          </w:tcPr>
          <w:p w14:paraId="10EF2A3A" w14:textId="77777777" w:rsidR="001A183D" w:rsidRPr="005E4220" w:rsidRDefault="001A183D">
            <w:pPr>
              <w:pStyle w:val="TableNbiophoto"/>
              <w:rPr>
                <w:sz w:val="16"/>
                <w:szCs w:val="20"/>
              </w:rPr>
            </w:pPr>
            <w:r w:rsidRPr="005E4220">
              <w:rPr>
                <w:sz w:val="16"/>
                <w:szCs w:val="20"/>
              </w:rPr>
              <w:t>2.21%</w:t>
            </w:r>
          </w:p>
        </w:tc>
        <w:tc>
          <w:tcPr>
            <w:tcW w:w="991" w:type="dxa"/>
          </w:tcPr>
          <w:p w14:paraId="4233AEB7"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-0.24%</w:t>
            </w:r>
          </w:p>
        </w:tc>
      </w:tr>
      <w:tr w:rsidR="001A183D" w14:paraId="39873B4C" w14:textId="77777777">
        <w:tc>
          <w:tcPr>
            <w:tcW w:w="2127" w:type="dxa"/>
          </w:tcPr>
          <w:p w14:paraId="64C6C2E0"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10 - Vascular</w:t>
            </w:r>
          </w:p>
        </w:tc>
        <w:tc>
          <w:tcPr>
            <w:tcW w:w="992" w:type="dxa"/>
          </w:tcPr>
          <w:p w14:paraId="382F0270" w14:textId="77777777" w:rsidR="001A183D" w:rsidRPr="005E4220" w:rsidRDefault="001A183D">
            <w:pPr>
              <w:pStyle w:val="TableNbiophoto"/>
              <w:rPr>
                <w:sz w:val="16"/>
                <w:szCs w:val="20"/>
              </w:rPr>
            </w:pPr>
            <w:r w:rsidRPr="005E4220">
              <w:rPr>
                <w:sz w:val="16"/>
                <w:szCs w:val="20"/>
              </w:rPr>
              <w:t>33744</w:t>
            </w:r>
          </w:p>
        </w:tc>
        <w:tc>
          <w:tcPr>
            <w:tcW w:w="992" w:type="dxa"/>
          </w:tcPr>
          <w:p w14:paraId="7E7D4E36" w14:textId="77777777" w:rsidR="001A183D" w:rsidRPr="005E4220" w:rsidRDefault="001A183D">
            <w:pPr>
              <w:pStyle w:val="TableNbiophoto"/>
              <w:rPr>
                <w:sz w:val="16"/>
                <w:szCs w:val="20"/>
              </w:rPr>
            </w:pPr>
            <w:r w:rsidRPr="005E4220">
              <w:rPr>
                <w:sz w:val="16"/>
                <w:szCs w:val="20"/>
              </w:rPr>
              <w:t>72</w:t>
            </w:r>
          </w:p>
        </w:tc>
        <w:tc>
          <w:tcPr>
            <w:tcW w:w="992" w:type="dxa"/>
          </w:tcPr>
          <w:p w14:paraId="282E716B" w14:textId="77777777" w:rsidR="001A183D" w:rsidRPr="005E4220" w:rsidRDefault="001A183D">
            <w:pPr>
              <w:pStyle w:val="TableNbiophoto"/>
              <w:rPr>
                <w:sz w:val="16"/>
                <w:szCs w:val="20"/>
              </w:rPr>
            </w:pPr>
            <w:r w:rsidRPr="005E4220">
              <w:rPr>
                <w:sz w:val="16"/>
                <w:szCs w:val="20"/>
              </w:rPr>
              <w:t>0.21%</w:t>
            </w:r>
          </w:p>
        </w:tc>
        <w:tc>
          <w:tcPr>
            <w:tcW w:w="993" w:type="dxa"/>
          </w:tcPr>
          <w:p w14:paraId="18C1DCD5" w14:textId="77777777" w:rsidR="001A183D" w:rsidRPr="005E4220" w:rsidRDefault="001A183D">
            <w:pPr>
              <w:pStyle w:val="TableNbiophoto"/>
              <w:rPr>
                <w:sz w:val="16"/>
                <w:szCs w:val="20"/>
              </w:rPr>
            </w:pPr>
            <w:r w:rsidRPr="005E4220">
              <w:rPr>
                <w:sz w:val="16"/>
                <w:szCs w:val="20"/>
              </w:rPr>
              <w:t>33106</w:t>
            </w:r>
          </w:p>
        </w:tc>
        <w:tc>
          <w:tcPr>
            <w:tcW w:w="992" w:type="dxa"/>
          </w:tcPr>
          <w:p w14:paraId="60418B61" w14:textId="77777777" w:rsidR="001A183D" w:rsidRPr="005E4220" w:rsidRDefault="001A183D">
            <w:pPr>
              <w:pStyle w:val="TableNbiophoto"/>
              <w:rPr>
                <w:sz w:val="16"/>
                <w:szCs w:val="20"/>
              </w:rPr>
            </w:pPr>
            <w:r w:rsidRPr="005E4220">
              <w:rPr>
                <w:sz w:val="16"/>
                <w:szCs w:val="20"/>
              </w:rPr>
              <w:t>57</w:t>
            </w:r>
          </w:p>
        </w:tc>
        <w:tc>
          <w:tcPr>
            <w:tcW w:w="992" w:type="dxa"/>
          </w:tcPr>
          <w:p w14:paraId="4D8CE453" w14:textId="77777777" w:rsidR="001A183D" w:rsidRPr="005E4220" w:rsidRDefault="001A183D">
            <w:pPr>
              <w:pStyle w:val="TableNbiophoto"/>
              <w:rPr>
                <w:sz w:val="16"/>
                <w:szCs w:val="20"/>
              </w:rPr>
            </w:pPr>
            <w:r w:rsidRPr="005E4220">
              <w:rPr>
                <w:sz w:val="16"/>
                <w:szCs w:val="20"/>
              </w:rPr>
              <w:t>0.17%</w:t>
            </w:r>
          </w:p>
        </w:tc>
        <w:tc>
          <w:tcPr>
            <w:tcW w:w="991" w:type="dxa"/>
          </w:tcPr>
          <w:p w14:paraId="3120270F"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-0.04%</w:t>
            </w:r>
          </w:p>
        </w:tc>
      </w:tr>
      <w:tr w:rsidR="001A183D" w14:paraId="675CC3C2" w14:textId="77777777">
        <w:tc>
          <w:tcPr>
            <w:tcW w:w="2127" w:type="dxa"/>
          </w:tcPr>
          <w:p w14:paraId="13FAAC14"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11 - Hip</w:t>
            </w:r>
          </w:p>
        </w:tc>
        <w:tc>
          <w:tcPr>
            <w:tcW w:w="992" w:type="dxa"/>
          </w:tcPr>
          <w:p w14:paraId="12A82A19" w14:textId="77777777" w:rsidR="001A183D" w:rsidRPr="005E4220" w:rsidRDefault="001A183D">
            <w:pPr>
              <w:pStyle w:val="TableNbiophoto"/>
              <w:rPr>
                <w:sz w:val="16"/>
                <w:szCs w:val="20"/>
              </w:rPr>
            </w:pPr>
            <w:r w:rsidRPr="005E4220">
              <w:rPr>
                <w:sz w:val="16"/>
                <w:szCs w:val="20"/>
              </w:rPr>
              <w:t>131688</w:t>
            </w:r>
          </w:p>
        </w:tc>
        <w:tc>
          <w:tcPr>
            <w:tcW w:w="992" w:type="dxa"/>
          </w:tcPr>
          <w:p w14:paraId="5863C8B6" w14:textId="77777777" w:rsidR="001A183D" w:rsidRPr="005E4220" w:rsidRDefault="001A183D">
            <w:pPr>
              <w:pStyle w:val="TableNbiophoto"/>
              <w:rPr>
                <w:sz w:val="16"/>
                <w:szCs w:val="20"/>
              </w:rPr>
            </w:pPr>
            <w:r w:rsidRPr="005E4220">
              <w:rPr>
                <w:sz w:val="16"/>
                <w:szCs w:val="20"/>
              </w:rPr>
              <w:t>58</w:t>
            </w:r>
          </w:p>
        </w:tc>
        <w:tc>
          <w:tcPr>
            <w:tcW w:w="992" w:type="dxa"/>
          </w:tcPr>
          <w:p w14:paraId="0717E0D6" w14:textId="77777777" w:rsidR="001A183D" w:rsidRPr="005E4220" w:rsidRDefault="001A183D">
            <w:pPr>
              <w:pStyle w:val="TableNbiophoto"/>
              <w:rPr>
                <w:sz w:val="16"/>
                <w:szCs w:val="20"/>
              </w:rPr>
            </w:pPr>
            <w:r w:rsidRPr="005E4220">
              <w:rPr>
                <w:sz w:val="16"/>
                <w:szCs w:val="20"/>
              </w:rPr>
              <w:t>0.04%</w:t>
            </w:r>
          </w:p>
        </w:tc>
        <w:tc>
          <w:tcPr>
            <w:tcW w:w="993" w:type="dxa"/>
          </w:tcPr>
          <w:p w14:paraId="3A1928BE" w14:textId="77777777" w:rsidR="001A183D" w:rsidRPr="005E4220" w:rsidRDefault="001A183D">
            <w:pPr>
              <w:pStyle w:val="TableNbiophoto"/>
              <w:rPr>
                <w:sz w:val="16"/>
                <w:szCs w:val="20"/>
              </w:rPr>
            </w:pPr>
            <w:r w:rsidRPr="005E4220">
              <w:rPr>
                <w:sz w:val="16"/>
                <w:szCs w:val="20"/>
              </w:rPr>
              <w:t>139250</w:t>
            </w:r>
          </w:p>
        </w:tc>
        <w:tc>
          <w:tcPr>
            <w:tcW w:w="992" w:type="dxa"/>
          </w:tcPr>
          <w:p w14:paraId="723CC0EF" w14:textId="77777777" w:rsidR="001A183D" w:rsidRPr="005E4220" w:rsidRDefault="001A183D">
            <w:pPr>
              <w:pStyle w:val="TableNbiophoto"/>
              <w:rPr>
                <w:sz w:val="16"/>
                <w:szCs w:val="20"/>
              </w:rPr>
            </w:pPr>
            <w:r w:rsidRPr="005E4220">
              <w:rPr>
                <w:sz w:val="16"/>
                <w:szCs w:val="20"/>
              </w:rPr>
              <w:t>280</w:t>
            </w:r>
          </w:p>
        </w:tc>
        <w:tc>
          <w:tcPr>
            <w:tcW w:w="992" w:type="dxa"/>
          </w:tcPr>
          <w:p w14:paraId="1FC28EB5" w14:textId="77777777" w:rsidR="001A183D" w:rsidRPr="005E4220" w:rsidRDefault="001A183D">
            <w:pPr>
              <w:pStyle w:val="TableNbiophoto"/>
              <w:rPr>
                <w:sz w:val="16"/>
                <w:szCs w:val="20"/>
              </w:rPr>
            </w:pPr>
            <w:r w:rsidRPr="005E4220">
              <w:rPr>
                <w:sz w:val="16"/>
                <w:szCs w:val="20"/>
              </w:rPr>
              <w:t>0.20%</w:t>
            </w:r>
          </w:p>
        </w:tc>
        <w:tc>
          <w:tcPr>
            <w:tcW w:w="991" w:type="dxa"/>
          </w:tcPr>
          <w:p w14:paraId="05E96F3A"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0.16%</w:t>
            </w:r>
          </w:p>
        </w:tc>
      </w:tr>
      <w:tr w:rsidR="001A183D" w14:paraId="405645AD" w14:textId="77777777">
        <w:tc>
          <w:tcPr>
            <w:tcW w:w="2127" w:type="dxa"/>
          </w:tcPr>
          <w:p w14:paraId="6CCED273"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12 - Knee</w:t>
            </w:r>
          </w:p>
        </w:tc>
        <w:tc>
          <w:tcPr>
            <w:tcW w:w="992" w:type="dxa"/>
          </w:tcPr>
          <w:p w14:paraId="556C71F9" w14:textId="77777777" w:rsidR="001A183D" w:rsidRPr="005E4220" w:rsidRDefault="001A183D">
            <w:pPr>
              <w:pStyle w:val="TableNbiophoto"/>
              <w:rPr>
                <w:sz w:val="16"/>
                <w:szCs w:val="20"/>
              </w:rPr>
            </w:pPr>
            <w:r w:rsidRPr="005E4220">
              <w:rPr>
                <w:sz w:val="16"/>
                <w:szCs w:val="20"/>
              </w:rPr>
              <w:t>146135</w:t>
            </w:r>
          </w:p>
        </w:tc>
        <w:tc>
          <w:tcPr>
            <w:tcW w:w="992" w:type="dxa"/>
          </w:tcPr>
          <w:p w14:paraId="3C5D4263" w14:textId="77777777" w:rsidR="001A183D" w:rsidRPr="005E4220" w:rsidRDefault="001A183D">
            <w:pPr>
              <w:pStyle w:val="TableNbiophoto"/>
              <w:rPr>
                <w:sz w:val="16"/>
                <w:szCs w:val="20"/>
              </w:rPr>
            </w:pPr>
            <w:r w:rsidRPr="005E4220">
              <w:rPr>
                <w:sz w:val="16"/>
                <w:szCs w:val="20"/>
              </w:rPr>
              <w:t>118</w:t>
            </w:r>
          </w:p>
        </w:tc>
        <w:tc>
          <w:tcPr>
            <w:tcW w:w="992" w:type="dxa"/>
          </w:tcPr>
          <w:p w14:paraId="60C89D24" w14:textId="77777777" w:rsidR="001A183D" w:rsidRPr="005E4220" w:rsidRDefault="001A183D">
            <w:pPr>
              <w:pStyle w:val="TableNbiophoto"/>
              <w:rPr>
                <w:sz w:val="16"/>
                <w:szCs w:val="20"/>
              </w:rPr>
            </w:pPr>
            <w:r w:rsidRPr="005E4220">
              <w:rPr>
                <w:sz w:val="16"/>
                <w:szCs w:val="20"/>
              </w:rPr>
              <w:t>0.08%</w:t>
            </w:r>
          </w:p>
        </w:tc>
        <w:tc>
          <w:tcPr>
            <w:tcW w:w="993" w:type="dxa"/>
          </w:tcPr>
          <w:p w14:paraId="0B414B5E" w14:textId="77777777" w:rsidR="001A183D" w:rsidRPr="005E4220" w:rsidRDefault="001A183D">
            <w:pPr>
              <w:pStyle w:val="TableNbiophoto"/>
              <w:rPr>
                <w:sz w:val="16"/>
                <w:szCs w:val="20"/>
              </w:rPr>
            </w:pPr>
            <w:r w:rsidRPr="005E4220">
              <w:rPr>
                <w:sz w:val="16"/>
                <w:szCs w:val="20"/>
              </w:rPr>
              <w:t>168835</w:t>
            </w:r>
          </w:p>
        </w:tc>
        <w:tc>
          <w:tcPr>
            <w:tcW w:w="992" w:type="dxa"/>
          </w:tcPr>
          <w:p w14:paraId="62F50E18" w14:textId="77777777" w:rsidR="001A183D" w:rsidRPr="005E4220" w:rsidRDefault="001A183D">
            <w:pPr>
              <w:pStyle w:val="TableNbiophoto"/>
              <w:rPr>
                <w:sz w:val="16"/>
                <w:szCs w:val="20"/>
              </w:rPr>
            </w:pPr>
            <w:r w:rsidRPr="005E4220">
              <w:rPr>
                <w:sz w:val="16"/>
                <w:szCs w:val="20"/>
              </w:rPr>
              <w:t>494</w:t>
            </w:r>
          </w:p>
        </w:tc>
        <w:tc>
          <w:tcPr>
            <w:tcW w:w="992" w:type="dxa"/>
          </w:tcPr>
          <w:p w14:paraId="6E2A8A5B" w14:textId="77777777" w:rsidR="001A183D" w:rsidRPr="005E4220" w:rsidRDefault="001A183D">
            <w:pPr>
              <w:pStyle w:val="TableNbiophoto"/>
              <w:rPr>
                <w:sz w:val="16"/>
                <w:szCs w:val="20"/>
              </w:rPr>
            </w:pPr>
            <w:r w:rsidRPr="005E4220">
              <w:rPr>
                <w:sz w:val="16"/>
                <w:szCs w:val="20"/>
              </w:rPr>
              <w:t>0.29%</w:t>
            </w:r>
          </w:p>
        </w:tc>
        <w:tc>
          <w:tcPr>
            <w:tcW w:w="991" w:type="dxa"/>
          </w:tcPr>
          <w:p w14:paraId="710AA484"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0.21%</w:t>
            </w:r>
          </w:p>
        </w:tc>
      </w:tr>
      <w:tr w:rsidR="001A183D" w14:paraId="3FD5C5DC" w14:textId="77777777">
        <w:tc>
          <w:tcPr>
            <w:tcW w:w="2127" w:type="dxa"/>
          </w:tcPr>
          <w:p w14:paraId="48BBE313"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13 - Spinal</w:t>
            </w:r>
          </w:p>
        </w:tc>
        <w:tc>
          <w:tcPr>
            <w:tcW w:w="992" w:type="dxa"/>
          </w:tcPr>
          <w:p w14:paraId="6B0338F3" w14:textId="77777777" w:rsidR="001A183D" w:rsidRPr="005E4220" w:rsidRDefault="001A183D">
            <w:pPr>
              <w:pStyle w:val="TableNbiophoto"/>
              <w:rPr>
                <w:sz w:val="16"/>
                <w:szCs w:val="20"/>
              </w:rPr>
            </w:pPr>
            <w:r w:rsidRPr="005E4220">
              <w:rPr>
                <w:sz w:val="16"/>
                <w:szCs w:val="20"/>
              </w:rPr>
              <w:t>135788</w:t>
            </w:r>
          </w:p>
        </w:tc>
        <w:tc>
          <w:tcPr>
            <w:tcW w:w="992" w:type="dxa"/>
          </w:tcPr>
          <w:p w14:paraId="75ACB570" w14:textId="77777777" w:rsidR="001A183D" w:rsidRPr="005E4220" w:rsidRDefault="001A183D">
            <w:pPr>
              <w:pStyle w:val="TableNbiophoto"/>
              <w:rPr>
                <w:sz w:val="16"/>
                <w:szCs w:val="20"/>
              </w:rPr>
            </w:pPr>
            <w:r w:rsidRPr="005E4220">
              <w:rPr>
                <w:sz w:val="16"/>
                <w:szCs w:val="20"/>
              </w:rPr>
              <w:t>101</w:t>
            </w:r>
          </w:p>
        </w:tc>
        <w:tc>
          <w:tcPr>
            <w:tcW w:w="992" w:type="dxa"/>
          </w:tcPr>
          <w:p w14:paraId="7DB990EE" w14:textId="77777777" w:rsidR="001A183D" w:rsidRPr="005E4220" w:rsidRDefault="001A183D">
            <w:pPr>
              <w:pStyle w:val="TableNbiophoto"/>
              <w:rPr>
                <w:sz w:val="16"/>
                <w:szCs w:val="20"/>
              </w:rPr>
            </w:pPr>
            <w:r w:rsidRPr="005E4220">
              <w:rPr>
                <w:sz w:val="16"/>
                <w:szCs w:val="20"/>
              </w:rPr>
              <w:t>0.07%</w:t>
            </w:r>
          </w:p>
        </w:tc>
        <w:tc>
          <w:tcPr>
            <w:tcW w:w="993" w:type="dxa"/>
          </w:tcPr>
          <w:p w14:paraId="52F9F56B" w14:textId="77777777" w:rsidR="001A183D" w:rsidRPr="005E4220" w:rsidRDefault="001A183D">
            <w:pPr>
              <w:pStyle w:val="TableNbiophoto"/>
              <w:rPr>
                <w:sz w:val="16"/>
                <w:szCs w:val="20"/>
              </w:rPr>
            </w:pPr>
            <w:r w:rsidRPr="005E4220">
              <w:rPr>
                <w:sz w:val="16"/>
                <w:szCs w:val="20"/>
              </w:rPr>
              <w:t>135373</w:t>
            </w:r>
          </w:p>
        </w:tc>
        <w:tc>
          <w:tcPr>
            <w:tcW w:w="992" w:type="dxa"/>
          </w:tcPr>
          <w:p w14:paraId="5A48E68E" w14:textId="77777777" w:rsidR="001A183D" w:rsidRPr="005E4220" w:rsidRDefault="001A183D">
            <w:pPr>
              <w:pStyle w:val="TableNbiophoto"/>
              <w:rPr>
                <w:sz w:val="16"/>
                <w:szCs w:val="20"/>
              </w:rPr>
            </w:pPr>
            <w:r w:rsidRPr="005E4220">
              <w:rPr>
                <w:sz w:val="16"/>
                <w:szCs w:val="20"/>
              </w:rPr>
              <w:t>237</w:t>
            </w:r>
          </w:p>
        </w:tc>
        <w:tc>
          <w:tcPr>
            <w:tcW w:w="992" w:type="dxa"/>
          </w:tcPr>
          <w:p w14:paraId="39C1C9E0" w14:textId="77777777" w:rsidR="001A183D" w:rsidRPr="005E4220" w:rsidRDefault="001A183D">
            <w:pPr>
              <w:pStyle w:val="TableNbiophoto"/>
              <w:rPr>
                <w:sz w:val="16"/>
                <w:szCs w:val="20"/>
              </w:rPr>
            </w:pPr>
            <w:r w:rsidRPr="005E4220">
              <w:rPr>
                <w:sz w:val="16"/>
                <w:szCs w:val="20"/>
              </w:rPr>
              <w:t>0.18%</w:t>
            </w:r>
          </w:p>
        </w:tc>
        <w:tc>
          <w:tcPr>
            <w:tcW w:w="991" w:type="dxa"/>
          </w:tcPr>
          <w:p w14:paraId="5A6A6C9E"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0.10%</w:t>
            </w:r>
          </w:p>
        </w:tc>
      </w:tr>
    </w:tbl>
    <w:p w14:paraId="108537D5" w14:textId="7B30105C" w:rsidR="007F3633" w:rsidRDefault="007F3633" w:rsidP="007F3633">
      <w:pPr>
        <w:pStyle w:val="Heading4"/>
      </w:pPr>
      <w:r w:rsidRPr="00F91859">
        <w:rPr>
          <w:color w:val="F25E21" w:themeColor="accent2"/>
        </w:rPr>
        <w:t xml:space="preserve">Measure </w:t>
      </w:r>
      <w:r>
        <w:rPr>
          <w:color w:val="F25E21" w:themeColor="accent2"/>
        </w:rPr>
        <w:t>3</w:t>
      </w:r>
      <w:r w:rsidRPr="00F91859">
        <w:rPr>
          <w:color w:val="F25E21" w:themeColor="accent2"/>
        </w:rPr>
        <w:t>.</w:t>
      </w:r>
      <w:r>
        <w:rPr>
          <w:color w:val="F25E21" w:themeColor="accent2"/>
        </w:rPr>
        <w:t>2</w:t>
      </w:r>
      <w:r w:rsidRPr="00F91859">
        <w:rPr>
          <w:color w:val="F25E21" w:themeColor="accent2"/>
        </w:rPr>
        <w:t xml:space="preserve">: </w:t>
      </w:r>
      <w:r w:rsidRPr="007F3633">
        <w:t>Average gap payment for PL-listed items</w:t>
      </w:r>
    </w:p>
    <w:p w14:paraId="721EF72D" w14:textId="25E96351" w:rsidR="001A183D" w:rsidRDefault="001A183D" w:rsidP="001A183D">
      <w:pPr>
        <w:pStyle w:val="Caption"/>
      </w:pPr>
      <w:bookmarkStart w:id="134" w:name="_Ref176952615"/>
      <w:r>
        <w:t xml:space="preserve">Table </w:t>
      </w:r>
      <w:r>
        <w:fldChar w:fldCharType="begin"/>
      </w:r>
      <w:r>
        <w:instrText xml:space="preserve"> SEQ Table \* ARABIC </w:instrText>
      </w:r>
      <w:r>
        <w:fldChar w:fldCharType="separate"/>
      </w:r>
      <w:r w:rsidR="009B5D8D">
        <w:rPr>
          <w:noProof/>
        </w:rPr>
        <w:t>26</w:t>
      </w:r>
      <w:r>
        <w:fldChar w:fldCharType="end"/>
      </w:r>
      <w:bookmarkEnd w:id="134"/>
      <w:r>
        <w:t xml:space="preserve"> | Value of gap by Part A categories</w:t>
      </w:r>
      <w:r>
        <w:rPr>
          <w:rStyle w:val="FootnoteReference"/>
        </w:rPr>
        <w:footnoteReference w:id="140"/>
      </w:r>
    </w:p>
    <w:tbl>
      <w:tblPr>
        <w:tblStyle w:val="NOUS"/>
        <w:tblW w:w="0" w:type="auto"/>
        <w:tblLook w:val="04A0" w:firstRow="1" w:lastRow="0" w:firstColumn="1" w:lastColumn="0" w:noHBand="0" w:noVBand="1"/>
      </w:tblPr>
      <w:tblGrid>
        <w:gridCol w:w="2127"/>
        <w:gridCol w:w="992"/>
        <w:gridCol w:w="992"/>
        <w:gridCol w:w="992"/>
        <w:gridCol w:w="993"/>
        <w:gridCol w:w="992"/>
        <w:gridCol w:w="992"/>
        <w:gridCol w:w="991"/>
      </w:tblGrid>
      <w:tr w:rsidR="001A183D" w14:paraId="2080A16B" w14:textId="77777777">
        <w:trPr>
          <w:cnfStyle w:val="100000000000" w:firstRow="1" w:lastRow="0" w:firstColumn="0" w:lastColumn="0" w:oddVBand="0" w:evenVBand="0" w:oddHBand="0" w:evenHBand="0" w:firstRowFirstColumn="0" w:firstRowLastColumn="0" w:lastRowFirstColumn="0" w:lastRowLastColumn="0"/>
        </w:trPr>
        <w:tc>
          <w:tcPr>
            <w:tcW w:w="2127" w:type="dxa"/>
            <w:tcBorders>
              <w:bottom w:val="single" w:sz="8" w:space="0" w:color="E6E6E1" w:themeColor="accent5"/>
            </w:tcBorders>
          </w:tcPr>
          <w:p w14:paraId="28FD7EDF" w14:textId="77777777" w:rsidR="001A183D" w:rsidRPr="00654913" w:rsidRDefault="001A183D">
            <w:pPr>
              <w:pStyle w:val="TableNheader"/>
              <w:rPr>
                <w:b w:val="0"/>
                <w:bCs/>
              </w:rPr>
            </w:pPr>
          </w:p>
        </w:tc>
        <w:tc>
          <w:tcPr>
            <w:tcW w:w="2976" w:type="dxa"/>
            <w:gridSpan w:val="3"/>
            <w:tcBorders>
              <w:bottom w:val="single" w:sz="8" w:space="0" w:color="E6E6E1" w:themeColor="accent5"/>
            </w:tcBorders>
          </w:tcPr>
          <w:p w14:paraId="1FF8FEDD" w14:textId="77777777" w:rsidR="001A183D" w:rsidRPr="00654913" w:rsidRDefault="001A183D">
            <w:pPr>
              <w:pStyle w:val="TableNheader"/>
              <w:rPr>
                <w:b w:val="0"/>
                <w:bCs/>
              </w:rPr>
            </w:pPr>
            <w:r>
              <w:rPr>
                <w:b w:val="0"/>
                <w:bCs/>
              </w:rPr>
              <w:t>FY22</w:t>
            </w:r>
          </w:p>
        </w:tc>
        <w:tc>
          <w:tcPr>
            <w:tcW w:w="2977" w:type="dxa"/>
            <w:gridSpan w:val="3"/>
            <w:tcBorders>
              <w:bottom w:val="single" w:sz="8" w:space="0" w:color="E6E6E1" w:themeColor="accent5"/>
            </w:tcBorders>
          </w:tcPr>
          <w:p w14:paraId="2E563390" w14:textId="77777777" w:rsidR="001A183D" w:rsidRPr="00654913" w:rsidRDefault="001A183D">
            <w:pPr>
              <w:pStyle w:val="TableNheader"/>
              <w:rPr>
                <w:b w:val="0"/>
                <w:bCs/>
              </w:rPr>
            </w:pPr>
            <w:r>
              <w:rPr>
                <w:b w:val="0"/>
                <w:bCs/>
              </w:rPr>
              <w:t>FY23</w:t>
            </w:r>
          </w:p>
        </w:tc>
        <w:tc>
          <w:tcPr>
            <w:tcW w:w="991" w:type="dxa"/>
          </w:tcPr>
          <w:p w14:paraId="3C04D588" w14:textId="77777777" w:rsidR="001A183D" w:rsidRPr="00654913" w:rsidRDefault="001A183D">
            <w:pPr>
              <w:pStyle w:val="TableNheader"/>
              <w:rPr>
                <w:b w:val="0"/>
                <w:bCs/>
              </w:rPr>
            </w:pPr>
          </w:p>
        </w:tc>
      </w:tr>
      <w:tr w:rsidR="001A183D" w14:paraId="53856084" w14:textId="77777777">
        <w:tc>
          <w:tcPr>
            <w:tcW w:w="2127" w:type="dxa"/>
            <w:tcBorders>
              <w:top w:val="single" w:sz="8" w:space="0" w:color="E6E6E1" w:themeColor="accent5"/>
              <w:right w:val="single" w:sz="8" w:space="0" w:color="FFFFFF" w:themeColor="background1"/>
            </w:tcBorders>
            <w:shd w:val="clear" w:color="auto" w:fill="E6E6E1" w:themeFill="accent5"/>
            <w:vAlign w:val="bottom"/>
          </w:tcPr>
          <w:p w14:paraId="01BD45A4" w14:textId="77777777" w:rsidR="001A183D" w:rsidRPr="00203AF2" w:rsidRDefault="001A183D">
            <w:pPr>
              <w:pStyle w:val="TableNheader"/>
            </w:pPr>
            <w:r w:rsidRPr="00203AF2">
              <w:rPr>
                <w:sz w:val="16"/>
                <w:szCs w:val="22"/>
              </w:rPr>
              <w:t>Categories</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552547CB" w14:textId="77777777" w:rsidR="001A183D" w:rsidRPr="00203AF2" w:rsidRDefault="001A183D">
            <w:pPr>
              <w:pStyle w:val="TableNheader"/>
              <w:rPr>
                <w:sz w:val="16"/>
                <w:szCs w:val="22"/>
              </w:rPr>
            </w:pPr>
            <w:r>
              <w:rPr>
                <w:sz w:val="16"/>
                <w:szCs w:val="22"/>
              </w:rPr>
              <w:t>Avg benefit</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2401ED4" w14:textId="77777777" w:rsidR="001A183D" w:rsidRPr="00203AF2" w:rsidRDefault="001A183D">
            <w:pPr>
              <w:pStyle w:val="TableNheader"/>
              <w:rPr>
                <w:sz w:val="16"/>
                <w:szCs w:val="22"/>
              </w:rPr>
            </w:pPr>
            <w:r>
              <w:rPr>
                <w:sz w:val="16"/>
                <w:szCs w:val="22"/>
              </w:rPr>
              <w:t>Avg gap where gap was paid</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40EB5A98" w14:textId="77777777" w:rsidR="001A183D" w:rsidRPr="00203AF2" w:rsidRDefault="001A183D">
            <w:pPr>
              <w:pStyle w:val="TableNheader"/>
              <w:rPr>
                <w:sz w:val="16"/>
                <w:szCs w:val="22"/>
              </w:rPr>
            </w:pPr>
            <w:r>
              <w:rPr>
                <w:sz w:val="16"/>
                <w:szCs w:val="22"/>
              </w:rPr>
              <w:t>Avg gap relative to avg benefit</w:t>
            </w:r>
          </w:p>
        </w:tc>
        <w:tc>
          <w:tcPr>
            <w:tcW w:w="993"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FFF602C" w14:textId="77777777" w:rsidR="001A183D" w:rsidRPr="00203AF2" w:rsidRDefault="001A183D">
            <w:pPr>
              <w:pStyle w:val="TableNheader"/>
              <w:rPr>
                <w:sz w:val="16"/>
                <w:szCs w:val="22"/>
              </w:rPr>
            </w:pPr>
            <w:r>
              <w:rPr>
                <w:sz w:val="16"/>
                <w:szCs w:val="22"/>
              </w:rPr>
              <w:t>Avg benefit</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2319417E" w14:textId="77777777" w:rsidR="001A183D" w:rsidRPr="00203AF2" w:rsidRDefault="001A183D">
            <w:pPr>
              <w:pStyle w:val="TableNheader"/>
              <w:rPr>
                <w:sz w:val="16"/>
                <w:szCs w:val="22"/>
              </w:rPr>
            </w:pPr>
            <w:r>
              <w:rPr>
                <w:sz w:val="16"/>
                <w:szCs w:val="22"/>
              </w:rPr>
              <w:t>Avg gap where gap was paid</w:t>
            </w:r>
          </w:p>
        </w:tc>
        <w:tc>
          <w:tcPr>
            <w:tcW w:w="992" w:type="dxa"/>
            <w:tcBorders>
              <w:top w:val="single" w:sz="8" w:space="0" w:color="E6E6E1" w:themeColor="accent5"/>
              <w:left w:val="single" w:sz="8" w:space="0" w:color="FFFFFF" w:themeColor="background1"/>
              <w:right w:val="single" w:sz="8" w:space="0" w:color="FFFFFF" w:themeColor="background1"/>
            </w:tcBorders>
            <w:shd w:val="clear" w:color="auto" w:fill="E6E6E1" w:themeFill="accent5"/>
            <w:vAlign w:val="bottom"/>
          </w:tcPr>
          <w:p w14:paraId="1AF23985" w14:textId="77777777" w:rsidR="001A183D" w:rsidRPr="00203AF2" w:rsidRDefault="001A183D">
            <w:pPr>
              <w:pStyle w:val="TableNheader"/>
              <w:rPr>
                <w:sz w:val="16"/>
                <w:szCs w:val="22"/>
              </w:rPr>
            </w:pPr>
            <w:r>
              <w:rPr>
                <w:sz w:val="16"/>
                <w:szCs w:val="22"/>
              </w:rPr>
              <w:t>Avg gap relative to avg benefit</w:t>
            </w:r>
          </w:p>
        </w:tc>
        <w:tc>
          <w:tcPr>
            <w:tcW w:w="991" w:type="dxa"/>
            <w:tcBorders>
              <w:left w:val="single" w:sz="8" w:space="0" w:color="FFFFFF" w:themeColor="background1"/>
            </w:tcBorders>
            <w:shd w:val="clear" w:color="auto" w:fill="E6E6E1" w:themeFill="accent5"/>
            <w:vAlign w:val="bottom"/>
          </w:tcPr>
          <w:p w14:paraId="59956660" w14:textId="77777777" w:rsidR="001A183D" w:rsidRPr="00203AF2" w:rsidRDefault="001A183D">
            <w:pPr>
              <w:pStyle w:val="TableNheader"/>
              <w:rPr>
                <w:sz w:val="16"/>
                <w:szCs w:val="22"/>
              </w:rPr>
            </w:pPr>
            <w:r w:rsidRPr="00203AF2">
              <w:rPr>
                <w:sz w:val="16"/>
                <w:szCs w:val="22"/>
              </w:rPr>
              <w:t xml:space="preserve">Change in </w:t>
            </w:r>
            <w:r>
              <w:rPr>
                <w:sz w:val="16"/>
                <w:szCs w:val="22"/>
              </w:rPr>
              <w:t xml:space="preserve">avg </w:t>
            </w:r>
            <w:r w:rsidRPr="00203AF2">
              <w:rPr>
                <w:sz w:val="16"/>
                <w:szCs w:val="22"/>
              </w:rPr>
              <w:t>gap</w:t>
            </w:r>
            <w:r>
              <w:rPr>
                <w:sz w:val="16"/>
                <w:szCs w:val="22"/>
              </w:rPr>
              <w:t xml:space="preserve"> to avg benefit</w:t>
            </w:r>
          </w:p>
        </w:tc>
      </w:tr>
      <w:tr w:rsidR="001A183D" w14:paraId="18715789" w14:textId="77777777">
        <w:tc>
          <w:tcPr>
            <w:tcW w:w="2127" w:type="dxa"/>
          </w:tcPr>
          <w:p w14:paraId="3ED49A85" w14:textId="77777777" w:rsidR="001A183D" w:rsidRPr="005E4220" w:rsidRDefault="001A183D">
            <w:pPr>
              <w:pStyle w:val="TableNbiophoto"/>
              <w:rPr>
                <w:rFonts w:asciiTheme="majorHAnsi" w:hAnsiTheme="majorHAnsi" w:cstheme="majorHAnsi"/>
                <w:b/>
                <w:bCs/>
                <w:sz w:val="16"/>
                <w:szCs w:val="20"/>
              </w:rPr>
            </w:pPr>
            <w:r w:rsidRPr="005E4220">
              <w:rPr>
                <w:rFonts w:asciiTheme="majorHAnsi" w:hAnsiTheme="majorHAnsi" w:cstheme="majorHAnsi"/>
                <w:sz w:val="16"/>
                <w:szCs w:val="20"/>
              </w:rPr>
              <w:t>01 - Ophthalmic</w:t>
            </w:r>
          </w:p>
        </w:tc>
        <w:tc>
          <w:tcPr>
            <w:tcW w:w="992" w:type="dxa"/>
          </w:tcPr>
          <w:p w14:paraId="7D38AFBD" w14:textId="77777777" w:rsidR="001A183D" w:rsidRPr="005E4220" w:rsidRDefault="001A183D">
            <w:pPr>
              <w:pStyle w:val="TableNbiophoto"/>
              <w:rPr>
                <w:b/>
                <w:bCs/>
                <w:sz w:val="16"/>
                <w:szCs w:val="20"/>
              </w:rPr>
            </w:pPr>
            <w:r w:rsidRPr="00424059">
              <w:t>$300</w:t>
            </w:r>
          </w:p>
        </w:tc>
        <w:tc>
          <w:tcPr>
            <w:tcW w:w="992" w:type="dxa"/>
          </w:tcPr>
          <w:p w14:paraId="02BAD42F" w14:textId="77777777" w:rsidR="001A183D" w:rsidRPr="005E4220" w:rsidRDefault="001A183D">
            <w:pPr>
              <w:pStyle w:val="TableNbiophoto"/>
              <w:rPr>
                <w:b/>
                <w:bCs/>
                <w:sz w:val="16"/>
                <w:szCs w:val="20"/>
              </w:rPr>
            </w:pPr>
            <w:r w:rsidRPr="00424059">
              <w:t>$100</w:t>
            </w:r>
          </w:p>
        </w:tc>
        <w:tc>
          <w:tcPr>
            <w:tcW w:w="992" w:type="dxa"/>
          </w:tcPr>
          <w:p w14:paraId="546ABF8D" w14:textId="77777777" w:rsidR="001A183D" w:rsidRPr="005E4220" w:rsidRDefault="001A183D">
            <w:pPr>
              <w:pStyle w:val="TableNbiophoto"/>
              <w:rPr>
                <w:b/>
                <w:bCs/>
                <w:sz w:val="16"/>
                <w:szCs w:val="20"/>
              </w:rPr>
            </w:pPr>
            <w:r w:rsidRPr="00424059">
              <w:t>33%</w:t>
            </w:r>
          </w:p>
        </w:tc>
        <w:tc>
          <w:tcPr>
            <w:tcW w:w="993" w:type="dxa"/>
          </w:tcPr>
          <w:p w14:paraId="1E437212" w14:textId="77777777" w:rsidR="001A183D" w:rsidRPr="005E4220" w:rsidRDefault="001A183D">
            <w:pPr>
              <w:pStyle w:val="TableNbiophoto"/>
              <w:rPr>
                <w:b/>
                <w:bCs/>
                <w:sz w:val="16"/>
                <w:szCs w:val="20"/>
              </w:rPr>
            </w:pPr>
            <w:r w:rsidRPr="00424059">
              <w:t>$290</w:t>
            </w:r>
          </w:p>
        </w:tc>
        <w:tc>
          <w:tcPr>
            <w:tcW w:w="992" w:type="dxa"/>
          </w:tcPr>
          <w:p w14:paraId="1C7BF1F6" w14:textId="77777777" w:rsidR="001A183D" w:rsidRPr="005E4220" w:rsidRDefault="001A183D">
            <w:pPr>
              <w:pStyle w:val="TableNbiophoto"/>
              <w:rPr>
                <w:b/>
                <w:bCs/>
                <w:sz w:val="16"/>
                <w:szCs w:val="20"/>
              </w:rPr>
            </w:pPr>
            <w:r w:rsidRPr="00424059">
              <w:t>$40</w:t>
            </w:r>
          </w:p>
        </w:tc>
        <w:tc>
          <w:tcPr>
            <w:tcW w:w="992" w:type="dxa"/>
          </w:tcPr>
          <w:p w14:paraId="59FE208A" w14:textId="77777777" w:rsidR="001A183D" w:rsidRPr="005E4220" w:rsidRDefault="001A183D">
            <w:pPr>
              <w:pStyle w:val="TableNbiophoto"/>
              <w:rPr>
                <w:b/>
                <w:bCs/>
                <w:sz w:val="16"/>
                <w:szCs w:val="20"/>
              </w:rPr>
            </w:pPr>
            <w:r w:rsidRPr="00424059">
              <w:t>14%</w:t>
            </w:r>
          </w:p>
        </w:tc>
        <w:tc>
          <w:tcPr>
            <w:tcW w:w="991" w:type="dxa"/>
          </w:tcPr>
          <w:p w14:paraId="0533347D" w14:textId="77777777" w:rsidR="001A183D" w:rsidRPr="00E521FB" w:rsidRDefault="001A183D">
            <w:pPr>
              <w:pStyle w:val="TableNbiophoto"/>
              <w:rPr>
                <w:rFonts w:asciiTheme="majorHAnsi" w:hAnsiTheme="majorHAnsi" w:cstheme="majorHAnsi"/>
                <w:b/>
                <w:bCs/>
                <w:sz w:val="16"/>
                <w:szCs w:val="20"/>
              </w:rPr>
            </w:pPr>
            <w:r w:rsidRPr="00E521FB">
              <w:rPr>
                <w:rFonts w:asciiTheme="majorHAnsi" w:hAnsiTheme="majorHAnsi" w:cstheme="majorHAnsi"/>
              </w:rPr>
              <w:t>-20%</w:t>
            </w:r>
          </w:p>
        </w:tc>
      </w:tr>
      <w:tr w:rsidR="001A183D" w14:paraId="5AE71AFD" w14:textId="77777777">
        <w:tc>
          <w:tcPr>
            <w:tcW w:w="2127" w:type="dxa"/>
          </w:tcPr>
          <w:p w14:paraId="4F37D81E" w14:textId="77777777" w:rsidR="001A183D" w:rsidRPr="005E4220" w:rsidRDefault="001A183D">
            <w:pPr>
              <w:pStyle w:val="TableNbiophoto"/>
              <w:rPr>
                <w:rFonts w:asciiTheme="majorHAnsi" w:hAnsiTheme="majorHAnsi" w:cstheme="majorHAnsi"/>
                <w:b/>
                <w:bCs/>
                <w:sz w:val="16"/>
                <w:szCs w:val="20"/>
              </w:rPr>
            </w:pPr>
            <w:r w:rsidRPr="005E4220">
              <w:rPr>
                <w:rFonts w:asciiTheme="majorHAnsi" w:hAnsiTheme="majorHAnsi" w:cstheme="majorHAnsi"/>
                <w:sz w:val="16"/>
                <w:szCs w:val="20"/>
              </w:rPr>
              <w:t>02 - Ear; Nose &amp; Throat</w:t>
            </w:r>
          </w:p>
        </w:tc>
        <w:tc>
          <w:tcPr>
            <w:tcW w:w="992" w:type="dxa"/>
          </w:tcPr>
          <w:p w14:paraId="2C6ADD54" w14:textId="77777777" w:rsidR="001A183D" w:rsidRPr="005E4220" w:rsidRDefault="001A183D">
            <w:pPr>
              <w:pStyle w:val="TableNbiophoto"/>
              <w:rPr>
                <w:b/>
                <w:bCs/>
                <w:sz w:val="16"/>
                <w:szCs w:val="20"/>
              </w:rPr>
            </w:pPr>
            <w:r w:rsidRPr="00424059">
              <w:t>$730</w:t>
            </w:r>
          </w:p>
        </w:tc>
        <w:tc>
          <w:tcPr>
            <w:tcW w:w="992" w:type="dxa"/>
          </w:tcPr>
          <w:p w14:paraId="1AB99E9C" w14:textId="77777777" w:rsidR="001A183D" w:rsidRPr="005E4220" w:rsidRDefault="001A183D">
            <w:pPr>
              <w:pStyle w:val="TableNbiophoto"/>
              <w:rPr>
                <w:b/>
                <w:bCs/>
                <w:sz w:val="16"/>
                <w:szCs w:val="20"/>
              </w:rPr>
            </w:pPr>
            <w:r w:rsidRPr="00424059">
              <w:t>$50</w:t>
            </w:r>
          </w:p>
        </w:tc>
        <w:tc>
          <w:tcPr>
            <w:tcW w:w="992" w:type="dxa"/>
          </w:tcPr>
          <w:p w14:paraId="5E0677E6" w14:textId="77777777" w:rsidR="001A183D" w:rsidRPr="005E4220" w:rsidRDefault="001A183D">
            <w:pPr>
              <w:pStyle w:val="TableNbiophoto"/>
              <w:rPr>
                <w:b/>
                <w:bCs/>
                <w:sz w:val="16"/>
                <w:szCs w:val="20"/>
              </w:rPr>
            </w:pPr>
            <w:r w:rsidRPr="00424059">
              <w:t>7%</w:t>
            </w:r>
          </w:p>
        </w:tc>
        <w:tc>
          <w:tcPr>
            <w:tcW w:w="993" w:type="dxa"/>
          </w:tcPr>
          <w:p w14:paraId="3932995B" w14:textId="77777777" w:rsidR="001A183D" w:rsidRPr="005E4220" w:rsidRDefault="001A183D">
            <w:pPr>
              <w:pStyle w:val="TableNbiophoto"/>
              <w:rPr>
                <w:b/>
                <w:bCs/>
                <w:sz w:val="16"/>
                <w:szCs w:val="20"/>
              </w:rPr>
            </w:pPr>
            <w:r w:rsidRPr="00424059">
              <w:t>$660</w:t>
            </w:r>
          </w:p>
        </w:tc>
        <w:tc>
          <w:tcPr>
            <w:tcW w:w="992" w:type="dxa"/>
          </w:tcPr>
          <w:p w14:paraId="653219FD" w14:textId="77777777" w:rsidR="001A183D" w:rsidRPr="005E4220" w:rsidRDefault="001A183D">
            <w:pPr>
              <w:pStyle w:val="TableNbiophoto"/>
              <w:rPr>
                <w:b/>
                <w:bCs/>
                <w:sz w:val="16"/>
                <w:szCs w:val="20"/>
              </w:rPr>
            </w:pPr>
            <w:r w:rsidRPr="00424059">
              <w:t>$10</w:t>
            </w:r>
          </w:p>
        </w:tc>
        <w:tc>
          <w:tcPr>
            <w:tcW w:w="992" w:type="dxa"/>
          </w:tcPr>
          <w:p w14:paraId="4E1BE842" w14:textId="77777777" w:rsidR="001A183D" w:rsidRPr="005E4220" w:rsidRDefault="001A183D">
            <w:pPr>
              <w:pStyle w:val="TableNbiophoto"/>
              <w:rPr>
                <w:b/>
                <w:bCs/>
                <w:sz w:val="16"/>
                <w:szCs w:val="20"/>
              </w:rPr>
            </w:pPr>
            <w:r w:rsidRPr="00424059">
              <w:t>2%</w:t>
            </w:r>
          </w:p>
        </w:tc>
        <w:tc>
          <w:tcPr>
            <w:tcW w:w="991" w:type="dxa"/>
          </w:tcPr>
          <w:p w14:paraId="1FAA14A7" w14:textId="77777777" w:rsidR="001A183D" w:rsidRPr="00E521FB" w:rsidRDefault="001A183D">
            <w:pPr>
              <w:pStyle w:val="TableNbiophoto"/>
              <w:rPr>
                <w:rFonts w:asciiTheme="majorHAnsi" w:hAnsiTheme="majorHAnsi" w:cstheme="majorHAnsi"/>
                <w:b/>
                <w:bCs/>
                <w:sz w:val="16"/>
                <w:szCs w:val="20"/>
              </w:rPr>
            </w:pPr>
            <w:r w:rsidRPr="00E521FB">
              <w:rPr>
                <w:rFonts w:asciiTheme="majorHAnsi" w:hAnsiTheme="majorHAnsi" w:cstheme="majorHAnsi"/>
              </w:rPr>
              <w:t>-5%</w:t>
            </w:r>
          </w:p>
        </w:tc>
      </w:tr>
      <w:tr w:rsidR="001A183D" w14:paraId="2843AAFE" w14:textId="77777777">
        <w:tc>
          <w:tcPr>
            <w:tcW w:w="2127" w:type="dxa"/>
          </w:tcPr>
          <w:p w14:paraId="6F035152"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lastRenderedPageBreak/>
              <w:t>03 - General Miscellaneous</w:t>
            </w:r>
          </w:p>
        </w:tc>
        <w:tc>
          <w:tcPr>
            <w:tcW w:w="992" w:type="dxa"/>
          </w:tcPr>
          <w:p w14:paraId="6D53A8D4" w14:textId="77777777" w:rsidR="001A183D" w:rsidRPr="005E4220" w:rsidRDefault="001A183D">
            <w:pPr>
              <w:pStyle w:val="TableNbiophoto"/>
              <w:rPr>
                <w:sz w:val="16"/>
                <w:szCs w:val="20"/>
              </w:rPr>
            </w:pPr>
            <w:r w:rsidRPr="00424059">
              <w:t>$340</w:t>
            </w:r>
          </w:p>
        </w:tc>
        <w:tc>
          <w:tcPr>
            <w:tcW w:w="992" w:type="dxa"/>
          </w:tcPr>
          <w:p w14:paraId="3D80B88A" w14:textId="77777777" w:rsidR="001A183D" w:rsidRPr="005E4220" w:rsidRDefault="001A183D">
            <w:pPr>
              <w:pStyle w:val="TableNbiophoto"/>
              <w:rPr>
                <w:sz w:val="16"/>
                <w:szCs w:val="20"/>
              </w:rPr>
            </w:pPr>
            <w:r w:rsidRPr="00424059">
              <w:t>$100</w:t>
            </w:r>
          </w:p>
        </w:tc>
        <w:tc>
          <w:tcPr>
            <w:tcW w:w="992" w:type="dxa"/>
          </w:tcPr>
          <w:p w14:paraId="0E3452CA" w14:textId="77777777" w:rsidR="001A183D" w:rsidRPr="005E4220" w:rsidRDefault="001A183D">
            <w:pPr>
              <w:pStyle w:val="TableNbiophoto"/>
              <w:rPr>
                <w:sz w:val="16"/>
                <w:szCs w:val="20"/>
              </w:rPr>
            </w:pPr>
            <w:r w:rsidRPr="00424059">
              <w:t>29%</w:t>
            </w:r>
          </w:p>
        </w:tc>
        <w:tc>
          <w:tcPr>
            <w:tcW w:w="993" w:type="dxa"/>
          </w:tcPr>
          <w:p w14:paraId="0858BBE5" w14:textId="77777777" w:rsidR="001A183D" w:rsidRPr="005E4220" w:rsidRDefault="001A183D">
            <w:pPr>
              <w:pStyle w:val="TableNbiophoto"/>
              <w:rPr>
                <w:sz w:val="16"/>
                <w:szCs w:val="20"/>
              </w:rPr>
            </w:pPr>
            <w:r w:rsidRPr="00424059">
              <w:t>$310</w:t>
            </w:r>
          </w:p>
        </w:tc>
        <w:tc>
          <w:tcPr>
            <w:tcW w:w="992" w:type="dxa"/>
          </w:tcPr>
          <w:p w14:paraId="4F2CEF9F" w14:textId="77777777" w:rsidR="001A183D" w:rsidRPr="005E4220" w:rsidRDefault="001A183D">
            <w:pPr>
              <w:pStyle w:val="TableNbiophoto"/>
              <w:rPr>
                <w:sz w:val="16"/>
                <w:szCs w:val="20"/>
              </w:rPr>
            </w:pPr>
            <w:r w:rsidRPr="00424059">
              <w:t>$30</w:t>
            </w:r>
          </w:p>
        </w:tc>
        <w:tc>
          <w:tcPr>
            <w:tcW w:w="992" w:type="dxa"/>
          </w:tcPr>
          <w:p w14:paraId="09F17FC8" w14:textId="77777777" w:rsidR="001A183D" w:rsidRPr="005E4220" w:rsidRDefault="001A183D">
            <w:pPr>
              <w:pStyle w:val="TableNbiophoto"/>
              <w:rPr>
                <w:sz w:val="16"/>
                <w:szCs w:val="20"/>
              </w:rPr>
            </w:pPr>
            <w:r w:rsidRPr="00424059">
              <w:t>10%</w:t>
            </w:r>
          </w:p>
        </w:tc>
        <w:tc>
          <w:tcPr>
            <w:tcW w:w="991" w:type="dxa"/>
          </w:tcPr>
          <w:p w14:paraId="10BFC70B"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-20%</w:t>
            </w:r>
          </w:p>
        </w:tc>
      </w:tr>
      <w:tr w:rsidR="001A183D" w14:paraId="441FA5EA" w14:textId="77777777">
        <w:tc>
          <w:tcPr>
            <w:tcW w:w="2127" w:type="dxa"/>
          </w:tcPr>
          <w:p w14:paraId="47039C61"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04 - Neurosurgical</w:t>
            </w:r>
          </w:p>
        </w:tc>
        <w:tc>
          <w:tcPr>
            <w:tcW w:w="992" w:type="dxa"/>
          </w:tcPr>
          <w:p w14:paraId="7093015D" w14:textId="77777777" w:rsidR="001A183D" w:rsidRPr="005E4220" w:rsidRDefault="001A183D">
            <w:pPr>
              <w:pStyle w:val="TableNbiophoto"/>
              <w:rPr>
                <w:sz w:val="16"/>
                <w:szCs w:val="20"/>
              </w:rPr>
            </w:pPr>
            <w:r w:rsidRPr="00424059">
              <w:t>$2,500</w:t>
            </w:r>
          </w:p>
        </w:tc>
        <w:tc>
          <w:tcPr>
            <w:tcW w:w="992" w:type="dxa"/>
          </w:tcPr>
          <w:p w14:paraId="52A83B9A" w14:textId="77777777" w:rsidR="001A183D" w:rsidRPr="005E4220" w:rsidRDefault="001A183D">
            <w:pPr>
              <w:pStyle w:val="TableNbiophoto"/>
              <w:rPr>
                <w:sz w:val="16"/>
                <w:szCs w:val="20"/>
              </w:rPr>
            </w:pPr>
            <w:r w:rsidRPr="00424059">
              <w:t>$1,600</w:t>
            </w:r>
          </w:p>
        </w:tc>
        <w:tc>
          <w:tcPr>
            <w:tcW w:w="992" w:type="dxa"/>
          </w:tcPr>
          <w:p w14:paraId="1B0375AA" w14:textId="77777777" w:rsidR="001A183D" w:rsidRPr="005E4220" w:rsidRDefault="001A183D">
            <w:pPr>
              <w:pStyle w:val="TableNbiophoto"/>
              <w:rPr>
                <w:sz w:val="16"/>
                <w:szCs w:val="20"/>
              </w:rPr>
            </w:pPr>
            <w:r w:rsidRPr="00424059">
              <w:t>64%</w:t>
            </w:r>
          </w:p>
        </w:tc>
        <w:tc>
          <w:tcPr>
            <w:tcW w:w="993" w:type="dxa"/>
          </w:tcPr>
          <w:p w14:paraId="6EC5B1C1" w14:textId="77777777" w:rsidR="001A183D" w:rsidRPr="005E4220" w:rsidRDefault="001A183D">
            <w:pPr>
              <w:pStyle w:val="TableNbiophoto"/>
              <w:rPr>
                <w:sz w:val="16"/>
                <w:szCs w:val="20"/>
              </w:rPr>
            </w:pPr>
            <w:r w:rsidRPr="00424059">
              <w:t>$2,600</w:t>
            </w:r>
          </w:p>
        </w:tc>
        <w:tc>
          <w:tcPr>
            <w:tcW w:w="992" w:type="dxa"/>
          </w:tcPr>
          <w:p w14:paraId="31411F64" w14:textId="77777777" w:rsidR="001A183D" w:rsidRPr="005E4220" w:rsidRDefault="001A183D">
            <w:pPr>
              <w:pStyle w:val="TableNbiophoto"/>
              <w:rPr>
                <w:sz w:val="16"/>
                <w:szCs w:val="20"/>
              </w:rPr>
            </w:pPr>
            <w:r w:rsidRPr="00424059">
              <w:t>$880</w:t>
            </w:r>
          </w:p>
        </w:tc>
        <w:tc>
          <w:tcPr>
            <w:tcW w:w="992" w:type="dxa"/>
          </w:tcPr>
          <w:p w14:paraId="2A5E16EC" w14:textId="77777777" w:rsidR="001A183D" w:rsidRPr="005E4220" w:rsidRDefault="001A183D">
            <w:pPr>
              <w:pStyle w:val="TableNbiophoto"/>
              <w:rPr>
                <w:sz w:val="16"/>
                <w:szCs w:val="20"/>
              </w:rPr>
            </w:pPr>
            <w:r w:rsidRPr="00424059">
              <w:t>34%</w:t>
            </w:r>
          </w:p>
        </w:tc>
        <w:tc>
          <w:tcPr>
            <w:tcW w:w="991" w:type="dxa"/>
          </w:tcPr>
          <w:p w14:paraId="76A21C2B"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-30%</w:t>
            </w:r>
          </w:p>
        </w:tc>
      </w:tr>
      <w:tr w:rsidR="001A183D" w14:paraId="11ABD5D9" w14:textId="77777777">
        <w:tc>
          <w:tcPr>
            <w:tcW w:w="2127" w:type="dxa"/>
          </w:tcPr>
          <w:p w14:paraId="0D2CEB6F"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05 - Urogenital</w:t>
            </w:r>
          </w:p>
        </w:tc>
        <w:tc>
          <w:tcPr>
            <w:tcW w:w="992" w:type="dxa"/>
          </w:tcPr>
          <w:p w14:paraId="0F50CA9B" w14:textId="77777777" w:rsidR="001A183D" w:rsidRPr="005E4220" w:rsidRDefault="001A183D">
            <w:pPr>
              <w:pStyle w:val="TableNbiophoto"/>
              <w:rPr>
                <w:sz w:val="16"/>
                <w:szCs w:val="20"/>
              </w:rPr>
            </w:pPr>
            <w:r w:rsidRPr="00424059">
              <w:t>$740</w:t>
            </w:r>
          </w:p>
        </w:tc>
        <w:tc>
          <w:tcPr>
            <w:tcW w:w="992" w:type="dxa"/>
          </w:tcPr>
          <w:p w14:paraId="29796883" w14:textId="77777777" w:rsidR="001A183D" w:rsidRPr="005E4220" w:rsidRDefault="001A183D">
            <w:pPr>
              <w:pStyle w:val="TableNbiophoto"/>
              <w:rPr>
                <w:sz w:val="16"/>
                <w:szCs w:val="20"/>
              </w:rPr>
            </w:pPr>
            <w:r w:rsidRPr="00424059">
              <w:t>$180</w:t>
            </w:r>
          </w:p>
        </w:tc>
        <w:tc>
          <w:tcPr>
            <w:tcW w:w="992" w:type="dxa"/>
          </w:tcPr>
          <w:p w14:paraId="31AB3904" w14:textId="77777777" w:rsidR="001A183D" w:rsidRPr="005E4220" w:rsidRDefault="001A183D">
            <w:pPr>
              <w:pStyle w:val="TableNbiophoto"/>
              <w:rPr>
                <w:sz w:val="16"/>
                <w:szCs w:val="20"/>
              </w:rPr>
            </w:pPr>
            <w:r w:rsidRPr="00424059">
              <w:t>24%</w:t>
            </w:r>
          </w:p>
        </w:tc>
        <w:tc>
          <w:tcPr>
            <w:tcW w:w="993" w:type="dxa"/>
          </w:tcPr>
          <w:p w14:paraId="10B7169D" w14:textId="77777777" w:rsidR="001A183D" w:rsidRPr="005E4220" w:rsidRDefault="001A183D">
            <w:pPr>
              <w:pStyle w:val="TableNbiophoto"/>
              <w:rPr>
                <w:sz w:val="16"/>
                <w:szCs w:val="20"/>
              </w:rPr>
            </w:pPr>
            <w:r w:rsidRPr="00424059">
              <w:t>$770</w:t>
            </w:r>
          </w:p>
        </w:tc>
        <w:tc>
          <w:tcPr>
            <w:tcW w:w="992" w:type="dxa"/>
          </w:tcPr>
          <w:p w14:paraId="5AEB3570" w14:textId="77777777" w:rsidR="001A183D" w:rsidRPr="005E4220" w:rsidRDefault="001A183D">
            <w:pPr>
              <w:pStyle w:val="TableNbiophoto"/>
              <w:rPr>
                <w:sz w:val="16"/>
                <w:szCs w:val="20"/>
              </w:rPr>
            </w:pPr>
            <w:r w:rsidRPr="00424059">
              <w:t>$140</w:t>
            </w:r>
          </w:p>
        </w:tc>
        <w:tc>
          <w:tcPr>
            <w:tcW w:w="992" w:type="dxa"/>
          </w:tcPr>
          <w:p w14:paraId="0C6DF091" w14:textId="77777777" w:rsidR="001A183D" w:rsidRPr="005E4220" w:rsidRDefault="001A183D">
            <w:pPr>
              <w:pStyle w:val="TableNbiophoto"/>
              <w:rPr>
                <w:sz w:val="16"/>
                <w:szCs w:val="20"/>
              </w:rPr>
            </w:pPr>
            <w:r w:rsidRPr="00424059">
              <w:t>18%</w:t>
            </w:r>
          </w:p>
        </w:tc>
        <w:tc>
          <w:tcPr>
            <w:tcW w:w="991" w:type="dxa"/>
          </w:tcPr>
          <w:p w14:paraId="70B2AD36"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-6%</w:t>
            </w:r>
          </w:p>
        </w:tc>
      </w:tr>
      <w:tr w:rsidR="001A183D" w14:paraId="49DAF5DD" w14:textId="77777777">
        <w:tc>
          <w:tcPr>
            <w:tcW w:w="2127" w:type="dxa"/>
          </w:tcPr>
          <w:p w14:paraId="0837A899"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06 - Specialist Orthopaedic</w:t>
            </w:r>
          </w:p>
        </w:tc>
        <w:tc>
          <w:tcPr>
            <w:tcW w:w="992" w:type="dxa"/>
          </w:tcPr>
          <w:p w14:paraId="5A4BA2FD" w14:textId="77777777" w:rsidR="001A183D" w:rsidRPr="005E4220" w:rsidRDefault="001A183D">
            <w:pPr>
              <w:pStyle w:val="TableNbiophoto"/>
              <w:rPr>
                <w:sz w:val="16"/>
                <w:szCs w:val="20"/>
              </w:rPr>
            </w:pPr>
            <w:r w:rsidRPr="00424059">
              <w:t>$380</w:t>
            </w:r>
          </w:p>
        </w:tc>
        <w:tc>
          <w:tcPr>
            <w:tcW w:w="992" w:type="dxa"/>
          </w:tcPr>
          <w:p w14:paraId="22B8A099" w14:textId="77777777" w:rsidR="001A183D" w:rsidRPr="005E4220" w:rsidRDefault="001A183D">
            <w:pPr>
              <w:pStyle w:val="TableNbiophoto"/>
              <w:rPr>
                <w:sz w:val="16"/>
                <w:szCs w:val="20"/>
              </w:rPr>
            </w:pPr>
            <w:r w:rsidRPr="00424059">
              <w:t>$210</w:t>
            </w:r>
          </w:p>
        </w:tc>
        <w:tc>
          <w:tcPr>
            <w:tcW w:w="992" w:type="dxa"/>
          </w:tcPr>
          <w:p w14:paraId="1FF5DB82" w14:textId="77777777" w:rsidR="001A183D" w:rsidRPr="005E4220" w:rsidRDefault="001A183D">
            <w:pPr>
              <w:pStyle w:val="TableNbiophoto"/>
              <w:rPr>
                <w:sz w:val="16"/>
                <w:szCs w:val="20"/>
              </w:rPr>
            </w:pPr>
            <w:r w:rsidRPr="00424059">
              <w:t>55%</w:t>
            </w:r>
          </w:p>
        </w:tc>
        <w:tc>
          <w:tcPr>
            <w:tcW w:w="993" w:type="dxa"/>
          </w:tcPr>
          <w:p w14:paraId="35F2E078" w14:textId="77777777" w:rsidR="001A183D" w:rsidRPr="005E4220" w:rsidRDefault="001A183D">
            <w:pPr>
              <w:pStyle w:val="TableNbiophoto"/>
              <w:rPr>
                <w:sz w:val="16"/>
                <w:szCs w:val="20"/>
              </w:rPr>
            </w:pPr>
            <w:r w:rsidRPr="00424059">
              <w:t>$370</w:t>
            </w:r>
          </w:p>
        </w:tc>
        <w:tc>
          <w:tcPr>
            <w:tcW w:w="992" w:type="dxa"/>
          </w:tcPr>
          <w:p w14:paraId="419A380E" w14:textId="77777777" w:rsidR="001A183D" w:rsidRPr="005E4220" w:rsidRDefault="001A183D">
            <w:pPr>
              <w:pStyle w:val="TableNbiophoto"/>
              <w:rPr>
                <w:sz w:val="16"/>
                <w:szCs w:val="20"/>
              </w:rPr>
            </w:pPr>
            <w:r w:rsidRPr="00424059">
              <w:t>$80</w:t>
            </w:r>
          </w:p>
        </w:tc>
        <w:tc>
          <w:tcPr>
            <w:tcW w:w="992" w:type="dxa"/>
          </w:tcPr>
          <w:p w14:paraId="54655078" w14:textId="77777777" w:rsidR="001A183D" w:rsidRPr="005E4220" w:rsidRDefault="001A183D">
            <w:pPr>
              <w:pStyle w:val="TableNbiophoto"/>
              <w:rPr>
                <w:sz w:val="16"/>
                <w:szCs w:val="20"/>
              </w:rPr>
            </w:pPr>
            <w:r w:rsidRPr="00424059">
              <w:t>22%</w:t>
            </w:r>
          </w:p>
        </w:tc>
        <w:tc>
          <w:tcPr>
            <w:tcW w:w="991" w:type="dxa"/>
          </w:tcPr>
          <w:p w14:paraId="4DCCEE33"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-34%</w:t>
            </w:r>
          </w:p>
        </w:tc>
      </w:tr>
      <w:tr w:rsidR="001A183D" w14:paraId="3BEA303D" w14:textId="77777777">
        <w:tc>
          <w:tcPr>
            <w:tcW w:w="2127" w:type="dxa"/>
          </w:tcPr>
          <w:p w14:paraId="7017093B"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07 - Plastic and Reconstructive</w:t>
            </w:r>
          </w:p>
        </w:tc>
        <w:tc>
          <w:tcPr>
            <w:tcW w:w="992" w:type="dxa"/>
          </w:tcPr>
          <w:p w14:paraId="3ECA167E" w14:textId="77777777" w:rsidR="001A183D" w:rsidRPr="005E4220" w:rsidRDefault="001A183D">
            <w:pPr>
              <w:pStyle w:val="TableNbiophoto"/>
              <w:rPr>
                <w:sz w:val="16"/>
                <w:szCs w:val="20"/>
              </w:rPr>
            </w:pPr>
            <w:r w:rsidRPr="00424059">
              <w:t>$410</w:t>
            </w:r>
          </w:p>
        </w:tc>
        <w:tc>
          <w:tcPr>
            <w:tcW w:w="992" w:type="dxa"/>
          </w:tcPr>
          <w:p w14:paraId="69CDB590" w14:textId="77777777" w:rsidR="001A183D" w:rsidRPr="005E4220" w:rsidRDefault="001A183D">
            <w:pPr>
              <w:pStyle w:val="TableNbiophoto"/>
              <w:rPr>
                <w:sz w:val="16"/>
                <w:szCs w:val="20"/>
              </w:rPr>
            </w:pPr>
            <w:r w:rsidRPr="00424059">
              <w:t>$780</w:t>
            </w:r>
          </w:p>
        </w:tc>
        <w:tc>
          <w:tcPr>
            <w:tcW w:w="992" w:type="dxa"/>
          </w:tcPr>
          <w:p w14:paraId="13BB54B2" w14:textId="77777777" w:rsidR="001A183D" w:rsidRPr="005E4220" w:rsidRDefault="001A183D">
            <w:pPr>
              <w:pStyle w:val="TableNbiophoto"/>
              <w:rPr>
                <w:sz w:val="16"/>
                <w:szCs w:val="20"/>
              </w:rPr>
            </w:pPr>
            <w:r w:rsidRPr="00424059">
              <w:t>190%</w:t>
            </w:r>
          </w:p>
        </w:tc>
        <w:tc>
          <w:tcPr>
            <w:tcW w:w="993" w:type="dxa"/>
          </w:tcPr>
          <w:p w14:paraId="14ACDC0D" w14:textId="77777777" w:rsidR="001A183D" w:rsidRPr="005E4220" w:rsidRDefault="001A183D">
            <w:pPr>
              <w:pStyle w:val="TableNbiophoto"/>
              <w:rPr>
                <w:sz w:val="16"/>
                <w:szCs w:val="20"/>
              </w:rPr>
            </w:pPr>
            <w:r w:rsidRPr="00424059">
              <w:t>$370</w:t>
            </w:r>
          </w:p>
        </w:tc>
        <w:tc>
          <w:tcPr>
            <w:tcW w:w="992" w:type="dxa"/>
          </w:tcPr>
          <w:p w14:paraId="468298B8" w14:textId="77777777" w:rsidR="001A183D" w:rsidRPr="005E4220" w:rsidRDefault="001A183D">
            <w:pPr>
              <w:pStyle w:val="TableNbiophoto"/>
              <w:rPr>
                <w:sz w:val="16"/>
                <w:szCs w:val="20"/>
              </w:rPr>
            </w:pPr>
            <w:r w:rsidRPr="00424059">
              <w:t>$440</w:t>
            </w:r>
          </w:p>
        </w:tc>
        <w:tc>
          <w:tcPr>
            <w:tcW w:w="992" w:type="dxa"/>
          </w:tcPr>
          <w:p w14:paraId="1B2994F3" w14:textId="77777777" w:rsidR="001A183D" w:rsidRPr="005E4220" w:rsidRDefault="001A183D">
            <w:pPr>
              <w:pStyle w:val="TableNbiophoto"/>
              <w:rPr>
                <w:sz w:val="16"/>
                <w:szCs w:val="20"/>
              </w:rPr>
            </w:pPr>
            <w:r w:rsidRPr="00424059">
              <w:t>119%</w:t>
            </w:r>
          </w:p>
        </w:tc>
        <w:tc>
          <w:tcPr>
            <w:tcW w:w="991" w:type="dxa"/>
          </w:tcPr>
          <w:p w14:paraId="2543FA68"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-71%</w:t>
            </w:r>
          </w:p>
        </w:tc>
      </w:tr>
      <w:tr w:rsidR="001A183D" w14:paraId="775A7904" w14:textId="77777777">
        <w:tc>
          <w:tcPr>
            <w:tcW w:w="2127" w:type="dxa"/>
          </w:tcPr>
          <w:p w14:paraId="22496070"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08 - Cardiac</w:t>
            </w:r>
          </w:p>
        </w:tc>
        <w:tc>
          <w:tcPr>
            <w:tcW w:w="992" w:type="dxa"/>
          </w:tcPr>
          <w:p w14:paraId="74057F14" w14:textId="77777777" w:rsidR="001A183D" w:rsidRPr="005E4220" w:rsidRDefault="001A183D">
            <w:pPr>
              <w:pStyle w:val="TableNbiophoto"/>
              <w:rPr>
                <w:sz w:val="16"/>
                <w:szCs w:val="20"/>
              </w:rPr>
            </w:pPr>
            <w:r w:rsidRPr="00424059">
              <w:t>$4,700</w:t>
            </w:r>
          </w:p>
        </w:tc>
        <w:tc>
          <w:tcPr>
            <w:tcW w:w="992" w:type="dxa"/>
          </w:tcPr>
          <w:p w14:paraId="11E90CAB" w14:textId="77777777" w:rsidR="001A183D" w:rsidRPr="005E4220" w:rsidRDefault="001A183D">
            <w:pPr>
              <w:pStyle w:val="TableNbiophoto"/>
              <w:rPr>
                <w:sz w:val="16"/>
                <w:szCs w:val="20"/>
              </w:rPr>
            </w:pPr>
            <w:r w:rsidRPr="00424059">
              <w:t>$540</w:t>
            </w:r>
          </w:p>
        </w:tc>
        <w:tc>
          <w:tcPr>
            <w:tcW w:w="992" w:type="dxa"/>
          </w:tcPr>
          <w:p w14:paraId="3497ACE7" w14:textId="77777777" w:rsidR="001A183D" w:rsidRPr="005E4220" w:rsidRDefault="001A183D">
            <w:pPr>
              <w:pStyle w:val="TableNbiophoto"/>
              <w:rPr>
                <w:sz w:val="16"/>
                <w:szCs w:val="20"/>
              </w:rPr>
            </w:pPr>
            <w:r w:rsidRPr="00424059">
              <w:t>11%</w:t>
            </w:r>
          </w:p>
        </w:tc>
        <w:tc>
          <w:tcPr>
            <w:tcW w:w="993" w:type="dxa"/>
          </w:tcPr>
          <w:p w14:paraId="39D0D6E9" w14:textId="77777777" w:rsidR="001A183D" w:rsidRPr="005E4220" w:rsidRDefault="001A183D">
            <w:pPr>
              <w:pStyle w:val="TableNbiophoto"/>
              <w:rPr>
                <w:sz w:val="16"/>
                <w:szCs w:val="20"/>
              </w:rPr>
            </w:pPr>
            <w:r w:rsidRPr="00424059">
              <w:t>$4,600</w:t>
            </w:r>
          </w:p>
        </w:tc>
        <w:tc>
          <w:tcPr>
            <w:tcW w:w="992" w:type="dxa"/>
          </w:tcPr>
          <w:p w14:paraId="1BD17CF1" w14:textId="77777777" w:rsidR="001A183D" w:rsidRPr="005E4220" w:rsidRDefault="001A183D">
            <w:pPr>
              <w:pStyle w:val="TableNbiophoto"/>
              <w:rPr>
                <w:sz w:val="16"/>
                <w:szCs w:val="20"/>
              </w:rPr>
            </w:pPr>
            <w:r w:rsidRPr="00424059">
              <w:t>$470</w:t>
            </w:r>
          </w:p>
        </w:tc>
        <w:tc>
          <w:tcPr>
            <w:tcW w:w="992" w:type="dxa"/>
          </w:tcPr>
          <w:p w14:paraId="4EB2EA4A" w14:textId="77777777" w:rsidR="001A183D" w:rsidRPr="005E4220" w:rsidRDefault="001A183D">
            <w:pPr>
              <w:pStyle w:val="TableNbiophoto"/>
              <w:rPr>
                <w:sz w:val="16"/>
                <w:szCs w:val="20"/>
              </w:rPr>
            </w:pPr>
            <w:r w:rsidRPr="00424059">
              <w:t>10%</w:t>
            </w:r>
          </w:p>
        </w:tc>
        <w:tc>
          <w:tcPr>
            <w:tcW w:w="991" w:type="dxa"/>
          </w:tcPr>
          <w:p w14:paraId="40D2F053"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-1%</w:t>
            </w:r>
          </w:p>
        </w:tc>
      </w:tr>
      <w:tr w:rsidR="001A183D" w14:paraId="710B0070" w14:textId="77777777">
        <w:tc>
          <w:tcPr>
            <w:tcW w:w="2127" w:type="dxa"/>
          </w:tcPr>
          <w:p w14:paraId="64E178A0"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09 - Cardiothoracic</w:t>
            </w:r>
          </w:p>
        </w:tc>
        <w:tc>
          <w:tcPr>
            <w:tcW w:w="992" w:type="dxa"/>
          </w:tcPr>
          <w:p w14:paraId="38DD7ACD" w14:textId="77777777" w:rsidR="001A183D" w:rsidRPr="005E4220" w:rsidRDefault="001A183D">
            <w:pPr>
              <w:pStyle w:val="TableNbiophoto"/>
              <w:rPr>
                <w:sz w:val="16"/>
                <w:szCs w:val="20"/>
              </w:rPr>
            </w:pPr>
            <w:r w:rsidRPr="00424059">
              <w:t>$2,300</w:t>
            </w:r>
          </w:p>
        </w:tc>
        <w:tc>
          <w:tcPr>
            <w:tcW w:w="992" w:type="dxa"/>
          </w:tcPr>
          <w:p w14:paraId="23BCDACC" w14:textId="77777777" w:rsidR="001A183D" w:rsidRPr="005E4220" w:rsidRDefault="001A183D">
            <w:pPr>
              <w:pStyle w:val="TableNbiophoto"/>
              <w:rPr>
                <w:sz w:val="16"/>
                <w:szCs w:val="20"/>
              </w:rPr>
            </w:pPr>
            <w:r w:rsidRPr="00424059">
              <w:t>$1,000</w:t>
            </w:r>
          </w:p>
        </w:tc>
        <w:tc>
          <w:tcPr>
            <w:tcW w:w="992" w:type="dxa"/>
          </w:tcPr>
          <w:p w14:paraId="1F229329" w14:textId="77777777" w:rsidR="001A183D" w:rsidRPr="005E4220" w:rsidRDefault="001A183D">
            <w:pPr>
              <w:pStyle w:val="TableNbiophoto"/>
              <w:rPr>
                <w:sz w:val="16"/>
                <w:szCs w:val="20"/>
              </w:rPr>
            </w:pPr>
            <w:r w:rsidRPr="00424059">
              <w:t>43%</w:t>
            </w:r>
          </w:p>
        </w:tc>
        <w:tc>
          <w:tcPr>
            <w:tcW w:w="993" w:type="dxa"/>
          </w:tcPr>
          <w:p w14:paraId="0C745793" w14:textId="77777777" w:rsidR="001A183D" w:rsidRPr="005E4220" w:rsidRDefault="001A183D">
            <w:pPr>
              <w:pStyle w:val="TableNbiophoto"/>
              <w:rPr>
                <w:sz w:val="16"/>
                <w:szCs w:val="20"/>
              </w:rPr>
            </w:pPr>
            <w:r w:rsidRPr="00424059">
              <w:t>$2,400</w:t>
            </w:r>
          </w:p>
        </w:tc>
        <w:tc>
          <w:tcPr>
            <w:tcW w:w="992" w:type="dxa"/>
          </w:tcPr>
          <w:p w14:paraId="66506769" w14:textId="77777777" w:rsidR="001A183D" w:rsidRPr="005E4220" w:rsidRDefault="001A183D">
            <w:pPr>
              <w:pStyle w:val="TableNbiophoto"/>
              <w:rPr>
                <w:sz w:val="16"/>
                <w:szCs w:val="20"/>
              </w:rPr>
            </w:pPr>
            <w:r w:rsidRPr="00424059">
              <w:t>$410</w:t>
            </w:r>
          </w:p>
        </w:tc>
        <w:tc>
          <w:tcPr>
            <w:tcW w:w="992" w:type="dxa"/>
          </w:tcPr>
          <w:p w14:paraId="359C0C26" w14:textId="77777777" w:rsidR="001A183D" w:rsidRPr="005E4220" w:rsidRDefault="001A183D">
            <w:pPr>
              <w:pStyle w:val="TableNbiophoto"/>
              <w:rPr>
                <w:sz w:val="16"/>
                <w:szCs w:val="20"/>
              </w:rPr>
            </w:pPr>
            <w:r w:rsidRPr="00424059">
              <w:t>17%</w:t>
            </w:r>
          </w:p>
        </w:tc>
        <w:tc>
          <w:tcPr>
            <w:tcW w:w="991" w:type="dxa"/>
          </w:tcPr>
          <w:p w14:paraId="3E8AE1F3"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-26%</w:t>
            </w:r>
          </w:p>
        </w:tc>
      </w:tr>
      <w:tr w:rsidR="001A183D" w14:paraId="708D96DB" w14:textId="77777777">
        <w:tc>
          <w:tcPr>
            <w:tcW w:w="2127" w:type="dxa"/>
          </w:tcPr>
          <w:p w14:paraId="4E1CCEBC"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10 - Vascular</w:t>
            </w:r>
          </w:p>
        </w:tc>
        <w:tc>
          <w:tcPr>
            <w:tcW w:w="992" w:type="dxa"/>
          </w:tcPr>
          <w:p w14:paraId="4233DA7D" w14:textId="77777777" w:rsidR="001A183D" w:rsidRPr="005E4220" w:rsidRDefault="001A183D">
            <w:pPr>
              <w:pStyle w:val="TableNbiophoto"/>
              <w:rPr>
                <w:sz w:val="16"/>
                <w:szCs w:val="20"/>
              </w:rPr>
            </w:pPr>
            <w:r w:rsidRPr="00424059">
              <w:t>$1,300</w:t>
            </w:r>
          </w:p>
        </w:tc>
        <w:tc>
          <w:tcPr>
            <w:tcW w:w="992" w:type="dxa"/>
          </w:tcPr>
          <w:p w14:paraId="5A51BF3B" w14:textId="77777777" w:rsidR="001A183D" w:rsidRPr="005E4220" w:rsidRDefault="001A183D">
            <w:pPr>
              <w:pStyle w:val="TableNbiophoto"/>
              <w:rPr>
                <w:sz w:val="16"/>
                <w:szCs w:val="20"/>
              </w:rPr>
            </w:pPr>
            <w:r w:rsidRPr="00424059">
              <w:t>$640</w:t>
            </w:r>
          </w:p>
        </w:tc>
        <w:tc>
          <w:tcPr>
            <w:tcW w:w="992" w:type="dxa"/>
          </w:tcPr>
          <w:p w14:paraId="0D2221C3" w14:textId="77777777" w:rsidR="001A183D" w:rsidRPr="005E4220" w:rsidRDefault="001A183D">
            <w:pPr>
              <w:pStyle w:val="TableNbiophoto"/>
              <w:rPr>
                <w:sz w:val="16"/>
                <w:szCs w:val="20"/>
              </w:rPr>
            </w:pPr>
            <w:r w:rsidRPr="00424059">
              <w:t>49%</w:t>
            </w:r>
          </w:p>
        </w:tc>
        <w:tc>
          <w:tcPr>
            <w:tcW w:w="993" w:type="dxa"/>
          </w:tcPr>
          <w:p w14:paraId="7175FBD2" w14:textId="77777777" w:rsidR="001A183D" w:rsidRPr="005E4220" w:rsidRDefault="001A183D">
            <w:pPr>
              <w:pStyle w:val="TableNbiophoto"/>
              <w:rPr>
                <w:sz w:val="16"/>
                <w:szCs w:val="20"/>
              </w:rPr>
            </w:pPr>
            <w:r w:rsidRPr="00424059">
              <w:t>$1,300</w:t>
            </w:r>
          </w:p>
        </w:tc>
        <w:tc>
          <w:tcPr>
            <w:tcW w:w="992" w:type="dxa"/>
          </w:tcPr>
          <w:p w14:paraId="564A9A27" w14:textId="77777777" w:rsidR="001A183D" w:rsidRPr="005E4220" w:rsidRDefault="001A183D">
            <w:pPr>
              <w:pStyle w:val="TableNbiophoto"/>
              <w:rPr>
                <w:sz w:val="16"/>
                <w:szCs w:val="20"/>
              </w:rPr>
            </w:pPr>
            <w:r w:rsidRPr="00424059">
              <w:t>$530</w:t>
            </w:r>
          </w:p>
        </w:tc>
        <w:tc>
          <w:tcPr>
            <w:tcW w:w="992" w:type="dxa"/>
          </w:tcPr>
          <w:p w14:paraId="0708B58B" w14:textId="77777777" w:rsidR="001A183D" w:rsidRPr="005E4220" w:rsidRDefault="001A183D">
            <w:pPr>
              <w:pStyle w:val="TableNbiophoto"/>
              <w:rPr>
                <w:sz w:val="16"/>
                <w:szCs w:val="20"/>
              </w:rPr>
            </w:pPr>
            <w:r w:rsidRPr="00424059">
              <w:t>41%</w:t>
            </w:r>
          </w:p>
        </w:tc>
        <w:tc>
          <w:tcPr>
            <w:tcW w:w="991" w:type="dxa"/>
          </w:tcPr>
          <w:p w14:paraId="74295422"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-8%</w:t>
            </w:r>
          </w:p>
        </w:tc>
      </w:tr>
      <w:tr w:rsidR="001A183D" w14:paraId="0BA030E2" w14:textId="77777777">
        <w:tc>
          <w:tcPr>
            <w:tcW w:w="2127" w:type="dxa"/>
          </w:tcPr>
          <w:p w14:paraId="02E14F2A"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11 - Hip</w:t>
            </w:r>
          </w:p>
        </w:tc>
        <w:tc>
          <w:tcPr>
            <w:tcW w:w="992" w:type="dxa"/>
          </w:tcPr>
          <w:p w14:paraId="18A6BEA0" w14:textId="77777777" w:rsidR="001A183D" w:rsidRPr="005E4220" w:rsidRDefault="001A183D">
            <w:pPr>
              <w:pStyle w:val="TableNbiophoto"/>
              <w:rPr>
                <w:sz w:val="16"/>
                <w:szCs w:val="20"/>
              </w:rPr>
            </w:pPr>
            <w:r w:rsidRPr="00424059">
              <w:t>$1,700</w:t>
            </w:r>
          </w:p>
        </w:tc>
        <w:tc>
          <w:tcPr>
            <w:tcW w:w="992" w:type="dxa"/>
          </w:tcPr>
          <w:p w14:paraId="4FEBB4BA" w14:textId="77777777" w:rsidR="001A183D" w:rsidRPr="005E4220" w:rsidRDefault="001A183D">
            <w:pPr>
              <w:pStyle w:val="TableNbiophoto"/>
              <w:rPr>
                <w:sz w:val="16"/>
                <w:szCs w:val="20"/>
              </w:rPr>
            </w:pPr>
            <w:r w:rsidRPr="00424059">
              <w:t>$850</w:t>
            </w:r>
          </w:p>
        </w:tc>
        <w:tc>
          <w:tcPr>
            <w:tcW w:w="992" w:type="dxa"/>
          </w:tcPr>
          <w:p w14:paraId="208121AF" w14:textId="77777777" w:rsidR="001A183D" w:rsidRPr="005E4220" w:rsidRDefault="001A183D">
            <w:pPr>
              <w:pStyle w:val="TableNbiophoto"/>
              <w:rPr>
                <w:sz w:val="16"/>
                <w:szCs w:val="20"/>
              </w:rPr>
            </w:pPr>
            <w:r w:rsidRPr="00424059">
              <w:t>50%</w:t>
            </w:r>
          </w:p>
        </w:tc>
        <w:tc>
          <w:tcPr>
            <w:tcW w:w="993" w:type="dxa"/>
          </w:tcPr>
          <w:p w14:paraId="14F5EF73" w14:textId="77777777" w:rsidR="001A183D" w:rsidRPr="005E4220" w:rsidRDefault="001A183D">
            <w:pPr>
              <w:pStyle w:val="TableNbiophoto"/>
              <w:rPr>
                <w:sz w:val="16"/>
                <w:szCs w:val="20"/>
              </w:rPr>
            </w:pPr>
            <w:r w:rsidRPr="00424059">
              <w:t>$1,600</w:t>
            </w:r>
          </w:p>
        </w:tc>
        <w:tc>
          <w:tcPr>
            <w:tcW w:w="992" w:type="dxa"/>
          </w:tcPr>
          <w:p w14:paraId="39EFBD15" w14:textId="77777777" w:rsidR="001A183D" w:rsidRPr="005E4220" w:rsidRDefault="001A183D">
            <w:pPr>
              <w:pStyle w:val="TableNbiophoto"/>
              <w:rPr>
                <w:sz w:val="16"/>
                <w:szCs w:val="20"/>
              </w:rPr>
            </w:pPr>
            <w:r w:rsidRPr="00424059">
              <w:t>$280</w:t>
            </w:r>
          </w:p>
        </w:tc>
        <w:tc>
          <w:tcPr>
            <w:tcW w:w="992" w:type="dxa"/>
          </w:tcPr>
          <w:p w14:paraId="3D35B236" w14:textId="77777777" w:rsidR="001A183D" w:rsidRPr="005E4220" w:rsidRDefault="001A183D">
            <w:pPr>
              <w:pStyle w:val="TableNbiophoto"/>
              <w:rPr>
                <w:sz w:val="16"/>
                <w:szCs w:val="20"/>
              </w:rPr>
            </w:pPr>
            <w:r w:rsidRPr="00424059">
              <w:t>18%</w:t>
            </w:r>
          </w:p>
        </w:tc>
        <w:tc>
          <w:tcPr>
            <w:tcW w:w="991" w:type="dxa"/>
          </w:tcPr>
          <w:p w14:paraId="50028474"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-33%</w:t>
            </w:r>
          </w:p>
        </w:tc>
      </w:tr>
      <w:tr w:rsidR="001A183D" w14:paraId="17514730" w14:textId="77777777">
        <w:tc>
          <w:tcPr>
            <w:tcW w:w="2127" w:type="dxa"/>
          </w:tcPr>
          <w:p w14:paraId="1B80004E"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12 - Knee</w:t>
            </w:r>
          </w:p>
        </w:tc>
        <w:tc>
          <w:tcPr>
            <w:tcW w:w="992" w:type="dxa"/>
          </w:tcPr>
          <w:p w14:paraId="18987EA4" w14:textId="77777777" w:rsidR="001A183D" w:rsidRPr="005E4220" w:rsidRDefault="001A183D">
            <w:pPr>
              <w:pStyle w:val="TableNbiophoto"/>
              <w:rPr>
                <w:sz w:val="16"/>
                <w:szCs w:val="20"/>
              </w:rPr>
            </w:pPr>
            <w:r w:rsidRPr="00424059">
              <w:t>$1,800</w:t>
            </w:r>
          </w:p>
        </w:tc>
        <w:tc>
          <w:tcPr>
            <w:tcW w:w="992" w:type="dxa"/>
          </w:tcPr>
          <w:p w14:paraId="2D3F05F0" w14:textId="77777777" w:rsidR="001A183D" w:rsidRPr="005E4220" w:rsidRDefault="001A183D">
            <w:pPr>
              <w:pStyle w:val="TableNbiophoto"/>
              <w:rPr>
                <w:sz w:val="16"/>
                <w:szCs w:val="20"/>
              </w:rPr>
            </w:pPr>
            <w:r w:rsidRPr="00424059">
              <w:t>$900</w:t>
            </w:r>
          </w:p>
        </w:tc>
        <w:tc>
          <w:tcPr>
            <w:tcW w:w="992" w:type="dxa"/>
          </w:tcPr>
          <w:p w14:paraId="65D3900B" w14:textId="77777777" w:rsidR="001A183D" w:rsidRPr="005E4220" w:rsidRDefault="001A183D">
            <w:pPr>
              <w:pStyle w:val="TableNbiophoto"/>
              <w:rPr>
                <w:sz w:val="16"/>
                <w:szCs w:val="20"/>
              </w:rPr>
            </w:pPr>
            <w:r w:rsidRPr="00424059">
              <w:t>50%</w:t>
            </w:r>
          </w:p>
        </w:tc>
        <w:tc>
          <w:tcPr>
            <w:tcW w:w="993" w:type="dxa"/>
          </w:tcPr>
          <w:p w14:paraId="0049D742" w14:textId="77777777" w:rsidR="001A183D" w:rsidRPr="005E4220" w:rsidRDefault="001A183D">
            <w:pPr>
              <w:pStyle w:val="TableNbiophoto"/>
              <w:rPr>
                <w:sz w:val="16"/>
                <w:szCs w:val="20"/>
              </w:rPr>
            </w:pPr>
            <w:r w:rsidRPr="00424059">
              <w:t>$1,700</w:t>
            </w:r>
          </w:p>
        </w:tc>
        <w:tc>
          <w:tcPr>
            <w:tcW w:w="992" w:type="dxa"/>
          </w:tcPr>
          <w:p w14:paraId="2BD3A99D" w14:textId="77777777" w:rsidR="001A183D" w:rsidRPr="005E4220" w:rsidRDefault="001A183D">
            <w:pPr>
              <w:pStyle w:val="TableNbiophoto"/>
              <w:rPr>
                <w:sz w:val="16"/>
                <w:szCs w:val="20"/>
              </w:rPr>
            </w:pPr>
            <w:r w:rsidRPr="00424059">
              <w:t>$540</w:t>
            </w:r>
          </w:p>
        </w:tc>
        <w:tc>
          <w:tcPr>
            <w:tcW w:w="992" w:type="dxa"/>
          </w:tcPr>
          <w:p w14:paraId="721EAD12" w14:textId="77777777" w:rsidR="001A183D" w:rsidRPr="005E4220" w:rsidRDefault="001A183D">
            <w:pPr>
              <w:pStyle w:val="TableNbiophoto"/>
              <w:rPr>
                <w:sz w:val="16"/>
                <w:szCs w:val="20"/>
              </w:rPr>
            </w:pPr>
            <w:r w:rsidRPr="00424059">
              <w:t>32%</w:t>
            </w:r>
          </w:p>
        </w:tc>
        <w:tc>
          <w:tcPr>
            <w:tcW w:w="991" w:type="dxa"/>
          </w:tcPr>
          <w:p w14:paraId="1DE28D3E"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-18%</w:t>
            </w:r>
          </w:p>
        </w:tc>
      </w:tr>
      <w:tr w:rsidR="001A183D" w14:paraId="27E2B65E" w14:textId="77777777">
        <w:tc>
          <w:tcPr>
            <w:tcW w:w="2127" w:type="dxa"/>
          </w:tcPr>
          <w:p w14:paraId="2424B0BD" w14:textId="77777777" w:rsidR="001A183D" w:rsidRPr="005E4220" w:rsidRDefault="001A183D">
            <w:pPr>
              <w:pStyle w:val="TableNbiophoto"/>
              <w:rPr>
                <w:rFonts w:asciiTheme="majorHAnsi" w:hAnsiTheme="majorHAnsi" w:cstheme="majorHAnsi"/>
                <w:sz w:val="16"/>
                <w:szCs w:val="20"/>
              </w:rPr>
            </w:pPr>
            <w:r w:rsidRPr="005E4220">
              <w:rPr>
                <w:rFonts w:asciiTheme="majorHAnsi" w:hAnsiTheme="majorHAnsi" w:cstheme="majorHAnsi"/>
                <w:sz w:val="16"/>
                <w:szCs w:val="20"/>
              </w:rPr>
              <w:t>13 - Spinal</w:t>
            </w:r>
          </w:p>
        </w:tc>
        <w:tc>
          <w:tcPr>
            <w:tcW w:w="992" w:type="dxa"/>
          </w:tcPr>
          <w:p w14:paraId="2E9D1442" w14:textId="77777777" w:rsidR="001A183D" w:rsidRPr="005E4220" w:rsidRDefault="001A183D">
            <w:pPr>
              <w:pStyle w:val="TableNbiophoto"/>
              <w:rPr>
                <w:sz w:val="16"/>
                <w:szCs w:val="20"/>
              </w:rPr>
            </w:pPr>
            <w:r w:rsidRPr="00424059">
              <w:t>$900</w:t>
            </w:r>
          </w:p>
        </w:tc>
        <w:tc>
          <w:tcPr>
            <w:tcW w:w="992" w:type="dxa"/>
          </w:tcPr>
          <w:p w14:paraId="5B1EFA65" w14:textId="77777777" w:rsidR="001A183D" w:rsidRPr="005E4220" w:rsidRDefault="001A183D">
            <w:pPr>
              <w:pStyle w:val="TableNbiophoto"/>
              <w:rPr>
                <w:sz w:val="16"/>
                <w:szCs w:val="20"/>
              </w:rPr>
            </w:pPr>
            <w:r w:rsidRPr="00424059">
              <w:t>$610</w:t>
            </w:r>
          </w:p>
        </w:tc>
        <w:tc>
          <w:tcPr>
            <w:tcW w:w="992" w:type="dxa"/>
          </w:tcPr>
          <w:p w14:paraId="4E78ED66" w14:textId="77777777" w:rsidR="001A183D" w:rsidRPr="005E4220" w:rsidRDefault="001A183D">
            <w:pPr>
              <w:pStyle w:val="TableNbiophoto"/>
              <w:rPr>
                <w:sz w:val="16"/>
                <w:szCs w:val="20"/>
              </w:rPr>
            </w:pPr>
            <w:r w:rsidRPr="00424059">
              <w:t>68%</w:t>
            </w:r>
          </w:p>
        </w:tc>
        <w:tc>
          <w:tcPr>
            <w:tcW w:w="993" w:type="dxa"/>
          </w:tcPr>
          <w:p w14:paraId="103853CD" w14:textId="77777777" w:rsidR="001A183D" w:rsidRPr="005E4220" w:rsidRDefault="001A183D">
            <w:pPr>
              <w:pStyle w:val="TableNbiophoto"/>
              <w:rPr>
                <w:sz w:val="16"/>
                <w:szCs w:val="20"/>
              </w:rPr>
            </w:pPr>
            <w:r w:rsidRPr="00424059">
              <w:t>$850</w:t>
            </w:r>
          </w:p>
        </w:tc>
        <w:tc>
          <w:tcPr>
            <w:tcW w:w="992" w:type="dxa"/>
          </w:tcPr>
          <w:p w14:paraId="5BF3889B" w14:textId="77777777" w:rsidR="001A183D" w:rsidRPr="005E4220" w:rsidRDefault="001A183D">
            <w:pPr>
              <w:pStyle w:val="TableNbiophoto"/>
              <w:rPr>
                <w:sz w:val="16"/>
                <w:szCs w:val="20"/>
              </w:rPr>
            </w:pPr>
            <w:r w:rsidRPr="00424059">
              <w:t>$260</w:t>
            </w:r>
          </w:p>
        </w:tc>
        <w:tc>
          <w:tcPr>
            <w:tcW w:w="992" w:type="dxa"/>
          </w:tcPr>
          <w:p w14:paraId="28CC97CC" w14:textId="77777777" w:rsidR="001A183D" w:rsidRPr="005E4220" w:rsidRDefault="001A183D">
            <w:pPr>
              <w:pStyle w:val="TableNbiophoto"/>
              <w:rPr>
                <w:sz w:val="16"/>
                <w:szCs w:val="20"/>
              </w:rPr>
            </w:pPr>
            <w:r w:rsidRPr="00424059">
              <w:t>31%</w:t>
            </w:r>
          </w:p>
        </w:tc>
        <w:tc>
          <w:tcPr>
            <w:tcW w:w="991" w:type="dxa"/>
          </w:tcPr>
          <w:p w14:paraId="4BE83FC1" w14:textId="77777777" w:rsidR="001A183D" w:rsidRPr="00E521FB" w:rsidRDefault="001A183D">
            <w:pPr>
              <w:pStyle w:val="TableNbiophoto"/>
              <w:rPr>
                <w:rFonts w:asciiTheme="majorHAnsi" w:hAnsiTheme="majorHAnsi" w:cstheme="majorHAnsi"/>
                <w:sz w:val="16"/>
                <w:szCs w:val="20"/>
              </w:rPr>
            </w:pPr>
            <w:r w:rsidRPr="00E521FB">
              <w:rPr>
                <w:rFonts w:asciiTheme="majorHAnsi" w:hAnsiTheme="majorHAnsi" w:cstheme="majorHAnsi"/>
              </w:rPr>
              <w:t>-37%</w:t>
            </w:r>
          </w:p>
        </w:tc>
      </w:tr>
    </w:tbl>
    <w:p w14:paraId="54433471" w14:textId="046ED62F" w:rsidR="000F6438" w:rsidRDefault="000F6438" w:rsidP="00590D84">
      <w:pPr>
        <w:pStyle w:val="xAppendixLevel2"/>
      </w:pPr>
      <w:bookmarkStart w:id="135" w:name="_Toc181405110"/>
      <w:r>
        <w:t xml:space="preserve">Indicator 5: </w:t>
      </w:r>
      <w:r w:rsidR="00D15B6C" w:rsidRPr="00D15B6C">
        <w:t>Change in utilisation of PL items</w:t>
      </w:r>
      <w:bookmarkEnd w:id="135"/>
    </w:p>
    <w:p w14:paraId="3A0C4569" w14:textId="6234BEC5" w:rsidR="00F109F9" w:rsidRDefault="00D15B6C" w:rsidP="005A1CAC">
      <w:pPr>
        <w:pStyle w:val="Heading4"/>
      </w:pPr>
      <w:r w:rsidRPr="00F91859">
        <w:rPr>
          <w:color w:val="F25E21" w:themeColor="accent2"/>
        </w:rPr>
        <w:t xml:space="preserve">Measure </w:t>
      </w:r>
      <w:r>
        <w:rPr>
          <w:color w:val="F25E21" w:themeColor="accent2"/>
        </w:rPr>
        <w:t>5</w:t>
      </w:r>
      <w:r w:rsidRPr="00F91859">
        <w:rPr>
          <w:color w:val="F25E21" w:themeColor="accent2"/>
        </w:rPr>
        <w:t>.</w:t>
      </w:r>
      <w:r>
        <w:rPr>
          <w:color w:val="F25E21" w:themeColor="accent2"/>
        </w:rPr>
        <w:t>1</w:t>
      </w:r>
      <w:r w:rsidRPr="00F91859">
        <w:rPr>
          <w:color w:val="F25E21" w:themeColor="accent2"/>
        </w:rPr>
        <w:t xml:space="preserve">: </w:t>
      </w:r>
      <w:r>
        <w:t>Utilisation of PL items</w:t>
      </w:r>
    </w:p>
    <w:p w14:paraId="44D3CEE3" w14:textId="5E0E6314" w:rsidR="004A58FE" w:rsidRDefault="00C11627" w:rsidP="00D15B6C">
      <w:r>
        <w:rPr>
          <w:lang w:val="en-AU" w:eastAsia="en-AU"/>
        </w:rPr>
        <w:t xml:space="preserve">This </w:t>
      </w:r>
      <w:r w:rsidR="00E4301E">
        <w:rPr>
          <w:lang w:val="en-AU" w:eastAsia="en-AU"/>
        </w:rPr>
        <w:t>measure examines the volume of PL items</w:t>
      </w:r>
      <w:r w:rsidR="00754A5E">
        <w:rPr>
          <w:lang w:val="en-AU" w:eastAsia="en-AU"/>
        </w:rPr>
        <w:t xml:space="preserve"> </w:t>
      </w:r>
      <w:r w:rsidR="00FA3DE9">
        <w:rPr>
          <w:lang w:val="en-AU" w:eastAsia="en-AU"/>
        </w:rPr>
        <w:t>used by clinicians and funded by PHI</w:t>
      </w:r>
      <w:r w:rsidR="00182DF5">
        <w:rPr>
          <w:lang w:val="en-AU" w:eastAsia="en-AU"/>
        </w:rPr>
        <w:t xml:space="preserve">, </w:t>
      </w:r>
      <w:r w:rsidR="00182DF5">
        <w:t>in relation to building an evidence base for specific lines of enquiry</w:t>
      </w:r>
      <w:r w:rsidR="00A411F5">
        <w:rPr>
          <w:lang w:val="en-AU" w:eastAsia="en-AU"/>
        </w:rPr>
        <w:t xml:space="preserve">. The primary research question this relates to </w:t>
      </w:r>
      <w:r w:rsidR="008A62E9">
        <w:rPr>
          <w:lang w:val="en-AU" w:eastAsia="en-AU"/>
        </w:rPr>
        <w:t>is</w:t>
      </w:r>
      <w:r w:rsidR="00803613">
        <w:rPr>
          <w:lang w:val="en-AU" w:eastAsia="en-AU"/>
        </w:rPr>
        <w:t>:</w:t>
      </w:r>
      <w:r w:rsidR="008A62E9">
        <w:rPr>
          <w:lang w:val="en-AU" w:eastAsia="en-AU"/>
        </w:rPr>
        <w:t xml:space="preserve"> </w:t>
      </w:r>
      <w:r w:rsidR="00803613" w:rsidRPr="00803613">
        <w:rPr>
          <w:i/>
          <w:iCs/>
          <w:lang w:val="en-AU" w:eastAsia="en-AU"/>
        </w:rPr>
        <w:t>Have the reforms had any impact on the selection and utilisation of products, and has this change generated any changes in clinical outcomes?</w:t>
      </w:r>
      <w:r w:rsidR="00803613" w:rsidRPr="00803613">
        <w:rPr>
          <w:lang w:val="en-AU" w:eastAsia="en-AU"/>
        </w:rPr>
        <w:t xml:space="preserve"> (research sub-question 2.4).</w:t>
      </w:r>
      <w:r w:rsidR="00FD0550">
        <w:rPr>
          <w:lang w:val="en-AU" w:eastAsia="en-AU"/>
        </w:rPr>
        <w:t xml:space="preserve"> </w:t>
      </w:r>
      <w:r w:rsidR="00BF1DA4">
        <w:rPr>
          <w:lang w:val="en-AU" w:eastAsia="en-AU"/>
        </w:rPr>
        <w:t>The baseline evaluation report established the evaluation’s</w:t>
      </w:r>
      <w:r w:rsidR="006320BA">
        <w:rPr>
          <w:lang w:val="en-AU" w:eastAsia="en-AU"/>
        </w:rPr>
        <w:t xml:space="preserve"> approach </w:t>
      </w:r>
      <w:r w:rsidR="002F52D3">
        <w:rPr>
          <w:lang w:val="en-AU" w:eastAsia="en-AU"/>
        </w:rPr>
        <w:t>to this</w:t>
      </w:r>
      <w:r w:rsidR="00BF1DA4">
        <w:rPr>
          <w:lang w:val="en-AU" w:eastAsia="en-AU"/>
        </w:rPr>
        <w:t xml:space="preserve"> research: w</w:t>
      </w:r>
      <w:r w:rsidR="00193DBD">
        <w:t xml:space="preserve">here we observe any significant shift in the utilisation of a benefit group, </w:t>
      </w:r>
      <w:r w:rsidR="00405873">
        <w:t>the evaluation team</w:t>
      </w:r>
      <w:r w:rsidR="00193DBD">
        <w:t xml:space="preserve"> will take a case study approach to investigate whether this has resulted in a decline in clinical outcomes.</w:t>
      </w:r>
      <w:r w:rsidR="002A4CA8">
        <w:t xml:space="preserve"> </w:t>
      </w:r>
      <w:r w:rsidR="00D422E9">
        <w:t xml:space="preserve">This </w:t>
      </w:r>
      <w:r w:rsidR="00D07EE9">
        <w:t>would</w:t>
      </w:r>
      <w:r w:rsidR="00D422E9">
        <w:t xml:space="preserve"> involve </w:t>
      </w:r>
      <w:r w:rsidR="009F4BD2">
        <w:t>consultation with clinicians</w:t>
      </w:r>
      <w:r w:rsidR="005F2A1A">
        <w:t xml:space="preserve">, supplemented by </w:t>
      </w:r>
      <w:r w:rsidR="00D07EE9">
        <w:t xml:space="preserve">analysis of </w:t>
      </w:r>
      <w:r w:rsidR="00476539">
        <w:t xml:space="preserve">clinical metrics in </w:t>
      </w:r>
      <w:r w:rsidR="007E5F7B">
        <w:t>HCP1 data</w:t>
      </w:r>
      <w:r w:rsidR="004A58FE">
        <w:t>.</w:t>
      </w:r>
    </w:p>
    <w:p w14:paraId="270338CC" w14:textId="2EF335AC" w:rsidR="00C16686" w:rsidRDefault="00374D4C" w:rsidP="00D15B6C">
      <w:r>
        <w:t xml:space="preserve">The evaluation did not consider </w:t>
      </w:r>
      <w:r w:rsidR="009C74DA">
        <w:t xml:space="preserve">it necessary to include any case studies under this measure for </w:t>
      </w:r>
      <w:r w:rsidR="009E44C6">
        <w:t>this reporting period</w:t>
      </w:r>
      <w:r w:rsidR="00BB48D9">
        <w:t xml:space="preserve"> for two reasons:</w:t>
      </w:r>
    </w:p>
    <w:p w14:paraId="4D653807" w14:textId="50ADF953" w:rsidR="00247031" w:rsidRDefault="000D2921" w:rsidP="006B3E23">
      <w:pPr>
        <w:pStyle w:val="Listnumbered"/>
        <w:numPr>
          <w:ilvl w:val="0"/>
          <w:numId w:val="22"/>
        </w:numPr>
      </w:pPr>
      <w:r>
        <w:t xml:space="preserve">While </w:t>
      </w:r>
      <w:r w:rsidR="00860299">
        <w:t>the evaluation team</w:t>
      </w:r>
      <w:r>
        <w:t xml:space="preserve"> observed </w:t>
      </w:r>
      <w:r w:rsidR="00574A98">
        <w:t>some</w:t>
      </w:r>
      <w:r w:rsidR="009412D0">
        <w:t xml:space="preserve"> instances of</w:t>
      </w:r>
      <w:r w:rsidR="00574A98">
        <w:t xml:space="preserve"> large changes in the utilisation of benefit groups (</w:t>
      </w:r>
      <w:r w:rsidR="00241FA0">
        <w:t>&gt;20%</w:t>
      </w:r>
      <w:r w:rsidR="009412D0">
        <w:t xml:space="preserve"> relative to the product category it </w:t>
      </w:r>
      <w:r w:rsidR="00BD2759">
        <w:t>belongs</w:t>
      </w:r>
      <w:r w:rsidR="009412D0">
        <w:t xml:space="preserve"> to)</w:t>
      </w:r>
      <w:r w:rsidR="00C07E9B">
        <w:t xml:space="preserve">, we could </w:t>
      </w:r>
      <w:r w:rsidR="0063527F">
        <w:t>not</w:t>
      </w:r>
      <w:r w:rsidR="00C07E9B">
        <w:t xml:space="preserve"> </w:t>
      </w:r>
      <w:r w:rsidR="00094EFE">
        <w:t xml:space="preserve">establish a statistically significant relationship </w:t>
      </w:r>
      <w:r w:rsidR="00A7722C">
        <w:t xml:space="preserve">between </w:t>
      </w:r>
      <w:r w:rsidR="00247031">
        <w:t>utilisation change</w:t>
      </w:r>
      <w:r w:rsidR="00A7722C">
        <w:t xml:space="preserve"> </w:t>
      </w:r>
      <w:r w:rsidR="00734B31">
        <w:t xml:space="preserve">and </w:t>
      </w:r>
      <w:r w:rsidR="00E95D53">
        <w:t>benefit reductions</w:t>
      </w:r>
      <w:r w:rsidR="00247031">
        <w:t xml:space="preserve"> (see </w:t>
      </w:r>
      <w:r w:rsidR="004F493A">
        <w:rPr>
          <w:lang w:val="en-AU" w:eastAsia="en-AU"/>
        </w:rPr>
        <w:fldChar w:fldCharType="begin"/>
      </w:r>
      <w:r w:rsidR="004F493A">
        <w:rPr>
          <w:lang w:val="en-AU" w:eastAsia="en-AU"/>
        </w:rPr>
        <w:instrText xml:space="preserve"> REF _Ref172117895 \h </w:instrText>
      </w:r>
      <w:r w:rsidR="004F493A">
        <w:rPr>
          <w:lang w:val="en-AU" w:eastAsia="en-AU"/>
        </w:rPr>
      </w:r>
      <w:r w:rsidR="004F493A">
        <w:rPr>
          <w:lang w:val="en-AU" w:eastAsia="en-AU"/>
        </w:rPr>
        <w:fldChar w:fldCharType="separate"/>
      </w:r>
      <w:r w:rsidR="009B5D8D">
        <w:t xml:space="preserve">Table </w:t>
      </w:r>
      <w:r w:rsidR="009B5D8D">
        <w:rPr>
          <w:noProof/>
        </w:rPr>
        <w:t>27</w:t>
      </w:r>
      <w:r w:rsidR="004F493A">
        <w:rPr>
          <w:lang w:val="en-AU" w:eastAsia="en-AU"/>
        </w:rPr>
        <w:fldChar w:fldCharType="end"/>
      </w:r>
      <w:r w:rsidR="00247031">
        <w:t xml:space="preserve"> below)</w:t>
      </w:r>
      <w:r w:rsidR="00E95D53">
        <w:t>.</w:t>
      </w:r>
      <w:r w:rsidR="00EA17A1">
        <w:t xml:space="preserve"> </w:t>
      </w:r>
      <w:r w:rsidR="00647973">
        <w:t>U</w:t>
      </w:r>
      <w:r w:rsidR="0091004D">
        <w:t xml:space="preserve">tilisation swings for specific item types </w:t>
      </w:r>
      <w:r w:rsidR="00373E1A">
        <w:t>are common</w:t>
      </w:r>
      <w:r w:rsidR="00CC482A">
        <w:t xml:space="preserve"> (particularly for devices </w:t>
      </w:r>
      <w:r w:rsidR="006F4209">
        <w:t>with low volumes</w:t>
      </w:r>
      <w:r w:rsidR="00E83F17">
        <w:t xml:space="preserve">) </w:t>
      </w:r>
      <w:r w:rsidR="00157145">
        <w:t>and can occur for multiple reason</w:t>
      </w:r>
      <w:r w:rsidR="009C50FC">
        <w:t>s unrelated to the reforms.</w:t>
      </w:r>
    </w:p>
    <w:p w14:paraId="287D51A4" w14:textId="0240AA7B" w:rsidR="00AD64F4" w:rsidRDefault="00AD64F4" w:rsidP="006B3E23">
      <w:pPr>
        <w:pStyle w:val="Listnumbered"/>
        <w:numPr>
          <w:ilvl w:val="0"/>
          <w:numId w:val="22"/>
        </w:numPr>
      </w:pPr>
      <w:r>
        <w:t xml:space="preserve">Stakeholders did not present to </w:t>
      </w:r>
      <w:r w:rsidR="00C92F87">
        <w:t>the evaluation team</w:t>
      </w:r>
      <w:r>
        <w:t xml:space="preserve"> anecdotal evidence of sub-optimal clinical outcomes as a result of a change in the selection and utilisation of products.</w:t>
      </w:r>
    </w:p>
    <w:p w14:paraId="548E6567" w14:textId="3D75C36E" w:rsidR="00F109F9" w:rsidRPr="007D0C11" w:rsidRDefault="00736185" w:rsidP="00D15B6C">
      <w:pPr>
        <w:pStyle w:val="Heading5"/>
      </w:pPr>
      <w:r>
        <w:t>Analysis of r</w:t>
      </w:r>
      <w:r w:rsidR="0093385B">
        <w:t xml:space="preserve">elationship between </w:t>
      </w:r>
      <w:r w:rsidR="000930F8">
        <w:t>benefit reductions and utilisation</w:t>
      </w:r>
    </w:p>
    <w:p w14:paraId="3CE1A976" w14:textId="6E152BA3" w:rsidR="00B2458D" w:rsidRDefault="00DE11C8" w:rsidP="00D15B6C">
      <w:pPr>
        <w:rPr>
          <w:lang w:val="en-AU" w:eastAsia="en-AU"/>
        </w:rPr>
      </w:pPr>
      <w:r>
        <w:rPr>
          <w:lang w:val="en-AU" w:eastAsia="en-AU"/>
        </w:rPr>
        <w:t xml:space="preserve">Regression analysis was undertaken to determine whether </w:t>
      </w:r>
      <w:r w:rsidR="00C24F84">
        <w:rPr>
          <w:lang w:val="en-AU" w:eastAsia="en-AU"/>
        </w:rPr>
        <w:t>there is</w:t>
      </w:r>
      <w:r>
        <w:rPr>
          <w:lang w:val="en-AU" w:eastAsia="en-AU"/>
        </w:rPr>
        <w:t xml:space="preserve"> </w:t>
      </w:r>
      <w:r w:rsidR="005D2B45">
        <w:rPr>
          <w:lang w:val="en-AU" w:eastAsia="en-AU"/>
        </w:rPr>
        <w:t xml:space="preserve">a </w:t>
      </w:r>
      <w:r>
        <w:rPr>
          <w:lang w:val="en-AU" w:eastAsia="en-AU"/>
        </w:rPr>
        <w:t xml:space="preserve">relationship between the </w:t>
      </w:r>
      <w:r w:rsidR="00C24F84">
        <w:rPr>
          <w:lang w:val="en-AU" w:eastAsia="en-AU"/>
        </w:rPr>
        <w:t>change in item benefits and the change in item utilisation</w:t>
      </w:r>
      <w:r w:rsidR="00A15BE3">
        <w:rPr>
          <w:lang w:val="en-AU" w:eastAsia="en-AU"/>
        </w:rPr>
        <w:t xml:space="preserve"> at the benefit group level</w:t>
      </w:r>
      <w:r w:rsidR="00EB4282">
        <w:rPr>
          <w:lang w:val="en-AU" w:eastAsia="en-AU"/>
        </w:rPr>
        <w:t>.</w:t>
      </w:r>
      <w:r w:rsidR="008E448C">
        <w:rPr>
          <w:lang w:val="en-AU" w:eastAsia="en-AU"/>
        </w:rPr>
        <w:t xml:space="preserve"> </w:t>
      </w:r>
      <w:r w:rsidR="002E1367">
        <w:rPr>
          <w:lang w:val="en-AU" w:eastAsia="en-AU"/>
        </w:rPr>
        <w:t xml:space="preserve">The evaluation considered this a prerequisite requirement to </w:t>
      </w:r>
      <w:r w:rsidR="005C53AA">
        <w:rPr>
          <w:lang w:val="en-AU" w:eastAsia="en-AU"/>
        </w:rPr>
        <w:t xml:space="preserve">including case studies </w:t>
      </w:r>
      <w:r w:rsidR="00AA000F">
        <w:rPr>
          <w:lang w:val="en-AU" w:eastAsia="en-AU"/>
        </w:rPr>
        <w:t>investigating</w:t>
      </w:r>
      <w:r w:rsidR="002C6759">
        <w:rPr>
          <w:lang w:val="en-AU" w:eastAsia="en-AU"/>
        </w:rPr>
        <w:t xml:space="preserve"> </w:t>
      </w:r>
      <w:r w:rsidR="007D6C65">
        <w:rPr>
          <w:lang w:val="en-AU" w:eastAsia="en-AU"/>
        </w:rPr>
        <w:t>any</w:t>
      </w:r>
      <w:r w:rsidR="002C6759">
        <w:rPr>
          <w:lang w:val="en-AU" w:eastAsia="en-AU"/>
        </w:rPr>
        <w:t xml:space="preserve"> </w:t>
      </w:r>
      <w:r w:rsidR="0003042E">
        <w:rPr>
          <w:lang w:val="en-AU" w:eastAsia="en-AU"/>
        </w:rPr>
        <w:t xml:space="preserve">changes </w:t>
      </w:r>
      <w:r w:rsidR="00D5305C">
        <w:rPr>
          <w:lang w:val="en-AU" w:eastAsia="en-AU"/>
        </w:rPr>
        <w:t>in clinical outcomes as a result of</w:t>
      </w:r>
      <w:r w:rsidR="002C6759">
        <w:rPr>
          <w:lang w:val="en-AU" w:eastAsia="en-AU"/>
        </w:rPr>
        <w:t xml:space="preserve"> </w:t>
      </w:r>
      <w:r w:rsidR="00CB2D54">
        <w:rPr>
          <w:lang w:val="en-AU" w:eastAsia="en-AU"/>
        </w:rPr>
        <w:t xml:space="preserve">a change in the selection and utilisation of products attributable </w:t>
      </w:r>
      <w:r w:rsidR="00BE6E4C">
        <w:rPr>
          <w:lang w:val="en-AU" w:eastAsia="en-AU"/>
        </w:rPr>
        <w:t>to the PL reforms.</w:t>
      </w:r>
    </w:p>
    <w:p w14:paraId="5679693D" w14:textId="3298FE1C" w:rsidR="00FC65D7" w:rsidRDefault="00487F20" w:rsidP="00D15B6C">
      <w:pPr>
        <w:rPr>
          <w:lang w:val="en-AU" w:eastAsia="en-AU"/>
        </w:rPr>
      </w:pPr>
      <w:r>
        <w:rPr>
          <w:lang w:val="en-AU" w:eastAsia="en-AU"/>
        </w:rPr>
        <w:lastRenderedPageBreak/>
        <w:t>The b</w:t>
      </w:r>
      <w:r w:rsidR="00113F6B">
        <w:rPr>
          <w:lang w:val="en-AU" w:eastAsia="en-AU"/>
        </w:rPr>
        <w:t xml:space="preserve">enefit changes were calculated </w:t>
      </w:r>
      <w:r w:rsidR="00664F86">
        <w:rPr>
          <w:lang w:val="en-AU" w:eastAsia="en-AU"/>
        </w:rPr>
        <w:t xml:space="preserve">as the </w:t>
      </w:r>
      <w:r w:rsidR="00565FAC">
        <w:rPr>
          <w:lang w:val="en-AU" w:eastAsia="en-AU"/>
        </w:rPr>
        <w:t>% change</w:t>
      </w:r>
      <w:r w:rsidR="00664F86">
        <w:rPr>
          <w:lang w:val="en-AU" w:eastAsia="en-AU"/>
        </w:rPr>
        <w:t xml:space="preserve"> between </w:t>
      </w:r>
      <w:r w:rsidR="00C60740">
        <w:rPr>
          <w:lang w:val="en-AU" w:eastAsia="en-AU"/>
        </w:rPr>
        <w:t xml:space="preserve">the </w:t>
      </w:r>
      <w:r w:rsidR="00A37A87">
        <w:rPr>
          <w:lang w:val="en-AU" w:eastAsia="en-AU"/>
        </w:rPr>
        <w:t>March 2022 PL</w:t>
      </w:r>
      <w:r w:rsidR="00A66769">
        <w:rPr>
          <w:lang w:val="en-AU" w:eastAsia="en-AU"/>
        </w:rPr>
        <w:t xml:space="preserve"> </w:t>
      </w:r>
      <w:r w:rsidR="00C60740">
        <w:rPr>
          <w:lang w:val="en-AU" w:eastAsia="en-AU"/>
        </w:rPr>
        <w:t xml:space="preserve">and the </w:t>
      </w:r>
      <w:r w:rsidR="00664F86">
        <w:rPr>
          <w:lang w:val="en-AU" w:eastAsia="en-AU"/>
        </w:rPr>
        <w:t xml:space="preserve">July 2022 </w:t>
      </w:r>
      <w:r w:rsidR="00A37A87">
        <w:rPr>
          <w:lang w:val="en-AU" w:eastAsia="en-AU"/>
        </w:rPr>
        <w:t>PL</w:t>
      </w:r>
      <w:r w:rsidR="00A66769">
        <w:rPr>
          <w:lang w:val="en-AU" w:eastAsia="en-AU"/>
        </w:rPr>
        <w:t xml:space="preserve"> for each benefit group</w:t>
      </w:r>
      <w:r w:rsidR="003031BD">
        <w:rPr>
          <w:lang w:val="en-AU" w:eastAsia="en-AU"/>
        </w:rPr>
        <w:t xml:space="preserve">. These PL editions were chosen to isolate </w:t>
      </w:r>
      <w:r w:rsidR="00BF5A76">
        <w:rPr>
          <w:lang w:val="en-AU" w:eastAsia="en-AU"/>
        </w:rPr>
        <w:t>the</w:t>
      </w:r>
      <w:r w:rsidR="003031BD">
        <w:rPr>
          <w:lang w:val="en-AU" w:eastAsia="en-AU"/>
        </w:rPr>
        <w:t xml:space="preserve"> </w:t>
      </w:r>
      <w:r w:rsidR="00972AC1">
        <w:rPr>
          <w:lang w:val="en-AU" w:eastAsia="en-AU"/>
        </w:rPr>
        <w:t>impact</w:t>
      </w:r>
      <w:r w:rsidR="00A37A87">
        <w:rPr>
          <w:lang w:val="en-AU" w:eastAsia="en-AU"/>
        </w:rPr>
        <w:t xml:space="preserve"> </w:t>
      </w:r>
      <w:r w:rsidR="00F128D7">
        <w:rPr>
          <w:lang w:val="en-AU" w:eastAsia="en-AU"/>
        </w:rPr>
        <w:t xml:space="preserve">of the first round of </w:t>
      </w:r>
      <w:r w:rsidR="00A35FA0">
        <w:rPr>
          <w:lang w:val="en-AU" w:eastAsia="en-AU"/>
        </w:rPr>
        <w:t>reductions</w:t>
      </w:r>
      <w:r w:rsidR="007112CF">
        <w:rPr>
          <w:lang w:val="en-AU" w:eastAsia="en-AU"/>
        </w:rPr>
        <w:t xml:space="preserve"> (</w:t>
      </w:r>
      <w:r w:rsidR="000E2CE8">
        <w:rPr>
          <w:lang w:val="en-AU" w:eastAsia="en-AU"/>
        </w:rPr>
        <w:t>July 2022</w:t>
      </w:r>
      <w:r w:rsidR="00621E88">
        <w:rPr>
          <w:lang w:val="en-AU" w:eastAsia="en-AU"/>
        </w:rPr>
        <w:t xml:space="preserve">) on </w:t>
      </w:r>
      <w:r w:rsidR="00A40236">
        <w:rPr>
          <w:lang w:val="en-AU" w:eastAsia="en-AU"/>
        </w:rPr>
        <w:t>item</w:t>
      </w:r>
      <w:r w:rsidR="00621E88">
        <w:rPr>
          <w:lang w:val="en-AU" w:eastAsia="en-AU"/>
        </w:rPr>
        <w:t xml:space="preserve"> utilisation </w:t>
      </w:r>
      <w:r w:rsidR="00A40236">
        <w:rPr>
          <w:lang w:val="en-AU" w:eastAsia="en-AU"/>
        </w:rPr>
        <w:t>over the next year (FY23).</w:t>
      </w:r>
      <w:r w:rsidR="00BF5A76">
        <w:rPr>
          <w:lang w:val="en-AU" w:eastAsia="en-AU"/>
        </w:rPr>
        <w:t xml:space="preserve"> </w:t>
      </w:r>
      <w:r w:rsidR="009935BB">
        <w:rPr>
          <w:lang w:val="en-AU" w:eastAsia="en-AU"/>
        </w:rPr>
        <w:t>A</w:t>
      </w:r>
      <w:r w:rsidR="0035535D">
        <w:rPr>
          <w:lang w:val="en-AU" w:eastAsia="en-AU"/>
        </w:rPr>
        <w:t>n</w:t>
      </w:r>
      <w:r w:rsidR="00F0382C" w:rsidRPr="00F85D7B">
        <w:rPr>
          <w:lang w:val="en-AU" w:eastAsia="en-AU"/>
        </w:rPr>
        <w:t xml:space="preserve"> adjustment </w:t>
      </w:r>
      <w:r w:rsidR="009353F8">
        <w:rPr>
          <w:lang w:val="en-AU" w:eastAsia="en-AU"/>
        </w:rPr>
        <w:t xml:space="preserve">was applied to </w:t>
      </w:r>
      <w:r w:rsidR="00A926A0">
        <w:rPr>
          <w:lang w:val="en-AU" w:eastAsia="en-AU"/>
        </w:rPr>
        <w:t xml:space="preserve">make this </w:t>
      </w:r>
      <w:r w:rsidR="002269AA">
        <w:rPr>
          <w:lang w:val="en-AU" w:eastAsia="en-AU"/>
        </w:rPr>
        <w:t xml:space="preserve">relative </w:t>
      </w:r>
      <w:r w:rsidR="00C73404">
        <w:rPr>
          <w:lang w:val="en-AU" w:eastAsia="en-AU"/>
        </w:rPr>
        <w:t>to the overall category utilisation change</w:t>
      </w:r>
      <w:r w:rsidR="00322C46">
        <w:rPr>
          <w:lang w:val="en-AU" w:eastAsia="en-AU"/>
        </w:rPr>
        <w:t xml:space="preserve"> as a way to control for </w:t>
      </w:r>
      <w:r w:rsidR="005B52D1">
        <w:rPr>
          <w:lang w:val="en-AU" w:eastAsia="en-AU"/>
        </w:rPr>
        <w:t xml:space="preserve">macro </w:t>
      </w:r>
      <w:r w:rsidR="00282A60">
        <w:rPr>
          <w:lang w:val="en-AU" w:eastAsia="en-AU"/>
        </w:rPr>
        <w:t>health/technology/demographic</w:t>
      </w:r>
      <w:r w:rsidR="00681F6B">
        <w:rPr>
          <w:lang w:val="en-AU" w:eastAsia="en-AU"/>
        </w:rPr>
        <w:t xml:space="preserve"> trends that affect a </w:t>
      </w:r>
      <w:r w:rsidR="007A77E9">
        <w:rPr>
          <w:lang w:val="en-AU" w:eastAsia="en-AU"/>
        </w:rPr>
        <w:t>whole category.</w:t>
      </w:r>
      <w:r w:rsidR="00F14C5A">
        <w:rPr>
          <w:rStyle w:val="FootnoteReference"/>
          <w:lang w:val="en-AU" w:eastAsia="en-AU"/>
        </w:rPr>
        <w:footnoteReference w:id="141"/>
      </w:r>
      <w:r w:rsidR="00F14C5A">
        <w:rPr>
          <w:lang w:val="en-AU" w:eastAsia="en-AU"/>
        </w:rPr>
        <w:t xml:space="preserve"> </w:t>
      </w:r>
      <w:r w:rsidR="00FC68A5">
        <w:rPr>
          <w:lang w:val="en-AU" w:eastAsia="en-AU"/>
        </w:rPr>
        <w:t xml:space="preserve">The </w:t>
      </w:r>
      <w:r w:rsidR="006F2BD0">
        <w:rPr>
          <w:lang w:val="en-AU" w:eastAsia="en-AU"/>
        </w:rPr>
        <w:t xml:space="preserve">utilisation </w:t>
      </w:r>
      <w:r w:rsidR="00FC68A5">
        <w:rPr>
          <w:lang w:val="en-AU" w:eastAsia="en-AU"/>
        </w:rPr>
        <w:t xml:space="preserve">changes were </w:t>
      </w:r>
      <w:r w:rsidR="00956A5E">
        <w:rPr>
          <w:lang w:val="en-AU" w:eastAsia="en-AU"/>
        </w:rPr>
        <w:t xml:space="preserve">calculated </w:t>
      </w:r>
      <w:r w:rsidR="006F2BD0">
        <w:rPr>
          <w:lang w:val="en-AU" w:eastAsia="en-AU"/>
        </w:rPr>
        <w:t xml:space="preserve">as the </w:t>
      </w:r>
      <w:r w:rsidR="002F5AE9">
        <w:rPr>
          <w:lang w:val="en-AU" w:eastAsia="en-AU"/>
        </w:rPr>
        <w:t>% change</w:t>
      </w:r>
      <w:r w:rsidR="006F2BD0">
        <w:rPr>
          <w:lang w:val="en-AU" w:eastAsia="en-AU"/>
        </w:rPr>
        <w:t xml:space="preserve"> between FY23 and</w:t>
      </w:r>
      <w:r w:rsidR="00FC68A5">
        <w:rPr>
          <w:lang w:val="en-AU" w:eastAsia="en-AU"/>
        </w:rPr>
        <w:t xml:space="preserve"> FY22</w:t>
      </w:r>
      <w:r w:rsidR="002169F1">
        <w:rPr>
          <w:lang w:val="en-AU" w:eastAsia="en-AU"/>
        </w:rPr>
        <w:t xml:space="preserve"> </w:t>
      </w:r>
      <w:r w:rsidR="006F2BD0">
        <w:rPr>
          <w:lang w:val="en-AU" w:eastAsia="en-AU"/>
        </w:rPr>
        <w:t>ite</w:t>
      </w:r>
      <w:r w:rsidR="00AB2F04">
        <w:rPr>
          <w:lang w:val="en-AU" w:eastAsia="en-AU"/>
        </w:rPr>
        <w:t>m utilisation (</w:t>
      </w:r>
      <w:r w:rsidR="00AD0418">
        <w:rPr>
          <w:lang w:val="en-AU" w:eastAsia="en-AU"/>
        </w:rPr>
        <w:t xml:space="preserve">billing codes grouped at the benefit </w:t>
      </w:r>
      <w:r w:rsidR="00AB2F04">
        <w:rPr>
          <w:lang w:val="en-AU" w:eastAsia="en-AU"/>
        </w:rPr>
        <w:t xml:space="preserve">group </w:t>
      </w:r>
      <w:r w:rsidR="00AD0418">
        <w:rPr>
          <w:lang w:val="en-AU" w:eastAsia="en-AU"/>
        </w:rPr>
        <w:t xml:space="preserve">level) </w:t>
      </w:r>
      <w:r w:rsidR="0008210B">
        <w:rPr>
          <w:lang w:val="en-AU" w:eastAsia="en-AU"/>
        </w:rPr>
        <w:t>using HCP1 data</w:t>
      </w:r>
      <w:r w:rsidR="00AD0418">
        <w:rPr>
          <w:lang w:val="en-AU" w:eastAsia="en-AU"/>
        </w:rPr>
        <w:t>.</w:t>
      </w:r>
    </w:p>
    <w:p w14:paraId="58CA1D52" w14:textId="7C54FCE7" w:rsidR="001B2648" w:rsidRPr="00277D6B" w:rsidRDefault="00A54E75" w:rsidP="00D15B6C">
      <w:pPr>
        <w:rPr>
          <w:lang w:val="en-AU" w:eastAsia="en-AU"/>
        </w:rPr>
      </w:pPr>
      <w:r>
        <w:rPr>
          <w:lang w:val="en-AU" w:eastAsia="en-AU"/>
        </w:rPr>
        <w:fldChar w:fldCharType="begin"/>
      </w:r>
      <w:r>
        <w:rPr>
          <w:lang w:val="en-AU" w:eastAsia="en-AU"/>
        </w:rPr>
        <w:instrText xml:space="preserve"> REF _Ref172117895 \h </w:instrText>
      </w:r>
      <w:r>
        <w:rPr>
          <w:lang w:val="en-AU" w:eastAsia="en-AU"/>
        </w:rPr>
      </w:r>
      <w:r>
        <w:rPr>
          <w:lang w:val="en-AU" w:eastAsia="en-AU"/>
        </w:rPr>
        <w:fldChar w:fldCharType="separate"/>
      </w:r>
      <w:r w:rsidR="009B5D8D">
        <w:t xml:space="preserve">Table </w:t>
      </w:r>
      <w:r w:rsidR="009B5D8D">
        <w:rPr>
          <w:noProof/>
        </w:rPr>
        <w:t>27</w:t>
      </w:r>
      <w:r>
        <w:rPr>
          <w:lang w:val="en-AU" w:eastAsia="en-AU"/>
        </w:rPr>
        <w:fldChar w:fldCharType="end"/>
      </w:r>
      <w:r>
        <w:rPr>
          <w:lang w:val="en-AU" w:eastAsia="en-AU"/>
        </w:rPr>
        <w:t xml:space="preserve"> below summarises the results of three regression analyses</w:t>
      </w:r>
      <w:r w:rsidR="00F5256E">
        <w:rPr>
          <w:lang w:val="en-AU" w:eastAsia="en-AU"/>
        </w:rPr>
        <w:t xml:space="preserve"> on PL benefit groups</w:t>
      </w:r>
      <w:r>
        <w:rPr>
          <w:lang w:val="en-AU" w:eastAsia="en-AU"/>
        </w:rPr>
        <w:t>.</w:t>
      </w:r>
      <w:r w:rsidR="00677476">
        <w:rPr>
          <w:lang w:val="en-AU" w:eastAsia="en-AU"/>
        </w:rPr>
        <w:t xml:space="preserve"> </w:t>
      </w:r>
      <w:r w:rsidR="00CD749F">
        <w:rPr>
          <w:lang w:val="en-AU" w:eastAsia="en-AU"/>
        </w:rPr>
        <w:t xml:space="preserve">The </w:t>
      </w:r>
      <w:r w:rsidR="00C80163">
        <w:rPr>
          <w:lang w:val="en-AU" w:eastAsia="en-AU"/>
        </w:rPr>
        <w:t>regressions</w:t>
      </w:r>
      <w:r w:rsidR="00D74FD5">
        <w:rPr>
          <w:lang w:val="en-AU" w:eastAsia="en-AU"/>
        </w:rPr>
        <w:t xml:space="preserve"> included </w:t>
      </w:r>
      <w:r w:rsidR="003438FC">
        <w:rPr>
          <w:lang w:val="en-AU" w:eastAsia="en-AU"/>
        </w:rPr>
        <w:t xml:space="preserve">benefit groups </w:t>
      </w:r>
      <w:r w:rsidR="00833B1B">
        <w:rPr>
          <w:lang w:val="en-AU" w:eastAsia="en-AU"/>
        </w:rPr>
        <w:t xml:space="preserve">across Parts A, C and D of the PL </w:t>
      </w:r>
      <w:r w:rsidR="003438FC">
        <w:rPr>
          <w:lang w:val="en-AU" w:eastAsia="en-AU"/>
        </w:rPr>
        <w:t xml:space="preserve">with any benefit reduction </w:t>
      </w:r>
      <w:r w:rsidR="00CD749F">
        <w:rPr>
          <w:lang w:val="en-AU" w:eastAsia="en-AU"/>
        </w:rPr>
        <w:t>in</w:t>
      </w:r>
      <w:r w:rsidR="00833B1B">
        <w:rPr>
          <w:lang w:val="en-AU" w:eastAsia="en-AU"/>
        </w:rPr>
        <w:t xml:space="preserve"> July 2022</w:t>
      </w:r>
      <w:r w:rsidR="0040099A">
        <w:rPr>
          <w:lang w:val="en-AU" w:eastAsia="en-AU"/>
        </w:rPr>
        <w:t>.</w:t>
      </w:r>
      <w:r w:rsidR="001B2648">
        <w:rPr>
          <w:lang w:val="en-AU" w:eastAsia="en-AU"/>
        </w:rPr>
        <w:t xml:space="preserve"> No </w:t>
      </w:r>
      <w:r w:rsidR="00AB4A45">
        <w:rPr>
          <w:lang w:val="en-AU" w:eastAsia="en-AU"/>
        </w:rPr>
        <w:t>statistically significant relation</w:t>
      </w:r>
      <w:r w:rsidR="00AD3C71">
        <w:rPr>
          <w:lang w:val="en-AU" w:eastAsia="en-AU"/>
        </w:rPr>
        <w:t xml:space="preserve">ship </w:t>
      </w:r>
      <w:r w:rsidR="00AB4A45">
        <w:rPr>
          <w:lang w:val="en-AU" w:eastAsia="en-AU"/>
        </w:rPr>
        <w:t xml:space="preserve">could be found in the base </w:t>
      </w:r>
      <w:r w:rsidR="00B84D25">
        <w:rPr>
          <w:lang w:val="en-AU" w:eastAsia="en-AU"/>
        </w:rPr>
        <w:t>case. When removing</w:t>
      </w:r>
      <w:r w:rsidR="009E0F83">
        <w:rPr>
          <w:lang w:val="en-AU" w:eastAsia="en-AU"/>
        </w:rPr>
        <w:t xml:space="preserve"> benefit groups with less than or equal to 100 utilisation in each of FY22 and FY23</w:t>
      </w:r>
      <w:r w:rsidR="009B3D1A">
        <w:rPr>
          <w:lang w:val="en-AU" w:eastAsia="en-AU"/>
        </w:rPr>
        <w:t xml:space="preserve">, the </w:t>
      </w:r>
      <w:r w:rsidR="003273AA">
        <w:rPr>
          <w:lang w:val="en-AU" w:eastAsia="en-AU"/>
        </w:rPr>
        <w:t>regression showed statistically significant results</w:t>
      </w:r>
      <w:r w:rsidR="00485788">
        <w:rPr>
          <w:lang w:val="en-AU" w:eastAsia="en-AU"/>
        </w:rPr>
        <w:t xml:space="preserve">. However, this model explained </w:t>
      </w:r>
      <w:r w:rsidR="00277D6B">
        <w:rPr>
          <w:lang w:val="en-AU" w:eastAsia="en-AU"/>
        </w:rPr>
        <w:t xml:space="preserve">a very small amount of the variance in utilisation </w:t>
      </w:r>
      <w:r w:rsidR="005B761A">
        <w:rPr>
          <w:lang w:val="en-AU" w:eastAsia="en-AU"/>
        </w:rPr>
        <w:t>(</w:t>
      </w:r>
      <w:r w:rsidR="00277D6B">
        <w:rPr>
          <w:lang w:val="en-AU" w:eastAsia="en-AU"/>
        </w:rPr>
        <w:t>R</w:t>
      </w:r>
      <w:r w:rsidR="00277D6B">
        <w:rPr>
          <w:vertAlign w:val="superscript"/>
          <w:lang w:val="en-AU" w:eastAsia="en-AU"/>
        </w:rPr>
        <w:t>2</w:t>
      </w:r>
      <w:r w:rsidR="00277D6B">
        <w:rPr>
          <w:lang w:val="en-AU" w:eastAsia="en-AU"/>
        </w:rPr>
        <w:t xml:space="preserve"> = </w:t>
      </w:r>
      <w:r w:rsidR="005B761A">
        <w:rPr>
          <w:lang w:val="en-AU" w:eastAsia="en-AU"/>
        </w:rPr>
        <w:t>0.01)</w:t>
      </w:r>
      <w:r w:rsidR="008B61DE">
        <w:rPr>
          <w:lang w:val="en-AU" w:eastAsia="en-AU"/>
        </w:rPr>
        <w:t xml:space="preserve">, and </w:t>
      </w:r>
      <w:r w:rsidR="000279D5">
        <w:rPr>
          <w:lang w:val="en-AU" w:eastAsia="en-AU"/>
        </w:rPr>
        <w:t>moreover</w:t>
      </w:r>
      <w:r w:rsidR="00C56648">
        <w:rPr>
          <w:lang w:val="en-AU" w:eastAsia="en-AU"/>
        </w:rPr>
        <w:t xml:space="preserve">, it </w:t>
      </w:r>
      <w:r w:rsidR="00680BDD">
        <w:rPr>
          <w:lang w:val="en-AU" w:eastAsia="en-AU"/>
        </w:rPr>
        <w:t xml:space="preserve">showed </w:t>
      </w:r>
      <w:r w:rsidR="00B064A9">
        <w:rPr>
          <w:lang w:val="en-AU" w:eastAsia="en-AU"/>
        </w:rPr>
        <w:t>an unexpected negative relationship</w:t>
      </w:r>
      <w:r w:rsidR="008309FF">
        <w:rPr>
          <w:lang w:val="en-AU" w:eastAsia="en-AU"/>
        </w:rPr>
        <w:t xml:space="preserve"> (decline in benefits explains an increase in utilisation).</w:t>
      </w:r>
      <w:r w:rsidR="000E7BDB">
        <w:rPr>
          <w:lang w:val="en-AU" w:eastAsia="en-AU"/>
        </w:rPr>
        <w:t xml:space="preserve"> A</w:t>
      </w:r>
      <w:r w:rsidR="00371D6A">
        <w:rPr>
          <w:lang w:val="en-AU" w:eastAsia="en-AU"/>
        </w:rPr>
        <w:t xml:space="preserve"> third regression </w:t>
      </w:r>
      <w:r w:rsidR="00F72CD2">
        <w:rPr>
          <w:lang w:val="en-AU" w:eastAsia="en-AU"/>
        </w:rPr>
        <w:t xml:space="preserve">additionally </w:t>
      </w:r>
      <w:r w:rsidR="004260C3">
        <w:rPr>
          <w:lang w:val="en-AU" w:eastAsia="en-AU"/>
        </w:rPr>
        <w:t xml:space="preserve">filtered the </w:t>
      </w:r>
      <w:r w:rsidR="001B6DDA">
        <w:rPr>
          <w:lang w:val="en-AU" w:eastAsia="en-AU"/>
        </w:rPr>
        <w:t>data</w:t>
      </w:r>
      <w:r w:rsidR="004260C3">
        <w:rPr>
          <w:lang w:val="en-AU" w:eastAsia="en-AU"/>
        </w:rPr>
        <w:t xml:space="preserve"> </w:t>
      </w:r>
      <w:r w:rsidR="001B6DDA">
        <w:rPr>
          <w:lang w:val="en-AU" w:eastAsia="en-AU"/>
        </w:rPr>
        <w:t>to only</w:t>
      </w:r>
      <w:r w:rsidR="000440D9">
        <w:rPr>
          <w:lang w:val="en-AU" w:eastAsia="en-AU"/>
        </w:rPr>
        <w:t xml:space="preserve"> </w:t>
      </w:r>
      <w:r w:rsidR="001943BC">
        <w:rPr>
          <w:lang w:val="en-AU" w:eastAsia="en-AU"/>
        </w:rPr>
        <w:t xml:space="preserve">include </w:t>
      </w:r>
      <w:r w:rsidR="001B6DDA">
        <w:rPr>
          <w:lang w:val="en-AU" w:eastAsia="en-AU"/>
        </w:rPr>
        <w:t>benefit</w:t>
      </w:r>
      <w:r w:rsidR="00F5128F">
        <w:rPr>
          <w:lang w:val="en-AU" w:eastAsia="en-AU"/>
        </w:rPr>
        <w:t xml:space="preserve"> groups which had a large reduction in benefits (&gt;10%)</w:t>
      </w:r>
      <w:r w:rsidR="001B22C0">
        <w:rPr>
          <w:lang w:val="en-AU" w:eastAsia="en-AU"/>
        </w:rPr>
        <w:t xml:space="preserve">, however </w:t>
      </w:r>
      <w:r w:rsidR="00A812C7">
        <w:rPr>
          <w:lang w:val="en-AU" w:eastAsia="en-AU"/>
        </w:rPr>
        <w:t>this did not yield statistically significant results.</w:t>
      </w:r>
      <w:r w:rsidR="004260C3">
        <w:rPr>
          <w:lang w:val="en-AU" w:eastAsia="en-AU"/>
        </w:rPr>
        <w:t xml:space="preserve"> </w:t>
      </w:r>
    </w:p>
    <w:p w14:paraId="7CA294DD" w14:textId="0E1E11C9" w:rsidR="004023EB" w:rsidRDefault="000440D9" w:rsidP="00D15B6C">
      <w:pPr>
        <w:rPr>
          <w:lang w:val="en-AU" w:eastAsia="en-AU"/>
        </w:rPr>
      </w:pPr>
      <w:r>
        <w:rPr>
          <w:lang w:val="en-AU" w:eastAsia="en-AU"/>
        </w:rPr>
        <w:t xml:space="preserve">Overall, these results </w:t>
      </w:r>
      <w:r w:rsidR="002F1007">
        <w:rPr>
          <w:lang w:val="en-AU" w:eastAsia="en-AU"/>
        </w:rPr>
        <w:t xml:space="preserve">indicate </w:t>
      </w:r>
      <w:r w:rsidR="00B173FB">
        <w:rPr>
          <w:lang w:val="en-AU" w:eastAsia="en-AU"/>
        </w:rPr>
        <w:t xml:space="preserve">that it is unlikely </w:t>
      </w:r>
      <w:r w:rsidR="009B4E56">
        <w:rPr>
          <w:lang w:val="en-AU" w:eastAsia="en-AU"/>
        </w:rPr>
        <w:t xml:space="preserve">there is a systemic </w:t>
      </w:r>
      <w:r w:rsidR="00C43B82">
        <w:rPr>
          <w:lang w:val="en-AU" w:eastAsia="en-AU"/>
        </w:rPr>
        <w:t xml:space="preserve">relationship between the change in item benefits and the change in item </w:t>
      </w:r>
      <w:r w:rsidR="0063266F">
        <w:rPr>
          <w:lang w:val="en-AU" w:eastAsia="en-AU"/>
        </w:rPr>
        <w:t>utilisation at this stage in the reforms.</w:t>
      </w:r>
      <w:r w:rsidR="00F365F2">
        <w:rPr>
          <w:lang w:val="en-AU" w:eastAsia="en-AU"/>
        </w:rPr>
        <w:t xml:space="preserve"> </w:t>
      </w:r>
      <w:r w:rsidR="001600A4">
        <w:rPr>
          <w:lang w:val="en-AU" w:eastAsia="en-AU"/>
        </w:rPr>
        <w:t xml:space="preserve">As a result, the evaluation team did not consider it necessary </w:t>
      </w:r>
      <w:r w:rsidR="006B7B0D">
        <w:rPr>
          <w:lang w:val="en-AU" w:eastAsia="en-AU"/>
        </w:rPr>
        <w:t xml:space="preserve">to </w:t>
      </w:r>
      <w:r w:rsidR="009C6EF0">
        <w:rPr>
          <w:lang w:val="en-AU" w:eastAsia="en-AU"/>
        </w:rPr>
        <w:t xml:space="preserve">proceed with further investigation </w:t>
      </w:r>
      <w:r w:rsidR="001440A2">
        <w:rPr>
          <w:lang w:val="en-AU" w:eastAsia="en-AU"/>
        </w:rPr>
        <w:t xml:space="preserve">of </w:t>
      </w:r>
      <w:r w:rsidR="00174CFF">
        <w:rPr>
          <w:lang w:val="en-AU" w:eastAsia="en-AU"/>
        </w:rPr>
        <w:t>change</w:t>
      </w:r>
      <w:r w:rsidR="009B0034">
        <w:rPr>
          <w:lang w:val="en-AU" w:eastAsia="en-AU"/>
        </w:rPr>
        <w:t>s</w:t>
      </w:r>
      <w:r w:rsidR="00174CFF">
        <w:rPr>
          <w:lang w:val="en-AU" w:eastAsia="en-AU"/>
        </w:rPr>
        <w:t xml:space="preserve"> in clinical outcomes. </w:t>
      </w:r>
      <w:r w:rsidR="009B0034">
        <w:rPr>
          <w:lang w:val="en-AU" w:eastAsia="en-AU"/>
        </w:rPr>
        <w:t xml:space="preserve">We will continue to monitor this </w:t>
      </w:r>
      <w:r w:rsidR="005D49BA">
        <w:rPr>
          <w:lang w:val="en-AU" w:eastAsia="en-AU"/>
        </w:rPr>
        <w:t xml:space="preserve">measure </w:t>
      </w:r>
      <w:r w:rsidR="009B0034">
        <w:rPr>
          <w:lang w:val="en-AU" w:eastAsia="en-AU"/>
        </w:rPr>
        <w:t>throughout the evaluation</w:t>
      </w:r>
      <w:r w:rsidR="005D49BA">
        <w:rPr>
          <w:lang w:val="en-AU" w:eastAsia="en-AU"/>
        </w:rPr>
        <w:t>.</w:t>
      </w:r>
    </w:p>
    <w:p w14:paraId="56B08D44" w14:textId="14F8895D" w:rsidR="00AD0418" w:rsidRDefault="00800897" w:rsidP="00800897">
      <w:pPr>
        <w:pStyle w:val="Caption"/>
        <w:rPr>
          <w:lang w:eastAsia="en-AU"/>
        </w:rPr>
      </w:pPr>
      <w:bookmarkStart w:id="136" w:name="_Ref172117895"/>
      <w:r>
        <w:t xml:space="preserve">Table </w:t>
      </w:r>
      <w:r>
        <w:fldChar w:fldCharType="begin"/>
      </w:r>
      <w:r>
        <w:instrText xml:space="preserve"> SEQ Table \* ARABIC </w:instrText>
      </w:r>
      <w:r>
        <w:fldChar w:fldCharType="separate"/>
      </w:r>
      <w:r w:rsidR="009B5D8D">
        <w:rPr>
          <w:noProof/>
        </w:rPr>
        <w:t>27</w:t>
      </w:r>
      <w:r>
        <w:fldChar w:fldCharType="end"/>
      </w:r>
      <w:bookmarkEnd w:id="136"/>
      <w:r>
        <w:t xml:space="preserve"> | </w:t>
      </w:r>
      <w:r w:rsidRPr="009852AF">
        <w:t>Summary of utilisation regression analysis</w:t>
      </w:r>
    </w:p>
    <w:tbl>
      <w:tblPr>
        <w:tblStyle w:val="NOUS"/>
        <w:tblW w:w="0" w:type="auto"/>
        <w:tblLook w:val="04A0" w:firstRow="1" w:lastRow="0" w:firstColumn="1" w:lastColumn="0" w:noHBand="0" w:noVBand="1"/>
      </w:tblPr>
      <w:tblGrid>
        <w:gridCol w:w="2977"/>
        <w:gridCol w:w="3084"/>
        <w:gridCol w:w="602"/>
        <w:gridCol w:w="2408"/>
      </w:tblGrid>
      <w:tr w:rsidR="002A79BC" w14:paraId="3821B60D" w14:textId="77777777" w:rsidTr="00816590">
        <w:trPr>
          <w:cnfStyle w:val="100000000000" w:firstRow="1" w:lastRow="0" w:firstColumn="0" w:lastColumn="0" w:oddVBand="0" w:evenVBand="0" w:oddHBand="0" w:evenHBand="0" w:firstRowFirstColumn="0" w:firstRowLastColumn="0" w:lastRowFirstColumn="0" w:lastRowLastColumn="0"/>
        </w:trPr>
        <w:tc>
          <w:tcPr>
            <w:tcW w:w="2977" w:type="dxa"/>
          </w:tcPr>
          <w:p w14:paraId="13F38AE8" w14:textId="4CB21BB4" w:rsidR="002A79BC" w:rsidRPr="002A79BC" w:rsidRDefault="002A79BC" w:rsidP="002A79BC">
            <w:pPr>
              <w:pStyle w:val="TableNheader"/>
              <w:rPr>
                <w:b w:val="0"/>
                <w:bCs/>
              </w:rPr>
            </w:pPr>
            <w:r w:rsidRPr="002A79BC">
              <w:rPr>
                <w:b w:val="0"/>
                <w:bCs/>
              </w:rPr>
              <w:t>Benefit groups included</w:t>
            </w:r>
          </w:p>
        </w:tc>
        <w:tc>
          <w:tcPr>
            <w:tcW w:w="3084" w:type="dxa"/>
          </w:tcPr>
          <w:p w14:paraId="0124B0B0" w14:textId="3D9BD74A" w:rsidR="002A79BC" w:rsidRPr="002A79BC" w:rsidRDefault="002A79BC" w:rsidP="002A79BC">
            <w:pPr>
              <w:pStyle w:val="TableNheader"/>
              <w:rPr>
                <w:b w:val="0"/>
                <w:bCs/>
              </w:rPr>
            </w:pPr>
            <w:r w:rsidRPr="002A79BC">
              <w:rPr>
                <w:b w:val="0"/>
                <w:bCs/>
              </w:rPr>
              <w:t>Variables</w:t>
            </w:r>
          </w:p>
        </w:tc>
        <w:tc>
          <w:tcPr>
            <w:tcW w:w="602" w:type="dxa"/>
          </w:tcPr>
          <w:p w14:paraId="779B1192" w14:textId="263CD356" w:rsidR="002A79BC" w:rsidRPr="002A79BC" w:rsidRDefault="002A79BC" w:rsidP="002A79BC">
            <w:pPr>
              <w:pStyle w:val="TableNheader"/>
              <w:rPr>
                <w:b w:val="0"/>
                <w:bCs/>
              </w:rPr>
            </w:pPr>
            <w:r w:rsidRPr="002A79BC">
              <w:rPr>
                <w:b w:val="0"/>
                <w:bCs/>
              </w:rPr>
              <w:t>R</w:t>
            </w:r>
            <w:r w:rsidRPr="002A79BC">
              <w:rPr>
                <w:b w:val="0"/>
                <w:bCs/>
                <w:vertAlign w:val="superscript"/>
              </w:rPr>
              <w:t>2</w:t>
            </w:r>
          </w:p>
        </w:tc>
        <w:tc>
          <w:tcPr>
            <w:tcW w:w="2408" w:type="dxa"/>
          </w:tcPr>
          <w:p w14:paraId="12FE12BE" w14:textId="06846296" w:rsidR="002A79BC" w:rsidRPr="002A79BC" w:rsidRDefault="002A79BC" w:rsidP="002A79BC">
            <w:pPr>
              <w:pStyle w:val="TableNheader"/>
              <w:rPr>
                <w:b w:val="0"/>
                <w:bCs/>
              </w:rPr>
            </w:pPr>
            <w:r w:rsidRPr="002A79BC">
              <w:rPr>
                <w:b w:val="0"/>
                <w:bCs/>
              </w:rPr>
              <w:t>Key findings</w:t>
            </w:r>
          </w:p>
        </w:tc>
      </w:tr>
      <w:tr w:rsidR="002A79BC" w14:paraId="715A3F3C" w14:textId="77777777" w:rsidTr="00816590">
        <w:tc>
          <w:tcPr>
            <w:tcW w:w="2977" w:type="dxa"/>
            <w:vAlign w:val="center"/>
          </w:tcPr>
          <w:p w14:paraId="0051DEF4" w14:textId="102F8A75" w:rsidR="002A79BC" w:rsidRDefault="002730A1" w:rsidP="002A79BC">
            <w:pPr>
              <w:pStyle w:val="TableNText"/>
            </w:pPr>
            <w:r>
              <w:t xml:space="preserve">Benefit groups with </w:t>
            </w:r>
            <w:r w:rsidR="005F715E">
              <w:t>a</w:t>
            </w:r>
            <w:r w:rsidR="00B035F4">
              <w:t xml:space="preserve"> benefit reduction (n</w:t>
            </w:r>
            <w:r w:rsidR="00835555">
              <w:t xml:space="preserve"> = 475)</w:t>
            </w:r>
          </w:p>
        </w:tc>
        <w:tc>
          <w:tcPr>
            <w:tcW w:w="3084" w:type="dxa"/>
            <w:vAlign w:val="center"/>
          </w:tcPr>
          <w:p w14:paraId="5120083C" w14:textId="77777777" w:rsidR="002A79BC" w:rsidRDefault="002A79BC" w:rsidP="002A79BC">
            <w:pPr>
              <w:pStyle w:val="TableNBullet"/>
            </w:pPr>
            <w:r>
              <w:t>Y =</w:t>
            </w:r>
            <w:r w:rsidR="0052086E">
              <w:t xml:space="preserve"> % utilisation change (relative to category</w:t>
            </w:r>
            <w:r w:rsidR="00A723ED">
              <w:t xml:space="preserve"> % utilisation change)</w:t>
            </w:r>
          </w:p>
          <w:p w14:paraId="5FE2DC07" w14:textId="4F48559F" w:rsidR="002A79BC" w:rsidRDefault="00A723ED" w:rsidP="002A79BC">
            <w:pPr>
              <w:pStyle w:val="TableNBullet"/>
            </w:pPr>
            <w:r>
              <w:t>X = % benefit change</w:t>
            </w:r>
          </w:p>
        </w:tc>
        <w:tc>
          <w:tcPr>
            <w:tcW w:w="602" w:type="dxa"/>
            <w:vAlign w:val="center"/>
          </w:tcPr>
          <w:p w14:paraId="1D1FEAE3" w14:textId="5257CE39" w:rsidR="002A79BC" w:rsidRDefault="0022148E" w:rsidP="002A79BC">
            <w:pPr>
              <w:pStyle w:val="TableNText"/>
            </w:pPr>
            <w:r>
              <w:t>&lt;0.01</w:t>
            </w:r>
          </w:p>
        </w:tc>
        <w:tc>
          <w:tcPr>
            <w:tcW w:w="2408" w:type="dxa"/>
            <w:vAlign w:val="center"/>
          </w:tcPr>
          <w:p w14:paraId="6C82CF5E" w14:textId="0FB48C35" w:rsidR="002A79BC" w:rsidRDefault="00D76F77" w:rsidP="002A79BC">
            <w:pPr>
              <w:pStyle w:val="TableNText"/>
            </w:pPr>
            <w:r>
              <w:t xml:space="preserve">No statistically significant </w:t>
            </w:r>
            <w:r w:rsidR="000C79AE">
              <w:t xml:space="preserve">relationship found (P &gt; </w:t>
            </w:r>
            <w:r w:rsidR="004C72B1">
              <w:t>0.</w:t>
            </w:r>
            <w:r w:rsidR="009241D5">
              <w:t>05</w:t>
            </w:r>
            <w:r w:rsidR="004C72B1">
              <w:t>)</w:t>
            </w:r>
          </w:p>
        </w:tc>
      </w:tr>
      <w:tr w:rsidR="002A79BC" w14:paraId="265AFD29" w14:textId="77777777" w:rsidTr="00816590">
        <w:tc>
          <w:tcPr>
            <w:tcW w:w="2977" w:type="dxa"/>
            <w:vAlign w:val="center"/>
          </w:tcPr>
          <w:p w14:paraId="2E38C4D4" w14:textId="09A92CA4" w:rsidR="002A79BC" w:rsidRDefault="00146B84" w:rsidP="002A79BC">
            <w:pPr>
              <w:pStyle w:val="TableNText"/>
            </w:pPr>
            <w:r>
              <w:t xml:space="preserve">Benefit groups with </w:t>
            </w:r>
            <w:r w:rsidR="005F715E">
              <w:t>a</w:t>
            </w:r>
            <w:r>
              <w:t xml:space="preserve"> benefit reduction and with utilisation </w:t>
            </w:r>
            <w:r w:rsidR="005F715E">
              <w:t xml:space="preserve">&gt;100 in FY22 and FY23 (n = </w:t>
            </w:r>
            <w:r w:rsidR="002E497F">
              <w:t>271)</w:t>
            </w:r>
          </w:p>
        </w:tc>
        <w:tc>
          <w:tcPr>
            <w:tcW w:w="3084" w:type="dxa"/>
            <w:vAlign w:val="center"/>
          </w:tcPr>
          <w:p w14:paraId="2617C109" w14:textId="77777777" w:rsidR="00D76F77" w:rsidRDefault="00D76F77" w:rsidP="00D76F77">
            <w:pPr>
              <w:pStyle w:val="TableNBullet"/>
            </w:pPr>
            <w:r>
              <w:t>Y = % utilisation change (relative to category % utilisation change)</w:t>
            </w:r>
          </w:p>
          <w:p w14:paraId="52E3BF5F" w14:textId="78553CB3" w:rsidR="002A79BC" w:rsidRDefault="00D76F77" w:rsidP="00D76F77">
            <w:pPr>
              <w:pStyle w:val="TableNBullet"/>
            </w:pPr>
            <w:r>
              <w:t>X = % benefit change</w:t>
            </w:r>
          </w:p>
        </w:tc>
        <w:tc>
          <w:tcPr>
            <w:tcW w:w="602" w:type="dxa"/>
            <w:vAlign w:val="center"/>
          </w:tcPr>
          <w:p w14:paraId="06318EDC" w14:textId="755F3C43" w:rsidR="002A79BC" w:rsidRDefault="00D76F77" w:rsidP="002A79BC">
            <w:pPr>
              <w:pStyle w:val="TableNText"/>
            </w:pPr>
            <w:r>
              <w:t>0.01</w:t>
            </w:r>
          </w:p>
        </w:tc>
        <w:tc>
          <w:tcPr>
            <w:tcW w:w="2408" w:type="dxa"/>
            <w:vAlign w:val="center"/>
          </w:tcPr>
          <w:p w14:paraId="36423E40" w14:textId="6CE1EA1D" w:rsidR="002A79BC" w:rsidRDefault="0059110C" w:rsidP="002A79BC">
            <w:pPr>
              <w:pStyle w:val="TableNText"/>
            </w:pPr>
            <w:r>
              <w:t>Statistically</w:t>
            </w:r>
            <w:r w:rsidR="009241D5">
              <w:t xml:space="preserve"> significant relationship found (P </w:t>
            </w:r>
            <w:r w:rsidR="00B03200">
              <w:t>= 0.0</w:t>
            </w:r>
            <w:r>
              <w:t>48)</w:t>
            </w:r>
          </w:p>
        </w:tc>
      </w:tr>
      <w:tr w:rsidR="002A79BC" w14:paraId="5E04C4B8" w14:textId="77777777" w:rsidTr="00816590">
        <w:tc>
          <w:tcPr>
            <w:tcW w:w="2977" w:type="dxa"/>
            <w:vAlign w:val="center"/>
          </w:tcPr>
          <w:p w14:paraId="0BAED48E" w14:textId="6F99C042" w:rsidR="002A79BC" w:rsidRDefault="002E497F" w:rsidP="002A79BC">
            <w:pPr>
              <w:pStyle w:val="TableNText"/>
            </w:pPr>
            <w:r>
              <w:t>B</w:t>
            </w:r>
            <w:r w:rsidR="00AA2C01">
              <w:t xml:space="preserve">enefit groups with a benefit reduction </w:t>
            </w:r>
            <w:r w:rsidR="00221F44">
              <w:t>&gt;10%</w:t>
            </w:r>
            <w:r w:rsidR="000C3D05">
              <w:t xml:space="preserve"> and with </w:t>
            </w:r>
            <w:r w:rsidR="003E3013">
              <w:t>utilisation &gt;100 in FY22 and FY</w:t>
            </w:r>
            <w:r w:rsidR="0092065D">
              <w:t>23 (n = 103)</w:t>
            </w:r>
          </w:p>
        </w:tc>
        <w:tc>
          <w:tcPr>
            <w:tcW w:w="3084" w:type="dxa"/>
            <w:vAlign w:val="center"/>
          </w:tcPr>
          <w:p w14:paraId="574F6793" w14:textId="77777777" w:rsidR="00D76F77" w:rsidRDefault="00D76F77" w:rsidP="00D76F77">
            <w:pPr>
              <w:pStyle w:val="TableNBullet"/>
            </w:pPr>
            <w:r>
              <w:t>Y = % utilisation change (relative to category % utilisation change)</w:t>
            </w:r>
          </w:p>
          <w:p w14:paraId="4D1D0A13" w14:textId="1C455EC0" w:rsidR="002A79BC" w:rsidRDefault="00D76F77" w:rsidP="00D76F77">
            <w:pPr>
              <w:pStyle w:val="TableNBullet"/>
            </w:pPr>
            <w:r>
              <w:t>X = % benefit change</w:t>
            </w:r>
          </w:p>
        </w:tc>
        <w:tc>
          <w:tcPr>
            <w:tcW w:w="602" w:type="dxa"/>
            <w:vAlign w:val="center"/>
          </w:tcPr>
          <w:p w14:paraId="6E186779" w14:textId="71000469" w:rsidR="002A79BC" w:rsidRDefault="00946FD5" w:rsidP="002A79BC">
            <w:pPr>
              <w:pStyle w:val="TableNText"/>
            </w:pPr>
            <w:r>
              <w:t>0.03</w:t>
            </w:r>
          </w:p>
        </w:tc>
        <w:tc>
          <w:tcPr>
            <w:tcW w:w="2408" w:type="dxa"/>
            <w:vAlign w:val="center"/>
          </w:tcPr>
          <w:p w14:paraId="39466E5D" w14:textId="16FBB442" w:rsidR="002A79BC" w:rsidRDefault="00A35D38" w:rsidP="002A79BC">
            <w:pPr>
              <w:pStyle w:val="TableNText"/>
            </w:pPr>
            <w:r>
              <w:t>No statistically significant relationship found (P &gt; 0.05)</w:t>
            </w:r>
          </w:p>
        </w:tc>
      </w:tr>
    </w:tbl>
    <w:p w14:paraId="13B709BA" w14:textId="77777777" w:rsidR="002B584C" w:rsidRPr="002B584C" w:rsidRDefault="002B584C" w:rsidP="002B584C">
      <w:pPr>
        <w:rPr>
          <w:lang w:val="en-AU"/>
        </w:rPr>
      </w:pPr>
    </w:p>
    <w:p w14:paraId="334DB5F8" w14:textId="77777777" w:rsidR="00DE11C8" w:rsidRPr="00DE11C8" w:rsidRDefault="00DE11C8" w:rsidP="00DE11C8">
      <w:pPr>
        <w:rPr>
          <w:lang w:val="en-AU" w:eastAsia="en-AU"/>
        </w:rPr>
      </w:pPr>
    </w:p>
    <w:p w14:paraId="30D6E7A3" w14:textId="223EA399" w:rsidR="00BF53BB" w:rsidRDefault="00BF53BB" w:rsidP="00590D84">
      <w:pPr>
        <w:pStyle w:val="xAppendixLevel2"/>
      </w:pPr>
      <w:bookmarkStart w:id="137" w:name="_Toc181405111"/>
      <w:r>
        <w:lastRenderedPageBreak/>
        <w:t xml:space="preserve">Indicator 7: </w:t>
      </w:r>
      <w:r w:rsidR="0025616E">
        <w:t>Change in PHI coverage and for whom</w:t>
      </w:r>
      <w:bookmarkEnd w:id="137"/>
    </w:p>
    <w:p w14:paraId="5C5DAD97" w14:textId="6CDE9691" w:rsidR="0025616E" w:rsidRDefault="0025616E" w:rsidP="0025616E">
      <w:pPr>
        <w:pStyle w:val="Heading4"/>
      </w:pPr>
      <w:r w:rsidRPr="00F91859">
        <w:rPr>
          <w:color w:val="F25E21" w:themeColor="accent2"/>
        </w:rPr>
        <w:t xml:space="preserve">Measure </w:t>
      </w:r>
      <w:r>
        <w:rPr>
          <w:color w:val="F25E21" w:themeColor="accent2"/>
        </w:rPr>
        <w:t>7</w:t>
      </w:r>
      <w:r w:rsidRPr="00F91859">
        <w:rPr>
          <w:color w:val="F25E21" w:themeColor="accent2"/>
        </w:rPr>
        <w:t>.</w:t>
      </w:r>
      <w:r>
        <w:rPr>
          <w:color w:val="F25E21" w:themeColor="accent2"/>
        </w:rPr>
        <w:t>1</w:t>
      </w:r>
      <w:r w:rsidRPr="00F91859">
        <w:rPr>
          <w:color w:val="F25E21" w:themeColor="accent2"/>
        </w:rPr>
        <w:t xml:space="preserve">: </w:t>
      </w:r>
      <w:r>
        <w:t>PHI coverage by demographic group</w:t>
      </w:r>
    </w:p>
    <w:p w14:paraId="5BE16EA8" w14:textId="2728A345" w:rsidR="00F62B91" w:rsidRDefault="00F62B91" w:rsidP="00F62B91">
      <w:pPr>
        <w:pStyle w:val="Caption"/>
      </w:pPr>
      <w:r>
        <w:t xml:space="preserve">Figure </w:t>
      </w:r>
      <w:r>
        <w:fldChar w:fldCharType="begin"/>
      </w:r>
      <w:r>
        <w:instrText xml:space="preserve"> SEQ Figure \* ARABIC </w:instrText>
      </w:r>
      <w:r>
        <w:fldChar w:fldCharType="separate"/>
      </w:r>
      <w:r w:rsidR="009B5D8D">
        <w:rPr>
          <w:noProof/>
        </w:rPr>
        <w:t>33</w:t>
      </w:r>
      <w:r>
        <w:fldChar w:fldCharType="end"/>
      </w:r>
      <w:r>
        <w:t xml:space="preserve"> | </w:t>
      </w:r>
      <w:r w:rsidRPr="0042251C">
        <w:t>Percentage of Australian population with Hospital Treatment PHI by state and territory</w:t>
      </w:r>
      <w:r>
        <w:rPr>
          <w:rStyle w:val="FootnoteReference"/>
        </w:rPr>
        <w:footnoteReference w:id="142"/>
      </w:r>
    </w:p>
    <w:p w14:paraId="725F0BDA" w14:textId="77777777" w:rsidR="00F62B91" w:rsidRPr="00CD0A80" w:rsidRDefault="00F62B91" w:rsidP="00F62B91">
      <w:pPr>
        <w:rPr>
          <w:lang w:val="en-AU" w:eastAsia="en-AU"/>
        </w:rPr>
      </w:pPr>
      <w:r w:rsidRPr="004548A5">
        <w:rPr>
          <w:noProof/>
          <w:lang w:val="en-AU" w:eastAsia="en-AU"/>
        </w:rPr>
        <w:drawing>
          <wp:inline distT="0" distB="0" distL="0" distR="0" wp14:anchorId="35338F7D" wp14:editId="3D6FB43B">
            <wp:extent cx="5670550" cy="2748280"/>
            <wp:effectExtent l="0" t="0" r="6350" b="0"/>
            <wp:docPr id="1075211508" name="Picture 8" descr="A graph of the percentage of Australian population with Hospital Treatment PHI by state and territory from financial year 2017 to financial year 2023. Western Australia is the highest in 2021 at 53% and in 2023 at 54%. Northern Territory is the lowest in 2021 and 2023 a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11508" name="Picture 8" descr="A graph of the percentage of Australian population with Hospital Treatment PHI by state and territory from financial year 2017 to financial year 2023. Western Australia is the highest in 2021 at 53% and in 2023 at 54%. Northern Territory is the lowest in 2021 and 2023 at 39%."/>
                    <pic:cNvPicPr/>
                  </pic:nvPicPr>
                  <pic:blipFill>
                    <a:blip r:embed="rId70"/>
                    <a:stretch>
                      <a:fillRect/>
                    </a:stretch>
                  </pic:blipFill>
                  <pic:spPr>
                    <a:xfrm>
                      <a:off x="0" y="0"/>
                      <a:ext cx="5670550" cy="2748280"/>
                    </a:xfrm>
                    <a:prstGeom prst="rect">
                      <a:avLst/>
                    </a:prstGeom>
                  </pic:spPr>
                </pic:pic>
              </a:graphicData>
            </a:graphic>
          </wp:inline>
        </w:drawing>
      </w:r>
    </w:p>
    <w:p w14:paraId="4356AED2" w14:textId="13A166C4" w:rsidR="00F62B91" w:rsidRDefault="00F62B91" w:rsidP="00F62B91">
      <w:pPr>
        <w:pStyle w:val="Caption"/>
      </w:pPr>
      <w:r>
        <w:t xml:space="preserve">Figure </w:t>
      </w:r>
      <w:r>
        <w:fldChar w:fldCharType="begin"/>
      </w:r>
      <w:r>
        <w:instrText xml:space="preserve"> SEQ Figure \* ARABIC </w:instrText>
      </w:r>
      <w:r>
        <w:fldChar w:fldCharType="separate"/>
      </w:r>
      <w:r w:rsidR="009B5D8D">
        <w:rPr>
          <w:noProof/>
        </w:rPr>
        <w:t>34</w:t>
      </w:r>
      <w:r>
        <w:fldChar w:fldCharType="end"/>
      </w:r>
      <w:r>
        <w:t xml:space="preserve"> | </w:t>
      </w:r>
      <w:r w:rsidRPr="00706783">
        <w:t>Percentage of Australian population with Hospital Treatment PHI by age</w:t>
      </w:r>
      <w:r>
        <w:rPr>
          <w:rStyle w:val="FootnoteReference"/>
        </w:rPr>
        <w:footnoteReference w:id="143"/>
      </w:r>
    </w:p>
    <w:p w14:paraId="6F7D753E" w14:textId="77777777" w:rsidR="00F62B91" w:rsidRPr="009D068E" w:rsidRDefault="00F62B91" w:rsidP="00F62B91">
      <w:pPr>
        <w:rPr>
          <w:lang w:val="en-AU" w:eastAsia="en-AU"/>
        </w:rPr>
      </w:pPr>
      <w:r w:rsidRPr="008659E6">
        <w:rPr>
          <w:noProof/>
          <w:lang w:val="en-AU" w:eastAsia="en-AU"/>
        </w:rPr>
        <w:drawing>
          <wp:inline distT="0" distB="0" distL="0" distR="0" wp14:anchorId="2A6E8B6F" wp14:editId="5C601D89">
            <wp:extent cx="5670550" cy="3129915"/>
            <wp:effectExtent l="0" t="0" r="6350" b="0"/>
            <wp:docPr id="463264000" name="Picture 9" descr="A graph of the percentage of the Australian population with Hospital Treatment PHI by age, split out by different age groups, from financial year 2017 to financial year 2023. In 2023, the 65+ age group were the highest at 53% and 20-34 age group were the lowest at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64000" name="Picture 9" descr="A graph of the percentage of the Australian population with Hospital Treatment PHI by age, split out by different age groups, from financial year 2017 to financial year 2023. In 2023, the 65+ age group were the highest at 53% and 20-34 age group were the lowest at 31%. "/>
                    <pic:cNvPicPr/>
                  </pic:nvPicPr>
                  <pic:blipFill>
                    <a:blip r:embed="rId71"/>
                    <a:stretch>
                      <a:fillRect/>
                    </a:stretch>
                  </pic:blipFill>
                  <pic:spPr>
                    <a:xfrm>
                      <a:off x="0" y="0"/>
                      <a:ext cx="5670550" cy="3129915"/>
                    </a:xfrm>
                    <a:prstGeom prst="rect">
                      <a:avLst/>
                    </a:prstGeom>
                  </pic:spPr>
                </pic:pic>
              </a:graphicData>
            </a:graphic>
          </wp:inline>
        </w:drawing>
      </w:r>
    </w:p>
    <w:p w14:paraId="178449A0" w14:textId="58CDC72F" w:rsidR="00F80B64" w:rsidRDefault="00F80B64" w:rsidP="00F80B64">
      <w:pPr>
        <w:pStyle w:val="Heading4"/>
      </w:pPr>
      <w:r w:rsidRPr="00F91859">
        <w:rPr>
          <w:color w:val="F25E21" w:themeColor="accent2"/>
        </w:rPr>
        <w:lastRenderedPageBreak/>
        <w:t xml:space="preserve">Measure </w:t>
      </w:r>
      <w:r>
        <w:rPr>
          <w:color w:val="F25E21" w:themeColor="accent2"/>
        </w:rPr>
        <w:t>7</w:t>
      </w:r>
      <w:r w:rsidRPr="00F91859">
        <w:rPr>
          <w:color w:val="F25E21" w:themeColor="accent2"/>
        </w:rPr>
        <w:t>.</w:t>
      </w:r>
      <w:r w:rsidR="00F62B91">
        <w:rPr>
          <w:color w:val="F25E21" w:themeColor="accent2"/>
        </w:rPr>
        <w:t>2</w:t>
      </w:r>
      <w:r w:rsidRPr="00F91859">
        <w:rPr>
          <w:color w:val="F25E21" w:themeColor="accent2"/>
        </w:rPr>
        <w:t xml:space="preserve">: </w:t>
      </w:r>
      <w:r w:rsidR="00F62B91" w:rsidRPr="00F62B91">
        <w:t>Utilisation of PL items by privately insured patients</w:t>
      </w:r>
    </w:p>
    <w:p w14:paraId="5CFB5E47" w14:textId="09491722" w:rsidR="00F62B91" w:rsidRDefault="00F62B91" w:rsidP="00F62B91">
      <w:pPr>
        <w:pStyle w:val="Caption"/>
      </w:pPr>
      <w:r>
        <w:t xml:space="preserve">Figure </w:t>
      </w:r>
      <w:r>
        <w:fldChar w:fldCharType="begin"/>
      </w:r>
      <w:r>
        <w:instrText xml:space="preserve"> SEQ Figure \* ARABIC </w:instrText>
      </w:r>
      <w:r>
        <w:fldChar w:fldCharType="separate"/>
      </w:r>
      <w:r w:rsidR="009B5D8D">
        <w:rPr>
          <w:noProof/>
        </w:rPr>
        <w:t>35</w:t>
      </w:r>
      <w:r>
        <w:fldChar w:fldCharType="end"/>
      </w:r>
      <w:r>
        <w:t xml:space="preserve"> | </w:t>
      </w:r>
      <w:r w:rsidRPr="00353E67">
        <w:t>Average prostheses utilisation per 1000 HT PHI members by gender</w:t>
      </w:r>
      <w:r>
        <w:rPr>
          <w:rStyle w:val="FootnoteReference"/>
        </w:rPr>
        <w:footnoteReference w:id="144"/>
      </w:r>
    </w:p>
    <w:p w14:paraId="325CC37A" w14:textId="77777777" w:rsidR="00F62B91" w:rsidRPr="009B6E1D" w:rsidRDefault="00F62B91" w:rsidP="00F62B91">
      <w:pPr>
        <w:rPr>
          <w:lang w:val="en-AU"/>
        </w:rPr>
      </w:pPr>
      <w:r w:rsidRPr="00D718FF">
        <w:rPr>
          <w:noProof/>
          <w:lang w:val="en-AU"/>
        </w:rPr>
        <w:drawing>
          <wp:inline distT="0" distB="0" distL="0" distR="0" wp14:anchorId="2BC3F890" wp14:editId="41C914BE">
            <wp:extent cx="5670550" cy="2858770"/>
            <wp:effectExtent l="0" t="0" r="6350" b="0"/>
            <wp:docPr id="194363601" name="Picture 1" descr="A graph of average prostheses utilisation per 1000 HT PHI members by gender. In financial year 2023, male is 306 and female 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3601" name="Picture 1" descr="A graph of average prostheses utilisation per 1000 HT PHI members by gender. In financial year 2023, male is 306 and female is 285."/>
                    <pic:cNvPicPr/>
                  </pic:nvPicPr>
                  <pic:blipFill>
                    <a:blip r:embed="rId72"/>
                    <a:stretch>
                      <a:fillRect/>
                    </a:stretch>
                  </pic:blipFill>
                  <pic:spPr>
                    <a:xfrm>
                      <a:off x="0" y="0"/>
                      <a:ext cx="5670550" cy="2858770"/>
                    </a:xfrm>
                    <a:prstGeom prst="rect">
                      <a:avLst/>
                    </a:prstGeom>
                  </pic:spPr>
                </pic:pic>
              </a:graphicData>
            </a:graphic>
          </wp:inline>
        </w:drawing>
      </w:r>
    </w:p>
    <w:p w14:paraId="1615F638" w14:textId="3DEFBA9D" w:rsidR="00AB24DB" w:rsidRDefault="00590D84" w:rsidP="00590D84">
      <w:pPr>
        <w:pStyle w:val="xAppendixLevel2"/>
      </w:pPr>
      <w:bookmarkStart w:id="138" w:name="_Ref181389825"/>
      <w:bookmarkStart w:id="139" w:name="_Toc181405112"/>
      <w:r>
        <w:t>Indicator 9: Implementation of PL regrouping</w:t>
      </w:r>
      <w:bookmarkEnd w:id="119"/>
      <w:bookmarkEnd w:id="138"/>
      <w:bookmarkEnd w:id="139"/>
    </w:p>
    <w:p w14:paraId="511B9A7E" w14:textId="3138BF05" w:rsidR="00F91859" w:rsidRDefault="00F91859" w:rsidP="00AC3889">
      <w:pPr>
        <w:pStyle w:val="Heading4"/>
      </w:pPr>
      <w:r w:rsidRPr="00F91859">
        <w:rPr>
          <w:color w:val="F25E21" w:themeColor="accent2"/>
        </w:rPr>
        <w:t xml:space="preserve">Measure 9.2: </w:t>
      </w:r>
      <w:r>
        <w:t>Number of PL items and benefit groups</w:t>
      </w:r>
    </w:p>
    <w:p w14:paraId="3E45811A" w14:textId="41B69530" w:rsidR="00CA1A90" w:rsidRDefault="002D236F" w:rsidP="002D236F">
      <w:pPr>
        <w:rPr>
          <w:lang w:val="en-AU" w:eastAsia="en-AU"/>
        </w:rPr>
      </w:pPr>
      <w:r w:rsidRPr="00455873">
        <w:rPr>
          <w:lang w:val="en-AU" w:eastAsia="en-AU"/>
        </w:rPr>
        <w:fldChar w:fldCharType="begin"/>
      </w:r>
      <w:r w:rsidRPr="00455873">
        <w:rPr>
          <w:lang w:val="en-AU" w:eastAsia="en-AU"/>
        </w:rPr>
        <w:instrText xml:space="preserve"> REF _Ref169169557 \h </w:instrText>
      </w:r>
      <w:r w:rsidR="00455873">
        <w:rPr>
          <w:lang w:val="en-AU" w:eastAsia="en-AU"/>
        </w:rPr>
        <w:instrText xml:space="preserve"> \* MERGEFORMAT </w:instrText>
      </w:r>
      <w:r w:rsidRPr="00455873">
        <w:rPr>
          <w:lang w:val="en-AU" w:eastAsia="en-AU"/>
        </w:rPr>
      </w:r>
      <w:r w:rsidRPr="00455873">
        <w:rPr>
          <w:lang w:val="en-AU" w:eastAsia="en-AU"/>
        </w:rPr>
        <w:fldChar w:fldCharType="separate"/>
      </w:r>
      <w:r w:rsidR="009B5D8D" w:rsidRPr="00455873">
        <w:t xml:space="preserve">Table </w:t>
      </w:r>
      <w:r w:rsidR="009B5D8D">
        <w:rPr>
          <w:noProof/>
        </w:rPr>
        <w:t>28</w:t>
      </w:r>
      <w:r w:rsidRPr="00455873">
        <w:rPr>
          <w:lang w:val="en-AU" w:eastAsia="en-AU"/>
        </w:rPr>
        <w:fldChar w:fldCharType="end"/>
      </w:r>
      <w:r>
        <w:rPr>
          <w:lang w:val="en-AU" w:eastAsia="en-AU"/>
        </w:rPr>
        <w:t xml:space="preserve"> below summarises the number of items per category in the July 2023 PL. </w:t>
      </w:r>
      <w:r w:rsidR="00C53D85">
        <w:rPr>
          <w:lang w:val="en-AU" w:eastAsia="en-AU"/>
        </w:rPr>
        <w:t>The</w:t>
      </w:r>
      <w:r w:rsidR="00C81465">
        <w:rPr>
          <w:lang w:val="en-AU" w:eastAsia="en-AU"/>
        </w:rPr>
        <w:t xml:space="preserve"> </w:t>
      </w:r>
      <w:r w:rsidR="00C8058F">
        <w:rPr>
          <w:lang w:val="en-AU" w:eastAsia="en-AU"/>
        </w:rPr>
        <w:t xml:space="preserve">overall number of items declined from the July 2021 PL (see </w:t>
      </w:r>
      <w:r w:rsidR="00C8058F">
        <w:rPr>
          <w:lang w:val="en-AU" w:eastAsia="en-AU"/>
        </w:rPr>
        <w:fldChar w:fldCharType="begin"/>
      </w:r>
      <w:r w:rsidR="00C8058F">
        <w:rPr>
          <w:lang w:val="en-AU" w:eastAsia="en-AU"/>
        </w:rPr>
        <w:instrText xml:space="preserve"> REF _Ref169169303 \h </w:instrText>
      </w:r>
      <w:r w:rsidR="00C8058F">
        <w:rPr>
          <w:lang w:val="en-AU" w:eastAsia="en-AU"/>
        </w:rPr>
      </w:r>
      <w:r w:rsidR="00C8058F">
        <w:rPr>
          <w:lang w:val="en-AU" w:eastAsia="en-AU"/>
        </w:rPr>
        <w:fldChar w:fldCharType="separate"/>
      </w:r>
      <w:r w:rsidR="009B5D8D">
        <w:t xml:space="preserve">Figure </w:t>
      </w:r>
      <w:r w:rsidR="009B5D8D">
        <w:rPr>
          <w:noProof/>
        </w:rPr>
        <w:t>36</w:t>
      </w:r>
      <w:r w:rsidR="00C8058F">
        <w:rPr>
          <w:lang w:val="en-AU" w:eastAsia="en-AU"/>
        </w:rPr>
        <w:fldChar w:fldCharType="end"/>
      </w:r>
      <w:r w:rsidR="00C8058F">
        <w:rPr>
          <w:lang w:val="en-AU" w:eastAsia="en-AU"/>
        </w:rPr>
        <w:t>),</w:t>
      </w:r>
      <w:r w:rsidR="00C53D85">
        <w:rPr>
          <w:lang w:val="en-AU" w:eastAsia="en-AU"/>
        </w:rPr>
        <w:t xml:space="preserve"> </w:t>
      </w:r>
      <w:r w:rsidR="00B81611">
        <w:rPr>
          <w:lang w:val="en-AU" w:eastAsia="en-AU"/>
        </w:rPr>
        <w:t xml:space="preserve">and this </w:t>
      </w:r>
      <w:r w:rsidR="00D504DB">
        <w:rPr>
          <w:lang w:val="en-AU" w:eastAsia="en-AU"/>
        </w:rPr>
        <w:t>was reflected across all parts of the PL.</w:t>
      </w:r>
    </w:p>
    <w:p w14:paraId="2201A3BE" w14:textId="3D162C9F" w:rsidR="00F91859" w:rsidRDefault="00F91859" w:rsidP="00F91859">
      <w:pPr>
        <w:pStyle w:val="Caption"/>
      </w:pPr>
      <w:bookmarkStart w:id="140" w:name="_Ref169169557"/>
      <w:bookmarkStart w:id="141" w:name="_Ref169169554"/>
      <w:r w:rsidRPr="00455873">
        <w:lastRenderedPageBreak/>
        <w:t xml:space="preserve">Table </w:t>
      </w:r>
      <w:r w:rsidRPr="00455873">
        <w:fldChar w:fldCharType="begin"/>
      </w:r>
      <w:r w:rsidRPr="00455873">
        <w:instrText xml:space="preserve"> SEQ Table \* ARABIC </w:instrText>
      </w:r>
      <w:r w:rsidRPr="00455873">
        <w:fldChar w:fldCharType="separate"/>
      </w:r>
      <w:r w:rsidR="009B5D8D">
        <w:rPr>
          <w:noProof/>
        </w:rPr>
        <w:t>28</w:t>
      </w:r>
      <w:r w:rsidRPr="00455873">
        <w:fldChar w:fldCharType="end"/>
      </w:r>
      <w:bookmarkEnd w:id="140"/>
      <w:r w:rsidRPr="00455873">
        <w:t xml:space="preserve"> |</w:t>
      </w:r>
      <w:r>
        <w:t xml:space="preserve"> Number of items per category in the July 2023 P</w:t>
      </w:r>
      <w:r w:rsidR="00590D62">
        <w:t>L</w:t>
      </w:r>
      <w:r w:rsidR="00590D62">
        <w:rPr>
          <w:rStyle w:val="FootnoteReference"/>
        </w:rPr>
        <w:footnoteReference w:id="145"/>
      </w:r>
      <w:bookmarkEnd w:id="141"/>
    </w:p>
    <w:tbl>
      <w:tblPr>
        <w:tblStyle w:val="NOUS"/>
        <w:tblW w:w="0" w:type="auto"/>
        <w:tblLook w:val="04A0" w:firstRow="1" w:lastRow="0" w:firstColumn="1" w:lastColumn="0" w:noHBand="0" w:noVBand="1"/>
      </w:tblPr>
      <w:tblGrid>
        <w:gridCol w:w="663"/>
        <w:gridCol w:w="2598"/>
        <w:gridCol w:w="1133"/>
        <w:gridCol w:w="1134"/>
        <w:gridCol w:w="1134"/>
        <w:gridCol w:w="1134"/>
        <w:gridCol w:w="1134"/>
      </w:tblGrid>
      <w:tr w:rsidR="008A3DB3" w:rsidRPr="00686332" w14:paraId="7BAC8310" w14:textId="77777777" w:rsidTr="008A3DB3">
        <w:trPr>
          <w:cnfStyle w:val="100000000000" w:firstRow="1" w:lastRow="0" w:firstColumn="0" w:lastColumn="0" w:oddVBand="0" w:evenVBand="0" w:oddHBand="0" w:evenHBand="0" w:firstRowFirstColumn="0" w:firstRowLastColumn="0" w:lastRowFirstColumn="0" w:lastRowLastColumn="0"/>
          <w:trHeight w:val="162"/>
        </w:trPr>
        <w:tc>
          <w:tcPr>
            <w:tcW w:w="663" w:type="dxa"/>
          </w:tcPr>
          <w:p w14:paraId="55B73B2C" w14:textId="77777777" w:rsidR="008A3DB3" w:rsidRPr="00686332" w:rsidRDefault="008A3DB3">
            <w:pPr>
              <w:spacing w:before="40" w:after="40"/>
              <w:rPr>
                <w:rFonts w:asciiTheme="majorHAnsi" w:hAnsiTheme="majorHAnsi" w:cstheme="majorHAnsi"/>
                <w:b w:val="0"/>
                <w:bCs/>
                <w:sz w:val="18"/>
                <w:szCs w:val="18"/>
              </w:rPr>
            </w:pPr>
          </w:p>
        </w:tc>
        <w:tc>
          <w:tcPr>
            <w:tcW w:w="2598" w:type="dxa"/>
          </w:tcPr>
          <w:p w14:paraId="7165EDEF" w14:textId="77777777" w:rsidR="008A3DB3" w:rsidRPr="006255AB" w:rsidRDefault="008A3DB3">
            <w:pPr>
              <w:pStyle w:val="TableNheader"/>
              <w:rPr>
                <w:b w:val="0"/>
              </w:rPr>
            </w:pPr>
            <w:r w:rsidRPr="006255AB">
              <w:rPr>
                <w:b w:val="0"/>
              </w:rPr>
              <w:t>Category</w:t>
            </w:r>
          </w:p>
        </w:tc>
        <w:tc>
          <w:tcPr>
            <w:tcW w:w="1133" w:type="dxa"/>
          </w:tcPr>
          <w:p w14:paraId="6E65D9B1" w14:textId="77777777" w:rsidR="008A3DB3" w:rsidRPr="006255AB" w:rsidRDefault="008A3DB3">
            <w:pPr>
              <w:pStyle w:val="TableNheader"/>
              <w:jc w:val="center"/>
              <w:rPr>
                <w:b w:val="0"/>
              </w:rPr>
            </w:pPr>
            <w:r w:rsidRPr="006255AB">
              <w:rPr>
                <w:b w:val="0"/>
              </w:rPr>
              <w:t>Part A</w:t>
            </w:r>
          </w:p>
        </w:tc>
        <w:tc>
          <w:tcPr>
            <w:tcW w:w="1134" w:type="dxa"/>
          </w:tcPr>
          <w:p w14:paraId="545D3C7B" w14:textId="77777777" w:rsidR="008A3DB3" w:rsidRPr="006255AB" w:rsidRDefault="008A3DB3">
            <w:pPr>
              <w:pStyle w:val="TableNheader"/>
              <w:jc w:val="center"/>
              <w:rPr>
                <w:b w:val="0"/>
              </w:rPr>
            </w:pPr>
            <w:r w:rsidRPr="006255AB">
              <w:rPr>
                <w:b w:val="0"/>
              </w:rPr>
              <w:t>Part B</w:t>
            </w:r>
          </w:p>
        </w:tc>
        <w:tc>
          <w:tcPr>
            <w:tcW w:w="1134" w:type="dxa"/>
          </w:tcPr>
          <w:p w14:paraId="07A5A5DC" w14:textId="0AC09F98" w:rsidR="008A3DB3" w:rsidRPr="006255AB" w:rsidRDefault="008A3DB3">
            <w:pPr>
              <w:pStyle w:val="TableNheader"/>
              <w:jc w:val="center"/>
            </w:pPr>
            <w:r w:rsidRPr="006255AB">
              <w:rPr>
                <w:b w:val="0"/>
              </w:rPr>
              <w:t xml:space="preserve">Part </w:t>
            </w:r>
            <w:r>
              <w:rPr>
                <w:b w:val="0"/>
              </w:rPr>
              <w:t>C</w:t>
            </w:r>
          </w:p>
        </w:tc>
        <w:tc>
          <w:tcPr>
            <w:tcW w:w="1134" w:type="dxa"/>
          </w:tcPr>
          <w:p w14:paraId="17E62B27" w14:textId="04E5EEE6" w:rsidR="008A3DB3" w:rsidRPr="006255AB" w:rsidRDefault="008A3DB3">
            <w:pPr>
              <w:pStyle w:val="TableNheader"/>
              <w:jc w:val="center"/>
              <w:rPr>
                <w:b w:val="0"/>
              </w:rPr>
            </w:pPr>
            <w:r w:rsidRPr="006255AB">
              <w:rPr>
                <w:b w:val="0"/>
              </w:rPr>
              <w:t xml:space="preserve">Part </w:t>
            </w:r>
            <w:r>
              <w:rPr>
                <w:b w:val="0"/>
              </w:rPr>
              <w:t>D</w:t>
            </w:r>
          </w:p>
        </w:tc>
        <w:tc>
          <w:tcPr>
            <w:tcW w:w="1134" w:type="dxa"/>
          </w:tcPr>
          <w:p w14:paraId="7412434B" w14:textId="77777777" w:rsidR="008A3DB3" w:rsidRPr="006255AB" w:rsidRDefault="008A3DB3">
            <w:pPr>
              <w:pStyle w:val="TableNheader"/>
              <w:jc w:val="center"/>
              <w:rPr>
                <w:b w:val="0"/>
              </w:rPr>
            </w:pPr>
            <w:r>
              <w:rPr>
                <w:b w:val="0"/>
                <w:bCs/>
              </w:rPr>
              <w:t>Total</w:t>
            </w:r>
          </w:p>
        </w:tc>
      </w:tr>
      <w:tr w:rsidR="00B8379B" w:rsidRPr="00686332" w14:paraId="2946C526" w14:textId="77777777" w:rsidTr="00E909EA">
        <w:tc>
          <w:tcPr>
            <w:tcW w:w="663" w:type="dxa"/>
            <w:vMerge w:val="restart"/>
            <w:shd w:val="clear" w:color="auto" w:fill="FFFFFF" w:themeFill="background1"/>
            <w:textDirection w:val="btLr"/>
            <w:vAlign w:val="center"/>
          </w:tcPr>
          <w:p w14:paraId="242CEF88" w14:textId="5AFA248D" w:rsidR="00B8379B" w:rsidRPr="00686332" w:rsidRDefault="00B8379B" w:rsidP="00B8379B">
            <w:pPr>
              <w:pStyle w:val="TableNheader"/>
              <w:jc w:val="center"/>
            </w:pPr>
            <w:r w:rsidRPr="00686332">
              <w:t>Parts A</w:t>
            </w:r>
            <w:r w:rsidR="00E909EA">
              <w:t xml:space="preserve">, C </w:t>
            </w:r>
            <w:r w:rsidRPr="00686332">
              <w:t xml:space="preserve">and </w:t>
            </w:r>
            <w:r w:rsidR="00E909EA">
              <w:t>D</w:t>
            </w:r>
          </w:p>
        </w:tc>
        <w:tc>
          <w:tcPr>
            <w:tcW w:w="2598" w:type="dxa"/>
          </w:tcPr>
          <w:p w14:paraId="6AEDEB7A"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01 - Ophthalmic</w:t>
            </w:r>
          </w:p>
        </w:tc>
        <w:tc>
          <w:tcPr>
            <w:tcW w:w="1133" w:type="dxa"/>
          </w:tcPr>
          <w:p w14:paraId="446F9491" w14:textId="20C0EE5B" w:rsidR="00B8379B" w:rsidRPr="00686332" w:rsidRDefault="00B8379B" w:rsidP="00B8379B">
            <w:pPr>
              <w:pStyle w:val="TableNText"/>
              <w:jc w:val="center"/>
            </w:pPr>
            <w:r w:rsidRPr="000A24B9">
              <w:t>337</w:t>
            </w:r>
          </w:p>
        </w:tc>
        <w:tc>
          <w:tcPr>
            <w:tcW w:w="1134" w:type="dxa"/>
          </w:tcPr>
          <w:p w14:paraId="07A35239" w14:textId="18D7D0B7" w:rsidR="00B8379B" w:rsidRPr="00686332" w:rsidRDefault="00B8379B" w:rsidP="00B8379B">
            <w:pPr>
              <w:pStyle w:val="TableNText"/>
              <w:jc w:val="center"/>
            </w:pPr>
            <w:r w:rsidRPr="000A24B9">
              <w:t>-</w:t>
            </w:r>
          </w:p>
        </w:tc>
        <w:tc>
          <w:tcPr>
            <w:tcW w:w="1134" w:type="dxa"/>
          </w:tcPr>
          <w:p w14:paraId="2709A930" w14:textId="2A6EC264" w:rsidR="00B8379B" w:rsidRPr="00686332" w:rsidRDefault="00B8379B" w:rsidP="00B8379B">
            <w:pPr>
              <w:pStyle w:val="TableNText"/>
              <w:jc w:val="center"/>
            </w:pPr>
            <w:r w:rsidRPr="000A24B9">
              <w:t>-</w:t>
            </w:r>
          </w:p>
        </w:tc>
        <w:tc>
          <w:tcPr>
            <w:tcW w:w="1134" w:type="dxa"/>
          </w:tcPr>
          <w:p w14:paraId="1F961C7E" w14:textId="67195657" w:rsidR="00B8379B" w:rsidRPr="00686332" w:rsidRDefault="00B8379B" w:rsidP="00B8379B">
            <w:pPr>
              <w:pStyle w:val="TableNText"/>
              <w:jc w:val="center"/>
            </w:pPr>
            <w:r w:rsidRPr="000A24B9">
              <w:t>-</w:t>
            </w:r>
          </w:p>
        </w:tc>
        <w:tc>
          <w:tcPr>
            <w:tcW w:w="1134" w:type="dxa"/>
          </w:tcPr>
          <w:p w14:paraId="5CCFC1B3" w14:textId="1D2F5D5D" w:rsidR="00B8379B" w:rsidRPr="00686332" w:rsidRDefault="00B8379B" w:rsidP="00B8379B">
            <w:pPr>
              <w:pStyle w:val="TableNText"/>
              <w:jc w:val="center"/>
              <w:rPr>
                <w:rFonts w:ascii="Segoe UI Semibold" w:hAnsi="Segoe UI Semibold" w:cs="Segoe UI Semibold"/>
              </w:rPr>
            </w:pPr>
            <w:r w:rsidRPr="000A24B9">
              <w:t>337</w:t>
            </w:r>
          </w:p>
        </w:tc>
      </w:tr>
      <w:tr w:rsidR="00B8379B" w:rsidRPr="00686332" w14:paraId="192EB077" w14:textId="77777777" w:rsidTr="00E909EA">
        <w:tc>
          <w:tcPr>
            <w:tcW w:w="663" w:type="dxa"/>
            <w:vMerge/>
            <w:shd w:val="clear" w:color="auto" w:fill="FFFFFF" w:themeFill="background1"/>
          </w:tcPr>
          <w:p w14:paraId="1B060378" w14:textId="77777777" w:rsidR="00B8379B" w:rsidRPr="00686332" w:rsidRDefault="00B8379B" w:rsidP="00B8379B">
            <w:pPr>
              <w:pStyle w:val="TableNheader"/>
              <w:jc w:val="center"/>
            </w:pPr>
          </w:p>
        </w:tc>
        <w:tc>
          <w:tcPr>
            <w:tcW w:w="2598" w:type="dxa"/>
          </w:tcPr>
          <w:p w14:paraId="50BFE311"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02 - Ear, Nose &amp; Throat</w:t>
            </w:r>
          </w:p>
        </w:tc>
        <w:tc>
          <w:tcPr>
            <w:tcW w:w="1133" w:type="dxa"/>
          </w:tcPr>
          <w:p w14:paraId="6C76E029" w14:textId="2F1F3D5F" w:rsidR="00B8379B" w:rsidRPr="00686332" w:rsidRDefault="00B8379B" w:rsidP="00B8379B">
            <w:pPr>
              <w:pStyle w:val="TableNText"/>
              <w:jc w:val="center"/>
            </w:pPr>
            <w:r w:rsidRPr="000A24B9">
              <w:t>158</w:t>
            </w:r>
          </w:p>
        </w:tc>
        <w:tc>
          <w:tcPr>
            <w:tcW w:w="1134" w:type="dxa"/>
          </w:tcPr>
          <w:p w14:paraId="27826EB2" w14:textId="0AF63AAF" w:rsidR="00B8379B" w:rsidRPr="00686332" w:rsidRDefault="00B8379B" w:rsidP="00B8379B">
            <w:pPr>
              <w:pStyle w:val="TableNText"/>
              <w:jc w:val="center"/>
            </w:pPr>
            <w:r w:rsidRPr="000A24B9">
              <w:t>-</w:t>
            </w:r>
          </w:p>
        </w:tc>
        <w:tc>
          <w:tcPr>
            <w:tcW w:w="1134" w:type="dxa"/>
          </w:tcPr>
          <w:p w14:paraId="6ED10BD7" w14:textId="2335F46A" w:rsidR="00B8379B" w:rsidRPr="00686332" w:rsidRDefault="00B8379B" w:rsidP="00B8379B">
            <w:pPr>
              <w:pStyle w:val="TableNText"/>
              <w:jc w:val="center"/>
            </w:pPr>
            <w:r w:rsidRPr="000A24B9">
              <w:t>-</w:t>
            </w:r>
          </w:p>
        </w:tc>
        <w:tc>
          <w:tcPr>
            <w:tcW w:w="1134" w:type="dxa"/>
          </w:tcPr>
          <w:p w14:paraId="51DD686C" w14:textId="392AAA9C" w:rsidR="00B8379B" w:rsidRPr="00686332" w:rsidRDefault="00B8379B" w:rsidP="00B8379B">
            <w:pPr>
              <w:pStyle w:val="TableNText"/>
              <w:jc w:val="center"/>
            </w:pPr>
            <w:r w:rsidRPr="000A24B9">
              <w:t>-</w:t>
            </w:r>
          </w:p>
        </w:tc>
        <w:tc>
          <w:tcPr>
            <w:tcW w:w="1134" w:type="dxa"/>
          </w:tcPr>
          <w:p w14:paraId="35FBD532" w14:textId="0BF04CEB" w:rsidR="00B8379B" w:rsidRPr="00686332" w:rsidRDefault="00B8379B" w:rsidP="00B8379B">
            <w:pPr>
              <w:pStyle w:val="TableNText"/>
              <w:jc w:val="center"/>
              <w:rPr>
                <w:rFonts w:ascii="Segoe UI Semibold" w:hAnsi="Segoe UI Semibold" w:cs="Segoe UI Semibold"/>
              </w:rPr>
            </w:pPr>
            <w:r w:rsidRPr="000A24B9">
              <w:t>158</w:t>
            </w:r>
          </w:p>
        </w:tc>
      </w:tr>
      <w:tr w:rsidR="00B8379B" w:rsidRPr="00686332" w14:paraId="1261A842" w14:textId="77777777" w:rsidTr="00E909EA">
        <w:tc>
          <w:tcPr>
            <w:tcW w:w="663" w:type="dxa"/>
            <w:vMerge/>
            <w:shd w:val="clear" w:color="auto" w:fill="FFFFFF" w:themeFill="background1"/>
          </w:tcPr>
          <w:p w14:paraId="2F347BC8" w14:textId="77777777" w:rsidR="00B8379B" w:rsidRPr="00686332" w:rsidRDefault="00B8379B" w:rsidP="00B8379B">
            <w:pPr>
              <w:pStyle w:val="TableNheader"/>
              <w:jc w:val="center"/>
            </w:pPr>
          </w:p>
        </w:tc>
        <w:tc>
          <w:tcPr>
            <w:tcW w:w="2598" w:type="dxa"/>
          </w:tcPr>
          <w:p w14:paraId="0B7D6420"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03 - General Miscellaneous</w:t>
            </w:r>
          </w:p>
        </w:tc>
        <w:tc>
          <w:tcPr>
            <w:tcW w:w="1133" w:type="dxa"/>
          </w:tcPr>
          <w:p w14:paraId="6476E981" w14:textId="1391EA96" w:rsidR="00B8379B" w:rsidRPr="00686332" w:rsidRDefault="00B8379B" w:rsidP="00B8379B">
            <w:pPr>
              <w:pStyle w:val="TableNText"/>
              <w:jc w:val="center"/>
            </w:pPr>
            <w:r w:rsidRPr="000A24B9">
              <w:t>331</w:t>
            </w:r>
          </w:p>
        </w:tc>
        <w:tc>
          <w:tcPr>
            <w:tcW w:w="1134" w:type="dxa"/>
          </w:tcPr>
          <w:p w14:paraId="40E8D773" w14:textId="5D30AC4F" w:rsidR="00B8379B" w:rsidRPr="00686332" w:rsidRDefault="00B8379B" w:rsidP="00B8379B">
            <w:pPr>
              <w:pStyle w:val="TableNText"/>
              <w:jc w:val="center"/>
            </w:pPr>
            <w:r w:rsidRPr="000A24B9">
              <w:t>-</w:t>
            </w:r>
          </w:p>
        </w:tc>
        <w:tc>
          <w:tcPr>
            <w:tcW w:w="1134" w:type="dxa"/>
          </w:tcPr>
          <w:p w14:paraId="4BE9F3A8" w14:textId="2F4F2A84" w:rsidR="00B8379B" w:rsidRPr="00686332" w:rsidRDefault="00B8379B" w:rsidP="00B8379B">
            <w:pPr>
              <w:pStyle w:val="TableNText"/>
              <w:jc w:val="center"/>
            </w:pPr>
            <w:r w:rsidRPr="000A24B9">
              <w:t>11</w:t>
            </w:r>
          </w:p>
        </w:tc>
        <w:tc>
          <w:tcPr>
            <w:tcW w:w="1134" w:type="dxa"/>
          </w:tcPr>
          <w:p w14:paraId="3F9E2B99" w14:textId="3A693C2E" w:rsidR="00B8379B" w:rsidRPr="00686332" w:rsidRDefault="00B8379B" w:rsidP="00B8379B">
            <w:pPr>
              <w:pStyle w:val="TableNText"/>
              <w:jc w:val="center"/>
            </w:pPr>
            <w:r w:rsidRPr="000A24B9">
              <w:t>404</w:t>
            </w:r>
          </w:p>
        </w:tc>
        <w:tc>
          <w:tcPr>
            <w:tcW w:w="1134" w:type="dxa"/>
          </w:tcPr>
          <w:p w14:paraId="31FB57BC" w14:textId="2E2C7A67" w:rsidR="00B8379B" w:rsidRPr="00686332" w:rsidRDefault="00B8379B" w:rsidP="00B8379B">
            <w:pPr>
              <w:pStyle w:val="TableNText"/>
              <w:jc w:val="center"/>
              <w:rPr>
                <w:rFonts w:ascii="Segoe UI Semibold" w:hAnsi="Segoe UI Semibold" w:cs="Segoe UI Semibold"/>
              </w:rPr>
            </w:pPr>
            <w:r w:rsidRPr="000A24B9">
              <w:t>746</w:t>
            </w:r>
          </w:p>
        </w:tc>
      </w:tr>
      <w:tr w:rsidR="00B8379B" w:rsidRPr="00686332" w14:paraId="03FD5DFA" w14:textId="77777777" w:rsidTr="00E909EA">
        <w:tc>
          <w:tcPr>
            <w:tcW w:w="663" w:type="dxa"/>
            <w:vMerge/>
            <w:shd w:val="clear" w:color="auto" w:fill="FFFFFF" w:themeFill="background1"/>
          </w:tcPr>
          <w:p w14:paraId="4780A11A" w14:textId="77777777" w:rsidR="00B8379B" w:rsidRPr="00686332" w:rsidRDefault="00B8379B" w:rsidP="00B8379B">
            <w:pPr>
              <w:pStyle w:val="TableNheader"/>
              <w:jc w:val="center"/>
            </w:pPr>
          </w:p>
        </w:tc>
        <w:tc>
          <w:tcPr>
            <w:tcW w:w="2598" w:type="dxa"/>
          </w:tcPr>
          <w:p w14:paraId="2CB133F8"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04 - Neurosurgical</w:t>
            </w:r>
          </w:p>
        </w:tc>
        <w:tc>
          <w:tcPr>
            <w:tcW w:w="1133" w:type="dxa"/>
          </w:tcPr>
          <w:p w14:paraId="25237C8C" w14:textId="3F403D8D" w:rsidR="00B8379B" w:rsidRPr="00686332" w:rsidRDefault="00B8379B" w:rsidP="00B8379B">
            <w:pPr>
              <w:pStyle w:val="TableNText"/>
              <w:jc w:val="center"/>
            </w:pPr>
            <w:r w:rsidRPr="000A24B9">
              <w:t>458</w:t>
            </w:r>
          </w:p>
        </w:tc>
        <w:tc>
          <w:tcPr>
            <w:tcW w:w="1134" w:type="dxa"/>
          </w:tcPr>
          <w:p w14:paraId="5D6DDD53" w14:textId="1C9DBA6A" w:rsidR="00B8379B" w:rsidRPr="00686332" w:rsidRDefault="00B8379B" w:rsidP="00B8379B">
            <w:pPr>
              <w:pStyle w:val="TableNText"/>
              <w:jc w:val="center"/>
            </w:pPr>
            <w:r w:rsidRPr="000A24B9">
              <w:t>-</w:t>
            </w:r>
          </w:p>
        </w:tc>
        <w:tc>
          <w:tcPr>
            <w:tcW w:w="1134" w:type="dxa"/>
          </w:tcPr>
          <w:p w14:paraId="10D83F6E" w14:textId="6A054700" w:rsidR="00B8379B" w:rsidRPr="00686332" w:rsidRDefault="00B8379B" w:rsidP="00B8379B">
            <w:pPr>
              <w:pStyle w:val="TableNText"/>
              <w:jc w:val="center"/>
            </w:pPr>
            <w:r w:rsidRPr="000A24B9">
              <w:t>-</w:t>
            </w:r>
          </w:p>
        </w:tc>
        <w:tc>
          <w:tcPr>
            <w:tcW w:w="1134" w:type="dxa"/>
          </w:tcPr>
          <w:p w14:paraId="5AD0AA84" w14:textId="79493C77" w:rsidR="00B8379B" w:rsidRPr="00686332" w:rsidRDefault="00B8379B" w:rsidP="00B8379B">
            <w:pPr>
              <w:pStyle w:val="TableNText"/>
              <w:jc w:val="center"/>
            </w:pPr>
            <w:r w:rsidRPr="000A24B9">
              <w:t>6</w:t>
            </w:r>
          </w:p>
        </w:tc>
        <w:tc>
          <w:tcPr>
            <w:tcW w:w="1134" w:type="dxa"/>
          </w:tcPr>
          <w:p w14:paraId="122A8357" w14:textId="173CA259" w:rsidR="00B8379B" w:rsidRPr="00686332" w:rsidRDefault="00B8379B" w:rsidP="00B8379B">
            <w:pPr>
              <w:pStyle w:val="TableNText"/>
              <w:jc w:val="center"/>
              <w:rPr>
                <w:rFonts w:ascii="Segoe UI Semibold" w:hAnsi="Segoe UI Semibold" w:cs="Segoe UI Semibold"/>
              </w:rPr>
            </w:pPr>
            <w:r w:rsidRPr="000A24B9">
              <w:t>464</w:t>
            </w:r>
          </w:p>
        </w:tc>
      </w:tr>
      <w:tr w:rsidR="00B8379B" w:rsidRPr="00686332" w14:paraId="763FB7FA" w14:textId="77777777" w:rsidTr="00E909EA">
        <w:tc>
          <w:tcPr>
            <w:tcW w:w="663" w:type="dxa"/>
            <w:vMerge/>
            <w:shd w:val="clear" w:color="auto" w:fill="FFFFFF" w:themeFill="background1"/>
          </w:tcPr>
          <w:p w14:paraId="2A0AEA3B" w14:textId="77777777" w:rsidR="00B8379B" w:rsidRPr="00686332" w:rsidRDefault="00B8379B" w:rsidP="00B8379B">
            <w:pPr>
              <w:pStyle w:val="TableNheader"/>
              <w:jc w:val="center"/>
            </w:pPr>
          </w:p>
        </w:tc>
        <w:tc>
          <w:tcPr>
            <w:tcW w:w="2598" w:type="dxa"/>
          </w:tcPr>
          <w:p w14:paraId="7FC8ABED"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05 - Urogenital</w:t>
            </w:r>
          </w:p>
        </w:tc>
        <w:tc>
          <w:tcPr>
            <w:tcW w:w="1133" w:type="dxa"/>
          </w:tcPr>
          <w:p w14:paraId="5078A2C6" w14:textId="34D84395" w:rsidR="00B8379B" w:rsidRPr="00686332" w:rsidRDefault="00B8379B" w:rsidP="00B8379B">
            <w:pPr>
              <w:pStyle w:val="TableNText"/>
              <w:jc w:val="center"/>
            </w:pPr>
            <w:r w:rsidRPr="000A24B9">
              <w:t>169</w:t>
            </w:r>
          </w:p>
        </w:tc>
        <w:tc>
          <w:tcPr>
            <w:tcW w:w="1134" w:type="dxa"/>
          </w:tcPr>
          <w:p w14:paraId="3F09738D" w14:textId="531ED8F2" w:rsidR="00B8379B" w:rsidRPr="00686332" w:rsidRDefault="00B8379B" w:rsidP="00B8379B">
            <w:pPr>
              <w:pStyle w:val="TableNText"/>
              <w:jc w:val="center"/>
            </w:pPr>
            <w:r w:rsidRPr="000A24B9">
              <w:t>-</w:t>
            </w:r>
          </w:p>
        </w:tc>
        <w:tc>
          <w:tcPr>
            <w:tcW w:w="1134" w:type="dxa"/>
          </w:tcPr>
          <w:p w14:paraId="6C309076" w14:textId="6175AD5B" w:rsidR="00B8379B" w:rsidRPr="00686332" w:rsidRDefault="00B8379B" w:rsidP="00B8379B">
            <w:pPr>
              <w:pStyle w:val="TableNText"/>
              <w:jc w:val="center"/>
            </w:pPr>
            <w:r w:rsidRPr="000A24B9">
              <w:t>-</w:t>
            </w:r>
          </w:p>
        </w:tc>
        <w:tc>
          <w:tcPr>
            <w:tcW w:w="1134" w:type="dxa"/>
          </w:tcPr>
          <w:p w14:paraId="68A2B818" w14:textId="5B59E9F7" w:rsidR="00B8379B" w:rsidRPr="00686332" w:rsidRDefault="00B8379B" w:rsidP="00B8379B">
            <w:pPr>
              <w:pStyle w:val="TableNText"/>
              <w:jc w:val="center"/>
            </w:pPr>
            <w:r w:rsidRPr="000A24B9">
              <w:t>-</w:t>
            </w:r>
          </w:p>
        </w:tc>
        <w:tc>
          <w:tcPr>
            <w:tcW w:w="1134" w:type="dxa"/>
          </w:tcPr>
          <w:p w14:paraId="457D62AF" w14:textId="591D397F" w:rsidR="00B8379B" w:rsidRPr="00686332" w:rsidRDefault="00B8379B" w:rsidP="00B8379B">
            <w:pPr>
              <w:pStyle w:val="TableNText"/>
              <w:jc w:val="center"/>
              <w:rPr>
                <w:rFonts w:ascii="Segoe UI Semibold" w:hAnsi="Segoe UI Semibold" w:cs="Segoe UI Semibold"/>
              </w:rPr>
            </w:pPr>
            <w:r w:rsidRPr="000A24B9">
              <w:t>169</w:t>
            </w:r>
          </w:p>
        </w:tc>
      </w:tr>
      <w:tr w:rsidR="00B8379B" w:rsidRPr="00686332" w14:paraId="02B59E2B" w14:textId="77777777" w:rsidTr="00E909EA">
        <w:tc>
          <w:tcPr>
            <w:tcW w:w="663" w:type="dxa"/>
            <w:vMerge/>
            <w:shd w:val="clear" w:color="auto" w:fill="FFFFFF" w:themeFill="background1"/>
          </w:tcPr>
          <w:p w14:paraId="0581DAF3" w14:textId="77777777" w:rsidR="00B8379B" w:rsidRPr="00686332" w:rsidRDefault="00B8379B" w:rsidP="00B8379B">
            <w:pPr>
              <w:pStyle w:val="TableNheader"/>
              <w:jc w:val="center"/>
            </w:pPr>
          </w:p>
        </w:tc>
        <w:tc>
          <w:tcPr>
            <w:tcW w:w="2598" w:type="dxa"/>
          </w:tcPr>
          <w:p w14:paraId="61B949C2"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06 - Specialist Orthopaedic</w:t>
            </w:r>
          </w:p>
        </w:tc>
        <w:tc>
          <w:tcPr>
            <w:tcW w:w="1133" w:type="dxa"/>
          </w:tcPr>
          <w:p w14:paraId="1C4F7B22" w14:textId="45C8E8BF" w:rsidR="00B8379B" w:rsidRPr="00686332" w:rsidRDefault="00B8379B" w:rsidP="00B8379B">
            <w:pPr>
              <w:pStyle w:val="TableNText"/>
              <w:jc w:val="center"/>
            </w:pPr>
            <w:r w:rsidRPr="000A24B9">
              <w:t>3417</w:t>
            </w:r>
          </w:p>
        </w:tc>
        <w:tc>
          <w:tcPr>
            <w:tcW w:w="1134" w:type="dxa"/>
          </w:tcPr>
          <w:p w14:paraId="30339128" w14:textId="58C08D1E" w:rsidR="00B8379B" w:rsidRPr="00686332" w:rsidRDefault="00B8379B" w:rsidP="00B8379B">
            <w:pPr>
              <w:pStyle w:val="TableNText"/>
              <w:jc w:val="center"/>
            </w:pPr>
            <w:r w:rsidRPr="000A24B9">
              <w:t>-</w:t>
            </w:r>
          </w:p>
        </w:tc>
        <w:tc>
          <w:tcPr>
            <w:tcW w:w="1134" w:type="dxa"/>
          </w:tcPr>
          <w:p w14:paraId="379D5CD5" w14:textId="6DF2A5AA" w:rsidR="00B8379B" w:rsidRPr="00686332" w:rsidRDefault="00B8379B" w:rsidP="00B8379B">
            <w:pPr>
              <w:pStyle w:val="TableNText"/>
              <w:jc w:val="center"/>
            </w:pPr>
            <w:r w:rsidRPr="000A24B9">
              <w:t>-</w:t>
            </w:r>
          </w:p>
        </w:tc>
        <w:tc>
          <w:tcPr>
            <w:tcW w:w="1134" w:type="dxa"/>
          </w:tcPr>
          <w:p w14:paraId="45548226" w14:textId="410E8A2F" w:rsidR="00B8379B" w:rsidRPr="00686332" w:rsidRDefault="00B8379B" w:rsidP="00B8379B">
            <w:pPr>
              <w:pStyle w:val="TableNText"/>
              <w:jc w:val="center"/>
            </w:pPr>
            <w:r w:rsidRPr="000A24B9">
              <w:t>-</w:t>
            </w:r>
          </w:p>
        </w:tc>
        <w:tc>
          <w:tcPr>
            <w:tcW w:w="1134" w:type="dxa"/>
          </w:tcPr>
          <w:p w14:paraId="5611C4BE" w14:textId="2D401D27" w:rsidR="00B8379B" w:rsidRPr="00686332" w:rsidRDefault="00B8379B" w:rsidP="00B8379B">
            <w:pPr>
              <w:pStyle w:val="TableNText"/>
              <w:jc w:val="center"/>
              <w:rPr>
                <w:rFonts w:ascii="Segoe UI Semibold" w:hAnsi="Segoe UI Semibold" w:cs="Segoe UI Semibold"/>
              </w:rPr>
            </w:pPr>
            <w:r w:rsidRPr="000A24B9">
              <w:t>3417</w:t>
            </w:r>
          </w:p>
        </w:tc>
      </w:tr>
      <w:tr w:rsidR="00B8379B" w:rsidRPr="00686332" w14:paraId="3BCF10E8" w14:textId="77777777" w:rsidTr="00E909EA">
        <w:tc>
          <w:tcPr>
            <w:tcW w:w="663" w:type="dxa"/>
            <w:vMerge/>
            <w:shd w:val="clear" w:color="auto" w:fill="FFFFFF" w:themeFill="background1"/>
          </w:tcPr>
          <w:p w14:paraId="0C8195BD" w14:textId="77777777" w:rsidR="00B8379B" w:rsidRPr="00686332" w:rsidRDefault="00B8379B" w:rsidP="00B8379B">
            <w:pPr>
              <w:pStyle w:val="TableNheader"/>
              <w:jc w:val="center"/>
            </w:pPr>
          </w:p>
        </w:tc>
        <w:tc>
          <w:tcPr>
            <w:tcW w:w="2598" w:type="dxa"/>
          </w:tcPr>
          <w:p w14:paraId="625A3D64"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07 - Plastic and Reconstructive</w:t>
            </w:r>
          </w:p>
        </w:tc>
        <w:tc>
          <w:tcPr>
            <w:tcW w:w="1133" w:type="dxa"/>
          </w:tcPr>
          <w:p w14:paraId="3AF20BF9" w14:textId="35AD7CCA" w:rsidR="00B8379B" w:rsidRPr="00686332" w:rsidRDefault="00B8379B" w:rsidP="00B8379B">
            <w:pPr>
              <w:pStyle w:val="TableNText"/>
              <w:jc w:val="center"/>
            </w:pPr>
            <w:r w:rsidRPr="000A24B9">
              <w:t>747</w:t>
            </w:r>
          </w:p>
        </w:tc>
        <w:tc>
          <w:tcPr>
            <w:tcW w:w="1134" w:type="dxa"/>
          </w:tcPr>
          <w:p w14:paraId="72C2142A" w14:textId="1CCBAA83" w:rsidR="00B8379B" w:rsidRPr="00686332" w:rsidRDefault="00B8379B" w:rsidP="00B8379B">
            <w:pPr>
              <w:pStyle w:val="TableNText"/>
              <w:jc w:val="center"/>
            </w:pPr>
            <w:r w:rsidRPr="000A24B9">
              <w:t>-</w:t>
            </w:r>
          </w:p>
        </w:tc>
        <w:tc>
          <w:tcPr>
            <w:tcW w:w="1134" w:type="dxa"/>
          </w:tcPr>
          <w:p w14:paraId="0E988EDC" w14:textId="4C592C6B" w:rsidR="00B8379B" w:rsidRPr="00686332" w:rsidRDefault="00B8379B" w:rsidP="00B8379B">
            <w:pPr>
              <w:pStyle w:val="TableNText"/>
              <w:jc w:val="center"/>
            </w:pPr>
            <w:r w:rsidRPr="000A24B9">
              <w:t>-</w:t>
            </w:r>
          </w:p>
        </w:tc>
        <w:tc>
          <w:tcPr>
            <w:tcW w:w="1134" w:type="dxa"/>
          </w:tcPr>
          <w:p w14:paraId="1A8C7EC1" w14:textId="5CE2190F" w:rsidR="00B8379B" w:rsidRPr="00686332" w:rsidRDefault="00B8379B" w:rsidP="00B8379B">
            <w:pPr>
              <w:pStyle w:val="TableNText"/>
              <w:jc w:val="center"/>
            </w:pPr>
            <w:r w:rsidRPr="000A24B9">
              <w:t>-</w:t>
            </w:r>
          </w:p>
        </w:tc>
        <w:tc>
          <w:tcPr>
            <w:tcW w:w="1134" w:type="dxa"/>
          </w:tcPr>
          <w:p w14:paraId="1AE77062" w14:textId="3107BEBE" w:rsidR="00B8379B" w:rsidRPr="00686332" w:rsidRDefault="00B8379B" w:rsidP="00B8379B">
            <w:pPr>
              <w:pStyle w:val="TableNText"/>
              <w:jc w:val="center"/>
              <w:rPr>
                <w:rFonts w:ascii="Segoe UI Semibold" w:hAnsi="Segoe UI Semibold" w:cs="Segoe UI Semibold"/>
              </w:rPr>
            </w:pPr>
            <w:r w:rsidRPr="000A24B9">
              <w:t>747</w:t>
            </w:r>
          </w:p>
        </w:tc>
      </w:tr>
      <w:tr w:rsidR="00B8379B" w:rsidRPr="00686332" w14:paraId="66095346" w14:textId="77777777" w:rsidTr="00E909EA">
        <w:tc>
          <w:tcPr>
            <w:tcW w:w="663" w:type="dxa"/>
            <w:vMerge/>
            <w:shd w:val="clear" w:color="auto" w:fill="FFFFFF" w:themeFill="background1"/>
          </w:tcPr>
          <w:p w14:paraId="11C85BB1" w14:textId="77777777" w:rsidR="00B8379B" w:rsidRPr="00686332" w:rsidRDefault="00B8379B" w:rsidP="00B8379B">
            <w:pPr>
              <w:pStyle w:val="TableNheader"/>
              <w:jc w:val="center"/>
            </w:pPr>
          </w:p>
        </w:tc>
        <w:tc>
          <w:tcPr>
            <w:tcW w:w="2598" w:type="dxa"/>
          </w:tcPr>
          <w:p w14:paraId="4E724CBF"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08 - Cardiac</w:t>
            </w:r>
          </w:p>
        </w:tc>
        <w:tc>
          <w:tcPr>
            <w:tcW w:w="1133" w:type="dxa"/>
          </w:tcPr>
          <w:p w14:paraId="11F7251D" w14:textId="113304EE" w:rsidR="00B8379B" w:rsidRPr="00686332" w:rsidRDefault="00B8379B" w:rsidP="00B8379B">
            <w:pPr>
              <w:pStyle w:val="TableNText"/>
              <w:jc w:val="center"/>
            </w:pPr>
            <w:r w:rsidRPr="000A24B9">
              <w:t>322</w:t>
            </w:r>
          </w:p>
        </w:tc>
        <w:tc>
          <w:tcPr>
            <w:tcW w:w="1134" w:type="dxa"/>
          </w:tcPr>
          <w:p w14:paraId="51578853" w14:textId="50DD727F" w:rsidR="00B8379B" w:rsidRPr="00686332" w:rsidRDefault="00B8379B" w:rsidP="00B8379B">
            <w:pPr>
              <w:pStyle w:val="TableNText"/>
              <w:jc w:val="center"/>
            </w:pPr>
            <w:r w:rsidRPr="000A24B9">
              <w:t>-</w:t>
            </w:r>
          </w:p>
        </w:tc>
        <w:tc>
          <w:tcPr>
            <w:tcW w:w="1134" w:type="dxa"/>
          </w:tcPr>
          <w:p w14:paraId="1A340A14" w14:textId="5A7E5378" w:rsidR="00B8379B" w:rsidRPr="00686332" w:rsidRDefault="00B8379B" w:rsidP="00B8379B">
            <w:pPr>
              <w:pStyle w:val="TableNText"/>
              <w:jc w:val="center"/>
            </w:pPr>
            <w:r w:rsidRPr="000A24B9">
              <w:t>89</w:t>
            </w:r>
          </w:p>
        </w:tc>
        <w:tc>
          <w:tcPr>
            <w:tcW w:w="1134" w:type="dxa"/>
          </w:tcPr>
          <w:p w14:paraId="2615BA3C" w14:textId="461D233B" w:rsidR="00B8379B" w:rsidRPr="00686332" w:rsidRDefault="00B8379B" w:rsidP="00B8379B">
            <w:pPr>
              <w:pStyle w:val="TableNText"/>
              <w:jc w:val="center"/>
            </w:pPr>
            <w:r w:rsidRPr="000A24B9">
              <w:t>-</w:t>
            </w:r>
          </w:p>
        </w:tc>
        <w:tc>
          <w:tcPr>
            <w:tcW w:w="1134" w:type="dxa"/>
          </w:tcPr>
          <w:p w14:paraId="2A9660B9" w14:textId="55160CB3" w:rsidR="00B8379B" w:rsidRPr="00686332" w:rsidRDefault="00B8379B" w:rsidP="00B8379B">
            <w:pPr>
              <w:pStyle w:val="TableNText"/>
              <w:jc w:val="center"/>
              <w:rPr>
                <w:rFonts w:ascii="Segoe UI Semibold" w:hAnsi="Segoe UI Semibold" w:cs="Segoe UI Semibold"/>
              </w:rPr>
            </w:pPr>
            <w:r w:rsidRPr="000A24B9">
              <w:t>411</w:t>
            </w:r>
          </w:p>
        </w:tc>
      </w:tr>
      <w:tr w:rsidR="00B8379B" w:rsidRPr="00686332" w14:paraId="4340E9FF" w14:textId="77777777" w:rsidTr="00E909EA">
        <w:tc>
          <w:tcPr>
            <w:tcW w:w="663" w:type="dxa"/>
            <w:vMerge/>
            <w:shd w:val="clear" w:color="auto" w:fill="FFFFFF" w:themeFill="background1"/>
          </w:tcPr>
          <w:p w14:paraId="0ECC9BDE" w14:textId="77777777" w:rsidR="00B8379B" w:rsidRPr="00686332" w:rsidRDefault="00B8379B" w:rsidP="00B8379B">
            <w:pPr>
              <w:pStyle w:val="TableNheader"/>
              <w:jc w:val="center"/>
            </w:pPr>
          </w:p>
        </w:tc>
        <w:tc>
          <w:tcPr>
            <w:tcW w:w="2598" w:type="dxa"/>
          </w:tcPr>
          <w:p w14:paraId="5A845BA7"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09 - Cardiothoracic</w:t>
            </w:r>
          </w:p>
        </w:tc>
        <w:tc>
          <w:tcPr>
            <w:tcW w:w="1133" w:type="dxa"/>
          </w:tcPr>
          <w:p w14:paraId="22BD04DD" w14:textId="64E0A31A" w:rsidR="00B8379B" w:rsidRPr="00686332" w:rsidRDefault="00B8379B" w:rsidP="00B8379B">
            <w:pPr>
              <w:pStyle w:val="TableNText"/>
              <w:jc w:val="center"/>
            </w:pPr>
            <w:r w:rsidRPr="000A24B9">
              <w:t>95</w:t>
            </w:r>
          </w:p>
        </w:tc>
        <w:tc>
          <w:tcPr>
            <w:tcW w:w="1134" w:type="dxa"/>
          </w:tcPr>
          <w:p w14:paraId="48705B0A" w14:textId="1BC74070" w:rsidR="00B8379B" w:rsidRPr="00686332" w:rsidRDefault="00B8379B" w:rsidP="00B8379B">
            <w:pPr>
              <w:pStyle w:val="TableNText"/>
              <w:jc w:val="center"/>
            </w:pPr>
            <w:r w:rsidRPr="000A24B9">
              <w:t>-</w:t>
            </w:r>
          </w:p>
        </w:tc>
        <w:tc>
          <w:tcPr>
            <w:tcW w:w="1134" w:type="dxa"/>
          </w:tcPr>
          <w:p w14:paraId="28C2A601" w14:textId="45FFBD4A" w:rsidR="00B8379B" w:rsidRPr="00686332" w:rsidRDefault="00B8379B" w:rsidP="00B8379B">
            <w:pPr>
              <w:pStyle w:val="TableNText"/>
              <w:jc w:val="center"/>
            </w:pPr>
            <w:r w:rsidRPr="000A24B9">
              <w:t>14</w:t>
            </w:r>
          </w:p>
        </w:tc>
        <w:tc>
          <w:tcPr>
            <w:tcW w:w="1134" w:type="dxa"/>
          </w:tcPr>
          <w:p w14:paraId="196176C9" w14:textId="45008036" w:rsidR="00B8379B" w:rsidRPr="00686332" w:rsidRDefault="00B8379B" w:rsidP="00B8379B">
            <w:pPr>
              <w:pStyle w:val="TableNText"/>
              <w:jc w:val="center"/>
            </w:pPr>
            <w:r w:rsidRPr="000A24B9">
              <w:t>-</w:t>
            </w:r>
          </w:p>
        </w:tc>
        <w:tc>
          <w:tcPr>
            <w:tcW w:w="1134" w:type="dxa"/>
          </w:tcPr>
          <w:p w14:paraId="4B16C2ED" w14:textId="187E7186" w:rsidR="00B8379B" w:rsidRPr="00686332" w:rsidRDefault="00B8379B" w:rsidP="00B8379B">
            <w:pPr>
              <w:pStyle w:val="TableNText"/>
              <w:jc w:val="center"/>
              <w:rPr>
                <w:rFonts w:ascii="Segoe UI Semibold" w:hAnsi="Segoe UI Semibold" w:cs="Segoe UI Semibold"/>
              </w:rPr>
            </w:pPr>
            <w:r w:rsidRPr="000A24B9">
              <w:t>109</w:t>
            </w:r>
          </w:p>
        </w:tc>
      </w:tr>
      <w:tr w:rsidR="00B8379B" w:rsidRPr="00686332" w14:paraId="72A6BE8F" w14:textId="77777777" w:rsidTr="00E909EA">
        <w:tc>
          <w:tcPr>
            <w:tcW w:w="663" w:type="dxa"/>
            <w:vMerge/>
            <w:shd w:val="clear" w:color="auto" w:fill="FFFFFF" w:themeFill="background1"/>
          </w:tcPr>
          <w:p w14:paraId="2C5DA4B1" w14:textId="77777777" w:rsidR="00B8379B" w:rsidRPr="00686332" w:rsidRDefault="00B8379B" w:rsidP="00B8379B">
            <w:pPr>
              <w:pStyle w:val="TableNheader"/>
              <w:jc w:val="center"/>
            </w:pPr>
          </w:p>
        </w:tc>
        <w:tc>
          <w:tcPr>
            <w:tcW w:w="2598" w:type="dxa"/>
          </w:tcPr>
          <w:p w14:paraId="1F83F7F7"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10 - Vascular</w:t>
            </w:r>
          </w:p>
        </w:tc>
        <w:tc>
          <w:tcPr>
            <w:tcW w:w="1133" w:type="dxa"/>
          </w:tcPr>
          <w:p w14:paraId="24CC7428" w14:textId="3AB7CAAA" w:rsidR="00B8379B" w:rsidRPr="00686332" w:rsidRDefault="00B8379B" w:rsidP="00B8379B">
            <w:pPr>
              <w:pStyle w:val="TableNText"/>
              <w:jc w:val="center"/>
            </w:pPr>
            <w:r w:rsidRPr="000A24B9">
              <w:t>318</w:t>
            </w:r>
          </w:p>
        </w:tc>
        <w:tc>
          <w:tcPr>
            <w:tcW w:w="1134" w:type="dxa"/>
          </w:tcPr>
          <w:p w14:paraId="5290E990" w14:textId="28AF01CF" w:rsidR="00B8379B" w:rsidRPr="00686332" w:rsidRDefault="00B8379B" w:rsidP="00B8379B">
            <w:pPr>
              <w:pStyle w:val="TableNText"/>
              <w:jc w:val="center"/>
            </w:pPr>
            <w:r w:rsidRPr="000A24B9">
              <w:t>-</w:t>
            </w:r>
          </w:p>
        </w:tc>
        <w:tc>
          <w:tcPr>
            <w:tcW w:w="1134" w:type="dxa"/>
          </w:tcPr>
          <w:p w14:paraId="61DBA1C4" w14:textId="5CE52050" w:rsidR="00B8379B" w:rsidRPr="00686332" w:rsidRDefault="00B8379B" w:rsidP="00B8379B">
            <w:pPr>
              <w:pStyle w:val="TableNText"/>
              <w:jc w:val="center"/>
            </w:pPr>
            <w:r w:rsidRPr="000A24B9">
              <w:t>2</w:t>
            </w:r>
          </w:p>
        </w:tc>
        <w:tc>
          <w:tcPr>
            <w:tcW w:w="1134" w:type="dxa"/>
          </w:tcPr>
          <w:p w14:paraId="1C5D1AA6" w14:textId="1ED5072F" w:rsidR="00B8379B" w:rsidRPr="00686332" w:rsidRDefault="00B8379B" w:rsidP="00B8379B">
            <w:pPr>
              <w:pStyle w:val="TableNText"/>
              <w:jc w:val="center"/>
            </w:pPr>
            <w:r w:rsidRPr="000A24B9">
              <w:t>65</w:t>
            </w:r>
          </w:p>
        </w:tc>
        <w:tc>
          <w:tcPr>
            <w:tcW w:w="1134" w:type="dxa"/>
          </w:tcPr>
          <w:p w14:paraId="3AD403E8" w14:textId="146B1256" w:rsidR="00B8379B" w:rsidRPr="00686332" w:rsidRDefault="00B8379B" w:rsidP="00B8379B">
            <w:pPr>
              <w:pStyle w:val="TableNText"/>
              <w:jc w:val="center"/>
              <w:rPr>
                <w:rFonts w:ascii="Segoe UI Semibold" w:hAnsi="Segoe UI Semibold" w:cs="Segoe UI Semibold"/>
              </w:rPr>
            </w:pPr>
            <w:r w:rsidRPr="000A24B9">
              <w:t>385</w:t>
            </w:r>
          </w:p>
        </w:tc>
      </w:tr>
      <w:tr w:rsidR="00B8379B" w:rsidRPr="00686332" w14:paraId="238934B7" w14:textId="77777777" w:rsidTr="00E909EA">
        <w:tc>
          <w:tcPr>
            <w:tcW w:w="663" w:type="dxa"/>
            <w:vMerge/>
            <w:shd w:val="clear" w:color="auto" w:fill="FFFFFF" w:themeFill="background1"/>
          </w:tcPr>
          <w:p w14:paraId="01E967A5" w14:textId="77777777" w:rsidR="00B8379B" w:rsidRPr="00686332" w:rsidRDefault="00B8379B" w:rsidP="00B8379B">
            <w:pPr>
              <w:pStyle w:val="TableNheader"/>
              <w:jc w:val="center"/>
            </w:pPr>
          </w:p>
        </w:tc>
        <w:tc>
          <w:tcPr>
            <w:tcW w:w="2598" w:type="dxa"/>
          </w:tcPr>
          <w:p w14:paraId="7239C36F"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11 - Hip</w:t>
            </w:r>
          </w:p>
        </w:tc>
        <w:tc>
          <w:tcPr>
            <w:tcW w:w="1133" w:type="dxa"/>
          </w:tcPr>
          <w:p w14:paraId="2D0B76C2" w14:textId="44352BF2" w:rsidR="00B8379B" w:rsidRPr="00686332" w:rsidRDefault="00B8379B" w:rsidP="00B8379B">
            <w:pPr>
              <w:pStyle w:val="TableNText"/>
              <w:jc w:val="center"/>
            </w:pPr>
            <w:r w:rsidRPr="000A24B9">
              <w:t>706</w:t>
            </w:r>
          </w:p>
        </w:tc>
        <w:tc>
          <w:tcPr>
            <w:tcW w:w="1134" w:type="dxa"/>
          </w:tcPr>
          <w:p w14:paraId="2BD7BD94" w14:textId="276025B9" w:rsidR="00B8379B" w:rsidRPr="00686332" w:rsidRDefault="00B8379B" w:rsidP="00B8379B">
            <w:pPr>
              <w:pStyle w:val="TableNText"/>
              <w:jc w:val="center"/>
            </w:pPr>
            <w:r w:rsidRPr="000A24B9">
              <w:t>-</w:t>
            </w:r>
          </w:p>
        </w:tc>
        <w:tc>
          <w:tcPr>
            <w:tcW w:w="1134" w:type="dxa"/>
          </w:tcPr>
          <w:p w14:paraId="17A03622" w14:textId="2E93E507" w:rsidR="00B8379B" w:rsidRPr="00686332" w:rsidRDefault="00B8379B" w:rsidP="00B8379B">
            <w:pPr>
              <w:pStyle w:val="TableNText"/>
              <w:jc w:val="center"/>
            </w:pPr>
            <w:r w:rsidRPr="000A24B9">
              <w:t>-</w:t>
            </w:r>
          </w:p>
        </w:tc>
        <w:tc>
          <w:tcPr>
            <w:tcW w:w="1134" w:type="dxa"/>
          </w:tcPr>
          <w:p w14:paraId="0E90AD16" w14:textId="1A1D5790" w:rsidR="00B8379B" w:rsidRPr="00686332" w:rsidRDefault="00B8379B" w:rsidP="00B8379B">
            <w:pPr>
              <w:pStyle w:val="TableNText"/>
              <w:jc w:val="center"/>
            </w:pPr>
            <w:r w:rsidRPr="000A24B9">
              <w:t>-</w:t>
            </w:r>
          </w:p>
        </w:tc>
        <w:tc>
          <w:tcPr>
            <w:tcW w:w="1134" w:type="dxa"/>
          </w:tcPr>
          <w:p w14:paraId="5F4CE20F" w14:textId="2433059A" w:rsidR="00B8379B" w:rsidRPr="00686332" w:rsidRDefault="00B8379B" w:rsidP="00B8379B">
            <w:pPr>
              <w:pStyle w:val="TableNText"/>
              <w:jc w:val="center"/>
              <w:rPr>
                <w:rFonts w:ascii="Segoe UI Semibold" w:hAnsi="Segoe UI Semibold" w:cs="Segoe UI Semibold"/>
              </w:rPr>
            </w:pPr>
            <w:r w:rsidRPr="000A24B9">
              <w:t>706</w:t>
            </w:r>
          </w:p>
        </w:tc>
      </w:tr>
      <w:tr w:rsidR="00B8379B" w:rsidRPr="00686332" w14:paraId="2F7B5E38" w14:textId="77777777" w:rsidTr="00E909EA">
        <w:tc>
          <w:tcPr>
            <w:tcW w:w="663" w:type="dxa"/>
            <w:vMerge/>
            <w:shd w:val="clear" w:color="auto" w:fill="FFFFFF" w:themeFill="background1"/>
          </w:tcPr>
          <w:p w14:paraId="61B80D19" w14:textId="77777777" w:rsidR="00B8379B" w:rsidRPr="00686332" w:rsidRDefault="00B8379B" w:rsidP="00B8379B">
            <w:pPr>
              <w:pStyle w:val="TableNheader"/>
              <w:jc w:val="center"/>
            </w:pPr>
          </w:p>
        </w:tc>
        <w:tc>
          <w:tcPr>
            <w:tcW w:w="2598" w:type="dxa"/>
          </w:tcPr>
          <w:p w14:paraId="6CDB4FE5"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12 - Knee</w:t>
            </w:r>
          </w:p>
        </w:tc>
        <w:tc>
          <w:tcPr>
            <w:tcW w:w="1133" w:type="dxa"/>
          </w:tcPr>
          <w:p w14:paraId="3494FFE6" w14:textId="1D907D6B" w:rsidR="00B8379B" w:rsidRPr="00686332" w:rsidRDefault="00B8379B" w:rsidP="00B8379B">
            <w:pPr>
              <w:pStyle w:val="TableNText"/>
              <w:jc w:val="center"/>
            </w:pPr>
            <w:r w:rsidRPr="000A24B9">
              <w:t>767</w:t>
            </w:r>
          </w:p>
        </w:tc>
        <w:tc>
          <w:tcPr>
            <w:tcW w:w="1134" w:type="dxa"/>
          </w:tcPr>
          <w:p w14:paraId="5329F032" w14:textId="617AB2FB" w:rsidR="00B8379B" w:rsidRPr="00686332" w:rsidRDefault="00B8379B" w:rsidP="00B8379B">
            <w:pPr>
              <w:pStyle w:val="TableNText"/>
              <w:jc w:val="center"/>
            </w:pPr>
            <w:r w:rsidRPr="000A24B9">
              <w:t>-</w:t>
            </w:r>
          </w:p>
        </w:tc>
        <w:tc>
          <w:tcPr>
            <w:tcW w:w="1134" w:type="dxa"/>
          </w:tcPr>
          <w:p w14:paraId="64E4279D" w14:textId="3B31309C" w:rsidR="00B8379B" w:rsidRPr="00686332" w:rsidRDefault="00B8379B" w:rsidP="00B8379B">
            <w:pPr>
              <w:pStyle w:val="TableNText"/>
              <w:jc w:val="center"/>
            </w:pPr>
            <w:r w:rsidRPr="000A24B9">
              <w:t>-</w:t>
            </w:r>
          </w:p>
        </w:tc>
        <w:tc>
          <w:tcPr>
            <w:tcW w:w="1134" w:type="dxa"/>
          </w:tcPr>
          <w:p w14:paraId="0AF09F9C" w14:textId="6F78F1D7" w:rsidR="00B8379B" w:rsidRPr="00686332" w:rsidRDefault="00B8379B" w:rsidP="00B8379B">
            <w:pPr>
              <w:pStyle w:val="TableNText"/>
              <w:jc w:val="center"/>
            </w:pPr>
            <w:r w:rsidRPr="000A24B9">
              <w:t>-</w:t>
            </w:r>
          </w:p>
        </w:tc>
        <w:tc>
          <w:tcPr>
            <w:tcW w:w="1134" w:type="dxa"/>
          </w:tcPr>
          <w:p w14:paraId="4C27D74C" w14:textId="4E28AB59" w:rsidR="00B8379B" w:rsidRPr="00686332" w:rsidRDefault="00B8379B" w:rsidP="00B8379B">
            <w:pPr>
              <w:pStyle w:val="TableNText"/>
              <w:jc w:val="center"/>
              <w:rPr>
                <w:rFonts w:ascii="Segoe UI Semibold" w:hAnsi="Segoe UI Semibold" w:cs="Segoe UI Semibold"/>
              </w:rPr>
            </w:pPr>
            <w:r w:rsidRPr="000A24B9">
              <w:t>767</w:t>
            </w:r>
          </w:p>
        </w:tc>
      </w:tr>
      <w:tr w:rsidR="00B8379B" w:rsidRPr="00686332" w14:paraId="0790EF12" w14:textId="77777777" w:rsidTr="00E909EA">
        <w:tc>
          <w:tcPr>
            <w:tcW w:w="663" w:type="dxa"/>
            <w:vMerge/>
            <w:shd w:val="clear" w:color="auto" w:fill="FFFFFF" w:themeFill="background1"/>
          </w:tcPr>
          <w:p w14:paraId="2ADA5B7E" w14:textId="77777777" w:rsidR="00B8379B" w:rsidRPr="00686332" w:rsidRDefault="00B8379B" w:rsidP="00B8379B">
            <w:pPr>
              <w:pStyle w:val="TableNheader"/>
              <w:jc w:val="center"/>
            </w:pPr>
          </w:p>
        </w:tc>
        <w:tc>
          <w:tcPr>
            <w:tcW w:w="2598" w:type="dxa"/>
          </w:tcPr>
          <w:p w14:paraId="15F4BFC0"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13 - Spinal</w:t>
            </w:r>
          </w:p>
        </w:tc>
        <w:tc>
          <w:tcPr>
            <w:tcW w:w="1133" w:type="dxa"/>
          </w:tcPr>
          <w:p w14:paraId="696CED75" w14:textId="4F6E41F5" w:rsidR="00B8379B" w:rsidRPr="00686332" w:rsidRDefault="00B8379B" w:rsidP="00B8379B">
            <w:pPr>
              <w:pStyle w:val="TableNText"/>
              <w:jc w:val="center"/>
            </w:pPr>
            <w:r w:rsidRPr="000A24B9">
              <w:t>1958</w:t>
            </w:r>
          </w:p>
        </w:tc>
        <w:tc>
          <w:tcPr>
            <w:tcW w:w="1134" w:type="dxa"/>
          </w:tcPr>
          <w:p w14:paraId="12DE9100" w14:textId="1C5E4F26" w:rsidR="00B8379B" w:rsidRPr="00686332" w:rsidRDefault="00B8379B" w:rsidP="00B8379B">
            <w:pPr>
              <w:pStyle w:val="TableNText"/>
              <w:jc w:val="center"/>
            </w:pPr>
            <w:r w:rsidRPr="000A24B9">
              <w:t>-</w:t>
            </w:r>
          </w:p>
        </w:tc>
        <w:tc>
          <w:tcPr>
            <w:tcW w:w="1134" w:type="dxa"/>
          </w:tcPr>
          <w:p w14:paraId="44F29774" w14:textId="690F277D" w:rsidR="00B8379B" w:rsidRPr="00686332" w:rsidRDefault="00B8379B" w:rsidP="00B8379B">
            <w:pPr>
              <w:pStyle w:val="TableNText"/>
              <w:jc w:val="center"/>
            </w:pPr>
            <w:r w:rsidRPr="000A24B9">
              <w:t>-</w:t>
            </w:r>
          </w:p>
        </w:tc>
        <w:tc>
          <w:tcPr>
            <w:tcW w:w="1134" w:type="dxa"/>
          </w:tcPr>
          <w:p w14:paraId="7F6D6B43" w14:textId="6F29BD35" w:rsidR="00B8379B" w:rsidRPr="00686332" w:rsidRDefault="00B8379B" w:rsidP="00B8379B">
            <w:pPr>
              <w:pStyle w:val="TableNText"/>
              <w:jc w:val="center"/>
            </w:pPr>
            <w:r w:rsidRPr="000A24B9">
              <w:t>-</w:t>
            </w:r>
          </w:p>
        </w:tc>
        <w:tc>
          <w:tcPr>
            <w:tcW w:w="1134" w:type="dxa"/>
          </w:tcPr>
          <w:p w14:paraId="23B8E75F" w14:textId="26F6E176" w:rsidR="00B8379B" w:rsidRPr="00686332" w:rsidRDefault="00B8379B" w:rsidP="00B8379B">
            <w:pPr>
              <w:pStyle w:val="TableNText"/>
              <w:jc w:val="center"/>
              <w:rPr>
                <w:rFonts w:ascii="Segoe UI Semibold" w:hAnsi="Segoe UI Semibold" w:cs="Segoe UI Semibold"/>
              </w:rPr>
            </w:pPr>
            <w:r w:rsidRPr="000A24B9">
              <w:t>1958</w:t>
            </w:r>
          </w:p>
        </w:tc>
      </w:tr>
      <w:tr w:rsidR="00B8379B" w:rsidRPr="00686332" w14:paraId="3295A871" w14:textId="77777777" w:rsidTr="00E909EA">
        <w:tc>
          <w:tcPr>
            <w:tcW w:w="663" w:type="dxa"/>
            <w:vMerge w:val="restart"/>
            <w:shd w:val="clear" w:color="auto" w:fill="FFFFFF" w:themeFill="background1"/>
            <w:textDirection w:val="btLr"/>
            <w:vAlign w:val="center"/>
          </w:tcPr>
          <w:p w14:paraId="5E304AEC" w14:textId="77777777" w:rsidR="00B8379B" w:rsidRPr="00686332" w:rsidRDefault="00B8379B" w:rsidP="00B8379B">
            <w:pPr>
              <w:pStyle w:val="TableNheader"/>
              <w:jc w:val="center"/>
            </w:pPr>
            <w:r w:rsidRPr="00686332">
              <w:t>P</w:t>
            </w:r>
            <w:r>
              <w:t>art</w:t>
            </w:r>
            <w:r w:rsidRPr="00686332">
              <w:t xml:space="preserve"> B</w:t>
            </w:r>
          </w:p>
        </w:tc>
        <w:tc>
          <w:tcPr>
            <w:tcW w:w="2598" w:type="dxa"/>
          </w:tcPr>
          <w:p w14:paraId="7DB72136"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01 - Cardio-thoracic</w:t>
            </w:r>
          </w:p>
        </w:tc>
        <w:tc>
          <w:tcPr>
            <w:tcW w:w="1133" w:type="dxa"/>
          </w:tcPr>
          <w:p w14:paraId="758220E1" w14:textId="3729B086" w:rsidR="00B8379B" w:rsidRPr="00686332" w:rsidRDefault="00B8379B" w:rsidP="00B8379B">
            <w:pPr>
              <w:pStyle w:val="TableNText"/>
              <w:jc w:val="center"/>
            </w:pPr>
            <w:r w:rsidRPr="000A24B9">
              <w:t>-</w:t>
            </w:r>
          </w:p>
        </w:tc>
        <w:tc>
          <w:tcPr>
            <w:tcW w:w="1134" w:type="dxa"/>
          </w:tcPr>
          <w:p w14:paraId="1C345924" w14:textId="3E58DA09" w:rsidR="00B8379B" w:rsidRPr="00686332" w:rsidRDefault="00B8379B" w:rsidP="00B8379B">
            <w:pPr>
              <w:pStyle w:val="TableNText"/>
              <w:jc w:val="center"/>
            </w:pPr>
            <w:r w:rsidRPr="000A24B9">
              <w:t>18</w:t>
            </w:r>
          </w:p>
        </w:tc>
        <w:tc>
          <w:tcPr>
            <w:tcW w:w="1134" w:type="dxa"/>
          </w:tcPr>
          <w:p w14:paraId="654734BB" w14:textId="71B1573E" w:rsidR="00B8379B" w:rsidRPr="00686332" w:rsidRDefault="00B8379B" w:rsidP="00B8379B">
            <w:pPr>
              <w:pStyle w:val="TableNText"/>
              <w:jc w:val="center"/>
            </w:pPr>
            <w:r w:rsidRPr="000A24B9">
              <w:t>-</w:t>
            </w:r>
          </w:p>
        </w:tc>
        <w:tc>
          <w:tcPr>
            <w:tcW w:w="1134" w:type="dxa"/>
          </w:tcPr>
          <w:p w14:paraId="1F4C883B" w14:textId="5CC41629" w:rsidR="00B8379B" w:rsidRPr="00686332" w:rsidRDefault="00B8379B" w:rsidP="00B8379B">
            <w:pPr>
              <w:pStyle w:val="TableNText"/>
              <w:jc w:val="center"/>
            </w:pPr>
            <w:r w:rsidRPr="000A24B9">
              <w:t>-</w:t>
            </w:r>
          </w:p>
        </w:tc>
        <w:tc>
          <w:tcPr>
            <w:tcW w:w="1134" w:type="dxa"/>
          </w:tcPr>
          <w:p w14:paraId="56130437" w14:textId="4760E52F" w:rsidR="00B8379B" w:rsidRPr="00686332" w:rsidRDefault="00B8379B" w:rsidP="00B8379B">
            <w:pPr>
              <w:pStyle w:val="TableNText"/>
              <w:jc w:val="center"/>
              <w:rPr>
                <w:rFonts w:ascii="Segoe UI Semibold" w:hAnsi="Segoe UI Semibold" w:cs="Segoe UI Semibold"/>
              </w:rPr>
            </w:pPr>
            <w:r w:rsidRPr="000A24B9">
              <w:t>18</w:t>
            </w:r>
          </w:p>
        </w:tc>
      </w:tr>
      <w:tr w:rsidR="00B8379B" w:rsidRPr="00686332" w14:paraId="39571CAA" w14:textId="77777777" w:rsidTr="00E909EA">
        <w:tc>
          <w:tcPr>
            <w:tcW w:w="663" w:type="dxa"/>
            <w:vMerge/>
            <w:shd w:val="clear" w:color="auto" w:fill="FFFFFF" w:themeFill="background1"/>
          </w:tcPr>
          <w:p w14:paraId="326BD78F" w14:textId="77777777" w:rsidR="00B8379B" w:rsidRPr="00686332" w:rsidRDefault="00B8379B" w:rsidP="00B8379B">
            <w:pPr>
              <w:spacing w:before="40" w:after="40"/>
              <w:rPr>
                <w:sz w:val="18"/>
                <w:szCs w:val="18"/>
              </w:rPr>
            </w:pPr>
          </w:p>
        </w:tc>
        <w:tc>
          <w:tcPr>
            <w:tcW w:w="2598" w:type="dxa"/>
          </w:tcPr>
          <w:p w14:paraId="6E3960FD"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02 - Ophthalmic</w:t>
            </w:r>
          </w:p>
        </w:tc>
        <w:tc>
          <w:tcPr>
            <w:tcW w:w="1133" w:type="dxa"/>
          </w:tcPr>
          <w:p w14:paraId="2A4AB429" w14:textId="547AA2C6" w:rsidR="00B8379B" w:rsidRPr="00686332" w:rsidRDefault="00B8379B" w:rsidP="00B8379B">
            <w:pPr>
              <w:pStyle w:val="TableNText"/>
              <w:jc w:val="center"/>
            </w:pPr>
            <w:r w:rsidRPr="000A24B9">
              <w:t>-</w:t>
            </w:r>
          </w:p>
        </w:tc>
        <w:tc>
          <w:tcPr>
            <w:tcW w:w="1134" w:type="dxa"/>
          </w:tcPr>
          <w:p w14:paraId="0EEE5241" w14:textId="069C8A77" w:rsidR="00B8379B" w:rsidRPr="00686332" w:rsidRDefault="00B8379B" w:rsidP="00B8379B">
            <w:pPr>
              <w:pStyle w:val="TableNText"/>
              <w:jc w:val="center"/>
            </w:pPr>
            <w:r w:rsidRPr="000A24B9">
              <w:t>20</w:t>
            </w:r>
          </w:p>
        </w:tc>
        <w:tc>
          <w:tcPr>
            <w:tcW w:w="1134" w:type="dxa"/>
          </w:tcPr>
          <w:p w14:paraId="7D624747" w14:textId="3E78A636" w:rsidR="00B8379B" w:rsidRPr="00686332" w:rsidRDefault="00B8379B" w:rsidP="00B8379B">
            <w:pPr>
              <w:pStyle w:val="TableNText"/>
              <w:jc w:val="center"/>
            </w:pPr>
            <w:r w:rsidRPr="000A24B9">
              <w:t>-</w:t>
            </w:r>
          </w:p>
        </w:tc>
        <w:tc>
          <w:tcPr>
            <w:tcW w:w="1134" w:type="dxa"/>
          </w:tcPr>
          <w:p w14:paraId="67D6346B" w14:textId="0624648D" w:rsidR="00B8379B" w:rsidRPr="00686332" w:rsidRDefault="00B8379B" w:rsidP="00B8379B">
            <w:pPr>
              <w:pStyle w:val="TableNText"/>
              <w:jc w:val="center"/>
            </w:pPr>
            <w:r w:rsidRPr="000A24B9">
              <w:t>-</w:t>
            </w:r>
          </w:p>
        </w:tc>
        <w:tc>
          <w:tcPr>
            <w:tcW w:w="1134" w:type="dxa"/>
          </w:tcPr>
          <w:p w14:paraId="1FA5DE8A" w14:textId="48F40554" w:rsidR="00B8379B" w:rsidRPr="00686332" w:rsidRDefault="00B8379B" w:rsidP="00B8379B">
            <w:pPr>
              <w:pStyle w:val="TableNText"/>
              <w:jc w:val="center"/>
              <w:rPr>
                <w:rFonts w:ascii="Segoe UI Semibold" w:hAnsi="Segoe UI Semibold" w:cs="Segoe UI Semibold"/>
              </w:rPr>
            </w:pPr>
            <w:r w:rsidRPr="000A24B9">
              <w:t>20</w:t>
            </w:r>
          </w:p>
        </w:tc>
      </w:tr>
      <w:tr w:rsidR="00B8379B" w:rsidRPr="00686332" w14:paraId="17A1C099" w14:textId="77777777" w:rsidTr="00E909EA">
        <w:tc>
          <w:tcPr>
            <w:tcW w:w="663" w:type="dxa"/>
            <w:vMerge/>
            <w:shd w:val="clear" w:color="auto" w:fill="FFFFFF" w:themeFill="background1"/>
          </w:tcPr>
          <w:p w14:paraId="5DF37900" w14:textId="77777777" w:rsidR="00B8379B" w:rsidRPr="00686332" w:rsidRDefault="00B8379B" w:rsidP="00B8379B">
            <w:pPr>
              <w:spacing w:before="40" w:after="40"/>
              <w:rPr>
                <w:sz w:val="18"/>
                <w:szCs w:val="18"/>
              </w:rPr>
            </w:pPr>
          </w:p>
        </w:tc>
        <w:tc>
          <w:tcPr>
            <w:tcW w:w="2598" w:type="dxa"/>
          </w:tcPr>
          <w:p w14:paraId="6075EDA2"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03 - Orthopaedic</w:t>
            </w:r>
          </w:p>
        </w:tc>
        <w:tc>
          <w:tcPr>
            <w:tcW w:w="1133" w:type="dxa"/>
          </w:tcPr>
          <w:p w14:paraId="272A4AA0" w14:textId="637ABAA7" w:rsidR="00B8379B" w:rsidRPr="00686332" w:rsidRDefault="00B8379B" w:rsidP="00B8379B">
            <w:pPr>
              <w:pStyle w:val="TableNText"/>
              <w:jc w:val="center"/>
            </w:pPr>
            <w:r w:rsidRPr="000A24B9">
              <w:t>-</w:t>
            </w:r>
          </w:p>
        </w:tc>
        <w:tc>
          <w:tcPr>
            <w:tcW w:w="1134" w:type="dxa"/>
          </w:tcPr>
          <w:p w14:paraId="1C7DAFBF" w14:textId="161DFC64" w:rsidR="00B8379B" w:rsidRPr="00686332" w:rsidRDefault="00B8379B" w:rsidP="00B8379B">
            <w:pPr>
              <w:pStyle w:val="TableNText"/>
              <w:jc w:val="center"/>
            </w:pPr>
            <w:r w:rsidRPr="000A24B9">
              <w:t>629</w:t>
            </w:r>
          </w:p>
        </w:tc>
        <w:tc>
          <w:tcPr>
            <w:tcW w:w="1134" w:type="dxa"/>
          </w:tcPr>
          <w:p w14:paraId="2605B415" w14:textId="17683A9C" w:rsidR="00B8379B" w:rsidRPr="00686332" w:rsidRDefault="00B8379B" w:rsidP="00B8379B">
            <w:pPr>
              <w:pStyle w:val="TableNText"/>
              <w:jc w:val="center"/>
            </w:pPr>
            <w:r w:rsidRPr="000A24B9">
              <w:t>-</w:t>
            </w:r>
          </w:p>
        </w:tc>
        <w:tc>
          <w:tcPr>
            <w:tcW w:w="1134" w:type="dxa"/>
          </w:tcPr>
          <w:p w14:paraId="1CCC0124" w14:textId="6B1DF95D" w:rsidR="00B8379B" w:rsidRPr="00686332" w:rsidRDefault="00B8379B" w:rsidP="00B8379B">
            <w:pPr>
              <w:pStyle w:val="TableNText"/>
              <w:jc w:val="center"/>
            </w:pPr>
            <w:r w:rsidRPr="000A24B9">
              <w:t>-</w:t>
            </w:r>
          </w:p>
        </w:tc>
        <w:tc>
          <w:tcPr>
            <w:tcW w:w="1134" w:type="dxa"/>
          </w:tcPr>
          <w:p w14:paraId="595471E2" w14:textId="732F8DF9" w:rsidR="00B8379B" w:rsidRPr="00686332" w:rsidRDefault="00B8379B" w:rsidP="00B8379B">
            <w:pPr>
              <w:pStyle w:val="TableNText"/>
              <w:jc w:val="center"/>
              <w:rPr>
                <w:rFonts w:ascii="Segoe UI Semibold" w:hAnsi="Segoe UI Semibold" w:cs="Segoe UI Semibold"/>
              </w:rPr>
            </w:pPr>
            <w:r w:rsidRPr="000A24B9">
              <w:t>629</w:t>
            </w:r>
          </w:p>
        </w:tc>
      </w:tr>
      <w:tr w:rsidR="00B8379B" w:rsidRPr="00686332" w14:paraId="4C87270A" w14:textId="77777777" w:rsidTr="00E909EA">
        <w:tc>
          <w:tcPr>
            <w:tcW w:w="663" w:type="dxa"/>
            <w:vMerge/>
            <w:shd w:val="clear" w:color="auto" w:fill="FFFFFF" w:themeFill="background1"/>
          </w:tcPr>
          <w:p w14:paraId="33666ABA" w14:textId="77777777" w:rsidR="00B8379B" w:rsidRPr="00686332" w:rsidRDefault="00B8379B" w:rsidP="00B8379B">
            <w:pPr>
              <w:spacing w:before="40" w:after="40"/>
              <w:rPr>
                <w:sz w:val="18"/>
                <w:szCs w:val="18"/>
              </w:rPr>
            </w:pPr>
          </w:p>
        </w:tc>
        <w:tc>
          <w:tcPr>
            <w:tcW w:w="2598" w:type="dxa"/>
          </w:tcPr>
          <w:p w14:paraId="7B191D6F" w14:textId="77777777" w:rsidR="00B8379B" w:rsidRPr="008A311A" w:rsidRDefault="00B8379B" w:rsidP="00B8379B">
            <w:pPr>
              <w:pStyle w:val="TableNText"/>
              <w:rPr>
                <w:rFonts w:ascii="Segoe UI Semibold" w:hAnsi="Segoe UI Semibold" w:cs="Segoe UI Semibold"/>
              </w:rPr>
            </w:pPr>
            <w:r w:rsidRPr="008A311A">
              <w:rPr>
                <w:rFonts w:ascii="Segoe UI Semibold" w:hAnsi="Segoe UI Semibold" w:cs="Segoe UI Semibold"/>
              </w:rPr>
              <w:t>04 - Dermatologic</w:t>
            </w:r>
          </w:p>
        </w:tc>
        <w:tc>
          <w:tcPr>
            <w:tcW w:w="1133" w:type="dxa"/>
          </w:tcPr>
          <w:p w14:paraId="0D8B308D" w14:textId="2E551CD7" w:rsidR="00B8379B" w:rsidRPr="00686332" w:rsidRDefault="00B8379B" w:rsidP="00B8379B">
            <w:pPr>
              <w:pStyle w:val="TableNText"/>
              <w:jc w:val="center"/>
            </w:pPr>
            <w:r w:rsidRPr="000A24B9">
              <w:t>-</w:t>
            </w:r>
          </w:p>
        </w:tc>
        <w:tc>
          <w:tcPr>
            <w:tcW w:w="1134" w:type="dxa"/>
          </w:tcPr>
          <w:p w14:paraId="2FD24333" w14:textId="4170A54F" w:rsidR="00B8379B" w:rsidRPr="00686332" w:rsidRDefault="00B8379B" w:rsidP="00B8379B">
            <w:pPr>
              <w:pStyle w:val="TableNText"/>
              <w:jc w:val="center"/>
            </w:pPr>
            <w:r w:rsidRPr="000A24B9">
              <w:t>12</w:t>
            </w:r>
          </w:p>
        </w:tc>
        <w:tc>
          <w:tcPr>
            <w:tcW w:w="1134" w:type="dxa"/>
          </w:tcPr>
          <w:p w14:paraId="3DE7E3FD" w14:textId="1982B087" w:rsidR="00B8379B" w:rsidRPr="00686332" w:rsidRDefault="00B8379B" w:rsidP="00B8379B">
            <w:pPr>
              <w:pStyle w:val="TableNText"/>
              <w:jc w:val="center"/>
            </w:pPr>
            <w:r w:rsidRPr="000A24B9">
              <w:t>-</w:t>
            </w:r>
          </w:p>
        </w:tc>
        <w:tc>
          <w:tcPr>
            <w:tcW w:w="1134" w:type="dxa"/>
          </w:tcPr>
          <w:p w14:paraId="3068DB49" w14:textId="2DA0FE5C" w:rsidR="00B8379B" w:rsidRPr="00686332" w:rsidRDefault="00B8379B" w:rsidP="00B8379B">
            <w:pPr>
              <w:pStyle w:val="TableNText"/>
              <w:jc w:val="center"/>
            </w:pPr>
            <w:r w:rsidRPr="000A24B9">
              <w:t>-</w:t>
            </w:r>
          </w:p>
        </w:tc>
        <w:tc>
          <w:tcPr>
            <w:tcW w:w="1134" w:type="dxa"/>
          </w:tcPr>
          <w:p w14:paraId="41B15E9B" w14:textId="16E0F82A" w:rsidR="00B8379B" w:rsidRPr="00686332" w:rsidRDefault="00B8379B" w:rsidP="00B8379B">
            <w:pPr>
              <w:pStyle w:val="TableNText"/>
              <w:jc w:val="center"/>
              <w:rPr>
                <w:rFonts w:ascii="Segoe UI Semibold" w:hAnsi="Segoe UI Semibold" w:cs="Segoe UI Semibold"/>
              </w:rPr>
            </w:pPr>
            <w:r w:rsidRPr="000A24B9">
              <w:t>12</w:t>
            </w:r>
          </w:p>
        </w:tc>
      </w:tr>
      <w:tr w:rsidR="00E25085" w:rsidRPr="00686332" w14:paraId="6D9915EE" w14:textId="77777777" w:rsidTr="00E25085">
        <w:tc>
          <w:tcPr>
            <w:tcW w:w="663" w:type="dxa"/>
            <w:shd w:val="clear" w:color="auto" w:fill="E6E6E1" w:themeFill="accent5"/>
          </w:tcPr>
          <w:p w14:paraId="7AAA56B9" w14:textId="77777777" w:rsidR="00E25085" w:rsidRPr="00686332" w:rsidRDefault="00E25085" w:rsidP="00E25085">
            <w:pPr>
              <w:spacing w:before="40" w:after="40"/>
              <w:rPr>
                <w:sz w:val="18"/>
                <w:szCs w:val="18"/>
              </w:rPr>
            </w:pPr>
          </w:p>
        </w:tc>
        <w:tc>
          <w:tcPr>
            <w:tcW w:w="2598" w:type="dxa"/>
            <w:shd w:val="clear" w:color="auto" w:fill="E6E6E1" w:themeFill="accent5"/>
          </w:tcPr>
          <w:p w14:paraId="73CDF5FC" w14:textId="61DBF59E" w:rsidR="00E25085" w:rsidRPr="008A311A" w:rsidRDefault="00E25085" w:rsidP="00E25085">
            <w:pPr>
              <w:pStyle w:val="TableNText"/>
              <w:rPr>
                <w:rFonts w:ascii="Segoe UI Semibold" w:hAnsi="Segoe UI Semibold" w:cs="Segoe UI Semibold"/>
              </w:rPr>
            </w:pPr>
            <w:r>
              <w:rPr>
                <w:rFonts w:ascii="Segoe UI Semibold" w:hAnsi="Segoe UI Semibold" w:cs="Segoe UI Semibold"/>
              </w:rPr>
              <w:t>Total</w:t>
            </w:r>
          </w:p>
        </w:tc>
        <w:tc>
          <w:tcPr>
            <w:tcW w:w="1133" w:type="dxa"/>
            <w:shd w:val="clear" w:color="auto" w:fill="E6E6E1" w:themeFill="accent5"/>
          </w:tcPr>
          <w:p w14:paraId="3F62AB46" w14:textId="3DAE03E5"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9783</w:t>
            </w:r>
          </w:p>
        </w:tc>
        <w:tc>
          <w:tcPr>
            <w:tcW w:w="1134" w:type="dxa"/>
            <w:shd w:val="clear" w:color="auto" w:fill="E6E6E1" w:themeFill="accent5"/>
          </w:tcPr>
          <w:p w14:paraId="47517778" w14:textId="57D8506A"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679</w:t>
            </w:r>
          </w:p>
        </w:tc>
        <w:tc>
          <w:tcPr>
            <w:tcW w:w="1134" w:type="dxa"/>
            <w:shd w:val="clear" w:color="auto" w:fill="E6E6E1" w:themeFill="accent5"/>
          </w:tcPr>
          <w:p w14:paraId="1B6104AC" w14:textId="2091E5C0"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116</w:t>
            </w:r>
          </w:p>
        </w:tc>
        <w:tc>
          <w:tcPr>
            <w:tcW w:w="1134" w:type="dxa"/>
            <w:shd w:val="clear" w:color="auto" w:fill="E6E6E1" w:themeFill="accent5"/>
          </w:tcPr>
          <w:p w14:paraId="73FCF84C" w14:textId="1827B82A"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475</w:t>
            </w:r>
          </w:p>
        </w:tc>
        <w:tc>
          <w:tcPr>
            <w:tcW w:w="1134" w:type="dxa"/>
            <w:shd w:val="clear" w:color="auto" w:fill="E6E6E1" w:themeFill="accent5"/>
          </w:tcPr>
          <w:p w14:paraId="4ACE7631" w14:textId="46D0ECB0" w:rsidR="00E25085" w:rsidRPr="00E25085" w:rsidRDefault="00E25085" w:rsidP="00E25085">
            <w:pPr>
              <w:pStyle w:val="TableNText"/>
              <w:jc w:val="center"/>
              <w:rPr>
                <w:rFonts w:asciiTheme="majorHAnsi" w:hAnsiTheme="majorHAnsi" w:cstheme="majorHAnsi"/>
              </w:rPr>
            </w:pPr>
            <w:r w:rsidRPr="00E25085">
              <w:rPr>
                <w:rFonts w:asciiTheme="majorHAnsi" w:hAnsiTheme="majorHAnsi" w:cstheme="majorHAnsi"/>
              </w:rPr>
              <w:t>11053</w:t>
            </w:r>
          </w:p>
        </w:tc>
      </w:tr>
    </w:tbl>
    <w:p w14:paraId="2AF4D8D7" w14:textId="77777777" w:rsidR="00F91859" w:rsidRDefault="00F91859" w:rsidP="00F91859">
      <w:pPr>
        <w:rPr>
          <w:lang w:val="en-AU" w:eastAsia="en-AU"/>
        </w:rPr>
      </w:pPr>
    </w:p>
    <w:p w14:paraId="068F8340" w14:textId="48FAF54C" w:rsidR="00F91859" w:rsidRDefault="00724951" w:rsidP="00724951">
      <w:pPr>
        <w:pStyle w:val="Caption"/>
      </w:pPr>
      <w:bookmarkStart w:id="142" w:name="_Ref169169303"/>
      <w:bookmarkStart w:id="143" w:name="_Ref169169301"/>
      <w:r>
        <w:lastRenderedPageBreak/>
        <w:t xml:space="preserve">Figure </w:t>
      </w:r>
      <w:r>
        <w:fldChar w:fldCharType="begin"/>
      </w:r>
      <w:r>
        <w:instrText xml:space="preserve"> SEQ Figure \* ARABIC </w:instrText>
      </w:r>
      <w:r>
        <w:fldChar w:fldCharType="separate"/>
      </w:r>
      <w:r w:rsidR="009B5D8D">
        <w:rPr>
          <w:noProof/>
        </w:rPr>
        <w:t>36</w:t>
      </w:r>
      <w:r>
        <w:fldChar w:fldCharType="end"/>
      </w:r>
      <w:bookmarkEnd w:id="142"/>
      <w:r>
        <w:t xml:space="preserve"> | </w:t>
      </w:r>
      <w:r w:rsidRPr="00984983">
        <w:t>Number of PL items</w:t>
      </w:r>
      <w:bookmarkEnd w:id="143"/>
      <w:r w:rsidR="005E36D8">
        <w:t xml:space="preserve"> (Parts A, C and D)</w:t>
      </w:r>
    </w:p>
    <w:p w14:paraId="55BE3067" w14:textId="02C8C56F" w:rsidR="00724951" w:rsidRDefault="00AA55F7" w:rsidP="00724951">
      <w:pPr>
        <w:rPr>
          <w:lang w:val="en-AU"/>
        </w:rPr>
      </w:pPr>
      <w:r w:rsidRPr="00AA55F7">
        <w:rPr>
          <w:noProof/>
          <w:lang w:val="en-AU"/>
        </w:rPr>
        <w:drawing>
          <wp:inline distT="0" distB="0" distL="0" distR="0" wp14:anchorId="6B4AE91F" wp14:editId="2412D752">
            <wp:extent cx="5670550" cy="2823210"/>
            <wp:effectExtent l="0" t="0" r="6350" b="0"/>
            <wp:docPr id="804783567" name="Picture 1" descr="A graph of the number of PL items from Parts A, C and D over time from 2017 to 2023. The decline from 2021 to 2023 is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83567" name="Picture 1" descr="A graph of the number of PL items from Parts A, C and D over time from 2017 to 2023. The decline from 2021 to 2023 is -4.84%."/>
                    <pic:cNvPicPr/>
                  </pic:nvPicPr>
                  <pic:blipFill>
                    <a:blip r:embed="rId73"/>
                    <a:stretch>
                      <a:fillRect/>
                    </a:stretch>
                  </pic:blipFill>
                  <pic:spPr>
                    <a:xfrm>
                      <a:off x="0" y="0"/>
                      <a:ext cx="5670550" cy="2823210"/>
                    </a:xfrm>
                    <a:prstGeom prst="rect">
                      <a:avLst/>
                    </a:prstGeom>
                  </pic:spPr>
                </pic:pic>
              </a:graphicData>
            </a:graphic>
          </wp:inline>
        </w:drawing>
      </w:r>
    </w:p>
    <w:bookmarkStart w:id="144" w:name="_Ref169169306"/>
    <w:p w14:paraId="064ACB74" w14:textId="5F713F75" w:rsidR="006B7CB8" w:rsidRDefault="006B7CB8" w:rsidP="007F49C6">
      <w:pPr>
        <w:rPr>
          <w:lang w:val="en-AU" w:eastAsia="en-AU"/>
        </w:rPr>
      </w:pPr>
      <w:r>
        <w:rPr>
          <w:lang w:val="en-AU" w:eastAsia="en-AU"/>
        </w:rPr>
        <w:fldChar w:fldCharType="begin"/>
      </w:r>
      <w:r>
        <w:rPr>
          <w:lang w:val="en-AU" w:eastAsia="en-AU"/>
        </w:rPr>
        <w:instrText xml:space="preserve"> REF _Ref169169303 \h </w:instrText>
      </w:r>
      <w:r>
        <w:rPr>
          <w:lang w:val="en-AU" w:eastAsia="en-AU"/>
        </w:rPr>
      </w:r>
      <w:r>
        <w:rPr>
          <w:lang w:val="en-AU" w:eastAsia="en-AU"/>
        </w:rPr>
        <w:fldChar w:fldCharType="separate"/>
      </w:r>
      <w:r w:rsidR="009B5D8D">
        <w:t xml:space="preserve">Figure </w:t>
      </w:r>
      <w:r w:rsidR="009B5D8D">
        <w:rPr>
          <w:noProof/>
        </w:rPr>
        <w:t>36</w:t>
      </w:r>
      <w:r>
        <w:rPr>
          <w:lang w:val="en-AU" w:eastAsia="en-AU"/>
        </w:rPr>
        <w:fldChar w:fldCharType="end"/>
      </w:r>
      <w:r>
        <w:rPr>
          <w:lang w:val="en-AU" w:eastAsia="en-AU"/>
        </w:rPr>
        <w:t xml:space="preserve"> shows that the number of PL items in Parts A, C and D declined by 4.84% from the July 2021 PL to the July 2023 PL. This reflects a reversal of the trend in the 10 years preceding the July 2021 baseline, where the number of items increased by 1.09% per annum.</w:t>
      </w:r>
    </w:p>
    <w:p w14:paraId="6FEF2C85" w14:textId="50192F89" w:rsidR="00AA55F7" w:rsidRDefault="00AA55F7" w:rsidP="00AA55F7">
      <w:pPr>
        <w:pStyle w:val="Caption"/>
      </w:pPr>
      <w:bookmarkStart w:id="145" w:name="_Ref170308673"/>
      <w:r>
        <w:t xml:space="preserve">Figure </w:t>
      </w:r>
      <w:r>
        <w:fldChar w:fldCharType="begin"/>
      </w:r>
      <w:r>
        <w:instrText xml:space="preserve"> SEQ Figure \* ARABIC </w:instrText>
      </w:r>
      <w:r>
        <w:fldChar w:fldCharType="separate"/>
      </w:r>
      <w:r w:rsidR="009B5D8D">
        <w:rPr>
          <w:noProof/>
        </w:rPr>
        <w:t>37</w:t>
      </w:r>
      <w:r>
        <w:fldChar w:fldCharType="end"/>
      </w:r>
      <w:bookmarkEnd w:id="144"/>
      <w:bookmarkEnd w:id="145"/>
      <w:r>
        <w:t xml:space="preserve"> | </w:t>
      </w:r>
      <w:r w:rsidRPr="00442C6D">
        <w:t>Number of benefit groups</w:t>
      </w:r>
      <w:r w:rsidR="00942E6F">
        <w:rPr>
          <w:rStyle w:val="FootnoteReference"/>
        </w:rPr>
        <w:footnoteReference w:id="146"/>
      </w:r>
      <w:r w:rsidR="00F321F3">
        <w:t xml:space="preserve"> (Parts A, C and D)</w:t>
      </w:r>
    </w:p>
    <w:p w14:paraId="43832067" w14:textId="18C89F74" w:rsidR="00AA55F7" w:rsidRDefault="00F61F0B" w:rsidP="00AA55F7">
      <w:pPr>
        <w:rPr>
          <w:lang w:val="en-AU"/>
        </w:rPr>
      </w:pPr>
      <w:r w:rsidRPr="00F61F0B">
        <w:rPr>
          <w:noProof/>
          <w:lang w:val="en-AU"/>
        </w:rPr>
        <w:drawing>
          <wp:inline distT="0" distB="0" distL="0" distR="0" wp14:anchorId="6399F46A" wp14:editId="650E3B70">
            <wp:extent cx="5670550" cy="2835275"/>
            <wp:effectExtent l="0" t="0" r="6350" b="3175"/>
            <wp:docPr id="1882756780" name="Picture 1" descr="A graph of the number of PL benefit groups from Parts A, C and D over time from 2017 to 2023. The decline from 2021 to 2023 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6780" name="Picture 1" descr="A graph of the number of PL benefit groups from Parts A, C and D over time from 2017 to 2023. The decline from 2021 to 2023 is -3.63%."/>
                    <pic:cNvPicPr/>
                  </pic:nvPicPr>
                  <pic:blipFill>
                    <a:blip r:embed="rId74"/>
                    <a:stretch>
                      <a:fillRect/>
                    </a:stretch>
                  </pic:blipFill>
                  <pic:spPr>
                    <a:xfrm>
                      <a:off x="0" y="0"/>
                      <a:ext cx="5670550" cy="2835275"/>
                    </a:xfrm>
                    <a:prstGeom prst="rect">
                      <a:avLst/>
                    </a:prstGeom>
                  </pic:spPr>
                </pic:pic>
              </a:graphicData>
            </a:graphic>
          </wp:inline>
        </w:drawing>
      </w:r>
    </w:p>
    <w:p w14:paraId="1CACA84C" w14:textId="1530C35A" w:rsidR="002D01F2" w:rsidRPr="007F49C6" w:rsidRDefault="002D01F2" w:rsidP="002D01F2">
      <w:pPr>
        <w:rPr>
          <w:lang w:val="en-AU" w:eastAsia="en-AU"/>
        </w:rPr>
      </w:pPr>
      <w:r>
        <w:rPr>
          <w:lang w:val="en-AU" w:eastAsia="en-AU"/>
        </w:rPr>
        <w:t xml:space="preserve">Likewise, </w:t>
      </w:r>
      <w:r>
        <w:rPr>
          <w:lang w:val="en-AU" w:eastAsia="en-AU"/>
        </w:rPr>
        <w:fldChar w:fldCharType="begin"/>
      </w:r>
      <w:r>
        <w:rPr>
          <w:lang w:val="en-AU" w:eastAsia="en-AU"/>
        </w:rPr>
        <w:instrText xml:space="preserve"> REF _Ref170308673 \h </w:instrText>
      </w:r>
      <w:r>
        <w:rPr>
          <w:lang w:val="en-AU" w:eastAsia="en-AU"/>
        </w:rPr>
      </w:r>
      <w:r>
        <w:rPr>
          <w:lang w:val="en-AU" w:eastAsia="en-AU"/>
        </w:rPr>
        <w:fldChar w:fldCharType="separate"/>
      </w:r>
      <w:r w:rsidR="009B5D8D">
        <w:t xml:space="preserve">Figure </w:t>
      </w:r>
      <w:r w:rsidR="009B5D8D">
        <w:rPr>
          <w:noProof/>
        </w:rPr>
        <w:t>37</w:t>
      </w:r>
      <w:r>
        <w:rPr>
          <w:lang w:val="en-AU" w:eastAsia="en-AU"/>
        </w:rPr>
        <w:fldChar w:fldCharType="end"/>
      </w:r>
      <w:r>
        <w:rPr>
          <w:lang w:val="en-AU" w:eastAsia="en-AU"/>
        </w:rPr>
        <w:t xml:space="preserve"> shows that the number of benefit groups declined by 3.64% from the July 2021 PL to the July 2023 PL.</w:t>
      </w:r>
    </w:p>
    <w:p w14:paraId="0FC53C72" w14:textId="77777777" w:rsidR="002D01F2" w:rsidRDefault="002D01F2" w:rsidP="00AA55F7">
      <w:pPr>
        <w:rPr>
          <w:lang w:val="en-AU"/>
        </w:rPr>
      </w:pPr>
    </w:p>
    <w:p w14:paraId="2E011F1D" w14:textId="4EE5A5A7" w:rsidR="00243711" w:rsidRDefault="007F49C6" w:rsidP="007F49C6">
      <w:pPr>
        <w:pStyle w:val="Caption"/>
        <w:rPr>
          <w:lang w:val="en-US"/>
        </w:rPr>
      </w:pPr>
      <w:bookmarkStart w:id="146" w:name="_Ref169169515"/>
      <w:r>
        <w:lastRenderedPageBreak/>
        <w:t xml:space="preserve">Figure </w:t>
      </w:r>
      <w:r>
        <w:fldChar w:fldCharType="begin"/>
      </w:r>
      <w:r>
        <w:instrText xml:space="preserve"> SEQ Figure \* ARABIC </w:instrText>
      </w:r>
      <w:r>
        <w:fldChar w:fldCharType="separate"/>
      </w:r>
      <w:r w:rsidR="009B5D8D">
        <w:rPr>
          <w:noProof/>
        </w:rPr>
        <w:t>38</w:t>
      </w:r>
      <w:r>
        <w:fldChar w:fldCharType="end"/>
      </w:r>
      <w:bookmarkEnd w:id="146"/>
      <w:r>
        <w:t xml:space="preserve"> | </w:t>
      </w:r>
      <w:r w:rsidRPr="007F49C6">
        <w:rPr>
          <w:lang w:val="en-US"/>
        </w:rPr>
        <w:t>Average items per benefit group</w:t>
      </w:r>
      <w:r w:rsidR="001247E8">
        <w:rPr>
          <w:rStyle w:val="FootnoteReference"/>
          <w:lang w:val="en-US"/>
        </w:rPr>
        <w:footnoteReference w:id="147"/>
      </w:r>
      <w:r w:rsidR="00F321F3">
        <w:rPr>
          <w:lang w:val="en-US"/>
        </w:rPr>
        <w:t xml:space="preserve"> (Parts A, C and D)</w:t>
      </w:r>
    </w:p>
    <w:p w14:paraId="5B959EA9" w14:textId="3B306AAA" w:rsidR="007F49C6" w:rsidRDefault="00825B21" w:rsidP="007F49C6">
      <w:r w:rsidRPr="00825B21">
        <w:rPr>
          <w:noProof/>
        </w:rPr>
        <w:drawing>
          <wp:inline distT="0" distB="0" distL="0" distR="0" wp14:anchorId="4B78CEA1" wp14:editId="08A34D28">
            <wp:extent cx="5670550" cy="2818130"/>
            <wp:effectExtent l="0" t="0" r="6350" b="1270"/>
            <wp:docPr id="1417055187" name="Picture 1" descr="A graph showing the average number of items per PL benefit group from Parts A, C and D over time from 2017 to 2023. The decline from 2021 to 2023 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55187" name="Picture 1" descr="A graph showing the average number of items per PL benefit group from Parts A, C and D over time from 2017 to 2023. The decline from 2021 to 2023 is -1.26%."/>
                    <pic:cNvPicPr/>
                  </pic:nvPicPr>
                  <pic:blipFill>
                    <a:blip r:embed="rId75"/>
                    <a:stretch>
                      <a:fillRect/>
                    </a:stretch>
                  </pic:blipFill>
                  <pic:spPr>
                    <a:xfrm>
                      <a:off x="0" y="0"/>
                      <a:ext cx="5670550" cy="2818130"/>
                    </a:xfrm>
                    <a:prstGeom prst="rect">
                      <a:avLst/>
                    </a:prstGeom>
                  </pic:spPr>
                </pic:pic>
              </a:graphicData>
            </a:graphic>
          </wp:inline>
        </w:drawing>
      </w:r>
    </w:p>
    <w:p w14:paraId="38303995" w14:textId="470E7C09" w:rsidR="008E41FC" w:rsidRPr="00D63002" w:rsidRDefault="002D01F2" w:rsidP="007F49C6">
      <w:pPr>
        <w:rPr>
          <w:lang w:val="en-AU"/>
        </w:rPr>
      </w:pPr>
      <w:r>
        <w:rPr>
          <w:lang w:val="en-AU"/>
        </w:rPr>
        <w:fldChar w:fldCharType="begin"/>
      </w:r>
      <w:r>
        <w:rPr>
          <w:lang w:val="en-AU"/>
        </w:rPr>
        <w:instrText xml:space="preserve"> REF _Ref169169515 \h </w:instrText>
      </w:r>
      <w:r>
        <w:rPr>
          <w:lang w:val="en-AU"/>
        </w:rPr>
      </w:r>
      <w:r>
        <w:rPr>
          <w:lang w:val="en-AU"/>
        </w:rPr>
        <w:fldChar w:fldCharType="separate"/>
      </w:r>
      <w:r w:rsidR="009B5D8D">
        <w:t xml:space="preserve">Figure </w:t>
      </w:r>
      <w:r w:rsidR="009B5D8D">
        <w:rPr>
          <w:noProof/>
        </w:rPr>
        <w:t>38</w:t>
      </w:r>
      <w:r>
        <w:rPr>
          <w:lang w:val="en-AU"/>
        </w:rPr>
        <w:fldChar w:fldCharType="end"/>
      </w:r>
      <w:r>
        <w:rPr>
          <w:lang w:val="en-AU"/>
        </w:rPr>
        <w:t xml:space="preserve"> shows that the average items per benefit group also declined, from 6.49 in July 2021 to 6.41 in July 2023.</w:t>
      </w:r>
    </w:p>
    <w:p w14:paraId="2065D737" w14:textId="77777777" w:rsidR="004D7B76" w:rsidRPr="004D7B76" w:rsidRDefault="004D7B76" w:rsidP="004D7B76">
      <w:pPr>
        <w:rPr>
          <w:lang w:val="en-AU" w:eastAsia="en-AU"/>
        </w:rPr>
      </w:pPr>
    </w:p>
    <w:sectPr w:rsidR="004D7B76" w:rsidRPr="004D7B76" w:rsidSect="00E13E9B">
      <w:pgSz w:w="11907" w:h="16839" w:code="9"/>
      <w:pgMar w:top="1247" w:right="1418" w:bottom="170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77C5D7" w14:textId="77777777" w:rsidR="00690E04" w:rsidRDefault="00690E04" w:rsidP="00302076">
      <w:pPr>
        <w:spacing w:after="0"/>
      </w:pPr>
      <w:r>
        <w:separator/>
      </w:r>
    </w:p>
  </w:endnote>
  <w:endnote w:type="continuationSeparator" w:id="0">
    <w:p w14:paraId="5246B57A" w14:textId="77777777" w:rsidR="00690E04" w:rsidRDefault="00690E04" w:rsidP="00302076">
      <w:pPr>
        <w:spacing w:after="0"/>
      </w:pPr>
      <w:r>
        <w:continuationSeparator/>
      </w:r>
    </w:p>
  </w:endnote>
  <w:endnote w:type="continuationNotice" w:id="1">
    <w:p w14:paraId="6F3CAEEA" w14:textId="77777777" w:rsidR="00690E04" w:rsidRDefault="00690E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Semilight">
    <w:panose1 w:val="020B04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MS Gothic">
    <w:panose1 w:val="020B06090702050802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F06E7" w14:textId="477E0D64" w:rsidR="00632C4A" w:rsidRPr="00FD4AB1" w:rsidRDefault="00632C4A"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601095940"/>
        <w:dataBinding w:prefixMappings="xmlns:ns0='http://purl.org/dc/elements/1.1/' xmlns:ns1='http://schemas.openxmlformats.org/package/2006/metadata/core-properties' " w:xpath="/ns1:coreProperties[1]/ns0:title[1]" w:storeItemID="{6C3C8BC8-F283-45AE-878A-BAB7291924A1}"/>
        <w:text/>
      </w:sdtPr>
      <w:sdtEndPr/>
      <w:sdtContent>
        <w:r w:rsidR="00334048">
          <w:rPr>
            <w:color w:val="808080" w:themeColor="background1" w:themeShade="80"/>
            <w:szCs w:val="15"/>
            <w:lang w:eastAsia="en-AU"/>
          </w:rPr>
          <w:t>Interim Evaluation #1 of the Prescribed List Reforms</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155221759"/>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EndPr/>
      <w:sdtContent>
        <w:r w:rsidR="00D92BFE">
          <w:rPr>
            <w:color w:val="808080" w:themeColor="background1" w:themeShade="80"/>
            <w:szCs w:val="15"/>
            <w:lang w:val="en-AU" w:eastAsia="en-AU"/>
          </w:rPr>
          <w:t>2 November 2024</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3EA6E" w14:textId="5D7ED0FE" w:rsidR="00FD4AB1" w:rsidRPr="00FD4AB1" w:rsidRDefault="00294C7F" w:rsidP="00FD4AB1">
    <w:pPr>
      <w:pStyle w:val="Footer"/>
      <w:rPr>
        <w:rFonts w:ascii="Segoe UI Semibold" w:hAnsi="Segoe UI Semibold" w:cs="Segoe UI"/>
        <w:b/>
      </w:rPr>
    </w:pPr>
    <w:r>
      <w:rPr>
        <w:color w:val="808080" w:themeColor="background1" w:themeShade="80"/>
        <w:szCs w:val="15"/>
        <w:lang w:val="en-AU" w:eastAsia="en-AU"/>
      </w:rPr>
      <w:t xml:space="preserve">Nous Group | </w:t>
    </w:r>
    <w:sdt>
      <w:sdtPr>
        <w:rPr>
          <w:color w:val="808080" w:themeColor="background1" w:themeShade="80"/>
          <w:szCs w:val="15"/>
          <w:lang w:val="en-AU"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334048">
          <w:rPr>
            <w:color w:val="808080" w:themeColor="background1" w:themeShade="80"/>
            <w:szCs w:val="15"/>
            <w:lang w:val="en-AU" w:eastAsia="en-AU"/>
          </w:rPr>
          <w:t>Interim Evaluation #1 of the Prescribed List Reforms</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085840653"/>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EndPr/>
      <w:sdtContent>
        <w:r w:rsidR="00D92BFE">
          <w:rPr>
            <w:color w:val="808080" w:themeColor="background1" w:themeShade="80"/>
            <w:szCs w:val="15"/>
            <w:lang w:val="en-AU" w:eastAsia="en-AU"/>
          </w:rPr>
          <w:t>2 November 2024</w:t>
        </w:r>
      </w:sdtContent>
    </w:sdt>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039E5" w14:textId="2D8E14D7" w:rsidR="003B464C" w:rsidRPr="007401D3" w:rsidRDefault="00294C7F" w:rsidP="00FD4AB1">
    <w:pPr>
      <w:pStyle w:val="Footer"/>
      <w:rPr>
        <w:rFonts w:cs="Segoe UI"/>
        <w:b/>
      </w:rPr>
    </w:pPr>
    <w:r w:rsidRPr="007401D3">
      <w:rPr>
        <w:rFonts w:cs="Segoe UI"/>
        <w:color w:val="808080" w:themeColor="background1" w:themeShade="80"/>
        <w:szCs w:val="15"/>
        <w:lang w:val="en-AU" w:eastAsia="en-AU"/>
      </w:rPr>
      <w:t xml:space="preserve">Nous Group | </w:t>
    </w:r>
    <w:sdt>
      <w:sdtPr>
        <w:rPr>
          <w:rFonts w:cs="Segoe UI"/>
          <w:color w:val="808080" w:themeColor="background1" w:themeShade="80"/>
          <w:szCs w:val="15"/>
          <w:lang w:val="en-AU"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EndPr/>
      <w:sdtContent>
        <w:r w:rsidR="00334048">
          <w:rPr>
            <w:rFonts w:cs="Segoe UI"/>
            <w:color w:val="808080" w:themeColor="background1" w:themeShade="80"/>
            <w:szCs w:val="15"/>
            <w:lang w:val="en-AU" w:eastAsia="en-AU"/>
          </w:rPr>
          <w:t>Interim Evaluation #1 of the Prescribed List Reforms</w:t>
        </w:r>
      </w:sdtContent>
    </w:sdt>
    <w:r w:rsidRPr="007401D3">
      <w:rPr>
        <w:rFonts w:cs="Segoe UI"/>
        <w:color w:val="808080" w:themeColor="background1" w:themeShade="80"/>
        <w:szCs w:val="15"/>
        <w:lang w:val="en-AU" w:eastAsia="en-AU"/>
      </w:rPr>
      <w:t xml:space="preserve"> | </w:t>
    </w:r>
    <w:sdt>
      <w:sdtPr>
        <w:rPr>
          <w:rFonts w:cs="Segoe UI"/>
          <w:color w:val="808080" w:themeColor="background1" w:themeShade="80"/>
          <w:szCs w:val="15"/>
          <w:lang w:val="en-AU" w:eastAsia="en-AU"/>
        </w:rPr>
        <w:alias w:val="Publish Date"/>
        <w:id w:val="1825305696"/>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EndPr/>
      <w:sdtContent>
        <w:r w:rsidR="00D92BFE">
          <w:rPr>
            <w:rFonts w:cs="Segoe UI"/>
            <w:color w:val="808080" w:themeColor="background1" w:themeShade="80"/>
            <w:szCs w:val="15"/>
            <w:lang w:val="en-AU" w:eastAsia="en-AU"/>
          </w:rPr>
          <w:t>2 November 2024</w:t>
        </w:r>
      </w:sdtContent>
    </w:sdt>
    <w:r w:rsidR="003B464C" w:rsidRPr="007401D3">
      <w:rPr>
        <w:rFonts w:cs="Segoe UI"/>
        <w:color w:val="A5A5A5"/>
      </w:rPr>
      <w:ptab w:relativeTo="margin" w:alignment="right" w:leader="none"/>
    </w:r>
    <w:r w:rsidR="003B464C" w:rsidRPr="007401D3">
      <w:rPr>
        <w:rFonts w:cs="Segoe UI"/>
        <w:color w:val="A5A5A5"/>
      </w:rPr>
      <w:t>|</w:t>
    </w:r>
    <w:r w:rsidR="003B464C" w:rsidRPr="007401D3">
      <w:rPr>
        <w:rFonts w:cs="Segoe UI"/>
        <w:color w:val="808080" w:themeColor="background1" w:themeShade="80"/>
      </w:rPr>
      <w:t xml:space="preserve"> </w:t>
    </w:r>
    <w:r w:rsidR="003B464C" w:rsidRPr="007401D3">
      <w:rPr>
        <w:rFonts w:cs="Segoe UI"/>
        <w:color w:val="808080" w:themeColor="background1" w:themeShade="80"/>
        <w:sz w:val="16"/>
        <w:szCs w:val="16"/>
      </w:rPr>
      <w:fldChar w:fldCharType="begin"/>
    </w:r>
    <w:r w:rsidR="003B464C" w:rsidRPr="007401D3">
      <w:rPr>
        <w:rFonts w:cs="Segoe UI"/>
        <w:color w:val="808080" w:themeColor="background1" w:themeShade="80"/>
        <w:sz w:val="16"/>
        <w:szCs w:val="16"/>
      </w:rPr>
      <w:instrText xml:space="preserve"> PAGE  \* Arabic  \* MERGEFORMAT </w:instrText>
    </w:r>
    <w:r w:rsidR="003B464C" w:rsidRPr="007401D3">
      <w:rPr>
        <w:rFonts w:cs="Segoe UI"/>
        <w:color w:val="808080" w:themeColor="background1" w:themeShade="80"/>
        <w:sz w:val="16"/>
        <w:szCs w:val="16"/>
      </w:rPr>
      <w:fldChar w:fldCharType="separate"/>
    </w:r>
    <w:r w:rsidR="00836AA0" w:rsidRPr="007401D3">
      <w:rPr>
        <w:rFonts w:cs="Segoe UI"/>
        <w:noProof/>
        <w:color w:val="808080" w:themeColor="background1" w:themeShade="80"/>
        <w:sz w:val="16"/>
        <w:szCs w:val="16"/>
      </w:rPr>
      <w:t>1</w:t>
    </w:r>
    <w:r w:rsidR="003B464C" w:rsidRPr="007401D3">
      <w:rPr>
        <w:rFonts w:cs="Segoe UI"/>
        <w:color w:val="808080" w:themeColor="background1" w:themeShade="80"/>
        <w:sz w:val="16"/>
        <w:szCs w:val="16"/>
      </w:rPr>
      <w:fldChar w:fldCharType="end"/>
    </w:r>
    <w:r w:rsidR="003B464C" w:rsidRPr="007401D3">
      <w:rPr>
        <w:rFonts w:cs="Segoe UI"/>
        <w:b/>
        <w:color w:val="808080" w:themeColor="background1" w:themeShade="80"/>
      </w:rPr>
      <w:t xml:space="preserve"> </w:t>
    </w:r>
    <w:r w:rsidR="003B464C" w:rsidRPr="007401D3">
      <w:rPr>
        <w:rFonts w:cs="Segoe UI"/>
        <w:color w:val="A5A5A5"/>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70752" w14:textId="7B1AAF91" w:rsidR="00F60A86" w:rsidRPr="007401D3" w:rsidRDefault="00F60A86" w:rsidP="00FD4AB1">
    <w:pPr>
      <w:pStyle w:val="Footer"/>
      <w:rPr>
        <w:rFonts w:cs="Segoe UI"/>
        <w:b/>
      </w:rPr>
    </w:pPr>
    <w:r w:rsidRPr="007401D3">
      <w:rPr>
        <w:rFonts w:cs="Segoe UI"/>
        <w:color w:val="808080" w:themeColor="background1" w:themeShade="80"/>
        <w:szCs w:val="15"/>
        <w:lang w:val="en-AU" w:eastAsia="en-AU"/>
      </w:rPr>
      <w:t xml:space="preserve">Nous Group | </w:t>
    </w:r>
    <w:sdt>
      <w:sdtPr>
        <w:rPr>
          <w:rFonts w:cs="Segoe UI"/>
          <w:color w:val="808080" w:themeColor="background1" w:themeShade="80"/>
          <w:szCs w:val="15"/>
          <w:lang w:val="en-AU" w:eastAsia="en-AU"/>
        </w:rPr>
        <w:alias w:val="Title"/>
        <w:id w:val="1444964328"/>
        <w:dataBinding w:prefixMappings="xmlns:ns0='http://purl.org/dc/elements/1.1/' xmlns:ns1='http://schemas.openxmlformats.org/package/2006/metadata/core-properties' " w:xpath="/ns1:coreProperties[1]/ns0:title[1]" w:storeItemID="{6C3C8BC8-F283-45AE-878A-BAB7291924A1}"/>
        <w:text/>
      </w:sdtPr>
      <w:sdtEndPr/>
      <w:sdtContent>
        <w:r w:rsidR="00334048">
          <w:rPr>
            <w:rFonts w:cs="Segoe UI"/>
            <w:color w:val="808080" w:themeColor="background1" w:themeShade="80"/>
            <w:szCs w:val="15"/>
            <w:lang w:val="en-AU" w:eastAsia="en-AU"/>
          </w:rPr>
          <w:t>Interim Evaluation #1 of the Prescribed List Reforms</w:t>
        </w:r>
      </w:sdtContent>
    </w:sdt>
    <w:r w:rsidRPr="007401D3">
      <w:rPr>
        <w:rFonts w:cs="Segoe UI"/>
        <w:color w:val="808080" w:themeColor="background1" w:themeShade="80"/>
        <w:szCs w:val="15"/>
        <w:lang w:val="en-AU" w:eastAsia="en-AU"/>
      </w:rPr>
      <w:t xml:space="preserve"> | </w:t>
    </w:r>
    <w:sdt>
      <w:sdtPr>
        <w:rPr>
          <w:rFonts w:cs="Segoe UI"/>
          <w:color w:val="808080" w:themeColor="background1" w:themeShade="80"/>
          <w:szCs w:val="15"/>
          <w:lang w:val="en-AU" w:eastAsia="en-AU"/>
        </w:rPr>
        <w:alias w:val="Publish Date"/>
        <w:id w:val="-2142331608"/>
        <w:dataBinding w:prefixMappings="xmlns:ns0='http://schemas.microsoft.com/office/2006/coverPageProps' " w:xpath="/ns0:CoverPageProperties[1]/ns0:PublishDate[1]" w:storeItemID="{55AF091B-3C7A-41E3-B477-F2FDAA23CFDA}"/>
        <w:date w:fullDate="2024-11-02T00:00:00Z">
          <w:dateFormat w:val="d MMMM yyyy"/>
          <w:lid w:val="en-AU"/>
          <w:storeMappedDataAs w:val="dateTime"/>
          <w:calendar w:val="gregorian"/>
        </w:date>
      </w:sdtPr>
      <w:sdtEndPr/>
      <w:sdtContent>
        <w:r w:rsidR="00D92BFE">
          <w:rPr>
            <w:rFonts w:cs="Segoe UI"/>
            <w:color w:val="808080" w:themeColor="background1" w:themeShade="80"/>
            <w:szCs w:val="15"/>
            <w:lang w:val="en-AU" w:eastAsia="en-AU"/>
          </w:rPr>
          <w:t>2 November 2024</w:t>
        </w:r>
      </w:sdtContent>
    </w:sdt>
    <w:r w:rsidRPr="007401D3">
      <w:rPr>
        <w:rFonts w:cs="Segoe UI"/>
        <w:color w:val="A5A5A5"/>
      </w:rPr>
      <w:ptab w:relativeTo="margin" w:alignment="right" w:leader="none"/>
    </w:r>
    <w:r w:rsidRPr="007401D3">
      <w:rPr>
        <w:rFonts w:cs="Segoe UI"/>
        <w:color w:val="A5A5A5"/>
      </w:rPr>
      <w:t>|</w:t>
    </w:r>
    <w:r w:rsidRPr="007401D3">
      <w:rPr>
        <w:rFonts w:cs="Segoe UI"/>
        <w:color w:val="808080" w:themeColor="background1" w:themeShade="80"/>
      </w:rPr>
      <w:t xml:space="preserve"> </w:t>
    </w:r>
    <w:r w:rsidRPr="007401D3">
      <w:rPr>
        <w:rFonts w:cs="Segoe UI"/>
        <w:color w:val="808080" w:themeColor="background1" w:themeShade="80"/>
        <w:sz w:val="16"/>
        <w:szCs w:val="16"/>
      </w:rPr>
      <w:fldChar w:fldCharType="begin"/>
    </w:r>
    <w:r w:rsidRPr="007401D3">
      <w:rPr>
        <w:rFonts w:cs="Segoe UI"/>
        <w:color w:val="808080" w:themeColor="background1" w:themeShade="80"/>
        <w:sz w:val="16"/>
        <w:szCs w:val="16"/>
      </w:rPr>
      <w:instrText xml:space="preserve"> PAGE  \* Arabic  \* MERGEFORMAT </w:instrText>
    </w:r>
    <w:r w:rsidRPr="007401D3">
      <w:rPr>
        <w:rFonts w:cs="Segoe UI"/>
        <w:color w:val="808080" w:themeColor="background1" w:themeShade="80"/>
        <w:sz w:val="16"/>
        <w:szCs w:val="16"/>
      </w:rPr>
      <w:fldChar w:fldCharType="separate"/>
    </w:r>
    <w:r w:rsidRPr="007401D3">
      <w:rPr>
        <w:rFonts w:cs="Segoe UI"/>
        <w:noProof/>
        <w:color w:val="808080" w:themeColor="background1" w:themeShade="80"/>
        <w:sz w:val="16"/>
        <w:szCs w:val="16"/>
      </w:rPr>
      <w:t>1</w:t>
    </w:r>
    <w:r w:rsidRPr="007401D3">
      <w:rPr>
        <w:rFonts w:cs="Segoe UI"/>
        <w:color w:val="808080" w:themeColor="background1" w:themeShade="80"/>
        <w:sz w:val="16"/>
        <w:szCs w:val="16"/>
      </w:rPr>
      <w:fldChar w:fldCharType="end"/>
    </w:r>
    <w:r w:rsidRPr="007401D3">
      <w:rPr>
        <w:rFonts w:cs="Segoe UI"/>
        <w:b/>
        <w:color w:val="808080" w:themeColor="background1" w:themeShade="80"/>
      </w:rPr>
      <w:t xml:space="preserve"> </w:t>
    </w:r>
    <w:r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A3869" w14:textId="77777777" w:rsidR="00690E04" w:rsidRDefault="00690E04" w:rsidP="00302076">
      <w:pPr>
        <w:spacing w:after="0"/>
      </w:pPr>
      <w:r>
        <w:separator/>
      </w:r>
    </w:p>
  </w:footnote>
  <w:footnote w:type="continuationSeparator" w:id="0">
    <w:p w14:paraId="795FD06A" w14:textId="77777777" w:rsidR="00690E04" w:rsidRDefault="00690E04" w:rsidP="00302076">
      <w:pPr>
        <w:spacing w:after="0"/>
      </w:pPr>
      <w:r>
        <w:continuationSeparator/>
      </w:r>
    </w:p>
  </w:footnote>
  <w:footnote w:type="continuationNotice" w:id="1">
    <w:p w14:paraId="75EB6E12" w14:textId="77777777" w:rsidR="00690E04" w:rsidRDefault="00690E04">
      <w:pPr>
        <w:spacing w:after="0"/>
      </w:pPr>
    </w:p>
  </w:footnote>
  <w:footnote w:id="2">
    <w:p w14:paraId="6A0F6885" w14:textId="77777777" w:rsidR="004941C2" w:rsidRDefault="004941C2" w:rsidP="004941C2">
      <w:pPr>
        <w:pStyle w:val="FootnoteText"/>
      </w:pPr>
      <w:r>
        <w:rPr>
          <w:rStyle w:val="FootnoteReference"/>
        </w:rPr>
        <w:footnoteRef/>
      </w:r>
      <w:r>
        <w:t xml:space="preserve"> Independent Health and Aged Care Pricing Authority, Updated estimates of projected benefits and savings associated with Prescribed List reforms, 13 December 2023. Estimated projected savings from July 2022 to June 2024. Lower value assumes 0% utilisation growth from FY23 to FY24 and upper value assumes 5% utilisation growth from FY23 to FY24. See Appendix </w:t>
      </w:r>
      <w:r>
        <w:fldChar w:fldCharType="begin"/>
      </w:r>
      <w:r>
        <w:instrText xml:space="preserve"> REF _Ref178283980 \r \h </w:instrText>
      </w:r>
      <w:r>
        <w:fldChar w:fldCharType="separate"/>
      </w:r>
      <w:r>
        <w:t>B.3</w:t>
      </w:r>
      <w:r>
        <w:fldChar w:fldCharType="end"/>
      </w:r>
      <w:r>
        <w:t xml:space="preserve"> for further detail.</w:t>
      </w:r>
    </w:p>
  </w:footnote>
  <w:footnote w:id="3">
    <w:p w14:paraId="1F1B6CD5" w14:textId="77777777" w:rsidR="00C32A63" w:rsidRDefault="00C32A63" w:rsidP="00C32A63">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4">
    <w:p w14:paraId="770C038F" w14:textId="1E0F2425" w:rsidR="007569D5" w:rsidRDefault="007569D5">
      <w:pPr>
        <w:pStyle w:val="FootnoteText"/>
      </w:pPr>
      <w:r>
        <w:rPr>
          <w:rStyle w:val="FootnoteReference"/>
        </w:rPr>
        <w:footnoteRef/>
      </w:r>
      <w:r>
        <w:t xml:space="preserve"> Ibid.</w:t>
      </w:r>
    </w:p>
  </w:footnote>
  <w:footnote w:id="5">
    <w:p w14:paraId="3E4371A9" w14:textId="5B2A1B18" w:rsidR="00C17FDF" w:rsidRDefault="00C17FDF">
      <w:pPr>
        <w:pStyle w:val="FootnoteText"/>
      </w:pPr>
      <w:r>
        <w:rPr>
          <w:rStyle w:val="FootnoteReference"/>
        </w:rPr>
        <w:footnoteRef/>
      </w:r>
      <w:r>
        <w:t xml:space="preserve"> </w:t>
      </w:r>
      <w:r w:rsidR="00AA55B3">
        <w:t xml:space="preserve">The evaluation takes </w:t>
      </w:r>
      <w:r w:rsidR="002C4798">
        <w:t>10 May 2024 as its baseline date in order to establish the state of all measures and understanding of the PL itself prior to any possible behaviour changes from stakeholder</w:t>
      </w:r>
      <w:r w:rsidR="00A130BF">
        <w:t>s</w:t>
      </w:r>
      <w:r w:rsidR="002C4798">
        <w:t xml:space="preserve"> anticipat</w:t>
      </w:r>
      <w:r w:rsidR="00A130BF">
        <w:t>ing</w:t>
      </w:r>
      <w:r w:rsidR="002C4798">
        <w:t xml:space="preserve"> the reforms. </w:t>
      </w:r>
      <w:r w:rsidR="00477786">
        <w:t xml:space="preserve">Note that the </w:t>
      </w:r>
      <w:r w:rsidR="00A130BF">
        <w:t>Department commenced its reform program</w:t>
      </w:r>
      <w:r w:rsidR="00F242A9">
        <w:t xml:space="preserve"> on 1 July 2021.</w:t>
      </w:r>
    </w:p>
  </w:footnote>
  <w:footnote w:id="6">
    <w:p w14:paraId="04E144FF" w14:textId="0F04E713" w:rsidR="00162D5A" w:rsidRDefault="00162D5A">
      <w:pPr>
        <w:pStyle w:val="FootnoteText"/>
      </w:pPr>
      <w:r>
        <w:rPr>
          <w:rStyle w:val="FootnoteReference"/>
        </w:rPr>
        <w:footnoteRef/>
      </w:r>
      <w:r>
        <w:t xml:space="preserve"> </w:t>
      </w:r>
      <w:r w:rsidR="00805E2B">
        <w:t xml:space="preserve">The benefit reductions </w:t>
      </w:r>
      <w:r w:rsidR="003F48D2">
        <w:t>that occurred on 1 July 2024 are not covered in this interim evaluation report and will be covered in the next evaluation report.</w:t>
      </w:r>
    </w:p>
  </w:footnote>
  <w:footnote w:id="7">
    <w:p w14:paraId="3793A950" w14:textId="77777777" w:rsidR="00677E4E" w:rsidRPr="00F04FF5" w:rsidRDefault="00677E4E" w:rsidP="00F04FF5">
      <w:pPr>
        <w:pStyle w:val="FootnoteText"/>
      </w:pPr>
      <w:r w:rsidRPr="00EE2C52">
        <w:rPr>
          <w:rStyle w:val="FootnoteReference"/>
        </w:rPr>
        <w:footnoteRef/>
      </w:r>
      <w:r w:rsidRPr="00F04FF5">
        <w:t xml:space="preserve"> </w:t>
      </w:r>
      <w:r w:rsidRPr="00F04FF5">
        <w:rPr>
          <w:lang w:eastAsia="en-AU"/>
        </w:rPr>
        <w:t>Response to stakeholder information request for this evaluation, 2024.</w:t>
      </w:r>
    </w:p>
  </w:footnote>
  <w:footnote w:id="8">
    <w:p w14:paraId="086F7867" w14:textId="55E8B6DC" w:rsidR="00A1496C" w:rsidRDefault="00A1496C" w:rsidP="00F04FF5">
      <w:pPr>
        <w:pStyle w:val="FootnoteText"/>
      </w:pPr>
      <w:r>
        <w:rPr>
          <w:rStyle w:val="FootnoteReference"/>
        </w:rPr>
        <w:footnoteRef/>
      </w:r>
      <w:r>
        <w:t xml:space="preserve"> Based on data provided by the </w:t>
      </w:r>
      <w:r w:rsidR="00C0725E">
        <w:t>Department</w:t>
      </w:r>
      <w:r>
        <w:t xml:space="preserve"> on 9/05/2024 that excluded Part C and CIED items. Nous supplemented this data with the amount of Part C and CIED items with November 2023 benefits lower than their March 2022 benefits to calculate this total.</w:t>
      </w:r>
    </w:p>
  </w:footnote>
  <w:footnote w:id="9">
    <w:p w14:paraId="0763F261" w14:textId="77777777" w:rsidR="00945AE7" w:rsidRDefault="00945AE7" w:rsidP="00F04FF5">
      <w:pPr>
        <w:pStyle w:val="FootnoteText"/>
      </w:pPr>
      <w:r>
        <w:rPr>
          <w:rStyle w:val="FootnoteReference"/>
        </w:rPr>
        <w:footnoteRef/>
      </w:r>
      <w:r>
        <w:t xml:space="preserve"> </w:t>
      </w:r>
      <w:r w:rsidRPr="00A8580A">
        <w:t xml:space="preserve">While Nous is unable to verify whether every item with a benefit above 7% of its public benchmark was reduced (or above 0% for GUIs), </w:t>
      </w:r>
      <w:r>
        <w:t>the 50.8%</w:t>
      </w:r>
      <w:r w:rsidRPr="00A8580A">
        <w:t xml:space="preserve"> figure aligns with </w:t>
      </w:r>
      <w:r>
        <w:t>other</w:t>
      </w:r>
      <w:r w:rsidRPr="00A8580A">
        <w:t xml:space="preserve"> aggregate data provided to us by the </w:t>
      </w:r>
      <w:r>
        <w:t>Department of the prevalence of gaps between PL benefits and public benchmarks.</w:t>
      </w:r>
    </w:p>
  </w:footnote>
  <w:footnote w:id="10">
    <w:p w14:paraId="0BBCC470" w14:textId="791B2BA3" w:rsidR="003740C3" w:rsidRDefault="003740C3" w:rsidP="00F04FF5">
      <w:pPr>
        <w:pStyle w:val="FootnoteText"/>
      </w:pPr>
      <w:r>
        <w:rPr>
          <w:rStyle w:val="FootnoteReference"/>
        </w:rPr>
        <w:footnoteRef/>
      </w:r>
      <w:r>
        <w:t xml:space="preserve"> Data s</w:t>
      </w:r>
      <w:r w:rsidRPr="00CF1A14">
        <w:t xml:space="preserve">upplied by the </w:t>
      </w:r>
      <w:r w:rsidR="00C0725E">
        <w:t>Department</w:t>
      </w:r>
      <w:r w:rsidRPr="00CF1A14">
        <w:t>, 9/05/2024.</w:t>
      </w:r>
    </w:p>
  </w:footnote>
  <w:footnote w:id="11">
    <w:p w14:paraId="38D4204B" w14:textId="3F0001BE" w:rsidR="00036B6E" w:rsidRDefault="00036B6E" w:rsidP="00F04FF5">
      <w:pPr>
        <w:pStyle w:val="FootnoteText"/>
      </w:pPr>
      <w:r>
        <w:rPr>
          <w:rStyle w:val="FootnoteReference"/>
        </w:rPr>
        <w:footnoteRef/>
      </w:r>
      <w:r>
        <w:t xml:space="preserve"> Interview with the </w:t>
      </w:r>
      <w:r w:rsidR="00C0725E">
        <w:t>Department</w:t>
      </w:r>
      <w:r>
        <w:t>, May 2024.</w:t>
      </w:r>
    </w:p>
  </w:footnote>
  <w:footnote w:id="12">
    <w:p w14:paraId="5F2F1154" w14:textId="4075595F" w:rsidR="008E7C47" w:rsidRDefault="008E7C47" w:rsidP="008E7C47">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r w:rsidR="00E77993">
        <w:t xml:space="preserve"> Lower value assumes 0% utilisation growth from FY23 to FY24 and </w:t>
      </w:r>
      <w:r w:rsidR="00162A69">
        <w:t xml:space="preserve">upper value assumes 5% utilisation growth from FY23 to FY24. </w:t>
      </w:r>
      <w:r w:rsidR="008E47C3">
        <w:t>See</w:t>
      </w:r>
      <w:r w:rsidR="00F1285C">
        <w:t xml:space="preserve"> Appendix</w:t>
      </w:r>
      <w:r w:rsidR="008E47C3">
        <w:t xml:space="preserve"> </w:t>
      </w:r>
      <w:r w:rsidR="00F1285C">
        <w:fldChar w:fldCharType="begin"/>
      </w:r>
      <w:r w:rsidR="00F1285C">
        <w:instrText xml:space="preserve"> REF _Ref178283980 \r \h </w:instrText>
      </w:r>
      <w:r w:rsidR="00F1285C">
        <w:fldChar w:fldCharType="separate"/>
      </w:r>
      <w:r w:rsidR="00F1285C">
        <w:t>B.3</w:t>
      </w:r>
      <w:r w:rsidR="00F1285C">
        <w:fldChar w:fldCharType="end"/>
      </w:r>
      <w:r w:rsidR="00F1285C">
        <w:t xml:space="preserve"> for further detail</w:t>
      </w:r>
      <w:r w:rsidR="00C77510">
        <w:t>.</w:t>
      </w:r>
    </w:p>
  </w:footnote>
  <w:footnote w:id="13">
    <w:p w14:paraId="16FE8AA2" w14:textId="6B5069D3" w:rsidR="00A55FFE" w:rsidRDefault="00A55FFE" w:rsidP="00A55FFE">
      <w:pPr>
        <w:pStyle w:val="FootnoteText"/>
      </w:pPr>
      <w:r>
        <w:rPr>
          <w:rStyle w:val="FootnoteReference"/>
        </w:rPr>
        <w:footnoteRef/>
      </w:r>
      <w:r>
        <w:t xml:space="preserve"> </w:t>
      </w:r>
      <w:r w:rsidR="00FE310E">
        <w:t>Ibid.</w:t>
      </w:r>
    </w:p>
  </w:footnote>
  <w:footnote w:id="14">
    <w:p w14:paraId="24EC3A60" w14:textId="77777777" w:rsidR="00F940B0" w:rsidRDefault="00F940B0" w:rsidP="00F940B0">
      <w:pPr>
        <w:pStyle w:val="FootnoteText"/>
      </w:pPr>
      <w:r>
        <w:rPr>
          <w:rStyle w:val="FootnoteReference"/>
        </w:rPr>
        <w:footnoteRef/>
      </w:r>
      <w:r>
        <w:t xml:space="preserve"> Independent Health and Aged Care Pricing Authority, Estimates of projected benefits and savings associated with Prostheses List reforms, 12 October 2022.</w:t>
      </w:r>
    </w:p>
  </w:footnote>
  <w:footnote w:id="15">
    <w:p w14:paraId="4FCD9386" w14:textId="77777777" w:rsidR="007019A8" w:rsidRDefault="007019A8" w:rsidP="007019A8">
      <w:pPr>
        <w:pStyle w:val="FootnoteText"/>
      </w:pPr>
      <w:r>
        <w:rPr>
          <w:rStyle w:val="FootnoteReference"/>
        </w:rPr>
        <w:footnoteRef/>
      </w:r>
      <w:r>
        <w:t xml:space="preserve"> </w:t>
      </w:r>
      <w:r w:rsidRPr="0011369A">
        <w:t>The Honourable Greg Hunt MP &amp; the Medical Technology Association of Australia Limited, Memorandum of Understanding for the policy parameters of the Prostheses List Reforms, 2022.</w:t>
      </w:r>
    </w:p>
  </w:footnote>
  <w:footnote w:id="16">
    <w:p w14:paraId="702D61CF" w14:textId="3D0E51F3" w:rsidR="005119E4" w:rsidRDefault="005119E4" w:rsidP="005119E4">
      <w:pPr>
        <w:pStyle w:val="FootnoteText"/>
      </w:pPr>
      <w:r>
        <w:rPr>
          <w:rStyle w:val="FootnoteReference"/>
        </w:rPr>
        <w:footnoteRef/>
      </w:r>
      <w:r>
        <w:t xml:space="preserve"> </w:t>
      </w:r>
      <w:r w:rsidRPr="0052390C">
        <w:rPr>
          <w:lang w:val="en-US"/>
        </w:rPr>
        <w:t>Independent Health and Aged Care Pricing Authority, Updated estimates of projected benefits and savings associated with Prescribed List reforms, 13 December 2023.</w:t>
      </w:r>
      <w:r w:rsidR="00275D19">
        <w:rPr>
          <w:lang w:val="en-US"/>
        </w:rPr>
        <w:t xml:space="preserve"> </w:t>
      </w:r>
      <w:r w:rsidR="00275D19">
        <w:t xml:space="preserve">See Appendix </w:t>
      </w:r>
      <w:r w:rsidR="00275D19">
        <w:fldChar w:fldCharType="begin"/>
      </w:r>
      <w:r w:rsidR="00275D19">
        <w:instrText xml:space="preserve"> REF _Ref178283980 \r \h </w:instrText>
      </w:r>
      <w:r w:rsidR="00275D19">
        <w:fldChar w:fldCharType="separate"/>
      </w:r>
      <w:r w:rsidR="00275D19">
        <w:t>B.3</w:t>
      </w:r>
      <w:r w:rsidR="00275D19">
        <w:fldChar w:fldCharType="end"/>
      </w:r>
      <w:r w:rsidR="00275D19">
        <w:t xml:space="preserve"> for further detail.</w:t>
      </w:r>
    </w:p>
  </w:footnote>
  <w:footnote w:id="17">
    <w:p w14:paraId="6907641B" w14:textId="77777777" w:rsidR="005B5478" w:rsidRDefault="005B5478" w:rsidP="00F04FF5">
      <w:pPr>
        <w:pStyle w:val="FootnoteText"/>
      </w:pPr>
      <w:r>
        <w:rPr>
          <w:rStyle w:val="FootnoteReference"/>
        </w:rPr>
        <w:footnoteRef/>
      </w:r>
      <w:r>
        <w:t xml:space="preserve"> Analysis of data supplied by the Department, 9/05/2024.</w:t>
      </w:r>
    </w:p>
  </w:footnote>
  <w:footnote w:id="18">
    <w:p w14:paraId="75453556" w14:textId="2F5FE3A1" w:rsidR="005B5478" w:rsidRDefault="005B5478" w:rsidP="00F04FF5">
      <w:pPr>
        <w:pStyle w:val="FootnoteText"/>
      </w:pPr>
      <w:r>
        <w:rPr>
          <w:rStyle w:val="FootnoteReference"/>
        </w:rPr>
        <w:footnoteRef/>
      </w:r>
      <w:r>
        <w:t xml:space="preserve"> Data supplied by the Department</w:t>
      </w:r>
      <w:r w:rsidR="0004746E">
        <w:t xml:space="preserve">, 9/05/2024 and </w:t>
      </w:r>
      <w:r w:rsidR="00AD1D68">
        <w:t>17/06/2024.</w:t>
      </w:r>
    </w:p>
  </w:footnote>
  <w:footnote w:id="19">
    <w:p w14:paraId="4EAEE8AC" w14:textId="50AFF3E0" w:rsidR="005E28B1" w:rsidRPr="00B412B0" w:rsidRDefault="005E28B1" w:rsidP="00F04FF5">
      <w:pPr>
        <w:pStyle w:val="FootnoteText"/>
        <w:rPr>
          <w:rFonts w:cstheme="minorHAnsi"/>
          <w:szCs w:val="14"/>
        </w:rPr>
      </w:pPr>
      <w:r>
        <w:rPr>
          <w:rStyle w:val="FootnoteReference"/>
        </w:rPr>
        <w:footnoteRef/>
      </w:r>
      <w:r>
        <w:rPr>
          <w:rFonts w:cstheme="minorHAnsi"/>
          <w:szCs w:val="14"/>
        </w:rPr>
        <w:t xml:space="preserve"> </w:t>
      </w:r>
      <w:r>
        <w:t>Data s</w:t>
      </w:r>
      <w:r w:rsidRPr="00CF1A14">
        <w:t xml:space="preserve">upplied by the </w:t>
      </w:r>
      <w:r w:rsidR="00C0725E">
        <w:t>Department</w:t>
      </w:r>
      <w:r w:rsidRPr="00CF1A14">
        <w:t>, 9/05/2024.</w:t>
      </w:r>
      <w:r>
        <w:t xml:space="preserve"> Comparison made to baseline figures.</w:t>
      </w:r>
    </w:p>
  </w:footnote>
  <w:footnote w:id="20">
    <w:p w14:paraId="467168F5" w14:textId="0F13ECD2" w:rsidR="007A25DF" w:rsidRDefault="007A25DF">
      <w:pPr>
        <w:pStyle w:val="FootnoteText"/>
      </w:pPr>
      <w:r>
        <w:rPr>
          <w:rStyle w:val="FootnoteReference"/>
        </w:rPr>
        <w:footnoteRef/>
      </w:r>
      <w:r>
        <w:t xml:space="preserve"> </w:t>
      </w:r>
      <w:r w:rsidRPr="00B84FB2">
        <w:t xml:space="preserve">Analysis of the gap between Weighted Average Prices and November 2023 PL, supplied by the </w:t>
      </w:r>
      <w:r>
        <w:t>Department</w:t>
      </w:r>
      <w:r w:rsidRPr="00B84FB2">
        <w:t xml:space="preserve"> on 9/05/2024.</w:t>
      </w:r>
    </w:p>
  </w:footnote>
  <w:footnote w:id="21">
    <w:p w14:paraId="272100C0" w14:textId="60C15A34" w:rsidR="005E28B1" w:rsidRDefault="005E28B1" w:rsidP="00F04FF5">
      <w:pPr>
        <w:pStyle w:val="FootnoteText"/>
      </w:pPr>
      <w:r>
        <w:rPr>
          <w:rStyle w:val="FootnoteReference"/>
        </w:rPr>
        <w:footnoteRef/>
      </w:r>
      <w:r>
        <w:t xml:space="preserve"> </w:t>
      </w:r>
      <w:r w:rsidR="00C341C3">
        <w:t>Ibid.</w:t>
      </w:r>
    </w:p>
  </w:footnote>
  <w:footnote w:id="22">
    <w:p w14:paraId="41942BFE" w14:textId="77777777" w:rsidR="007462A9" w:rsidRDefault="007462A9" w:rsidP="007462A9">
      <w:pPr>
        <w:pStyle w:val="FootnoteText"/>
      </w:pPr>
      <w:r>
        <w:rPr>
          <w:rStyle w:val="FootnoteReference"/>
        </w:rPr>
        <w:footnoteRef/>
      </w:r>
      <w:r>
        <w:t xml:space="preserve"> </w:t>
      </w:r>
      <w:r w:rsidRPr="0011369A">
        <w:t>The Honourable Greg Hunt MP &amp; the Medical Technology Association of Australia Limited, Memorandum of Understanding for the policy parameters of the Prostheses List Reforms, 2022.</w:t>
      </w:r>
    </w:p>
  </w:footnote>
  <w:footnote w:id="23">
    <w:p w14:paraId="111CF812" w14:textId="5999B5A9" w:rsidR="00287AAF" w:rsidRDefault="00287AAF" w:rsidP="00F04FF5">
      <w:pPr>
        <w:pStyle w:val="FootnoteText"/>
      </w:pPr>
      <w:r>
        <w:rPr>
          <w:rStyle w:val="FootnoteReference"/>
        </w:rPr>
        <w:footnoteRef/>
      </w:r>
      <w:r w:rsidR="00584B53">
        <w:t xml:space="preserve"> </w:t>
      </w:r>
      <w:r>
        <w:t>Australian Competition &amp; Consumer Commission, Report to the Australian Senate: On anti-competitive and other practices by health insurers and provider in relation to private health insurance, 2022.</w:t>
      </w:r>
    </w:p>
  </w:footnote>
  <w:footnote w:id="24">
    <w:p w14:paraId="775BDC6A" w14:textId="77777777" w:rsidR="00AB4F28" w:rsidRDefault="00AB4F28" w:rsidP="00F04FF5">
      <w:pPr>
        <w:pStyle w:val="FootnoteText"/>
      </w:pPr>
      <w:r>
        <w:rPr>
          <w:rStyle w:val="FootnoteReference"/>
        </w:rPr>
        <w:footnoteRef/>
      </w:r>
      <w:r>
        <w:t xml:space="preserve"> IHACPA, Methodology for Determining the Benchmark Price for Prostheses in Australian Public Hospitals, 2021</w:t>
      </w:r>
    </w:p>
  </w:footnote>
  <w:footnote w:id="25">
    <w:p w14:paraId="1A23D4DB" w14:textId="77777777" w:rsidR="00AB4F28" w:rsidRDefault="00AB4F28" w:rsidP="00F04FF5">
      <w:pPr>
        <w:pStyle w:val="FootnoteText"/>
      </w:pPr>
      <w:r>
        <w:rPr>
          <w:rStyle w:val="FootnoteReference"/>
        </w:rPr>
        <w:footnoteRef/>
      </w:r>
      <w:r>
        <w:t xml:space="preserve"> IHACPA, Benchmark Price for Prostheses in Australian Public Hospitals 2020-21, 2022</w:t>
      </w:r>
    </w:p>
  </w:footnote>
  <w:footnote w:id="26">
    <w:p w14:paraId="6BA9A342" w14:textId="77777777" w:rsidR="00AB4F28" w:rsidRDefault="00AB4F28" w:rsidP="00F04FF5">
      <w:pPr>
        <w:pStyle w:val="FootnoteText"/>
      </w:pPr>
      <w:r>
        <w:rPr>
          <w:rStyle w:val="FootnoteReference"/>
        </w:rPr>
        <w:footnoteRef/>
      </w:r>
      <w:r>
        <w:t xml:space="preserve"> IHACPA, Methodology for Determining the Benchmark Price for Prostheses in Australian Public Hospitals, 2021</w:t>
      </w:r>
    </w:p>
  </w:footnote>
  <w:footnote w:id="27">
    <w:p w14:paraId="41289775" w14:textId="48DA5913" w:rsidR="00F514A2" w:rsidRDefault="00F514A2">
      <w:pPr>
        <w:pStyle w:val="FootnoteText"/>
      </w:pPr>
      <w:r>
        <w:rPr>
          <w:rStyle w:val="FootnoteReference"/>
        </w:rPr>
        <w:footnoteRef/>
      </w:r>
      <w:r>
        <w:t xml:space="preserve"> </w:t>
      </w:r>
      <w:r w:rsidR="00CD50FD">
        <w:t xml:space="preserve">IHACPA </w:t>
      </w:r>
      <w:r w:rsidR="00AE5DE6">
        <w:t>additional</w:t>
      </w:r>
      <w:r w:rsidR="00BB1034">
        <w:t xml:space="preserve">ly verified </w:t>
      </w:r>
      <w:r w:rsidR="00356AC2">
        <w:t>industry</w:t>
      </w:r>
      <w:r w:rsidR="001F2AE9">
        <w:t>-</w:t>
      </w:r>
      <w:r w:rsidR="00356AC2">
        <w:t xml:space="preserve">supplied data </w:t>
      </w:r>
      <w:r w:rsidR="00C651BB">
        <w:t xml:space="preserve">with a sample of </w:t>
      </w:r>
      <w:r w:rsidR="00E45CC0">
        <w:t>public hospital data provided by health jurisdictions.</w:t>
      </w:r>
    </w:p>
  </w:footnote>
  <w:footnote w:id="28">
    <w:p w14:paraId="37188FAC" w14:textId="77777777" w:rsidR="00AB4F28" w:rsidRDefault="00AB4F28" w:rsidP="00F04FF5">
      <w:pPr>
        <w:pStyle w:val="FootnoteText"/>
      </w:pPr>
      <w:r>
        <w:rPr>
          <w:rStyle w:val="FootnoteReference"/>
        </w:rPr>
        <w:footnoteRef/>
      </w:r>
      <w:r>
        <w:t xml:space="preserve"> Interview with IHACPA, 2024.</w:t>
      </w:r>
    </w:p>
  </w:footnote>
  <w:footnote w:id="29">
    <w:p w14:paraId="444C97BF" w14:textId="77777777" w:rsidR="00AB4F28" w:rsidRDefault="00AB4F28" w:rsidP="00F04FF5">
      <w:pPr>
        <w:pStyle w:val="FootnoteText"/>
      </w:pPr>
      <w:r>
        <w:rPr>
          <w:rStyle w:val="FootnoteReference"/>
        </w:rPr>
        <w:footnoteRef/>
      </w:r>
      <w:r>
        <w:t xml:space="preserve"> IHACPA, Methodology for Determining the Benchmark Price for Prostheses in Australian Public Hospitals, 2021</w:t>
      </w:r>
    </w:p>
  </w:footnote>
  <w:footnote w:id="30">
    <w:p w14:paraId="49664132" w14:textId="2F81661C" w:rsidR="00AB4F28" w:rsidRDefault="00AB4F28" w:rsidP="00F04FF5">
      <w:pPr>
        <w:pStyle w:val="FootnoteText"/>
      </w:pPr>
      <w:r>
        <w:rPr>
          <w:rStyle w:val="FootnoteReference"/>
        </w:rPr>
        <w:footnoteRef/>
      </w:r>
      <w:r>
        <w:t xml:space="preserve"> </w:t>
      </w:r>
      <w:r w:rsidRPr="004F6CB5">
        <w:t>Members Health Fund Alliance response to stakeholder information request</w:t>
      </w:r>
      <w:r w:rsidR="000A6EB9">
        <w:t xml:space="preserve"> for this evaluation</w:t>
      </w:r>
      <w:r w:rsidRPr="004F6CB5">
        <w:t xml:space="preserve">, 2024.  </w:t>
      </w:r>
    </w:p>
  </w:footnote>
  <w:footnote w:id="31">
    <w:p w14:paraId="2C2B1073" w14:textId="637F3F79" w:rsidR="001E1F6E" w:rsidRDefault="001E1F6E" w:rsidP="00F04FF5">
      <w:pPr>
        <w:pStyle w:val="FootnoteText"/>
      </w:pPr>
      <w:r>
        <w:rPr>
          <w:rStyle w:val="FootnoteReference"/>
        </w:rPr>
        <w:footnoteRef/>
      </w:r>
      <w:r>
        <w:t xml:space="preserve"> </w:t>
      </w:r>
      <w:r w:rsidR="009E7218">
        <w:t>Medical Ser</w:t>
      </w:r>
      <w:r w:rsidR="00C51CD7">
        <w:t>vices Advisory Committee (MSAC)</w:t>
      </w:r>
      <w:r w:rsidR="004A31FA">
        <w:t>,</w:t>
      </w:r>
      <w:r w:rsidR="00C51CD7">
        <w:t xml:space="preserve"> Public</w:t>
      </w:r>
      <w:r w:rsidR="00866A4A" w:rsidRPr="00866A4A">
        <w:t xml:space="preserve"> Summary Document Application No. 1724 – Cardiac technical support services provided by industry employed technicians</w:t>
      </w:r>
      <w:r w:rsidR="00866A4A">
        <w:t>, 2023</w:t>
      </w:r>
      <w:r w:rsidR="004A31FA">
        <w:t>.</w:t>
      </w:r>
    </w:p>
  </w:footnote>
  <w:footnote w:id="32">
    <w:p w14:paraId="2B5A4F96" w14:textId="689BB173" w:rsidR="005309C1" w:rsidRDefault="005309C1" w:rsidP="00F04FF5">
      <w:pPr>
        <w:pStyle w:val="FootnoteText"/>
      </w:pPr>
      <w:r>
        <w:rPr>
          <w:rStyle w:val="FootnoteReference"/>
        </w:rPr>
        <w:footnoteRef/>
      </w:r>
      <w:r>
        <w:t xml:space="preserve"> </w:t>
      </w:r>
      <w:r w:rsidR="004A1BFE">
        <w:t>Ibid.</w:t>
      </w:r>
    </w:p>
  </w:footnote>
  <w:footnote w:id="33">
    <w:p w14:paraId="79B2657F" w14:textId="60392546" w:rsidR="00071DDD" w:rsidRDefault="00071DDD" w:rsidP="00071DDD">
      <w:pPr>
        <w:pStyle w:val="FootnoteText"/>
      </w:pPr>
      <w:r>
        <w:rPr>
          <w:rStyle w:val="FootnoteReference"/>
        </w:rPr>
        <w:footnoteRef/>
      </w:r>
      <w:r>
        <w:t xml:space="preserve"> </w:t>
      </w:r>
      <w:r w:rsidR="004A1BFE">
        <w:t>Ibid.</w:t>
      </w:r>
    </w:p>
  </w:footnote>
  <w:footnote w:id="34">
    <w:p w14:paraId="62BF7520" w14:textId="77777777" w:rsidR="00AA0099" w:rsidRPr="0055144B" w:rsidRDefault="00AA0099" w:rsidP="00AA0099">
      <w:pPr>
        <w:pStyle w:val="FootnoteText"/>
      </w:pPr>
      <w:r w:rsidRPr="004A31FA">
        <w:rPr>
          <w:rStyle w:val="FootnoteReference"/>
        </w:rPr>
        <w:footnoteRef/>
      </w:r>
      <w:r w:rsidRPr="0055144B">
        <w:rPr>
          <w:b/>
          <w:bCs/>
        </w:rPr>
        <w:t xml:space="preserve"> </w:t>
      </w:r>
      <w:hyperlink r:id="rId1" w:history="1">
        <w:r w:rsidRPr="004A31FA">
          <w:t>Department</w:t>
        </w:r>
      </w:hyperlink>
      <w:r>
        <w:t xml:space="preserve"> of Health and Aged Care, PHI Circular 21/22 </w:t>
      </w:r>
      <w:r w:rsidRPr="00EB089F">
        <w:t>Prostheses List Reform – Schedule of Prostheses List Price Reductions</w:t>
      </w:r>
      <w:r>
        <w:t>, 2022.</w:t>
      </w:r>
    </w:p>
  </w:footnote>
  <w:footnote w:id="35">
    <w:p w14:paraId="0F2BE4CE" w14:textId="007D7643" w:rsidR="00F3552F" w:rsidRDefault="00F3552F" w:rsidP="00F04FF5">
      <w:pPr>
        <w:pStyle w:val="FootnoteText"/>
      </w:pPr>
      <w:r>
        <w:rPr>
          <w:rStyle w:val="FootnoteReference"/>
        </w:rPr>
        <w:footnoteRef/>
      </w:r>
      <w:r>
        <w:t xml:space="preserve"> </w:t>
      </w:r>
      <w:r w:rsidR="008F4E32">
        <w:t>D</w:t>
      </w:r>
      <w:hyperlink r:id="rId2" w:history="1">
        <w:r w:rsidR="008F4E32" w:rsidRPr="004A31FA">
          <w:t>epartment</w:t>
        </w:r>
      </w:hyperlink>
      <w:r w:rsidR="008F4E32">
        <w:t xml:space="preserve"> of Health and Aged Care, PHI Circular 29/23 Benefit reductions to Cardiac Implantable Electronic Devices, 2023</w:t>
      </w:r>
      <w:r w:rsidR="001959A0">
        <w:t>.</w:t>
      </w:r>
    </w:p>
  </w:footnote>
  <w:footnote w:id="36">
    <w:p w14:paraId="358F185E" w14:textId="3BA5220D" w:rsidR="00630A90" w:rsidRDefault="00630A90" w:rsidP="00F04FF5">
      <w:pPr>
        <w:pStyle w:val="FootnoteText"/>
      </w:pPr>
      <w:r>
        <w:rPr>
          <w:rStyle w:val="FootnoteReference"/>
        </w:rPr>
        <w:footnoteRef/>
      </w:r>
      <w:r>
        <w:t xml:space="preserve"> </w:t>
      </w:r>
      <w:r w:rsidR="00797550">
        <w:t>D</w:t>
      </w:r>
      <w:hyperlink r:id="rId3" w:history="1">
        <w:r w:rsidR="00797550" w:rsidRPr="004A31FA">
          <w:t>epartment</w:t>
        </w:r>
      </w:hyperlink>
      <w:r w:rsidR="00797550">
        <w:t xml:space="preserve"> of Health and Aged Care, PHI Circular 27/2</w:t>
      </w:r>
      <w:r w:rsidR="00A31D78">
        <w:t>4</w:t>
      </w:r>
      <w:r w:rsidR="00797550">
        <w:t xml:space="preserve"> Benefit reductions to Cardiac Implantable Electronic Devices, 202</w:t>
      </w:r>
      <w:r w:rsidR="00A31D78">
        <w:t>4</w:t>
      </w:r>
      <w:r w:rsidR="00CB1287">
        <w:t>.</w:t>
      </w:r>
    </w:p>
  </w:footnote>
  <w:footnote w:id="37">
    <w:p w14:paraId="22980ED4" w14:textId="6CA74E94" w:rsidR="0024479A" w:rsidRDefault="0024479A">
      <w:pPr>
        <w:pStyle w:val="FootnoteText"/>
      </w:pPr>
      <w:r>
        <w:rPr>
          <w:rStyle w:val="FootnoteReference"/>
        </w:rPr>
        <w:footnoteRef/>
      </w:r>
      <w:r>
        <w:t xml:space="preserve"> </w:t>
      </w:r>
      <w:r w:rsidR="008D3FE5">
        <w:t>C</w:t>
      </w:r>
      <w:r w:rsidR="00856AF3">
        <w:t xml:space="preserve">ommunication with the Department, 2024. </w:t>
      </w:r>
    </w:p>
  </w:footnote>
  <w:footnote w:id="38">
    <w:p w14:paraId="70AF0637" w14:textId="20680F48" w:rsidR="005437F0" w:rsidRDefault="005437F0" w:rsidP="00F04FF5">
      <w:pPr>
        <w:pStyle w:val="FootnoteText"/>
      </w:pPr>
      <w:r>
        <w:rPr>
          <w:rStyle w:val="FootnoteReference"/>
        </w:rPr>
        <w:footnoteRef/>
      </w:r>
      <w:r>
        <w:t xml:space="preserve"> Medical Services Advisory Committee (MSAC)</w:t>
      </w:r>
      <w:r w:rsidR="00A31D78">
        <w:t>,</w:t>
      </w:r>
      <w:r>
        <w:t xml:space="preserve"> Public</w:t>
      </w:r>
      <w:r w:rsidRPr="00866A4A">
        <w:t xml:space="preserve"> Summary Document Application No. 1724 – Cardiac technical support services provided by industry employed technicians</w:t>
      </w:r>
      <w:r>
        <w:t>, 2023</w:t>
      </w:r>
      <w:r w:rsidR="00A31D78">
        <w:t>.</w:t>
      </w:r>
    </w:p>
  </w:footnote>
  <w:footnote w:id="39">
    <w:p w14:paraId="2BAF7F63" w14:textId="700686FF" w:rsidR="00FA19F5" w:rsidRDefault="00FA19F5" w:rsidP="00F04FF5">
      <w:pPr>
        <w:pStyle w:val="FootnoteText"/>
      </w:pPr>
      <w:r>
        <w:rPr>
          <w:rStyle w:val="FootnoteReference"/>
        </w:rPr>
        <w:footnoteRef/>
      </w:r>
      <w:r>
        <w:t xml:space="preserve"> </w:t>
      </w:r>
      <w:r w:rsidR="00301BD6">
        <w:t xml:space="preserve">Ibid. </w:t>
      </w:r>
    </w:p>
  </w:footnote>
  <w:footnote w:id="40">
    <w:p w14:paraId="162BC1FE" w14:textId="58521183" w:rsidR="00FA19F5" w:rsidRDefault="00FA19F5" w:rsidP="00F04FF5">
      <w:pPr>
        <w:pStyle w:val="FootnoteText"/>
      </w:pPr>
      <w:r>
        <w:rPr>
          <w:rStyle w:val="FootnoteReference"/>
        </w:rPr>
        <w:footnoteRef/>
      </w:r>
      <w:r>
        <w:t xml:space="preserve"> </w:t>
      </w:r>
      <w:r w:rsidR="00A31D78">
        <w:t>D</w:t>
      </w:r>
      <w:hyperlink r:id="rId4" w:history="1">
        <w:r w:rsidR="00A31D78" w:rsidRPr="004A31FA">
          <w:t>epartment</w:t>
        </w:r>
      </w:hyperlink>
      <w:r w:rsidR="00A31D78">
        <w:t xml:space="preserve"> of Health and Aged Care, PHI Circular 27/24 Benefit reductions to Cardiac Implantable Electronic Devices, 2024</w:t>
      </w:r>
    </w:p>
  </w:footnote>
  <w:footnote w:id="41">
    <w:p w14:paraId="5229EA96" w14:textId="4BE5439B" w:rsidR="00C37EEF" w:rsidRDefault="00C37EEF" w:rsidP="00C37EEF">
      <w:pPr>
        <w:pStyle w:val="FootnoteText"/>
      </w:pPr>
      <w:r>
        <w:rPr>
          <w:rStyle w:val="FootnoteReference"/>
        </w:rPr>
        <w:footnoteRef/>
      </w:r>
      <w:r>
        <w:t xml:space="preserve"> The evaluation </w:t>
      </w:r>
      <w:r w:rsidR="00F75BE9">
        <w:t xml:space="preserve">team </w:t>
      </w:r>
      <w:r>
        <w:t>approximated the</w:t>
      </w:r>
      <w:r w:rsidRPr="00ED697D">
        <w:rPr>
          <w:i/>
          <w:iCs/>
        </w:rPr>
        <w:t xml:space="preserve"> </w:t>
      </w:r>
      <w:r>
        <w:t xml:space="preserve">baseline gap of CIED </w:t>
      </w:r>
      <w:r w:rsidR="00F75BE9">
        <w:t>devices</w:t>
      </w:r>
      <w:r>
        <w:t xml:space="preserve"> b</w:t>
      </w:r>
      <w:r w:rsidRPr="00C42A28">
        <w:t>y backcalculating the public benchmark prices for the 226 out of 259 CIED items on the November 2021 PL that were subject to reductions and were not removed by July 2023</w:t>
      </w:r>
      <w:r>
        <w:t xml:space="preserve">. The analysis assumed the device component was 54% of the PL benefit. Nous </w:t>
      </w:r>
      <w:r w:rsidRPr="00C42A28">
        <w:t>estimate</w:t>
      </w:r>
      <w:r>
        <w:t xml:space="preserve">d </w:t>
      </w:r>
      <w:r w:rsidRPr="00C42A28">
        <w:t xml:space="preserve">the median gap for these items </w:t>
      </w:r>
      <w:r>
        <w:t xml:space="preserve">to be </w:t>
      </w:r>
      <w:r w:rsidRPr="00C42A28">
        <w:t xml:space="preserve">$19,611 and the median gap % to be 188%. The lower bound of the approximation </w:t>
      </w:r>
      <w:r>
        <w:t>was</w:t>
      </w:r>
      <w:r w:rsidRPr="00C42A28">
        <w:t xml:space="preserve"> $17,557 (144% gap) and the upper bound </w:t>
      </w:r>
      <w:r>
        <w:t>was</w:t>
      </w:r>
      <w:r w:rsidRPr="00C42A28">
        <w:t xml:space="preserve"> $21,655 (235%).</w:t>
      </w:r>
    </w:p>
  </w:footnote>
  <w:footnote w:id="42">
    <w:p w14:paraId="5A3B16BF" w14:textId="05517127" w:rsidR="004B2339" w:rsidRDefault="004B2339" w:rsidP="004B2339">
      <w:pPr>
        <w:pStyle w:val="FootnoteText"/>
      </w:pPr>
      <w:r>
        <w:rPr>
          <w:rStyle w:val="FootnoteReference"/>
        </w:rPr>
        <w:footnoteRef/>
      </w:r>
      <w:r>
        <w:t xml:space="preserve"> </w:t>
      </w:r>
      <w:r w:rsidRPr="00DD778A">
        <w:t xml:space="preserve">Note that the incidence of gap payments </w:t>
      </w:r>
      <w:r>
        <w:t>cannot always be equated</w:t>
      </w:r>
      <w:r w:rsidRPr="00DD778A">
        <w:t xml:space="preserve"> with out-of-pocket charges. </w:t>
      </w:r>
      <w:r>
        <w:t>In some instances,</w:t>
      </w:r>
      <w:r w:rsidRPr="00DD778A">
        <w:t xml:space="preserve"> third parties, such as the Department of Veterans' Affairs, workers' compensation insurers, or motor vehicle insurance providers, cover the gap for </w:t>
      </w:r>
      <w:r>
        <w:t>consumers (therefore, not representing an ‘out-of-pocket’ cost).</w:t>
      </w:r>
      <w:r w:rsidR="00814CF1">
        <w:t xml:space="preserve"> Conversely, there are out-of-pocket charges related to </w:t>
      </w:r>
      <w:r w:rsidR="00CC01B4">
        <w:t xml:space="preserve">PL-listed </w:t>
      </w:r>
      <w:r w:rsidR="00D65FD8">
        <w:t>items</w:t>
      </w:r>
      <w:r w:rsidR="0005445A">
        <w:t xml:space="preserve"> that are not included </w:t>
      </w:r>
      <w:r w:rsidR="002E5213">
        <w:t>in th</w:t>
      </w:r>
      <w:r w:rsidR="005C15FE">
        <w:t>ese gap payments</w:t>
      </w:r>
      <w:r w:rsidR="00AC77EE">
        <w:t>.</w:t>
      </w:r>
      <w:r w:rsidR="004F6C5A">
        <w:t xml:space="preserve"> As</w:t>
      </w:r>
      <w:r w:rsidR="00D10F4C">
        <w:t xml:space="preserve"> the HCP1 data set </w:t>
      </w:r>
      <w:r w:rsidR="006632EF">
        <w:t>is from PHI reporting</w:t>
      </w:r>
      <w:r w:rsidR="00FF2062">
        <w:t>, it does</w:t>
      </w:r>
      <w:r w:rsidR="005F401B">
        <w:t xml:space="preserve"> no</w:t>
      </w:r>
      <w:r w:rsidR="00FF2062">
        <w:t xml:space="preserve">t </w:t>
      </w:r>
      <w:r w:rsidR="00A52D29">
        <w:t xml:space="preserve">capture </w:t>
      </w:r>
      <w:r w:rsidR="006E2D14">
        <w:t xml:space="preserve">instances </w:t>
      </w:r>
      <w:r w:rsidR="00A52D29">
        <w:t>where consumers are charged</w:t>
      </w:r>
      <w:r w:rsidR="001F6D17">
        <w:t xml:space="preserve"> out-of-pocket for PL-listed items</w:t>
      </w:r>
      <w:r w:rsidR="006E2D14">
        <w:t xml:space="preserve"> as a result of </w:t>
      </w:r>
      <w:r w:rsidR="003C030D">
        <w:t xml:space="preserve">a </w:t>
      </w:r>
      <w:r w:rsidR="0016497F">
        <w:t xml:space="preserve">surgery or procedure </w:t>
      </w:r>
      <w:r w:rsidR="009B3BB7">
        <w:t>not being uncovered und</w:t>
      </w:r>
      <w:r w:rsidR="00D20A41">
        <w:t>e</w:t>
      </w:r>
      <w:r w:rsidR="00715098">
        <w:t>r their policy.</w:t>
      </w:r>
    </w:p>
  </w:footnote>
  <w:footnote w:id="43">
    <w:p w14:paraId="27E48038" w14:textId="77777777" w:rsidR="004B2339" w:rsidRDefault="004B2339" w:rsidP="004B2339">
      <w:pPr>
        <w:pStyle w:val="FootnoteText"/>
      </w:pPr>
      <w:r>
        <w:rPr>
          <w:rStyle w:val="FootnoteReference"/>
        </w:rPr>
        <w:footnoteRef/>
      </w:r>
      <w:r>
        <w:t xml:space="preserve"> </w:t>
      </w:r>
      <w:r w:rsidRPr="00FD21E9">
        <w:t>Department of Health and Aged Care, Hospital Casemix Protocol Dataset, 202</w:t>
      </w:r>
      <w:r>
        <w:t>4</w:t>
      </w:r>
      <w:r w:rsidRPr="00FD21E9">
        <w:t>.</w:t>
      </w:r>
    </w:p>
  </w:footnote>
  <w:footnote w:id="44">
    <w:p w14:paraId="3828C8CD" w14:textId="00173339" w:rsidR="006163A6" w:rsidRDefault="006163A6" w:rsidP="006163A6">
      <w:pPr>
        <w:pStyle w:val="FootnoteText"/>
      </w:pPr>
      <w:r>
        <w:rPr>
          <w:rStyle w:val="FootnoteReference"/>
        </w:rPr>
        <w:footnoteRef/>
      </w:r>
      <w:r>
        <w:t xml:space="preserve"> </w:t>
      </w:r>
      <w:r w:rsidRPr="00FD21E9">
        <w:t>Department of Health and Aged Care, Hospital Casemix Protocol Dataset, 2024</w:t>
      </w:r>
      <w:r>
        <w:t>. Note that t</w:t>
      </w:r>
      <w:r w:rsidRPr="002B39E1">
        <w:t>here is a significant number of cases in which very small gap payments are charged and so a fuzz factor has been applied so that gap payments are only counted when gaps are greater than $1.</w:t>
      </w:r>
      <w:r w:rsidR="00C247AF">
        <w:t xml:space="preserve"> </w:t>
      </w:r>
      <w:r w:rsidR="00AE0DC9">
        <w:t xml:space="preserve">Average gap payments are calculated by taking a weighted average of the monthly averages </w:t>
      </w:r>
      <w:r w:rsidR="0095539D">
        <w:t>in the financial year.</w:t>
      </w:r>
    </w:p>
  </w:footnote>
  <w:footnote w:id="45">
    <w:p w14:paraId="17E9C398" w14:textId="77777777" w:rsidR="004328D3" w:rsidRDefault="004328D3" w:rsidP="00F04FF5">
      <w:pPr>
        <w:pStyle w:val="FootnoteText"/>
      </w:pPr>
      <w:r w:rsidRPr="008900AA">
        <w:rPr>
          <w:rStyle w:val="FootnoteReference"/>
        </w:rPr>
        <w:footnoteRef/>
      </w:r>
      <w:r w:rsidRPr="008900AA">
        <w:t xml:space="preserve"> </w:t>
      </w:r>
      <w:r w:rsidRPr="001B3BEE">
        <w:t>Menzies Centre for Health Policy &amp; University of Sydney, Options for a revised framework for setting and reviewing benefits for the Prostheses List, 2020.</w:t>
      </w:r>
    </w:p>
  </w:footnote>
  <w:footnote w:id="46">
    <w:p w14:paraId="1810D2B3" w14:textId="32401D78" w:rsidR="009B54DF" w:rsidRDefault="009B54DF" w:rsidP="00092D42">
      <w:pPr>
        <w:pStyle w:val="FootnoteText"/>
      </w:pPr>
      <w:r>
        <w:rPr>
          <w:rStyle w:val="FootnoteReference"/>
        </w:rPr>
        <w:footnoteRef/>
      </w:r>
      <w:r>
        <w:t xml:space="preserve"> </w:t>
      </w:r>
      <w:r w:rsidR="00BD1591">
        <w:t>Department of Health and Aged Car</w:t>
      </w:r>
      <w:r w:rsidR="00B809C3">
        <w:t>e,</w:t>
      </w:r>
      <w:r w:rsidR="005A22BC">
        <w:t xml:space="preserve"> </w:t>
      </w:r>
      <w:r w:rsidR="00157476" w:rsidRPr="00157476">
        <w:t>The Prescribed List of Medical Devices and Human Tissue Products Guide</w:t>
      </w:r>
      <w:r w:rsidR="00157476">
        <w:t xml:space="preserve"> (Draft), 2023.</w:t>
      </w:r>
    </w:p>
  </w:footnote>
  <w:footnote w:id="47">
    <w:p w14:paraId="4B5DAABA" w14:textId="4A6DC39F" w:rsidR="001542E3" w:rsidRDefault="001542E3" w:rsidP="001542E3">
      <w:pPr>
        <w:pStyle w:val="FootnoteText"/>
      </w:pPr>
      <w:r>
        <w:rPr>
          <w:rStyle w:val="FootnoteReference"/>
        </w:rPr>
        <w:footnoteRef/>
      </w:r>
      <w:r>
        <w:t xml:space="preserve"> </w:t>
      </w:r>
      <w:r w:rsidR="005A22BC">
        <w:t>Department of Health and Aged Care</w:t>
      </w:r>
      <w:r w:rsidR="00B809C3">
        <w:t>,</w:t>
      </w:r>
      <w:r w:rsidR="005A22BC">
        <w:t xml:space="preserve"> PHI Circular 86/23 Surgical guides and Bio models – Frequently asked questions, 2023.</w:t>
      </w:r>
    </w:p>
  </w:footnote>
  <w:footnote w:id="48">
    <w:p w14:paraId="636B7EEE" w14:textId="77777777" w:rsidR="001542E3" w:rsidRDefault="001542E3" w:rsidP="001542E3">
      <w:pPr>
        <w:pStyle w:val="FootnoteText"/>
      </w:pPr>
      <w:r>
        <w:rPr>
          <w:rStyle w:val="FootnoteReference"/>
        </w:rPr>
        <w:footnoteRef/>
      </w:r>
      <w:r>
        <w:t xml:space="preserve"> Response to stakeholder information request for this evaluation, 2024.</w:t>
      </w:r>
    </w:p>
  </w:footnote>
  <w:footnote w:id="49">
    <w:p w14:paraId="2C4BDFFB" w14:textId="203629DB" w:rsidR="002F6CBD" w:rsidRDefault="002F6CBD" w:rsidP="002F6CBD">
      <w:pPr>
        <w:pStyle w:val="FootnoteText"/>
      </w:pPr>
      <w:r>
        <w:rPr>
          <w:rStyle w:val="FootnoteReference"/>
        </w:rPr>
        <w:footnoteRef/>
      </w:r>
      <w:r>
        <w:t xml:space="preserve"> </w:t>
      </w:r>
      <w:r w:rsidR="005A22BC">
        <w:t xml:space="preserve">Ibid. </w:t>
      </w:r>
    </w:p>
  </w:footnote>
  <w:footnote w:id="50">
    <w:p w14:paraId="659819F4" w14:textId="19BE37BC" w:rsidR="00F24DAE" w:rsidRDefault="00F24DAE">
      <w:pPr>
        <w:pStyle w:val="FootnoteText"/>
      </w:pPr>
      <w:r>
        <w:rPr>
          <w:rStyle w:val="FootnoteReference"/>
        </w:rPr>
        <w:footnoteRef/>
      </w:r>
      <w:r>
        <w:t xml:space="preserve"> Australian Bureau of Statistics, Consumer Price Index, Australia March Quarter </w:t>
      </w:r>
      <w:r w:rsidR="00FA7397">
        <w:t>2016 to Dec Quarter 2023.</w:t>
      </w:r>
    </w:p>
  </w:footnote>
  <w:footnote w:id="51">
    <w:p w14:paraId="3CB1763A" w14:textId="316CDE12" w:rsidR="00BC48C8" w:rsidRDefault="00BC48C8" w:rsidP="00F04FF5">
      <w:pPr>
        <w:pStyle w:val="FootnoteText"/>
      </w:pPr>
      <w:r>
        <w:rPr>
          <w:rStyle w:val="FootnoteReference"/>
        </w:rPr>
        <w:footnoteRef/>
      </w:r>
      <w:r>
        <w:t xml:space="preserve"> </w:t>
      </w:r>
      <w:r w:rsidR="00C0725E">
        <w:t>Department</w:t>
      </w:r>
      <w:r w:rsidRPr="00773087">
        <w:t xml:space="preserve"> of Health and Aged Care, List of historical premium price changes by insurer for 2023, 2023</w:t>
      </w:r>
      <w:r w:rsidR="00FA7397">
        <w:t>.</w:t>
      </w:r>
    </w:p>
  </w:footnote>
  <w:footnote w:id="52">
    <w:p w14:paraId="34D1BB89" w14:textId="77777777" w:rsidR="00505B22" w:rsidRPr="00773087" w:rsidRDefault="00505B22" w:rsidP="00505B22">
      <w:pPr>
        <w:pStyle w:val="FootnoteText"/>
      </w:pPr>
      <w:r w:rsidRPr="00773087">
        <w:rPr>
          <w:rStyle w:val="FootnoteReference"/>
        </w:rPr>
        <w:footnoteRef/>
      </w:r>
      <w:r w:rsidRPr="00773087">
        <w:t xml:space="preserve"> Australian Prudential Regulation Authority, Operations of Private Health Insurers Annual Report, 2015-16 to 202</w:t>
      </w:r>
      <w:r>
        <w:t>2</w:t>
      </w:r>
      <w:r w:rsidRPr="00773087">
        <w:t>-2</w:t>
      </w:r>
      <w:r>
        <w:t xml:space="preserve">3; </w:t>
      </w:r>
      <w:r w:rsidRPr="00773087">
        <w:t>Australian Prudential</w:t>
      </w:r>
      <w:r w:rsidRPr="00773087">
        <w:rPr>
          <w:sz w:val="12"/>
          <w:szCs w:val="12"/>
        </w:rPr>
        <w:t xml:space="preserve"> </w:t>
      </w:r>
      <w:r w:rsidRPr="00773087">
        <w:t>Regulation Authority, Quarterly Private Health Insurance Statistics Prostheses</w:t>
      </w:r>
      <w:r>
        <w:t>,</w:t>
      </w:r>
      <w:r w:rsidRPr="00773087">
        <w:t xml:space="preserve"> June 2023.</w:t>
      </w:r>
    </w:p>
  </w:footnote>
  <w:footnote w:id="53">
    <w:p w14:paraId="76B6E80D" w14:textId="38017909" w:rsidR="00B00516" w:rsidRDefault="00B00516">
      <w:pPr>
        <w:pStyle w:val="FootnoteText"/>
      </w:pPr>
      <w:r>
        <w:rPr>
          <w:rStyle w:val="FootnoteReference"/>
        </w:rPr>
        <w:footnoteRef/>
      </w:r>
      <w:r>
        <w:t xml:space="preserve"> Australian Competition &amp; Consumer Commission, Report to the Australian Senate: On anti-competitive and other practices by health insurers and provider in relation to private health insurance, 2022.</w:t>
      </w:r>
    </w:p>
  </w:footnote>
  <w:footnote w:id="54">
    <w:p w14:paraId="1475C788" w14:textId="376D7325" w:rsidR="00AA3827" w:rsidRDefault="00AA3827" w:rsidP="00F04FF5">
      <w:pPr>
        <w:pStyle w:val="FootnoteText"/>
      </w:pPr>
      <w:r>
        <w:rPr>
          <w:rStyle w:val="FootnoteReference"/>
        </w:rPr>
        <w:footnoteRef/>
      </w:r>
      <w:r>
        <w:t xml:space="preserve"> </w:t>
      </w:r>
      <w:r w:rsidR="009A0760">
        <w:t xml:space="preserve">The Hon Mark Butler MP, Private health insurance premiums rise less than wages, pensions and inflation (media release), 2024. </w:t>
      </w:r>
    </w:p>
  </w:footnote>
  <w:footnote w:id="55">
    <w:p w14:paraId="0C2A56C6" w14:textId="47655440" w:rsidR="00B00516" w:rsidRDefault="00B00516">
      <w:pPr>
        <w:pStyle w:val="FootnoteText"/>
      </w:pPr>
      <w:r>
        <w:rPr>
          <w:rStyle w:val="FootnoteReference"/>
        </w:rPr>
        <w:footnoteRef/>
      </w:r>
      <w:r>
        <w:t xml:space="preserve"> Australian Competition &amp; Consumer Commission, Report to the Australian Senate: On anti-competitive and other practices by health insurers and provider in relation to private health insurance, 2022.</w:t>
      </w:r>
    </w:p>
  </w:footnote>
  <w:footnote w:id="56">
    <w:p w14:paraId="361923FA" w14:textId="77777777" w:rsidR="001309FE" w:rsidRDefault="001309FE" w:rsidP="00F04FF5">
      <w:pPr>
        <w:pStyle w:val="FootnoteText"/>
      </w:pPr>
      <w:r>
        <w:rPr>
          <w:rStyle w:val="FootnoteReference"/>
        </w:rPr>
        <w:footnoteRef/>
      </w:r>
      <w:r>
        <w:t xml:space="preserve"> </w:t>
      </w:r>
      <w:r w:rsidRPr="00773087">
        <w:t>Australian Prudential Regulation Authority, Operations of Private Health Insurers Annual Report, 2015-16 to 202</w:t>
      </w:r>
      <w:r>
        <w:t>2</w:t>
      </w:r>
      <w:r w:rsidRPr="00773087">
        <w:t>-2</w:t>
      </w:r>
      <w:r>
        <w:t>3</w:t>
      </w:r>
      <w:r w:rsidRPr="00773087">
        <w:t>.</w:t>
      </w:r>
    </w:p>
  </w:footnote>
  <w:footnote w:id="57">
    <w:p w14:paraId="0CBA5053" w14:textId="77777777" w:rsidR="00E63100" w:rsidRDefault="00E63100" w:rsidP="00F04FF5">
      <w:pPr>
        <w:pStyle w:val="FootnoteText"/>
      </w:pPr>
      <w:r>
        <w:rPr>
          <w:rStyle w:val="FootnoteReference"/>
        </w:rPr>
        <w:footnoteRef/>
      </w:r>
      <w:r>
        <w:t xml:space="preserve"> </w:t>
      </w:r>
      <w:r w:rsidR="00E86812">
        <w:t>Melbourne Institute, Taking the Pulse of the Nation</w:t>
      </w:r>
      <w:r w:rsidR="00AD2CFB">
        <w:t xml:space="preserve">: </w:t>
      </w:r>
      <w:r w:rsidR="00D62E6A" w:rsidRPr="00D62E6A">
        <w:t>Melbourne Institute’s survey of the impact of COVID-19 in Australia</w:t>
      </w:r>
      <w:r w:rsidR="00E86812">
        <w:t xml:space="preserve">19-23 Oct 2020, 2020. </w:t>
      </w:r>
    </w:p>
  </w:footnote>
  <w:footnote w:id="58">
    <w:p w14:paraId="59FE3E40" w14:textId="77777777" w:rsidR="00E63100" w:rsidRDefault="00E63100" w:rsidP="00F04FF5">
      <w:pPr>
        <w:pStyle w:val="FootnoteText"/>
      </w:pPr>
      <w:r>
        <w:rPr>
          <w:rStyle w:val="FootnoteReference"/>
        </w:rPr>
        <w:footnoteRef/>
      </w:r>
      <w:r>
        <w:t xml:space="preserve"> </w:t>
      </w:r>
      <w:r w:rsidR="00AD2CFB">
        <w:t xml:space="preserve">Melbourne Institute, Research Insights: Who is ditching private health insurance during the pandemic, 2020. </w:t>
      </w:r>
    </w:p>
  </w:footnote>
  <w:footnote w:id="59">
    <w:p w14:paraId="160CEE9E" w14:textId="77777777" w:rsidR="005011FB" w:rsidRDefault="005011FB" w:rsidP="00F04FF5">
      <w:pPr>
        <w:pStyle w:val="FootnoteText"/>
      </w:pPr>
      <w:r>
        <w:rPr>
          <w:rStyle w:val="FootnoteReference"/>
        </w:rPr>
        <w:footnoteRef/>
      </w:r>
      <w:r>
        <w:t xml:space="preserve"> </w:t>
      </w:r>
      <w:r w:rsidRPr="00773087">
        <w:t>Australian Prudential Regulation Authority, Quarterly Private Health Insurance Statistics Membership Trends, June 2023.</w:t>
      </w:r>
    </w:p>
  </w:footnote>
  <w:footnote w:id="60">
    <w:p w14:paraId="65EA9F67" w14:textId="0B6EFB07" w:rsidR="008E28B0" w:rsidRDefault="008E28B0" w:rsidP="00F04FF5">
      <w:pPr>
        <w:pStyle w:val="FootnoteText"/>
      </w:pPr>
      <w:r>
        <w:rPr>
          <w:rStyle w:val="FootnoteReference"/>
        </w:rPr>
        <w:footnoteRef/>
      </w:r>
      <w:r>
        <w:t xml:space="preserve"> </w:t>
      </w:r>
      <w:r w:rsidR="00B809C3">
        <w:t xml:space="preserve">Ibid. </w:t>
      </w:r>
    </w:p>
  </w:footnote>
  <w:footnote w:id="61">
    <w:p w14:paraId="164CF687" w14:textId="77777777" w:rsidR="008E28B0" w:rsidRPr="00E1604E" w:rsidRDefault="008E28B0" w:rsidP="00F04FF5">
      <w:pPr>
        <w:pStyle w:val="FootnoteText"/>
        <w:rPr>
          <w:sz w:val="18"/>
          <w:szCs w:val="18"/>
        </w:rPr>
      </w:pPr>
      <w:r>
        <w:rPr>
          <w:rStyle w:val="FootnoteReference"/>
        </w:rPr>
        <w:footnoteRef/>
      </w:r>
      <w:r>
        <w:t xml:space="preserve"> </w:t>
      </w:r>
      <w:r w:rsidRPr="00773087">
        <w:t>Australian Prudential Regulation Authority, Quarterly Private Health Insurance Prostheses</w:t>
      </w:r>
      <w:r>
        <w:t>,</w:t>
      </w:r>
      <w:r w:rsidRPr="00773087">
        <w:t xml:space="preserve"> </w:t>
      </w:r>
      <w:r>
        <w:t>June</w:t>
      </w:r>
      <w:r w:rsidRPr="00773087">
        <w:t xml:space="preserve"> 2023</w:t>
      </w:r>
      <w:r>
        <w:t xml:space="preserve">; </w:t>
      </w:r>
      <w:r w:rsidRPr="00773087">
        <w:t>Australian Prudential</w:t>
      </w:r>
      <w:r w:rsidRPr="00773087">
        <w:rPr>
          <w:sz w:val="12"/>
          <w:szCs w:val="12"/>
        </w:rPr>
        <w:t xml:space="preserve"> </w:t>
      </w:r>
      <w:r w:rsidRPr="00773087">
        <w:t xml:space="preserve">Regulation Authority, Quarterly Private Health Insurance </w:t>
      </w:r>
      <w:r>
        <w:t>Membership Coverage,</w:t>
      </w:r>
      <w:r w:rsidRPr="00773087">
        <w:t xml:space="preserve"> June 2023.</w:t>
      </w:r>
    </w:p>
  </w:footnote>
  <w:footnote w:id="62">
    <w:p w14:paraId="38EC0B2D" w14:textId="7FC60EB5" w:rsidR="008E28B0" w:rsidRDefault="008E28B0" w:rsidP="00F04FF5">
      <w:pPr>
        <w:pStyle w:val="FootnoteText"/>
      </w:pPr>
      <w:r>
        <w:rPr>
          <w:rStyle w:val="FootnoteReference"/>
        </w:rPr>
        <w:footnoteRef/>
      </w:r>
      <w:r w:rsidR="00506200">
        <w:t xml:space="preserve"> </w:t>
      </w:r>
      <w:r w:rsidRPr="00773087">
        <w:t xml:space="preserve">Australian Prudential Regulation Authority, Quarterly Private Health </w:t>
      </w:r>
      <w:r>
        <w:t>Membership and Benefits,</w:t>
      </w:r>
      <w:r w:rsidRPr="00773087">
        <w:t xml:space="preserve"> </w:t>
      </w:r>
      <w:r>
        <w:t>June</w:t>
      </w:r>
      <w:r w:rsidRPr="00773087">
        <w:t xml:space="preserve"> 202</w:t>
      </w:r>
      <w:r>
        <w:t xml:space="preserve">3; </w:t>
      </w:r>
      <w:r w:rsidRPr="00773087">
        <w:t>Australian Prudential</w:t>
      </w:r>
      <w:r w:rsidRPr="00773087">
        <w:rPr>
          <w:sz w:val="12"/>
          <w:szCs w:val="12"/>
        </w:rPr>
        <w:t xml:space="preserve"> </w:t>
      </w:r>
      <w:r w:rsidRPr="00773087">
        <w:t>Regulation Authority, Quarterly Private Health Insurance Prostheses</w:t>
      </w:r>
      <w:r>
        <w:t>,</w:t>
      </w:r>
      <w:r w:rsidRPr="00773087">
        <w:t xml:space="preserve"> June 2023</w:t>
      </w:r>
      <w:r>
        <w:t xml:space="preserve">; </w:t>
      </w:r>
      <w:r w:rsidRPr="00C13D2A">
        <w:t xml:space="preserve">Australian Prudential </w:t>
      </w:r>
      <w:r w:rsidRPr="00537FDA">
        <w:t>Regulation Authority, Quarterly Private Health Insurance Statistics Membership Trends, June 2023. Note: Utilisation is calculated here by dividing HT prostheses benefits of each category by the average prostheses benefit across all categories for the given financial year (as APRA does not publish prostheses utilisation by age and gender). HT population coverage for each age bracket (or gender) are then divided by the utilisation to get the average.</w:t>
      </w:r>
    </w:p>
  </w:footnote>
  <w:footnote w:id="63">
    <w:p w14:paraId="7404BB96" w14:textId="7FBC89B2" w:rsidR="00037B72" w:rsidRDefault="00037B72">
      <w:pPr>
        <w:pStyle w:val="FootnoteText"/>
      </w:pPr>
      <w:r>
        <w:rPr>
          <w:rStyle w:val="FootnoteReference"/>
        </w:rPr>
        <w:footnoteRef/>
      </w:r>
      <w:r>
        <w:t xml:space="preserve"> House of Representatives, Explanatory Memorandum</w:t>
      </w:r>
      <w:r w:rsidR="00171197">
        <w:t>,</w:t>
      </w:r>
      <w:r w:rsidR="00ED26AC">
        <w:t xml:space="preserve"> </w:t>
      </w:r>
      <w:r w:rsidR="00171197" w:rsidRPr="00ED26AC">
        <w:t xml:space="preserve">Private Health Insurance Legislation Amendment (Medical Device And Human Tissue Product List And Cost Recovery) Bill </w:t>
      </w:r>
      <w:r w:rsidR="00ED26AC" w:rsidRPr="00ED26AC">
        <w:t>2022</w:t>
      </w:r>
      <w:r w:rsidR="00171197">
        <w:t xml:space="preserve">, 2022. </w:t>
      </w:r>
    </w:p>
  </w:footnote>
  <w:footnote w:id="64">
    <w:p w14:paraId="6A65C5CE" w14:textId="487C97EB" w:rsidR="0091655F" w:rsidRDefault="0091655F">
      <w:pPr>
        <w:pStyle w:val="FootnoteText"/>
      </w:pPr>
      <w:r>
        <w:rPr>
          <w:rStyle w:val="FootnoteReference"/>
        </w:rPr>
        <w:footnoteRef/>
      </w:r>
      <w:r>
        <w:t xml:space="preserve"> </w:t>
      </w:r>
      <w:r w:rsidR="00B809C3">
        <w:t xml:space="preserve">Ibid. </w:t>
      </w:r>
    </w:p>
  </w:footnote>
  <w:footnote w:id="65">
    <w:p w14:paraId="0AA635D9" w14:textId="7215BF6A" w:rsidR="00BD4E52" w:rsidRDefault="00BD4E52">
      <w:pPr>
        <w:pStyle w:val="FootnoteText"/>
      </w:pPr>
      <w:r>
        <w:rPr>
          <w:rStyle w:val="FootnoteReference"/>
        </w:rPr>
        <w:footnoteRef/>
      </w:r>
      <w:r>
        <w:t xml:space="preserve"> </w:t>
      </w:r>
      <w:r w:rsidR="00B809C3">
        <w:t>Ibid.</w:t>
      </w:r>
    </w:p>
  </w:footnote>
  <w:footnote w:id="66">
    <w:p w14:paraId="4D253FDF" w14:textId="77777777" w:rsidR="00BF7112" w:rsidRDefault="00BF7112" w:rsidP="00BF7112">
      <w:pPr>
        <w:pStyle w:val="FootnoteText"/>
      </w:pPr>
      <w:r>
        <w:rPr>
          <w:rStyle w:val="FootnoteReference"/>
        </w:rPr>
        <w:footnoteRef/>
      </w:r>
      <w:r>
        <w:t xml:space="preserve"> Department of Health and Aged Care, Prostheses List Reforms - Consultation Paper 7 Proposed measures for compliance, assurance and information sharing, 2023. </w:t>
      </w:r>
    </w:p>
  </w:footnote>
  <w:footnote w:id="67">
    <w:p w14:paraId="03A02A44" w14:textId="77777777" w:rsidR="004C379A" w:rsidRDefault="004C379A" w:rsidP="004C379A">
      <w:pPr>
        <w:pStyle w:val="FootnoteText"/>
      </w:pPr>
      <w:r>
        <w:rPr>
          <w:rStyle w:val="FootnoteReference"/>
        </w:rPr>
        <w:footnoteRef/>
      </w:r>
      <w:r>
        <w:t xml:space="preserve"> Therapeutic Goods Administration, Guidance on boundary and combination products, 203. </w:t>
      </w:r>
    </w:p>
  </w:footnote>
  <w:footnote w:id="68">
    <w:p w14:paraId="21DEE5C1" w14:textId="213580D8" w:rsidR="00504A13" w:rsidRDefault="00504A13" w:rsidP="00F04FF5">
      <w:pPr>
        <w:pStyle w:val="FootnoteText"/>
      </w:pPr>
      <w:r>
        <w:rPr>
          <w:rStyle w:val="FootnoteReference"/>
        </w:rPr>
        <w:footnoteRef/>
      </w:r>
      <w:r>
        <w:t xml:space="preserve"> </w:t>
      </w:r>
      <w:r w:rsidR="001C6D39">
        <w:t xml:space="preserve">Department of Health and Aged Care, </w:t>
      </w:r>
      <w:r w:rsidR="001C6D39" w:rsidRPr="001C6D39">
        <w:t xml:space="preserve">Prostheses List Reform Consultation Paper </w:t>
      </w:r>
      <w:r w:rsidR="008F2E94">
        <w:t xml:space="preserve">4(a) and </w:t>
      </w:r>
      <w:r w:rsidR="001C6D39" w:rsidRPr="001C6D39">
        <w:t>4(b) – Stakeholder Feedback Report</w:t>
      </w:r>
      <w:r w:rsidR="001C6D39">
        <w:t>, 202</w:t>
      </w:r>
      <w:r w:rsidR="008F2E94">
        <w:t xml:space="preserve">3. </w:t>
      </w:r>
    </w:p>
  </w:footnote>
  <w:footnote w:id="69">
    <w:p w14:paraId="55C7A4E0" w14:textId="18473064" w:rsidR="006F418F" w:rsidRDefault="006F418F" w:rsidP="00F04FF5">
      <w:pPr>
        <w:pStyle w:val="FootnoteText"/>
      </w:pPr>
      <w:r>
        <w:rPr>
          <w:rStyle w:val="FootnoteReference"/>
        </w:rPr>
        <w:footnoteRef/>
      </w:r>
      <w:r>
        <w:t xml:space="preserve"> </w:t>
      </w:r>
      <w:r w:rsidR="00916319">
        <w:t xml:space="preserve">Department of Health and Aged Care, Prostheses List Compliance Strategy, 2022. </w:t>
      </w:r>
    </w:p>
  </w:footnote>
  <w:footnote w:id="70">
    <w:p w14:paraId="23316708" w14:textId="23542652" w:rsidR="00DA072C" w:rsidRDefault="00DA072C">
      <w:pPr>
        <w:pStyle w:val="FootnoteText"/>
      </w:pPr>
      <w:r>
        <w:rPr>
          <w:rStyle w:val="FootnoteReference"/>
        </w:rPr>
        <w:footnoteRef/>
      </w:r>
      <w:r>
        <w:t xml:space="preserve"> House of Representatives, Explanatory Memorandum, </w:t>
      </w:r>
      <w:r w:rsidRPr="00ED26AC">
        <w:t>Private Health Insurance Legislation Amendment (Medical Device And Human Tissue Product List And Cost Recovery) Bill 2022</w:t>
      </w:r>
      <w:r>
        <w:t>, 2022.</w:t>
      </w:r>
    </w:p>
  </w:footnote>
  <w:footnote w:id="71">
    <w:p w14:paraId="3A5A3C4F" w14:textId="57B75522" w:rsidR="003C3B01" w:rsidRPr="003C3B01" w:rsidRDefault="003C3B01" w:rsidP="00F04FF5">
      <w:pPr>
        <w:pStyle w:val="FootnoteText"/>
        <w:rPr>
          <w:b/>
          <w:bCs/>
        </w:rPr>
      </w:pPr>
      <w:r>
        <w:rPr>
          <w:rStyle w:val="FootnoteReference"/>
        </w:rPr>
        <w:footnoteRef/>
      </w:r>
      <w:r>
        <w:t xml:space="preserve"> </w:t>
      </w:r>
      <w:r w:rsidR="0032410C" w:rsidRPr="0032410C">
        <w:t>Response to stakeholder information request for this evaluation, 2024.</w:t>
      </w:r>
    </w:p>
  </w:footnote>
  <w:footnote w:id="72">
    <w:p w14:paraId="2092B853" w14:textId="6314F2EA" w:rsidR="00645C43" w:rsidRDefault="00645C43" w:rsidP="00F04FF5">
      <w:pPr>
        <w:pStyle w:val="FootnoteText"/>
      </w:pPr>
      <w:r>
        <w:rPr>
          <w:rStyle w:val="FootnoteReference"/>
        </w:rPr>
        <w:footnoteRef/>
      </w:r>
      <w:r>
        <w:t xml:space="preserve"> </w:t>
      </w:r>
      <w:r w:rsidR="00B1316E">
        <w:t xml:space="preserve">Department of Health and Aged Care, </w:t>
      </w:r>
      <w:r w:rsidR="00992E3B">
        <w:t xml:space="preserve">Prostheses List Reform - </w:t>
      </w:r>
      <w:r w:rsidR="00B1316E">
        <w:t xml:space="preserve">Approach to address mixed benefit groups, </w:t>
      </w:r>
      <w:r w:rsidR="004D0916">
        <w:t xml:space="preserve">2023. </w:t>
      </w:r>
    </w:p>
  </w:footnote>
  <w:footnote w:id="73">
    <w:p w14:paraId="342467A3" w14:textId="3B938F8A" w:rsidR="00FB551A" w:rsidRDefault="00FB551A" w:rsidP="00F04FF5">
      <w:pPr>
        <w:pStyle w:val="FootnoteText"/>
      </w:pPr>
      <w:r>
        <w:rPr>
          <w:rStyle w:val="FootnoteReference"/>
        </w:rPr>
        <w:footnoteRef/>
      </w:r>
      <w:r>
        <w:t xml:space="preserve"> </w:t>
      </w:r>
      <w:r w:rsidR="00B809C3">
        <w:t>Ibid.</w:t>
      </w:r>
    </w:p>
  </w:footnote>
  <w:footnote w:id="74">
    <w:p w14:paraId="108C0DC4" w14:textId="4948963F" w:rsidR="004B4A52" w:rsidRDefault="004B4A52" w:rsidP="00F04FF5">
      <w:pPr>
        <w:pStyle w:val="FootnoteText"/>
      </w:pPr>
      <w:r>
        <w:rPr>
          <w:rStyle w:val="FootnoteReference"/>
        </w:rPr>
        <w:footnoteRef/>
      </w:r>
      <w:r>
        <w:t xml:space="preserve"> </w:t>
      </w:r>
      <w:r w:rsidR="00B809C3">
        <w:t xml:space="preserve">Ibid. </w:t>
      </w:r>
    </w:p>
  </w:footnote>
  <w:footnote w:id="75">
    <w:p w14:paraId="0FE57B9C" w14:textId="48A71D22" w:rsidR="006E5FF0" w:rsidRDefault="006E5FF0">
      <w:pPr>
        <w:pStyle w:val="FootnoteText"/>
      </w:pPr>
      <w:r>
        <w:rPr>
          <w:rStyle w:val="FootnoteReference"/>
        </w:rPr>
        <w:footnoteRef/>
      </w:r>
      <w:r>
        <w:t xml:space="preserve"> </w:t>
      </w:r>
      <w:r w:rsidR="005F6570" w:rsidRPr="005F6570">
        <w:t>Response to stakeholder information request for this evaluation, 2024.</w:t>
      </w:r>
    </w:p>
  </w:footnote>
  <w:footnote w:id="76">
    <w:p w14:paraId="1D25CCF2" w14:textId="5B50604B" w:rsidR="00C26520" w:rsidRDefault="00C26520">
      <w:pPr>
        <w:pStyle w:val="FootnoteText"/>
      </w:pPr>
      <w:r>
        <w:rPr>
          <w:rStyle w:val="FootnoteReference"/>
        </w:rPr>
        <w:footnoteRef/>
      </w:r>
      <w:r>
        <w:t xml:space="preserve"> </w:t>
      </w:r>
      <w:r w:rsidR="00EA66AB">
        <w:t xml:space="preserve">Department of Health and Aged Care, </w:t>
      </w:r>
      <w:r>
        <w:t>PHI Circular 37/23</w:t>
      </w:r>
      <w:r w:rsidR="00446210">
        <w:t xml:space="preserve"> Removal of General Use Items from the Prostheses List, 2023</w:t>
      </w:r>
    </w:p>
  </w:footnote>
  <w:footnote w:id="77">
    <w:p w14:paraId="1EDBCFDB" w14:textId="77777777" w:rsidR="00736E65" w:rsidRDefault="00736E65" w:rsidP="00736E65">
      <w:pPr>
        <w:pStyle w:val="FootnoteText"/>
      </w:pPr>
      <w:r>
        <w:rPr>
          <w:rStyle w:val="FootnoteReference"/>
        </w:rPr>
        <w:footnoteRef/>
      </w:r>
      <w:r>
        <w:t xml:space="preserve"> </w:t>
      </w:r>
      <w:r w:rsidRPr="00FE29FE">
        <w:t>The Hon Mark Butler MP</w:t>
      </w:r>
      <w:r>
        <w:t xml:space="preserve">, Ensuring lower surgery costs and continued access to healthcare through general use items (media release), 2024. </w:t>
      </w:r>
    </w:p>
  </w:footnote>
  <w:footnote w:id="78">
    <w:p w14:paraId="4556F0E2" w14:textId="75CB0C00" w:rsidR="00574B69" w:rsidRDefault="00574B69" w:rsidP="00F04FF5">
      <w:pPr>
        <w:pStyle w:val="FootnoteText"/>
      </w:pPr>
      <w:r>
        <w:rPr>
          <w:rStyle w:val="FootnoteReference"/>
        </w:rPr>
        <w:footnoteRef/>
      </w:r>
      <w:r>
        <w:t xml:space="preserve"> </w:t>
      </w:r>
      <w:r w:rsidR="00043BCB">
        <w:t xml:space="preserve">Department of Health, </w:t>
      </w:r>
      <w:r w:rsidR="00B87286" w:rsidRPr="00B87286">
        <w:t>Historical background of the 2021-2025 Prostheses List reform</w:t>
      </w:r>
      <w:r w:rsidR="00B87286">
        <w:t xml:space="preserve">, 2022. </w:t>
      </w:r>
    </w:p>
  </w:footnote>
  <w:footnote w:id="79">
    <w:p w14:paraId="3861563C" w14:textId="7B3DCF36" w:rsidR="0031310F" w:rsidRDefault="0031310F" w:rsidP="00F04FF5">
      <w:pPr>
        <w:pStyle w:val="FootnoteText"/>
      </w:pPr>
      <w:r>
        <w:rPr>
          <w:rStyle w:val="FootnoteReference"/>
        </w:rPr>
        <w:footnoteRef/>
      </w:r>
      <w:r>
        <w:t xml:space="preserve"> IHACPA</w:t>
      </w:r>
      <w:r w:rsidR="00B87286">
        <w:t xml:space="preserve">, </w:t>
      </w:r>
      <w:r>
        <w:t>Consultation Paper on Bundling Arrangements for the General Use Items on the Prostheses List</w:t>
      </w:r>
      <w:r w:rsidR="00B87286">
        <w:t xml:space="preserve">, </w:t>
      </w:r>
      <w:r>
        <w:t>2022</w:t>
      </w:r>
      <w:r w:rsidR="00B87286">
        <w:t xml:space="preserve">. </w:t>
      </w:r>
    </w:p>
  </w:footnote>
  <w:footnote w:id="80">
    <w:p w14:paraId="66A194FF" w14:textId="55A709C5" w:rsidR="00AE7B67" w:rsidRDefault="00AE7B67" w:rsidP="00F04FF5">
      <w:pPr>
        <w:pStyle w:val="FootnoteText"/>
      </w:pPr>
      <w:r>
        <w:rPr>
          <w:rStyle w:val="FootnoteReference"/>
        </w:rPr>
        <w:footnoteRef/>
      </w:r>
      <w:r>
        <w:t xml:space="preserve"> </w:t>
      </w:r>
      <w:r w:rsidR="00FE29FE" w:rsidRPr="00FE29FE">
        <w:t>The Hon Mark Butler MP</w:t>
      </w:r>
      <w:r w:rsidR="00FE29FE">
        <w:t xml:space="preserve">, Ensuring lower surgery costs and continued access to healthcare through general use items (media release), 2024. </w:t>
      </w:r>
    </w:p>
  </w:footnote>
  <w:footnote w:id="81">
    <w:p w14:paraId="749CAF3D" w14:textId="3EAB5A1C" w:rsidR="00AE2D71" w:rsidRDefault="00AE2D71" w:rsidP="00F04FF5">
      <w:pPr>
        <w:pStyle w:val="FootnoteText"/>
      </w:pPr>
      <w:r>
        <w:rPr>
          <w:rStyle w:val="FootnoteReference"/>
        </w:rPr>
        <w:footnoteRef/>
      </w:r>
      <w:r>
        <w:t xml:space="preserve"> </w:t>
      </w:r>
      <w:r w:rsidR="00FE29FE" w:rsidRPr="00FE29FE">
        <w:t>The Hon Mark Butler MP</w:t>
      </w:r>
      <w:r w:rsidR="00FE29FE">
        <w:t>, Ensuring lower surgery costs and continued access to healthcare through general use items (media release), 2024.</w:t>
      </w:r>
    </w:p>
  </w:footnote>
  <w:footnote w:id="82">
    <w:p w14:paraId="10D97929" w14:textId="28CFC209" w:rsidR="007E079E" w:rsidRDefault="007E079E">
      <w:pPr>
        <w:pStyle w:val="FootnoteText"/>
      </w:pPr>
      <w:r>
        <w:rPr>
          <w:rStyle w:val="FootnoteReference"/>
        </w:rPr>
        <w:footnoteRef/>
      </w:r>
      <w:r>
        <w:t xml:space="preserve"> </w:t>
      </w:r>
      <w:r w:rsidRPr="007E079E">
        <w:t>Response to stakeholder information request for this evaluation, 2024.</w:t>
      </w:r>
    </w:p>
  </w:footnote>
  <w:footnote w:id="83">
    <w:p w14:paraId="06B55C89" w14:textId="09B1D353" w:rsidR="00AF3301" w:rsidRDefault="00AF3301" w:rsidP="00AF3301">
      <w:pPr>
        <w:pStyle w:val="FootnoteText"/>
      </w:pPr>
      <w:r>
        <w:rPr>
          <w:rStyle w:val="FootnoteReference"/>
        </w:rPr>
        <w:footnoteRef/>
      </w:r>
      <w:r>
        <w:t xml:space="preserve"> Department of Health and Aged Care, </w:t>
      </w:r>
      <w:r w:rsidRPr="00DF7EE9">
        <w:t>General use items on the Prescribed List</w:t>
      </w:r>
      <w:r>
        <w:t xml:space="preserve">, 2024. </w:t>
      </w:r>
      <w:r w:rsidRPr="00010A74">
        <w:t>https://www.health.gov.au/our-work/general-use-items-on-the-prescribed-list</w:t>
      </w:r>
      <w:r>
        <w:t xml:space="preserve"> (</w:t>
      </w:r>
      <w:r w:rsidR="00010A74">
        <w:t>a</w:t>
      </w:r>
      <w:r>
        <w:t>ccessed August 2024).</w:t>
      </w:r>
    </w:p>
  </w:footnote>
  <w:footnote w:id="84">
    <w:p w14:paraId="3E107B57" w14:textId="569CDD54" w:rsidR="007D7AF8" w:rsidRDefault="007D7AF8">
      <w:pPr>
        <w:pStyle w:val="FootnoteText"/>
      </w:pPr>
      <w:r>
        <w:rPr>
          <w:rStyle w:val="FootnoteReference"/>
        </w:rPr>
        <w:footnoteRef/>
      </w:r>
      <w:r>
        <w:t xml:space="preserve"> </w:t>
      </w:r>
      <w:r w:rsidR="004008E1">
        <w:t xml:space="preserve">Australian Medical Association, Reform of private health sector and new independent authority proposed by AMA, </w:t>
      </w:r>
      <w:r w:rsidR="00B6629E">
        <w:t xml:space="preserve">2022. </w:t>
      </w:r>
    </w:p>
  </w:footnote>
  <w:footnote w:id="85">
    <w:p w14:paraId="517B6301" w14:textId="353AEBD5" w:rsidR="00066325" w:rsidRDefault="00066325" w:rsidP="00F04FF5">
      <w:pPr>
        <w:pStyle w:val="FootnoteText"/>
      </w:pPr>
      <w:r>
        <w:rPr>
          <w:rStyle w:val="FootnoteReference"/>
        </w:rPr>
        <w:footnoteRef/>
      </w:r>
      <w:r>
        <w:t xml:space="preserve"> </w:t>
      </w:r>
      <w:r w:rsidR="00C0725E">
        <w:t>Department</w:t>
      </w:r>
      <w:r w:rsidRPr="00066325">
        <w:t xml:space="preserve"> of Health and Aged Care, Prostheses List Reforms - Consultation Paper 3 - A modernised fit-for-purpose listing process, 2022.</w:t>
      </w:r>
    </w:p>
  </w:footnote>
  <w:footnote w:id="86">
    <w:p w14:paraId="65BE71FD" w14:textId="77777777" w:rsidR="00E80AF1" w:rsidRDefault="00E80AF1" w:rsidP="00F04FF5">
      <w:pPr>
        <w:pStyle w:val="FootnoteText"/>
      </w:pPr>
      <w:r>
        <w:rPr>
          <w:rStyle w:val="FootnoteReference"/>
        </w:rPr>
        <w:footnoteRef/>
      </w:r>
      <w:r>
        <w:t xml:space="preserve"> HPP applications data. Applications to delist and transfer not included.</w:t>
      </w:r>
    </w:p>
  </w:footnote>
  <w:footnote w:id="87">
    <w:p w14:paraId="3386ACFA" w14:textId="29F56886" w:rsidR="000E7F7A" w:rsidRDefault="000E7F7A" w:rsidP="00F04FF5">
      <w:pPr>
        <w:pStyle w:val="FootnoteText"/>
      </w:pPr>
      <w:r>
        <w:rPr>
          <w:rStyle w:val="FootnoteReference"/>
        </w:rPr>
        <w:footnoteRef/>
      </w:r>
      <w:r>
        <w:t xml:space="preserve"> </w:t>
      </w:r>
      <w:r w:rsidR="004336A6">
        <w:t xml:space="preserve">Department of Health and Aged Care, The Prescribed List of Medical Devices and Human Tissue Products Guide (Draft), 2023. </w:t>
      </w:r>
      <w:r w:rsidR="00880BD2">
        <w:t xml:space="preserve"> </w:t>
      </w:r>
    </w:p>
  </w:footnote>
  <w:footnote w:id="88">
    <w:p w14:paraId="68A35C4C" w14:textId="17B22647" w:rsidR="00485F63" w:rsidRDefault="00485F63" w:rsidP="00F04FF5">
      <w:pPr>
        <w:pStyle w:val="FootnoteText"/>
      </w:pPr>
      <w:r>
        <w:rPr>
          <w:rStyle w:val="FootnoteReference"/>
        </w:rPr>
        <w:footnoteRef/>
      </w:r>
      <w:r>
        <w:t xml:space="preserve"> </w:t>
      </w:r>
      <w:r w:rsidR="007134AE" w:rsidRPr="007134AE">
        <w:t>The Hon Mark Butler MP</w:t>
      </w:r>
      <w:r w:rsidR="007134AE">
        <w:t xml:space="preserve">, Modernising the prostheses list committee process (media release), 2023. </w:t>
      </w:r>
    </w:p>
  </w:footnote>
  <w:footnote w:id="89">
    <w:p w14:paraId="321E58D9" w14:textId="549856F4" w:rsidR="00831251" w:rsidRDefault="00831251" w:rsidP="00F04FF5">
      <w:pPr>
        <w:pStyle w:val="FootnoteText"/>
      </w:pPr>
      <w:r>
        <w:rPr>
          <w:rStyle w:val="FootnoteReference"/>
        </w:rPr>
        <w:footnoteRef/>
      </w:r>
      <w:r>
        <w:t xml:space="preserve"> </w:t>
      </w:r>
      <w:r w:rsidR="003E27C5" w:rsidRPr="005227EA">
        <w:t>Department of Health and Aged Care</w:t>
      </w:r>
      <w:r w:rsidR="003E27C5">
        <w:t xml:space="preserve">, Prostheses List Reforms – Pre-Listing Assessment Framework and Governance Structure, 2022. </w:t>
      </w:r>
    </w:p>
  </w:footnote>
  <w:footnote w:id="90">
    <w:p w14:paraId="3C2D6792" w14:textId="12F54CFD" w:rsidR="005227EA" w:rsidRDefault="005227EA" w:rsidP="00F04FF5">
      <w:pPr>
        <w:pStyle w:val="FootnoteText"/>
      </w:pPr>
      <w:r>
        <w:rPr>
          <w:rStyle w:val="FootnoteReference"/>
        </w:rPr>
        <w:footnoteRef/>
      </w:r>
      <w:r>
        <w:t xml:space="preserve"> </w:t>
      </w:r>
      <w:r w:rsidRPr="005227EA">
        <w:t>Department of Health and Aged Care, ‘Health Technology Assessments’, 2022.</w:t>
      </w:r>
    </w:p>
  </w:footnote>
  <w:footnote w:id="91">
    <w:p w14:paraId="4DD82ECA" w14:textId="54C8E7A1" w:rsidR="005104E2" w:rsidRDefault="005104E2" w:rsidP="00F04FF5">
      <w:pPr>
        <w:pStyle w:val="FootnoteText"/>
      </w:pPr>
      <w:r>
        <w:rPr>
          <w:rStyle w:val="FootnoteReference"/>
        </w:rPr>
        <w:footnoteRef/>
      </w:r>
      <w:r>
        <w:t xml:space="preserve"> </w:t>
      </w:r>
      <w:r w:rsidRPr="005104E2">
        <w:t>Department of Health and Ageing, Review of health technology assessment in Australia, 2009.</w:t>
      </w:r>
    </w:p>
  </w:footnote>
  <w:footnote w:id="92">
    <w:p w14:paraId="1A3D57B9" w14:textId="39120F2F" w:rsidR="0022009C" w:rsidRDefault="0022009C">
      <w:pPr>
        <w:pStyle w:val="FootnoteText"/>
      </w:pPr>
      <w:r>
        <w:rPr>
          <w:rStyle w:val="FootnoteReference"/>
        </w:rPr>
        <w:footnoteRef/>
      </w:r>
      <w:r>
        <w:t xml:space="preserve"> </w:t>
      </w:r>
      <w:r w:rsidR="00772851" w:rsidRPr="00772851">
        <w:t>Response to stakeholder information request for this evaluation, 2024.</w:t>
      </w:r>
    </w:p>
  </w:footnote>
  <w:footnote w:id="93">
    <w:p w14:paraId="7A84CF8B" w14:textId="60B16954" w:rsidR="00772851" w:rsidRDefault="00772851">
      <w:pPr>
        <w:pStyle w:val="FootnoteText"/>
      </w:pPr>
      <w:r>
        <w:rPr>
          <w:rStyle w:val="FootnoteReference"/>
        </w:rPr>
        <w:footnoteRef/>
      </w:r>
      <w:r>
        <w:t xml:space="preserve"> </w:t>
      </w:r>
      <w:r w:rsidR="00410DD5" w:rsidRPr="00410DD5">
        <w:t>Tamblyn, D, Parsons, J, Salinger, K &amp; Merlin, T, Options for a Reformed Prostheses List Pre-Listing Assessment Framework and Governance Structure, 2022.</w:t>
      </w:r>
    </w:p>
  </w:footnote>
  <w:footnote w:id="94">
    <w:p w14:paraId="503C4D69" w14:textId="512362E2" w:rsidR="00A46252" w:rsidRDefault="00A46252">
      <w:pPr>
        <w:pStyle w:val="FootnoteText"/>
      </w:pPr>
      <w:r w:rsidRPr="002E595A">
        <w:rPr>
          <w:rStyle w:val="FootnoteReference"/>
        </w:rPr>
        <w:footnoteRef/>
      </w:r>
      <w:r>
        <w:t xml:space="preserve"> </w:t>
      </w:r>
      <w:r w:rsidR="002E595A" w:rsidRPr="002E595A">
        <w:t>Response to stakeholder information request for this evaluation, 2024.</w:t>
      </w:r>
    </w:p>
  </w:footnote>
  <w:footnote w:id="95">
    <w:p w14:paraId="77BC8479" w14:textId="4285102D" w:rsidR="00C62E97" w:rsidRPr="00DD0568" w:rsidRDefault="00C62E97" w:rsidP="00F04FF5">
      <w:pPr>
        <w:pStyle w:val="FootnoteText"/>
      </w:pPr>
      <w:r w:rsidRPr="00F04FF5">
        <w:rPr>
          <w:rStyle w:val="FootnoteReference"/>
        </w:rPr>
        <w:footnoteRef/>
      </w:r>
      <w:r w:rsidRPr="00F04FF5">
        <w:t xml:space="preserve"> </w:t>
      </w:r>
      <w:r w:rsidR="00772458" w:rsidRPr="00DD0568">
        <w:t>Department of Health and Aged Care, Prostheses List Reforms – Consultation Paper No 3(b) – Pathways for Application to the Prostheses List,</w:t>
      </w:r>
      <w:r w:rsidR="00F04FF5">
        <w:t xml:space="preserve"> 2022.</w:t>
      </w:r>
    </w:p>
  </w:footnote>
  <w:footnote w:id="96">
    <w:p w14:paraId="60AE0946" w14:textId="523706EA" w:rsidR="00CB5E62" w:rsidRDefault="00CB5E62" w:rsidP="00F04FF5">
      <w:pPr>
        <w:pStyle w:val="FootnoteText"/>
      </w:pPr>
      <w:r>
        <w:rPr>
          <w:rStyle w:val="FootnoteReference"/>
        </w:rPr>
        <w:footnoteRef/>
      </w:r>
      <w:r>
        <w:t xml:space="preserve"> </w:t>
      </w:r>
      <w:r w:rsidR="0055494C">
        <w:t xml:space="preserve">Department of Health and Aged Care, The Prescribed List of Medical Devices and Human Tissue Products Guide </w:t>
      </w:r>
      <w:r w:rsidR="00F04FF5">
        <w:t>(</w:t>
      </w:r>
      <w:r w:rsidR="0055494C">
        <w:t>Draft</w:t>
      </w:r>
      <w:r w:rsidR="00F04FF5">
        <w:t>)</w:t>
      </w:r>
      <w:r w:rsidR="0055494C">
        <w:t>, 2023</w:t>
      </w:r>
      <w:r w:rsidR="00F04FF5">
        <w:t>.</w:t>
      </w:r>
    </w:p>
  </w:footnote>
  <w:footnote w:id="97">
    <w:p w14:paraId="4D6E399C" w14:textId="25D0A922" w:rsidR="00E5482F" w:rsidRDefault="00E5482F">
      <w:pPr>
        <w:pStyle w:val="FootnoteText"/>
      </w:pPr>
      <w:r>
        <w:rPr>
          <w:rStyle w:val="FootnoteReference"/>
        </w:rPr>
        <w:footnoteRef/>
      </w:r>
      <w:r>
        <w:t xml:space="preserve"> Department of Health and Aged Care, Metal-backed patellae – Prescribed List post-listing review</w:t>
      </w:r>
      <w:r w:rsidR="00F20650">
        <w:t xml:space="preserve">, </w:t>
      </w:r>
      <w:r w:rsidR="00425873">
        <w:t xml:space="preserve">accessed July 2024. </w:t>
      </w:r>
    </w:p>
  </w:footnote>
  <w:footnote w:id="98">
    <w:p w14:paraId="7ED2143E" w14:textId="23720929" w:rsidR="00CA70D6" w:rsidRDefault="00CA70D6" w:rsidP="00F04FF5">
      <w:pPr>
        <w:pStyle w:val="FootnoteText"/>
      </w:pPr>
      <w:r>
        <w:rPr>
          <w:rStyle w:val="FootnoteReference"/>
        </w:rPr>
        <w:footnoteRef/>
      </w:r>
      <w:r>
        <w:t xml:space="preserve"> </w:t>
      </w:r>
      <w:r w:rsidR="00E5482F" w:rsidRPr="00E5482F">
        <w:t xml:space="preserve">Department of Health and Aged Care, PHI Circular </w:t>
      </w:r>
      <w:r w:rsidR="00F20650">
        <w:t>74</w:t>
      </w:r>
      <w:r w:rsidR="00E5482F" w:rsidRPr="00E5482F">
        <w:t>/2</w:t>
      </w:r>
      <w:r w:rsidR="00F20650">
        <w:t>3</w:t>
      </w:r>
      <w:r w:rsidR="00E5482F" w:rsidRPr="00E5482F">
        <w:t xml:space="preserve"> </w:t>
      </w:r>
      <w:r w:rsidR="00F20650">
        <w:t xml:space="preserve">Prescribed List – Private Health Insurance (Medical Devices and Human Tissue Products) Amendment Rules (No. 2) 2023, 2023. </w:t>
      </w:r>
    </w:p>
  </w:footnote>
  <w:footnote w:id="99">
    <w:p w14:paraId="65987C23" w14:textId="622FFF71" w:rsidR="00183829" w:rsidRDefault="00183829">
      <w:pPr>
        <w:pStyle w:val="FootnoteText"/>
      </w:pPr>
      <w:r>
        <w:rPr>
          <w:rStyle w:val="FootnoteReference"/>
        </w:rPr>
        <w:footnoteRef/>
      </w:r>
      <w:r w:rsidR="00E6225D">
        <w:t xml:space="preserve"> </w:t>
      </w:r>
      <w:r>
        <w:t>Department of Health and Aged Care, Spinal cord stimulators – Prescribed List post-listing review, 2024. accessed July 2024.</w:t>
      </w:r>
    </w:p>
  </w:footnote>
  <w:footnote w:id="100">
    <w:p w14:paraId="544D10B4" w14:textId="0F1BB3AE" w:rsidR="00E6225D" w:rsidRDefault="00E6225D">
      <w:pPr>
        <w:pStyle w:val="FootnoteText"/>
      </w:pPr>
      <w:r>
        <w:rPr>
          <w:rStyle w:val="FootnoteReference"/>
        </w:rPr>
        <w:footnoteRef/>
      </w:r>
      <w:r>
        <w:t xml:space="preserve"> Department of Health and Aged Care, Urogyn</w:t>
      </w:r>
      <w:r w:rsidR="00C5507F">
        <w:t xml:space="preserve">aecological mesh devices (mid-urethral slings) – Prescribed List post-listing review, accessed July 2024. </w:t>
      </w:r>
    </w:p>
  </w:footnote>
  <w:footnote w:id="101">
    <w:p w14:paraId="0EA98B60" w14:textId="3D58C145" w:rsidR="002E2703" w:rsidRDefault="002E2703" w:rsidP="00F04FF5">
      <w:pPr>
        <w:pStyle w:val="FootnoteText"/>
      </w:pPr>
      <w:r>
        <w:rPr>
          <w:rStyle w:val="FootnoteReference"/>
        </w:rPr>
        <w:footnoteRef/>
      </w:r>
      <w:r>
        <w:t xml:space="preserve"> </w:t>
      </w:r>
      <w:r w:rsidR="00D977A9">
        <w:t xml:space="preserve">Department </w:t>
      </w:r>
      <w:r w:rsidR="00D977A9" w:rsidRPr="00D977A9">
        <w:t xml:space="preserve">of Health and Aged Care, </w:t>
      </w:r>
      <w:r w:rsidR="00D977A9">
        <w:t>Prostheses List Compliance Strategy,</w:t>
      </w:r>
      <w:r w:rsidR="00EA100A">
        <w:t xml:space="preserve"> 2023. </w:t>
      </w:r>
    </w:p>
  </w:footnote>
  <w:footnote w:id="102">
    <w:p w14:paraId="26E0E3AA" w14:textId="315490D6" w:rsidR="002E2703" w:rsidRDefault="002E2703" w:rsidP="00F04FF5">
      <w:pPr>
        <w:pStyle w:val="FootnoteText"/>
      </w:pPr>
      <w:r>
        <w:rPr>
          <w:rStyle w:val="FootnoteReference"/>
        </w:rPr>
        <w:footnoteRef/>
      </w:r>
      <w:r>
        <w:t xml:space="preserve"> </w:t>
      </w:r>
      <w:r w:rsidR="00907FAC" w:rsidRPr="00907FAC">
        <w:t xml:space="preserve">Department of Health and Aged Care, PHI Circular </w:t>
      </w:r>
      <w:r w:rsidR="00907FAC">
        <w:t>49/23</w:t>
      </w:r>
      <w:r w:rsidR="00907FAC" w:rsidRPr="00907FAC">
        <w:t xml:space="preserve"> </w:t>
      </w:r>
      <w:r w:rsidR="00907FAC">
        <w:t xml:space="preserve">Consultation on proposed measures for compliance, assurance and information sharing, 2023. </w:t>
      </w:r>
    </w:p>
  </w:footnote>
  <w:footnote w:id="103">
    <w:p w14:paraId="61AF5A29" w14:textId="4256610D" w:rsidR="00C50B29" w:rsidRDefault="00C50B29">
      <w:pPr>
        <w:pStyle w:val="FootnoteText"/>
      </w:pPr>
      <w:r>
        <w:rPr>
          <w:rStyle w:val="FootnoteReference"/>
        </w:rPr>
        <w:footnoteRef/>
      </w:r>
      <w:r>
        <w:t xml:space="preserve"> Department of Health and Aged Care, Prescribed List Reforms – Consultation Paper 8b – Alignment of amount charged for supply of a device with corresponding PL benefit, 2024</w:t>
      </w:r>
      <w:r w:rsidR="00B318A9">
        <w:t>.</w:t>
      </w:r>
    </w:p>
  </w:footnote>
  <w:footnote w:id="104">
    <w:p w14:paraId="78ADAE38" w14:textId="43B74A39" w:rsidR="00B76FBA" w:rsidRDefault="00B76FBA" w:rsidP="00F04FF5">
      <w:pPr>
        <w:pStyle w:val="FootnoteText"/>
      </w:pPr>
      <w:r>
        <w:rPr>
          <w:rStyle w:val="FootnoteReference"/>
        </w:rPr>
        <w:footnoteRef/>
      </w:r>
      <w:r>
        <w:t xml:space="preserve"> </w:t>
      </w:r>
      <w:r w:rsidR="00B52B7D">
        <w:t xml:space="preserve">Department of Health and Aged Care, </w:t>
      </w:r>
      <w:r>
        <w:t>Cost Recovery Implementation Statement</w:t>
      </w:r>
      <w:r w:rsidR="00B52B7D">
        <w:t xml:space="preserve"> </w:t>
      </w:r>
      <w:r>
        <w:t>Administration of the Prescribed List of Benefits for Medical Devices and Human Tissue Products 1 July 2023 to 30 June 2024</w:t>
      </w:r>
      <w:r w:rsidR="00B52B7D">
        <w:t xml:space="preserve">, </w:t>
      </w:r>
      <w:r w:rsidR="00596AF8">
        <w:t xml:space="preserve">2023. </w:t>
      </w:r>
    </w:p>
  </w:footnote>
  <w:footnote w:id="105">
    <w:p w14:paraId="2BE4A3B8" w14:textId="3DF8D4F9" w:rsidR="00445CDC" w:rsidRDefault="00445CDC">
      <w:pPr>
        <w:pStyle w:val="FootnoteText"/>
      </w:pPr>
      <w:r>
        <w:rPr>
          <w:rStyle w:val="FootnoteReference"/>
        </w:rPr>
        <w:footnoteRef/>
      </w:r>
      <w:r>
        <w:t xml:space="preserve"> </w:t>
      </w:r>
      <w:r w:rsidR="00B809C3">
        <w:t>Ibid.</w:t>
      </w:r>
    </w:p>
  </w:footnote>
  <w:footnote w:id="106">
    <w:p w14:paraId="4D2E8D21" w14:textId="4DEC342E" w:rsidR="00DD3E10" w:rsidRDefault="00DD3E10" w:rsidP="00F04FF5">
      <w:pPr>
        <w:pStyle w:val="FootnoteText"/>
      </w:pPr>
      <w:r>
        <w:rPr>
          <w:rStyle w:val="FootnoteReference"/>
        </w:rPr>
        <w:footnoteRef/>
      </w:r>
      <w:r>
        <w:t xml:space="preserve"> </w:t>
      </w:r>
      <w:r w:rsidR="00B809C3">
        <w:t>Ibid.</w:t>
      </w:r>
      <w:r w:rsidR="00596AF8">
        <w:t xml:space="preserve"> </w:t>
      </w:r>
    </w:p>
  </w:footnote>
  <w:footnote w:id="107">
    <w:p w14:paraId="5D5E0F45" w14:textId="5DD6F4B3" w:rsidR="00363057" w:rsidRDefault="00363057" w:rsidP="00F04FF5">
      <w:pPr>
        <w:pStyle w:val="FootnoteText"/>
      </w:pPr>
      <w:r>
        <w:rPr>
          <w:rStyle w:val="FootnoteReference"/>
        </w:rPr>
        <w:footnoteRef/>
      </w:r>
      <w:r>
        <w:t xml:space="preserve"> </w:t>
      </w:r>
      <w:r w:rsidR="00B809C3">
        <w:t>Ibid.</w:t>
      </w:r>
    </w:p>
  </w:footnote>
  <w:footnote w:id="108">
    <w:p w14:paraId="0698AB93" w14:textId="77777777" w:rsidR="003F66F2" w:rsidRDefault="003F66F2" w:rsidP="00F04FF5">
      <w:pPr>
        <w:pStyle w:val="FootnoteText"/>
      </w:pPr>
      <w:r>
        <w:rPr>
          <w:rStyle w:val="FootnoteReference"/>
        </w:rPr>
        <w:footnoteRef/>
      </w:r>
      <w:r>
        <w:t xml:space="preserve"> </w:t>
      </w:r>
      <w:r w:rsidRPr="00275283">
        <w:t>Conn, Private Health Insurance (Prostheses Application and Listing Fees) Amendment (Cost Recovery) Bill 2022 [and associated bills], 2023.</w:t>
      </w:r>
    </w:p>
  </w:footnote>
  <w:footnote w:id="109">
    <w:p w14:paraId="29FAE6FE" w14:textId="65D101AC" w:rsidR="003F66F2" w:rsidRDefault="003F66F2" w:rsidP="00F04FF5">
      <w:pPr>
        <w:pStyle w:val="FootnoteText"/>
      </w:pPr>
      <w:r>
        <w:rPr>
          <w:rStyle w:val="FootnoteReference"/>
        </w:rPr>
        <w:footnoteRef/>
      </w:r>
      <w:r w:rsidRPr="003102F6">
        <w:t xml:space="preserve"> Department of Health, Regulation Impact Statement (RIS): Improving the Private Health Insurance Prostheses List, 2021.</w:t>
      </w:r>
    </w:p>
  </w:footnote>
  <w:footnote w:id="110">
    <w:p w14:paraId="622142ED" w14:textId="50056925" w:rsidR="003C302D" w:rsidRDefault="003C302D" w:rsidP="00F04FF5">
      <w:pPr>
        <w:pStyle w:val="FootnoteText"/>
      </w:pPr>
      <w:r>
        <w:rPr>
          <w:rStyle w:val="FootnoteReference"/>
        </w:rPr>
        <w:footnoteRef/>
      </w:r>
      <w:r>
        <w:t xml:space="preserve"> </w:t>
      </w:r>
      <w:r w:rsidR="00596AF8">
        <w:t>Department of Health and Aged Care, Cost Recovery Implementation Statement Administration of the Prescribed List of Benefits for Medical Devices and Human Tissue Products 1 July 2024 to 30 June 2025, 2024.</w:t>
      </w:r>
    </w:p>
  </w:footnote>
  <w:footnote w:id="111">
    <w:p w14:paraId="0D7CC58A" w14:textId="6D5B4664" w:rsidR="003E4F1E" w:rsidRDefault="003E4F1E" w:rsidP="00F04FF5">
      <w:pPr>
        <w:pStyle w:val="FootnoteText"/>
      </w:pPr>
      <w:r>
        <w:rPr>
          <w:rStyle w:val="FootnoteReference"/>
        </w:rPr>
        <w:footnoteRef/>
      </w:r>
      <w:r>
        <w:t xml:space="preserve"> </w:t>
      </w:r>
      <w:r w:rsidR="00FC4428">
        <w:t>Response to stakeholder information request for this evaluation, 2024.</w:t>
      </w:r>
    </w:p>
  </w:footnote>
  <w:footnote w:id="112">
    <w:p w14:paraId="4E670423" w14:textId="06475D82" w:rsidR="00FC4428" w:rsidRDefault="00FC4428" w:rsidP="00F04FF5">
      <w:pPr>
        <w:pStyle w:val="FootnoteText"/>
      </w:pPr>
      <w:r>
        <w:rPr>
          <w:rStyle w:val="FootnoteReference"/>
        </w:rPr>
        <w:footnoteRef/>
      </w:r>
      <w:r>
        <w:t xml:space="preserve"> </w:t>
      </w:r>
      <w:r w:rsidR="00B809C3">
        <w:t>Ibid.</w:t>
      </w:r>
    </w:p>
  </w:footnote>
  <w:footnote w:id="113">
    <w:p w14:paraId="1FEBC76F" w14:textId="0DE535DA" w:rsidR="00FC4428" w:rsidRDefault="00FC4428" w:rsidP="00F04FF5">
      <w:pPr>
        <w:pStyle w:val="FootnoteText"/>
      </w:pPr>
      <w:r>
        <w:rPr>
          <w:rStyle w:val="FootnoteReference"/>
        </w:rPr>
        <w:footnoteRef/>
      </w:r>
      <w:r>
        <w:t xml:space="preserve"> </w:t>
      </w:r>
      <w:r w:rsidR="00B809C3">
        <w:t>Ibid.</w:t>
      </w:r>
    </w:p>
  </w:footnote>
  <w:footnote w:id="114">
    <w:p w14:paraId="40A34201" w14:textId="354FA2CB" w:rsidR="003B2BED" w:rsidRDefault="003B2BED">
      <w:pPr>
        <w:pStyle w:val="FootnoteText"/>
      </w:pPr>
      <w:r>
        <w:rPr>
          <w:rStyle w:val="FootnoteReference"/>
        </w:rPr>
        <w:footnoteRef/>
      </w:r>
      <w:r>
        <w:t xml:space="preserve"> </w:t>
      </w:r>
      <w:r w:rsidRPr="003B2BED">
        <w:t>Response to stakeholder information request for this evaluation, 2024.</w:t>
      </w:r>
    </w:p>
  </w:footnote>
  <w:footnote w:id="115">
    <w:p w14:paraId="675110A8" w14:textId="17E364B3" w:rsidR="003B2BED" w:rsidRDefault="003B2BED">
      <w:pPr>
        <w:pStyle w:val="FootnoteText"/>
      </w:pPr>
      <w:r>
        <w:rPr>
          <w:rStyle w:val="FootnoteReference"/>
        </w:rPr>
        <w:footnoteRef/>
      </w:r>
      <w:r>
        <w:t xml:space="preserve"> </w:t>
      </w:r>
      <w:r w:rsidR="004E1CE6">
        <w:t>Ibid.</w:t>
      </w:r>
    </w:p>
  </w:footnote>
  <w:footnote w:id="116">
    <w:p w14:paraId="6D7CA7C4" w14:textId="497D8C7F" w:rsidR="00EE10E2" w:rsidRDefault="00EE10E2">
      <w:pPr>
        <w:pStyle w:val="FootnoteText"/>
      </w:pPr>
      <w:r>
        <w:rPr>
          <w:rStyle w:val="FootnoteReference"/>
        </w:rPr>
        <w:footnoteRef/>
      </w:r>
      <w:r>
        <w:t xml:space="preserve"> For indicators 1 and 2, the evaluation has used ‘</w:t>
      </w:r>
      <w:r w:rsidRPr="00F56C3F">
        <w:t>benefit groups</w:t>
      </w:r>
      <w:r>
        <w:t xml:space="preserve">’ to refer to </w:t>
      </w:r>
      <w:r w:rsidRPr="00F56C3F">
        <w:t xml:space="preserve">all items within a category, sub-category, group and sub-group </w:t>
      </w:r>
      <w:r>
        <w:t>that share</w:t>
      </w:r>
      <w:r w:rsidRPr="00F56C3F">
        <w:t xml:space="preserve"> the same benefit</w:t>
      </w:r>
      <w:r>
        <w:t>, within $2 (</w:t>
      </w:r>
      <w:r w:rsidRPr="00F56C3F">
        <w:t>e.g., two items in A.01.01.01.01 with a benefit of $100 are considered as being in one benefit group, even if they have different suffix values).</w:t>
      </w:r>
      <w:r>
        <w:t xml:space="preserve"> This is to align with IHACPA’s methodology for calculating the Weighted Average Prices and benefit reductions.</w:t>
      </w:r>
    </w:p>
  </w:footnote>
  <w:footnote w:id="117">
    <w:p w14:paraId="554FED60" w14:textId="3C9249F6" w:rsidR="00E61044" w:rsidRDefault="00E61044" w:rsidP="00F04FF5">
      <w:pPr>
        <w:pStyle w:val="FootnoteText"/>
      </w:pPr>
      <w:r>
        <w:rPr>
          <w:rStyle w:val="FootnoteReference"/>
        </w:rPr>
        <w:footnoteRef/>
      </w:r>
      <w:r>
        <w:t xml:space="preserve"> Data supplied by the </w:t>
      </w:r>
      <w:r w:rsidR="00C0725E">
        <w:t>Department</w:t>
      </w:r>
      <w:r>
        <w:t xml:space="preserve"> on 9/05/2024.</w:t>
      </w:r>
    </w:p>
  </w:footnote>
  <w:footnote w:id="118">
    <w:p w14:paraId="675DCCE4" w14:textId="77777777" w:rsidR="00E824F8" w:rsidRDefault="00E824F8" w:rsidP="00E824F8">
      <w:pPr>
        <w:pStyle w:val="FootnoteText"/>
      </w:pPr>
      <w:r>
        <w:rPr>
          <w:rStyle w:val="FootnoteReference"/>
        </w:rPr>
        <w:footnoteRef/>
      </w:r>
      <w:r>
        <w:t xml:space="preserve"> </w:t>
      </w:r>
      <w:r w:rsidRPr="0011369A">
        <w:t>The Honourable Greg Hunt MP &amp; the Medical Technology Association of Australia Limited, Memorandum of Understanding for the policy parameters of the Prostheses List Reforms, 2022.</w:t>
      </w:r>
    </w:p>
  </w:footnote>
  <w:footnote w:id="119">
    <w:p w14:paraId="704224C4" w14:textId="03852617" w:rsidR="00E638D9" w:rsidRDefault="00E638D9">
      <w:pPr>
        <w:pStyle w:val="FootnoteText"/>
      </w:pPr>
      <w:r>
        <w:rPr>
          <w:rStyle w:val="FootnoteReference"/>
        </w:rPr>
        <w:footnoteRef/>
      </w:r>
      <w:r>
        <w:t xml:space="preserve"> Independent </w:t>
      </w:r>
      <w:r w:rsidR="00C86BE0">
        <w:t>Health and Aged Care Pricing Authority</w:t>
      </w:r>
      <w:r w:rsidR="00C64A70">
        <w:t>, Estimates of projected benefits and savings associated with Prostheses List reforms, 12 October 2022.</w:t>
      </w:r>
    </w:p>
  </w:footnote>
  <w:footnote w:id="120">
    <w:p w14:paraId="3F9C8114" w14:textId="093B0B4C" w:rsidR="0061020A" w:rsidRDefault="0061020A" w:rsidP="0061020A">
      <w:pPr>
        <w:pStyle w:val="FootnoteText"/>
      </w:pPr>
      <w:r>
        <w:rPr>
          <w:rStyle w:val="FootnoteReference"/>
        </w:rPr>
        <w:footnoteRef/>
      </w:r>
      <w:r>
        <w:t xml:space="preserve"> </w:t>
      </w:r>
      <w:r w:rsidR="0075573D">
        <w:t>Ibid.</w:t>
      </w:r>
    </w:p>
  </w:footnote>
  <w:footnote w:id="121">
    <w:p w14:paraId="120DB09C" w14:textId="3A5F3C47" w:rsidR="00B26302" w:rsidRDefault="00B26302">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22">
    <w:p w14:paraId="1E9C3C26" w14:textId="709A77E9" w:rsidR="00A60076" w:rsidRDefault="00A60076">
      <w:pPr>
        <w:pStyle w:val="FootnoteText"/>
      </w:pPr>
      <w:r>
        <w:rPr>
          <w:rStyle w:val="FootnoteReference"/>
        </w:rPr>
        <w:footnoteRef/>
      </w:r>
      <w:r>
        <w:t xml:space="preserve"> </w:t>
      </w:r>
      <w:r w:rsidR="00887CCE">
        <w:t>Evaluation team conversations with the Department</w:t>
      </w:r>
      <w:r w:rsidR="00B7473D">
        <w:t>, 2024.</w:t>
      </w:r>
    </w:p>
  </w:footnote>
  <w:footnote w:id="123">
    <w:p w14:paraId="49B6F4E1" w14:textId="77777777" w:rsidR="008C1A6C" w:rsidRDefault="008C1A6C" w:rsidP="008C1A6C">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24">
    <w:p w14:paraId="7665DEB0" w14:textId="77777777" w:rsidR="00842D6E" w:rsidRDefault="00842D6E" w:rsidP="00842D6E">
      <w:pPr>
        <w:pStyle w:val="FootnoteText"/>
      </w:pPr>
      <w:r>
        <w:rPr>
          <w:rStyle w:val="FootnoteReference"/>
        </w:rPr>
        <w:footnoteRef/>
      </w:r>
      <w:r>
        <w:t xml:space="preserve"> </w:t>
      </w:r>
      <w:r w:rsidRPr="00F60B28">
        <w:t>Australian Prudential Regulation Authority, Quarterly Private Health Insurance Prostheses, June 2023</w:t>
      </w:r>
      <w:r>
        <w:t>.</w:t>
      </w:r>
    </w:p>
  </w:footnote>
  <w:footnote w:id="125">
    <w:p w14:paraId="28DA315B" w14:textId="77777777" w:rsidR="008C1A6C" w:rsidRDefault="008C1A6C" w:rsidP="008C1A6C">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26">
    <w:p w14:paraId="763684A4" w14:textId="77777777" w:rsidR="00CD68EB" w:rsidRDefault="00CD68EB" w:rsidP="00CD68EB">
      <w:pPr>
        <w:pStyle w:val="FootnoteText"/>
      </w:pPr>
      <w:r>
        <w:rPr>
          <w:rStyle w:val="FootnoteReference"/>
        </w:rPr>
        <w:footnoteRef/>
      </w:r>
      <w:r>
        <w:t xml:space="preserve"> </w:t>
      </w:r>
      <w:r w:rsidRPr="00F60B28">
        <w:t>Australian Prudential Regulation Authority, Quarterly Private Health Insurance Prostheses, June 2023</w:t>
      </w:r>
      <w:r>
        <w:t>.</w:t>
      </w:r>
    </w:p>
  </w:footnote>
  <w:footnote w:id="127">
    <w:p w14:paraId="248B829D" w14:textId="77777777" w:rsidR="00CD68EB" w:rsidRDefault="00CD68EB" w:rsidP="00CD68EB">
      <w:pPr>
        <w:pStyle w:val="FootnoteText"/>
      </w:pPr>
      <w:r>
        <w:rPr>
          <w:rStyle w:val="FootnoteReference"/>
        </w:rPr>
        <w:footnoteRef/>
      </w:r>
      <w:r>
        <w:t xml:space="preserve"> As at 3 November 2023, the Department reported that HCP data had 91.5% estimated completeness for prostheses items in FY21 and 75.5% estimated completeness for prostheses items in FY23.</w:t>
      </w:r>
    </w:p>
  </w:footnote>
  <w:footnote w:id="128">
    <w:p w14:paraId="3E77077A" w14:textId="77777777" w:rsidR="00B26285" w:rsidRDefault="00B26285" w:rsidP="00B26285">
      <w:pPr>
        <w:pStyle w:val="FootnoteText"/>
      </w:pPr>
      <w:r>
        <w:rPr>
          <w:rStyle w:val="FootnoteReference"/>
        </w:rPr>
        <w:footnoteRef/>
      </w:r>
      <w:r>
        <w:t xml:space="preserve"> It should be noted there was no reduction of the technical support services component of CIED benefits included in the 1 July 2024 PL update, and the parameters of this reduction were redacted in the estimates provided to the evaluation team.</w:t>
      </w:r>
    </w:p>
  </w:footnote>
  <w:footnote w:id="129">
    <w:p w14:paraId="5410C4B8" w14:textId="3E18B340" w:rsidR="00964431" w:rsidRDefault="00964431">
      <w:pPr>
        <w:pStyle w:val="FootnoteText"/>
      </w:pPr>
      <w:r>
        <w:rPr>
          <w:rStyle w:val="FootnoteReference"/>
        </w:rPr>
        <w:footnoteRef/>
      </w:r>
      <w:r>
        <w:t xml:space="preserve"> Evaluation team conversations with the Department, 2024.</w:t>
      </w:r>
    </w:p>
  </w:footnote>
  <w:footnote w:id="130">
    <w:p w14:paraId="0AB8DF03" w14:textId="0294675A" w:rsidR="001B61FB" w:rsidRDefault="001B61FB" w:rsidP="001B61FB">
      <w:pPr>
        <w:pStyle w:val="FootnoteText"/>
      </w:pPr>
      <w:r>
        <w:rPr>
          <w:rStyle w:val="FootnoteReference"/>
        </w:rPr>
        <w:footnoteRef/>
      </w:r>
      <w:r>
        <w:t xml:space="preserve"> Independent Health and Aged Care Pricing Authority, Estimates of projected benefits and savings associated with Prostheses List reforms, 12 October 2022; Independent Health and Aged Care Pricing Authority, Updated estimates of projected benefits and savings associated with Prescribed List reforms, 13 December 2023.</w:t>
      </w:r>
    </w:p>
  </w:footnote>
  <w:footnote w:id="131">
    <w:p w14:paraId="6F51E1CC" w14:textId="77777777" w:rsidR="001A2EB5" w:rsidRDefault="001A2EB5" w:rsidP="001A2EB5">
      <w:pPr>
        <w:pStyle w:val="FootnoteText"/>
      </w:pPr>
      <w:r>
        <w:rPr>
          <w:rStyle w:val="FootnoteReference"/>
        </w:rPr>
        <w:footnoteRef/>
      </w:r>
      <w:r>
        <w:t xml:space="preserve"> </w:t>
      </w:r>
      <w:r w:rsidRPr="001A2EB5">
        <w:t>The October 2022 estimates only projected four years of savings. To compare to five years of accumulated savings from the December 2023 estimate, a fifth year of benefits and savings was extrapolated by applying the same annual change rate methodology to the October 2022 estimates.</w:t>
      </w:r>
    </w:p>
  </w:footnote>
  <w:footnote w:id="132">
    <w:p w14:paraId="5EAC7CAA" w14:textId="77777777" w:rsidR="001062EC" w:rsidRDefault="001062EC" w:rsidP="001062EC">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33">
    <w:p w14:paraId="010143F0" w14:textId="77777777" w:rsidR="00767ECE" w:rsidRDefault="00767ECE" w:rsidP="00767ECE">
      <w:pPr>
        <w:pStyle w:val="FootnoteText"/>
      </w:pPr>
      <w:r>
        <w:rPr>
          <w:rStyle w:val="FootnoteReference"/>
        </w:rPr>
        <w:footnoteRef/>
      </w:r>
      <w:r>
        <w:t xml:space="preserve"> Independent Health and Aged Care Pricing Authority, Updated estimates of projected benefits and savings associated with Prescribed List reforms, 13 December 2023.</w:t>
      </w:r>
    </w:p>
  </w:footnote>
  <w:footnote w:id="134">
    <w:p w14:paraId="3D646951" w14:textId="77777777" w:rsidR="001E4E8B" w:rsidRPr="00E50193" w:rsidRDefault="001E4E8B" w:rsidP="001E4E8B">
      <w:pPr>
        <w:pStyle w:val="FootnoteText"/>
      </w:pPr>
      <w:r w:rsidRPr="00E50193">
        <w:rPr>
          <w:rStyle w:val="FootnoteReference"/>
        </w:rPr>
        <w:footnoteRef/>
      </w:r>
      <w:r w:rsidRPr="00E50193">
        <w:t xml:space="preserve"> l'Assurance Maladie, Liste des Produits et Prestations, http://www.codage.ext.cnamts.fr/codif/tips/index.php?p_site=AMELI. The Liste des Produits et Prestations (LPP) is a list of medical device and human tissue products that guides reimbursement for the French national health insurance system. It has a comparable scope to the PL and it prices products at a higher level of grouping than the PL. </w:t>
      </w:r>
    </w:p>
  </w:footnote>
  <w:footnote w:id="135">
    <w:p w14:paraId="50291AC5" w14:textId="77777777" w:rsidR="001E4E8B" w:rsidRPr="00AA3B75" w:rsidRDefault="001E4E8B" w:rsidP="001E4E8B">
      <w:pPr>
        <w:pStyle w:val="FootnoteText"/>
        <w:rPr>
          <w:sz w:val="16"/>
          <w:szCs w:val="16"/>
        </w:rPr>
      </w:pPr>
      <w:r w:rsidRPr="00E50193">
        <w:rPr>
          <w:rStyle w:val="FootnoteReference"/>
        </w:rPr>
        <w:footnoteRef/>
      </w:r>
      <w:r w:rsidRPr="00E50193">
        <w:t xml:space="preserve"> Pharmac, Hospital Medical Devices Schedule, July 2016, July 2017, July 2018, July 2019, July 2020 and July 2021 editions. The Pharmac Hospital Medical Devices Schedule (Pharmac) is a list of contracted medical devices products for New Zealand public hospitals. It has a narrower scope than the PL at baseline—noting it is in the process of being expanded—and it prices products on an individual basis, not in concert with equivalent products within a group like the PL and LPP.</w:t>
      </w:r>
    </w:p>
  </w:footnote>
  <w:footnote w:id="136">
    <w:p w14:paraId="0CB28B0E" w14:textId="604E4E9C" w:rsidR="00590D62" w:rsidRDefault="00590D62" w:rsidP="00F04FF5">
      <w:pPr>
        <w:pStyle w:val="FootnoteText"/>
      </w:pPr>
      <w:r>
        <w:rPr>
          <w:rStyle w:val="FootnoteReference"/>
        </w:rPr>
        <w:footnoteRef/>
      </w:r>
      <w:r>
        <w:t xml:space="preserve"> </w:t>
      </w:r>
      <w:r w:rsidR="00C0725E">
        <w:t>Department</w:t>
      </w:r>
      <w:r w:rsidRPr="00E50193">
        <w:t xml:space="preserve"> of Health and Aged Care, Prostheses List Part A (Prostheses), August 2016, August 2017, August 2018, August 2019, July 2020</w:t>
      </w:r>
      <w:r>
        <w:t xml:space="preserve">, </w:t>
      </w:r>
      <w:r w:rsidRPr="00E50193">
        <w:t>July 2021</w:t>
      </w:r>
      <w:r>
        <w:t>, July 2022 and July 2023</w:t>
      </w:r>
      <w:r w:rsidRPr="00E50193">
        <w:t xml:space="preserve"> editions; Pharmac, Hospital Medical Devices Schedule, July 2016, July 2017, July 2018, July 2019, July 2020</w:t>
      </w:r>
      <w:r>
        <w:t xml:space="preserve">, </w:t>
      </w:r>
      <w:r w:rsidRPr="00E50193">
        <w:t>July 2021</w:t>
      </w:r>
      <w:r>
        <w:t>, July 2022 and July 2023</w:t>
      </w:r>
      <w:r w:rsidRPr="00E50193">
        <w:t xml:space="preserve"> editions; l'Assurance Maladie, Liste des Produits et Prestations, http://www.codage.ext.cnamts.fr/codif/tips/index.php?p_site=AMELI</w:t>
      </w:r>
      <w:r>
        <w:t>.</w:t>
      </w:r>
    </w:p>
  </w:footnote>
  <w:footnote w:id="137">
    <w:p w14:paraId="16B0CDA5" w14:textId="78BA0EF4" w:rsidR="00590D62" w:rsidRDefault="00590D62" w:rsidP="00F04FF5">
      <w:pPr>
        <w:pStyle w:val="FootnoteText"/>
      </w:pPr>
      <w:r>
        <w:rPr>
          <w:rStyle w:val="FootnoteReference"/>
        </w:rPr>
        <w:footnoteRef/>
      </w:r>
      <w:r>
        <w:t xml:space="preserve"> </w:t>
      </w:r>
      <w:r w:rsidR="00C0725E">
        <w:t>Department</w:t>
      </w:r>
      <w:r w:rsidRPr="00E50193">
        <w:t xml:space="preserve"> of Health and Aged Care, Prostheses List Part A (Prostheses), August 2016, August 2017, August 2018, August 2019, July 2020</w:t>
      </w:r>
      <w:r>
        <w:t xml:space="preserve">, </w:t>
      </w:r>
      <w:r w:rsidRPr="00E50193">
        <w:t>July 2021</w:t>
      </w:r>
      <w:r>
        <w:t>, July 2022 and July 2023</w:t>
      </w:r>
      <w:r w:rsidRPr="00E50193">
        <w:t xml:space="preserve"> editions; Pharmac, Hospital Medical Devices Schedule, July 2016, July 2017, July 2018, July 2019, July 2020</w:t>
      </w:r>
      <w:r>
        <w:t xml:space="preserve">, </w:t>
      </w:r>
      <w:r w:rsidRPr="00E50193">
        <w:t>July 2021</w:t>
      </w:r>
      <w:r>
        <w:t>, July 2022 and July 2023</w:t>
      </w:r>
      <w:r w:rsidRPr="00E50193">
        <w:t xml:space="preserve"> editions; l'Assurance Maladie, Liste des Produits et Prestations, http://www.codage.ext.cnamts.fr/codif/tips/index.php?p_site=AMELI</w:t>
      </w:r>
      <w:r>
        <w:t>.</w:t>
      </w:r>
    </w:p>
  </w:footnote>
  <w:footnote w:id="138">
    <w:p w14:paraId="211ED849" w14:textId="70AE9624" w:rsidR="00590D62" w:rsidRDefault="00590D62" w:rsidP="00F04FF5">
      <w:pPr>
        <w:pStyle w:val="FootnoteText"/>
      </w:pPr>
      <w:r>
        <w:rPr>
          <w:rStyle w:val="FootnoteReference"/>
        </w:rPr>
        <w:footnoteRef/>
      </w:r>
      <w:r>
        <w:t xml:space="preserve"> </w:t>
      </w:r>
      <w:r w:rsidR="00C0725E">
        <w:t>Department</w:t>
      </w:r>
      <w:r w:rsidRPr="00E50193">
        <w:t xml:space="preserve"> of Health and Aged Care, Prostheses List Part A (Prostheses), August 2016, August 2017, August 2018, August 2019, July 2020</w:t>
      </w:r>
      <w:r>
        <w:t xml:space="preserve">, </w:t>
      </w:r>
      <w:r w:rsidRPr="00E50193">
        <w:t>July 2021</w:t>
      </w:r>
      <w:r>
        <w:t>, July 2022 and July 2023</w:t>
      </w:r>
      <w:r w:rsidRPr="00E50193">
        <w:t xml:space="preserve"> editions; Pharmac, Hospital Medical Devices Schedule, July 2016, July 2017, July 2018, July 2019, July 2020</w:t>
      </w:r>
      <w:r>
        <w:t xml:space="preserve">, </w:t>
      </w:r>
      <w:r w:rsidRPr="00E50193">
        <w:t>July 2021</w:t>
      </w:r>
      <w:r>
        <w:t>, July 2022 and July 2023</w:t>
      </w:r>
      <w:r w:rsidRPr="00E50193">
        <w:t xml:space="preserve"> editions; l'Assurance Maladie, Liste des Produits et Prestations, http://www.codage.ext.cnamts.fr/codif/tips/index.php?p_site=AMELI</w:t>
      </w:r>
      <w:r>
        <w:t>.</w:t>
      </w:r>
    </w:p>
  </w:footnote>
  <w:footnote w:id="139">
    <w:p w14:paraId="34F25AF1" w14:textId="77777777" w:rsidR="001A183D" w:rsidRDefault="001A183D" w:rsidP="001A183D">
      <w:pPr>
        <w:pStyle w:val="FootnoteText"/>
      </w:pPr>
      <w:r>
        <w:rPr>
          <w:rStyle w:val="FootnoteReference"/>
        </w:rPr>
        <w:footnoteRef/>
      </w:r>
      <w:r>
        <w:t xml:space="preserve"> </w:t>
      </w:r>
      <w:r w:rsidRPr="00FD21E9">
        <w:t>Department of Health and Aged Care, Hospital Casemix Protocol Dataset, 202</w:t>
      </w:r>
      <w:r>
        <w:t>4</w:t>
      </w:r>
      <w:r w:rsidRPr="00FD21E9">
        <w:t>.</w:t>
      </w:r>
    </w:p>
  </w:footnote>
  <w:footnote w:id="140">
    <w:p w14:paraId="3F7AF32A" w14:textId="77777777" w:rsidR="001A183D" w:rsidRDefault="001A183D" w:rsidP="001A183D">
      <w:pPr>
        <w:pStyle w:val="FootnoteText"/>
      </w:pPr>
      <w:r>
        <w:rPr>
          <w:rStyle w:val="FootnoteReference"/>
        </w:rPr>
        <w:footnoteRef/>
      </w:r>
      <w:r>
        <w:t xml:space="preserve"> </w:t>
      </w:r>
      <w:r w:rsidRPr="00FD21E9">
        <w:t>Department of Health and Aged Care, Hospital Casemix Protocol Dataset, 202</w:t>
      </w:r>
      <w:r>
        <w:t>4</w:t>
      </w:r>
      <w:r w:rsidRPr="00FD21E9">
        <w:t>.</w:t>
      </w:r>
    </w:p>
  </w:footnote>
  <w:footnote w:id="141">
    <w:p w14:paraId="458D9898" w14:textId="380C1800" w:rsidR="00F14C5A" w:rsidRDefault="00F14C5A" w:rsidP="00F04FF5">
      <w:pPr>
        <w:pStyle w:val="FootnoteText"/>
      </w:pPr>
      <w:r>
        <w:rPr>
          <w:rStyle w:val="FootnoteReference"/>
        </w:rPr>
        <w:footnoteRef/>
      </w:r>
      <w:r>
        <w:t xml:space="preserve"> Th</w:t>
      </w:r>
      <w:r w:rsidR="001844E3">
        <w:t>is</w:t>
      </w:r>
      <w:r>
        <w:t xml:space="preserve"> </w:t>
      </w:r>
      <w:r w:rsidR="00BC7216">
        <w:t xml:space="preserve">adjustment </w:t>
      </w:r>
      <w:r w:rsidR="001844E3">
        <w:t>was not applied</w:t>
      </w:r>
      <w:r w:rsidR="00BC7216">
        <w:t xml:space="preserve"> </w:t>
      </w:r>
      <w:r w:rsidR="002E4DCC">
        <w:t>in</w:t>
      </w:r>
      <w:r w:rsidR="00BC7216">
        <w:t xml:space="preserve"> </w:t>
      </w:r>
      <w:r w:rsidR="00A3597A">
        <w:t xml:space="preserve">instances where categories </w:t>
      </w:r>
      <w:r w:rsidR="008F0896">
        <w:t xml:space="preserve">had less than </w:t>
      </w:r>
      <w:r w:rsidR="00F939EC">
        <w:t xml:space="preserve">or equal to </w:t>
      </w:r>
      <w:r w:rsidR="000F60F4">
        <w:t>10 benefit groups</w:t>
      </w:r>
      <w:r w:rsidR="00006400">
        <w:t xml:space="preserve"> (e.g., smaller cate</w:t>
      </w:r>
      <w:r w:rsidR="000A5221">
        <w:t>gories in Part C and D).</w:t>
      </w:r>
      <w:r w:rsidR="00C03583">
        <w:t xml:space="preserve"> Note that the adjustment was determined to be applied before any of the analyses were undertaken</w:t>
      </w:r>
      <w:r w:rsidR="003C63E8">
        <w:t xml:space="preserve"> and</w:t>
      </w:r>
      <w:r w:rsidR="004E7399">
        <w:t xml:space="preserve"> it so happen</w:t>
      </w:r>
      <w:r w:rsidR="00612DCA">
        <w:t>ed</w:t>
      </w:r>
      <w:r w:rsidR="004E7399">
        <w:t xml:space="preserve"> that the adjustment did</w:t>
      </w:r>
      <w:r w:rsidR="0039311F">
        <w:t xml:space="preserve"> not</w:t>
      </w:r>
      <w:r w:rsidR="004E7399">
        <w:t xml:space="preserve"> meaningfully alter the </w:t>
      </w:r>
      <w:r w:rsidR="007044EB">
        <w:t>results or key findings.</w:t>
      </w:r>
    </w:p>
  </w:footnote>
  <w:footnote w:id="142">
    <w:p w14:paraId="77A9AB48" w14:textId="77777777" w:rsidR="00F62B91" w:rsidRDefault="00F62B91" w:rsidP="00F04FF5">
      <w:pPr>
        <w:pStyle w:val="FootnoteText"/>
      </w:pPr>
      <w:r>
        <w:rPr>
          <w:rStyle w:val="FootnoteReference"/>
        </w:rPr>
        <w:footnoteRef/>
      </w:r>
      <w:r>
        <w:t xml:space="preserve"> </w:t>
      </w:r>
      <w:r w:rsidRPr="00773087">
        <w:t>Australian Prudential Regulation Authority, Quarterly Private Health Insurance Statistics Membership Trends, June 2023.</w:t>
      </w:r>
    </w:p>
  </w:footnote>
  <w:footnote w:id="143">
    <w:p w14:paraId="431CD461" w14:textId="77777777" w:rsidR="00F62B91" w:rsidRDefault="00F62B91" w:rsidP="00F04FF5">
      <w:pPr>
        <w:pStyle w:val="FootnoteText"/>
      </w:pPr>
      <w:r>
        <w:rPr>
          <w:rStyle w:val="FootnoteReference"/>
        </w:rPr>
        <w:footnoteRef/>
      </w:r>
      <w:r>
        <w:t xml:space="preserve"> </w:t>
      </w:r>
      <w:r w:rsidRPr="00773087">
        <w:t>Australian Prudential Regulation Authority, Quarterly Private Health Insurance Statistics Membership Trends, June 2023</w:t>
      </w:r>
      <w:r>
        <w:t xml:space="preserve">; </w:t>
      </w:r>
      <w:r w:rsidRPr="00F07F91">
        <w:t>Australia Bureau of Statistics, Quarterly Population Estimates (ERP), by State/Territory, Sex and Age.</w:t>
      </w:r>
    </w:p>
  </w:footnote>
  <w:footnote w:id="144">
    <w:p w14:paraId="220A23F1" w14:textId="77777777" w:rsidR="00F62B91" w:rsidRDefault="00F62B91" w:rsidP="00F04FF5">
      <w:pPr>
        <w:pStyle w:val="FootnoteText"/>
      </w:pPr>
      <w:r>
        <w:rPr>
          <w:rStyle w:val="FootnoteReference"/>
        </w:rPr>
        <w:footnoteRef/>
      </w:r>
      <w:r>
        <w:t xml:space="preserve"> Ibid.</w:t>
      </w:r>
    </w:p>
  </w:footnote>
  <w:footnote w:id="145">
    <w:p w14:paraId="49E34A79" w14:textId="7131CE86" w:rsidR="00590D62" w:rsidRDefault="00590D62" w:rsidP="00F04FF5">
      <w:pPr>
        <w:pStyle w:val="FootnoteText"/>
      </w:pPr>
      <w:r>
        <w:rPr>
          <w:rStyle w:val="FootnoteReference"/>
        </w:rPr>
        <w:footnoteRef/>
      </w:r>
      <w:r>
        <w:t xml:space="preserve"> </w:t>
      </w:r>
      <w:r w:rsidR="00C0725E">
        <w:t>Department</w:t>
      </w:r>
      <w:r w:rsidRPr="00773087">
        <w:t xml:space="preserve"> of Health and Aged Care, Prostheses List Part A (Prostheses), Part B (Human Tissue)</w:t>
      </w:r>
      <w:r>
        <w:t xml:space="preserve">, </w:t>
      </w:r>
      <w:r w:rsidRPr="00773087">
        <w:t xml:space="preserve">Part C (Other), </w:t>
      </w:r>
      <w:r>
        <w:t xml:space="preserve">and Part D (General Use Items), </w:t>
      </w:r>
      <w:r w:rsidRPr="00773087">
        <w:t>July 202</w:t>
      </w:r>
      <w:r>
        <w:t>3</w:t>
      </w:r>
      <w:r w:rsidRPr="00773087">
        <w:t xml:space="preserve"> edition.</w:t>
      </w:r>
    </w:p>
  </w:footnote>
  <w:footnote w:id="146">
    <w:p w14:paraId="170AABD6" w14:textId="5FCB86E3" w:rsidR="00942E6F" w:rsidRDefault="00942E6F">
      <w:pPr>
        <w:pStyle w:val="FootnoteText"/>
      </w:pPr>
      <w:r>
        <w:rPr>
          <w:rStyle w:val="FootnoteReference"/>
        </w:rPr>
        <w:footnoteRef/>
      </w:r>
      <w:r>
        <w:t xml:space="preserve"> </w:t>
      </w:r>
      <w:r w:rsidR="005D336A">
        <w:t>The</w:t>
      </w:r>
      <w:r>
        <w:t xml:space="preserve"> evaluation has used ‘</w:t>
      </w:r>
      <w:r w:rsidRPr="00F56C3F">
        <w:t>benefit groups</w:t>
      </w:r>
      <w:r>
        <w:t>’</w:t>
      </w:r>
      <w:r w:rsidR="005D336A">
        <w:t xml:space="preserve"> </w:t>
      </w:r>
      <w:r w:rsidR="002E6A9E">
        <w:t xml:space="preserve">here </w:t>
      </w:r>
      <w:r>
        <w:t xml:space="preserve">to refer to </w:t>
      </w:r>
      <w:r w:rsidRPr="00F56C3F">
        <w:t xml:space="preserve">all items within a category, sub-category, group and sub-group </w:t>
      </w:r>
      <w:r>
        <w:t>that share</w:t>
      </w:r>
      <w:r w:rsidRPr="00F56C3F">
        <w:t xml:space="preserve"> the same benefit</w:t>
      </w:r>
      <w:r w:rsidR="005D336A">
        <w:t>.</w:t>
      </w:r>
    </w:p>
  </w:footnote>
  <w:footnote w:id="147">
    <w:p w14:paraId="59044D84" w14:textId="0502FDA9" w:rsidR="001247E8" w:rsidRDefault="001247E8">
      <w:pPr>
        <w:pStyle w:val="FootnoteText"/>
      </w:pPr>
      <w:r>
        <w:rPr>
          <w:rStyle w:val="FootnoteReference"/>
        </w:rPr>
        <w:footnoteRef/>
      </w:r>
      <w:r>
        <w:t xml:space="preserve"> The evaluation has used ‘</w:t>
      </w:r>
      <w:r w:rsidRPr="00F56C3F">
        <w:t>benefit groups</w:t>
      </w:r>
      <w:r>
        <w:t xml:space="preserve">’ here to refer to </w:t>
      </w:r>
      <w:r w:rsidRPr="00F56C3F">
        <w:t xml:space="preserve">all items within a category, sub-category, group and sub-group </w:t>
      </w:r>
      <w:r>
        <w:t>that share</w:t>
      </w:r>
      <w:r w:rsidRPr="00F56C3F">
        <w:t xml:space="preserve"> the same benefit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08B35" w14:textId="144CE61E" w:rsidR="00632C4A" w:rsidRDefault="00632C4A">
    <w:pPr>
      <w:pStyle w:val="Header"/>
    </w:pPr>
    <w:r>
      <w:rPr>
        <w:noProof/>
        <w:sz w:val="20"/>
        <w:szCs w:val="20"/>
        <w:lang w:eastAsia="en-AU"/>
      </w:rPr>
      <w:drawing>
        <wp:anchor distT="0" distB="0" distL="114300" distR="114300" simplePos="0" relativeHeight="251658241" behindDoc="0" locked="0" layoutInCell="1" allowOverlap="1" wp14:anchorId="217B9968" wp14:editId="44CC8025">
          <wp:simplePos x="0" y="0"/>
          <wp:positionH relativeFrom="page">
            <wp:posOffset>3337</wp:posOffset>
          </wp:positionH>
          <wp:positionV relativeFrom="page">
            <wp:posOffset>-6985</wp:posOffset>
          </wp:positionV>
          <wp:extent cx="7559749" cy="116958"/>
          <wp:effectExtent l="0" t="0" r="0" b="0"/>
          <wp:wrapNone/>
          <wp:docPr id="50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Picture 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D0E03" w14:textId="403C723E" w:rsidR="00683B52" w:rsidRDefault="00683B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AD1B2" w14:textId="6452CD72" w:rsidR="00683B52" w:rsidRDefault="00683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A3481" w14:textId="0DBB977E" w:rsidR="00632C4A" w:rsidRDefault="00632C4A">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9604A" w14:textId="4DA4782B" w:rsidR="00683B52" w:rsidRDefault="00683B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9D9E2" w14:textId="39A2E350" w:rsidR="00FD1812" w:rsidRDefault="00FD1812">
    <w:r>
      <w:rPr>
        <w:noProof/>
        <w:sz w:val="20"/>
        <w:szCs w:val="20"/>
        <w:lang w:val="en-AU" w:eastAsia="en-AU"/>
      </w:rPr>
      <w:drawing>
        <wp:anchor distT="0" distB="0" distL="114300" distR="114300" simplePos="0" relativeHeight="251658240" behindDoc="0" locked="0" layoutInCell="1" allowOverlap="1" wp14:anchorId="4E541D1E" wp14:editId="745CE760">
          <wp:simplePos x="0" y="0"/>
          <wp:positionH relativeFrom="page">
            <wp:posOffset>-1</wp:posOffset>
          </wp:positionH>
          <wp:positionV relativeFrom="page">
            <wp:posOffset>0</wp:posOffset>
          </wp:positionV>
          <wp:extent cx="10696575" cy="114300"/>
          <wp:effectExtent l="0" t="0" r="9525" b="0"/>
          <wp:wrapNone/>
          <wp:docPr id="961228829" name="Picture 961228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228829" name="Picture 96122882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945355"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67F00" w14:textId="6524BE46" w:rsidR="00683B52" w:rsidRDefault="00683B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59173" w14:textId="7F246EBD" w:rsidR="00683B52" w:rsidRDefault="00683B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1AA2B" w14:textId="33B93C80" w:rsidR="00683B52" w:rsidRDefault="00683B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88137" w14:textId="38F737CC" w:rsidR="00683B52" w:rsidRDefault="00683B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3A08C" w14:textId="57A06B2D" w:rsidR="00683B52" w:rsidRDefault="00683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4389"/>
    <w:multiLevelType w:val="multilevel"/>
    <w:tmpl w:val="57608F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806CD"/>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093D2E"/>
    <w:multiLevelType w:val="hybridMultilevel"/>
    <w:tmpl w:val="93EE978A"/>
    <w:lvl w:ilvl="0" w:tplc="13E4739C">
      <w:start w:val="1"/>
      <w:numFmt w:val="bullet"/>
      <w:lvlText w:val=""/>
      <w:lvlJc w:val="left"/>
      <w:pPr>
        <w:ind w:left="1060" w:hanging="360"/>
      </w:pPr>
      <w:rPr>
        <w:rFonts w:ascii="Symbol" w:hAnsi="Symbol"/>
      </w:rPr>
    </w:lvl>
    <w:lvl w:ilvl="1" w:tplc="96EC57D4">
      <w:start w:val="1"/>
      <w:numFmt w:val="bullet"/>
      <w:lvlText w:val=""/>
      <w:lvlJc w:val="left"/>
      <w:pPr>
        <w:ind w:left="1060" w:hanging="360"/>
      </w:pPr>
      <w:rPr>
        <w:rFonts w:ascii="Symbol" w:hAnsi="Symbol"/>
      </w:rPr>
    </w:lvl>
    <w:lvl w:ilvl="2" w:tplc="ECFE8FA4">
      <w:start w:val="1"/>
      <w:numFmt w:val="bullet"/>
      <w:lvlText w:val=""/>
      <w:lvlJc w:val="left"/>
      <w:pPr>
        <w:ind w:left="1060" w:hanging="360"/>
      </w:pPr>
      <w:rPr>
        <w:rFonts w:ascii="Symbol" w:hAnsi="Symbol"/>
      </w:rPr>
    </w:lvl>
    <w:lvl w:ilvl="3" w:tplc="FF30943C">
      <w:start w:val="1"/>
      <w:numFmt w:val="bullet"/>
      <w:lvlText w:val=""/>
      <w:lvlJc w:val="left"/>
      <w:pPr>
        <w:ind w:left="1060" w:hanging="360"/>
      </w:pPr>
      <w:rPr>
        <w:rFonts w:ascii="Symbol" w:hAnsi="Symbol"/>
      </w:rPr>
    </w:lvl>
    <w:lvl w:ilvl="4" w:tplc="4D9A7460">
      <w:start w:val="1"/>
      <w:numFmt w:val="bullet"/>
      <w:lvlText w:val=""/>
      <w:lvlJc w:val="left"/>
      <w:pPr>
        <w:ind w:left="1060" w:hanging="360"/>
      </w:pPr>
      <w:rPr>
        <w:rFonts w:ascii="Symbol" w:hAnsi="Symbol"/>
      </w:rPr>
    </w:lvl>
    <w:lvl w:ilvl="5" w:tplc="FCFE3AF6">
      <w:start w:val="1"/>
      <w:numFmt w:val="bullet"/>
      <w:lvlText w:val=""/>
      <w:lvlJc w:val="left"/>
      <w:pPr>
        <w:ind w:left="1060" w:hanging="360"/>
      </w:pPr>
      <w:rPr>
        <w:rFonts w:ascii="Symbol" w:hAnsi="Symbol"/>
      </w:rPr>
    </w:lvl>
    <w:lvl w:ilvl="6" w:tplc="5B8429A6">
      <w:start w:val="1"/>
      <w:numFmt w:val="bullet"/>
      <w:lvlText w:val=""/>
      <w:lvlJc w:val="left"/>
      <w:pPr>
        <w:ind w:left="1060" w:hanging="360"/>
      </w:pPr>
      <w:rPr>
        <w:rFonts w:ascii="Symbol" w:hAnsi="Symbol"/>
      </w:rPr>
    </w:lvl>
    <w:lvl w:ilvl="7" w:tplc="2460BA46">
      <w:start w:val="1"/>
      <w:numFmt w:val="bullet"/>
      <w:lvlText w:val=""/>
      <w:lvlJc w:val="left"/>
      <w:pPr>
        <w:ind w:left="1060" w:hanging="360"/>
      </w:pPr>
      <w:rPr>
        <w:rFonts w:ascii="Symbol" w:hAnsi="Symbol"/>
      </w:rPr>
    </w:lvl>
    <w:lvl w:ilvl="8" w:tplc="8DF8CFFC">
      <w:start w:val="1"/>
      <w:numFmt w:val="bullet"/>
      <w:lvlText w:val=""/>
      <w:lvlJc w:val="left"/>
      <w:pPr>
        <w:ind w:left="1060" w:hanging="360"/>
      </w:pPr>
      <w:rPr>
        <w:rFonts w:ascii="Symbol" w:hAnsi="Symbol"/>
      </w:rPr>
    </w:lvl>
  </w:abstractNum>
  <w:abstractNum w:abstractNumId="3" w15:restartNumberingAfterBreak="0">
    <w:nsid w:val="0D3E2620"/>
    <w:multiLevelType w:val="hybridMultilevel"/>
    <w:tmpl w:val="84346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6A6B43"/>
    <w:multiLevelType w:val="hybridMultilevel"/>
    <w:tmpl w:val="8ACE72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4C6387"/>
    <w:multiLevelType w:val="hybridMultilevel"/>
    <w:tmpl w:val="0DBEA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7A1D1A"/>
    <w:multiLevelType w:val="hybridMultilevel"/>
    <w:tmpl w:val="27D8F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4B6AC0"/>
    <w:multiLevelType w:val="hybridMultilevel"/>
    <w:tmpl w:val="4D984720"/>
    <w:lvl w:ilvl="0" w:tplc="FE2C7FF0">
      <w:start w:val="1"/>
      <w:numFmt w:val="bullet"/>
      <w:lvlText w:val=""/>
      <w:lvlJc w:val="left"/>
      <w:pPr>
        <w:ind w:left="1060" w:hanging="360"/>
      </w:pPr>
      <w:rPr>
        <w:rFonts w:ascii="Symbol" w:hAnsi="Symbol"/>
      </w:rPr>
    </w:lvl>
    <w:lvl w:ilvl="1" w:tplc="B8CAC842">
      <w:start w:val="1"/>
      <w:numFmt w:val="bullet"/>
      <w:lvlText w:val=""/>
      <w:lvlJc w:val="left"/>
      <w:pPr>
        <w:ind w:left="1060" w:hanging="360"/>
      </w:pPr>
      <w:rPr>
        <w:rFonts w:ascii="Symbol" w:hAnsi="Symbol"/>
      </w:rPr>
    </w:lvl>
    <w:lvl w:ilvl="2" w:tplc="3AB806D4">
      <w:start w:val="1"/>
      <w:numFmt w:val="bullet"/>
      <w:lvlText w:val=""/>
      <w:lvlJc w:val="left"/>
      <w:pPr>
        <w:ind w:left="1060" w:hanging="360"/>
      </w:pPr>
      <w:rPr>
        <w:rFonts w:ascii="Symbol" w:hAnsi="Symbol"/>
      </w:rPr>
    </w:lvl>
    <w:lvl w:ilvl="3" w:tplc="2D6A9614">
      <w:start w:val="1"/>
      <w:numFmt w:val="bullet"/>
      <w:lvlText w:val=""/>
      <w:lvlJc w:val="left"/>
      <w:pPr>
        <w:ind w:left="1060" w:hanging="360"/>
      </w:pPr>
      <w:rPr>
        <w:rFonts w:ascii="Symbol" w:hAnsi="Symbol"/>
      </w:rPr>
    </w:lvl>
    <w:lvl w:ilvl="4" w:tplc="260E53CA">
      <w:start w:val="1"/>
      <w:numFmt w:val="bullet"/>
      <w:lvlText w:val=""/>
      <w:lvlJc w:val="left"/>
      <w:pPr>
        <w:ind w:left="1060" w:hanging="360"/>
      </w:pPr>
      <w:rPr>
        <w:rFonts w:ascii="Symbol" w:hAnsi="Symbol"/>
      </w:rPr>
    </w:lvl>
    <w:lvl w:ilvl="5" w:tplc="CAA0E6E2">
      <w:start w:val="1"/>
      <w:numFmt w:val="bullet"/>
      <w:lvlText w:val=""/>
      <w:lvlJc w:val="left"/>
      <w:pPr>
        <w:ind w:left="1060" w:hanging="360"/>
      </w:pPr>
      <w:rPr>
        <w:rFonts w:ascii="Symbol" w:hAnsi="Symbol"/>
      </w:rPr>
    </w:lvl>
    <w:lvl w:ilvl="6" w:tplc="F254072E">
      <w:start w:val="1"/>
      <w:numFmt w:val="bullet"/>
      <w:lvlText w:val=""/>
      <w:lvlJc w:val="left"/>
      <w:pPr>
        <w:ind w:left="1060" w:hanging="360"/>
      </w:pPr>
      <w:rPr>
        <w:rFonts w:ascii="Symbol" w:hAnsi="Symbol"/>
      </w:rPr>
    </w:lvl>
    <w:lvl w:ilvl="7" w:tplc="B870485C">
      <w:start w:val="1"/>
      <w:numFmt w:val="bullet"/>
      <w:lvlText w:val=""/>
      <w:lvlJc w:val="left"/>
      <w:pPr>
        <w:ind w:left="1060" w:hanging="360"/>
      </w:pPr>
      <w:rPr>
        <w:rFonts w:ascii="Symbol" w:hAnsi="Symbol"/>
      </w:rPr>
    </w:lvl>
    <w:lvl w:ilvl="8" w:tplc="5094AEF6">
      <w:start w:val="1"/>
      <w:numFmt w:val="bullet"/>
      <w:lvlText w:val=""/>
      <w:lvlJc w:val="left"/>
      <w:pPr>
        <w:ind w:left="1060" w:hanging="360"/>
      </w:pPr>
      <w:rPr>
        <w:rFonts w:ascii="Symbol" w:hAnsi="Symbol"/>
      </w:rPr>
    </w:lvl>
  </w:abstractNum>
  <w:abstractNum w:abstractNumId="10" w15:restartNumberingAfterBreak="0">
    <w:nsid w:val="2CB711BE"/>
    <w:multiLevelType w:val="multilevel"/>
    <w:tmpl w:val="A81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A21239"/>
    <w:multiLevelType w:val="hybridMultilevel"/>
    <w:tmpl w:val="861E9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403D09"/>
    <w:multiLevelType w:val="hybridMultilevel"/>
    <w:tmpl w:val="192AB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D1413D"/>
    <w:multiLevelType w:val="multilevel"/>
    <w:tmpl w:val="A17ECD7C"/>
    <w:lvl w:ilvl="0">
      <w:start w:val="1"/>
      <w:numFmt w:val="bullet"/>
      <w:pStyle w:val="TableNBullet"/>
      <w:lvlText w:val=""/>
      <w:lvlJc w:val="left"/>
      <w:pPr>
        <w:ind w:left="227" w:hanging="227"/>
      </w:pPr>
      <w:rPr>
        <w:rFonts w:ascii="Symbol" w:hAnsi="Symbol" w:hint="default"/>
        <w:color w:val="auto"/>
        <w:position w:val="0"/>
        <w:sz w:val="16"/>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3B363CA9"/>
    <w:multiLevelType w:val="multilevel"/>
    <w:tmpl w:val="C92050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C59238"/>
    <w:multiLevelType w:val="hybridMultilevel"/>
    <w:tmpl w:val="FFFFFFFF"/>
    <w:lvl w:ilvl="0" w:tplc="9FFAAC9E">
      <w:start w:val="1"/>
      <w:numFmt w:val="bullet"/>
      <w:lvlText w:val=""/>
      <w:lvlJc w:val="left"/>
      <w:pPr>
        <w:ind w:left="360" w:hanging="360"/>
      </w:pPr>
      <w:rPr>
        <w:rFonts w:ascii="Symbol" w:hAnsi="Symbol" w:hint="default"/>
      </w:rPr>
    </w:lvl>
    <w:lvl w:ilvl="1" w:tplc="B1349C06">
      <w:start w:val="1"/>
      <w:numFmt w:val="bullet"/>
      <w:lvlText w:val="o"/>
      <w:lvlJc w:val="left"/>
      <w:pPr>
        <w:ind w:left="1080" w:hanging="360"/>
      </w:pPr>
      <w:rPr>
        <w:rFonts w:ascii="Courier New" w:hAnsi="Courier New" w:hint="default"/>
      </w:rPr>
    </w:lvl>
    <w:lvl w:ilvl="2" w:tplc="3D265D0E">
      <w:start w:val="1"/>
      <w:numFmt w:val="bullet"/>
      <w:lvlText w:val=""/>
      <w:lvlJc w:val="left"/>
      <w:pPr>
        <w:ind w:left="1800" w:hanging="360"/>
      </w:pPr>
      <w:rPr>
        <w:rFonts w:ascii="Wingdings" w:hAnsi="Wingdings" w:hint="default"/>
      </w:rPr>
    </w:lvl>
    <w:lvl w:ilvl="3" w:tplc="470E2FD6">
      <w:start w:val="1"/>
      <w:numFmt w:val="bullet"/>
      <w:lvlText w:val=""/>
      <w:lvlJc w:val="left"/>
      <w:pPr>
        <w:ind w:left="2520" w:hanging="360"/>
      </w:pPr>
      <w:rPr>
        <w:rFonts w:ascii="Symbol" w:hAnsi="Symbol" w:hint="default"/>
      </w:rPr>
    </w:lvl>
    <w:lvl w:ilvl="4" w:tplc="81947B0C">
      <w:start w:val="1"/>
      <w:numFmt w:val="bullet"/>
      <w:lvlText w:val="o"/>
      <w:lvlJc w:val="left"/>
      <w:pPr>
        <w:ind w:left="3240" w:hanging="360"/>
      </w:pPr>
      <w:rPr>
        <w:rFonts w:ascii="Courier New" w:hAnsi="Courier New" w:hint="default"/>
      </w:rPr>
    </w:lvl>
    <w:lvl w:ilvl="5" w:tplc="0D1419B0">
      <w:start w:val="1"/>
      <w:numFmt w:val="bullet"/>
      <w:lvlText w:val=""/>
      <w:lvlJc w:val="left"/>
      <w:pPr>
        <w:ind w:left="3960" w:hanging="360"/>
      </w:pPr>
      <w:rPr>
        <w:rFonts w:ascii="Wingdings" w:hAnsi="Wingdings" w:hint="default"/>
      </w:rPr>
    </w:lvl>
    <w:lvl w:ilvl="6" w:tplc="F8FECEC6">
      <w:start w:val="1"/>
      <w:numFmt w:val="bullet"/>
      <w:lvlText w:val=""/>
      <w:lvlJc w:val="left"/>
      <w:pPr>
        <w:ind w:left="4680" w:hanging="360"/>
      </w:pPr>
      <w:rPr>
        <w:rFonts w:ascii="Symbol" w:hAnsi="Symbol" w:hint="default"/>
      </w:rPr>
    </w:lvl>
    <w:lvl w:ilvl="7" w:tplc="031201FA">
      <w:start w:val="1"/>
      <w:numFmt w:val="bullet"/>
      <w:lvlText w:val="o"/>
      <w:lvlJc w:val="left"/>
      <w:pPr>
        <w:ind w:left="5400" w:hanging="360"/>
      </w:pPr>
      <w:rPr>
        <w:rFonts w:ascii="Courier New" w:hAnsi="Courier New" w:hint="default"/>
      </w:rPr>
    </w:lvl>
    <w:lvl w:ilvl="8" w:tplc="4D10ED80">
      <w:start w:val="1"/>
      <w:numFmt w:val="bullet"/>
      <w:lvlText w:val=""/>
      <w:lvlJc w:val="left"/>
      <w:pPr>
        <w:ind w:left="6120" w:hanging="360"/>
      </w:pPr>
      <w:rPr>
        <w:rFonts w:ascii="Wingdings" w:hAnsi="Wingdings" w:hint="default"/>
      </w:rPr>
    </w:lvl>
  </w:abstractNum>
  <w:abstractNum w:abstractNumId="17" w15:restartNumberingAfterBreak="0">
    <w:nsid w:val="40024DFF"/>
    <w:multiLevelType w:val="hybridMultilevel"/>
    <w:tmpl w:val="E7F06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946E4B"/>
    <w:multiLevelType w:val="multilevel"/>
    <w:tmpl w:val="E294D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79305F"/>
    <w:multiLevelType w:val="multilevel"/>
    <w:tmpl w:val="46CC71E8"/>
    <w:lvl w:ilvl="0">
      <w:start w:val="1"/>
      <w:numFmt w:val="decimal"/>
      <w:pStyle w:val="Heading1"/>
      <w:lvlText w:val="%1"/>
      <w:lvlJc w:val="left"/>
      <w:pPr>
        <w:ind w:left="432" w:hanging="432"/>
      </w:pPr>
      <w:rPr>
        <w:rFonts w:ascii="Segoe UI" w:eastAsia="Times New Roman" w:hAnsi="Segoe UI" w:cs="Times New Roman"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56E1900"/>
    <w:multiLevelType w:val="multilevel"/>
    <w:tmpl w:val="AC54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B66241"/>
    <w:multiLevelType w:val="multilevel"/>
    <w:tmpl w:val="327C4E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C7016A"/>
    <w:multiLevelType w:val="hybridMultilevel"/>
    <w:tmpl w:val="EEC46330"/>
    <w:lvl w:ilvl="0" w:tplc="A2ECB2C4">
      <w:start w:val="1"/>
      <w:numFmt w:val="decimal"/>
      <w:lvlText w:val="%1."/>
      <w:lvlJc w:val="left"/>
      <w:pPr>
        <w:ind w:left="1140" w:hanging="360"/>
      </w:pPr>
    </w:lvl>
    <w:lvl w:ilvl="1" w:tplc="9974A08E">
      <w:start w:val="1"/>
      <w:numFmt w:val="decimal"/>
      <w:lvlText w:val="%2."/>
      <w:lvlJc w:val="left"/>
      <w:pPr>
        <w:ind w:left="1140" w:hanging="360"/>
      </w:pPr>
    </w:lvl>
    <w:lvl w:ilvl="2" w:tplc="FE40A32A">
      <w:start w:val="1"/>
      <w:numFmt w:val="decimal"/>
      <w:lvlText w:val="%3."/>
      <w:lvlJc w:val="left"/>
      <w:pPr>
        <w:ind w:left="1140" w:hanging="360"/>
      </w:pPr>
    </w:lvl>
    <w:lvl w:ilvl="3" w:tplc="1E0C3B32">
      <w:start w:val="1"/>
      <w:numFmt w:val="decimal"/>
      <w:lvlText w:val="%4."/>
      <w:lvlJc w:val="left"/>
      <w:pPr>
        <w:ind w:left="1140" w:hanging="360"/>
      </w:pPr>
    </w:lvl>
    <w:lvl w:ilvl="4" w:tplc="7F10029C">
      <w:start w:val="1"/>
      <w:numFmt w:val="decimal"/>
      <w:lvlText w:val="%5."/>
      <w:lvlJc w:val="left"/>
      <w:pPr>
        <w:ind w:left="1140" w:hanging="360"/>
      </w:pPr>
    </w:lvl>
    <w:lvl w:ilvl="5" w:tplc="6F14B312">
      <w:start w:val="1"/>
      <w:numFmt w:val="decimal"/>
      <w:lvlText w:val="%6."/>
      <w:lvlJc w:val="left"/>
      <w:pPr>
        <w:ind w:left="1140" w:hanging="360"/>
      </w:pPr>
    </w:lvl>
    <w:lvl w:ilvl="6" w:tplc="3D9CF868">
      <w:start w:val="1"/>
      <w:numFmt w:val="decimal"/>
      <w:lvlText w:val="%7."/>
      <w:lvlJc w:val="left"/>
      <w:pPr>
        <w:ind w:left="1140" w:hanging="360"/>
      </w:pPr>
    </w:lvl>
    <w:lvl w:ilvl="7" w:tplc="32F2BE6C">
      <w:start w:val="1"/>
      <w:numFmt w:val="decimal"/>
      <w:lvlText w:val="%8."/>
      <w:lvlJc w:val="left"/>
      <w:pPr>
        <w:ind w:left="1140" w:hanging="360"/>
      </w:pPr>
    </w:lvl>
    <w:lvl w:ilvl="8" w:tplc="AA54F4C4">
      <w:start w:val="1"/>
      <w:numFmt w:val="decimal"/>
      <w:lvlText w:val="%9."/>
      <w:lvlJc w:val="left"/>
      <w:pPr>
        <w:ind w:left="1140" w:hanging="360"/>
      </w:pPr>
    </w:lvl>
  </w:abstractNum>
  <w:abstractNum w:abstractNumId="24" w15:restartNumberingAfterBreak="0">
    <w:nsid w:val="5D8B5D7B"/>
    <w:multiLevelType w:val="hybridMultilevel"/>
    <w:tmpl w:val="E2AA1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BD5CE4"/>
    <w:multiLevelType w:val="hybridMultilevel"/>
    <w:tmpl w:val="E49A8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E61457"/>
    <w:multiLevelType w:val="hybridMultilevel"/>
    <w:tmpl w:val="22A6C1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00F6CD5"/>
    <w:multiLevelType w:val="hybridMultilevel"/>
    <w:tmpl w:val="022C9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EB60B0"/>
    <w:multiLevelType w:val="hybridMultilevel"/>
    <w:tmpl w:val="FF7A84E6"/>
    <w:lvl w:ilvl="0" w:tplc="DC10E8BC">
      <w:start w:val="1"/>
      <w:numFmt w:val="bullet"/>
      <w:lvlText w:val=""/>
      <w:lvlJc w:val="left"/>
      <w:pPr>
        <w:ind w:left="360" w:hanging="360"/>
      </w:pPr>
      <w:rPr>
        <w:rFonts w:ascii="Symbol" w:hAnsi="Symbol" w:hint="default"/>
      </w:rPr>
    </w:lvl>
    <w:lvl w:ilvl="1" w:tplc="20560A74">
      <w:start w:val="1"/>
      <w:numFmt w:val="bullet"/>
      <w:lvlText w:val="o"/>
      <w:lvlJc w:val="left"/>
      <w:pPr>
        <w:ind w:left="1080" w:hanging="360"/>
      </w:pPr>
      <w:rPr>
        <w:rFonts w:ascii="Courier New" w:hAnsi="Courier New" w:hint="default"/>
      </w:rPr>
    </w:lvl>
    <w:lvl w:ilvl="2" w:tplc="46C42D52">
      <w:start w:val="1"/>
      <w:numFmt w:val="bullet"/>
      <w:lvlText w:val=""/>
      <w:lvlJc w:val="left"/>
      <w:pPr>
        <w:ind w:left="1800" w:hanging="360"/>
      </w:pPr>
      <w:rPr>
        <w:rFonts w:ascii="Wingdings" w:hAnsi="Wingdings" w:hint="default"/>
      </w:rPr>
    </w:lvl>
    <w:lvl w:ilvl="3" w:tplc="274E46D6">
      <w:start w:val="1"/>
      <w:numFmt w:val="bullet"/>
      <w:lvlText w:val=""/>
      <w:lvlJc w:val="left"/>
      <w:pPr>
        <w:ind w:left="2520" w:hanging="360"/>
      </w:pPr>
      <w:rPr>
        <w:rFonts w:ascii="Symbol" w:hAnsi="Symbol" w:hint="default"/>
      </w:rPr>
    </w:lvl>
    <w:lvl w:ilvl="4" w:tplc="DA047DEA">
      <w:start w:val="1"/>
      <w:numFmt w:val="bullet"/>
      <w:lvlText w:val="o"/>
      <w:lvlJc w:val="left"/>
      <w:pPr>
        <w:ind w:left="3240" w:hanging="360"/>
      </w:pPr>
      <w:rPr>
        <w:rFonts w:ascii="Courier New" w:hAnsi="Courier New" w:hint="default"/>
      </w:rPr>
    </w:lvl>
    <w:lvl w:ilvl="5" w:tplc="031ED3DA">
      <w:start w:val="1"/>
      <w:numFmt w:val="bullet"/>
      <w:lvlText w:val=""/>
      <w:lvlJc w:val="left"/>
      <w:pPr>
        <w:ind w:left="3960" w:hanging="360"/>
      </w:pPr>
      <w:rPr>
        <w:rFonts w:ascii="Wingdings" w:hAnsi="Wingdings" w:hint="default"/>
      </w:rPr>
    </w:lvl>
    <w:lvl w:ilvl="6" w:tplc="D3EEE0A2">
      <w:start w:val="1"/>
      <w:numFmt w:val="bullet"/>
      <w:lvlText w:val=""/>
      <w:lvlJc w:val="left"/>
      <w:pPr>
        <w:ind w:left="4680" w:hanging="360"/>
      </w:pPr>
      <w:rPr>
        <w:rFonts w:ascii="Symbol" w:hAnsi="Symbol" w:hint="default"/>
      </w:rPr>
    </w:lvl>
    <w:lvl w:ilvl="7" w:tplc="402AFF5E">
      <w:start w:val="1"/>
      <w:numFmt w:val="bullet"/>
      <w:lvlText w:val="o"/>
      <w:lvlJc w:val="left"/>
      <w:pPr>
        <w:ind w:left="5400" w:hanging="360"/>
      </w:pPr>
      <w:rPr>
        <w:rFonts w:ascii="Courier New" w:hAnsi="Courier New" w:hint="default"/>
      </w:rPr>
    </w:lvl>
    <w:lvl w:ilvl="8" w:tplc="833ACF6C">
      <w:start w:val="1"/>
      <w:numFmt w:val="bullet"/>
      <w:lvlText w:val=""/>
      <w:lvlJc w:val="left"/>
      <w:pPr>
        <w:ind w:left="6120" w:hanging="360"/>
      </w:pPr>
      <w:rPr>
        <w:rFonts w:ascii="Wingdings" w:hAnsi="Wingdings" w:hint="default"/>
      </w:rPr>
    </w:lvl>
  </w:abstractNum>
  <w:abstractNum w:abstractNumId="29" w15:restartNumberingAfterBreak="0">
    <w:nsid w:val="702C133C"/>
    <w:multiLevelType w:val="hybridMultilevel"/>
    <w:tmpl w:val="22686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A16EBA"/>
    <w:multiLevelType w:val="multilevel"/>
    <w:tmpl w:val="1BAE2BB8"/>
    <w:lvl w:ilvl="0">
      <w:start w:val="1"/>
      <w:numFmt w:val="upperLetter"/>
      <w:pStyle w:val="xAppendixLevel1"/>
      <w:lvlText w:val="Appendix %1"/>
      <w:lvlJc w:val="left"/>
      <w:pPr>
        <w:ind w:left="2410" w:hanging="2268"/>
      </w:pPr>
      <w:rPr>
        <w:specVanish w: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1" w15:restartNumberingAfterBreak="0">
    <w:nsid w:val="748276A2"/>
    <w:multiLevelType w:val="multilevel"/>
    <w:tmpl w:val="FCB2C8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1938CD"/>
    <w:multiLevelType w:val="multilevel"/>
    <w:tmpl w:val="7B4ECA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15232">
    <w:abstractNumId w:val="30"/>
  </w:num>
  <w:num w:numId="2" w16cid:durableId="1577670265">
    <w:abstractNumId w:val="30"/>
  </w:num>
  <w:num w:numId="3" w16cid:durableId="1149589232">
    <w:abstractNumId w:val="33"/>
  </w:num>
  <w:num w:numId="4" w16cid:durableId="826366527">
    <w:abstractNumId w:val="5"/>
  </w:num>
  <w:num w:numId="5" w16cid:durableId="2049336720">
    <w:abstractNumId w:val="14"/>
  </w:num>
  <w:num w:numId="6" w16cid:durableId="1431777580">
    <w:abstractNumId w:val="12"/>
  </w:num>
  <w:num w:numId="7" w16cid:durableId="1966738097">
    <w:abstractNumId w:val="18"/>
  </w:num>
  <w:num w:numId="8" w16cid:durableId="1870289602">
    <w:abstractNumId w:val="6"/>
  </w:num>
  <w:num w:numId="9" w16cid:durableId="377706413">
    <w:abstractNumId w:val="5"/>
    <w:lvlOverride w:ilvl="0">
      <w:startOverride w:val="1"/>
    </w:lvlOverride>
  </w:num>
  <w:num w:numId="10" w16cid:durableId="597371743">
    <w:abstractNumId w:val="10"/>
  </w:num>
  <w:num w:numId="11" w16cid:durableId="866256545">
    <w:abstractNumId w:val="21"/>
  </w:num>
  <w:num w:numId="12" w16cid:durableId="525365114">
    <w:abstractNumId w:val="4"/>
  </w:num>
  <w:num w:numId="13" w16cid:durableId="895316032">
    <w:abstractNumId w:val="7"/>
  </w:num>
  <w:num w:numId="14" w16cid:durableId="1374421903">
    <w:abstractNumId w:val="9"/>
  </w:num>
  <w:num w:numId="15" w16cid:durableId="1308777859">
    <w:abstractNumId w:val="2"/>
  </w:num>
  <w:num w:numId="16" w16cid:durableId="2006280714">
    <w:abstractNumId w:val="19"/>
  </w:num>
  <w:num w:numId="17" w16cid:durableId="1108819118">
    <w:abstractNumId w:val="22"/>
  </w:num>
  <w:num w:numId="18" w16cid:durableId="1504513027">
    <w:abstractNumId w:val="32"/>
  </w:num>
  <w:num w:numId="19" w16cid:durableId="866942947">
    <w:abstractNumId w:val="0"/>
  </w:num>
  <w:num w:numId="20" w16cid:durableId="2126343925">
    <w:abstractNumId w:val="31"/>
  </w:num>
  <w:num w:numId="21" w16cid:durableId="697243405">
    <w:abstractNumId w:val="15"/>
  </w:num>
  <w:num w:numId="22" w16cid:durableId="1312096638">
    <w:abstractNumId w:val="5"/>
    <w:lvlOverride w:ilvl="0">
      <w:startOverride w:val="1"/>
    </w:lvlOverride>
  </w:num>
  <w:num w:numId="23" w16cid:durableId="585656678">
    <w:abstractNumId w:val="20"/>
  </w:num>
  <w:num w:numId="24" w16cid:durableId="14865105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218718">
    <w:abstractNumId w:val="29"/>
  </w:num>
  <w:num w:numId="26" w16cid:durableId="1966428259">
    <w:abstractNumId w:val="16"/>
  </w:num>
  <w:num w:numId="27" w16cid:durableId="629362160">
    <w:abstractNumId w:val="28"/>
  </w:num>
  <w:num w:numId="28" w16cid:durableId="92629008">
    <w:abstractNumId w:val="3"/>
  </w:num>
  <w:num w:numId="29" w16cid:durableId="1273632633">
    <w:abstractNumId w:val="17"/>
  </w:num>
  <w:num w:numId="30" w16cid:durableId="543560600">
    <w:abstractNumId w:val="25"/>
  </w:num>
  <w:num w:numId="31" w16cid:durableId="1761948966">
    <w:abstractNumId w:val="8"/>
  </w:num>
  <w:num w:numId="32" w16cid:durableId="2030444802">
    <w:abstractNumId w:val="5"/>
    <w:lvlOverride w:ilvl="0">
      <w:startOverride w:val="1"/>
    </w:lvlOverride>
  </w:num>
  <w:num w:numId="33" w16cid:durableId="1918981181">
    <w:abstractNumId w:val="26"/>
  </w:num>
  <w:num w:numId="34" w16cid:durableId="2080902602">
    <w:abstractNumId w:val="11"/>
  </w:num>
  <w:num w:numId="35" w16cid:durableId="1278484981">
    <w:abstractNumId w:val="23"/>
  </w:num>
  <w:num w:numId="36" w16cid:durableId="897664547">
    <w:abstractNumId w:val="27"/>
  </w:num>
  <w:num w:numId="37" w16cid:durableId="2122336199">
    <w:abstractNumId w:val="24"/>
  </w:num>
  <w:num w:numId="38" w16cid:durableId="580411953">
    <w:abstractNumId w:val="13"/>
  </w:num>
  <w:num w:numId="39" w16cid:durableId="817263057">
    <w:abstractNumId w:val="5"/>
    <w:lvlOverride w:ilvl="0">
      <w:startOverride w:val="1"/>
    </w:lvlOverride>
  </w:num>
  <w:num w:numId="40" w16cid:durableId="1641884330">
    <w:abstractNumId w:val="5"/>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C4A"/>
    <w:rsid w:val="000001B7"/>
    <w:rsid w:val="0000027F"/>
    <w:rsid w:val="0000032A"/>
    <w:rsid w:val="000003AC"/>
    <w:rsid w:val="0000049E"/>
    <w:rsid w:val="000005FB"/>
    <w:rsid w:val="00000652"/>
    <w:rsid w:val="000006C0"/>
    <w:rsid w:val="00000A5A"/>
    <w:rsid w:val="00000B3B"/>
    <w:rsid w:val="00000BE7"/>
    <w:rsid w:val="00000D8E"/>
    <w:rsid w:val="00000DD7"/>
    <w:rsid w:val="00001528"/>
    <w:rsid w:val="000017AC"/>
    <w:rsid w:val="00001A2E"/>
    <w:rsid w:val="00001AEA"/>
    <w:rsid w:val="00001AEB"/>
    <w:rsid w:val="00001D8B"/>
    <w:rsid w:val="00001E0A"/>
    <w:rsid w:val="00001E44"/>
    <w:rsid w:val="00001EE4"/>
    <w:rsid w:val="00001F5D"/>
    <w:rsid w:val="00001FA7"/>
    <w:rsid w:val="0000234B"/>
    <w:rsid w:val="00002659"/>
    <w:rsid w:val="000028A7"/>
    <w:rsid w:val="00002910"/>
    <w:rsid w:val="00002AED"/>
    <w:rsid w:val="00002C0D"/>
    <w:rsid w:val="00002C17"/>
    <w:rsid w:val="00002F5E"/>
    <w:rsid w:val="00003372"/>
    <w:rsid w:val="00003587"/>
    <w:rsid w:val="000036B7"/>
    <w:rsid w:val="000036DF"/>
    <w:rsid w:val="00003D3D"/>
    <w:rsid w:val="00003D5B"/>
    <w:rsid w:val="00003E16"/>
    <w:rsid w:val="00003FB5"/>
    <w:rsid w:val="000040A2"/>
    <w:rsid w:val="000041E6"/>
    <w:rsid w:val="0000454F"/>
    <w:rsid w:val="00004613"/>
    <w:rsid w:val="000047E6"/>
    <w:rsid w:val="00004911"/>
    <w:rsid w:val="00004987"/>
    <w:rsid w:val="000049C4"/>
    <w:rsid w:val="00004A56"/>
    <w:rsid w:val="00004BA7"/>
    <w:rsid w:val="00004D3B"/>
    <w:rsid w:val="000053A0"/>
    <w:rsid w:val="0000543E"/>
    <w:rsid w:val="0000551F"/>
    <w:rsid w:val="00005843"/>
    <w:rsid w:val="00005B0C"/>
    <w:rsid w:val="00005C23"/>
    <w:rsid w:val="00005D60"/>
    <w:rsid w:val="00005E56"/>
    <w:rsid w:val="00006077"/>
    <w:rsid w:val="0000624F"/>
    <w:rsid w:val="000062E9"/>
    <w:rsid w:val="00006400"/>
    <w:rsid w:val="0000641E"/>
    <w:rsid w:val="00006490"/>
    <w:rsid w:val="00006553"/>
    <w:rsid w:val="000065C2"/>
    <w:rsid w:val="000065DC"/>
    <w:rsid w:val="000065F3"/>
    <w:rsid w:val="0000678F"/>
    <w:rsid w:val="000067A0"/>
    <w:rsid w:val="00006811"/>
    <w:rsid w:val="00006824"/>
    <w:rsid w:val="00006910"/>
    <w:rsid w:val="00006BB2"/>
    <w:rsid w:val="00006FE4"/>
    <w:rsid w:val="000070FE"/>
    <w:rsid w:val="0000733F"/>
    <w:rsid w:val="000075D9"/>
    <w:rsid w:val="0000775F"/>
    <w:rsid w:val="000077E4"/>
    <w:rsid w:val="0000797B"/>
    <w:rsid w:val="00007985"/>
    <w:rsid w:val="00007B41"/>
    <w:rsid w:val="00007C23"/>
    <w:rsid w:val="00007DCE"/>
    <w:rsid w:val="00007EB5"/>
    <w:rsid w:val="00010018"/>
    <w:rsid w:val="00010468"/>
    <w:rsid w:val="000106A1"/>
    <w:rsid w:val="00010A74"/>
    <w:rsid w:val="00010B37"/>
    <w:rsid w:val="00010C0F"/>
    <w:rsid w:val="00010D5D"/>
    <w:rsid w:val="00010FC7"/>
    <w:rsid w:val="0001161E"/>
    <w:rsid w:val="0001181F"/>
    <w:rsid w:val="00011938"/>
    <w:rsid w:val="00011B11"/>
    <w:rsid w:val="00011D09"/>
    <w:rsid w:val="00011E3D"/>
    <w:rsid w:val="00011F04"/>
    <w:rsid w:val="000121A9"/>
    <w:rsid w:val="000122F8"/>
    <w:rsid w:val="00012748"/>
    <w:rsid w:val="000128D8"/>
    <w:rsid w:val="000128DF"/>
    <w:rsid w:val="000128F6"/>
    <w:rsid w:val="00012B29"/>
    <w:rsid w:val="00012C77"/>
    <w:rsid w:val="00012CB2"/>
    <w:rsid w:val="00013263"/>
    <w:rsid w:val="0001328C"/>
    <w:rsid w:val="0001365E"/>
    <w:rsid w:val="000137FA"/>
    <w:rsid w:val="00013A3B"/>
    <w:rsid w:val="0001416C"/>
    <w:rsid w:val="0001471B"/>
    <w:rsid w:val="00014886"/>
    <w:rsid w:val="00014A04"/>
    <w:rsid w:val="00014C0E"/>
    <w:rsid w:val="00014F1A"/>
    <w:rsid w:val="00014F3C"/>
    <w:rsid w:val="00015100"/>
    <w:rsid w:val="000153BE"/>
    <w:rsid w:val="000153CF"/>
    <w:rsid w:val="0001544A"/>
    <w:rsid w:val="00015479"/>
    <w:rsid w:val="000155B9"/>
    <w:rsid w:val="0001564C"/>
    <w:rsid w:val="00015915"/>
    <w:rsid w:val="00015AC1"/>
    <w:rsid w:val="00015B84"/>
    <w:rsid w:val="00015C7C"/>
    <w:rsid w:val="00015CC5"/>
    <w:rsid w:val="0001607A"/>
    <w:rsid w:val="000160A6"/>
    <w:rsid w:val="000161B2"/>
    <w:rsid w:val="0001643C"/>
    <w:rsid w:val="00016446"/>
    <w:rsid w:val="00016630"/>
    <w:rsid w:val="00016673"/>
    <w:rsid w:val="0001670E"/>
    <w:rsid w:val="000167D9"/>
    <w:rsid w:val="00016971"/>
    <w:rsid w:val="00016DCE"/>
    <w:rsid w:val="00016E4E"/>
    <w:rsid w:val="00016EF3"/>
    <w:rsid w:val="00017053"/>
    <w:rsid w:val="0001711B"/>
    <w:rsid w:val="00017125"/>
    <w:rsid w:val="000176B7"/>
    <w:rsid w:val="00017A80"/>
    <w:rsid w:val="00017B50"/>
    <w:rsid w:val="00017BB1"/>
    <w:rsid w:val="00017C7B"/>
    <w:rsid w:val="00017E9C"/>
    <w:rsid w:val="00017E9E"/>
    <w:rsid w:val="00017EA0"/>
    <w:rsid w:val="00017F0C"/>
    <w:rsid w:val="00017F7B"/>
    <w:rsid w:val="0001DECF"/>
    <w:rsid w:val="0002045A"/>
    <w:rsid w:val="00020593"/>
    <w:rsid w:val="0002060C"/>
    <w:rsid w:val="000206DB"/>
    <w:rsid w:val="00020A2C"/>
    <w:rsid w:val="00020A97"/>
    <w:rsid w:val="00020AE6"/>
    <w:rsid w:val="00020B22"/>
    <w:rsid w:val="00020C0E"/>
    <w:rsid w:val="00020CB9"/>
    <w:rsid w:val="00020D31"/>
    <w:rsid w:val="00021046"/>
    <w:rsid w:val="000211B0"/>
    <w:rsid w:val="000211DE"/>
    <w:rsid w:val="00021250"/>
    <w:rsid w:val="00021306"/>
    <w:rsid w:val="00021335"/>
    <w:rsid w:val="000213BA"/>
    <w:rsid w:val="000216D3"/>
    <w:rsid w:val="000216D6"/>
    <w:rsid w:val="000217EF"/>
    <w:rsid w:val="0002194C"/>
    <w:rsid w:val="00021DC4"/>
    <w:rsid w:val="00021DF3"/>
    <w:rsid w:val="00021EF8"/>
    <w:rsid w:val="00021FE2"/>
    <w:rsid w:val="00022130"/>
    <w:rsid w:val="000225FB"/>
    <w:rsid w:val="000227AA"/>
    <w:rsid w:val="00022E83"/>
    <w:rsid w:val="00022F10"/>
    <w:rsid w:val="00023171"/>
    <w:rsid w:val="00023176"/>
    <w:rsid w:val="0002329A"/>
    <w:rsid w:val="00023503"/>
    <w:rsid w:val="000235EA"/>
    <w:rsid w:val="00023628"/>
    <w:rsid w:val="0002365C"/>
    <w:rsid w:val="0002387D"/>
    <w:rsid w:val="00023B5F"/>
    <w:rsid w:val="00023BF9"/>
    <w:rsid w:val="000241BC"/>
    <w:rsid w:val="00024342"/>
    <w:rsid w:val="00024349"/>
    <w:rsid w:val="0002444B"/>
    <w:rsid w:val="000247F4"/>
    <w:rsid w:val="00024895"/>
    <w:rsid w:val="000248B3"/>
    <w:rsid w:val="00024A83"/>
    <w:rsid w:val="00024BE1"/>
    <w:rsid w:val="00024C92"/>
    <w:rsid w:val="00024FF7"/>
    <w:rsid w:val="00025401"/>
    <w:rsid w:val="00025410"/>
    <w:rsid w:val="0002550C"/>
    <w:rsid w:val="00025515"/>
    <w:rsid w:val="00025774"/>
    <w:rsid w:val="0002577B"/>
    <w:rsid w:val="000257B0"/>
    <w:rsid w:val="00025A13"/>
    <w:rsid w:val="00025BE8"/>
    <w:rsid w:val="00025F0E"/>
    <w:rsid w:val="000262D3"/>
    <w:rsid w:val="000264C0"/>
    <w:rsid w:val="00026543"/>
    <w:rsid w:val="00026575"/>
    <w:rsid w:val="0002681D"/>
    <w:rsid w:val="0002683D"/>
    <w:rsid w:val="00026A75"/>
    <w:rsid w:val="00026C72"/>
    <w:rsid w:val="00027047"/>
    <w:rsid w:val="00027346"/>
    <w:rsid w:val="00027420"/>
    <w:rsid w:val="00027625"/>
    <w:rsid w:val="00027832"/>
    <w:rsid w:val="000279BD"/>
    <w:rsid w:val="000279D5"/>
    <w:rsid w:val="000279E2"/>
    <w:rsid w:val="00027C17"/>
    <w:rsid w:val="00027D0A"/>
    <w:rsid w:val="00027F04"/>
    <w:rsid w:val="00027F46"/>
    <w:rsid w:val="0003002A"/>
    <w:rsid w:val="0003008F"/>
    <w:rsid w:val="000300C2"/>
    <w:rsid w:val="0003011F"/>
    <w:rsid w:val="00030148"/>
    <w:rsid w:val="00030195"/>
    <w:rsid w:val="000301E6"/>
    <w:rsid w:val="000301EE"/>
    <w:rsid w:val="000302B2"/>
    <w:rsid w:val="0003042E"/>
    <w:rsid w:val="0003058F"/>
    <w:rsid w:val="00030640"/>
    <w:rsid w:val="00030658"/>
    <w:rsid w:val="0003067D"/>
    <w:rsid w:val="0003090C"/>
    <w:rsid w:val="00030B3D"/>
    <w:rsid w:val="00030BD3"/>
    <w:rsid w:val="00030BD8"/>
    <w:rsid w:val="00030CF7"/>
    <w:rsid w:val="00030E88"/>
    <w:rsid w:val="00030EAE"/>
    <w:rsid w:val="00031179"/>
    <w:rsid w:val="0003119E"/>
    <w:rsid w:val="000313B4"/>
    <w:rsid w:val="000313F3"/>
    <w:rsid w:val="000315B0"/>
    <w:rsid w:val="000318DB"/>
    <w:rsid w:val="00031930"/>
    <w:rsid w:val="00031A3E"/>
    <w:rsid w:val="00031C60"/>
    <w:rsid w:val="00031C92"/>
    <w:rsid w:val="00031DF5"/>
    <w:rsid w:val="00031E34"/>
    <w:rsid w:val="00031E86"/>
    <w:rsid w:val="000320AE"/>
    <w:rsid w:val="000321A5"/>
    <w:rsid w:val="0003237E"/>
    <w:rsid w:val="000323F7"/>
    <w:rsid w:val="00032492"/>
    <w:rsid w:val="00032970"/>
    <w:rsid w:val="000329B2"/>
    <w:rsid w:val="00032B5B"/>
    <w:rsid w:val="00032BD9"/>
    <w:rsid w:val="00032CC4"/>
    <w:rsid w:val="00032CE7"/>
    <w:rsid w:val="00032D45"/>
    <w:rsid w:val="00032D96"/>
    <w:rsid w:val="00032E62"/>
    <w:rsid w:val="00032FC8"/>
    <w:rsid w:val="00032FE6"/>
    <w:rsid w:val="000331F6"/>
    <w:rsid w:val="000332C7"/>
    <w:rsid w:val="0003379C"/>
    <w:rsid w:val="00033969"/>
    <w:rsid w:val="0003396B"/>
    <w:rsid w:val="000339DE"/>
    <w:rsid w:val="00033A44"/>
    <w:rsid w:val="00033AF7"/>
    <w:rsid w:val="00033B7E"/>
    <w:rsid w:val="00033C25"/>
    <w:rsid w:val="00033DDB"/>
    <w:rsid w:val="00034216"/>
    <w:rsid w:val="00034895"/>
    <w:rsid w:val="00034A06"/>
    <w:rsid w:val="00034A26"/>
    <w:rsid w:val="00034A5C"/>
    <w:rsid w:val="00034ACF"/>
    <w:rsid w:val="00034C12"/>
    <w:rsid w:val="00034CC0"/>
    <w:rsid w:val="00035300"/>
    <w:rsid w:val="0003545A"/>
    <w:rsid w:val="00035557"/>
    <w:rsid w:val="000356F5"/>
    <w:rsid w:val="0003586A"/>
    <w:rsid w:val="00035A4F"/>
    <w:rsid w:val="00035A7D"/>
    <w:rsid w:val="00035F44"/>
    <w:rsid w:val="0003630D"/>
    <w:rsid w:val="00036505"/>
    <w:rsid w:val="00036560"/>
    <w:rsid w:val="0003657A"/>
    <w:rsid w:val="00036714"/>
    <w:rsid w:val="00036797"/>
    <w:rsid w:val="000368E5"/>
    <w:rsid w:val="0003695B"/>
    <w:rsid w:val="00036AA0"/>
    <w:rsid w:val="00036B52"/>
    <w:rsid w:val="00036B6E"/>
    <w:rsid w:val="00036BC7"/>
    <w:rsid w:val="00036CBB"/>
    <w:rsid w:val="00037102"/>
    <w:rsid w:val="00037279"/>
    <w:rsid w:val="000378A0"/>
    <w:rsid w:val="00037A8E"/>
    <w:rsid w:val="00037B72"/>
    <w:rsid w:val="00037C03"/>
    <w:rsid w:val="00037CD6"/>
    <w:rsid w:val="00040022"/>
    <w:rsid w:val="00040035"/>
    <w:rsid w:val="00040284"/>
    <w:rsid w:val="0004033A"/>
    <w:rsid w:val="000404E6"/>
    <w:rsid w:val="00040507"/>
    <w:rsid w:val="000405EB"/>
    <w:rsid w:val="000407A7"/>
    <w:rsid w:val="00040953"/>
    <w:rsid w:val="00040985"/>
    <w:rsid w:val="00040A55"/>
    <w:rsid w:val="00040F31"/>
    <w:rsid w:val="00040FFB"/>
    <w:rsid w:val="000411CA"/>
    <w:rsid w:val="000416DE"/>
    <w:rsid w:val="000417B8"/>
    <w:rsid w:val="00041983"/>
    <w:rsid w:val="00041B88"/>
    <w:rsid w:val="00042076"/>
    <w:rsid w:val="00042474"/>
    <w:rsid w:val="00042B38"/>
    <w:rsid w:val="00042D86"/>
    <w:rsid w:val="00042DD0"/>
    <w:rsid w:val="00042FF2"/>
    <w:rsid w:val="00043584"/>
    <w:rsid w:val="000435A9"/>
    <w:rsid w:val="0004388C"/>
    <w:rsid w:val="000439DE"/>
    <w:rsid w:val="00043AF9"/>
    <w:rsid w:val="00043BCB"/>
    <w:rsid w:val="00043D33"/>
    <w:rsid w:val="00043DE5"/>
    <w:rsid w:val="00043E3D"/>
    <w:rsid w:val="00043E96"/>
    <w:rsid w:val="00043F97"/>
    <w:rsid w:val="00044073"/>
    <w:rsid w:val="000440D9"/>
    <w:rsid w:val="000441CF"/>
    <w:rsid w:val="00044342"/>
    <w:rsid w:val="000443A4"/>
    <w:rsid w:val="000443A6"/>
    <w:rsid w:val="000444F9"/>
    <w:rsid w:val="0004454D"/>
    <w:rsid w:val="00044629"/>
    <w:rsid w:val="0004467E"/>
    <w:rsid w:val="0004485E"/>
    <w:rsid w:val="000449CC"/>
    <w:rsid w:val="00044A79"/>
    <w:rsid w:val="00044C12"/>
    <w:rsid w:val="00044CD4"/>
    <w:rsid w:val="00045107"/>
    <w:rsid w:val="000451A3"/>
    <w:rsid w:val="00045590"/>
    <w:rsid w:val="0004586F"/>
    <w:rsid w:val="00045A75"/>
    <w:rsid w:val="00045AA2"/>
    <w:rsid w:val="00045AE7"/>
    <w:rsid w:val="0004618C"/>
    <w:rsid w:val="000462C0"/>
    <w:rsid w:val="0004634B"/>
    <w:rsid w:val="00046476"/>
    <w:rsid w:val="00046666"/>
    <w:rsid w:val="000466CB"/>
    <w:rsid w:val="00046716"/>
    <w:rsid w:val="00046946"/>
    <w:rsid w:val="000469DB"/>
    <w:rsid w:val="00046CAA"/>
    <w:rsid w:val="00046DB5"/>
    <w:rsid w:val="00046FFA"/>
    <w:rsid w:val="00047042"/>
    <w:rsid w:val="0004710D"/>
    <w:rsid w:val="000471CE"/>
    <w:rsid w:val="000472E3"/>
    <w:rsid w:val="000473D5"/>
    <w:rsid w:val="0004746E"/>
    <w:rsid w:val="000474B3"/>
    <w:rsid w:val="000476D6"/>
    <w:rsid w:val="0004792C"/>
    <w:rsid w:val="000479D1"/>
    <w:rsid w:val="00047A30"/>
    <w:rsid w:val="00047FBE"/>
    <w:rsid w:val="00050416"/>
    <w:rsid w:val="0005044A"/>
    <w:rsid w:val="00050578"/>
    <w:rsid w:val="00050814"/>
    <w:rsid w:val="0005099D"/>
    <w:rsid w:val="000509A4"/>
    <w:rsid w:val="00050B58"/>
    <w:rsid w:val="00051096"/>
    <w:rsid w:val="0005135D"/>
    <w:rsid w:val="0005153A"/>
    <w:rsid w:val="0005169C"/>
    <w:rsid w:val="000516D4"/>
    <w:rsid w:val="000517AB"/>
    <w:rsid w:val="0005183E"/>
    <w:rsid w:val="00051841"/>
    <w:rsid w:val="000519FF"/>
    <w:rsid w:val="000521DE"/>
    <w:rsid w:val="0005243F"/>
    <w:rsid w:val="0005274D"/>
    <w:rsid w:val="00052920"/>
    <w:rsid w:val="0005296F"/>
    <w:rsid w:val="00052CB7"/>
    <w:rsid w:val="00052CED"/>
    <w:rsid w:val="00052EC9"/>
    <w:rsid w:val="00052EE6"/>
    <w:rsid w:val="00052F29"/>
    <w:rsid w:val="000530C3"/>
    <w:rsid w:val="0005322B"/>
    <w:rsid w:val="00053606"/>
    <w:rsid w:val="00053749"/>
    <w:rsid w:val="00053B45"/>
    <w:rsid w:val="00053B7A"/>
    <w:rsid w:val="00053DDE"/>
    <w:rsid w:val="00053F0B"/>
    <w:rsid w:val="00053F4B"/>
    <w:rsid w:val="00053F76"/>
    <w:rsid w:val="00053FF2"/>
    <w:rsid w:val="0005401B"/>
    <w:rsid w:val="0005410D"/>
    <w:rsid w:val="00054218"/>
    <w:rsid w:val="00054306"/>
    <w:rsid w:val="0005445A"/>
    <w:rsid w:val="000544E1"/>
    <w:rsid w:val="00054678"/>
    <w:rsid w:val="0005477E"/>
    <w:rsid w:val="000548D2"/>
    <w:rsid w:val="00054A16"/>
    <w:rsid w:val="00054B5A"/>
    <w:rsid w:val="00054D9B"/>
    <w:rsid w:val="00054DA4"/>
    <w:rsid w:val="00054EA8"/>
    <w:rsid w:val="0005509C"/>
    <w:rsid w:val="0005518F"/>
    <w:rsid w:val="0005554F"/>
    <w:rsid w:val="00055601"/>
    <w:rsid w:val="000556E8"/>
    <w:rsid w:val="000556F7"/>
    <w:rsid w:val="000557EA"/>
    <w:rsid w:val="000558E3"/>
    <w:rsid w:val="00055D06"/>
    <w:rsid w:val="00055E2B"/>
    <w:rsid w:val="00055ED9"/>
    <w:rsid w:val="00055F37"/>
    <w:rsid w:val="00055F9D"/>
    <w:rsid w:val="00055FEA"/>
    <w:rsid w:val="0005615D"/>
    <w:rsid w:val="000561C0"/>
    <w:rsid w:val="00056286"/>
    <w:rsid w:val="00056523"/>
    <w:rsid w:val="0005680B"/>
    <w:rsid w:val="00056B87"/>
    <w:rsid w:val="00056BB5"/>
    <w:rsid w:val="00056DCF"/>
    <w:rsid w:val="000573B1"/>
    <w:rsid w:val="000574A4"/>
    <w:rsid w:val="000574B0"/>
    <w:rsid w:val="00057720"/>
    <w:rsid w:val="00057755"/>
    <w:rsid w:val="00057925"/>
    <w:rsid w:val="00057A69"/>
    <w:rsid w:val="00057CC7"/>
    <w:rsid w:val="00057E1F"/>
    <w:rsid w:val="00060229"/>
    <w:rsid w:val="000603EC"/>
    <w:rsid w:val="000605BE"/>
    <w:rsid w:val="0006062F"/>
    <w:rsid w:val="000606AD"/>
    <w:rsid w:val="0006085C"/>
    <w:rsid w:val="00060B41"/>
    <w:rsid w:val="00060DBB"/>
    <w:rsid w:val="00060FF5"/>
    <w:rsid w:val="00061179"/>
    <w:rsid w:val="00061254"/>
    <w:rsid w:val="00061339"/>
    <w:rsid w:val="000613BD"/>
    <w:rsid w:val="00061484"/>
    <w:rsid w:val="00061909"/>
    <w:rsid w:val="0006194D"/>
    <w:rsid w:val="00061C8F"/>
    <w:rsid w:val="00061CA1"/>
    <w:rsid w:val="00061FAE"/>
    <w:rsid w:val="0006202F"/>
    <w:rsid w:val="00062281"/>
    <w:rsid w:val="000622DF"/>
    <w:rsid w:val="0006240A"/>
    <w:rsid w:val="00062832"/>
    <w:rsid w:val="00062875"/>
    <w:rsid w:val="00062AD1"/>
    <w:rsid w:val="00062B15"/>
    <w:rsid w:val="00062C15"/>
    <w:rsid w:val="00062DEF"/>
    <w:rsid w:val="00062F72"/>
    <w:rsid w:val="0006307F"/>
    <w:rsid w:val="0006325D"/>
    <w:rsid w:val="000632C3"/>
    <w:rsid w:val="00063748"/>
    <w:rsid w:val="000637ED"/>
    <w:rsid w:val="0006390C"/>
    <w:rsid w:val="00063C88"/>
    <w:rsid w:val="00063CF6"/>
    <w:rsid w:val="00063D00"/>
    <w:rsid w:val="00063DA5"/>
    <w:rsid w:val="00064052"/>
    <w:rsid w:val="000640F5"/>
    <w:rsid w:val="00064389"/>
    <w:rsid w:val="00064465"/>
    <w:rsid w:val="0006488D"/>
    <w:rsid w:val="00064ACC"/>
    <w:rsid w:val="00064B71"/>
    <w:rsid w:val="00064B76"/>
    <w:rsid w:val="00064D4F"/>
    <w:rsid w:val="00064D53"/>
    <w:rsid w:val="00064D6F"/>
    <w:rsid w:val="00065117"/>
    <w:rsid w:val="0006511E"/>
    <w:rsid w:val="000658EF"/>
    <w:rsid w:val="00065964"/>
    <w:rsid w:val="000659A6"/>
    <w:rsid w:val="000659FD"/>
    <w:rsid w:val="00065DE1"/>
    <w:rsid w:val="00065FBD"/>
    <w:rsid w:val="000660F3"/>
    <w:rsid w:val="00066146"/>
    <w:rsid w:val="00066149"/>
    <w:rsid w:val="00066325"/>
    <w:rsid w:val="00066B27"/>
    <w:rsid w:val="00066C19"/>
    <w:rsid w:val="00066D87"/>
    <w:rsid w:val="00066DA7"/>
    <w:rsid w:val="00066E40"/>
    <w:rsid w:val="00066EFB"/>
    <w:rsid w:val="0006707B"/>
    <w:rsid w:val="00067135"/>
    <w:rsid w:val="0006727F"/>
    <w:rsid w:val="00067281"/>
    <w:rsid w:val="00067504"/>
    <w:rsid w:val="0006751A"/>
    <w:rsid w:val="00067574"/>
    <w:rsid w:val="00067663"/>
    <w:rsid w:val="00067B9E"/>
    <w:rsid w:val="00067BE4"/>
    <w:rsid w:val="00067EAB"/>
    <w:rsid w:val="00070234"/>
    <w:rsid w:val="000702EB"/>
    <w:rsid w:val="00070432"/>
    <w:rsid w:val="000704E5"/>
    <w:rsid w:val="00070838"/>
    <w:rsid w:val="00070884"/>
    <w:rsid w:val="00070F55"/>
    <w:rsid w:val="00070FFD"/>
    <w:rsid w:val="000713C8"/>
    <w:rsid w:val="00071467"/>
    <w:rsid w:val="00071510"/>
    <w:rsid w:val="0007187F"/>
    <w:rsid w:val="00071C70"/>
    <w:rsid w:val="00071DDD"/>
    <w:rsid w:val="00071DFF"/>
    <w:rsid w:val="00071FF1"/>
    <w:rsid w:val="00072166"/>
    <w:rsid w:val="00072341"/>
    <w:rsid w:val="00072604"/>
    <w:rsid w:val="000726D2"/>
    <w:rsid w:val="000728B1"/>
    <w:rsid w:val="00072A2C"/>
    <w:rsid w:val="00072AAB"/>
    <w:rsid w:val="00072AE2"/>
    <w:rsid w:val="00072B7C"/>
    <w:rsid w:val="00072D92"/>
    <w:rsid w:val="00072DC0"/>
    <w:rsid w:val="0007315A"/>
    <w:rsid w:val="00073491"/>
    <w:rsid w:val="000739FF"/>
    <w:rsid w:val="00073CB1"/>
    <w:rsid w:val="00073CBA"/>
    <w:rsid w:val="00073D07"/>
    <w:rsid w:val="000740D2"/>
    <w:rsid w:val="00074584"/>
    <w:rsid w:val="000747BF"/>
    <w:rsid w:val="00074BB2"/>
    <w:rsid w:val="00074D18"/>
    <w:rsid w:val="00074E9A"/>
    <w:rsid w:val="000750E7"/>
    <w:rsid w:val="000752D9"/>
    <w:rsid w:val="000752FF"/>
    <w:rsid w:val="000757CD"/>
    <w:rsid w:val="0007596F"/>
    <w:rsid w:val="00075CB9"/>
    <w:rsid w:val="00075CC2"/>
    <w:rsid w:val="00075CC4"/>
    <w:rsid w:val="00075F70"/>
    <w:rsid w:val="00075FCE"/>
    <w:rsid w:val="0007617F"/>
    <w:rsid w:val="000762AC"/>
    <w:rsid w:val="00076395"/>
    <w:rsid w:val="000764F5"/>
    <w:rsid w:val="0007692E"/>
    <w:rsid w:val="00076B7C"/>
    <w:rsid w:val="00076BD5"/>
    <w:rsid w:val="00076CA6"/>
    <w:rsid w:val="00076CB7"/>
    <w:rsid w:val="00076E37"/>
    <w:rsid w:val="000772D0"/>
    <w:rsid w:val="00077416"/>
    <w:rsid w:val="000774CF"/>
    <w:rsid w:val="0007764E"/>
    <w:rsid w:val="000776D7"/>
    <w:rsid w:val="00077713"/>
    <w:rsid w:val="000777FB"/>
    <w:rsid w:val="000779C2"/>
    <w:rsid w:val="000779E1"/>
    <w:rsid w:val="00077C29"/>
    <w:rsid w:val="00077E74"/>
    <w:rsid w:val="00077EE1"/>
    <w:rsid w:val="000802DE"/>
    <w:rsid w:val="0008048E"/>
    <w:rsid w:val="000805B4"/>
    <w:rsid w:val="00080671"/>
    <w:rsid w:val="000809A3"/>
    <w:rsid w:val="00080A4B"/>
    <w:rsid w:val="00080E76"/>
    <w:rsid w:val="00080FDC"/>
    <w:rsid w:val="0008100D"/>
    <w:rsid w:val="000812CD"/>
    <w:rsid w:val="00081553"/>
    <w:rsid w:val="00081654"/>
    <w:rsid w:val="000816B2"/>
    <w:rsid w:val="0008194B"/>
    <w:rsid w:val="00081996"/>
    <w:rsid w:val="00081DA6"/>
    <w:rsid w:val="00081DB4"/>
    <w:rsid w:val="0008210B"/>
    <w:rsid w:val="00082420"/>
    <w:rsid w:val="0008242B"/>
    <w:rsid w:val="00082561"/>
    <w:rsid w:val="000825F2"/>
    <w:rsid w:val="00082648"/>
    <w:rsid w:val="00082B06"/>
    <w:rsid w:val="00082B5B"/>
    <w:rsid w:val="00082E2A"/>
    <w:rsid w:val="00083124"/>
    <w:rsid w:val="000831B7"/>
    <w:rsid w:val="00083327"/>
    <w:rsid w:val="000833FD"/>
    <w:rsid w:val="000835E9"/>
    <w:rsid w:val="00083929"/>
    <w:rsid w:val="00083977"/>
    <w:rsid w:val="00083B1B"/>
    <w:rsid w:val="00083D1C"/>
    <w:rsid w:val="00083DC0"/>
    <w:rsid w:val="00083DEA"/>
    <w:rsid w:val="00083F3B"/>
    <w:rsid w:val="0008439A"/>
    <w:rsid w:val="0008499A"/>
    <w:rsid w:val="00084B05"/>
    <w:rsid w:val="00084C1E"/>
    <w:rsid w:val="00084D3A"/>
    <w:rsid w:val="00084D42"/>
    <w:rsid w:val="00084D8A"/>
    <w:rsid w:val="0008523A"/>
    <w:rsid w:val="0008537F"/>
    <w:rsid w:val="0008539C"/>
    <w:rsid w:val="00085571"/>
    <w:rsid w:val="00085710"/>
    <w:rsid w:val="0008574B"/>
    <w:rsid w:val="00085877"/>
    <w:rsid w:val="00085934"/>
    <w:rsid w:val="00085A35"/>
    <w:rsid w:val="00085A6D"/>
    <w:rsid w:val="00085AD7"/>
    <w:rsid w:val="00085CC8"/>
    <w:rsid w:val="00085F62"/>
    <w:rsid w:val="000861E7"/>
    <w:rsid w:val="00086250"/>
    <w:rsid w:val="000862DB"/>
    <w:rsid w:val="00086418"/>
    <w:rsid w:val="000864BB"/>
    <w:rsid w:val="00086570"/>
    <w:rsid w:val="00086626"/>
    <w:rsid w:val="00086648"/>
    <w:rsid w:val="0008673C"/>
    <w:rsid w:val="00086818"/>
    <w:rsid w:val="000868FD"/>
    <w:rsid w:val="00086994"/>
    <w:rsid w:val="00086B39"/>
    <w:rsid w:val="00086B63"/>
    <w:rsid w:val="000871B3"/>
    <w:rsid w:val="0008737A"/>
    <w:rsid w:val="00087A72"/>
    <w:rsid w:val="00087E25"/>
    <w:rsid w:val="00090201"/>
    <w:rsid w:val="0009065B"/>
    <w:rsid w:val="000907EA"/>
    <w:rsid w:val="000908F9"/>
    <w:rsid w:val="0009093A"/>
    <w:rsid w:val="00090B1D"/>
    <w:rsid w:val="0009104B"/>
    <w:rsid w:val="00091101"/>
    <w:rsid w:val="000913AC"/>
    <w:rsid w:val="000916CB"/>
    <w:rsid w:val="0009172C"/>
    <w:rsid w:val="0009182E"/>
    <w:rsid w:val="00091A37"/>
    <w:rsid w:val="00091C03"/>
    <w:rsid w:val="000923C8"/>
    <w:rsid w:val="000925ED"/>
    <w:rsid w:val="00092619"/>
    <w:rsid w:val="0009261C"/>
    <w:rsid w:val="0009282F"/>
    <w:rsid w:val="00092880"/>
    <w:rsid w:val="00092892"/>
    <w:rsid w:val="00092CC0"/>
    <w:rsid w:val="00092D42"/>
    <w:rsid w:val="00092D68"/>
    <w:rsid w:val="00092DA3"/>
    <w:rsid w:val="00092E92"/>
    <w:rsid w:val="00092EF1"/>
    <w:rsid w:val="000930D5"/>
    <w:rsid w:val="000930F8"/>
    <w:rsid w:val="00093155"/>
    <w:rsid w:val="00093217"/>
    <w:rsid w:val="0009354F"/>
    <w:rsid w:val="000935DB"/>
    <w:rsid w:val="00093687"/>
    <w:rsid w:val="00093C78"/>
    <w:rsid w:val="00093D2B"/>
    <w:rsid w:val="00093EAC"/>
    <w:rsid w:val="00094177"/>
    <w:rsid w:val="0009427E"/>
    <w:rsid w:val="000946F3"/>
    <w:rsid w:val="00094814"/>
    <w:rsid w:val="00094835"/>
    <w:rsid w:val="00094920"/>
    <w:rsid w:val="0009494B"/>
    <w:rsid w:val="00094AC3"/>
    <w:rsid w:val="00094B8B"/>
    <w:rsid w:val="00094E14"/>
    <w:rsid w:val="00094E42"/>
    <w:rsid w:val="00094EFE"/>
    <w:rsid w:val="00094F68"/>
    <w:rsid w:val="000951AB"/>
    <w:rsid w:val="0009524E"/>
    <w:rsid w:val="00095456"/>
    <w:rsid w:val="00095AED"/>
    <w:rsid w:val="00095DC6"/>
    <w:rsid w:val="00095E67"/>
    <w:rsid w:val="000960CD"/>
    <w:rsid w:val="000962E9"/>
    <w:rsid w:val="00096BC6"/>
    <w:rsid w:val="00096C8A"/>
    <w:rsid w:val="00096E90"/>
    <w:rsid w:val="000970F6"/>
    <w:rsid w:val="00097315"/>
    <w:rsid w:val="0009734C"/>
    <w:rsid w:val="0009745A"/>
    <w:rsid w:val="0009777B"/>
    <w:rsid w:val="0009784E"/>
    <w:rsid w:val="000979C1"/>
    <w:rsid w:val="00097F10"/>
    <w:rsid w:val="000A046B"/>
    <w:rsid w:val="000A0488"/>
    <w:rsid w:val="000A05A7"/>
    <w:rsid w:val="000A0601"/>
    <w:rsid w:val="000A0602"/>
    <w:rsid w:val="000A0A17"/>
    <w:rsid w:val="000A0F01"/>
    <w:rsid w:val="000A0FAE"/>
    <w:rsid w:val="000A0FC3"/>
    <w:rsid w:val="000A1119"/>
    <w:rsid w:val="000A12DF"/>
    <w:rsid w:val="000A14FD"/>
    <w:rsid w:val="000A166E"/>
    <w:rsid w:val="000A17C6"/>
    <w:rsid w:val="000A18B0"/>
    <w:rsid w:val="000A1AE6"/>
    <w:rsid w:val="000A1F4D"/>
    <w:rsid w:val="000A1FBE"/>
    <w:rsid w:val="000A2282"/>
    <w:rsid w:val="000A22E4"/>
    <w:rsid w:val="000A2312"/>
    <w:rsid w:val="000A2462"/>
    <w:rsid w:val="000A2BBE"/>
    <w:rsid w:val="000A2BF2"/>
    <w:rsid w:val="000A2D58"/>
    <w:rsid w:val="000A322F"/>
    <w:rsid w:val="000A3445"/>
    <w:rsid w:val="000A354B"/>
    <w:rsid w:val="000A36B9"/>
    <w:rsid w:val="000A3770"/>
    <w:rsid w:val="000A382C"/>
    <w:rsid w:val="000A390C"/>
    <w:rsid w:val="000A390F"/>
    <w:rsid w:val="000A3932"/>
    <w:rsid w:val="000A3B5E"/>
    <w:rsid w:val="000A3C20"/>
    <w:rsid w:val="000A3C42"/>
    <w:rsid w:val="000A3C85"/>
    <w:rsid w:val="000A3D25"/>
    <w:rsid w:val="000A3F2D"/>
    <w:rsid w:val="000A42C2"/>
    <w:rsid w:val="000A44BF"/>
    <w:rsid w:val="000A4589"/>
    <w:rsid w:val="000A45B4"/>
    <w:rsid w:val="000A4672"/>
    <w:rsid w:val="000A4BCD"/>
    <w:rsid w:val="000A4F1F"/>
    <w:rsid w:val="000A4F30"/>
    <w:rsid w:val="000A4F31"/>
    <w:rsid w:val="000A50A3"/>
    <w:rsid w:val="000A521A"/>
    <w:rsid w:val="000A5221"/>
    <w:rsid w:val="000A53BC"/>
    <w:rsid w:val="000A55A2"/>
    <w:rsid w:val="000A5B3B"/>
    <w:rsid w:val="000A5BA0"/>
    <w:rsid w:val="000A5D6C"/>
    <w:rsid w:val="000A6189"/>
    <w:rsid w:val="000A61DC"/>
    <w:rsid w:val="000A6320"/>
    <w:rsid w:val="000A6370"/>
    <w:rsid w:val="000A6410"/>
    <w:rsid w:val="000A6460"/>
    <w:rsid w:val="000A6769"/>
    <w:rsid w:val="000A68EB"/>
    <w:rsid w:val="000A6DE5"/>
    <w:rsid w:val="000A6EB2"/>
    <w:rsid w:val="000A6EB9"/>
    <w:rsid w:val="000A70AD"/>
    <w:rsid w:val="000A70BA"/>
    <w:rsid w:val="000A70F5"/>
    <w:rsid w:val="000A7140"/>
    <w:rsid w:val="000A72FB"/>
    <w:rsid w:val="000A73B6"/>
    <w:rsid w:val="000A758A"/>
    <w:rsid w:val="000A7853"/>
    <w:rsid w:val="000A7B3D"/>
    <w:rsid w:val="000A7BB7"/>
    <w:rsid w:val="000A7DC9"/>
    <w:rsid w:val="000A7E70"/>
    <w:rsid w:val="000A7FD2"/>
    <w:rsid w:val="000B002C"/>
    <w:rsid w:val="000B0155"/>
    <w:rsid w:val="000B0644"/>
    <w:rsid w:val="000B097E"/>
    <w:rsid w:val="000B098E"/>
    <w:rsid w:val="000B0A41"/>
    <w:rsid w:val="000B0A60"/>
    <w:rsid w:val="000B0E20"/>
    <w:rsid w:val="000B0E6F"/>
    <w:rsid w:val="000B102C"/>
    <w:rsid w:val="000B1187"/>
    <w:rsid w:val="000B135C"/>
    <w:rsid w:val="000B13F8"/>
    <w:rsid w:val="000B14AA"/>
    <w:rsid w:val="000B15A2"/>
    <w:rsid w:val="000B17A2"/>
    <w:rsid w:val="000B17E9"/>
    <w:rsid w:val="000B1866"/>
    <w:rsid w:val="000B1AC4"/>
    <w:rsid w:val="000B1D7B"/>
    <w:rsid w:val="000B203B"/>
    <w:rsid w:val="000B20AB"/>
    <w:rsid w:val="000B20BE"/>
    <w:rsid w:val="000B2200"/>
    <w:rsid w:val="000B225D"/>
    <w:rsid w:val="000B22DC"/>
    <w:rsid w:val="000B23A3"/>
    <w:rsid w:val="000B23C6"/>
    <w:rsid w:val="000B25B3"/>
    <w:rsid w:val="000B2628"/>
    <w:rsid w:val="000B26B0"/>
    <w:rsid w:val="000B2770"/>
    <w:rsid w:val="000B2889"/>
    <w:rsid w:val="000B2A95"/>
    <w:rsid w:val="000B3016"/>
    <w:rsid w:val="000B344D"/>
    <w:rsid w:val="000B35FF"/>
    <w:rsid w:val="000B36B8"/>
    <w:rsid w:val="000B3791"/>
    <w:rsid w:val="000B39C4"/>
    <w:rsid w:val="000B3E2E"/>
    <w:rsid w:val="000B3EDE"/>
    <w:rsid w:val="000B422A"/>
    <w:rsid w:val="000B42EA"/>
    <w:rsid w:val="000B44FC"/>
    <w:rsid w:val="000B4988"/>
    <w:rsid w:val="000B4A45"/>
    <w:rsid w:val="000B4B3B"/>
    <w:rsid w:val="000B4B80"/>
    <w:rsid w:val="000B4BA1"/>
    <w:rsid w:val="000B4BF8"/>
    <w:rsid w:val="000B4F8B"/>
    <w:rsid w:val="000B5105"/>
    <w:rsid w:val="000B5259"/>
    <w:rsid w:val="000B5300"/>
    <w:rsid w:val="000B55A2"/>
    <w:rsid w:val="000B5AB6"/>
    <w:rsid w:val="000B5ABD"/>
    <w:rsid w:val="000B5C24"/>
    <w:rsid w:val="000B5C75"/>
    <w:rsid w:val="000B5D80"/>
    <w:rsid w:val="000B5E67"/>
    <w:rsid w:val="000B5F19"/>
    <w:rsid w:val="000B62A2"/>
    <w:rsid w:val="000B6320"/>
    <w:rsid w:val="000B63AE"/>
    <w:rsid w:val="000B641F"/>
    <w:rsid w:val="000B673E"/>
    <w:rsid w:val="000B6AF3"/>
    <w:rsid w:val="000B6CF8"/>
    <w:rsid w:val="000B6FAF"/>
    <w:rsid w:val="000B72FB"/>
    <w:rsid w:val="000B73BF"/>
    <w:rsid w:val="000B7477"/>
    <w:rsid w:val="000B7556"/>
    <w:rsid w:val="000B7BDE"/>
    <w:rsid w:val="000B7F18"/>
    <w:rsid w:val="000B7F26"/>
    <w:rsid w:val="000C012F"/>
    <w:rsid w:val="000C028A"/>
    <w:rsid w:val="000C03C6"/>
    <w:rsid w:val="000C054E"/>
    <w:rsid w:val="000C05BC"/>
    <w:rsid w:val="000C069F"/>
    <w:rsid w:val="000C07DC"/>
    <w:rsid w:val="000C07DF"/>
    <w:rsid w:val="000C0BBB"/>
    <w:rsid w:val="000C0C48"/>
    <w:rsid w:val="000C0CFF"/>
    <w:rsid w:val="000C0E4F"/>
    <w:rsid w:val="000C0F08"/>
    <w:rsid w:val="000C10D7"/>
    <w:rsid w:val="000C10F2"/>
    <w:rsid w:val="000C1203"/>
    <w:rsid w:val="000C127C"/>
    <w:rsid w:val="000C1376"/>
    <w:rsid w:val="000C15CF"/>
    <w:rsid w:val="000C19AD"/>
    <w:rsid w:val="000C1AF1"/>
    <w:rsid w:val="000C1C56"/>
    <w:rsid w:val="000C1DC2"/>
    <w:rsid w:val="000C1F21"/>
    <w:rsid w:val="000C1F27"/>
    <w:rsid w:val="000C21C4"/>
    <w:rsid w:val="000C244B"/>
    <w:rsid w:val="000C24E4"/>
    <w:rsid w:val="000C2606"/>
    <w:rsid w:val="000C2774"/>
    <w:rsid w:val="000C2AC2"/>
    <w:rsid w:val="000C2B01"/>
    <w:rsid w:val="000C2D04"/>
    <w:rsid w:val="000C2D59"/>
    <w:rsid w:val="000C2D9F"/>
    <w:rsid w:val="000C2F59"/>
    <w:rsid w:val="000C3156"/>
    <w:rsid w:val="000C31D9"/>
    <w:rsid w:val="000C33EF"/>
    <w:rsid w:val="000C3466"/>
    <w:rsid w:val="000C3670"/>
    <w:rsid w:val="000C398D"/>
    <w:rsid w:val="000C39D9"/>
    <w:rsid w:val="000C3A7A"/>
    <w:rsid w:val="000C3B34"/>
    <w:rsid w:val="000C3CBE"/>
    <w:rsid w:val="000C3D05"/>
    <w:rsid w:val="000C3E35"/>
    <w:rsid w:val="000C3E8A"/>
    <w:rsid w:val="000C3E8E"/>
    <w:rsid w:val="000C402E"/>
    <w:rsid w:val="000C409E"/>
    <w:rsid w:val="000C41FF"/>
    <w:rsid w:val="000C4325"/>
    <w:rsid w:val="000C450D"/>
    <w:rsid w:val="000C4628"/>
    <w:rsid w:val="000C48BA"/>
    <w:rsid w:val="000C4A1E"/>
    <w:rsid w:val="000C4DAE"/>
    <w:rsid w:val="000C50B5"/>
    <w:rsid w:val="000C515A"/>
    <w:rsid w:val="000C51A5"/>
    <w:rsid w:val="000C56FB"/>
    <w:rsid w:val="000C5AD9"/>
    <w:rsid w:val="000C6031"/>
    <w:rsid w:val="000C61AA"/>
    <w:rsid w:val="000C6232"/>
    <w:rsid w:val="000C63F3"/>
    <w:rsid w:val="000C65F9"/>
    <w:rsid w:val="000C6769"/>
    <w:rsid w:val="000C680C"/>
    <w:rsid w:val="000C6854"/>
    <w:rsid w:val="000C6941"/>
    <w:rsid w:val="000C6A42"/>
    <w:rsid w:val="000C6A43"/>
    <w:rsid w:val="000C6E30"/>
    <w:rsid w:val="000C6F77"/>
    <w:rsid w:val="000C72E3"/>
    <w:rsid w:val="000C7389"/>
    <w:rsid w:val="000C77D6"/>
    <w:rsid w:val="000C79AE"/>
    <w:rsid w:val="000C79CC"/>
    <w:rsid w:val="000C7C7E"/>
    <w:rsid w:val="000C7D24"/>
    <w:rsid w:val="000C7F24"/>
    <w:rsid w:val="000D0184"/>
    <w:rsid w:val="000D0326"/>
    <w:rsid w:val="000D081D"/>
    <w:rsid w:val="000D09E8"/>
    <w:rsid w:val="000D0AEB"/>
    <w:rsid w:val="000D0CC3"/>
    <w:rsid w:val="000D0CEA"/>
    <w:rsid w:val="000D1084"/>
    <w:rsid w:val="000D1111"/>
    <w:rsid w:val="000D119D"/>
    <w:rsid w:val="000D12EB"/>
    <w:rsid w:val="000D1316"/>
    <w:rsid w:val="000D1365"/>
    <w:rsid w:val="000D167E"/>
    <w:rsid w:val="000D1896"/>
    <w:rsid w:val="000D1A84"/>
    <w:rsid w:val="000D1CA1"/>
    <w:rsid w:val="000D1E8E"/>
    <w:rsid w:val="000D1EAA"/>
    <w:rsid w:val="000D1ED1"/>
    <w:rsid w:val="000D1EF4"/>
    <w:rsid w:val="000D2385"/>
    <w:rsid w:val="000D2487"/>
    <w:rsid w:val="000D2921"/>
    <w:rsid w:val="000D2A42"/>
    <w:rsid w:val="000D2A75"/>
    <w:rsid w:val="000D2BF3"/>
    <w:rsid w:val="000D2E7A"/>
    <w:rsid w:val="000D2EEB"/>
    <w:rsid w:val="000D311B"/>
    <w:rsid w:val="000D33AD"/>
    <w:rsid w:val="000D364E"/>
    <w:rsid w:val="000D3779"/>
    <w:rsid w:val="000D37A7"/>
    <w:rsid w:val="000D3B00"/>
    <w:rsid w:val="000D3B7E"/>
    <w:rsid w:val="000D3D37"/>
    <w:rsid w:val="000D3EE0"/>
    <w:rsid w:val="000D405F"/>
    <w:rsid w:val="000D40E4"/>
    <w:rsid w:val="000D40F6"/>
    <w:rsid w:val="000D417C"/>
    <w:rsid w:val="000D433E"/>
    <w:rsid w:val="000D44D6"/>
    <w:rsid w:val="000D45BF"/>
    <w:rsid w:val="000D49FF"/>
    <w:rsid w:val="000D4CD4"/>
    <w:rsid w:val="000D4D75"/>
    <w:rsid w:val="000D50EC"/>
    <w:rsid w:val="000D513D"/>
    <w:rsid w:val="000D516A"/>
    <w:rsid w:val="000D5201"/>
    <w:rsid w:val="000D542B"/>
    <w:rsid w:val="000D5458"/>
    <w:rsid w:val="000D55C4"/>
    <w:rsid w:val="000D5692"/>
    <w:rsid w:val="000D59EC"/>
    <w:rsid w:val="000D5B5B"/>
    <w:rsid w:val="000D5C3C"/>
    <w:rsid w:val="000D5CAC"/>
    <w:rsid w:val="000D5CE3"/>
    <w:rsid w:val="000D5F36"/>
    <w:rsid w:val="000D6005"/>
    <w:rsid w:val="000D609B"/>
    <w:rsid w:val="000D6417"/>
    <w:rsid w:val="000D6748"/>
    <w:rsid w:val="000D6795"/>
    <w:rsid w:val="000D6846"/>
    <w:rsid w:val="000D6965"/>
    <w:rsid w:val="000D6A09"/>
    <w:rsid w:val="000D6B7A"/>
    <w:rsid w:val="000D6CC6"/>
    <w:rsid w:val="000D6E23"/>
    <w:rsid w:val="000D6EBD"/>
    <w:rsid w:val="000D6EC0"/>
    <w:rsid w:val="000D6F57"/>
    <w:rsid w:val="000D70C0"/>
    <w:rsid w:val="000D70E9"/>
    <w:rsid w:val="000D7261"/>
    <w:rsid w:val="000D7714"/>
    <w:rsid w:val="000D77A4"/>
    <w:rsid w:val="000D79C0"/>
    <w:rsid w:val="000D79D7"/>
    <w:rsid w:val="000D7A74"/>
    <w:rsid w:val="000D7AD5"/>
    <w:rsid w:val="000D7B1E"/>
    <w:rsid w:val="000D7BD7"/>
    <w:rsid w:val="000D7D39"/>
    <w:rsid w:val="000D7DD2"/>
    <w:rsid w:val="000DE694"/>
    <w:rsid w:val="000E0094"/>
    <w:rsid w:val="000E0200"/>
    <w:rsid w:val="000E024A"/>
    <w:rsid w:val="000E03A4"/>
    <w:rsid w:val="000E0484"/>
    <w:rsid w:val="000E050E"/>
    <w:rsid w:val="000E054D"/>
    <w:rsid w:val="000E05E2"/>
    <w:rsid w:val="000E09B5"/>
    <w:rsid w:val="000E0E70"/>
    <w:rsid w:val="000E0E79"/>
    <w:rsid w:val="000E0F43"/>
    <w:rsid w:val="000E0F4A"/>
    <w:rsid w:val="000E0F61"/>
    <w:rsid w:val="000E11E5"/>
    <w:rsid w:val="000E13DF"/>
    <w:rsid w:val="000E16BA"/>
    <w:rsid w:val="000E1708"/>
    <w:rsid w:val="000E195F"/>
    <w:rsid w:val="000E1A47"/>
    <w:rsid w:val="000E1B1D"/>
    <w:rsid w:val="000E1B34"/>
    <w:rsid w:val="000E1E32"/>
    <w:rsid w:val="000E1F3F"/>
    <w:rsid w:val="000E1F63"/>
    <w:rsid w:val="000E2687"/>
    <w:rsid w:val="000E2841"/>
    <w:rsid w:val="000E289D"/>
    <w:rsid w:val="000E2A7D"/>
    <w:rsid w:val="000E2B9F"/>
    <w:rsid w:val="000E2C8A"/>
    <w:rsid w:val="000E2CE8"/>
    <w:rsid w:val="000E2D8F"/>
    <w:rsid w:val="000E2ED4"/>
    <w:rsid w:val="000E2FD4"/>
    <w:rsid w:val="000E33E1"/>
    <w:rsid w:val="000E3B21"/>
    <w:rsid w:val="000E3B9A"/>
    <w:rsid w:val="000E3C03"/>
    <w:rsid w:val="000E3FC2"/>
    <w:rsid w:val="000E4003"/>
    <w:rsid w:val="000E4068"/>
    <w:rsid w:val="000E4257"/>
    <w:rsid w:val="000E436A"/>
    <w:rsid w:val="000E4555"/>
    <w:rsid w:val="000E45BC"/>
    <w:rsid w:val="000E45F8"/>
    <w:rsid w:val="000E46D0"/>
    <w:rsid w:val="000E47BF"/>
    <w:rsid w:val="000E4826"/>
    <w:rsid w:val="000E48BD"/>
    <w:rsid w:val="000E48CF"/>
    <w:rsid w:val="000E4A83"/>
    <w:rsid w:val="000E4AE4"/>
    <w:rsid w:val="000E4D56"/>
    <w:rsid w:val="000E4EAD"/>
    <w:rsid w:val="000E50B8"/>
    <w:rsid w:val="000E50C4"/>
    <w:rsid w:val="000E5778"/>
    <w:rsid w:val="000E57C7"/>
    <w:rsid w:val="000E595A"/>
    <w:rsid w:val="000E5D06"/>
    <w:rsid w:val="000E5E69"/>
    <w:rsid w:val="000E5F05"/>
    <w:rsid w:val="000E60C0"/>
    <w:rsid w:val="000E60FB"/>
    <w:rsid w:val="000E6195"/>
    <w:rsid w:val="000E63FB"/>
    <w:rsid w:val="000E6AA4"/>
    <w:rsid w:val="000E6B76"/>
    <w:rsid w:val="000E6B92"/>
    <w:rsid w:val="000E6C8E"/>
    <w:rsid w:val="000E6CE8"/>
    <w:rsid w:val="000E6F44"/>
    <w:rsid w:val="000E7225"/>
    <w:rsid w:val="000E762D"/>
    <w:rsid w:val="000E77D2"/>
    <w:rsid w:val="000E78FA"/>
    <w:rsid w:val="000E7BDB"/>
    <w:rsid w:val="000E7C34"/>
    <w:rsid w:val="000E7C5A"/>
    <w:rsid w:val="000E7CC0"/>
    <w:rsid w:val="000E7D6D"/>
    <w:rsid w:val="000E7F51"/>
    <w:rsid w:val="000E7F7A"/>
    <w:rsid w:val="000F00F8"/>
    <w:rsid w:val="000F0221"/>
    <w:rsid w:val="000F0338"/>
    <w:rsid w:val="000F0535"/>
    <w:rsid w:val="000F05CF"/>
    <w:rsid w:val="000F0711"/>
    <w:rsid w:val="000F08D1"/>
    <w:rsid w:val="000F0AD2"/>
    <w:rsid w:val="000F0B94"/>
    <w:rsid w:val="000F10CD"/>
    <w:rsid w:val="000F11B8"/>
    <w:rsid w:val="000F11C4"/>
    <w:rsid w:val="000F11D8"/>
    <w:rsid w:val="000F122E"/>
    <w:rsid w:val="000F1242"/>
    <w:rsid w:val="000F1914"/>
    <w:rsid w:val="000F1987"/>
    <w:rsid w:val="000F1AD8"/>
    <w:rsid w:val="000F1BCD"/>
    <w:rsid w:val="000F1CE1"/>
    <w:rsid w:val="000F1E38"/>
    <w:rsid w:val="000F1E7E"/>
    <w:rsid w:val="000F24D0"/>
    <w:rsid w:val="000F24E9"/>
    <w:rsid w:val="000F287F"/>
    <w:rsid w:val="000F2C3C"/>
    <w:rsid w:val="000F2FFB"/>
    <w:rsid w:val="000F33CE"/>
    <w:rsid w:val="000F33FE"/>
    <w:rsid w:val="000F3419"/>
    <w:rsid w:val="000F353A"/>
    <w:rsid w:val="000F356A"/>
    <w:rsid w:val="000F35B9"/>
    <w:rsid w:val="000F36B3"/>
    <w:rsid w:val="000F3CC4"/>
    <w:rsid w:val="000F3D9A"/>
    <w:rsid w:val="000F3F2A"/>
    <w:rsid w:val="000F3F37"/>
    <w:rsid w:val="000F3FD5"/>
    <w:rsid w:val="000F4006"/>
    <w:rsid w:val="000F45B0"/>
    <w:rsid w:val="000F45CD"/>
    <w:rsid w:val="000F4865"/>
    <w:rsid w:val="000F48F5"/>
    <w:rsid w:val="000F4A69"/>
    <w:rsid w:val="000F4B77"/>
    <w:rsid w:val="000F4C18"/>
    <w:rsid w:val="000F4D8E"/>
    <w:rsid w:val="000F5341"/>
    <w:rsid w:val="000F5360"/>
    <w:rsid w:val="000F53A7"/>
    <w:rsid w:val="000F56DC"/>
    <w:rsid w:val="000F5753"/>
    <w:rsid w:val="000F583D"/>
    <w:rsid w:val="000F5975"/>
    <w:rsid w:val="000F5E61"/>
    <w:rsid w:val="000F5F01"/>
    <w:rsid w:val="000F5FB5"/>
    <w:rsid w:val="000F6012"/>
    <w:rsid w:val="000F60D4"/>
    <w:rsid w:val="000F60DC"/>
    <w:rsid w:val="000F60F4"/>
    <w:rsid w:val="000F61DA"/>
    <w:rsid w:val="000F6438"/>
    <w:rsid w:val="000F64FB"/>
    <w:rsid w:val="000F66E1"/>
    <w:rsid w:val="000F68B2"/>
    <w:rsid w:val="000F6EDF"/>
    <w:rsid w:val="000F7109"/>
    <w:rsid w:val="000F711B"/>
    <w:rsid w:val="000F72A2"/>
    <w:rsid w:val="000F7433"/>
    <w:rsid w:val="000F78DC"/>
    <w:rsid w:val="000F78F4"/>
    <w:rsid w:val="000F7921"/>
    <w:rsid w:val="000F796B"/>
    <w:rsid w:val="000F7B88"/>
    <w:rsid w:val="000F7D9B"/>
    <w:rsid w:val="000F7E59"/>
    <w:rsid w:val="001002DD"/>
    <w:rsid w:val="00100335"/>
    <w:rsid w:val="0010037D"/>
    <w:rsid w:val="0010069E"/>
    <w:rsid w:val="001006D8"/>
    <w:rsid w:val="00100717"/>
    <w:rsid w:val="0010083C"/>
    <w:rsid w:val="00100998"/>
    <w:rsid w:val="00100E27"/>
    <w:rsid w:val="00100F69"/>
    <w:rsid w:val="00101485"/>
    <w:rsid w:val="00101869"/>
    <w:rsid w:val="00101905"/>
    <w:rsid w:val="00101940"/>
    <w:rsid w:val="001019B5"/>
    <w:rsid w:val="00101C19"/>
    <w:rsid w:val="00101F80"/>
    <w:rsid w:val="0010217F"/>
    <w:rsid w:val="001022EB"/>
    <w:rsid w:val="00102390"/>
    <w:rsid w:val="00102468"/>
    <w:rsid w:val="00102606"/>
    <w:rsid w:val="0010268D"/>
    <w:rsid w:val="001026EA"/>
    <w:rsid w:val="001029CB"/>
    <w:rsid w:val="001031B7"/>
    <w:rsid w:val="001031B9"/>
    <w:rsid w:val="001032D0"/>
    <w:rsid w:val="00103302"/>
    <w:rsid w:val="00103584"/>
    <w:rsid w:val="001035AF"/>
    <w:rsid w:val="001036D7"/>
    <w:rsid w:val="00103779"/>
    <w:rsid w:val="00103858"/>
    <w:rsid w:val="0010395E"/>
    <w:rsid w:val="00103B65"/>
    <w:rsid w:val="00103B9D"/>
    <w:rsid w:val="00103C59"/>
    <w:rsid w:val="00103D36"/>
    <w:rsid w:val="00103DD6"/>
    <w:rsid w:val="00103E49"/>
    <w:rsid w:val="00103EA7"/>
    <w:rsid w:val="00104102"/>
    <w:rsid w:val="001041B7"/>
    <w:rsid w:val="001043A3"/>
    <w:rsid w:val="00104414"/>
    <w:rsid w:val="0010462B"/>
    <w:rsid w:val="00104724"/>
    <w:rsid w:val="00104779"/>
    <w:rsid w:val="00104789"/>
    <w:rsid w:val="001047D0"/>
    <w:rsid w:val="0010489E"/>
    <w:rsid w:val="001048C6"/>
    <w:rsid w:val="00104B78"/>
    <w:rsid w:val="00104B92"/>
    <w:rsid w:val="00104CAC"/>
    <w:rsid w:val="00104D3A"/>
    <w:rsid w:val="00104DC4"/>
    <w:rsid w:val="00104EC0"/>
    <w:rsid w:val="00104EE8"/>
    <w:rsid w:val="00104F5B"/>
    <w:rsid w:val="001051E0"/>
    <w:rsid w:val="0010539D"/>
    <w:rsid w:val="0010550E"/>
    <w:rsid w:val="00105549"/>
    <w:rsid w:val="00105B15"/>
    <w:rsid w:val="00105BAF"/>
    <w:rsid w:val="00105D7C"/>
    <w:rsid w:val="00105DB1"/>
    <w:rsid w:val="00105F89"/>
    <w:rsid w:val="00106036"/>
    <w:rsid w:val="00106073"/>
    <w:rsid w:val="001062EC"/>
    <w:rsid w:val="001064C2"/>
    <w:rsid w:val="00106783"/>
    <w:rsid w:val="0010687A"/>
    <w:rsid w:val="00106924"/>
    <w:rsid w:val="00106A3F"/>
    <w:rsid w:val="00106C4B"/>
    <w:rsid w:val="00106CFD"/>
    <w:rsid w:val="00106DA2"/>
    <w:rsid w:val="00106E5E"/>
    <w:rsid w:val="00106FC5"/>
    <w:rsid w:val="00107037"/>
    <w:rsid w:val="001070EE"/>
    <w:rsid w:val="001071E4"/>
    <w:rsid w:val="0010749E"/>
    <w:rsid w:val="001075A0"/>
    <w:rsid w:val="001079AD"/>
    <w:rsid w:val="001079B8"/>
    <w:rsid w:val="00107D1E"/>
    <w:rsid w:val="00107DA3"/>
    <w:rsid w:val="00107F22"/>
    <w:rsid w:val="00110020"/>
    <w:rsid w:val="0011018C"/>
    <w:rsid w:val="00110370"/>
    <w:rsid w:val="00110843"/>
    <w:rsid w:val="0011103E"/>
    <w:rsid w:val="0011136A"/>
    <w:rsid w:val="001113CB"/>
    <w:rsid w:val="001113E1"/>
    <w:rsid w:val="001114FC"/>
    <w:rsid w:val="00111640"/>
    <w:rsid w:val="00111708"/>
    <w:rsid w:val="00111730"/>
    <w:rsid w:val="0011191D"/>
    <w:rsid w:val="00111B49"/>
    <w:rsid w:val="00111BDC"/>
    <w:rsid w:val="00111CBA"/>
    <w:rsid w:val="00111DB9"/>
    <w:rsid w:val="00111FC9"/>
    <w:rsid w:val="0011201A"/>
    <w:rsid w:val="00112121"/>
    <w:rsid w:val="0011215F"/>
    <w:rsid w:val="001123A4"/>
    <w:rsid w:val="00112416"/>
    <w:rsid w:val="0011245A"/>
    <w:rsid w:val="00112928"/>
    <w:rsid w:val="00112E11"/>
    <w:rsid w:val="00112EFD"/>
    <w:rsid w:val="001132A6"/>
    <w:rsid w:val="001132C6"/>
    <w:rsid w:val="00113342"/>
    <w:rsid w:val="0011336E"/>
    <w:rsid w:val="001133A3"/>
    <w:rsid w:val="0011359F"/>
    <w:rsid w:val="0011369A"/>
    <w:rsid w:val="00113900"/>
    <w:rsid w:val="00113BD1"/>
    <w:rsid w:val="00113E35"/>
    <w:rsid w:val="00113F6B"/>
    <w:rsid w:val="001140AC"/>
    <w:rsid w:val="001141C4"/>
    <w:rsid w:val="001147E3"/>
    <w:rsid w:val="00114B54"/>
    <w:rsid w:val="00114BE1"/>
    <w:rsid w:val="00115167"/>
    <w:rsid w:val="00115248"/>
    <w:rsid w:val="001152CA"/>
    <w:rsid w:val="00115719"/>
    <w:rsid w:val="0011572B"/>
    <w:rsid w:val="00115825"/>
    <w:rsid w:val="00115954"/>
    <w:rsid w:val="00115A4B"/>
    <w:rsid w:val="00115C5A"/>
    <w:rsid w:val="00115F6B"/>
    <w:rsid w:val="0011613D"/>
    <w:rsid w:val="001161DA"/>
    <w:rsid w:val="00116240"/>
    <w:rsid w:val="00116285"/>
    <w:rsid w:val="00116343"/>
    <w:rsid w:val="001163F1"/>
    <w:rsid w:val="0011648F"/>
    <w:rsid w:val="00116497"/>
    <w:rsid w:val="00116592"/>
    <w:rsid w:val="0011680C"/>
    <w:rsid w:val="00116A1C"/>
    <w:rsid w:val="00116AA9"/>
    <w:rsid w:val="00116C86"/>
    <w:rsid w:val="00116E39"/>
    <w:rsid w:val="00116E8D"/>
    <w:rsid w:val="00116EF9"/>
    <w:rsid w:val="00117230"/>
    <w:rsid w:val="0011731C"/>
    <w:rsid w:val="001175BF"/>
    <w:rsid w:val="001177D3"/>
    <w:rsid w:val="00117847"/>
    <w:rsid w:val="001178B7"/>
    <w:rsid w:val="00117BE0"/>
    <w:rsid w:val="00120076"/>
    <w:rsid w:val="00120124"/>
    <w:rsid w:val="00120269"/>
    <w:rsid w:val="00120330"/>
    <w:rsid w:val="0012037F"/>
    <w:rsid w:val="00120397"/>
    <w:rsid w:val="00120604"/>
    <w:rsid w:val="00120614"/>
    <w:rsid w:val="0012078C"/>
    <w:rsid w:val="001209CF"/>
    <w:rsid w:val="00120A2D"/>
    <w:rsid w:val="00120CFE"/>
    <w:rsid w:val="00120E19"/>
    <w:rsid w:val="00120F43"/>
    <w:rsid w:val="001211C9"/>
    <w:rsid w:val="00121244"/>
    <w:rsid w:val="001212F4"/>
    <w:rsid w:val="00121308"/>
    <w:rsid w:val="00121753"/>
    <w:rsid w:val="001217B7"/>
    <w:rsid w:val="00121969"/>
    <w:rsid w:val="001219E4"/>
    <w:rsid w:val="00121B3E"/>
    <w:rsid w:val="00121BE1"/>
    <w:rsid w:val="00122201"/>
    <w:rsid w:val="00122334"/>
    <w:rsid w:val="001224FD"/>
    <w:rsid w:val="00122A26"/>
    <w:rsid w:val="00122A67"/>
    <w:rsid w:val="00122CB2"/>
    <w:rsid w:val="00122D52"/>
    <w:rsid w:val="00122D56"/>
    <w:rsid w:val="00122F52"/>
    <w:rsid w:val="0012335E"/>
    <w:rsid w:val="0012364A"/>
    <w:rsid w:val="001236EA"/>
    <w:rsid w:val="0012377A"/>
    <w:rsid w:val="001238AA"/>
    <w:rsid w:val="0012394A"/>
    <w:rsid w:val="00123AA5"/>
    <w:rsid w:val="00123ADC"/>
    <w:rsid w:val="00123AE7"/>
    <w:rsid w:val="00123B8D"/>
    <w:rsid w:val="00123B90"/>
    <w:rsid w:val="00123F00"/>
    <w:rsid w:val="00123F1B"/>
    <w:rsid w:val="00123F22"/>
    <w:rsid w:val="001245F4"/>
    <w:rsid w:val="00124743"/>
    <w:rsid w:val="00124776"/>
    <w:rsid w:val="001247E8"/>
    <w:rsid w:val="001248EE"/>
    <w:rsid w:val="001248F6"/>
    <w:rsid w:val="00124A83"/>
    <w:rsid w:val="00124F2D"/>
    <w:rsid w:val="00124FD6"/>
    <w:rsid w:val="00124FD9"/>
    <w:rsid w:val="0012511F"/>
    <w:rsid w:val="00125251"/>
    <w:rsid w:val="00125368"/>
    <w:rsid w:val="0012541C"/>
    <w:rsid w:val="00125518"/>
    <w:rsid w:val="001256E0"/>
    <w:rsid w:val="0012572A"/>
    <w:rsid w:val="00125750"/>
    <w:rsid w:val="001257C3"/>
    <w:rsid w:val="001258A7"/>
    <w:rsid w:val="00125993"/>
    <w:rsid w:val="00125A4D"/>
    <w:rsid w:val="00125C7A"/>
    <w:rsid w:val="00125E09"/>
    <w:rsid w:val="00125F82"/>
    <w:rsid w:val="001260D8"/>
    <w:rsid w:val="001262FB"/>
    <w:rsid w:val="00126495"/>
    <w:rsid w:val="00126572"/>
    <w:rsid w:val="001266E7"/>
    <w:rsid w:val="00126834"/>
    <w:rsid w:val="001268DC"/>
    <w:rsid w:val="00126911"/>
    <w:rsid w:val="00126923"/>
    <w:rsid w:val="0012694E"/>
    <w:rsid w:val="00126AA2"/>
    <w:rsid w:val="00126B1D"/>
    <w:rsid w:val="00126C48"/>
    <w:rsid w:val="00126C60"/>
    <w:rsid w:val="00126E1F"/>
    <w:rsid w:val="00126EC3"/>
    <w:rsid w:val="00127650"/>
    <w:rsid w:val="001276E6"/>
    <w:rsid w:val="00127712"/>
    <w:rsid w:val="001278BC"/>
    <w:rsid w:val="00127931"/>
    <w:rsid w:val="00127B4E"/>
    <w:rsid w:val="00127B7B"/>
    <w:rsid w:val="00127DAF"/>
    <w:rsid w:val="00127DF9"/>
    <w:rsid w:val="00127DFE"/>
    <w:rsid w:val="00127F29"/>
    <w:rsid w:val="00127F2B"/>
    <w:rsid w:val="00127FB8"/>
    <w:rsid w:val="00130492"/>
    <w:rsid w:val="001305DF"/>
    <w:rsid w:val="0013062D"/>
    <w:rsid w:val="00130655"/>
    <w:rsid w:val="00130689"/>
    <w:rsid w:val="0013077D"/>
    <w:rsid w:val="001307E3"/>
    <w:rsid w:val="00130804"/>
    <w:rsid w:val="001309FE"/>
    <w:rsid w:val="00130C58"/>
    <w:rsid w:val="00130C7A"/>
    <w:rsid w:val="00130E42"/>
    <w:rsid w:val="00130E6E"/>
    <w:rsid w:val="00130FFA"/>
    <w:rsid w:val="00130FFF"/>
    <w:rsid w:val="0013104A"/>
    <w:rsid w:val="0013106B"/>
    <w:rsid w:val="00131615"/>
    <w:rsid w:val="00131655"/>
    <w:rsid w:val="00131696"/>
    <w:rsid w:val="00131718"/>
    <w:rsid w:val="00131850"/>
    <w:rsid w:val="00131A9C"/>
    <w:rsid w:val="00131BB1"/>
    <w:rsid w:val="00131BFA"/>
    <w:rsid w:val="00131C95"/>
    <w:rsid w:val="00131F9F"/>
    <w:rsid w:val="00132125"/>
    <w:rsid w:val="001321A8"/>
    <w:rsid w:val="00132322"/>
    <w:rsid w:val="00132427"/>
    <w:rsid w:val="001324E7"/>
    <w:rsid w:val="001325E7"/>
    <w:rsid w:val="00132620"/>
    <w:rsid w:val="001326B6"/>
    <w:rsid w:val="00132999"/>
    <w:rsid w:val="00132CEF"/>
    <w:rsid w:val="00132D47"/>
    <w:rsid w:val="00132D67"/>
    <w:rsid w:val="0013320D"/>
    <w:rsid w:val="00133222"/>
    <w:rsid w:val="001333AE"/>
    <w:rsid w:val="001334C8"/>
    <w:rsid w:val="001334E6"/>
    <w:rsid w:val="0013363B"/>
    <w:rsid w:val="00133A55"/>
    <w:rsid w:val="00133AB9"/>
    <w:rsid w:val="00133C8B"/>
    <w:rsid w:val="00133CC1"/>
    <w:rsid w:val="001340AC"/>
    <w:rsid w:val="00134639"/>
    <w:rsid w:val="001348F5"/>
    <w:rsid w:val="001349AF"/>
    <w:rsid w:val="00134A03"/>
    <w:rsid w:val="00134A81"/>
    <w:rsid w:val="00134CA0"/>
    <w:rsid w:val="00134DF5"/>
    <w:rsid w:val="00134F72"/>
    <w:rsid w:val="00135107"/>
    <w:rsid w:val="00135365"/>
    <w:rsid w:val="001353DA"/>
    <w:rsid w:val="0013544A"/>
    <w:rsid w:val="00135527"/>
    <w:rsid w:val="001356B0"/>
    <w:rsid w:val="0013589C"/>
    <w:rsid w:val="00135B51"/>
    <w:rsid w:val="00135E14"/>
    <w:rsid w:val="00136113"/>
    <w:rsid w:val="00136226"/>
    <w:rsid w:val="001362C6"/>
    <w:rsid w:val="001364E1"/>
    <w:rsid w:val="00136955"/>
    <w:rsid w:val="00136BF1"/>
    <w:rsid w:val="00136C2C"/>
    <w:rsid w:val="00136EB7"/>
    <w:rsid w:val="00136EDD"/>
    <w:rsid w:val="00136F97"/>
    <w:rsid w:val="0013715A"/>
    <w:rsid w:val="00137323"/>
    <w:rsid w:val="00137461"/>
    <w:rsid w:val="001375C5"/>
    <w:rsid w:val="001376F8"/>
    <w:rsid w:val="00137CDD"/>
    <w:rsid w:val="00137E33"/>
    <w:rsid w:val="00137E90"/>
    <w:rsid w:val="00140149"/>
    <w:rsid w:val="001402A3"/>
    <w:rsid w:val="00140320"/>
    <w:rsid w:val="0014056F"/>
    <w:rsid w:val="001405DE"/>
    <w:rsid w:val="001405E7"/>
    <w:rsid w:val="0014068C"/>
    <w:rsid w:val="00140740"/>
    <w:rsid w:val="00140878"/>
    <w:rsid w:val="00140892"/>
    <w:rsid w:val="00140AD1"/>
    <w:rsid w:val="00140B26"/>
    <w:rsid w:val="00140B3A"/>
    <w:rsid w:val="00140B99"/>
    <w:rsid w:val="00140BD2"/>
    <w:rsid w:val="00140C07"/>
    <w:rsid w:val="00140D58"/>
    <w:rsid w:val="00140E41"/>
    <w:rsid w:val="001411B2"/>
    <w:rsid w:val="00141CAA"/>
    <w:rsid w:val="00141DEF"/>
    <w:rsid w:val="00141EA9"/>
    <w:rsid w:val="00141FE8"/>
    <w:rsid w:val="00142310"/>
    <w:rsid w:val="001423A9"/>
    <w:rsid w:val="001425AA"/>
    <w:rsid w:val="00142646"/>
    <w:rsid w:val="00142722"/>
    <w:rsid w:val="001429F9"/>
    <w:rsid w:val="00142B08"/>
    <w:rsid w:val="00142E9D"/>
    <w:rsid w:val="00142F21"/>
    <w:rsid w:val="00143033"/>
    <w:rsid w:val="0014366D"/>
    <w:rsid w:val="001436AF"/>
    <w:rsid w:val="00143710"/>
    <w:rsid w:val="00143C31"/>
    <w:rsid w:val="00143C50"/>
    <w:rsid w:val="00143D42"/>
    <w:rsid w:val="001440A2"/>
    <w:rsid w:val="00144121"/>
    <w:rsid w:val="0014425E"/>
    <w:rsid w:val="00144781"/>
    <w:rsid w:val="0014478F"/>
    <w:rsid w:val="00144790"/>
    <w:rsid w:val="0014490E"/>
    <w:rsid w:val="00144E7B"/>
    <w:rsid w:val="0014505B"/>
    <w:rsid w:val="00145065"/>
    <w:rsid w:val="00145202"/>
    <w:rsid w:val="001453EE"/>
    <w:rsid w:val="00145840"/>
    <w:rsid w:val="00145870"/>
    <w:rsid w:val="0014587F"/>
    <w:rsid w:val="0014588C"/>
    <w:rsid w:val="00145987"/>
    <w:rsid w:val="00145AD4"/>
    <w:rsid w:val="00145C04"/>
    <w:rsid w:val="00145CC2"/>
    <w:rsid w:val="00145D92"/>
    <w:rsid w:val="00145DD5"/>
    <w:rsid w:val="00145E38"/>
    <w:rsid w:val="00145F6B"/>
    <w:rsid w:val="00145F91"/>
    <w:rsid w:val="00146015"/>
    <w:rsid w:val="001462D4"/>
    <w:rsid w:val="001462E9"/>
    <w:rsid w:val="00146457"/>
    <w:rsid w:val="00146494"/>
    <w:rsid w:val="0014651C"/>
    <w:rsid w:val="001466C5"/>
    <w:rsid w:val="001468C6"/>
    <w:rsid w:val="0014698F"/>
    <w:rsid w:val="001469F4"/>
    <w:rsid w:val="00146A38"/>
    <w:rsid w:val="00146AC1"/>
    <w:rsid w:val="00146B30"/>
    <w:rsid w:val="00146B84"/>
    <w:rsid w:val="00146BEB"/>
    <w:rsid w:val="00146CE2"/>
    <w:rsid w:val="00146E37"/>
    <w:rsid w:val="0014704E"/>
    <w:rsid w:val="00147068"/>
    <w:rsid w:val="00147083"/>
    <w:rsid w:val="00147171"/>
    <w:rsid w:val="001471BF"/>
    <w:rsid w:val="001471DC"/>
    <w:rsid w:val="00147247"/>
    <w:rsid w:val="00147283"/>
    <w:rsid w:val="001474ED"/>
    <w:rsid w:val="001474F2"/>
    <w:rsid w:val="001475A8"/>
    <w:rsid w:val="00147A21"/>
    <w:rsid w:val="00147B84"/>
    <w:rsid w:val="00147BD5"/>
    <w:rsid w:val="00147BF2"/>
    <w:rsid w:val="00147C4D"/>
    <w:rsid w:val="00147C95"/>
    <w:rsid w:val="00147D7D"/>
    <w:rsid w:val="00147E0E"/>
    <w:rsid w:val="001500C5"/>
    <w:rsid w:val="001501D6"/>
    <w:rsid w:val="0015031A"/>
    <w:rsid w:val="00150350"/>
    <w:rsid w:val="00150890"/>
    <w:rsid w:val="00150A31"/>
    <w:rsid w:val="00150A6D"/>
    <w:rsid w:val="00150A77"/>
    <w:rsid w:val="00150B14"/>
    <w:rsid w:val="00150FBF"/>
    <w:rsid w:val="00151074"/>
    <w:rsid w:val="0015117F"/>
    <w:rsid w:val="00151324"/>
    <w:rsid w:val="00151425"/>
    <w:rsid w:val="00151469"/>
    <w:rsid w:val="00151577"/>
    <w:rsid w:val="001515D3"/>
    <w:rsid w:val="001515DD"/>
    <w:rsid w:val="00151687"/>
    <w:rsid w:val="001517B9"/>
    <w:rsid w:val="001518AE"/>
    <w:rsid w:val="0015190D"/>
    <w:rsid w:val="0015197D"/>
    <w:rsid w:val="001519CF"/>
    <w:rsid w:val="00151A4C"/>
    <w:rsid w:val="00151DDA"/>
    <w:rsid w:val="00152452"/>
    <w:rsid w:val="00152582"/>
    <w:rsid w:val="00152635"/>
    <w:rsid w:val="0015275E"/>
    <w:rsid w:val="00152AC1"/>
    <w:rsid w:val="00152B65"/>
    <w:rsid w:val="00152B98"/>
    <w:rsid w:val="00152C8C"/>
    <w:rsid w:val="00152C96"/>
    <w:rsid w:val="00152D0C"/>
    <w:rsid w:val="00152EB6"/>
    <w:rsid w:val="001532B2"/>
    <w:rsid w:val="00153316"/>
    <w:rsid w:val="001533DA"/>
    <w:rsid w:val="001533FA"/>
    <w:rsid w:val="0015347E"/>
    <w:rsid w:val="001536A0"/>
    <w:rsid w:val="00153701"/>
    <w:rsid w:val="0015370E"/>
    <w:rsid w:val="00153895"/>
    <w:rsid w:val="001540DF"/>
    <w:rsid w:val="001542E3"/>
    <w:rsid w:val="001543EC"/>
    <w:rsid w:val="0015452C"/>
    <w:rsid w:val="00154674"/>
    <w:rsid w:val="001548B1"/>
    <w:rsid w:val="00154C4A"/>
    <w:rsid w:val="00154D78"/>
    <w:rsid w:val="00155175"/>
    <w:rsid w:val="00155236"/>
    <w:rsid w:val="001552B1"/>
    <w:rsid w:val="001555AD"/>
    <w:rsid w:val="001556C5"/>
    <w:rsid w:val="001557B5"/>
    <w:rsid w:val="001557B6"/>
    <w:rsid w:val="0015584F"/>
    <w:rsid w:val="00155916"/>
    <w:rsid w:val="00155A19"/>
    <w:rsid w:val="00155ED9"/>
    <w:rsid w:val="0015604B"/>
    <w:rsid w:val="00156148"/>
    <w:rsid w:val="00156166"/>
    <w:rsid w:val="00156218"/>
    <w:rsid w:val="001563BC"/>
    <w:rsid w:val="001565DB"/>
    <w:rsid w:val="0015664C"/>
    <w:rsid w:val="00156701"/>
    <w:rsid w:val="0015670D"/>
    <w:rsid w:val="0015678B"/>
    <w:rsid w:val="001567D4"/>
    <w:rsid w:val="00156A9F"/>
    <w:rsid w:val="00156DC0"/>
    <w:rsid w:val="00156E09"/>
    <w:rsid w:val="00156EAD"/>
    <w:rsid w:val="00156FB5"/>
    <w:rsid w:val="00156FD0"/>
    <w:rsid w:val="00157145"/>
    <w:rsid w:val="0015717E"/>
    <w:rsid w:val="001571F8"/>
    <w:rsid w:val="00157283"/>
    <w:rsid w:val="001572CF"/>
    <w:rsid w:val="00157476"/>
    <w:rsid w:val="0015747F"/>
    <w:rsid w:val="00157DC9"/>
    <w:rsid w:val="00157E39"/>
    <w:rsid w:val="00157F96"/>
    <w:rsid w:val="001600A4"/>
    <w:rsid w:val="0016041E"/>
    <w:rsid w:val="00160430"/>
    <w:rsid w:val="001606D2"/>
    <w:rsid w:val="00160809"/>
    <w:rsid w:val="001609B2"/>
    <w:rsid w:val="00160B1B"/>
    <w:rsid w:val="00160E47"/>
    <w:rsid w:val="00160E96"/>
    <w:rsid w:val="001610F3"/>
    <w:rsid w:val="0016127F"/>
    <w:rsid w:val="001612A0"/>
    <w:rsid w:val="0016136E"/>
    <w:rsid w:val="001616F2"/>
    <w:rsid w:val="0016179F"/>
    <w:rsid w:val="0016181C"/>
    <w:rsid w:val="00161914"/>
    <w:rsid w:val="00161B07"/>
    <w:rsid w:val="001623D0"/>
    <w:rsid w:val="00162480"/>
    <w:rsid w:val="00162521"/>
    <w:rsid w:val="0016256B"/>
    <w:rsid w:val="0016257C"/>
    <w:rsid w:val="00162611"/>
    <w:rsid w:val="0016265F"/>
    <w:rsid w:val="00162666"/>
    <w:rsid w:val="0016289E"/>
    <w:rsid w:val="00162A14"/>
    <w:rsid w:val="00162A42"/>
    <w:rsid w:val="00162A69"/>
    <w:rsid w:val="00162AF9"/>
    <w:rsid w:val="00162D5A"/>
    <w:rsid w:val="00162DB8"/>
    <w:rsid w:val="00162DFD"/>
    <w:rsid w:val="00163328"/>
    <w:rsid w:val="0016335B"/>
    <w:rsid w:val="0016353E"/>
    <w:rsid w:val="001637A8"/>
    <w:rsid w:val="00163840"/>
    <w:rsid w:val="0016384E"/>
    <w:rsid w:val="001638CE"/>
    <w:rsid w:val="001639F5"/>
    <w:rsid w:val="00163AA9"/>
    <w:rsid w:val="00163B95"/>
    <w:rsid w:val="00163C2E"/>
    <w:rsid w:val="00163D74"/>
    <w:rsid w:val="00163E7C"/>
    <w:rsid w:val="00163F3A"/>
    <w:rsid w:val="001640B7"/>
    <w:rsid w:val="0016412B"/>
    <w:rsid w:val="001641CD"/>
    <w:rsid w:val="00164243"/>
    <w:rsid w:val="001642DC"/>
    <w:rsid w:val="001642F4"/>
    <w:rsid w:val="0016443B"/>
    <w:rsid w:val="00164447"/>
    <w:rsid w:val="00164494"/>
    <w:rsid w:val="001644AF"/>
    <w:rsid w:val="0016497F"/>
    <w:rsid w:val="00164CAC"/>
    <w:rsid w:val="00164F16"/>
    <w:rsid w:val="00165364"/>
    <w:rsid w:val="001655DC"/>
    <w:rsid w:val="00165731"/>
    <w:rsid w:val="001659C9"/>
    <w:rsid w:val="00165CC3"/>
    <w:rsid w:val="00165D61"/>
    <w:rsid w:val="00165E15"/>
    <w:rsid w:val="00165E20"/>
    <w:rsid w:val="00165EE1"/>
    <w:rsid w:val="00165F7F"/>
    <w:rsid w:val="00166151"/>
    <w:rsid w:val="0016631C"/>
    <w:rsid w:val="00166328"/>
    <w:rsid w:val="0016633E"/>
    <w:rsid w:val="00166426"/>
    <w:rsid w:val="00166550"/>
    <w:rsid w:val="00166B16"/>
    <w:rsid w:val="00166B8F"/>
    <w:rsid w:val="00166E62"/>
    <w:rsid w:val="00166E91"/>
    <w:rsid w:val="001670B2"/>
    <w:rsid w:val="001670D3"/>
    <w:rsid w:val="001672B6"/>
    <w:rsid w:val="001673C4"/>
    <w:rsid w:val="00167654"/>
    <w:rsid w:val="001676DC"/>
    <w:rsid w:val="001676E0"/>
    <w:rsid w:val="00167797"/>
    <w:rsid w:val="001677F0"/>
    <w:rsid w:val="0016787D"/>
    <w:rsid w:val="001678E9"/>
    <w:rsid w:val="00167A34"/>
    <w:rsid w:val="00167AC8"/>
    <w:rsid w:val="00167AF2"/>
    <w:rsid w:val="00167B96"/>
    <w:rsid w:val="00167C10"/>
    <w:rsid w:val="00167E76"/>
    <w:rsid w:val="00167F5F"/>
    <w:rsid w:val="00167FB1"/>
    <w:rsid w:val="001701B5"/>
    <w:rsid w:val="001703B8"/>
    <w:rsid w:val="001703EF"/>
    <w:rsid w:val="0017068A"/>
    <w:rsid w:val="00170CE2"/>
    <w:rsid w:val="00170D46"/>
    <w:rsid w:val="00170D91"/>
    <w:rsid w:val="00170F3B"/>
    <w:rsid w:val="001710C0"/>
    <w:rsid w:val="00171197"/>
    <w:rsid w:val="00171276"/>
    <w:rsid w:val="001713FC"/>
    <w:rsid w:val="00171459"/>
    <w:rsid w:val="0017147C"/>
    <w:rsid w:val="00171604"/>
    <w:rsid w:val="001719CA"/>
    <w:rsid w:val="00171A98"/>
    <w:rsid w:val="00171B7B"/>
    <w:rsid w:val="00171C7B"/>
    <w:rsid w:val="00171D91"/>
    <w:rsid w:val="00171E69"/>
    <w:rsid w:val="00171F83"/>
    <w:rsid w:val="00171FD5"/>
    <w:rsid w:val="0017227A"/>
    <w:rsid w:val="00172284"/>
    <w:rsid w:val="0017233B"/>
    <w:rsid w:val="0017234E"/>
    <w:rsid w:val="001724A1"/>
    <w:rsid w:val="001724C5"/>
    <w:rsid w:val="001729D9"/>
    <w:rsid w:val="00172A3F"/>
    <w:rsid w:val="00172DCC"/>
    <w:rsid w:val="00172E89"/>
    <w:rsid w:val="00172FB5"/>
    <w:rsid w:val="0017302E"/>
    <w:rsid w:val="001730D8"/>
    <w:rsid w:val="0017363C"/>
    <w:rsid w:val="001739D5"/>
    <w:rsid w:val="001739E9"/>
    <w:rsid w:val="00173A0A"/>
    <w:rsid w:val="00173B04"/>
    <w:rsid w:val="00173B48"/>
    <w:rsid w:val="00173B61"/>
    <w:rsid w:val="00173E1E"/>
    <w:rsid w:val="00174202"/>
    <w:rsid w:val="00174666"/>
    <w:rsid w:val="0017480C"/>
    <w:rsid w:val="00174B54"/>
    <w:rsid w:val="00174CF9"/>
    <w:rsid w:val="00174CFF"/>
    <w:rsid w:val="00174D73"/>
    <w:rsid w:val="00174DFF"/>
    <w:rsid w:val="00174FDB"/>
    <w:rsid w:val="0017516F"/>
    <w:rsid w:val="00175405"/>
    <w:rsid w:val="0017557D"/>
    <w:rsid w:val="00175719"/>
    <w:rsid w:val="0017586F"/>
    <w:rsid w:val="00175880"/>
    <w:rsid w:val="001759DA"/>
    <w:rsid w:val="00175EF7"/>
    <w:rsid w:val="00175FC4"/>
    <w:rsid w:val="0017602D"/>
    <w:rsid w:val="00176069"/>
    <w:rsid w:val="001760A2"/>
    <w:rsid w:val="001760EE"/>
    <w:rsid w:val="00176120"/>
    <w:rsid w:val="001765B3"/>
    <w:rsid w:val="0017660C"/>
    <w:rsid w:val="0017692F"/>
    <w:rsid w:val="00176ACD"/>
    <w:rsid w:val="00176C2F"/>
    <w:rsid w:val="00176C87"/>
    <w:rsid w:val="00176DB6"/>
    <w:rsid w:val="00176F5C"/>
    <w:rsid w:val="0017732C"/>
    <w:rsid w:val="00177392"/>
    <w:rsid w:val="00177603"/>
    <w:rsid w:val="00177666"/>
    <w:rsid w:val="00177794"/>
    <w:rsid w:val="001778E5"/>
    <w:rsid w:val="00177B71"/>
    <w:rsid w:val="00177C2A"/>
    <w:rsid w:val="00177D74"/>
    <w:rsid w:val="001800C8"/>
    <w:rsid w:val="00180219"/>
    <w:rsid w:val="00180361"/>
    <w:rsid w:val="001803E5"/>
    <w:rsid w:val="0018042A"/>
    <w:rsid w:val="00180471"/>
    <w:rsid w:val="00180733"/>
    <w:rsid w:val="001808F5"/>
    <w:rsid w:val="00180DF4"/>
    <w:rsid w:val="00180DF5"/>
    <w:rsid w:val="00180E80"/>
    <w:rsid w:val="00181011"/>
    <w:rsid w:val="001813C9"/>
    <w:rsid w:val="0018145F"/>
    <w:rsid w:val="001814AF"/>
    <w:rsid w:val="001814BB"/>
    <w:rsid w:val="00181577"/>
    <w:rsid w:val="001815E7"/>
    <w:rsid w:val="00181845"/>
    <w:rsid w:val="0018187A"/>
    <w:rsid w:val="00181A28"/>
    <w:rsid w:val="00181A2C"/>
    <w:rsid w:val="00181E80"/>
    <w:rsid w:val="00181F26"/>
    <w:rsid w:val="0018201D"/>
    <w:rsid w:val="0018203B"/>
    <w:rsid w:val="001821FE"/>
    <w:rsid w:val="0018228C"/>
    <w:rsid w:val="001822FC"/>
    <w:rsid w:val="00182355"/>
    <w:rsid w:val="00182529"/>
    <w:rsid w:val="0018257B"/>
    <w:rsid w:val="001825DA"/>
    <w:rsid w:val="00182665"/>
    <w:rsid w:val="001826E5"/>
    <w:rsid w:val="0018282A"/>
    <w:rsid w:val="001829E7"/>
    <w:rsid w:val="00182A3E"/>
    <w:rsid w:val="00182A9A"/>
    <w:rsid w:val="00182AA5"/>
    <w:rsid w:val="00182BC1"/>
    <w:rsid w:val="00182DF5"/>
    <w:rsid w:val="00183006"/>
    <w:rsid w:val="00183141"/>
    <w:rsid w:val="001833A0"/>
    <w:rsid w:val="00183507"/>
    <w:rsid w:val="0018365B"/>
    <w:rsid w:val="00183829"/>
    <w:rsid w:val="001838C2"/>
    <w:rsid w:val="00183C2C"/>
    <w:rsid w:val="00183F4A"/>
    <w:rsid w:val="001841DE"/>
    <w:rsid w:val="00184288"/>
    <w:rsid w:val="001844E3"/>
    <w:rsid w:val="00184505"/>
    <w:rsid w:val="001846CD"/>
    <w:rsid w:val="00184714"/>
    <w:rsid w:val="0018476D"/>
    <w:rsid w:val="00184958"/>
    <w:rsid w:val="00184A6A"/>
    <w:rsid w:val="00184CB8"/>
    <w:rsid w:val="00184CD4"/>
    <w:rsid w:val="00184E40"/>
    <w:rsid w:val="001851F3"/>
    <w:rsid w:val="00185373"/>
    <w:rsid w:val="0018553F"/>
    <w:rsid w:val="0018581B"/>
    <w:rsid w:val="00185B0C"/>
    <w:rsid w:val="00185B3B"/>
    <w:rsid w:val="00185B75"/>
    <w:rsid w:val="00185BB9"/>
    <w:rsid w:val="00185C02"/>
    <w:rsid w:val="00185C8D"/>
    <w:rsid w:val="00185CDF"/>
    <w:rsid w:val="00186054"/>
    <w:rsid w:val="001860A4"/>
    <w:rsid w:val="001863CB"/>
    <w:rsid w:val="001866D0"/>
    <w:rsid w:val="00186932"/>
    <w:rsid w:val="00186B11"/>
    <w:rsid w:val="00186C20"/>
    <w:rsid w:val="00186F8C"/>
    <w:rsid w:val="00187260"/>
    <w:rsid w:val="00187847"/>
    <w:rsid w:val="00187BF9"/>
    <w:rsid w:val="00187C06"/>
    <w:rsid w:val="00187DCB"/>
    <w:rsid w:val="00187E50"/>
    <w:rsid w:val="00190021"/>
    <w:rsid w:val="001900C4"/>
    <w:rsid w:val="00190238"/>
    <w:rsid w:val="001903C3"/>
    <w:rsid w:val="0019066E"/>
    <w:rsid w:val="0019086A"/>
    <w:rsid w:val="001908C8"/>
    <w:rsid w:val="00190B78"/>
    <w:rsid w:val="00190EF7"/>
    <w:rsid w:val="001910A8"/>
    <w:rsid w:val="001912AC"/>
    <w:rsid w:val="001912D4"/>
    <w:rsid w:val="0019133F"/>
    <w:rsid w:val="001915AB"/>
    <w:rsid w:val="00191638"/>
    <w:rsid w:val="00191BAB"/>
    <w:rsid w:val="00191C30"/>
    <w:rsid w:val="00191E94"/>
    <w:rsid w:val="00191F1D"/>
    <w:rsid w:val="00191FBE"/>
    <w:rsid w:val="001921F3"/>
    <w:rsid w:val="0019221F"/>
    <w:rsid w:val="00192422"/>
    <w:rsid w:val="00192C36"/>
    <w:rsid w:val="00192CBB"/>
    <w:rsid w:val="00192D01"/>
    <w:rsid w:val="00192E38"/>
    <w:rsid w:val="00192E4B"/>
    <w:rsid w:val="0019338B"/>
    <w:rsid w:val="00193678"/>
    <w:rsid w:val="001936B1"/>
    <w:rsid w:val="00193729"/>
    <w:rsid w:val="00193BFB"/>
    <w:rsid w:val="00193DBD"/>
    <w:rsid w:val="00193F63"/>
    <w:rsid w:val="00194081"/>
    <w:rsid w:val="001942A9"/>
    <w:rsid w:val="001943BC"/>
    <w:rsid w:val="0019444E"/>
    <w:rsid w:val="001945E9"/>
    <w:rsid w:val="0019474E"/>
    <w:rsid w:val="001947F5"/>
    <w:rsid w:val="00194854"/>
    <w:rsid w:val="001948F6"/>
    <w:rsid w:val="00194A76"/>
    <w:rsid w:val="00194E1F"/>
    <w:rsid w:val="00194E4A"/>
    <w:rsid w:val="00194F0F"/>
    <w:rsid w:val="001950FC"/>
    <w:rsid w:val="0019520B"/>
    <w:rsid w:val="0019578F"/>
    <w:rsid w:val="00195870"/>
    <w:rsid w:val="00195957"/>
    <w:rsid w:val="001959A0"/>
    <w:rsid w:val="00195A8C"/>
    <w:rsid w:val="00195C31"/>
    <w:rsid w:val="00195FE4"/>
    <w:rsid w:val="0019606D"/>
    <w:rsid w:val="001961AA"/>
    <w:rsid w:val="00196216"/>
    <w:rsid w:val="0019628E"/>
    <w:rsid w:val="001963D4"/>
    <w:rsid w:val="001964C0"/>
    <w:rsid w:val="001964EE"/>
    <w:rsid w:val="001968F8"/>
    <w:rsid w:val="00196BC7"/>
    <w:rsid w:val="00196DDC"/>
    <w:rsid w:val="00196E80"/>
    <w:rsid w:val="00196E9A"/>
    <w:rsid w:val="00196EF4"/>
    <w:rsid w:val="00196FE3"/>
    <w:rsid w:val="00197073"/>
    <w:rsid w:val="001970F8"/>
    <w:rsid w:val="00197571"/>
    <w:rsid w:val="0019787B"/>
    <w:rsid w:val="00197A19"/>
    <w:rsid w:val="00197B54"/>
    <w:rsid w:val="00197CD1"/>
    <w:rsid w:val="00197CF7"/>
    <w:rsid w:val="001A00DF"/>
    <w:rsid w:val="001A01A7"/>
    <w:rsid w:val="001A022D"/>
    <w:rsid w:val="001A03F6"/>
    <w:rsid w:val="001A050D"/>
    <w:rsid w:val="001A06C2"/>
    <w:rsid w:val="001A0869"/>
    <w:rsid w:val="001A09FC"/>
    <w:rsid w:val="001A0E9A"/>
    <w:rsid w:val="001A105A"/>
    <w:rsid w:val="001A112A"/>
    <w:rsid w:val="001A1172"/>
    <w:rsid w:val="001A159D"/>
    <w:rsid w:val="001A15CB"/>
    <w:rsid w:val="001A16BE"/>
    <w:rsid w:val="001A16C9"/>
    <w:rsid w:val="001A1763"/>
    <w:rsid w:val="001A183D"/>
    <w:rsid w:val="001A18CF"/>
    <w:rsid w:val="001A1950"/>
    <w:rsid w:val="001A1C19"/>
    <w:rsid w:val="001A1DA8"/>
    <w:rsid w:val="001A235B"/>
    <w:rsid w:val="001A2465"/>
    <w:rsid w:val="001A24F7"/>
    <w:rsid w:val="001A2529"/>
    <w:rsid w:val="001A279A"/>
    <w:rsid w:val="001A27B9"/>
    <w:rsid w:val="001A2926"/>
    <w:rsid w:val="001A2952"/>
    <w:rsid w:val="001A2984"/>
    <w:rsid w:val="001A2A77"/>
    <w:rsid w:val="001A2B0B"/>
    <w:rsid w:val="001A2D47"/>
    <w:rsid w:val="001A2E14"/>
    <w:rsid w:val="001A2E63"/>
    <w:rsid w:val="001A2EB5"/>
    <w:rsid w:val="001A2FF3"/>
    <w:rsid w:val="001A3009"/>
    <w:rsid w:val="001A3121"/>
    <w:rsid w:val="001A319A"/>
    <w:rsid w:val="001A3488"/>
    <w:rsid w:val="001A356B"/>
    <w:rsid w:val="001A362C"/>
    <w:rsid w:val="001A38D1"/>
    <w:rsid w:val="001A3BFC"/>
    <w:rsid w:val="001A3E4B"/>
    <w:rsid w:val="001A4347"/>
    <w:rsid w:val="001A4466"/>
    <w:rsid w:val="001A4562"/>
    <w:rsid w:val="001A45E7"/>
    <w:rsid w:val="001A49EB"/>
    <w:rsid w:val="001A49FA"/>
    <w:rsid w:val="001A4AB4"/>
    <w:rsid w:val="001A4B6D"/>
    <w:rsid w:val="001A4BB9"/>
    <w:rsid w:val="001A4D0C"/>
    <w:rsid w:val="001A4F3A"/>
    <w:rsid w:val="001A5033"/>
    <w:rsid w:val="001A512B"/>
    <w:rsid w:val="001A531E"/>
    <w:rsid w:val="001A543D"/>
    <w:rsid w:val="001A562D"/>
    <w:rsid w:val="001A5638"/>
    <w:rsid w:val="001A57A1"/>
    <w:rsid w:val="001A586A"/>
    <w:rsid w:val="001A5878"/>
    <w:rsid w:val="001A58FE"/>
    <w:rsid w:val="001A5936"/>
    <w:rsid w:val="001A5BA7"/>
    <w:rsid w:val="001A5D6F"/>
    <w:rsid w:val="001A5EF2"/>
    <w:rsid w:val="001A6062"/>
    <w:rsid w:val="001A6071"/>
    <w:rsid w:val="001A611C"/>
    <w:rsid w:val="001A6219"/>
    <w:rsid w:val="001A6283"/>
    <w:rsid w:val="001A629D"/>
    <w:rsid w:val="001A652F"/>
    <w:rsid w:val="001A6544"/>
    <w:rsid w:val="001A6571"/>
    <w:rsid w:val="001A6764"/>
    <w:rsid w:val="001A679F"/>
    <w:rsid w:val="001A6844"/>
    <w:rsid w:val="001A6853"/>
    <w:rsid w:val="001A6908"/>
    <w:rsid w:val="001A6A0E"/>
    <w:rsid w:val="001A6A35"/>
    <w:rsid w:val="001A6A58"/>
    <w:rsid w:val="001A6A7E"/>
    <w:rsid w:val="001A6F66"/>
    <w:rsid w:val="001A7021"/>
    <w:rsid w:val="001A7027"/>
    <w:rsid w:val="001A703A"/>
    <w:rsid w:val="001A704B"/>
    <w:rsid w:val="001A725F"/>
    <w:rsid w:val="001A7491"/>
    <w:rsid w:val="001A74FF"/>
    <w:rsid w:val="001A7730"/>
    <w:rsid w:val="001A7843"/>
    <w:rsid w:val="001A794A"/>
    <w:rsid w:val="001A7AEA"/>
    <w:rsid w:val="001A7B9C"/>
    <w:rsid w:val="001A7BBB"/>
    <w:rsid w:val="001A7C09"/>
    <w:rsid w:val="001A7F3E"/>
    <w:rsid w:val="001B0155"/>
    <w:rsid w:val="001B02F2"/>
    <w:rsid w:val="001B03F5"/>
    <w:rsid w:val="001B04CF"/>
    <w:rsid w:val="001B06AA"/>
    <w:rsid w:val="001B0767"/>
    <w:rsid w:val="001B08DA"/>
    <w:rsid w:val="001B09FA"/>
    <w:rsid w:val="001B0A40"/>
    <w:rsid w:val="001B0D49"/>
    <w:rsid w:val="001B125F"/>
    <w:rsid w:val="001B1A1D"/>
    <w:rsid w:val="001B1BB1"/>
    <w:rsid w:val="001B1C9A"/>
    <w:rsid w:val="001B1E73"/>
    <w:rsid w:val="001B1FDA"/>
    <w:rsid w:val="001B210B"/>
    <w:rsid w:val="001B22C0"/>
    <w:rsid w:val="001B2648"/>
    <w:rsid w:val="001B26E6"/>
    <w:rsid w:val="001B2785"/>
    <w:rsid w:val="001B29DC"/>
    <w:rsid w:val="001B2A42"/>
    <w:rsid w:val="001B2C98"/>
    <w:rsid w:val="001B2D37"/>
    <w:rsid w:val="001B2D90"/>
    <w:rsid w:val="001B2DD4"/>
    <w:rsid w:val="001B2E10"/>
    <w:rsid w:val="001B2E7F"/>
    <w:rsid w:val="001B2F09"/>
    <w:rsid w:val="001B31B8"/>
    <w:rsid w:val="001B3573"/>
    <w:rsid w:val="001B3977"/>
    <w:rsid w:val="001B39C2"/>
    <w:rsid w:val="001B3A8E"/>
    <w:rsid w:val="001B3D86"/>
    <w:rsid w:val="001B3F34"/>
    <w:rsid w:val="001B3FAF"/>
    <w:rsid w:val="001B4057"/>
    <w:rsid w:val="001B4117"/>
    <w:rsid w:val="001B41ED"/>
    <w:rsid w:val="001B43BB"/>
    <w:rsid w:val="001B4454"/>
    <w:rsid w:val="001B4464"/>
    <w:rsid w:val="001B4488"/>
    <w:rsid w:val="001B452A"/>
    <w:rsid w:val="001B4BA1"/>
    <w:rsid w:val="001B4BF3"/>
    <w:rsid w:val="001B4C58"/>
    <w:rsid w:val="001B4E68"/>
    <w:rsid w:val="001B4E78"/>
    <w:rsid w:val="001B4FA2"/>
    <w:rsid w:val="001B5288"/>
    <w:rsid w:val="001B5366"/>
    <w:rsid w:val="001B53FF"/>
    <w:rsid w:val="001B5A88"/>
    <w:rsid w:val="001B5C73"/>
    <w:rsid w:val="001B61BF"/>
    <w:rsid w:val="001B61C6"/>
    <w:rsid w:val="001B61FB"/>
    <w:rsid w:val="001B6230"/>
    <w:rsid w:val="001B6409"/>
    <w:rsid w:val="001B6466"/>
    <w:rsid w:val="001B6530"/>
    <w:rsid w:val="001B656C"/>
    <w:rsid w:val="001B6904"/>
    <w:rsid w:val="001B6A62"/>
    <w:rsid w:val="001B6B9F"/>
    <w:rsid w:val="001B6D07"/>
    <w:rsid w:val="001B6DDA"/>
    <w:rsid w:val="001B6FB1"/>
    <w:rsid w:val="001B7165"/>
    <w:rsid w:val="001B7259"/>
    <w:rsid w:val="001B73B9"/>
    <w:rsid w:val="001B742C"/>
    <w:rsid w:val="001B7448"/>
    <w:rsid w:val="001B74F7"/>
    <w:rsid w:val="001B7504"/>
    <w:rsid w:val="001B7655"/>
    <w:rsid w:val="001B7720"/>
    <w:rsid w:val="001B7962"/>
    <w:rsid w:val="001B79EA"/>
    <w:rsid w:val="001B7A44"/>
    <w:rsid w:val="001B7BB5"/>
    <w:rsid w:val="001B7C39"/>
    <w:rsid w:val="001B7CC1"/>
    <w:rsid w:val="001B7DBE"/>
    <w:rsid w:val="001B7F25"/>
    <w:rsid w:val="001B7F96"/>
    <w:rsid w:val="001C00C8"/>
    <w:rsid w:val="001C019D"/>
    <w:rsid w:val="001C039D"/>
    <w:rsid w:val="001C043F"/>
    <w:rsid w:val="001C052C"/>
    <w:rsid w:val="001C058F"/>
    <w:rsid w:val="001C0897"/>
    <w:rsid w:val="001C0959"/>
    <w:rsid w:val="001C0A24"/>
    <w:rsid w:val="001C0A8E"/>
    <w:rsid w:val="001C10A8"/>
    <w:rsid w:val="001C11B3"/>
    <w:rsid w:val="001C128C"/>
    <w:rsid w:val="001C1403"/>
    <w:rsid w:val="001C165E"/>
    <w:rsid w:val="001C1757"/>
    <w:rsid w:val="001C18E8"/>
    <w:rsid w:val="001C1985"/>
    <w:rsid w:val="001C1BBC"/>
    <w:rsid w:val="001C1C92"/>
    <w:rsid w:val="001C1DE7"/>
    <w:rsid w:val="001C1E50"/>
    <w:rsid w:val="001C1F39"/>
    <w:rsid w:val="001C1F3F"/>
    <w:rsid w:val="001C1F93"/>
    <w:rsid w:val="001C1FFA"/>
    <w:rsid w:val="001C20AC"/>
    <w:rsid w:val="001C229B"/>
    <w:rsid w:val="001C2652"/>
    <w:rsid w:val="001C2C95"/>
    <w:rsid w:val="001C2D64"/>
    <w:rsid w:val="001C3082"/>
    <w:rsid w:val="001C30B3"/>
    <w:rsid w:val="001C3235"/>
    <w:rsid w:val="001C323E"/>
    <w:rsid w:val="001C3381"/>
    <w:rsid w:val="001C3751"/>
    <w:rsid w:val="001C37E9"/>
    <w:rsid w:val="001C380E"/>
    <w:rsid w:val="001C3900"/>
    <w:rsid w:val="001C39CA"/>
    <w:rsid w:val="001C3B2C"/>
    <w:rsid w:val="001C3B41"/>
    <w:rsid w:val="001C3C9D"/>
    <w:rsid w:val="001C3DF3"/>
    <w:rsid w:val="001C3E17"/>
    <w:rsid w:val="001C3E59"/>
    <w:rsid w:val="001C3E76"/>
    <w:rsid w:val="001C4919"/>
    <w:rsid w:val="001C4ACA"/>
    <w:rsid w:val="001C4C81"/>
    <w:rsid w:val="001C4DC3"/>
    <w:rsid w:val="001C4F88"/>
    <w:rsid w:val="001C4FB7"/>
    <w:rsid w:val="001C5100"/>
    <w:rsid w:val="001C5559"/>
    <w:rsid w:val="001C5681"/>
    <w:rsid w:val="001C5758"/>
    <w:rsid w:val="001C588B"/>
    <w:rsid w:val="001C59F3"/>
    <w:rsid w:val="001C5AC0"/>
    <w:rsid w:val="001C5AEA"/>
    <w:rsid w:val="001C60F9"/>
    <w:rsid w:val="001C6185"/>
    <w:rsid w:val="001C645E"/>
    <w:rsid w:val="001C654F"/>
    <w:rsid w:val="001C6572"/>
    <w:rsid w:val="001C6579"/>
    <w:rsid w:val="001C657E"/>
    <w:rsid w:val="001C67A7"/>
    <w:rsid w:val="001C6C8F"/>
    <w:rsid w:val="001C6D39"/>
    <w:rsid w:val="001C7043"/>
    <w:rsid w:val="001C72BF"/>
    <w:rsid w:val="001C72ED"/>
    <w:rsid w:val="001C731B"/>
    <w:rsid w:val="001C7470"/>
    <w:rsid w:val="001C75BB"/>
    <w:rsid w:val="001C75E8"/>
    <w:rsid w:val="001C76C1"/>
    <w:rsid w:val="001C7827"/>
    <w:rsid w:val="001C7A00"/>
    <w:rsid w:val="001C7B32"/>
    <w:rsid w:val="001C7B51"/>
    <w:rsid w:val="001C7EC0"/>
    <w:rsid w:val="001CB634"/>
    <w:rsid w:val="001D00F0"/>
    <w:rsid w:val="001D022C"/>
    <w:rsid w:val="001D02E8"/>
    <w:rsid w:val="001D0542"/>
    <w:rsid w:val="001D0655"/>
    <w:rsid w:val="001D091E"/>
    <w:rsid w:val="001D0A8E"/>
    <w:rsid w:val="001D0D03"/>
    <w:rsid w:val="001D118E"/>
    <w:rsid w:val="001D134B"/>
    <w:rsid w:val="001D13CB"/>
    <w:rsid w:val="001D1497"/>
    <w:rsid w:val="001D15E5"/>
    <w:rsid w:val="001D15F2"/>
    <w:rsid w:val="001D1812"/>
    <w:rsid w:val="001D18A5"/>
    <w:rsid w:val="001D19F1"/>
    <w:rsid w:val="001D1C4B"/>
    <w:rsid w:val="001D1DC6"/>
    <w:rsid w:val="001D1E64"/>
    <w:rsid w:val="001D20DD"/>
    <w:rsid w:val="001D21C6"/>
    <w:rsid w:val="001D21D7"/>
    <w:rsid w:val="001D21E6"/>
    <w:rsid w:val="001D2350"/>
    <w:rsid w:val="001D23F4"/>
    <w:rsid w:val="001D2566"/>
    <w:rsid w:val="001D2588"/>
    <w:rsid w:val="001D2675"/>
    <w:rsid w:val="001D2806"/>
    <w:rsid w:val="001D2859"/>
    <w:rsid w:val="001D2D63"/>
    <w:rsid w:val="001D2F09"/>
    <w:rsid w:val="001D3667"/>
    <w:rsid w:val="001D36AF"/>
    <w:rsid w:val="001D394D"/>
    <w:rsid w:val="001D3CD5"/>
    <w:rsid w:val="001D40DE"/>
    <w:rsid w:val="001D40F7"/>
    <w:rsid w:val="001D42F1"/>
    <w:rsid w:val="001D45B9"/>
    <w:rsid w:val="001D45BF"/>
    <w:rsid w:val="001D47FF"/>
    <w:rsid w:val="001D4AB7"/>
    <w:rsid w:val="001D4B4D"/>
    <w:rsid w:val="001D4E26"/>
    <w:rsid w:val="001D4E98"/>
    <w:rsid w:val="001D4F19"/>
    <w:rsid w:val="001D533C"/>
    <w:rsid w:val="001D54A9"/>
    <w:rsid w:val="001D5883"/>
    <w:rsid w:val="001D6142"/>
    <w:rsid w:val="001D62BC"/>
    <w:rsid w:val="001D62C9"/>
    <w:rsid w:val="001D63D2"/>
    <w:rsid w:val="001D661E"/>
    <w:rsid w:val="001D67A3"/>
    <w:rsid w:val="001D681C"/>
    <w:rsid w:val="001D68D3"/>
    <w:rsid w:val="001D68DC"/>
    <w:rsid w:val="001D69C5"/>
    <w:rsid w:val="001D6A7B"/>
    <w:rsid w:val="001D6CFC"/>
    <w:rsid w:val="001D6D40"/>
    <w:rsid w:val="001D6D9D"/>
    <w:rsid w:val="001D6E30"/>
    <w:rsid w:val="001D6F0E"/>
    <w:rsid w:val="001D6FDA"/>
    <w:rsid w:val="001D71FF"/>
    <w:rsid w:val="001D721D"/>
    <w:rsid w:val="001D7223"/>
    <w:rsid w:val="001D738D"/>
    <w:rsid w:val="001D7549"/>
    <w:rsid w:val="001D77F3"/>
    <w:rsid w:val="001D7863"/>
    <w:rsid w:val="001D7ACE"/>
    <w:rsid w:val="001D7B56"/>
    <w:rsid w:val="001D7BA0"/>
    <w:rsid w:val="001D7C7A"/>
    <w:rsid w:val="001D7D73"/>
    <w:rsid w:val="001D7D87"/>
    <w:rsid w:val="001DC8B6"/>
    <w:rsid w:val="001E0193"/>
    <w:rsid w:val="001E01B4"/>
    <w:rsid w:val="001E0215"/>
    <w:rsid w:val="001E0407"/>
    <w:rsid w:val="001E0430"/>
    <w:rsid w:val="001E04C6"/>
    <w:rsid w:val="001E072E"/>
    <w:rsid w:val="001E0BCA"/>
    <w:rsid w:val="001E0C9B"/>
    <w:rsid w:val="001E0D34"/>
    <w:rsid w:val="001E0D71"/>
    <w:rsid w:val="001E1119"/>
    <w:rsid w:val="001E1170"/>
    <w:rsid w:val="001E1171"/>
    <w:rsid w:val="001E11A9"/>
    <w:rsid w:val="001E11BD"/>
    <w:rsid w:val="001E11FB"/>
    <w:rsid w:val="001E124F"/>
    <w:rsid w:val="001E131A"/>
    <w:rsid w:val="001E1471"/>
    <w:rsid w:val="001E16A4"/>
    <w:rsid w:val="001E17E1"/>
    <w:rsid w:val="001E1942"/>
    <w:rsid w:val="001E1A02"/>
    <w:rsid w:val="001E1A88"/>
    <w:rsid w:val="001E1D42"/>
    <w:rsid w:val="001E1EA6"/>
    <w:rsid w:val="001E1EAF"/>
    <w:rsid w:val="001E1ECB"/>
    <w:rsid w:val="001E1F06"/>
    <w:rsid w:val="001E1F6E"/>
    <w:rsid w:val="001E2145"/>
    <w:rsid w:val="001E2218"/>
    <w:rsid w:val="001E241F"/>
    <w:rsid w:val="001E247A"/>
    <w:rsid w:val="001E2504"/>
    <w:rsid w:val="001E2512"/>
    <w:rsid w:val="001E2519"/>
    <w:rsid w:val="001E2602"/>
    <w:rsid w:val="001E2696"/>
    <w:rsid w:val="001E285C"/>
    <w:rsid w:val="001E2899"/>
    <w:rsid w:val="001E2958"/>
    <w:rsid w:val="001E2ABA"/>
    <w:rsid w:val="001E3048"/>
    <w:rsid w:val="001E313F"/>
    <w:rsid w:val="001E3376"/>
    <w:rsid w:val="001E341B"/>
    <w:rsid w:val="001E342A"/>
    <w:rsid w:val="001E35A5"/>
    <w:rsid w:val="001E371D"/>
    <w:rsid w:val="001E39C6"/>
    <w:rsid w:val="001E39EB"/>
    <w:rsid w:val="001E3EA4"/>
    <w:rsid w:val="001E3F4D"/>
    <w:rsid w:val="001E40DA"/>
    <w:rsid w:val="001E40EF"/>
    <w:rsid w:val="001E428C"/>
    <w:rsid w:val="001E4393"/>
    <w:rsid w:val="001E444A"/>
    <w:rsid w:val="001E4460"/>
    <w:rsid w:val="001E44E2"/>
    <w:rsid w:val="001E4553"/>
    <w:rsid w:val="001E4590"/>
    <w:rsid w:val="001E4647"/>
    <w:rsid w:val="001E46C8"/>
    <w:rsid w:val="001E47DF"/>
    <w:rsid w:val="001E4934"/>
    <w:rsid w:val="001E4A3B"/>
    <w:rsid w:val="001E4A6F"/>
    <w:rsid w:val="001E4E8B"/>
    <w:rsid w:val="001E4F18"/>
    <w:rsid w:val="001E5251"/>
    <w:rsid w:val="001E5311"/>
    <w:rsid w:val="001E5395"/>
    <w:rsid w:val="001E5406"/>
    <w:rsid w:val="001E54A3"/>
    <w:rsid w:val="001E5560"/>
    <w:rsid w:val="001E589F"/>
    <w:rsid w:val="001E58A9"/>
    <w:rsid w:val="001E58E5"/>
    <w:rsid w:val="001E622E"/>
    <w:rsid w:val="001E62CE"/>
    <w:rsid w:val="001E645B"/>
    <w:rsid w:val="001E66CC"/>
    <w:rsid w:val="001E6775"/>
    <w:rsid w:val="001E6B76"/>
    <w:rsid w:val="001E701E"/>
    <w:rsid w:val="001E7082"/>
    <w:rsid w:val="001E74AB"/>
    <w:rsid w:val="001E76E2"/>
    <w:rsid w:val="001E76FD"/>
    <w:rsid w:val="001E7744"/>
    <w:rsid w:val="001E781A"/>
    <w:rsid w:val="001E7B9C"/>
    <w:rsid w:val="001E7C1C"/>
    <w:rsid w:val="001E7D0A"/>
    <w:rsid w:val="001E7DF8"/>
    <w:rsid w:val="001E7FC0"/>
    <w:rsid w:val="001F0284"/>
    <w:rsid w:val="001F048E"/>
    <w:rsid w:val="001F096B"/>
    <w:rsid w:val="001F0973"/>
    <w:rsid w:val="001F0B39"/>
    <w:rsid w:val="001F0B81"/>
    <w:rsid w:val="001F0CE2"/>
    <w:rsid w:val="001F144B"/>
    <w:rsid w:val="001F197C"/>
    <w:rsid w:val="001F1C2B"/>
    <w:rsid w:val="001F2289"/>
    <w:rsid w:val="001F239C"/>
    <w:rsid w:val="001F23B6"/>
    <w:rsid w:val="001F24B4"/>
    <w:rsid w:val="001F2747"/>
    <w:rsid w:val="001F2964"/>
    <w:rsid w:val="001F2AE9"/>
    <w:rsid w:val="001F2C0F"/>
    <w:rsid w:val="001F2C7B"/>
    <w:rsid w:val="001F2CCD"/>
    <w:rsid w:val="001F2EB3"/>
    <w:rsid w:val="001F3115"/>
    <w:rsid w:val="001F324A"/>
    <w:rsid w:val="001F32C7"/>
    <w:rsid w:val="001F33AE"/>
    <w:rsid w:val="001F36E4"/>
    <w:rsid w:val="001F3704"/>
    <w:rsid w:val="001F39E9"/>
    <w:rsid w:val="001F3BCC"/>
    <w:rsid w:val="001F3D94"/>
    <w:rsid w:val="001F3DF0"/>
    <w:rsid w:val="001F3F48"/>
    <w:rsid w:val="001F3F97"/>
    <w:rsid w:val="001F4005"/>
    <w:rsid w:val="001F42A6"/>
    <w:rsid w:val="001F44FC"/>
    <w:rsid w:val="001F4570"/>
    <w:rsid w:val="001F4802"/>
    <w:rsid w:val="001F4855"/>
    <w:rsid w:val="001F499B"/>
    <w:rsid w:val="001F4A7D"/>
    <w:rsid w:val="001F4B1D"/>
    <w:rsid w:val="001F4BEB"/>
    <w:rsid w:val="001F4DFA"/>
    <w:rsid w:val="001F4E04"/>
    <w:rsid w:val="001F4E9B"/>
    <w:rsid w:val="001F4EF7"/>
    <w:rsid w:val="001F5084"/>
    <w:rsid w:val="001F515C"/>
    <w:rsid w:val="001F51EE"/>
    <w:rsid w:val="001F5322"/>
    <w:rsid w:val="001F547F"/>
    <w:rsid w:val="001F5618"/>
    <w:rsid w:val="001F56F3"/>
    <w:rsid w:val="001F5783"/>
    <w:rsid w:val="001F5C26"/>
    <w:rsid w:val="001F5CC7"/>
    <w:rsid w:val="001F617A"/>
    <w:rsid w:val="001F617C"/>
    <w:rsid w:val="001F61D0"/>
    <w:rsid w:val="001F64D8"/>
    <w:rsid w:val="001F652E"/>
    <w:rsid w:val="001F69AE"/>
    <w:rsid w:val="001F6AAD"/>
    <w:rsid w:val="001F6BC9"/>
    <w:rsid w:val="001F6D17"/>
    <w:rsid w:val="001F70DB"/>
    <w:rsid w:val="001F71C8"/>
    <w:rsid w:val="001F72A7"/>
    <w:rsid w:val="001F72DD"/>
    <w:rsid w:val="001F73D3"/>
    <w:rsid w:val="001F7425"/>
    <w:rsid w:val="001F77CF"/>
    <w:rsid w:val="001F78C0"/>
    <w:rsid w:val="001F7977"/>
    <w:rsid w:val="001F7E8A"/>
    <w:rsid w:val="0020000D"/>
    <w:rsid w:val="00200261"/>
    <w:rsid w:val="002005C4"/>
    <w:rsid w:val="002005E3"/>
    <w:rsid w:val="0020069B"/>
    <w:rsid w:val="00200710"/>
    <w:rsid w:val="00200737"/>
    <w:rsid w:val="00200794"/>
    <w:rsid w:val="0020082E"/>
    <w:rsid w:val="0020096A"/>
    <w:rsid w:val="002009CB"/>
    <w:rsid w:val="002009D6"/>
    <w:rsid w:val="00200A95"/>
    <w:rsid w:val="00200C50"/>
    <w:rsid w:val="00200C5E"/>
    <w:rsid w:val="00200D07"/>
    <w:rsid w:val="002011B8"/>
    <w:rsid w:val="00201351"/>
    <w:rsid w:val="002013C9"/>
    <w:rsid w:val="0020143E"/>
    <w:rsid w:val="00201569"/>
    <w:rsid w:val="00201590"/>
    <w:rsid w:val="002015E9"/>
    <w:rsid w:val="002015F4"/>
    <w:rsid w:val="00201852"/>
    <w:rsid w:val="002018D3"/>
    <w:rsid w:val="00201A87"/>
    <w:rsid w:val="00201D43"/>
    <w:rsid w:val="00201E42"/>
    <w:rsid w:val="00201EED"/>
    <w:rsid w:val="00201F67"/>
    <w:rsid w:val="00202091"/>
    <w:rsid w:val="002024BD"/>
    <w:rsid w:val="00202663"/>
    <w:rsid w:val="00202791"/>
    <w:rsid w:val="00202799"/>
    <w:rsid w:val="00202C24"/>
    <w:rsid w:val="00202C65"/>
    <w:rsid w:val="00202C7C"/>
    <w:rsid w:val="00202CF8"/>
    <w:rsid w:val="00203051"/>
    <w:rsid w:val="002036D3"/>
    <w:rsid w:val="002037D0"/>
    <w:rsid w:val="002037D3"/>
    <w:rsid w:val="0020390B"/>
    <w:rsid w:val="00203AF2"/>
    <w:rsid w:val="00203B9C"/>
    <w:rsid w:val="00203C3E"/>
    <w:rsid w:val="002042A2"/>
    <w:rsid w:val="00204449"/>
    <w:rsid w:val="002044D8"/>
    <w:rsid w:val="002045CD"/>
    <w:rsid w:val="0020489A"/>
    <w:rsid w:val="002048CB"/>
    <w:rsid w:val="00204A8D"/>
    <w:rsid w:val="00204CDF"/>
    <w:rsid w:val="00204DC9"/>
    <w:rsid w:val="00204F1E"/>
    <w:rsid w:val="002050A3"/>
    <w:rsid w:val="002051C9"/>
    <w:rsid w:val="002052C8"/>
    <w:rsid w:val="00205392"/>
    <w:rsid w:val="00205402"/>
    <w:rsid w:val="00205469"/>
    <w:rsid w:val="002056D7"/>
    <w:rsid w:val="00205C02"/>
    <w:rsid w:val="00205CB6"/>
    <w:rsid w:val="00205DB6"/>
    <w:rsid w:val="0020619E"/>
    <w:rsid w:val="002061F1"/>
    <w:rsid w:val="002063B1"/>
    <w:rsid w:val="0020643C"/>
    <w:rsid w:val="00206798"/>
    <w:rsid w:val="0020697B"/>
    <w:rsid w:val="00206AD5"/>
    <w:rsid w:val="0020707B"/>
    <w:rsid w:val="00207145"/>
    <w:rsid w:val="0020734F"/>
    <w:rsid w:val="0020757A"/>
    <w:rsid w:val="00207591"/>
    <w:rsid w:val="00207776"/>
    <w:rsid w:val="00207B8F"/>
    <w:rsid w:val="00207D82"/>
    <w:rsid w:val="002101CF"/>
    <w:rsid w:val="00210A54"/>
    <w:rsid w:val="00210E2B"/>
    <w:rsid w:val="00210FC6"/>
    <w:rsid w:val="002110D1"/>
    <w:rsid w:val="002110E2"/>
    <w:rsid w:val="002112DB"/>
    <w:rsid w:val="0021134B"/>
    <w:rsid w:val="0021166B"/>
    <w:rsid w:val="002116A7"/>
    <w:rsid w:val="00211C1B"/>
    <w:rsid w:val="00211D6D"/>
    <w:rsid w:val="00211DA4"/>
    <w:rsid w:val="00211DA6"/>
    <w:rsid w:val="00211E6D"/>
    <w:rsid w:val="00211E87"/>
    <w:rsid w:val="00211F1E"/>
    <w:rsid w:val="00211F87"/>
    <w:rsid w:val="00212093"/>
    <w:rsid w:val="002125A0"/>
    <w:rsid w:val="00212A9E"/>
    <w:rsid w:val="00212BFE"/>
    <w:rsid w:val="00213062"/>
    <w:rsid w:val="002131A3"/>
    <w:rsid w:val="00213271"/>
    <w:rsid w:val="002134F9"/>
    <w:rsid w:val="002134FA"/>
    <w:rsid w:val="00213533"/>
    <w:rsid w:val="002136CE"/>
    <w:rsid w:val="00213875"/>
    <w:rsid w:val="002139E7"/>
    <w:rsid w:val="00213BFC"/>
    <w:rsid w:val="00213D6E"/>
    <w:rsid w:val="002144A3"/>
    <w:rsid w:val="0021475A"/>
    <w:rsid w:val="00214B1B"/>
    <w:rsid w:val="00214C96"/>
    <w:rsid w:val="00214DCF"/>
    <w:rsid w:val="00215068"/>
    <w:rsid w:val="002150EA"/>
    <w:rsid w:val="0021517C"/>
    <w:rsid w:val="00215373"/>
    <w:rsid w:val="002154A8"/>
    <w:rsid w:val="00215884"/>
    <w:rsid w:val="002159FE"/>
    <w:rsid w:val="00215AC9"/>
    <w:rsid w:val="00215B9C"/>
    <w:rsid w:val="00215E21"/>
    <w:rsid w:val="00215E44"/>
    <w:rsid w:val="00215ED0"/>
    <w:rsid w:val="00215FC1"/>
    <w:rsid w:val="00215FF6"/>
    <w:rsid w:val="0021605F"/>
    <w:rsid w:val="00216270"/>
    <w:rsid w:val="0021630F"/>
    <w:rsid w:val="0021632A"/>
    <w:rsid w:val="002165A6"/>
    <w:rsid w:val="002165C1"/>
    <w:rsid w:val="002169E9"/>
    <w:rsid w:val="002169F1"/>
    <w:rsid w:val="00216CE7"/>
    <w:rsid w:val="00216FB5"/>
    <w:rsid w:val="00217445"/>
    <w:rsid w:val="002174E1"/>
    <w:rsid w:val="00217570"/>
    <w:rsid w:val="00217689"/>
    <w:rsid w:val="00217971"/>
    <w:rsid w:val="00217B99"/>
    <w:rsid w:val="00217CB8"/>
    <w:rsid w:val="00217D38"/>
    <w:rsid w:val="00217DF6"/>
    <w:rsid w:val="00217DFB"/>
    <w:rsid w:val="00217F31"/>
    <w:rsid w:val="00217FCF"/>
    <w:rsid w:val="0022009C"/>
    <w:rsid w:val="002201BD"/>
    <w:rsid w:val="002201FC"/>
    <w:rsid w:val="002204B2"/>
    <w:rsid w:val="002204D4"/>
    <w:rsid w:val="00220672"/>
    <w:rsid w:val="00220A4A"/>
    <w:rsid w:val="00220E31"/>
    <w:rsid w:val="00221119"/>
    <w:rsid w:val="002211E4"/>
    <w:rsid w:val="00221356"/>
    <w:rsid w:val="00221385"/>
    <w:rsid w:val="0022148E"/>
    <w:rsid w:val="002214D4"/>
    <w:rsid w:val="00221573"/>
    <w:rsid w:val="002215B5"/>
    <w:rsid w:val="002216DE"/>
    <w:rsid w:val="00221709"/>
    <w:rsid w:val="002218DC"/>
    <w:rsid w:val="00221915"/>
    <w:rsid w:val="00221ACB"/>
    <w:rsid w:val="00221B45"/>
    <w:rsid w:val="00221C40"/>
    <w:rsid w:val="00221D0F"/>
    <w:rsid w:val="00221E39"/>
    <w:rsid w:val="00221F44"/>
    <w:rsid w:val="00222038"/>
    <w:rsid w:val="00222094"/>
    <w:rsid w:val="002224AC"/>
    <w:rsid w:val="0022253A"/>
    <w:rsid w:val="0022260C"/>
    <w:rsid w:val="0022267C"/>
    <w:rsid w:val="002228D3"/>
    <w:rsid w:val="0022291D"/>
    <w:rsid w:val="00222924"/>
    <w:rsid w:val="00222A86"/>
    <w:rsid w:val="00222ABB"/>
    <w:rsid w:val="00222B73"/>
    <w:rsid w:val="0022321D"/>
    <w:rsid w:val="00223486"/>
    <w:rsid w:val="002235B5"/>
    <w:rsid w:val="0022367D"/>
    <w:rsid w:val="002236B6"/>
    <w:rsid w:val="002237AC"/>
    <w:rsid w:val="002239E5"/>
    <w:rsid w:val="00223B71"/>
    <w:rsid w:val="00223C1B"/>
    <w:rsid w:val="00223CAD"/>
    <w:rsid w:val="00223E6C"/>
    <w:rsid w:val="002243C6"/>
    <w:rsid w:val="002247EB"/>
    <w:rsid w:val="00224877"/>
    <w:rsid w:val="00224A75"/>
    <w:rsid w:val="00224B7E"/>
    <w:rsid w:val="00224B94"/>
    <w:rsid w:val="00224C05"/>
    <w:rsid w:val="00224D1C"/>
    <w:rsid w:val="00224DAC"/>
    <w:rsid w:val="00224DE9"/>
    <w:rsid w:val="00224F2E"/>
    <w:rsid w:val="00225005"/>
    <w:rsid w:val="0022544C"/>
    <w:rsid w:val="0022570D"/>
    <w:rsid w:val="002258F3"/>
    <w:rsid w:val="00225AB5"/>
    <w:rsid w:val="00225BA3"/>
    <w:rsid w:val="00225C70"/>
    <w:rsid w:val="00225DA8"/>
    <w:rsid w:val="002260CD"/>
    <w:rsid w:val="002262B7"/>
    <w:rsid w:val="00226483"/>
    <w:rsid w:val="002266BA"/>
    <w:rsid w:val="00226905"/>
    <w:rsid w:val="00226991"/>
    <w:rsid w:val="002269AA"/>
    <w:rsid w:val="002269E8"/>
    <w:rsid w:val="00226BBF"/>
    <w:rsid w:val="00226C5D"/>
    <w:rsid w:val="00226EB0"/>
    <w:rsid w:val="002271CD"/>
    <w:rsid w:val="00227246"/>
    <w:rsid w:val="0022734E"/>
    <w:rsid w:val="002273D7"/>
    <w:rsid w:val="00227609"/>
    <w:rsid w:val="00227640"/>
    <w:rsid w:val="002278A5"/>
    <w:rsid w:val="002278B8"/>
    <w:rsid w:val="00227AE8"/>
    <w:rsid w:val="00227C32"/>
    <w:rsid w:val="00227C62"/>
    <w:rsid w:val="00227DFF"/>
    <w:rsid w:val="00227E11"/>
    <w:rsid w:val="002300B7"/>
    <w:rsid w:val="00230299"/>
    <w:rsid w:val="002303ED"/>
    <w:rsid w:val="00230758"/>
    <w:rsid w:val="00230770"/>
    <w:rsid w:val="00230B4B"/>
    <w:rsid w:val="00230F31"/>
    <w:rsid w:val="00230F3C"/>
    <w:rsid w:val="00230F49"/>
    <w:rsid w:val="0023113B"/>
    <w:rsid w:val="0023127F"/>
    <w:rsid w:val="00231618"/>
    <w:rsid w:val="00231740"/>
    <w:rsid w:val="0023192A"/>
    <w:rsid w:val="00231A81"/>
    <w:rsid w:val="00231AB3"/>
    <w:rsid w:val="00231EE0"/>
    <w:rsid w:val="00231EE7"/>
    <w:rsid w:val="00231F78"/>
    <w:rsid w:val="00232104"/>
    <w:rsid w:val="00232182"/>
    <w:rsid w:val="0023232D"/>
    <w:rsid w:val="00232700"/>
    <w:rsid w:val="0023271D"/>
    <w:rsid w:val="00232756"/>
    <w:rsid w:val="00232879"/>
    <w:rsid w:val="00232AA6"/>
    <w:rsid w:val="00232B1A"/>
    <w:rsid w:val="00232B3F"/>
    <w:rsid w:val="00232C9E"/>
    <w:rsid w:val="00232D94"/>
    <w:rsid w:val="00232FE5"/>
    <w:rsid w:val="00233033"/>
    <w:rsid w:val="0023305F"/>
    <w:rsid w:val="0023329D"/>
    <w:rsid w:val="0023331E"/>
    <w:rsid w:val="002333AE"/>
    <w:rsid w:val="0023341E"/>
    <w:rsid w:val="002334FC"/>
    <w:rsid w:val="002338A1"/>
    <w:rsid w:val="00233A37"/>
    <w:rsid w:val="00233C90"/>
    <w:rsid w:val="00233DCF"/>
    <w:rsid w:val="00233EB6"/>
    <w:rsid w:val="002340A4"/>
    <w:rsid w:val="00234146"/>
    <w:rsid w:val="002347F0"/>
    <w:rsid w:val="00234BB8"/>
    <w:rsid w:val="00234D6C"/>
    <w:rsid w:val="0023515B"/>
    <w:rsid w:val="0023528C"/>
    <w:rsid w:val="002352E7"/>
    <w:rsid w:val="00235323"/>
    <w:rsid w:val="002353DC"/>
    <w:rsid w:val="002356BD"/>
    <w:rsid w:val="00235706"/>
    <w:rsid w:val="00235764"/>
    <w:rsid w:val="0023576C"/>
    <w:rsid w:val="002359AC"/>
    <w:rsid w:val="00235A6E"/>
    <w:rsid w:val="00235AAF"/>
    <w:rsid w:val="00235B58"/>
    <w:rsid w:val="00235C07"/>
    <w:rsid w:val="00235DEC"/>
    <w:rsid w:val="00235EFC"/>
    <w:rsid w:val="0023636C"/>
    <w:rsid w:val="00236B2D"/>
    <w:rsid w:val="00236E55"/>
    <w:rsid w:val="00236EE6"/>
    <w:rsid w:val="00236F24"/>
    <w:rsid w:val="00236FBE"/>
    <w:rsid w:val="00237118"/>
    <w:rsid w:val="002371F5"/>
    <w:rsid w:val="002373B7"/>
    <w:rsid w:val="0023740B"/>
    <w:rsid w:val="002375B4"/>
    <w:rsid w:val="002376BB"/>
    <w:rsid w:val="00237B93"/>
    <w:rsid w:val="00237CB6"/>
    <w:rsid w:val="00237E6E"/>
    <w:rsid w:val="00240240"/>
    <w:rsid w:val="00240363"/>
    <w:rsid w:val="002406C4"/>
    <w:rsid w:val="00240857"/>
    <w:rsid w:val="00240882"/>
    <w:rsid w:val="00240971"/>
    <w:rsid w:val="00240B61"/>
    <w:rsid w:val="00240BBF"/>
    <w:rsid w:val="00240E30"/>
    <w:rsid w:val="00240E59"/>
    <w:rsid w:val="002413B9"/>
    <w:rsid w:val="002414B8"/>
    <w:rsid w:val="00241524"/>
    <w:rsid w:val="0024165C"/>
    <w:rsid w:val="00241713"/>
    <w:rsid w:val="00241A74"/>
    <w:rsid w:val="00241B95"/>
    <w:rsid w:val="00241F80"/>
    <w:rsid w:val="00241FA0"/>
    <w:rsid w:val="00241FB6"/>
    <w:rsid w:val="00242012"/>
    <w:rsid w:val="0024225A"/>
    <w:rsid w:val="0024263C"/>
    <w:rsid w:val="0024293C"/>
    <w:rsid w:val="0024297D"/>
    <w:rsid w:val="00243066"/>
    <w:rsid w:val="002431FE"/>
    <w:rsid w:val="00243543"/>
    <w:rsid w:val="00243570"/>
    <w:rsid w:val="0024364B"/>
    <w:rsid w:val="00243692"/>
    <w:rsid w:val="00243711"/>
    <w:rsid w:val="00243743"/>
    <w:rsid w:val="00243807"/>
    <w:rsid w:val="0024381B"/>
    <w:rsid w:val="00243A9F"/>
    <w:rsid w:val="00243AF0"/>
    <w:rsid w:val="00243B6D"/>
    <w:rsid w:val="00243C97"/>
    <w:rsid w:val="00243CCD"/>
    <w:rsid w:val="0024448C"/>
    <w:rsid w:val="002445E4"/>
    <w:rsid w:val="0024472D"/>
    <w:rsid w:val="0024479A"/>
    <w:rsid w:val="00244855"/>
    <w:rsid w:val="00244869"/>
    <w:rsid w:val="00244924"/>
    <w:rsid w:val="00244946"/>
    <w:rsid w:val="00244F4D"/>
    <w:rsid w:val="00245019"/>
    <w:rsid w:val="0024501F"/>
    <w:rsid w:val="002455D7"/>
    <w:rsid w:val="00245754"/>
    <w:rsid w:val="00245A0A"/>
    <w:rsid w:val="00245A7F"/>
    <w:rsid w:val="00245BF1"/>
    <w:rsid w:val="00245CF6"/>
    <w:rsid w:val="00245D9B"/>
    <w:rsid w:val="00245EAF"/>
    <w:rsid w:val="00245F54"/>
    <w:rsid w:val="002461D4"/>
    <w:rsid w:val="0024647A"/>
    <w:rsid w:val="00246484"/>
    <w:rsid w:val="002465E0"/>
    <w:rsid w:val="00246832"/>
    <w:rsid w:val="0024685A"/>
    <w:rsid w:val="00246869"/>
    <w:rsid w:val="00246A29"/>
    <w:rsid w:val="00246D7E"/>
    <w:rsid w:val="00246D84"/>
    <w:rsid w:val="00246DBD"/>
    <w:rsid w:val="00246DC9"/>
    <w:rsid w:val="00246F18"/>
    <w:rsid w:val="00246F94"/>
    <w:rsid w:val="00246FC9"/>
    <w:rsid w:val="0024701B"/>
    <w:rsid w:val="00247031"/>
    <w:rsid w:val="00247082"/>
    <w:rsid w:val="002470A3"/>
    <w:rsid w:val="002470C4"/>
    <w:rsid w:val="002471FA"/>
    <w:rsid w:val="002473E7"/>
    <w:rsid w:val="0024749E"/>
    <w:rsid w:val="0024779B"/>
    <w:rsid w:val="002477F8"/>
    <w:rsid w:val="00247878"/>
    <w:rsid w:val="00247945"/>
    <w:rsid w:val="002479F5"/>
    <w:rsid w:val="00247A15"/>
    <w:rsid w:val="00247D94"/>
    <w:rsid w:val="00247E7B"/>
    <w:rsid w:val="002501D2"/>
    <w:rsid w:val="00250255"/>
    <w:rsid w:val="002502EE"/>
    <w:rsid w:val="002503A8"/>
    <w:rsid w:val="00250603"/>
    <w:rsid w:val="00250882"/>
    <w:rsid w:val="00250A1A"/>
    <w:rsid w:val="00250A27"/>
    <w:rsid w:val="00250B5D"/>
    <w:rsid w:val="00250D7A"/>
    <w:rsid w:val="00250D98"/>
    <w:rsid w:val="00250E86"/>
    <w:rsid w:val="00251073"/>
    <w:rsid w:val="00251137"/>
    <w:rsid w:val="002511F7"/>
    <w:rsid w:val="00251375"/>
    <w:rsid w:val="002513D1"/>
    <w:rsid w:val="00251512"/>
    <w:rsid w:val="002516D0"/>
    <w:rsid w:val="0025172A"/>
    <w:rsid w:val="002517D4"/>
    <w:rsid w:val="002517D5"/>
    <w:rsid w:val="00251A38"/>
    <w:rsid w:val="00251A96"/>
    <w:rsid w:val="00252115"/>
    <w:rsid w:val="00252540"/>
    <w:rsid w:val="002526ED"/>
    <w:rsid w:val="002527A8"/>
    <w:rsid w:val="00252993"/>
    <w:rsid w:val="002529C1"/>
    <w:rsid w:val="00252B73"/>
    <w:rsid w:val="00252DBE"/>
    <w:rsid w:val="00252E3A"/>
    <w:rsid w:val="00252F22"/>
    <w:rsid w:val="00252F94"/>
    <w:rsid w:val="00252FB0"/>
    <w:rsid w:val="002531AF"/>
    <w:rsid w:val="002532E3"/>
    <w:rsid w:val="00253313"/>
    <w:rsid w:val="00253383"/>
    <w:rsid w:val="0025363B"/>
    <w:rsid w:val="00253765"/>
    <w:rsid w:val="00253877"/>
    <w:rsid w:val="00253921"/>
    <w:rsid w:val="0025394A"/>
    <w:rsid w:val="00253963"/>
    <w:rsid w:val="00253E20"/>
    <w:rsid w:val="002541F8"/>
    <w:rsid w:val="00254469"/>
    <w:rsid w:val="0025453C"/>
    <w:rsid w:val="002546ED"/>
    <w:rsid w:val="00254853"/>
    <w:rsid w:val="0025496D"/>
    <w:rsid w:val="00254A15"/>
    <w:rsid w:val="00254B12"/>
    <w:rsid w:val="00254DDB"/>
    <w:rsid w:val="00254EBC"/>
    <w:rsid w:val="00254EF7"/>
    <w:rsid w:val="002551B1"/>
    <w:rsid w:val="00255428"/>
    <w:rsid w:val="00255436"/>
    <w:rsid w:val="0025590C"/>
    <w:rsid w:val="00255B07"/>
    <w:rsid w:val="00255BCC"/>
    <w:rsid w:val="00255BEE"/>
    <w:rsid w:val="00255CD8"/>
    <w:rsid w:val="00255E57"/>
    <w:rsid w:val="00255EA3"/>
    <w:rsid w:val="00255EB2"/>
    <w:rsid w:val="00255F33"/>
    <w:rsid w:val="002560BE"/>
    <w:rsid w:val="002560FE"/>
    <w:rsid w:val="00256143"/>
    <w:rsid w:val="0025616E"/>
    <w:rsid w:val="00256422"/>
    <w:rsid w:val="0025669E"/>
    <w:rsid w:val="002569F5"/>
    <w:rsid w:val="00256A59"/>
    <w:rsid w:val="00256C94"/>
    <w:rsid w:val="00256DB1"/>
    <w:rsid w:val="00256E46"/>
    <w:rsid w:val="00256F15"/>
    <w:rsid w:val="00257038"/>
    <w:rsid w:val="002570E4"/>
    <w:rsid w:val="0025714F"/>
    <w:rsid w:val="0025727E"/>
    <w:rsid w:val="0025728E"/>
    <w:rsid w:val="002573A9"/>
    <w:rsid w:val="002574C9"/>
    <w:rsid w:val="00257637"/>
    <w:rsid w:val="002576B6"/>
    <w:rsid w:val="0025780E"/>
    <w:rsid w:val="0025793A"/>
    <w:rsid w:val="00257B1C"/>
    <w:rsid w:val="00257D18"/>
    <w:rsid w:val="00260152"/>
    <w:rsid w:val="00260178"/>
    <w:rsid w:val="00260344"/>
    <w:rsid w:val="002603B2"/>
    <w:rsid w:val="00260476"/>
    <w:rsid w:val="00260508"/>
    <w:rsid w:val="002605E5"/>
    <w:rsid w:val="00260779"/>
    <w:rsid w:val="00260804"/>
    <w:rsid w:val="00260813"/>
    <w:rsid w:val="002608A0"/>
    <w:rsid w:val="00260947"/>
    <w:rsid w:val="00260AA9"/>
    <w:rsid w:val="00260C59"/>
    <w:rsid w:val="00260D68"/>
    <w:rsid w:val="00260DB0"/>
    <w:rsid w:val="002611D5"/>
    <w:rsid w:val="002612B7"/>
    <w:rsid w:val="002612F4"/>
    <w:rsid w:val="0026136A"/>
    <w:rsid w:val="002614E4"/>
    <w:rsid w:val="00261982"/>
    <w:rsid w:val="00261A99"/>
    <w:rsid w:val="00261AD2"/>
    <w:rsid w:val="00261CDB"/>
    <w:rsid w:val="00261DC1"/>
    <w:rsid w:val="00261E12"/>
    <w:rsid w:val="00261F0D"/>
    <w:rsid w:val="00261FB6"/>
    <w:rsid w:val="00262259"/>
    <w:rsid w:val="00262404"/>
    <w:rsid w:val="0026257D"/>
    <w:rsid w:val="00262632"/>
    <w:rsid w:val="002626D3"/>
    <w:rsid w:val="00262A79"/>
    <w:rsid w:val="00262B99"/>
    <w:rsid w:val="00262C05"/>
    <w:rsid w:val="00262C38"/>
    <w:rsid w:val="00262E8C"/>
    <w:rsid w:val="002630D8"/>
    <w:rsid w:val="00263187"/>
    <w:rsid w:val="0026341C"/>
    <w:rsid w:val="002634B5"/>
    <w:rsid w:val="00263638"/>
    <w:rsid w:val="0026363F"/>
    <w:rsid w:val="00263682"/>
    <w:rsid w:val="00263827"/>
    <w:rsid w:val="00263897"/>
    <w:rsid w:val="002638A3"/>
    <w:rsid w:val="00263AF7"/>
    <w:rsid w:val="00263CA2"/>
    <w:rsid w:val="002640E5"/>
    <w:rsid w:val="00264149"/>
    <w:rsid w:val="00264A0B"/>
    <w:rsid w:val="00264AB5"/>
    <w:rsid w:val="00264C5A"/>
    <w:rsid w:val="00264D2E"/>
    <w:rsid w:val="0026541B"/>
    <w:rsid w:val="0026550A"/>
    <w:rsid w:val="0026569E"/>
    <w:rsid w:val="00265765"/>
    <w:rsid w:val="00265871"/>
    <w:rsid w:val="00265926"/>
    <w:rsid w:val="00265DD4"/>
    <w:rsid w:val="00265E5E"/>
    <w:rsid w:val="0026601B"/>
    <w:rsid w:val="002660B9"/>
    <w:rsid w:val="00266201"/>
    <w:rsid w:val="002664C5"/>
    <w:rsid w:val="0026670A"/>
    <w:rsid w:val="0026674C"/>
    <w:rsid w:val="002668F8"/>
    <w:rsid w:val="00266A81"/>
    <w:rsid w:val="00266BD8"/>
    <w:rsid w:val="00266C7B"/>
    <w:rsid w:val="00266D2A"/>
    <w:rsid w:val="00266EF7"/>
    <w:rsid w:val="00266F34"/>
    <w:rsid w:val="00267197"/>
    <w:rsid w:val="0026766C"/>
    <w:rsid w:val="00267980"/>
    <w:rsid w:val="00267A52"/>
    <w:rsid w:val="00267BF2"/>
    <w:rsid w:val="00267C17"/>
    <w:rsid w:val="00267E66"/>
    <w:rsid w:val="00267FE7"/>
    <w:rsid w:val="00267FF5"/>
    <w:rsid w:val="002700A0"/>
    <w:rsid w:val="002701F1"/>
    <w:rsid w:val="0027023E"/>
    <w:rsid w:val="002703E1"/>
    <w:rsid w:val="002706CF"/>
    <w:rsid w:val="002708F5"/>
    <w:rsid w:val="002711FC"/>
    <w:rsid w:val="002714EA"/>
    <w:rsid w:val="002719C7"/>
    <w:rsid w:val="002719F8"/>
    <w:rsid w:val="00271B43"/>
    <w:rsid w:val="00271D6B"/>
    <w:rsid w:val="00271EA8"/>
    <w:rsid w:val="00272050"/>
    <w:rsid w:val="0027205D"/>
    <w:rsid w:val="00272444"/>
    <w:rsid w:val="002726CB"/>
    <w:rsid w:val="0027272A"/>
    <w:rsid w:val="00272E2B"/>
    <w:rsid w:val="002730A1"/>
    <w:rsid w:val="00273113"/>
    <w:rsid w:val="00273115"/>
    <w:rsid w:val="002734C5"/>
    <w:rsid w:val="00273647"/>
    <w:rsid w:val="002738F4"/>
    <w:rsid w:val="00273A73"/>
    <w:rsid w:val="00273BFE"/>
    <w:rsid w:val="00273E11"/>
    <w:rsid w:val="00274018"/>
    <w:rsid w:val="002741E0"/>
    <w:rsid w:val="00274250"/>
    <w:rsid w:val="00274390"/>
    <w:rsid w:val="002743E2"/>
    <w:rsid w:val="002743E8"/>
    <w:rsid w:val="0027464A"/>
    <w:rsid w:val="0027479A"/>
    <w:rsid w:val="00274895"/>
    <w:rsid w:val="002749EA"/>
    <w:rsid w:val="002751AF"/>
    <w:rsid w:val="00275283"/>
    <w:rsid w:val="002752E4"/>
    <w:rsid w:val="002753B3"/>
    <w:rsid w:val="002753FA"/>
    <w:rsid w:val="0027541B"/>
    <w:rsid w:val="00275573"/>
    <w:rsid w:val="00275618"/>
    <w:rsid w:val="00275818"/>
    <w:rsid w:val="00275870"/>
    <w:rsid w:val="00275A18"/>
    <w:rsid w:val="00275BEE"/>
    <w:rsid w:val="00275D19"/>
    <w:rsid w:val="00275E9D"/>
    <w:rsid w:val="00276099"/>
    <w:rsid w:val="002761C6"/>
    <w:rsid w:val="002761C7"/>
    <w:rsid w:val="002762EE"/>
    <w:rsid w:val="00276378"/>
    <w:rsid w:val="00276394"/>
    <w:rsid w:val="00276498"/>
    <w:rsid w:val="002764DD"/>
    <w:rsid w:val="002765BB"/>
    <w:rsid w:val="002768AE"/>
    <w:rsid w:val="002768E4"/>
    <w:rsid w:val="002769CF"/>
    <w:rsid w:val="00276A1C"/>
    <w:rsid w:val="00276AD6"/>
    <w:rsid w:val="00276AFE"/>
    <w:rsid w:val="002773EA"/>
    <w:rsid w:val="0027753D"/>
    <w:rsid w:val="0027785D"/>
    <w:rsid w:val="00277861"/>
    <w:rsid w:val="00277A18"/>
    <w:rsid w:val="00277A22"/>
    <w:rsid w:val="00277D6B"/>
    <w:rsid w:val="00277F24"/>
    <w:rsid w:val="00277FFA"/>
    <w:rsid w:val="00280032"/>
    <w:rsid w:val="00280202"/>
    <w:rsid w:val="002803BC"/>
    <w:rsid w:val="00280584"/>
    <w:rsid w:val="0028061C"/>
    <w:rsid w:val="00280940"/>
    <w:rsid w:val="002809D9"/>
    <w:rsid w:val="00280AD2"/>
    <w:rsid w:val="00280B18"/>
    <w:rsid w:val="00280BCF"/>
    <w:rsid w:val="00280C70"/>
    <w:rsid w:val="00281156"/>
    <w:rsid w:val="002812C4"/>
    <w:rsid w:val="002812D2"/>
    <w:rsid w:val="002813C8"/>
    <w:rsid w:val="0028145D"/>
    <w:rsid w:val="0028188B"/>
    <w:rsid w:val="00281D05"/>
    <w:rsid w:val="00281DE8"/>
    <w:rsid w:val="00281E55"/>
    <w:rsid w:val="00281F09"/>
    <w:rsid w:val="0028207F"/>
    <w:rsid w:val="00282299"/>
    <w:rsid w:val="00282496"/>
    <w:rsid w:val="00282696"/>
    <w:rsid w:val="00282730"/>
    <w:rsid w:val="002829BF"/>
    <w:rsid w:val="00282A60"/>
    <w:rsid w:val="00282D2F"/>
    <w:rsid w:val="00282EC4"/>
    <w:rsid w:val="00283139"/>
    <w:rsid w:val="0028347A"/>
    <w:rsid w:val="002837C9"/>
    <w:rsid w:val="002838E6"/>
    <w:rsid w:val="00283923"/>
    <w:rsid w:val="00283A39"/>
    <w:rsid w:val="00283BD5"/>
    <w:rsid w:val="00283ED0"/>
    <w:rsid w:val="002842E5"/>
    <w:rsid w:val="0028431D"/>
    <w:rsid w:val="0028437F"/>
    <w:rsid w:val="002843E1"/>
    <w:rsid w:val="00284699"/>
    <w:rsid w:val="002847F0"/>
    <w:rsid w:val="002848D3"/>
    <w:rsid w:val="00284A33"/>
    <w:rsid w:val="00284A3C"/>
    <w:rsid w:val="00284A4A"/>
    <w:rsid w:val="00284B13"/>
    <w:rsid w:val="00284CCE"/>
    <w:rsid w:val="00284D0C"/>
    <w:rsid w:val="00284DF9"/>
    <w:rsid w:val="00284E47"/>
    <w:rsid w:val="00284F11"/>
    <w:rsid w:val="002850C1"/>
    <w:rsid w:val="00285129"/>
    <w:rsid w:val="0028548B"/>
    <w:rsid w:val="00285534"/>
    <w:rsid w:val="0028558D"/>
    <w:rsid w:val="002856FF"/>
    <w:rsid w:val="0028581C"/>
    <w:rsid w:val="00285A7D"/>
    <w:rsid w:val="00285D84"/>
    <w:rsid w:val="00285E05"/>
    <w:rsid w:val="002862C3"/>
    <w:rsid w:val="002862CB"/>
    <w:rsid w:val="002862E9"/>
    <w:rsid w:val="002866A9"/>
    <w:rsid w:val="00286836"/>
    <w:rsid w:val="002868C1"/>
    <w:rsid w:val="00286B88"/>
    <w:rsid w:val="00286C9D"/>
    <w:rsid w:val="00286DCB"/>
    <w:rsid w:val="00286E41"/>
    <w:rsid w:val="00286F03"/>
    <w:rsid w:val="00286F94"/>
    <w:rsid w:val="00286FDF"/>
    <w:rsid w:val="0028710B"/>
    <w:rsid w:val="00287276"/>
    <w:rsid w:val="00287545"/>
    <w:rsid w:val="00287971"/>
    <w:rsid w:val="002879D8"/>
    <w:rsid w:val="00287AAF"/>
    <w:rsid w:val="00287ACE"/>
    <w:rsid w:val="00287B48"/>
    <w:rsid w:val="00287C81"/>
    <w:rsid w:val="002901D5"/>
    <w:rsid w:val="002904BA"/>
    <w:rsid w:val="00290545"/>
    <w:rsid w:val="002907B9"/>
    <w:rsid w:val="00290B63"/>
    <w:rsid w:val="00290C79"/>
    <w:rsid w:val="00290CFA"/>
    <w:rsid w:val="00290D21"/>
    <w:rsid w:val="00290DB6"/>
    <w:rsid w:val="00290E77"/>
    <w:rsid w:val="002910DB"/>
    <w:rsid w:val="002913E8"/>
    <w:rsid w:val="0029141D"/>
    <w:rsid w:val="002918BA"/>
    <w:rsid w:val="00291AE9"/>
    <w:rsid w:val="00291D0E"/>
    <w:rsid w:val="00291D13"/>
    <w:rsid w:val="00291E05"/>
    <w:rsid w:val="00291F55"/>
    <w:rsid w:val="00292053"/>
    <w:rsid w:val="002923BD"/>
    <w:rsid w:val="002925E0"/>
    <w:rsid w:val="0029266B"/>
    <w:rsid w:val="002927B9"/>
    <w:rsid w:val="002929E2"/>
    <w:rsid w:val="00292B39"/>
    <w:rsid w:val="00292FF4"/>
    <w:rsid w:val="0029320C"/>
    <w:rsid w:val="00293434"/>
    <w:rsid w:val="002934C9"/>
    <w:rsid w:val="00293509"/>
    <w:rsid w:val="00293610"/>
    <w:rsid w:val="00293CAA"/>
    <w:rsid w:val="00293CDE"/>
    <w:rsid w:val="00293F3D"/>
    <w:rsid w:val="00294083"/>
    <w:rsid w:val="002942BB"/>
    <w:rsid w:val="002944C1"/>
    <w:rsid w:val="002949D4"/>
    <w:rsid w:val="00294AFC"/>
    <w:rsid w:val="00294BC5"/>
    <w:rsid w:val="00294C7F"/>
    <w:rsid w:val="00294CE0"/>
    <w:rsid w:val="00294D32"/>
    <w:rsid w:val="00294D55"/>
    <w:rsid w:val="00294D6C"/>
    <w:rsid w:val="00294DB7"/>
    <w:rsid w:val="00294DF1"/>
    <w:rsid w:val="00294E38"/>
    <w:rsid w:val="00294FDF"/>
    <w:rsid w:val="00295518"/>
    <w:rsid w:val="0029554E"/>
    <w:rsid w:val="0029561E"/>
    <w:rsid w:val="002956FF"/>
    <w:rsid w:val="00295791"/>
    <w:rsid w:val="00295819"/>
    <w:rsid w:val="0029593C"/>
    <w:rsid w:val="00295B09"/>
    <w:rsid w:val="00295BDB"/>
    <w:rsid w:val="00295C62"/>
    <w:rsid w:val="00295E9A"/>
    <w:rsid w:val="002961A3"/>
    <w:rsid w:val="002962F3"/>
    <w:rsid w:val="00296353"/>
    <w:rsid w:val="00296365"/>
    <w:rsid w:val="00296393"/>
    <w:rsid w:val="00296A07"/>
    <w:rsid w:val="00296A8B"/>
    <w:rsid w:val="00296AFE"/>
    <w:rsid w:val="00296B43"/>
    <w:rsid w:val="00296B63"/>
    <w:rsid w:val="00296C12"/>
    <w:rsid w:val="00296C1A"/>
    <w:rsid w:val="00296CC0"/>
    <w:rsid w:val="00296D0E"/>
    <w:rsid w:val="00296E9C"/>
    <w:rsid w:val="00296FEB"/>
    <w:rsid w:val="00297107"/>
    <w:rsid w:val="0029729B"/>
    <w:rsid w:val="00297501"/>
    <w:rsid w:val="00297811"/>
    <w:rsid w:val="00297915"/>
    <w:rsid w:val="002979C2"/>
    <w:rsid w:val="00297A26"/>
    <w:rsid w:val="00297DEC"/>
    <w:rsid w:val="002A0065"/>
    <w:rsid w:val="002A0098"/>
    <w:rsid w:val="002A0184"/>
    <w:rsid w:val="002A0216"/>
    <w:rsid w:val="002A03BC"/>
    <w:rsid w:val="002A05F9"/>
    <w:rsid w:val="002A06E7"/>
    <w:rsid w:val="002A0A05"/>
    <w:rsid w:val="002A0AF8"/>
    <w:rsid w:val="002A0B0B"/>
    <w:rsid w:val="002A0C66"/>
    <w:rsid w:val="002A0C68"/>
    <w:rsid w:val="002A0D6E"/>
    <w:rsid w:val="002A0DEB"/>
    <w:rsid w:val="002A0F53"/>
    <w:rsid w:val="002A0FD4"/>
    <w:rsid w:val="002A1035"/>
    <w:rsid w:val="002A1171"/>
    <w:rsid w:val="002A1174"/>
    <w:rsid w:val="002A131E"/>
    <w:rsid w:val="002A13A9"/>
    <w:rsid w:val="002A17A5"/>
    <w:rsid w:val="002A1860"/>
    <w:rsid w:val="002A1B2D"/>
    <w:rsid w:val="002A1D92"/>
    <w:rsid w:val="002A1F1B"/>
    <w:rsid w:val="002A2059"/>
    <w:rsid w:val="002A2239"/>
    <w:rsid w:val="002A22A9"/>
    <w:rsid w:val="002A232B"/>
    <w:rsid w:val="002A27A0"/>
    <w:rsid w:val="002A2A19"/>
    <w:rsid w:val="002A2A8E"/>
    <w:rsid w:val="002A2C83"/>
    <w:rsid w:val="002A2D2C"/>
    <w:rsid w:val="002A2E49"/>
    <w:rsid w:val="002A2E50"/>
    <w:rsid w:val="002A3126"/>
    <w:rsid w:val="002A34E8"/>
    <w:rsid w:val="002A34EF"/>
    <w:rsid w:val="002A3756"/>
    <w:rsid w:val="002A3A6A"/>
    <w:rsid w:val="002A3AB1"/>
    <w:rsid w:val="002A3BC9"/>
    <w:rsid w:val="002A404C"/>
    <w:rsid w:val="002A48E7"/>
    <w:rsid w:val="002A49CB"/>
    <w:rsid w:val="002A4A95"/>
    <w:rsid w:val="002A4CA8"/>
    <w:rsid w:val="002A4E34"/>
    <w:rsid w:val="002A4EE5"/>
    <w:rsid w:val="002A4F00"/>
    <w:rsid w:val="002A4F3E"/>
    <w:rsid w:val="002A519D"/>
    <w:rsid w:val="002A5728"/>
    <w:rsid w:val="002A57F9"/>
    <w:rsid w:val="002A5AAD"/>
    <w:rsid w:val="002A5C11"/>
    <w:rsid w:val="002A5C5A"/>
    <w:rsid w:val="002A5D38"/>
    <w:rsid w:val="002A5E3A"/>
    <w:rsid w:val="002A600C"/>
    <w:rsid w:val="002A6142"/>
    <w:rsid w:val="002A6143"/>
    <w:rsid w:val="002A61CD"/>
    <w:rsid w:val="002A64B6"/>
    <w:rsid w:val="002A67B9"/>
    <w:rsid w:val="002A682B"/>
    <w:rsid w:val="002A6AA3"/>
    <w:rsid w:val="002A6B9D"/>
    <w:rsid w:val="002A6E7F"/>
    <w:rsid w:val="002A7038"/>
    <w:rsid w:val="002A7048"/>
    <w:rsid w:val="002A73F0"/>
    <w:rsid w:val="002A7492"/>
    <w:rsid w:val="002A79BC"/>
    <w:rsid w:val="002A7B9F"/>
    <w:rsid w:val="002A7F83"/>
    <w:rsid w:val="002B0099"/>
    <w:rsid w:val="002B015D"/>
    <w:rsid w:val="002B086F"/>
    <w:rsid w:val="002B0951"/>
    <w:rsid w:val="002B09CE"/>
    <w:rsid w:val="002B09FA"/>
    <w:rsid w:val="002B0AE2"/>
    <w:rsid w:val="002B0BCC"/>
    <w:rsid w:val="002B0C7F"/>
    <w:rsid w:val="002B0CCD"/>
    <w:rsid w:val="002B0D84"/>
    <w:rsid w:val="002B11BD"/>
    <w:rsid w:val="002B11E7"/>
    <w:rsid w:val="002B1390"/>
    <w:rsid w:val="002B179D"/>
    <w:rsid w:val="002B1898"/>
    <w:rsid w:val="002B18E1"/>
    <w:rsid w:val="002B1980"/>
    <w:rsid w:val="002B1CAB"/>
    <w:rsid w:val="002B1DC2"/>
    <w:rsid w:val="002B1EDD"/>
    <w:rsid w:val="002B2183"/>
    <w:rsid w:val="002B226A"/>
    <w:rsid w:val="002B2409"/>
    <w:rsid w:val="002B2426"/>
    <w:rsid w:val="002B26E7"/>
    <w:rsid w:val="002B26F6"/>
    <w:rsid w:val="002B28F6"/>
    <w:rsid w:val="002B2989"/>
    <w:rsid w:val="002B2A21"/>
    <w:rsid w:val="002B2AF4"/>
    <w:rsid w:val="002B2B4E"/>
    <w:rsid w:val="002B2CE2"/>
    <w:rsid w:val="002B2DF9"/>
    <w:rsid w:val="002B3263"/>
    <w:rsid w:val="002B334D"/>
    <w:rsid w:val="002B342F"/>
    <w:rsid w:val="002B347A"/>
    <w:rsid w:val="002B397D"/>
    <w:rsid w:val="002B3A34"/>
    <w:rsid w:val="002B3FEE"/>
    <w:rsid w:val="002B410A"/>
    <w:rsid w:val="002B439A"/>
    <w:rsid w:val="002B4471"/>
    <w:rsid w:val="002B480A"/>
    <w:rsid w:val="002B4912"/>
    <w:rsid w:val="002B4B54"/>
    <w:rsid w:val="002B4D8B"/>
    <w:rsid w:val="002B4DB8"/>
    <w:rsid w:val="002B525C"/>
    <w:rsid w:val="002B5524"/>
    <w:rsid w:val="002B55CC"/>
    <w:rsid w:val="002B569F"/>
    <w:rsid w:val="002B5822"/>
    <w:rsid w:val="002B584C"/>
    <w:rsid w:val="002B5B7B"/>
    <w:rsid w:val="002B5EFE"/>
    <w:rsid w:val="002B5EFF"/>
    <w:rsid w:val="002B5FD1"/>
    <w:rsid w:val="002B61A4"/>
    <w:rsid w:val="002B63EF"/>
    <w:rsid w:val="002B65A5"/>
    <w:rsid w:val="002B65A9"/>
    <w:rsid w:val="002B66E0"/>
    <w:rsid w:val="002B6747"/>
    <w:rsid w:val="002B676E"/>
    <w:rsid w:val="002B678B"/>
    <w:rsid w:val="002B690C"/>
    <w:rsid w:val="002B6982"/>
    <w:rsid w:val="002B6D3F"/>
    <w:rsid w:val="002B6D47"/>
    <w:rsid w:val="002B6EB9"/>
    <w:rsid w:val="002B7136"/>
    <w:rsid w:val="002B71B4"/>
    <w:rsid w:val="002B7248"/>
    <w:rsid w:val="002B736C"/>
    <w:rsid w:val="002B7470"/>
    <w:rsid w:val="002B757A"/>
    <w:rsid w:val="002B7C46"/>
    <w:rsid w:val="002C0317"/>
    <w:rsid w:val="002C041F"/>
    <w:rsid w:val="002C058C"/>
    <w:rsid w:val="002C0647"/>
    <w:rsid w:val="002C06B3"/>
    <w:rsid w:val="002C07D4"/>
    <w:rsid w:val="002C0861"/>
    <w:rsid w:val="002C0ADF"/>
    <w:rsid w:val="002C0BDD"/>
    <w:rsid w:val="002C0F1B"/>
    <w:rsid w:val="002C10E4"/>
    <w:rsid w:val="002C1604"/>
    <w:rsid w:val="002C174B"/>
    <w:rsid w:val="002C1772"/>
    <w:rsid w:val="002C1DC2"/>
    <w:rsid w:val="002C2159"/>
    <w:rsid w:val="002C22E6"/>
    <w:rsid w:val="002C246A"/>
    <w:rsid w:val="002C2590"/>
    <w:rsid w:val="002C2607"/>
    <w:rsid w:val="002C2D61"/>
    <w:rsid w:val="002C2EAE"/>
    <w:rsid w:val="002C2FA3"/>
    <w:rsid w:val="002C345B"/>
    <w:rsid w:val="002C3610"/>
    <w:rsid w:val="002C3770"/>
    <w:rsid w:val="002C3803"/>
    <w:rsid w:val="002C3855"/>
    <w:rsid w:val="002C38A5"/>
    <w:rsid w:val="002C3A38"/>
    <w:rsid w:val="002C3A61"/>
    <w:rsid w:val="002C3AFC"/>
    <w:rsid w:val="002C3C66"/>
    <w:rsid w:val="002C3EED"/>
    <w:rsid w:val="002C4046"/>
    <w:rsid w:val="002C4798"/>
    <w:rsid w:val="002C4BBB"/>
    <w:rsid w:val="002C4CC5"/>
    <w:rsid w:val="002C4D4C"/>
    <w:rsid w:val="002C5040"/>
    <w:rsid w:val="002C50B6"/>
    <w:rsid w:val="002C5292"/>
    <w:rsid w:val="002C531B"/>
    <w:rsid w:val="002C5541"/>
    <w:rsid w:val="002C55CC"/>
    <w:rsid w:val="002C59A3"/>
    <w:rsid w:val="002C5CEA"/>
    <w:rsid w:val="002C608C"/>
    <w:rsid w:val="002C60C3"/>
    <w:rsid w:val="002C6491"/>
    <w:rsid w:val="002C6529"/>
    <w:rsid w:val="002C66BC"/>
    <w:rsid w:val="002C6759"/>
    <w:rsid w:val="002C68D1"/>
    <w:rsid w:val="002C6B4B"/>
    <w:rsid w:val="002C6C03"/>
    <w:rsid w:val="002C6C5E"/>
    <w:rsid w:val="002C6CF3"/>
    <w:rsid w:val="002C6D66"/>
    <w:rsid w:val="002C6E3F"/>
    <w:rsid w:val="002C6FCF"/>
    <w:rsid w:val="002C71FF"/>
    <w:rsid w:val="002C763E"/>
    <w:rsid w:val="002C7691"/>
    <w:rsid w:val="002C77C0"/>
    <w:rsid w:val="002C7801"/>
    <w:rsid w:val="002C7811"/>
    <w:rsid w:val="002C7823"/>
    <w:rsid w:val="002C7C75"/>
    <w:rsid w:val="002C7CBB"/>
    <w:rsid w:val="002C7D7F"/>
    <w:rsid w:val="002C7DD6"/>
    <w:rsid w:val="002D0049"/>
    <w:rsid w:val="002D00EF"/>
    <w:rsid w:val="002D013A"/>
    <w:rsid w:val="002D01F2"/>
    <w:rsid w:val="002D028F"/>
    <w:rsid w:val="002D0491"/>
    <w:rsid w:val="002D0714"/>
    <w:rsid w:val="002D077B"/>
    <w:rsid w:val="002D082F"/>
    <w:rsid w:val="002D0B58"/>
    <w:rsid w:val="002D0BCA"/>
    <w:rsid w:val="002D0C15"/>
    <w:rsid w:val="002D0F18"/>
    <w:rsid w:val="002D10E2"/>
    <w:rsid w:val="002D10EA"/>
    <w:rsid w:val="002D1234"/>
    <w:rsid w:val="002D12F7"/>
    <w:rsid w:val="002D16B1"/>
    <w:rsid w:val="002D1706"/>
    <w:rsid w:val="002D17DC"/>
    <w:rsid w:val="002D1807"/>
    <w:rsid w:val="002D1B87"/>
    <w:rsid w:val="002D1C0F"/>
    <w:rsid w:val="002D236F"/>
    <w:rsid w:val="002D238D"/>
    <w:rsid w:val="002D2422"/>
    <w:rsid w:val="002D2511"/>
    <w:rsid w:val="002D2630"/>
    <w:rsid w:val="002D272C"/>
    <w:rsid w:val="002D27E8"/>
    <w:rsid w:val="002D28B7"/>
    <w:rsid w:val="002D28F4"/>
    <w:rsid w:val="002D2A51"/>
    <w:rsid w:val="002D2A68"/>
    <w:rsid w:val="002D2BA1"/>
    <w:rsid w:val="002D2BAB"/>
    <w:rsid w:val="002D2FCA"/>
    <w:rsid w:val="002D2FE5"/>
    <w:rsid w:val="002D2FFD"/>
    <w:rsid w:val="002D311F"/>
    <w:rsid w:val="002D31E9"/>
    <w:rsid w:val="002D3343"/>
    <w:rsid w:val="002D35F2"/>
    <w:rsid w:val="002D3775"/>
    <w:rsid w:val="002D387E"/>
    <w:rsid w:val="002D39FE"/>
    <w:rsid w:val="002D3BB4"/>
    <w:rsid w:val="002D3D29"/>
    <w:rsid w:val="002D3D57"/>
    <w:rsid w:val="002D3F02"/>
    <w:rsid w:val="002D3FED"/>
    <w:rsid w:val="002D41A9"/>
    <w:rsid w:val="002D4233"/>
    <w:rsid w:val="002D42DD"/>
    <w:rsid w:val="002D42F5"/>
    <w:rsid w:val="002D4608"/>
    <w:rsid w:val="002D491F"/>
    <w:rsid w:val="002D49FE"/>
    <w:rsid w:val="002D4AA0"/>
    <w:rsid w:val="002D4C9D"/>
    <w:rsid w:val="002D4D7C"/>
    <w:rsid w:val="002D53FC"/>
    <w:rsid w:val="002D5407"/>
    <w:rsid w:val="002D55B8"/>
    <w:rsid w:val="002D58BA"/>
    <w:rsid w:val="002D5B34"/>
    <w:rsid w:val="002D5B85"/>
    <w:rsid w:val="002D5D46"/>
    <w:rsid w:val="002D5E5F"/>
    <w:rsid w:val="002D5E65"/>
    <w:rsid w:val="002D5E7A"/>
    <w:rsid w:val="002D5EFE"/>
    <w:rsid w:val="002D609E"/>
    <w:rsid w:val="002D628C"/>
    <w:rsid w:val="002D63CD"/>
    <w:rsid w:val="002D65C7"/>
    <w:rsid w:val="002D6710"/>
    <w:rsid w:val="002D687B"/>
    <w:rsid w:val="002D6BF1"/>
    <w:rsid w:val="002D6CBE"/>
    <w:rsid w:val="002D6CCF"/>
    <w:rsid w:val="002D6E9D"/>
    <w:rsid w:val="002D6F65"/>
    <w:rsid w:val="002D708C"/>
    <w:rsid w:val="002D7327"/>
    <w:rsid w:val="002D75E1"/>
    <w:rsid w:val="002D7604"/>
    <w:rsid w:val="002D76E4"/>
    <w:rsid w:val="002D76F5"/>
    <w:rsid w:val="002D77AB"/>
    <w:rsid w:val="002D7903"/>
    <w:rsid w:val="002D7937"/>
    <w:rsid w:val="002D7AEA"/>
    <w:rsid w:val="002D7B4B"/>
    <w:rsid w:val="002D7B58"/>
    <w:rsid w:val="002D7B62"/>
    <w:rsid w:val="002D7D36"/>
    <w:rsid w:val="002D7F48"/>
    <w:rsid w:val="002D7F69"/>
    <w:rsid w:val="002E00C0"/>
    <w:rsid w:val="002E068A"/>
    <w:rsid w:val="002E0E2A"/>
    <w:rsid w:val="002E11E8"/>
    <w:rsid w:val="002E1367"/>
    <w:rsid w:val="002E1512"/>
    <w:rsid w:val="002E1562"/>
    <w:rsid w:val="002E1692"/>
    <w:rsid w:val="002E1819"/>
    <w:rsid w:val="002E18CD"/>
    <w:rsid w:val="002E18DE"/>
    <w:rsid w:val="002E1A8D"/>
    <w:rsid w:val="002E1BF6"/>
    <w:rsid w:val="002E1C2A"/>
    <w:rsid w:val="002E1C38"/>
    <w:rsid w:val="002E1D37"/>
    <w:rsid w:val="002E1F4E"/>
    <w:rsid w:val="002E1FC7"/>
    <w:rsid w:val="002E2362"/>
    <w:rsid w:val="002E244A"/>
    <w:rsid w:val="002E2703"/>
    <w:rsid w:val="002E279E"/>
    <w:rsid w:val="002E2849"/>
    <w:rsid w:val="002E2850"/>
    <w:rsid w:val="002E2FAF"/>
    <w:rsid w:val="002E3102"/>
    <w:rsid w:val="002E3110"/>
    <w:rsid w:val="002E3142"/>
    <w:rsid w:val="002E3194"/>
    <w:rsid w:val="002E323B"/>
    <w:rsid w:val="002E3317"/>
    <w:rsid w:val="002E331C"/>
    <w:rsid w:val="002E3450"/>
    <w:rsid w:val="002E3533"/>
    <w:rsid w:val="002E36C6"/>
    <w:rsid w:val="002E3828"/>
    <w:rsid w:val="002E38D8"/>
    <w:rsid w:val="002E3D07"/>
    <w:rsid w:val="002E3D36"/>
    <w:rsid w:val="002E3DB9"/>
    <w:rsid w:val="002E3E09"/>
    <w:rsid w:val="002E3ED9"/>
    <w:rsid w:val="002E4033"/>
    <w:rsid w:val="002E419F"/>
    <w:rsid w:val="002E428B"/>
    <w:rsid w:val="002E467F"/>
    <w:rsid w:val="002E4958"/>
    <w:rsid w:val="002E497F"/>
    <w:rsid w:val="002E4BEC"/>
    <w:rsid w:val="002E4BFA"/>
    <w:rsid w:val="002E4D79"/>
    <w:rsid w:val="002E4DCC"/>
    <w:rsid w:val="002E50ED"/>
    <w:rsid w:val="002E51C1"/>
    <w:rsid w:val="002E51C4"/>
    <w:rsid w:val="002E5213"/>
    <w:rsid w:val="002E533B"/>
    <w:rsid w:val="002E5510"/>
    <w:rsid w:val="002E55B3"/>
    <w:rsid w:val="002E58DA"/>
    <w:rsid w:val="002E595A"/>
    <w:rsid w:val="002E5B15"/>
    <w:rsid w:val="002E5B9D"/>
    <w:rsid w:val="002E5D83"/>
    <w:rsid w:val="002E60E6"/>
    <w:rsid w:val="002E6277"/>
    <w:rsid w:val="002E6282"/>
    <w:rsid w:val="002E62CC"/>
    <w:rsid w:val="002E64AB"/>
    <w:rsid w:val="002E6A15"/>
    <w:rsid w:val="002E6A1D"/>
    <w:rsid w:val="002E6A9E"/>
    <w:rsid w:val="002E6BCD"/>
    <w:rsid w:val="002E6D49"/>
    <w:rsid w:val="002E6F01"/>
    <w:rsid w:val="002E6FE2"/>
    <w:rsid w:val="002E7030"/>
    <w:rsid w:val="002E7103"/>
    <w:rsid w:val="002E710E"/>
    <w:rsid w:val="002E736F"/>
    <w:rsid w:val="002E75A6"/>
    <w:rsid w:val="002E76D6"/>
    <w:rsid w:val="002E781F"/>
    <w:rsid w:val="002E79E6"/>
    <w:rsid w:val="002E7AC9"/>
    <w:rsid w:val="002E7AE9"/>
    <w:rsid w:val="002E7BF5"/>
    <w:rsid w:val="002E7D07"/>
    <w:rsid w:val="002E7E0C"/>
    <w:rsid w:val="002F00A0"/>
    <w:rsid w:val="002F00F8"/>
    <w:rsid w:val="002F032A"/>
    <w:rsid w:val="002F040C"/>
    <w:rsid w:val="002F044B"/>
    <w:rsid w:val="002F04A5"/>
    <w:rsid w:val="002F0700"/>
    <w:rsid w:val="002F0AF9"/>
    <w:rsid w:val="002F0E15"/>
    <w:rsid w:val="002F0EB6"/>
    <w:rsid w:val="002F1007"/>
    <w:rsid w:val="002F1481"/>
    <w:rsid w:val="002F1BA8"/>
    <w:rsid w:val="002F1CD3"/>
    <w:rsid w:val="002F1D7E"/>
    <w:rsid w:val="002F1E6A"/>
    <w:rsid w:val="002F22A9"/>
    <w:rsid w:val="002F259C"/>
    <w:rsid w:val="002F2D8E"/>
    <w:rsid w:val="002F2F84"/>
    <w:rsid w:val="002F316F"/>
    <w:rsid w:val="002F3573"/>
    <w:rsid w:val="002F35B8"/>
    <w:rsid w:val="002F3830"/>
    <w:rsid w:val="002F3957"/>
    <w:rsid w:val="002F3C66"/>
    <w:rsid w:val="002F3F54"/>
    <w:rsid w:val="002F3FA5"/>
    <w:rsid w:val="002F3FC5"/>
    <w:rsid w:val="002F40E5"/>
    <w:rsid w:val="002F460A"/>
    <w:rsid w:val="002F470D"/>
    <w:rsid w:val="002F4B2C"/>
    <w:rsid w:val="002F4BDB"/>
    <w:rsid w:val="002F4CF7"/>
    <w:rsid w:val="002F4E90"/>
    <w:rsid w:val="002F516E"/>
    <w:rsid w:val="002F5268"/>
    <w:rsid w:val="002F52D3"/>
    <w:rsid w:val="002F53A8"/>
    <w:rsid w:val="002F57DE"/>
    <w:rsid w:val="002F59D7"/>
    <w:rsid w:val="002F5A73"/>
    <w:rsid w:val="002F5AE9"/>
    <w:rsid w:val="002F5C8B"/>
    <w:rsid w:val="002F5E80"/>
    <w:rsid w:val="002F6022"/>
    <w:rsid w:val="002F6114"/>
    <w:rsid w:val="002F61B7"/>
    <w:rsid w:val="002F61EA"/>
    <w:rsid w:val="002F63C5"/>
    <w:rsid w:val="002F67AA"/>
    <w:rsid w:val="002F6980"/>
    <w:rsid w:val="002F6A1C"/>
    <w:rsid w:val="002F6A30"/>
    <w:rsid w:val="002F6CBD"/>
    <w:rsid w:val="002F6CF2"/>
    <w:rsid w:val="002F6DE9"/>
    <w:rsid w:val="002F6F56"/>
    <w:rsid w:val="002F7131"/>
    <w:rsid w:val="002F718E"/>
    <w:rsid w:val="002F72E4"/>
    <w:rsid w:val="002F73A5"/>
    <w:rsid w:val="002F745A"/>
    <w:rsid w:val="002F75B6"/>
    <w:rsid w:val="002F75FD"/>
    <w:rsid w:val="002F7658"/>
    <w:rsid w:val="002F769A"/>
    <w:rsid w:val="002F7AA6"/>
    <w:rsid w:val="002F7B87"/>
    <w:rsid w:val="002F7B91"/>
    <w:rsid w:val="002F7BAE"/>
    <w:rsid w:val="002F7C30"/>
    <w:rsid w:val="002F7DC3"/>
    <w:rsid w:val="002F7DD6"/>
    <w:rsid w:val="002F7EB1"/>
    <w:rsid w:val="002F7FC1"/>
    <w:rsid w:val="003000F7"/>
    <w:rsid w:val="0030035F"/>
    <w:rsid w:val="0030043E"/>
    <w:rsid w:val="003005B2"/>
    <w:rsid w:val="00300658"/>
    <w:rsid w:val="00300664"/>
    <w:rsid w:val="003006EC"/>
    <w:rsid w:val="00300A9F"/>
    <w:rsid w:val="00300C46"/>
    <w:rsid w:val="00300E29"/>
    <w:rsid w:val="00300E70"/>
    <w:rsid w:val="00300F2B"/>
    <w:rsid w:val="003010F2"/>
    <w:rsid w:val="00301249"/>
    <w:rsid w:val="003013EE"/>
    <w:rsid w:val="0030144B"/>
    <w:rsid w:val="00301976"/>
    <w:rsid w:val="00301B21"/>
    <w:rsid w:val="00301B3B"/>
    <w:rsid w:val="00301B7E"/>
    <w:rsid w:val="00301BD6"/>
    <w:rsid w:val="00301CCA"/>
    <w:rsid w:val="00301D11"/>
    <w:rsid w:val="00302076"/>
    <w:rsid w:val="003020EF"/>
    <w:rsid w:val="003022FC"/>
    <w:rsid w:val="003023AD"/>
    <w:rsid w:val="003023DE"/>
    <w:rsid w:val="00302458"/>
    <w:rsid w:val="003025A4"/>
    <w:rsid w:val="003026CD"/>
    <w:rsid w:val="00302740"/>
    <w:rsid w:val="0030283D"/>
    <w:rsid w:val="00302D7B"/>
    <w:rsid w:val="00303001"/>
    <w:rsid w:val="003030F0"/>
    <w:rsid w:val="003031BD"/>
    <w:rsid w:val="0030380D"/>
    <w:rsid w:val="00303931"/>
    <w:rsid w:val="00303A89"/>
    <w:rsid w:val="00303C3D"/>
    <w:rsid w:val="00303D2C"/>
    <w:rsid w:val="00303F37"/>
    <w:rsid w:val="00304414"/>
    <w:rsid w:val="0030454E"/>
    <w:rsid w:val="00304936"/>
    <w:rsid w:val="00304ADF"/>
    <w:rsid w:val="00304B97"/>
    <w:rsid w:val="00304CD7"/>
    <w:rsid w:val="00305057"/>
    <w:rsid w:val="00305089"/>
    <w:rsid w:val="0030521B"/>
    <w:rsid w:val="003053F0"/>
    <w:rsid w:val="00305510"/>
    <w:rsid w:val="00305644"/>
    <w:rsid w:val="0030571D"/>
    <w:rsid w:val="0030580B"/>
    <w:rsid w:val="00305910"/>
    <w:rsid w:val="00305C85"/>
    <w:rsid w:val="0030604F"/>
    <w:rsid w:val="00306167"/>
    <w:rsid w:val="00306350"/>
    <w:rsid w:val="003063DE"/>
    <w:rsid w:val="00306448"/>
    <w:rsid w:val="003064C2"/>
    <w:rsid w:val="003064E5"/>
    <w:rsid w:val="003067DB"/>
    <w:rsid w:val="00306962"/>
    <w:rsid w:val="00306972"/>
    <w:rsid w:val="003069B5"/>
    <w:rsid w:val="00306A50"/>
    <w:rsid w:val="00306DEA"/>
    <w:rsid w:val="00306F70"/>
    <w:rsid w:val="0030713E"/>
    <w:rsid w:val="003071E4"/>
    <w:rsid w:val="003072F3"/>
    <w:rsid w:val="00307330"/>
    <w:rsid w:val="00307545"/>
    <w:rsid w:val="003076FE"/>
    <w:rsid w:val="003078C0"/>
    <w:rsid w:val="00307B63"/>
    <w:rsid w:val="00307C86"/>
    <w:rsid w:val="00307CB9"/>
    <w:rsid w:val="00307E4D"/>
    <w:rsid w:val="00307EF7"/>
    <w:rsid w:val="00307F4A"/>
    <w:rsid w:val="00310120"/>
    <w:rsid w:val="003102F6"/>
    <w:rsid w:val="00310380"/>
    <w:rsid w:val="00310568"/>
    <w:rsid w:val="00310671"/>
    <w:rsid w:val="003106F1"/>
    <w:rsid w:val="00310703"/>
    <w:rsid w:val="003107A6"/>
    <w:rsid w:val="003107AE"/>
    <w:rsid w:val="003108A4"/>
    <w:rsid w:val="00310B2A"/>
    <w:rsid w:val="00310BE8"/>
    <w:rsid w:val="00310CE7"/>
    <w:rsid w:val="00310DAC"/>
    <w:rsid w:val="00310EE9"/>
    <w:rsid w:val="0031110D"/>
    <w:rsid w:val="0031126D"/>
    <w:rsid w:val="0031150D"/>
    <w:rsid w:val="0031167A"/>
    <w:rsid w:val="003116E1"/>
    <w:rsid w:val="003116F9"/>
    <w:rsid w:val="003118F9"/>
    <w:rsid w:val="00311A0F"/>
    <w:rsid w:val="00311AEC"/>
    <w:rsid w:val="00311B70"/>
    <w:rsid w:val="00311BCD"/>
    <w:rsid w:val="00311E1D"/>
    <w:rsid w:val="00311F0E"/>
    <w:rsid w:val="00312040"/>
    <w:rsid w:val="0031212F"/>
    <w:rsid w:val="00312220"/>
    <w:rsid w:val="003122AC"/>
    <w:rsid w:val="003123A1"/>
    <w:rsid w:val="00312443"/>
    <w:rsid w:val="003126EC"/>
    <w:rsid w:val="003126F2"/>
    <w:rsid w:val="003127B9"/>
    <w:rsid w:val="003128B1"/>
    <w:rsid w:val="00312986"/>
    <w:rsid w:val="00312B1C"/>
    <w:rsid w:val="00312B49"/>
    <w:rsid w:val="00312C64"/>
    <w:rsid w:val="0031310F"/>
    <w:rsid w:val="003131D2"/>
    <w:rsid w:val="003132CA"/>
    <w:rsid w:val="0031343E"/>
    <w:rsid w:val="0031362D"/>
    <w:rsid w:val="00313822"/>
    <w:rsid w:val="0031385F"/>
    <w:rsid w:val="00313AD3"/>
    <w:rsid w:val="00313EBE"/>
    <w:rsid w:val="0031441D"/>
    <w:rsid w:val="00314819"/>
    <w:rsid w:val="00314838"/>
    <w:rsid w:val="00314878"/>
    <w:rsid w:val="00314943"/>
    <w:rsid w:val="00314BA4"/>
    <w:rsid w:val="00314BAA"/>
    <w:rsid w:val="00314F6C"/>
    <w:rsid w:val="003150DA"/>
    <w:rsid w:val="003150FA"/>
    <w:rsid w:val="00315256"/>
    <w:rsid w:val="003152BD"/>
    <w:rsid w:val="00315401"/>
    <w:rsid w:val="00315758"/>
    <w:rsid w:val="003159F0"/>
    <w:rsid w:val="00315B50"/>
    <w:rsid w:val="00315BF3"/>
    <w:rsid w:val="00315CE5"/>
    <w:rsid w:val="00315D8D"/>
    <w:rsid w:val="0031611D"/>
    <w:rsid w:val="0031626D"/>
    <w:rsid w:val="00316391"/>
    <w:rsid w:val="003165FE"/>
    <w:rsid w:val="00316694"/>
    <w:rsid w:val="0031679A"/>
    <w:rsid w:val="00316E02"/>
    <w:rsid w:val="00316ECF"/>
    <w:rsid w:val="00316F2C"/>
    <w:rsid w:val="0031705C"/>
    <w:rsid w:val="00317069"/>
    <w:rsid w:val="003170E5"/>
    <w:rsid w:val="00317238"/>
    <w:rsid w:val="00317344"/>
    <w:rsid w:val="00317353"/>
    <w:rsid w:val="00317374"/>
    <w:rsid w:val="003173D6"/>
    <w:rsid w:val="0031744E"/>
    <w:rsid w:val="00317558"/>
    <w:rsid w:val="003175FD"/>
    <w:rsid w:val="00317603"/>
    <w:rsid w:val="00317639"/>
    <w:rsid w:val="00317677"/>
    <w:rsid w:val="00317684"/>
    <w:rsid w:val="00317724"/>
    <w:rsid w:val="003177CF"/>
    <w:rsid w:val="003178C1"/>
    <w:rsid w:val="00317995"/>
    <w:rsid w:val="003179F2"/>
    <w:rsid w:val="00317AE7"/>
    <w:rsid w:val="00317D11"/>
    <w:rsid w:val="003200D3"/>
    <w:rsid w:val="0032023F"/>
    <w:rsid w:val="0032024D"/>
    <w:rsid w:val="003202AF"/>
    <w:rsid w:val="00320513"/>
    <w:rsid w:val="003207C0"/>
    <w:rsid w:val="0032084F"/>
    <w:rsid w:val="0032099F"/>
    <w:rsid w:val="00320D7D"/>
    <w:rsid w:val="00320E08"/>
    <w:rsid w:val="00320E0D"/>
    <w:rsid w:val="00320FF2"/>
    <w:rsid w:val="003211C0"/>
    <w:rsid w:val="00321211"/>
    <w:rsid w:val="00321533"/>
    <w:rsid w:val="00321574"/>
    <w:rsid w:val="00321799"/>
    <w:rsid w:val="00321876"/>
    <w:rsid w:val="003218BF"/>
    <w:rsid w:val="00321977"/>
    <w:rsid w:val="00321AEF"/>
    <w:rsid w:val="00321D5B"/>
    <w:rsid w:val="00321ECA"/>
    <w:rsid w:val="00321F18"/>
    <w:rsid w:val="003220D2"/>
    <w:rsid w:val="00322400"/>
    <w:rsid w:val="00322512"/>
    <w:rsid w:val="0032256B"/>
    <w:rsid w:val="0032259D"/>
    <w:rsid w:val="00322714"/>
    <w:rsid w:val="0032296E"/>
    <w:rsid w:val="00322B9E"/>
    <w:rsid w:val="00322C46"/>
    <w:rsid w:val="00322E15"/>
    <w:rsid w:val="00323166"/>
    <w:rsid w:val="003231C4"/>
    <w:rsid w:val="003231F5"/>
    <w:rsid w:val="00323248"/>
    <w:rsid w:val="0032335E"/>
    <w:rsid w:val="00323448"/>
    <w:rsid w:val="00323610"/>
    <w:rsid w:val="0032365B"/>
    <w:rsid w:val="003236D4"/>
    <w:rsid w:val="0032398D"/>
    <w:rsid w:val="00323BD8"/>
    <w:rsid w:val="00324010"/>
    <w:rsid w:val="0032410C"/>
    <w:rsid w:val="00324118"/>
    <w:rsid w:val="00324178"/>
    <w:rsid w:val="00324181"/>
    <w:rsid w:val="00324465"/>
    <w:rsid w:val="00324541"/>
    <w:rsid w:val="00324762"/>
    <w:rsid w:val="003248FA"/>
    <w:rsid w:val="00324996"/>
    <w:rsid w:val="00324A3C"/>
    <w:rsid w:val="00324B53"/>
    <w:rsid w:val="00324F4C"/>
    <w:rsid w:val="00324FF7"/>
    <w:rsid w:val="003250E4"/>
    <w:rsid w:val="00325212"/>
    <w:rsid w:val="00325229"/>
    <w:rsid w:val="003252A6"/>
    <w:rsid w:val="00325453"/>
    <w:rsid w:val="00325492"/>
    <w:rsid w:val="003256AE"/>
    <w:rsid w:val="003257E5"/>
    <w:rsid w:val="003258F9"/>
    <w:rsid w:val="00325A80"/>
    <w:rsid w:val="00325D6F"/>
    <w:rsid w:val="00325D84"/>
    <w:rsid w:val="00325DFC"/>
    <w:rsid w:val="00325E7B"/>
    <w:rsid w:val="00325F4E"/>
    <w:rsid w:val="00326033"/>
    <w:rsid w:val="00326271"/>
    <w:rsid w:val="003262E4"/>
    <w:rsid w:val="0032636B"/>
    <w:rsid w:val="003263E7"/>
    <w:rsid w:val="0032653E"/>
    <w:rsid w:val="0032667D"/>
    <w:rsid w:val="00326697"/>
    <w:rsid w:val="00326762"/>
    <w:rsid w:val="0032676E"/>
    <w:rsid w:val="0032679D"/>
    <w:rsid w:val="0032692F"/>
    <w:rsid w:val="0032696A"/>
    <w:rsid w:val="003269F3"/>
    <w:rsid w:val="003270FD"/>
    <w:rsid w:val="00327259"/>
    <w:rsid w:val="0032738C"/>
    <w:rsid w:val="003273AA"/>
    <w:rsid w:val="0032779F"/>
    <w:rsid w:val="00327828"/>
    <w:rsid w:val="00327C78"/>
    <w:rsid w:val="00327D58"/>
    <w:rsid w:val="00327DCD"/>
    <w:rsid w:val="00327DE3"/>
    <w:rsid w:val="00327DE9"/>
    <w:rsid w:val="003300FD"/>
    <w:rsid w:val="0033014E"/>
    <w:rsid w:val="003301CB"/>
    <w:rsid w:val="00330315"/>
    <w:rsid w:val="00330332"/>
    <w:rsid w:val="00330511"/>
    <w:rsid w:val="00330737"/>
    <w:rsid w:val="00330778"/>
    <w:rsid w:val="00330843"/>
    <w:rsid w:val="00330905"/>
    <w:rsid w:val="00330BEC"/>
    <w:rsid w:val="00330F1E"/>
    <w:rsid w:val="00330F20"/>
    <w:rsid w:val="00330F75"/>
    <w:rsid w:val="00330F80"/>
    <w:rsid w:val="00330F94"/>
    <w:rsid w:val="003310A3"/>
    <w:rsid w:val="003310E3"/>
    <w:rsid w:val="003317FF"/>
    <w:rsid w:val="0033192D"/>
    <w:rsid w:val="00331955"/>
    <w:rsid w:val="003319A9"/>
    <w:rsid w:val="00331AA8"/>
    <w:rsid w:val="00331B47"/>
    <w:rsid w:val="00331DFB"/>
    <w:rsid w:val="00332001"/>
    <w:rsid w:val="0033201E"/>
    <w:rsid w:val="0033215D"/>
    <w:rsid w:val="003321B6"/>
    <w:rsid w:val="0033229D"/>
    <w:rsid w:val="003322AF"/>
    <w:rsid w:val="003322D4"/>
    <w:rsid w:val="003323A9"/>
    <w:rsid w:val="0033256A"/>
    <w:rsid w:val="003325E6"/>
    <w:rsid w:val="00332601"/>
    <w:rsid w:val="00332672"/>
    <w:rsid w:val="00332693"/>
    <w:rsid w:val="003326C3"/>
    <w:rsid w:val="00332732"/>
    <w:rsid w:val="00332752"/>
    <w:rsid w:val="00332806"/>
    <w:rsid w:val="003328C1"/>
    <w:rsid w:val="00332932"/>
    <w:rsid w:val="00332ACA"/>
    <w:rsid w:val="00332B70"/>
    <w:rsid w:val="00332DFB"/>
    <w:rsid w:val="003332F1"/>
    <w:rsid w:val="003333E2"/>
    <w:rsid w:val="003336E5"/>
    <w:rsid w:val="00333710"/>
    <w:rsid w:val="003337E0"/>
    <w:rsid w:val="00333AD0"/>
    <w:rsid w:val="00333C5E"/>
    <w:rsid w:val="00333CAA"/>
    <w:rsid w:val="00333F12"/>
    <w:rsid w:val="00334048"/>
    <w:rsid w:val="0033411A"/>
    <w:rsid w:val="003345BA"/>
    <w:rsid w:val="00334611"/>
    <w:rsid w:val="003346A1"/>
    <w:rsid w:val="003346A8"/>
    <w:rsid w:val="00334DE9"/>
    <w:rsid w:val="00334E87"/>
    <w:rsid w:val="00334ED7"/>
    <w:rsid w:val="00334F78"/>
    <w:rsid w:val="00334FC7"/>
    <w:rsid w:val="00335215"/>
    <w:rsid w:val="003356E8"/>
    <w:rsid w:val="003358A3"/>
    <w:rsid w:val="00335A15"/>
    <w:rsid w:val="00335A66"/>
    <w:rsid w:val="00335B0B"/>
    <w:rsid w:val="00335CAD"/>
    <w:rsid w:val="00335FED"/>
    <w:rsid w:val="00336124"/>
    <w:rsid w:val="00336261"/>
    <w:rsid w:val="0033645D"/>
    <w:rsid w:val="00336621"/>
    <w:rsid w:val="00336875"/>
    <w:rsid w:val="00336A67"/>
    <w:rsid w:val="00336C21"/>
    <w:rsid w:val="00336E60"/>
    <w:rsid w:val="00336FD3"/>
    <w:rsid w:val="00336FFD"/>
    <w:rsid w:val="003371DA"/>
    <w:rsid w:val="003372BE"/>
    <w:rsid w:val="0033770E"/>
    <w:rsid w:val="0033773B"/>
    <w:rsid w:val="00337831"/>
    <w:rsid w:val="003379B6"/>
    <w:rsid w:val="00337A02"/>
    <w:rsid w:val="00337A9D"/>
    <w:rsid w:val="00337AE6"/>
    <w:rsid w:val="00337C60"/>
    <w:rsid w:val="00337DC7"/>
    <w:rsid w:val="00340098"/>
    <w:rsid w:val="003403CE"/>
    <w:rsid w:val="00340451"/>
    <w:rsid w:val="0034089B"/>
    <w:rsid w:val="00340AE0"/>
    <w:rsid w:val="00340BD4"/>
    <w:rsid w:val="00340F3A"/>
    <w:rsid w:val="00340FD4"/>
    <w:rsid w:val="0034115E"/>
    <w:rsid w:val="00341162"/>
    <w:rsid w:val="0034167D"/>
    <w:rsid w:val="003419AD"/>
    <w:rsid w:val="00341A0C"/>
    <w:rsid w:val="00341D1C"/>
    <w:rsid w:val="00341D71"/>
    <w:rsid w:val="00341FB7"/>
    <w:rsid w:val="00341FEA"/>
    <w:rsid w:val="00342145"/>
    <w:rsid w:val="00342190"/>
    <w:rsid w:val="00342458"/>
    <w:rsid w:val="00342514"/>
    <w:rsid w:val="00342693"/>
    <w:rsid w:val="003426D9"/>
    <w:rsid w:val="00342726"/>
    <w:rsid w:val="0034282B"/>
    <w:rsid w:val="00342960"/>
    <w:rsid w:val="00342CBB"/>
    <w:rsid w:val="003430CB"/>
    <w:rsid w:val="00343147"/>
    <w:rsid w:val="003434AD"/>
    <w:rsid w:val="00343639"/>
    <w:rsid w:val="0034374E"/>
    <w:rsid w:val="00343894"/>
    <w:rsid w:val="003438FC"/>
    <w:rsid w:val="00343A30"/>
    <w:rsid w:val="00343AF9"/>
    <w:rsid w:val="00343C1F"/>
    <w:rsid w:val="00343F13"/>
    <w:rsid w:val="00343F40"/>
    <w:rsid w:val="00344201"/>
    <w:rsid w:val="00344293"/>
    <w:rsid w:val="00344496"/>
    <w:rsid w:val="003445F9"/>
    <w:rsid w:val="0034461A"/>
    <w:rsid w:val="0034462E"/>
    <w:rsid w:val="003446A7"/>
    <w:rsid w:val="00344A3C"/>
    <w:rsid w:val="00344B11"/>
    <w:rsid w:val="0034525E"/>
    <w:rsid w:val="0034537E"/>
    <w:rsid w:val="00345472"/>
    <w:rsid w:val="0034552D"/>
    <w:rsid w:val="003456E3"/>
    <w:rsid w:val="0034570D"/>
    <w:rsid w:val="003458B0"/>
    <w:rsid w:val="00345DA3"/>
    <w:rsid w:val="00345FF9"/>
    <w:rsid w:val="003463E6"/>
    <w:rsid w:val="0034659D"/>
    <w:rsid w:val="003466FA"/>
    <w:rsid w:val="00346C34"/>
    <w:rsid w:val="00346DFB"/>
    <w:rsid w:val="00346E80"/>
    <w:rsid w:val="00346FB1"/>
    <w:rsid w:val="00347001"/>
    <w:rsid w:val="003471D5"/>
    <w:rsid w:val="003475B6"/>
    <w:rsid w:val="00347671"/>
    <w:rsid w:val="003476A6"/>
    <w:rsid w:val="00347925"/>
    <w:rsid w:val="00347DF8"/>
    <w:rsid w:val="00347EA9"/>
    <w:rsid w:val="00350105"/>
    <w:rsid w:val="003503D4"/>
    <w:rsid w:val="003505F8"/>
    <w:rsid w:val="003508C3"/>
    <w:rsid w:val="003508E5"/>
    <w:rsid w:val="00350B67"/>
    <w:rsid w:val="00350CAE"/>
    <w:rsid w:val="00350CC7"/>
    <w:rsid w:val="00350E2E"/>
    <w:rsid w:val="00350E6E"/>
    <w:rsid w:val="003511D7"/>
    <w:rsid w:val="0035148C"/>
    <w:rsid w:val="00351685"/>
    <w:rsid w:val="0035184C"/>
    <w:rsid w:val="00351B1B"/>
    <w:rsid w:val="00351E73"/>
    <w:rsid w:val="00351EBD"/>
    <w:rsid w:val="00351FF9"/>
    <w:rsid w:val="0035205E"/>
    <w:rsid w:val="00352091"/>
    <w:rsid w:val="00352148"/>
    <w:rsid w:val="003523E1"/>
    <w:rsid w:val="0035257C"/>
    <w:rsid w:val="00352937"/>
    <w:rsid w:val="00352C85"/>
    <w:rsid w:val="00352D04"/>
    <w:rsid w:val="00352D10"/>
    <w:rsid w:val="00352D15"/>
    <w:rsid w:val="00352F91"/>
    <w:rsid w:val="00353307"/>
    <w:rsid w:val="003533CD"/>
    <w:rsid w:val="0035349A"/>
    <w:rsid w:val="00353565"/>
    <w:rsid w:val="003536B8"/>
    <w:rsid w:val="00353989"/>
    <w:rsid w:val="00353BB5"/>
    <w:rsid w:val="00353C82"/>
    <w:rsid w:val="00353C97"/>
    <w:rsid w:val="00353E82"/>
    <w:rsid w:val="0035402E"/>
    <w:rsid w:val="00354080"/>
    <w:rsid w:val="0035410C"/>
    <w:rsid w:val="003542CF"/>
    <w:rsid w:val="0035430A"/>
    <w:rsid w:val="0035430D"/>
    <w:rsid w:val="003543A1"/>
    <w:rsid w:val="003543B1"/>
    <w:rsid w:val="00354529"/>
    <w:rsid w:val="00354763"/>
    <w:rsid w:val="00354993"/>
    <w:rsid w:val="003549F9"/>
    <w:rsid w:val="00354A4E"/>
    <w:rsid w:val="00354A69"/>
    <w:rsid w:val="00354C9E"/>
    <w:rsid w:val="0035529A"/>
    <w:rsid w:val="0035535D"/>
    <w:rsid w:val="00355445"/>
    <w:rsid w:val="0035560F"/>
    <w:rsid w:val="003558CC"/>
    <w:rsid w:val="003559FC"/>
    <w:rsid w:val="00355ABC"/>
    <w:rsid w:val="00355B56"/>
    <w:rsid w:val="003561A1"/>
    <w:rsid w:val="00356306"/>
    <w:rsid w:val="003564AF"/>
    <w:rsid w:val="0035651E"/>
    <w:rsid w:val="00356618"/>
    <w:rsid w:val="003566F1"/>
    <w:rsid w:val="00356AC2"/>
    <w:rsid w:val="00356D1B"/>
    <w:rsid w:val="00356D20"/>
    <w:rsid w:val="00356F8B"/>
    <w:rsid w:val="003571BF"/>
    <w:rsid w:val="0035737A"/>
    <w:rsid w:val="003573C4"/>
    <w:rsid w:val="003576F4"/>
    <w:rsid w:val="0035771C"/>
    <w:rsid w:val="0035783E"/>
    <w:rsid w:val="00357904"/>
    <w:rsid w:val="00357A49"/>
    <w:rsid w:val="00357DCC"/>
    <w:rsid w:val="00360022"/>
    <w:rsid w:val="00360170"/>
    <w:rsid w:val="00360338"/>
    <w:rsid w:val="003607CD"/>
    <w:rsid w:val="00360816"/>
    <w:rsid w:val="00360889"/>
    <w:rsid w:val="00360A0D"/>
    <w:rsid w:val="00360B8B"/>
    <w:rsid w:val="00360EAA"/>
    <w:rsid w:val="003611AF"/>
    <w:rsid w:val="003612FE"/>
    <w:rsid w:val="00361417"/>
    <w:rsid w:val="0036158C"/>
    <w:rsid w:val="003615D0"/>
    <w:rsid w:val="003617ED"/>
    <w:rsid w:val="00361D81"/>
    <w:rsid w:val="003623E8"/>
    <w:rsid w:val="0036261A"/>
    <w:rsid w:val="00362D8A"/>
    <w:rsid w:val="00362E1B"/>
    <w:rsid w:val="0036300E"/>
    <w:rsid w:val="0036303C"/>
    <w:rsid w:val="00363057"/>
    <w:rsid w:val="00363128"/>
    <w:rsid w:val="0036327C"/>
    <w:rsid w:val="0036347C"/>
    <w:rsid w:val="00363536"/>
    <w:rsid w:val="00363794"/>
    <w:rsid w:val="00363AD8"/>
    <w:rsid w:val="00363BAE"/>
    <w:rsid w:val="00363BF3"/>
    <w:rsid w:val="00363EDD"/>
    <w:rsid w:val="00363FB1"/>
    <w:rsid w:val="003641ED"/>
    <w:rsid w:val="0036420F"/>
    <w:rsid w:val="0036432D"/>
    <w:rsid w:val="003646C3"/>
    <w:rsid w:val="00364917"/>
    <w:rsid w:val="00364BAC"/>
    <w:rsid w:val="00364C8C"/>
    <w:rsid w:val="00364E65"/>
    <w:rsid w:val="003652C7"/>
    <w:rsid w:val="00365464"/>
    <w:rsid w:val="003654A6"/>
    <w:rsid w:val="00365A0E"/>
    <w:rsid w:val="00365CC9"/>
    <w:rsid w:val="00365F06"/>
    <w:rsid w:val="00365FFB"/>
    <w:rsid w:val="003662D0"/>
    <w:rsid w:val="0036649C"/>
    <w:rsid w:val="003664AE"/>
    <w:rsid w:val="003664F5"/>
    <w:rsid w:val="0036666D"/>
    <w:rsid w:val="003667BE"/>
    <w:rsid w:val="00366881"/>
    <w:rsid w:val="00366AAD"/>
    <w:rsid w:val="00366D9A"/>
    <w:rsid w:val="00366E0D"/>
    <w:rsid w:val="00366E50"/>
    <w:rsid w:val="00366EDD"/>
    <w:rsid w:val="00366EE3"/>
    <w:rsid w:val="00367002"/>
    <w:rsid w:val="003673BF"/>
    <w:rsid w:val="003675AD"/>
    <w:rsid w:val="00367658"/>
    <w:rsid w:val="0036766D"/>
    <w:rsid w:val="00367765"/>
    <w:rsid w:val="003700B8"/>
    <w:rsid w:val="003703C7"/>
    <w:rsid w:val="00370506"/>
    <w:rsid w:val="00370711"/>
    <w:rsid w:val="00370734"/>
    <w:rsid w:val="00370775"/>
    <w:rsid w:val="003708A0"/>
    <w:rsid w:val="00370B64"/>
    <w:rsid w:val="00370BF1"/>
    <w:rsid w:val="00370C0F"/>
    <w:rsid w:val="00371369"/>
    <w:rsid w:val="00371459"/>
    <w:rsid w:val="003716AE"/>
    <w:rsid w:val="0037171C"/>
    <w:rsid w:val="003719ED"/>
    <w:rsid w:val="00371A30"/>
    <w:rsid w:val="00371AC5"/>
    <w:rsid w:val="00371B70"/>
    <w:rsid w:val="00371CA1"/>
    <w:rsid w:val="00371D0F"/>
    <w:rsid w:val="00371D6A"/>
    <w:rsid w:val="00371DDD"/>
    <w:rsid w:val="00371F6A"/>
    <w:rsid w:val="00371FD1"/>
    <w:rsid w:val="0037202A"/>
    <w:rsid w:val="0037209D"/>
    <w:rsid w:val="00372160"/>
    <w:rsid w:val="00372279"/>
    <w:rsid w:val="003723AE"/>
    <w:rsid w:val="00372535"/>
    <w:rsid w:val="003727A0"/>
    <w:rsid w:val="00372B48"/>
    <w:rsid w:val="00372D45"/>
    <w:rsid w:val="00373037"/>
    <w:rsid w:val="00373180"/>
    <w:rsid w:val="003733B0"/>
    <w:rsid w:val="00373AAC"/>
    <w:rsid w:val="00373B07"/>
    <w:rsid w:val="00373B27"/>
    <w:rsid w:val="00373DF6"/>
    <w:rsid w:val="00373E1A"/>
    <w:rsid w:val="00373FA7"/>
    <w:rsid w:val="003740B7"/>
    <w:rsid w:val="003740C3"/>
    <w:rsid w:val="003742E8"/>
    <w:rsid w:val="0037455E"/>
    <w:rsid w:val="00374688"/>
    <w:rsid w:val="003746CF"/>
    <w:rsid w:val="003746F5"/>
    <w:rsid w:val="00374781"/>
    <w:rsid w:val="0037482C"/>
    <w:rsid w:val="003748EA"/>
    <w:rsid w:val="00374D4C"/>
    <w:rsid w:val="00374F7B"/>
    <w:rsid w:val="003750B0"/>
    <w:rsid w:val="003751C4"/>
    <w:rsid w:val="003754B4"/>
    <w:rsid w:val="00375593"/>
    <w:rsid w:val="00375975"/>
    <w:rsid w:val="003759D7"/>
    <w:rsid w:val="00375B82"/>
    <w:rsid w:val="00375BFE"/>
    <w:rsid w:val="0037602D"/>
    <w:rsid w:val="00376094"/>
    <w:rsid w:val="0037616B"/>
    <w:rsid w:val="003762EC"/>
    <w:rsid w:val="0037673D"/>
    <w:rsid w:val="00376B3C"/>
    <w:rsid w:val="00376CD5"/>
    <w:rsid w:val="00376E2A"/>
    <w:rsid w:val="00376E9A"/>
    <w:rsid w:val="00377052"/>
    <w:rsid w:val="003770D3"/>
    <w:rsid w:val="003771FF"/>
    <w:rsid w:val="0037721C"/>
    <w:rsid w:val="00377293"/>
    <w:rsid w:val="003773D7"/>
    <w:rsid w:val="00377437"/>
    <w:rsid w:val="0037767D"/>
    <w:rsid w:val="0037776D"/>
    <w:rsid w:val="003778CA"/>
    <w:rsid w:val="0037792B"/>
    <w:rsid w:val="00377B06"/>
    <w:rsid w:val="00377E91"/>
    <w:rsid w:val="00380010"/>
    <w:rsid w:val="00380165"/>
    <w:rsid w:val="003801F9"/>
    <w:rsid w:val="00380293"/>
    <w:rsid w:val="0038046A"/>
    <w:rsid w:val="00380717"/>
    <w:rsid w:val="0038088A"/>
    <w:rsid w:val="00380BDF"/>
    <w:rsid w:val="00380D08"/>
    <w:rsid w:val="00380D90"/>
    <w:rsid w:val="00380EDD"/>
    <w:rsid w:val="0038134F"/>
    <w:rsid w:val="00381390"/>
    <w:rsid w:val="0038139A"/>
    <w:rsid w:val="003816DD"/>
    <w:rsid w:val="0038174C"/>
    <w:rsid w:val="0038189D"/>
    <w:rsid w:val="00381A0F"/>
    <w:rsid w:val="00381A3F"/>
    <w:rsid w:val="00381A83"/>
    <w:rsid w:val="00381CB4"/>
    <w:rsid w:val="0038238E"/>
    <w:rsid w:val="003824EC"/>
    <w:rsid w:val="003826E4"/>
    <w:rsid w:val="0038278A"/>
    <w:rsid w:val="00382791"/>
    <w:rsid w:val="00382ABA"/>
    <w:rsid w:val="00382B90"/>
    <w:rsid w:val="00382D30"/>
    <w:rsid w:val="00382EAE"/>
    <w:rsid w:val="00382ED9"/>
    <w:rsid w:val="00382F23"/>
    <w:rsid w:val="0038322C"/>
    <w:rsid w:val="003834C3"/>
    <w:rsid w:val="003834DB"/>
    <w:rsid w:val="003835BC"/>
    <w:rsid w:val="0038367A"/>
    <w:rsid w:val="003837FE"/>
    <w:rsid w:val="003838A3"/>
    <w:rsid w:val="00383962"/>
    <w:rsid w:val="00383D48"/>
    <w:rsid w:val="00383E55"/>
    <w:rsid w:val="00383F20"/>
    <w:rsid w:val="00384171"/>
    <w:rsid w:val="0038447C"/>
    <w:rsid w:val="003845AF"/>
    <w:rsid w:val="003845E9"/>
    <w:rsid w:val="00384762"/>
    <w:rsid w:val="003847BB"/>
    <w:rsid w:val="003848C5"/>
    <w:rsid w:val="00384A25"/>
    <w:rsid w:val="00384A3A"/>
    <w:rsid w:val="00384C3A"/>
    <w:rsid w:val="00384FA6"/>
    <w:rsid w:val="00385086"/>
    <w:rsid w:val="003850A3"/>
    <w:rsid w:val="00385155"/>
    <w:rsid w:val="003852E6"/>
    <w:rsid w:val="0038536A"/>
    <w:rsid w:val="00385A6A"/>
    <w:rsid w:val="00385ADA"/>
    <w:rsid w:val="00385BE3"/>
    <w:rsid w:val="00385C23"/>
    <w:rsid w:val="00385D04"/>
    <w:rsid w:val="00385DE5"/>
    <w:rsid w:val="00385EE6"/>
    <w:rsid w:val="00385F07"/>
    <w:rsid w:val="00386049"/>
    <w:rsid w:val="00386320"/>
    <w:rsid w:val="0038636A"/>
    <w:rsid w:val="003863CC"/>
    <w:rsid w:val="00386418"/>
    <w:rsid w:val="00386873"/>
    <w:rsid w:val="00386A11"/>
    <w:rsid w:val="00386BA1"/>
    <w:rsid w:val="00386C7D"/>
    <w:rsid w:val="00386DF7"/>
    <w:rsid w:val="00386F3A"/>
    <w:rsid w:val="003870AC"/>
    <w:rsid w:val="00387128"/>
    <w:rsid w:val="0038753D"/>
    <w:rsid w:val="003875FA"/>
    <w:rsid w:val="00387C4A"/>
    <w:rsid w:val="00387D3C"/>
    <w:rsid w:val="00387D3F"/>
    <w:rsid w:val="00387E59"/>
    <w:rsid w:val="00387F4A"/>
    <w:rsid w:val="00387F63"/>
    <w:rsid w:val="00387FE7"/>
    <w:rsid w:val="003901C2"/>
    <w:rsid w:val="0039047F"/>
    <w:rsid w:val="003904FB"/>
    <w:rsid w:val="0039064D"/>
    <w:rsid w:val="00390700"/>
    <w:rsid w:val="00390759"/>
    <w:rsid w:val="00390824"/>
    <w:rsid w:val="00390B58"/>
    <w:rsid w:val="00390BF3"/>
    <w:rsid w:val="00390D2A"/>
    <w:rsid w:val="0039137E"/>
    <w:rsid w:val="0039138C"/>
    <w:rsid w:val="003913B4"/>
    <w:rsid w:val="00391440"/>
    <w:rsid w:val="003916A8"/>
    <w:rsid w:val="003917A5"/>
    <w:rsid w:val="003917FB"/>
    <w:rsid w:val="00391816"/>
    <w:rsid w:val="00391915"/>
    <w:rsid w:val="00391981"/>
    <w:rsid w:val="0039229D"/>
    <w:rsid w:val="0039239A"/>
    <w:rsid w:val="0039259C"/>
    <w:rsid w:val="00392828"/>
    <w:rsid w:val="00392A7F"/>
    <w:rsid w:val="00392C42"/>
    <w:rsid w:val="00392D42"/>
    <w:rsid w:val="00392E1A"/>
    <w:rsid w:val="00392E74"/>
    <w:rsid w:val="00392F26"/>
    <w:rsid w:val="0039311F"/>
    <w:rsid w:val="003931AD"/>
    <w:rsid w:val="003931FF"/>
    <w:rsid w:val="003933F7"/>
    <w:rsid w:val="0039343D"/>
    <w:rsid w:val="0039359A"/>
    <w:rsid w:val="00393666"/>
    <w:rsid w:val="0039369D"/>
    <w:rsid w:val="00393714"/>
    <w:rsid w:val="0039383C"/>
    <w:rsid w:val="00393B5A"/>
    <w:rsid w:val="0039427E"/>
    <w:rsid w:val="003942B0"/>
    <w:rsid w:val="0039437E"/>
    <w:rsid w:val="00394494"/>
    <w:rsid w:val="003948CA"/>
    <w:rsid w:val="00394EA4"/>
    <w:rsid w:val="00394FB4"/>
    <w:rsid w:val="00394FEB"/>
    <w:rsid w:val="003950FB"/>
    <w:rsid w:val="0039517B"/>
    <w:rsid w:val="00395419"/>
    <w:rsid w:val="00395565"/>
    <w:rsid w:val="0039562C"/>
    <w:rsid w:val="00395839"/>
    <w:rsid w:val="003958D3"/>
    <w:rsid w:val="003958EF"/>
    <w:rsid w:val="00395C02"/>
    <w:rsid w:val="00395D3C"/>
    <w:rsid w:val="00395FD3"/>
    <w:rsid w:val="00396180"/>
    <w:rsid w:val="0039626E"/>
    <w:rsid w:val="003963B8"/>
    <w:rsid w:val="0039648D"/>
    <w:rsid w:val="00396524"/>
    <w:rsid w:val="00396564"/>
    <w:rsid w:val="003965A7"/>
    <w:rsid w:val="0039677F"/>
    <w:rsid w:val="003967B4"/>
    <w:rsid w:val="00396BC4"/>
    <w:rsid w:val="00396FD5"/>
    <w:rsid w:val="00397010"/>
    <w:rsid w:val="003970CB"/>
    <w:rsid w:val="003970D9"/>
    <w:rsid w:val="00397107"/>
    <w:rsid w:val="00397570"/>
    <w:rsid w:val="0039757A"/>
    <w:rsid w:val="00397637"/>
    <w:rsid w:val="00397CAA"/>
    <w:rsid w:val="00397E3C"/>
    <w:rsid w:val="00397E9F"/>
    <w:rsid w:val="003A0248"/>
    <w:rsid w:val="003A038D"/>
    <w:rsid w:val="003A0435"/>
    <w:rsid w:val="003A096E"/>
    <w:rsid w:val="003A0AC4"/>
    <w:rsid w:val="003A0CBA"/>
    <w:rsid w:val="003A0D84"/>
    <w:rsid w:val="003A0DF9"/>
    <w:rsid w:val="003A0E50"/>
    <w:rsid w:val="003A0E8C"/>
    <w:rsid w:val="003A1010"/>
    <w:rsid w:val="003A12BB"/>
    <w:rsid w:val="003A1425"/>
    <w:rsid w:val="003A152B"/>
    <w:rsid w:val="003A19D6"/>
    <w:rsid w:val="003A1BF5"/>
    <w:rsid w:val="003A1DA3"/>
    <w:rsid w:val="003A1E73"/>
    <w:rsid w:val="003A2159"/>
    <w:rsid w:val="003A21D4"/>
    <w:rsid w:val="003A21E4"/>
    <w:rsid w:val="003A22A8"/>
    <w:rsid w:val="003A233F"/>
    <w:rsid w:val="003A23FE"/>
    <w:rsid w:val="003A2453"/>
    <w:rsid w:val="003A2761"/>
    <w:rsid w:val="003A2852"/>
    <w:rsid w:val="003A28B9"/>
    <w:rsid w:val="003A296B"/>
    <w:rsid w:val="003A2995"/>
    <w:rsid w:val="003A2B2C"/>
    <w:rsid w:val="003A2B64"/>
    <w:rsid w:val="003A2F48"/>
    <w:rsid w:val="003A319D"/>
    <w:rsid w:val="003A351A"/>
    <w:rsid w:val="003A357F"/>
    <w:rsid w:val="003A399D"/>
    <w:rsid w:val="003A3CCE"/>
    <w:rsid w:val="003A3D8F"/>
    <w:rsid w:val="003A3E69"/>
    <w:rsid w:val="003A4183"/>
    <w:rsid w:val="003A41DE"/>
    <w:rsid w:val="003A4565"/>
    <w:rsid w:val="003A467A"/>
    <w:rsid w:val="003A4687"/>
    <w:rsid w:val="003A46C2"/>
    <w:rsid w:val="003A476A"/>
    <w:rsid w:val="003A47FA"/>
    <w:rsid w:val="003A4934"/>
    <w:rsid w:val="003A4967"/>
    <w:rsid w:val="003A49AF"/>
    <w:rsid w:val="003A4A2B"/>
    <w:rsid w:val="003A4BD2"/>
    <w:rsid w:val="003A4E35"/>
    <w:rsid w:val="003A4E6A"/>
    <w:rsid w:val="003A4E9F"/>
    <w:rsid w:val="003A5057"/>
    <w:rsid w:val="003A520D"/>
    <w:rsid w:val="003A5447"/>
    <w:rsid w:val="003A557C"/>
    <w:rsid w:val="003A560F"/>
    <w:rsid w:val="003A5644"/>
    <w:rsid w:val="003A5774"/>
    <w:rsid w:val="003A5966"/>
    <w:rsid w:val="003A5AD4"/>
    <w:rsid w:val="003A5BE5"/>
    <w:rsid w:val="003A5E4C"/>
    <w:rsid w:val="003A5EC8"/>
    <w:rsid w:val="003A5FF5"/>
    <w:rsid w:val="003A61A1"/>
    <w:rsid w:val="003A6443"/>
    <w:rsid w:val="003A64B3"/>
    <w:rsid w:val="003A6506"/>
    <w:rsid w:val="003A6577"/>
    <w:rsid w:val="003A6732"/>
    <w:rsid w:val="003A67A9"/>
    <w:rsid w:val="003A67E4"/>
    <w:rsid w:val="003A6A92"/>
    <w:rsid w:val="003A6C8E"/>
    <w:rsid w:val="003A6C9C"/>
    <w:rsid w:val="003A6DEF"/>
    <w:rsid w:val="003A723C"/>
    <w:rsid w:val="003A78E1"/>
    <w:rsid w:val="003A78EC"/>
    <w:rsid w:val="003A7952"/>
    <w:rsid w:val="003A7C01"/>
    <w:rsid w:val="003A7C36"/>
    <w:rsid w:val="003A7D5A"/>
    <w:rsid w:val="003B038A"/>
    <w:rsid w:val="003B04AA"/>
    <w:rsid w:val="003B0B95"/>
    <w:rsid w:val="003B0C03"/>
    <w:rsid w:val="003B0DD1"/>
    <w:rsid w:val="003B0FF3"/>
    <w:rsid w:val="003B1032"/>
    <w:rsid w:val="003B1183"/>
    <w:rsid w:val="003B1185"/>
    <w:rsid w:val="003B11BB"/>
    <w:rsid w:val="003B135D"/>
    <w:rsid w:val="003B141F"/>
    <w:rsid w:val="003B1617"/>
    <w:rsid w:val="003B1749"/>
    <w:rsid w:val="003B18C7"/>
    <w:rsid w:val="003B1C2E"/>
    <w:rsid w:val="003B1D9A"/>
    <w:rsid w:val="003B1DA9"/>
    <w:rsid w:val="003B20B4"/>
    <w:rsid w:val="003B21D3"/>
    <w:rsid w:val="003B249E"/>
    <w:rsid w:val="003B29B0"/>
    <w:rsid w:val="003B2A24"/>
    <w:rsid w:val="003B2B0D"/>
    <w:rsid w:val="003B2BED"/>
    <w:rsid w:val="003B2DFF"/>
    <w:rsid w:val="003B2E87"/>
    <w:rsid w:val="003B2F48"/>
    <w:rsid w:val="003B3030"/>
    <w:rsid w:val="003B323D"/>
    <w:rsid w:val="003B3375"/>
    <w:rsid w:val="003B3376"/>
    <w:rsid w:val="003B341A"/>
    <w:rsid w:val="003B3460"/>
    <w:rsid w:val="003B3580"/>
    <w:rsid w:val="003B3980"/>
    <w:rsid w:val="003B3A23"/>
    <w:rsid w:val="003B4119"/>
    <w:rsid w:val="003B41A2"/>
    <w:rsid w:val="003B427E"/>
    <w:rsid w:val="003B4407"/>
    <w:rsid w:val="003B4412"/>
    <w:rsid w:val="003B464C"/>
    <w:rsid w:val="003B48D7"/>
    <w:rsid w:val="003B4B12"/>
    <w:rsid w:val="003B4CC1"/>
    <w:rsid w:val="003B4DE9"/>
    <w:rsid w:val="003B4DF6"/>
    <w:rsid w:val="003B5078"/>
    <w:rsid w:val="003B508B"/>
    <w:rsid w:val="003B517A"/>
    <w:rsid w:val="003B52A8"/>
    <w:rsid w:val="003B537F"/>
    <w:rsid w:val="003B53E1"/>
    <w:rsid w:val="003B5494"/>
    <w:rsid w:val="003B55AB"/>
    <w:rsid w:val="003B55D7"/>
    <w:rsid w:val="003B55EB"/>
    <w:rsid w:val="003B5B4E"/>
    <w:rsid w:val="003B5C2C"/>
    <w:rsid w:val="003B5C69"/>
    <w:rsid w:val="003B5F63"/>
    <w:rsid w:val="003B612C"/>
    <w:rsid w:val="003B61E5"/>
    <w:rsid w:val="003B6214"/>
    <w:rsid w:val="003B62FD"/>
    <w:rsid w:val="003B6382"/>
    <w:rsid w:val="003B663F"/>
    <w:rsid w:val="003B66B8"/>
    <w:rsid w:val="003B6B12"/>
    <w:rsid w:val="003B6D80"/>
    <w:rsid w:val="003B6E08"/>
    <w:rsid w:val="003B6E4D"/>
    <w:rsid w:val="003B71E1"/>
    <w:rsid w:val="003B72CD"/>
    <w:rsid w:val="003B75A6"/>
    <w:rsid w:val="003B75D1"/>
    <w:rsid w:val="003B7686"/>
    <w:rsid w:val="003B7688"/>
    <w:rsid w:val="003B785D"/>
    <w:rsid w:val="003B78C6"/>
    <w:rsid w:val="003C0219"/>
    <w:rsid w:val="003C030D"/>
    <w:rsid w:val="003C053C"/>
    <w:rsid w:val="003C0763"/>
    <w:rsid w:val="003C087D"/>
    <w:rsid w:val="003C096F"/>
    <w:rsid w:val="003C0A82"/>
    <w:rsid w:val="003C0B28"/>
    <w:rsid w:val="003C0DE9"/>
    <w:rsid w:val="003C104F"/>
    <w:rsid w:val="003C1067"/>
    <w:rsid w:val="003C1208"/>
    <w:rsid w:val="003C126B"/>
    <w:rsid w:val="003C1443"/>
    <w:rsid w:val="003C18D5"/>
    <w:rsid w:val="003C1BDA"/>
    <w:rsid w:val="003C1C16"/>
    <w:rsid w:val="003C1EA2"/>
    <w:rsid w:val="003C1F15"/>
    <w:rsid w:val="003C1F3F"/>
    <w:rsid w:val="003C216F"/>
    <w:rsid w:val="003C217D"/>
    <w:rsid w:val="003C22D7"/>
    <w:rsid w:val="003C23CF"/>
    <w:rsid w:val="003C24C4"/>
    <w:rsid w:val="003C24FE"/>
    <w:rsid w:val="003C266F"/>
    <w:rsid w:val="003C2AE3"/>
    <w:rsid w:val="003C2BD2"/>
    <w:rsid w:val="003C2D84"/>
    <w:rsid w:val="003C2EDD"/>
    <w:rsid w:val="003C302D"/>
    <w:rsid w:val="003C3111"/>
    <w:rsid w:val="003C3209"/>
    <w:rsid w:val="003C3322"/>
    <w:rsid w:val="003C3644"/>
    <w:rsid w:val="003C3927"/>
    <w:rsid w:val="003C3B01"/>
    <w:rsid w:val="003C3BDC"/>
    <w:rsid w:val="003C3C28"/>
    <w:rsid w:val="003C3D76"/>
    <w:rsid w:val="003C3F20"/>
    <w:rsid w:val="003C4161"/>
    <w:rsid w:val="003C4597"/>
    <w:rsid w:val="003C461C"/>
    <w:rsid w:val="003C4793"/>
    <w:rsid w:val="003C49E6"/>
    <w:rsid w:val="003C4E2F"/>
    <w:rsid w:val="003C52F6"/>
    <w:rsid w:val="003C531E"/>
    <w:rsid w:val="003C56AD"/>
    <w:rsid w:val="003C56E0"/>
    <w:rsid w:val="003C593E"/>
    <w:rsid w:val="003C5BF6"/>
    <w:rsid w:val="003C5C52"/>
    <w:rsid w:val="003C5DAA"/>
    <w:rsid w:val="003C5F34"/>
    <w:rsid w:val="003C5F53"/>
    <w:rsid w:val="003C62D2"/>
    <w:rsid w:val="003C63C0"/>
    <w:rsid w:val="003C63E8"/>
    <w:rsid w:val="003C6464"/>
    <w:rsid w:val="003C653D"/>
    <w:rsid w:val="003C667E"/>
    <w:rsid w:val="003C6755"/>
    <w:rsid w:val="003C6A53"/>
    <w:rsid w:val="003C6EBE"/>
    <w:rsid w:val="003C70CB"/>
    <w:rsid w:val="003C72DC"/>
    <w:rsid w:val="003C72F1"/>
    <w:rsid w:val="003C7397"/>
    <w:rsid w:val="003C7647"/>
    <w:rsid w:val="003C7648"/>
    <w:rsid w:val="003C76F9"/>
    <w:rsid w:val="003C7793"/>
    <w:rsid w:val="003C78E5"/>
    <w:rsid w:val="003C7930"/>
    <w:rsid w:val="003C7C48"/>
    <w:rsid w:val="003C7D31"/>
    <w:rsid w:val="003C7E36"/>
    <w:rsid w:val="003C7FB8"/>
    <w:rsid w:val="003D0014"/>
    <w:rsid w:val="003D022F"/>
    <w:rsid w:val="003D04C3"/>
    <w:rsid w:val="003D04CD"/>
    <w:rsid w:val="003D05A1"/>
    <w:rsid w:val="003D0662"/>
    <w:rsid w:val="003D069C"/>
    <w:rsid w:val="003D091D"/>
    <w:rsid w:val="003D093B"/>
    <w:rsid w:val="003D0A15"/>
    <w:rsid w:val="003D0DE4"/>
    <w:rsid w:val="003D102D"/>
    <w:rsid w:val="003D13DC"/>
    <w:rsid w:val="003D15F5"/>
    <w:rsid w:val="003D16B3"/>
    <w:rsid w:val="003D1745"/>
    <w:rsid w:val="003D1968"/>
    <w:rsid w:val="003D1A26"/>
    <w:rsid w:val="003D1ABA"/>
    <w:rsid w:val="003D1B9C"/>
    <w:rsid w:val="003D1F38"/>
    <w:rsid w:val="003D1FC8"/>
    <w:rsid w:val="003D2221"/>
    <w:rsid w:val="003D229D"/>
    <w:rsid w:val="003D2307"/>
    <w:rsid w:val="003D237C"/>
    <w:rsid w:val="003D23CD"/>
    <w:rsid w:val="003D23E4"/>
    <w:rsid w:val="003D26AE"/>
    <w:rsid w:val="003D283D"/>
    <w:rsid w:val="003D2B8E"/>
    <w:rsid w:val="003D2C12"/>
    <w:rsid w:val="003D2C3B"/>
    <w:rsid w:val="003D2E1F"/>
    <w:rsid w:val="003D2E48"/>
    <w:rsid w:val="003D30E2"/>
    <w:rsid w:val="003D316A"/>
    <w:rsid w:val="003D3339"/>
    <w:rsid w:val="003D33B8"/>
    <w:rsid w:val="003D34AD"/>
    <w:rsid w:val="003D3763"/>
    <w:rsid w:val="003D3BF0"/>
    <w:rsid w:val="003D3C7C"/>
    <w:rsid w:val="003D3DBE"/>
    <w:rsid w:val="003D3F5F"/>
    <w:rsid w:val="003D4242"/>
    <w:rsid w:val="003D4249"/>
    <w:rsid w:val="003D42AF"/>
    <w:rsid w:val="003D4473"/>
    <w:rsid w:val="003D44A7"/>
    <w:rsid w:val="003D44D4"/>
    <w:rsid w:val="003D455E"/>
    <w:rsid w:val="003D4781"/>
    <w:rsid w:val="003D491E"/>
    <w:rsid w:val="003D499A"/>
    <w:rsid w:val="003D49B2"/>
    <w:rsid w:val="003D4A95"/>
    <w:rsid w:val="003D4CE4"/>
    <w:rsid w:val="003D4F25"/>
    <w:rsid w:val="003D4F3F"/>
    <w:rsid w:val="003D5020"/>
    <w:rsid w:val="003D503D"/>
    <w:rsid w:val="003D5485"/>
    <w:rsid w:val="003D5790"/>
    <w:rsid w:val="003D57ED"/>
    <w:rsid w:val="003D581F"/>
    <w:rsid w:val="003D594C"/>
    <w:rsid w:val="003D5AAA"/>
    <w:rsid w:val="003D5B69"/>
    <w:rsid w:val="003D5C6C"/>
    <w:rsid w:val="003D5F32"/>
    <w:rsid w:val="003D5F67"/>
    <w:rsid w:val="003D60D8"/>
    <w:rsid w:val="003D62BC"/>
    <w:rsid w:val="003D6602"/>
    <w:rsid w:val="003D6690"/>
    <w:rsid w:val="003D66BF"/>
    <w:rsid w:val="003D674F"/>
    <w:rsid w:val="003D675A"/>
    <w:rsid w:val="003D678E"/>
    <w:rsid w:val="003D67D2"/>
    <w:rsid w:val="003D69F4"/>
    <w:rsid w:val="003D6C13"/>
    <w:rsid w:val="003D6D00"/>
    <w:rsid w:val="003D6D3B"/>
    <w:rsid w:val="003D6DC1"/>
    <w:rsid w:val="003D6DEB"/>
    <w:rsid w:val="003D6FC5"/>
    <w:rsid w:val="003D6FE3"/>
    <w:rsid w:val="003D7328"/>
    <w:rsid w:val="003D73B5"/>
    <w:rsid w:val="003D77A6"/>
    <w:rsid w:val="003D7B3B"/>
    <w:rsid w:val="003D7C7C"/>
    <w:rsid w:val="003D7C88"/>
    <w:rsid w:val="003D7D9F"/>
    <w:rsid w:val="003D7DEE"/>
    <w:rsid w:val="003D7EC6"/>
    <w:rsid w:val="003E01D8"/>
    <w:rsid w:val="003E01DE"/>
    <w:rsid w:val="003E0300"/>
    <w:rsid w:val="003E0903"/>
    <w:rsid w:val="003E0A1A"/>
    <w:rsid w:val="003E0A1B"/>
    <w:rsid w:val="003E0DF9"/>
    <w:rsid w:val="003E0EE6"/>
    <w:rsid w:val="003E1289"/>
    <w:rsid w:val="003E138A"/>
    <w:rsid w:val="003E15B4"/>
    <w:rsid w:val="003E18A3"/>
    <w:rsid w:val="003E1DF5"/>
    <w:rsid w:val="003E1EA3"/>
    <w:rsid w:val="003E220A"/>
    <w:rsid w:val="003E245D"/>
    <w:rsid w:val="003E24AE"/>
    <w:rsid w:val="003E26C3"/>
    <w:rsid w:val="003E27B9"/>
    <w:rsid w:val="003E27C5"/>
    <w:rsid w:val="003E29C0"/>
    <w:rsid w:val="003E2BA2"/>
    <w:rsid w:val="003E2CC5"/>
    <w:rsid w:val="003E2E13"/>
    <w:rsid w:val="003E2E52"/>
    <w:rsid w:val="003E2E89"/>
    <w:rsid w:val="003E2F31"/>
    <w:rsid w:val="003E3013"/>
    <w:rsid w:val="003E31D2"/>
    <w:rsid w:val="003E340A"/>
    <w:rsid w:val="003E3573"/>
    <w:rsid w:val="003E371D"/>
    <w:rsid w:val="003E3A58"/>
    <w:rsid w:val="003E3A7F"/>
    <w:rsid w:val="003E3EAA"/>
    <w:rsid w:val="003E3EE7"/>
    <w:rsid w:val="003E3F8B"/>
    <w:rsid w:val="003E4102"/>
    <w:rsid w:val="003E422E"/>
    <w:rsid w:val="003E427D"/>
    <w:rsid w:val="003E42A3"/>
    <w:rsid w:val="003E432A"/>
    <w:rsid w:val="003E4407"/>
    <w:rsid w:val="003E4B08"/>
    <w:rsid w:val="003E4E13"/>
    <w:rsid w:val="003E4E6D"/>
    <w:rsid w:val="003E4F1E"/>
    <w:rsid w:val="003E523B"/>
    <w:rsid w:val="003E54B3"/>
    <w:rsid w:val="003E590C"/>
    <w:rsid w:val="003E5A0D"/>
    <w:rsid w:val="003E5A53"/>
    <w:rsid w:val="003E5A97"/>
    <w:rsid w:val="003E5F64"/>
    <w:rsid w:val="003E65E7"/>
    <w:rsid w:val="003E6757"/>
    <w:rsid w:val="003E6917"/>
    <w:rsid w:val="003E6DCC"/>
    <w:rsid w:val="003E7091"/>
    <w:rsid w:val="003E7127"/>
    <w:rsid w:val="003E71C9"/>
    <w:rsid w:val="003E74E8"/>
    <w:rsid w:val="003E78E6"/>
    <w:rsid w:val="003E7944"/>
    <w:rsid w:val="003E7A0D"/>
    <w:rsid w:val="003E7BA0"/>
    <w:rsid w:val="003E7C0E"/>
    <w:rsid w:val="003E7CD6"/>
    <w:rsid w:val="003E7D1A"/>
    <w:rsid w:val="003F01A5"/>
    <w:rsid w:val="003F037C"/>
    <w:rsid w:val="003F03A3"/>
    <w:rsid w:val="003F0475"/>
    <w:rsid w:val="003F04F0"/>
    <w:rsid w:val="003F0576"/>
    <w:rsid w:val="003F05AD"/>
    <w:rsid w:val="003F067D"/>
    <w:rsid w:val="003F0CF7"/>
    <w:rsid w:val="003F0F6A"/>
    <w:rsid w:val="003F109E"/>
    <w:rsid w:val="003F13D6"/>
    <w:rsid w:val="003F1469"/>
    <w:rsid w:val="003F1988"/>
    <w:rsid w:val="003F1AA2"/>
    <w:rsid w:val="003F1AB5"/>
    <w:rsid w:val="003F206F"/>
    <w:rsid w:val="003F23AB"/>
    <w:rsid w:val="003F241C"/>
    <w:rsid w:val="003F25F3"/>
    <w:rsid w:val="003F25FC"/>
    <w:rsid w:val="003F2730"/>
    <w:rsid w:val="003F27E8"/>
    <w:rsid w:val="003F296D"/>
    <w:rsid w:val="003F2B9A"/>
    <w:rsid w:val="003F2C9E"/>
    <w:rsid w:val="003F2FC9"/>
    <w:rsid w:val="003F31E9"/>
    <w:rsid w:val="003F33F6"/>
    <w:rsid w:val="003F35D8"/>
    <w:rsid w:val="003F397E"/>
    <w:rsid w:val="003F3B48"/>
    <w:rsid w:val="003F3BBD"/>
    <w:rsid w:val="003F3C24"/>
    <w:rsid w:val="003F3CDF"/>
    <w:rsid w:val="003F3D5E"/>
    <w:rsid w:val="003F3F02"/>
    <w:rsid w:val="003F405A"/>
    <w:rsid w:val="003F40C6"/>
    <w:rsid w:val="003F41B2"/>
    <w:rsid w:val="003F441C"/>
    <w:rsid w:val="003F4495"/>
    <w:rsid w:val="003F4580"/>
    <w:rsid w:val="003F45A6"/>
    <w:rsid w:val="003F46BD"/>
    <w:rsid w:val="003F48D2"/>
    <w:rsid w:val="003F496B"/>
    <w:rsid w:val="003F4AB2"/>
    <w:rsid w:val="003F4AF7"/>
    <w:rsid w:val="003F4B55"/>
    <w:rsid w:val="003F4D2F"/>
    <w:rsid w:val="003F52E0"/>
    <w:rsid w:val="003F5512"/>
    <w:rsid w:val="003F5539"/>
    <w:rsid w:val="003F5616"/>
    <w:rsid w:val="003F57BA"/>
    <w:rsid w:val="003F5B1A"/>
    <w:rsid w:val="003F5E44"/>
    <w:rsid w:val="003F6044"/>
    <w:rsid w:val="003F64F5"/>
    <w:rsid w:val="003F655B"/>
    <w:rsid w:val="003F66F2"/>
    <w:rsid w:val="003F6895"/>
    <w:rsid w:val="003F6B0B"/>
    <w:rsid w:val="003F6B0E"/>
    <w:rsid w:val="003F6C57"/>
    <w:rsid w:val="003F6C6B"/>
    <w:rsid w:val="003F6C7C"/>
    <w:rsid w:val="003F6D76"/>
    <w:rsid w:val="003F705E"/>
    <w:rsid w:val="003F7181"/>
    <w:rsid w:val="003F7201"/>
    <w:rsid w:val="003F74F6"/>
    <w:rsid w:val="003F7572"/>
    <w:rsid w:val="003F7822"/>
    <w:rsid w:val="003F7A75"/>
    <w:rsid w:val="003F7C7D"/>
    <w:rsid w:val="003F7E14"/>
    <w:rsid w:val="003F7F8C"/>
    <w:rsid w:val="00400118"/>
    <w:rsid w:val="00400132"/>
    <w:rsid w:val="00400253"/>
    <w:rsid w:val="00400365"/>
    <w:rsid w:val="0040038A"/>
    <w:rsid w:val="0040047A"/>
    <w:rsid w:val="004004D5"/>
    <w:rsid w:val="00400566"/>
    <w:rsid w:val="004006DB"/>
    <w:rsid w:val="004007C4"/>
    <w:rsid w:val="00400803"/>
    <w:rsid w:val="00400863"/>
    <w:rsid w:val="004008E1"/>
    <w:rsid w:val="0040099A"/>
    <w:rsid w:val="004009BE"/>
    <w:rsid w:val="00400A75"/>
    <w:rsid w:val="00400BE7"/>
    <w:rsid w:val="00400DD8"/>
    <w:rsid w:val="00400DEC"/>
    <w:rsid w:val="00400FE6"/>
    <w:rsid w:val="00401043"/>
    <w:rsid w:val="0040109B"/>
    <w:rsid w:val="004010F3"/>
    <w:rsid w:val="004010F9"/>
    <w:rsid w:val="00401124"/>
    <w:rsid w:val="004011AA"/>
    <w:rsid w:val="00401638"/>
    <w:rsid w:val="004016D8"/>
    <w:rsid w:val="00401B8C"/>
    <w:rsid w:val="00401D99"/>
    <w:rsid w:val="00401EE0"/>
    <w:rsid w:val="00402042"/>
    <w:rsid w:val="00402060"/>
    <w:rsid w:val="004022FA"/>
    <w:rsid w:val="00402367"/>
    <w:rsid w:val="004023AB"/>
    <w:rsid w:val="004023EB"/>
    <w:rsid w:val="004025AF"/>
    <w:rsid w:val="0040288C"/>
    <w:rsid w:val="00402B61"/>
    <w:rsid w:val="00402BDA"/>
    <w:rsid w:val="00402C45"/>
    <w:rsid w:val="00402CBB"/>
    <w:rsid w:val="00402CCE"/>
    <w:rsid w:val="00402F50"/>
    <w:rsid w:val="00402FD0"/>
    <w:rsid w:val="0040312B"/>
    <w:rsid w:val="004032F2"/>
    <w:rsid w:val="0040338F"/>
    <w:rsid w:val="0040344E"/>
    <w:rsid w:val="0040363A"/>
    <w:rsid w:val="00403742"/>
    <w:rsid w:val="00403A13"/>
    <w:rsid w:val="00403C47"/>
    <w:rsid w:val="00403EF5"/>
    <w:rsid w:val="00403F85"/>
    <w:rsid w:val="0040413C"/>
    <w:rsid w:val="00404219"/>
    <w:rsid w:val="00404263"/>
    <w:rsid w:val="004043A6"/>
    <w:rsid w:val="004047AB"/>
    <w:rsid w:val="00404838"/>
    <w:rsid w:val="004049D7"/>
    <w:rsid w:val="00404A8A"/>
    <w:rsid w:val="00404BFB"/>
    <w:rsid w:val="00405268"/>
    <w:rsid w:val="004052E2"/>
    <w:rsid w:val="004054E2"/>
    <w:rsid w:val="00405593"/>
    <w:rsid w:val="0040583B"/>
    <w:rsid w:val="00405873"/>
    <w:rsid w:val="004058B2"/>
    <w:rsid w:val="00405957"/>
    <w:rsid w:val="00405A41"/>
    <w:rsid w:val="00405AB5"/>
    <w:rsid w:val="00405BD8"/>
    <w:rsid w:val="00405E60"/>
    <w:rsid w:val="00405F5C"/>
    <w:rsid w:val="0040614D"/>
    <w:rsid w:val="00406189"/>
    <w:rsid w:val="00406278"/>
    <w:rsid w:val="004062FE"/>
    <w:rsid w:val="004064CE"/>
    <w:rsid w:val="0040664D"/>
    <w:rsid w:val="0040667F"/>
    <w:rsid w:val="00406B1A"/>
    <w:rsid w:val="00406B77"/>
    <w:rsid w:val="00406C69"/>
    <w:rsid w:val="00406C99"/>
    <w:rsid w:val="00406CE8"/>
    <w:rsid w:val="00406D30"/>
    <w:rsid w:val="00406FF7"/>
    <w:rsid w:val="0040734F"/>
    <w:rsid w:val="00407364"/>
    <w:rsid w:val="00407651"/>
    <w:rsid w:val="00407721"/>
    <w:rsid w:val="00407A1D"/>
    <w:rsid w:val="00407B25"/>
    <w:rsid w:val="00407C31"/>
    <w:rsid w:val="004100C9"/>
    <w:rsid w:val="00410473"/>
    <w:rsid w:val="00410B03"/>
    <w:rsid w:val="00410B16"/>
    <w:rsid w:val="00410B29"/>
    <w:rsid w:val="00410C1A"/>
    <w:rsid w:val="00410C98"/>
    <w:rsid w:val="00410CAA"/>
    <w:rsid w:val="00410DCE"/>
    <w:rsid w:val="00410DD5"/>
    <w:rsid w:val="00410F13"/>
    <w:rsid w:val="0041113D"/>
    <w:rsid w:val="004111C6"/>
    <w:rsid w:val="0041138B"/>
    <w:rsid w:val="004113C6"/>
    <w:rsid w:val="00411717"/>
    <w:rsid w:val="00411866"/>
    <w:rsid w:val="0041186B"/>
    <w:rsid w:val="004118FC"/>
    <w:rsid w:val="00411BE4"/>
    <w:rsid w:val="00411D7F"/>
    <w:rsid w:val="00411F85"/>
    <w:rsid w:val="00412139"/>
    <w:rsid w:val="0041214B"/>
    <w:rsid w:val="004121DF"/>
    <w:rsid w:val="00412207"/>
    <w:rsid w:val="00412244"/>
    <w:rsid w:val="00412509"/>
    <w:rsid w:val="004125F0"/>
    <w:rsid w:val="0041262F"/>
    <w:rsid w:val="004129BF"/>
    <w:rsid w:val="00412A58"/>
    <w:rsid w:val="00412AA5"/>
    <w:rsid w:val="00412C1B"/>
    <w:rsid w:val="00412DA3"/>
    <w:rsid w:val="00412F1D"/>
    <w:rsid w:val="00412F4D"/>
    <w:rsid w:val="0041328B"/>
    <w:rsid w:val="004136F3"/>
    <w:rsid w:val="00413768"/>
    <w:rsid w:val="00413B72"/>
    <w:rsid w:val="00413D39"/>
    <w:rsid w:val="00413DDC"/>
    <w:rsid w:val="00413E16"/>
    <w:rsid w:val="00414091"/>
    <w:rsid w:val="00414256"/>
    <w:rsid w:val="004143A2"/>
    <w:rsid w:val="00414445"/>
    <w:rsid w:val="0041454D"/>
    <w:rsid w:val="004145B8"/>
    <w:rsid w:val="00414790"/>
    <w:rsid w:val="004147FE"/>
    <w:rsid w:val="004148AD"/>
    <w:rsid w:val="004148F2"/>
    <w:rsid w:val="00414A40"/>
    <w:rsid w:val="00414B01"/>
    <w:rsid w:val="00414B53"/>
    <w:rsid w:val="00414BDF"/>
    <w:rsid w:val="00414CA1"/>
    <w:rsid w:val="00414E70"/>
    <w:rsid w:val="00414ECC"/>
    <w:rsid w:val="00414F83"/>
    <w:rsid w:val="00415046"/>
    <w:rsid w:val="004152B5"/>
    <w:rsid w:val="0041559B"/>
    <w:rsid w:val="0041570E"/>
    <w:rsid w:val="00415D63"/>
    <w:rsid w:val="00415DAD"/>
    <w:rsid w:val="00415E8A"/>
    <w:rsid w:val="00415F3B"/>
    <w:rsid w:val="004164C2"/>
    <w:rsid w:val="004167C9"/>
    <w:rsid w:val="0041684F"/>
    <w:rsid w:val="0041688C"/>
    <w:rsid w:val="00416A91"/>
    <w:rsid w:val="00416E11"/>
    <w:rsid w:val="004172C1"/>
    <w:rsid w:val="00417327"/>
    <w:rsid w:val="004174FD"/>
    <w:rsid w:val="00417596"/>
    <w:rsid w:val="0041777A"/>
    <w:rsid w:val="00417850"/>
    <w:rsid w:val="00417911"/>
    <w:rsid w:val="00417BE5"/>
    <w:rsid w:val="00417C2C"/>
    <w:rsid w:val="00417DE9"/>
    <w:rsid w:val="00417EA3"/>
    <w:rsid w:val="00417FB2"/>
    <w:rsid w:val="0042020A"/>
    <w:rsid w:val="00420222"/>
    <w:rsid w:val="00420286"/>
    <w:rsid w:val="0042056D"/>
    <w:rsid w:val="00420667"/>
    <w:rsid w:val="004206C7"/>
    <w:rsid w:val="004208B5"/>
    <w:rsid w:val="0042095D"/>
    <w:rsid w:val="00420966"/>
    <w:rsid w:val="00420A2A"/>
    <w:rsid w:val="00420AD1"/>
    <w:rsid w:val="00420B9B"/>
    <w:rsid w:val="00420CF7"/>
    <w:rsid w:val="00420D56"/>
    <w:rsid w:val="00420E0A"/>
    <w:rsid w:val="00420EC0"/>
    <w:rsid w:val="00420F35"/>
    <w:rsid w:val="00421274"/>
    <w:rsid w:val="00421380"/>
    <w:rsid w:val="004218EF"/>
    <w:rsid w:val="0042197A"/>
    <w:rsid w:val="00422014"/>
    <w:rsid w:val="00422107"/>
    <w:rsid w:val="0042211B"/>
    <w:rsid w:val="0042232C"/>
    <w:rsid w:val="0042258C"/>
    <w:rsid w:val="00422740"/>
    <w:rsid w:val="004227B5"/>
    <w:rsid w:val="00422A49"/>
    <w:rsid w:val="00422A59"/>
    <w:rsid w:val="00422C3B"/>
    <w:rsid w:val="00422D3D"/>
    <w:rsid w:val="00422F60"/>
    <w:rsid w:val="00423022"/>
    <w:rsid w:val="0042390D"/>
    <w:rsid w:val="00423957"/>
    <w:rsid w:val="00423BB5"/>
    <w:rsid w:val="00423E28"/>
    <w:rsid w:val="00424337"/>
    <w:rsid w:val="00424346"/>
    <w:rsid w:val="0042442C"/>
    <w:rsid w:val="00424472"/>
    <w:rsid w:val="00424573"/>
    <w:rsid w:val="00424658"/>
    <w:rsid w:val="00424751"/>
    <w:rsid w:val="0042483B"/>
    <w:rsid w:val="00424958"/>
    <w:rsid w:val="00424964"/>
    <w:rsid w:val="00424A0E"/>
    <w:rsid w:val="00424D78"/>
    <w:rsid w:val="00424ED6"/>
    <w:rsid w:val="00424F28"/>
    <w:rsid w:val="00424FC5"/>
    <w:rsid w:val="00425166"/>
    <w:rsid w:val="004251B2"/>
    <w:rsid w:val="00425873"/>
    <w:rsid w:val="00425A1B"/>
    <w:rsid w:val="00425CB4"/>
    <w:rsid w:val="00425EB2"/>
    <w:rsid w:val="00425EEC"/>
    <w:rsid w:val="00425EF4"/>
    <w:rsid w:val="00425EFE"/>
    <w:rsid w:val="00425FD9"/>
    <w:rsid w:val="00426049"/>
    <w:rsid w:val="004260B8"/>
    <w:rsid w:val="004260C3"/>
    <w:rsid w:val="004265B7"/>
    <w:rsid w:val="0042675A"/>
    <w:rsid w:val="00426B8B"/>
    <w:rsid w:val="00426BF4"/>
    <w:rsid w:val="00426E67"/>
    <w:rsid w:val="00426F60"/>
    <w:rsid w:val="00426F82"/>
    <w:rsid w:val="00426F89"/>
    <w:rsid w:val="004271EE"/>
    <w:rsid w:val="0042783E"/>
    <w:rsid w:val="004279C1"/>
    <w:rsid w:val="00427D7E"/>
    <w:rsid w:val="00427E4B"/>
    <w:rsid w:val="00427FB1"/>
    <w:rsid w:val="0043007B"/>
    <w:rsid w:val="004303C0"/>
    <w:rsid w:val="0043069D"/>
    <w:rsid w:val="00430B1F"/>
    <w:rsid w:val="00430B3A"/>
    <w:rsid w:val="00430E62"/>
    <w:rsid w:val="00430EE6"/>
    <w:rsid w:val="00430F18"/>
    <w:rsid w:val="0043122F"/>
    <w:rsid w:val="00431282"/>
    <w:rsid w:val="004312B8"/>
    <w:rsid w:val="0043196F"/>
    <w:rsid w:val="004319F8"/>
    <w:rsid w:val="00431BEA"/>
    <w:rsid w:val="00431C46"/>
    <w:rsid w:val="00431C9C"/>
    <w:rsid w:val="00431CE2"/>
    <w:rsid w:val="00431D93"/>
    <w:rsid w:val="00431F9A"/>
    <w:rsid w:val="0043204D"/>
    <w:rsid w:val="0043223C"/>
    <w:rsid w:val="0043233D"/>
    <w:rsid w:val="0043246A"/>
    <w:rsid w:val="004328D3"/>
    <w:rsid w:val="00432ADA"/>
    <w:rsid w:val="00432B88"/>
    <w:rsid w:val="004330AE"/>
    <w:rsid w:val="0043311A"/>
    <w:rsid w:val="00433195"/>
    <w:rsid w:val="00433425"/>
    <w:rsid w:val="004334D5"/>
    <w:rsid w:val="004335C7"/>
    <w:rsid w:val="0043367B"/>
    <w:rsid w:val="004336A6"/>
    <w:rsid w:val="004337A3"/>
    <w:rsid w:val="00433A92"/>
    <w:rsid w:val="00433FED"/>
    <w:rsid w:val="004345D7"/>
    <w:rsid w:val="004346BD"/>
    <w:rsid w:val="00434897"/>
    <w:rsid w:val="0043497D"/>
    <w:rsid w:val="00434AF8"/>
    <w:rsid w:val="00434B6B"/>
    <w:rsid w:val="00434E8B"/>
    <w:rsid w:val="00434F9B"/>
    <w:rsid w:val="00435155"/>
    <w:rsid w:val="004353B5"/>
    <w:rsid w:val="00435436"/>
    <w:rsid w:val="00435643"/>
    <w:rsid w:val="0043587B"/>
    <w:rsid w:val="00435914"/>
    <w:rsid w:val="00435CF3"/>
    <w:rsid w:val="00435E5D"/>
    <w:rsid w:val="00435FAE"/>
    <w:rsid w:val="00435FF4"/>
    <w:rsid w:val="00436079"/>
    <w:rsid w:val="004360FE"/>
    <w:rsid w:val="004361A5"/>
    <w:rsid w:val="00436238"/>
    <w:rsid w:val="004362BC"/>
    <w:rsid w:val="004366E9"/>
    <w:rsid w:val="0043670B"/>
    <w:rsid w:val="00436B0D"/>
    <w:rsid w:val="00436E8B"/>
    <w:rsid w:val="004371BE"/>
    <w:rsid w:val="00437256"/>
    <w:rsid w:val="004373EF"/>
    <w:rsid w:val="004375DE"/>
    <w:rsid w:val="00437660"/>
    <w:rsid w:val="004376D4"/>
    <w:rsid w:val="00437848"/>
    <w:rsid w:val="00437AFD"/>
    <w:rsid w:val="00437EA9"/>
    <w:rsid w:val="00437F8A"/>
    <w:rsid w:val="0043E546"/>
    <w:rsid w:val="00440122"/>
    <w:rsid w:val="004401D8"/>
    <w:rsid w:val="0044021E"/>
    <w:rsid w:val="004403CB"/>
    <w:rsid w:val="0044048B"/>
    <w:rsid w:val="004405D9"/>
    <w:rsid w:val="00440963"/>
    <w:rsid w:val="00440B23"/>
    <w:rsid w:val="00440C16"/>
    <w:rsid w:val="00440C4F"/>
    <w:rsid w:val="00440C6F"/>
    <w:rsid w:val="00440D10"/>
    <w:rsid w:val="00440D7E"/>
    <w:rsid w:val="00440F6F"/>
    <w:rsid w:val="00440FDD"/>
    <w:rsid w:val="004412CE"/>
    <w:rsid w:val="00441378"/>
    <w:rsid w:val="004413DE"/>
    <w:rsid w:val="0044146D"/>
    <w:rsid w:val="0044150B"/>
    <w:rsid w:val="00441725"/>
    <w:rsid w:val="00441969"/>
    <w:rsid w:val="004419B0"/>
    <w:rsid w:val="00441BC7"/>
    <w:rsid w:val="00441CBC"/>
    <w:rsid w:val="00441ED3"/>
    <w:rsid w:val="00442020"/>
    <w:rsid w:val="004421EC"/>
    <w:rsid w:val="00442319"/>
    <w:rsid w:val="004423EA"/>
    <w:rsid w:val="0044251B"/>
    <w:rsid w:val="0044257C"/>
    <w:rsid w:val="004425A1"/>
    <w:rsid w:val="00442602"/>
    <w:rsid w:val="00442661"/>
    <w:rsid w:val="00442A26"/>
    <w:rsid w:val="00442BDC"/>
    <w:rsid w:val="00442C37"/>
    <w:rsid w:val="00442E4F"/>
    <w:rsid w:val="00443101"/>
    <w:rsid w:val="004433E6"/>
    <w:rsid w:val="0044351D"/>
    <w:rsid w:val="00443557"/>
    <w:rsid w:val="004435A2"/>
    <w:rsid w:val="00443733"/>
    <w:rsid w:val="004437FA"/>
    <w:rsid w:val="004438F0"/>
    <w:rsid w:val="00443B5A"/>
    <w:rsid w:val="00444074"/>
    <w:rsid w:val="0044435B"/>
    <w:rsid w:val="0044439D"/>
    <w:rsid w:val="004444C7"/>
    <w:rsid w:val="004446CB"/>
    <w:rsid w:val="004446F8"/>
    <w:rsid w:val="00444802"/>
    <w:rsid w:val="004448FD"/>
    <w:rsid w:val="00444A87"/>
    <w:rsid w:val="00444ACE"/>
    <w:rsid w:val="0044523B"/>
    <w:rsid w:val="00445402"/>
    <w:rsid w:val="004455A0"/>
    <w:rsid w:val="004457B0"/>
    <w:rsid w:val="00445874"/>
    <w:rsid w:val="0044595E"/>
    <w:rsid w:val="004459F2"/>
    <w:rsid w:val="00445A37"/>
    <w:rsid w:val="00445CDC"/>
    <w:rsid w:val="00445DFC"/>
    <w:rsid w:val="00445E11"/>
    <w:rsid w:val="00445F7E"/>
    <w:rsid w:val="00446018"/>
    <w:rsid w:val="0044605B"/>
    <w:rsid w:val="004460BF"/>
    <w:rsid w:val="004460F4"/>
    <w:rsid w:val="00446210"/>
    <w:rsid w:val="00446240"/>
    <w:rsid w:val="004464AB"/>
    <w:rsid w:val="0044698A"/>
    <w:rsid w:val="00446AAD"/>
    <w:rsid w:val="00446C8A"/>
    <w:rsid w:val="00446D3D"/>
    <w:rsid w:val="00446DEA"/>
    <w:rsid w:val="00446EBC"/>
    <w:rsid w:val="00446F38"/>
    <w:rsid w:val="00446F6F"/>
    <w:rsid w:val="00446FF7"/>
    <w:rsid w:val="00447284"/>
    <w:rsid w:val="00447365"/>
    <w:rsid w:val="00447526"/>
    <w:rsid w:val="0044755D"/>
    <w:rsid w:val="00447B10"/>
    <w:rsid w:val="00447B78"/>
    <w:rsid w:val="00447B92"/>
    <w:rsid w:val="00447C1A"/>
    <w:rsid w:val="00447EAE"/>
    <w:rsid w:val="00447EDB"/>
    <w:rsid w:val="0045005B"/>
    <w:rsid w:val="00450124"/>
    <w:rsid w:val="0045034E"/>
    <w:rsid w:val="004504ED"/>
    <w:rsid w:val="004506DE"/>
    <w:rsid w:val="004507E0"/>
    <w:rsid w:val="00450831"/>
    <w:rsid w:val="00450BD5"/>
    <w:rsid w:val="00450D11"/>
    <w:rsid w:val="00450EC5"/>
    <w:rsid w:val="00450FF9"/>
    <w:rsid w:val="004511C8"/>
    <w:rsid w:val="004513CF"/>
    <w:rsid w:val="00451549"/>
    <w:rsid w:val="004517A4"/>
    <w:rsid w:val="004519AD"/>
    <w:rsid w:val="00452445"/>
    <w:rsid w:val="00452840"/>
    <w:rsid w:val="00452935"/>
    <w:rsid w:val="00452A22"/>
    <w:rsid w:val="00452BDA"/>
    <w:rsid w:val="00452CA3"/>
    <w:rsid w:val="00452DF9"/>
    <w:rsid w:val="004530DE"/>
    <w:rsid w:val="00453183"/>
    <w:rsid w:val="004531CF"/>
    <w:rsid w:val="004533AF"/>
    <w:rsid w:val="0045345A"/>
    <w:rsid w:val="00453499"/>
    <w:rsid w:val="0045353E"/>
    <w:rsid w:val="00453584"/>
    <w:rsid w:val="00453640"/>
    <w:rsid w:val="00453AC8"/>
    <w:rsid w:val="00453D11"/>
    <w:rsid w:val="00453E66"/>
    <w:rsid w:val="00454118"/>
    <w:rsid w:val="004541C4"/>
    <w:rsid w:val="00454510"/>
    <w:rsid w:val="00454763"/>
    <w:rsid w:val="00454790"/>
    <w:rsid w:val="004547E4"/>
    <w:rsid w:val="0045486E"/>
    <w:rsid w:val="004548A5"/>
    <w:rsid w:val="00454B3A"/>
    <w:rsid w:val="00454D28"/>
    <w:rsid w:val="00454FBD"/>
    <w:rsid w:val="00454FE4"/>
    <w:rsid w:val="0045537A"/>
    <w:rsid w:val="0045557E"/>
    <w:rsid w:val="004557C8"/>
    <w:rsid w:val="004557EA"/>
    <w:rsid w:val="00455873"/>
    <w:rsid w:val="00455A7C"/>
    <w:rsid w:val="00455DA9"/>
    <w:rsid w:val="00455DB2"/>
    <w:rsid w:val="00455FBC"/>
    <w:rsid w:val="00455FFA"/>
    <w:rsid w:val="004561A3"/>
    <w:rsid w:val="0045629D"/>
    <w:rsid w:val="004562A4"/>
    <w:rsid w:val="004563A3"/>
    <w:rsid w:val="004565E4"/>
    <w:rsid w:val="00456BBE"/>
    <w:rsid w:val="00457212"/>
    <w:rsid w:val="004572A5"/>
    <w:rsid w:val="004572A8"/>
    <w:rsid w:val="0045738E"/>
    <w:rsid w:val="004573E0"/>
    <w:rsid w:val="0045748F"/>
    <w:rsid w:val="004574F0"/>
    <w:rsid w:val="00457743"/>
    <w:rsid w:val="00457773"/>
    <w:rsid w:val="004577EC"/>
    <w:rsid w:val="004577F1"/>
    <w:rsid w:val="00457B0F"/>
    <w:rsid w:val="00457E52"/>
    <w:rsid w:val="0046001A"/>
    <w:rsid w:val="004605C0"/>
    <w:rsid w:val="00460740"/>
    <w:rsid w:val="00460936"/>
    <w:rsid w:val="004609ED"/>
    <w:rsid w:val="00460FCE"/>
    <w:rsid w:val="0046109A"/>
    <w:rsid w:val="004610BD"/>
    <w:rsid w:val="004610F7"/>
    <w:rsid w:val="004613D4"/>
    <w:rsid w:val="00461433"/>
    <w:rsid w:val="004615A7"/>
    <w:rsid w:val="0046170F"/>
    <w:rsid w:val="004617FD"/>
    <w:rsid w:val="0046182D"/>
    <w:rsid w:val="004619F9"/>
    <w:rsid w:val="00461B7E"/>
    <w:rsid w:val="00461E78"/>
    <w:rsid w:val="0046211A"/>
    <w:rsid w:val="00462137"/>
    <w:rsid w:val="0046231F"/>
    <w:rsid w:val="00462322"/>
    <w:rsid w:val="004624C8"/>
    <w:rsid w:val="004627E0"/>
    <w:rsid w:val="004629F0"/>
    <w:rsid w:val="00462D4E"/>
    <w:rsid w:val="00462E6E"/>
    <w:rsid w:val="00462EC1"/>
    <w:rsid w:val="00462EF2"/>
    <w:rsid w:val="00462F56"/>
    <w:rsid w:val="00463051"/>
    <w:rsid w:val="0046326C"/>
    <w:rsid w:val="004637D5"/>
    <w:rsid w:val="00463CEA"/>
    <w:rsid w:val="00463DB2"/>
    <w:rsid w:val="00463ED5"/>
    <w:rsid w:val="00463F2D"/>
    <w:rsid w:val="0046402F"/>
    <w:rsid w:val="00464159"/>
    <w:rsid w:val="004644D3"/>
    <w:rsid w:val="00464792"/>
    <w:rsid w:val="00464797"/>
    <w:rsid w:val="0046487C"/>
    <w:rsid w:val="00464D46"/>
    <w:rsid w:val="00464D82"/>
    <w:rsid w:val="00465010"/>
    <w:rsid w:val="004657E6"/>
    <w:rsid w:val="00465988"/>
    <w:rsid w:val="004659F6"/>
    <w:rsid w:val="00465A50"/>
    <w:rsid w:val="00465AA2"/>
    <w:rsid w:val="00465ABE"/>
    <w:rsid w:val="00465E80"/>
    <w:rsid w:val="0046602A"/>
    <w:rsid w:val="004661BB"/>
    <w:rsid w:val="004662A0"/>
    <w:rsid w:val="004662E2"/>
    <w:rsid w:val="004662F5"/>
    <w:rsid w:val="00466428"/>
    <w:rsid w:val="00466510"/>
    <w:rsid w:val="004668C5"/>
    <w:rsid w:val="00466949"/>
    <w:rsid w:val="00466AA9"/>
    <w:rsid w:val="00466BA4"/>
    <w:rsid w:val="00466CC0"/>
    <w:rsid w:val="00466DDF"/>
    <w:rsid w:val="00466EDF"/>
    <w:rsid w:val="00466F3D"/>
    <w:rsid w:val="00467028"/>
    <w:rsid w:val="00467091"/>
    <w:rsid w:val="00467136"/>
    <w:rsid w:val="0046735D"/>
    <w:rsid w:val="00467578"/>
    <w:rsid w:val="004676D9"/>
    <w:rsid w:val="004676E2"/>
    <w:rsid w:val="0046798C"/>
    <w:rsid w:val="00467C1F"/>
    <w:rsid w:val="00467E27"/>
    <w:rsid w:val="00467F73"/>
    <w:rsid w:val="00470121"/>
    <w:rsid w:val="004706AE"/>
    <w:rsid w:val="0047083D"/>
    <w:rsid w:val="004709E3"/>
    <w:rsid w:val="00470A92"/>
    <w:rsid w:val="00470AA1"/>
    <w:rsid w:val="00470AA7"/>
    <w:rsid w:val="00470AB3"/>
    <w:rsid w:val="00470B2D"/>
    <w:rsid w:val="00470BE7"/>
    <w:rsid w:val="00470DA3"/>
    <w:rsid w:val="00470E21"/>
    <w:rsid w:val="00470E52"/>
    <w:rsid w:val="00470ECE"/>
    <w:rsid w:val="00470FA8"/>
    <w:rsid w:val="004710D9"/>
    <w:rsid w:val="00471190"/>
    <w:rsid w:val="004712AA"/>
    <w:rsid w:val="0047158E"/>
    <w:rsid w:val="004716B8"/>
    <w:rsid w:val="004716D7"/>
    <w:rsid w:val="004716E9"/>
    <w:rsid w:val="0047178D"/>
    <w:rsid w:val="00471861"/>
    <w:rsid w:val="00471931"/>
    <w:rsid w:val="00471A96"/>
    <w:rsid w:val="00471CA5"/>
    <w:rsid w:val="00471DAA"/>
    <w:rsid w:val="00471F01"/>
    <w:rsid w:val="00471F3F"/>
    <w:rsid w:val="00471FBD"/>
    <w:rsid w:val="00472089"/>
    <w:rsid w:val="00472194"/>
    <w:rsid w:val="004721E9"/>
    <w:rsid w:val="00472522"/>
    <w:rsid w:val="00472751"/>
    <w:rsid w:val="00472797"/>
    <w:rsid w:val="004728C4"/>
    <w:rsid w:val="00472ADA"/>
    <w:rsid w:val="00472C8A"/>
    <w:rsid w:val="00472C93"/>
    <w:rsid w:val="00472CD8"/>
    <w:rsid w:val="00472D26"/>
    <w:rsid w:val="00472F88"/>
    <w:rsid w:val="00472FC5"/>
    <w:rsid w:val="00473189"/>
    <w:rsid w:val="0047325F"/>
    <w:rsid w:val="004732FE"/>
    <w:rsid w:val="004733F6"/>
    <w:rsid w:val="004734EC"/>
    <w:rsid w:val="00473596"/>
    <w:rsid w:val="004736F8"/>
    <w:rsid w:val="00473965"/>
    <w:rsid w:val="004739DC"/>
    <w:rsid w:val="00473AD6"/>
    <w:rsid w:val="00473EAC"/>
    <w:rsid w:val="004743BD"/>
    <w:rsid w:val="00474423"/>
    <w:rsid w:val="004746BF"/>
    <w:rsid w:val="00474E0C"/>
    <w:rsid w:val="00474E43"/>
    <w:rsid w:val="00474FED"/>
    <w:rsid w:val="0047525C"/>
    <w:rsid w:val="004756A9"/>
    <w:rsid w:val="0047590B"/>
    <w:rsid w:val="00475920"/>
    <w:rsid w:val="00475998"/>
    <w:rsid w:val="00475A15"/>
    <w:rsid w:val="00475CBE"/>
    <w:rsid w:val="00475E55"/>
    <w:rsid w:val="00475E88"/>
    <w:rsid w:val="00475E89"/>
    <w:rsid w:val="00475EA5"/>
    <w:rsid w:val="00475F8C"/>
    <w:rsid w:val="004760A4"/>
    <w:rsid w:val="004761F9"/>
    <w:rsid w:val="0047622B"/>
    <w:rsid w:val="0047639D"/>
    <w:rsid w:val="004763F2"/>
    <w:rsid w:val="00476539"/>
    <w:rsid w:val="004765B2"/>
    <w:rsid w:val="00476622"/>
    <w:rsid w:val="00476800"/>
    <w:rsid w:val="00476CC3"/>
    <w:rsid w:val="00476D83"/>
    <w:rsid w:val="00476E87"/>
    <w:rsid w:val="00476F0E"/>
    <w:rsid w:val="00477127"/>
    <w:rsid w:val="00477786"/>
    <w:rsid w:val="00477B0F"/>
    <w:rsid w:val="00477BE6"/>
    <w:rsid w:val="00480155"/>
    <w:rsid w:val="004805F3"/>
    <w:rsid w:val="00480998"/>
    <w:rsid w:val="004809DF"/>
    <w:rsid w:val="00480A75"/>
    <w:rsid w:val="00480AA4"/>
    <w:rsid w:val="00480DBF"/>
    <w:rsid w:val="00480DEE"/>
    <w:rsid w:val="00481095"/>
    <w:rsid w:val="004810AB"/>
    <w:rsid w:val="00481219"/>
    <w:rsid w:val="00481478"/>
    <w:rsid w:val="004816D7"/>
    <w:rsid w:val="004817FA"/>
    <w:rsid w:val="00481A1C"/>
    <w:rsid w:val="00481A39"/>
    <w:rsid w:val="00481A55"/>
    <w:rsid w:val="00481F04"/>
    <w:rsid w:val="00482088"/>
    <w:rsid w:val="004821AD"/>
    <w:rsid w:val="004824B4"/>
    <w:rsid w:val="004828CB"/>
    <w:rsid w:val="00482935"/>
    <w:rsid w:val="0048299B"/>
    <w:rsid w:val="00482CC4"/>
    <w:rsid w:val="00482D73"/>
    <w:rsid w:val="00482E9E"/>
    <w:rsid w:val="004834B4"/>
    <w:rsid w:val="00483513"/>
    <w:rsid w:val="0048369D"/>
    <w:rsid w:val="004836D2"/>
    <w:rsid w:val="00483701"/>
    <w:rsid w:val="00483784"/>
    <w:rsid w:val="00483EBD"/>
    <w:rsid w:val="00483FCD"/>
    <w:rsid w:val="00484012"/>
    <w:rsid w:val="0048407F"/>
    <w:rsid w:val="0048410D"/>
    <w:rsid w:val="00484161"/>
    <w:rsid w:val="0048447B"/>
    <w:rsid w:val="0048450A"/>
    <w:rsid w:val="00484A77"/>
    <w:rsid w:val="00484B7A"/>
    <w:rsid w:val="00484B97"/>
    <w:rsid w:val="00484C84"/>
    <w:rsid w:val="00484D7E"/>
    <w:rsid w:val="00485018"/>
    <w:rsid w:val="004850A8"/>
    <w:rsid w:val="004850BD"/>
    <w:rsid w:val="00485324"/>
    <w:rsid w:val="0048532A"/>
    <w:rsid w:val="0048550E"/>
    <w:rsid w:val="00485788"/>
    <w:rsid w:val="00485912"/>
    <w:rsid w:val="004859C3"/>
    <w:rsid w:val="004859FD"/>
    <w:rsid w:val="00485A20"/>
    <w:rsid w:val="00485A48"/>
    <w:rsid w:val="00485A65"/>
    <w:rsid w:val="00485CB0"/>
    <w:rsid w:val="00485E55"/>
    <w:rsid w:val="00485EE9"/>
    <w:rsid w:val="00485F63"/>
    <w:rsid w:val="0048602A"/>
    <w:rsid w:val="00486137"/>
    <w:rsid w:val="00486253"/>
    <w:rsid w:val="0048625C"/>
    <w:rsid w:val="004865AE"/>
    <w:rsid w:val="004866BF"/>
    <w:rsid w:val="0048670A"/>
    <w:rsid w:val="00486968"/>
    <w:rsid w:val="00486AD5"/>
    <w:rsid w:val="00486C74"/>
    <w:rsid w:val="00486D67"/>
    <w:rsid w:val="00486F70"/>
    <w:rsid w:val="00487303"/>
    <w:rsid w:val="004873E4"/>
    <w:rsid w:val="00487412"/>
    <w:rsid w:val="00487456"/>
    <w:rsid w:val="004874A7"/>
    <w:rsid w:val="0048754C"/>
    <w:rsid w:val="0048778A"/>
    <w:rsid w:val="00487866"/>
    <w:rsid w:val="00487A9F"/>
    <w:rsid w:val="00487B47"/>
    <w:rsid w:val="00487C17"/>
    <w:rsid w:val="00487CB2"/>
    <w:rsid w:val="00487E4B"/>
    <w:rsid w:val="00487F20"/>
    <w:rsid w:val="0049006E"/>
    <w:rsid w:val="00490166"/>
    <w:rsid w:val="0049016C"/>
    <w:rsid w:val="004901E4"/>
    <w:rsid w:val="00490345"/>
    <w:rsid w:val="004904DA"/>
    <w:rsid w:val="00490581"/>
    <w:rsid w:val="004907F4"/>
    <w:rsid w:val="00490B12"/>
    <w:rsid w:val="00490B40"/>
    <w:rsid w:val="00490C0A"/>
    <w:rsid w:val="00490C76"/>
    <w:rsid w:val="00490E5C"/>
    <w:rsid w:val="00490E86"/>
    <w:rsid w:val="00490F4A"/>
    <w:rsid w:val="004911A6"/>
    <w:rsid w:val="004912AA"/>
    <w:rsid w:val="004912F2"/>
    <w:rsid w:val="004915F5"/>
    <w:rsid w:val="00491803"/>
    <w:rsid w:val="004919F4"/>
    <w:rsid w:val="00491A74"/>
    <w:rsid w:val="00491B36"/>
    <w:rsid w:val="00491E05"/>
    <w:rsid w:val="00491ED1"/>
    <w:rsid w:val="00491FF0"/>
    <w:rsid w:val="004921C1"/>
    <w:rsid w:val="004921F8"/>
    <w:rsid w:val="0049241B"/>
    <w:rsid w:val="00492646"/>
    <w:rsid w:val="0049270A"/>
    <w:rsid w:val="00492919"/>
    <w:rsid w:val="00492B87"/>
    <w:rsid w:val="00492B8C"/>
    <w:rsid w:val="00492FA9"/>
    <w:rsid w:val="004932C8"/>
    <w:rsid w:val="00493402"/>
    <w:rsid w:val="004934DE"/>
    <w:rsid w:val="004935BA"/>
    <w:rsid w:val="00493726"/>
    <w:rsid w:val="00493877"/>
    <w:rsid w:val="0049396A"/>
    <w:rsid w:val="00493C18"/>
    <w:rsid w:val="00493C48"/>
    <w:rsid w:val="00493DBD"/>
    <w:rsid w:val="00493E2C"/>
    <w:rsid w:val="0049413E"/>
    <w:rsid w:val="004941C2"/>
    <w:rsid w:val="004942D4"/>
    <w:rsid w:val="00494392"/>
    <w:rsid w:val="0049440A"/>
    <w:rsid w:val="00494454"/>
    <w:rsid w:val="004944C5"/>
    <w:rsid w:val="00494643"/>
    <w:rsid w:val="00494870"/>
    <w:rsid w:val="004949BC"/>
    <w:rsid w:val="00494AF7"/>
    <w:rsid w:val="00494C03"/>
    <w:rsid w:val="00494CC0"/>
    <w:rsid w:val="00494CE5"/>
    <w:rsid w:val="004952F9"/>
    <w:rsid w:val="00495429"/>
    <w:rsid w:val="00495594"/>
    <w:rsid w:val="004958C9"/>
    <w:rsid w:val="0049592A"/>
    <w:rsid w:val="00495AC5"/>
    <w:rsid w:val="00495C1C"/>
    <w:rsid w:val="00495C8E"/>
    <w:rsid w:val="00495CA9"/>
    <w:rsid w:val="00495E8E"/>
    <w:rsid w:val="00495F0D"/>
    <w:rsid w:val="00495F35"/>
    <w:rsid w:val="00495F6A"/>
    <w:rsid w:val="00495F8B"/>
    <w:rsid w:val="00495FAA"/>
    <w:rsid w:val="004961C3"/>
    <w:rsid w:val="0049629F"/>
    <w:rsid w:val="00496503"/>
    <w:rsid w:val="00496637"/>
    <w:rsid w:val="004966E8"/>
    <w:rsid w:val="004968CC"/>
    <w:rsid w:val="00496C2B"/>
    <w:rsid w:val="00496FD4"/>
    <w:rsid w:val="00497563"/>
    <w:rsid w:val="00497868"/>
    <w:rsid w:val="00497BEF"/>
    <w:rsid w:val="00497DCA"/>
    <w:rsid w:val="004A0247"/>
    <w:rsid w:val="004A043B"/>
    <w:rsid w:val="004A0639"/>
    <w:rsid w:val="004A073F"/>
    <w:rsid w:val="004A08D9"/>
    <w:rsid w:val="004A0C72"/>
    <w:rsid w:val="004A108F"/>
    <w:rsid w:val="004A11EF"/>
    <w:rsid w:val="004A1361"/>
    <w:rsid w:val="004A145F"/>
    <w:rsid w:val="004A1470"/>
    <w:rsid w:val="004A1513"/>
    <w:rsid w:val="004A167B"/>
    <w:rsid w:val="004A180B"/>
    <w:rsid w:val="004A1BFE"/>
    <w:rsid w:val="004A1CEB"/>
    <w:rsid w:val="004A1F2E"/>
    <w:rsid w:val="004A214B"/>
    <w:rsid w:val="004A2187"/>
    <w:rsid w:val="004A24F0"/>
    <w:rsid w:val="004A27AE"/>
    <w:rsid w:val="004A27F9"/>
    <w:rsid w:val="004A2931"/>
    <w:rsid w:val="004A2A5F"/>
    <w:rsid w:val="004A2A75"/>
    <w:rsid w:val="004A2DD8"/>
    <w:rsid w:val="004A2EA2"/>
    <w:rsid w:val="004A2FB0"/>
    <w:rsid w:val="004A304F"/>
    <w:rsid w:val="004A318D"/>
    <w:rsid w:val="004A31FA"/>
    <w:rsid w:val="004A37DE"/>
    <w:rsid w:val="004A3B71"/>
    <w:rsid w:val="004A3EB1"/>
    <w:rsid w:val="004A44BF"/>
    <w:rsid w:val="004A45DD"/>
    <w:rsid w:val="004A45FC"/>
    <w:rsid w:val="004A4940"/>
    <w:rsid w:val="004A4B0A"/>
    <w:rsid w:val="004A4CB4"/>
    <w:rsid w:val="004A4CBA"/>
    <w:rsid w:val="004A4D1A"/>
    <w:rsid w:val="004A4D4F"/>
    <w:rsid w:val="004A4D98"/>
    <w:rsid w:val="004A4F56"/>
    <w:rsid w:val="004A4F9B"/>
    <w:rsid w:val="004A5029"/>
    <w:rsid w:val="004A50F9"/>
    <w:rsid w:val="004A54BD"/>
    <w:rsid w:val="004A551D"/>
    <w:rsid w:val="004A58F8"/>
    <w:rsid w:val="004A58FE"/>
    <w:rsid w:val="004A5C61"/>
    <w:rsid w:val="004A5D9E"/>
    <w:rsid w:val="004A5DDE"/>
    <w:rsid w:val="004A5FE3"/>
    <w:rsid w:val="004A6221"/>
    <w:rsid w:val="004A66DE"/>
    <w:rsid w:val="004A6725"/>
    <w:rsid w:val="004A6954"/>
    <w:rsid w:val="004A6ACA"/>
    <w:rsid w:val="004A6B0F"/>
    <w:rsid w:val="004A6BE4"/>
    <w:rsid w:val="004A735D"/>
    <w:rsid w:val="004A742D"/>
    <w:rsid w:val="004A7475"/>
    <w:rsid w:val="004A764C"/>
    <w:rsid w:val="004A767F"/>
    <w:rsid w:val="004A774D"/>
    <w:rsid w:val="004A7771"/>
    <w:rsid w:val="004A7799"/>
    <w:rsid w:val="004A7AF1"/>
    <w:rsid w:val="004A7B85"/>
    <w:rsid w:val="004A7C4F"/>
    <w:rsid w:val="004A7CD0"/>
    <w:rsid w:val="004A7DBD"/>
    <w:rsid w:val="004A7E1C"/>
    <w:rsid w:val="004A7F9C"/>
    <w:rsid w:val="004B07C6"/>
    <w:rsid w:val="004B0D0E"/>
    <w:rsid w:val="004B0E70"/>
    <w:rsid w:val="004B1060"/>
    <w:rsid w:val="004B1145"/>
    <w:rsid w:val="004B1217"/>
    <w:rsid w:val="004B1278"/>
    <w:rsid w:val="004B12D0"/>
    <w:rsid w:val="004B12E7"/>
    <w:rsid w:val="004B1518"/>
    <w:rsid w:val="004B1625"/>
    <w:rsid w:val="004B1806"/>
    <w:rsid w:val="004B19A8"/>
    <w:rsid w:val="004B19ED"/>
    <w:rsid w:val="004B1A74"/>
    <w:rsid w:val="004B1ACE"/>
    <w:rsid w:val="004B2339"/>
    <w:rsid w:val="004B2655"/>
    <w:rsid w:val="004B294E"/>
    <w:rsid w:val="004B2DB8"/>
    <w:rsid w:val="004B31D8"/>
    <w:rsid w:val="004B31F5"/>
    <w:rsid w:val="004B3289"/>
    <w:rsid w:val="004B33BC"/>
    <w:rsid w:val="004B37C9"/>
    <w:rsid w:val="004B38A9"/>
    <w:rsid w:val="004B3914"/>
    <w:rsid w:val="004B3C5A"/>
    <w:rsid w:val="004B3F14"/>
    <w:rsid w:val="004B3F21"/>
    <w:rsid w:val="004B3FE4"/>
    <w:rsid w:val="004B403C"/>
    <w:rsid w:val="004B41FA"/>
    <w:rsid w:val="004B4499"/>
    <w:rsid w:val="004B44F3"/>
    <w:rsid w:val="004B47BD"/>
    <w:rsid w:val="004B493A"/>
    <w:rsid w:val="004B4988"/>
    <w:rsid w:val="004B49AF"/>
    <w:rsid w:val="004B4A12"/>
    <w:rsid w:val="004B4A52"/>
    <w:rsid w:val="004B4DCF"/>
    <w:rsid w:val="004B4E21"/>
    <w:rsid w:val="004B4EB7"/>
    <w:rsid w:val="004B513C"/>
    <w:rsid w:val="004B5390"/>
    <w:rsid w:val="004B56E2"/>
    <w:rsid w:val="004B57CB"/>
    <w:rsid w:val="004B5825"/>
    <w:rsid w:val="004B58B8"/>
    <w:rsid w:val="004B59CA"/>
    <w:rsid w:val="004B5CB9"/>
    <w:rsid w:val="004B5DDB"/>
    <w:rsid w:val="004B5EDE"/>
    <w:rsid w:val="004B5F9A"/>
    <w:rsid w:val="004B5FE4"/>
    <w:rsid w:val="004B618B"/>
    <w:rsid w:val="004B61DF"/>
    <w:rsid w:val="004B62CB"/>
    <w:rsid w:val="004B637F"/>
    <w:rsid w:val="004B64F1"/>
    <w:rsid w:val="004B6607"/>
    <w:rsid w:val="004B668D"/>
    <w:rsid w:val="004B69B8"/>
    <w:rsid w:val="004B69DA"/>
    <w:rsid w:val="004B702B"/>
    <w:rsid w:val="004B7035"/>
    <w:rsid w:val="004B72B6"/>
    <w:rsid w:val="004B7406"/>
    <w:rsid w:val="004B7521"/>
    <w:rsid w:val="004B765B"/>
    <w:rsid w:val="004B765D"/>
    <w:rsid w:val="004B7722"/>
    <w:rsid w:val="004B78B2"/>
    <w:rsid w:val="004B795D"/>
    <w:rsid w:val="004B7AE8"/>
    <w:rsid w:val="004B7B30"/>
    <w:rsid w:val="004B7BF7"/>
    <w:rsid w:val="004B7DB2"/>
    <w:rsid w:val="004B7F47"/>
    <w:rsid w:val="004C0149"/>
    <w:rsid w:val="004C0242"/>
    <w:rsid w:val="004C0267"/>
    <w:rsid w:val="004C051F"/>
    <w:rsid w:val="004C05A8"/>
    <w:rsid w:val="004C065C"/>
    <w:rsid w:val="004C0778"/>
    <w:rsid w:val="004C098B"/>
    <w:rsid w:val="004C0FC8"/>
    <w:rsid w:val="004C11C4"/>
    <w:rsid w:val="004C141E"/>
    <w:rsid w:val="004C164B"/>
    <w:rsid w:val="004C16AF"/>
    <w:rsid w:val="004C1E06"/>
    <w:rsid w:val="004C1E30"/>
    <w:rsid w:val="004C2154"/>
    <w:rsid w:val="004C2163"/>
    <w:rsid w:val="004C2254"/>
    <w:rsid w:val="004C236E"/>
    <w:rsid w:val="004C23A4"/>
    <w:rsid w:val="004C2432"/>
    <w:rsid w:val="004C24EB"/>
    <w:rsid w:val="004C25AE"/>
    <w:rsid w:val="004C2672"/>
    <w:rsid w:val="004C26A4"/>
    <w:rsid w:val="004C2A54"/>
    <w:rsid w:val="004C2AE7"/>
    <w:rsid w:val="004C2EB6"/>
    <w:rsid w:val="004C3057"/>
    <w:rsid w:val="004C3184"/>
    <w:rsid w:val="004C32E8"/>
    <w:rsid w:val="004C3307"/>
    <w:rsid w:val="004C3407"/>
    <w:rsid w:val="004C3445"/>
    <w:rsid w:val="004C379A"/>
    <w:rsid w:val="004C399C"/>
    <w:rsid w:val="004C3B90"/>
    <w:rsid w:val="004C3BBE"/>
    <w:rsid w:val="004C3D34"/>
    <w:rsid w:val="004C3D90"/>
    <w:rsid w:val="004C3DED"/>
    <w:rsid w:val="004C3FA9"/>
    <w:rsid w:val="004C3FB4"/>
    <w:rsid w:val="004C4155"/>
    <w:rsid w:val="004C49D1"/>
    <w:rsid w:val="004C4B78"/>
    <w:rsid w:val="004C4BA4"/>
    <w:rsid w:val="004C4E32"/>
    <w:rsid w:val="004C4EA0"/>
    <w:rsid w:val="004C4F1C"/>
    <w:rsid w:val="004C4F46"/>
    <w:rsid w:val="004C508E"/>
    <w:rsid w:val="004C50D6"/>
    <w:rsid w:val="004C526C"/>
    <w:rsid w:val="004C5D3C"/>
    <w:rsid w:val="004C5E92"/>
    <w:rsid w:val="004C5FD7"/>
    <w:rsid w:val="004C602D"/>
    <w:rsid w:val="004C60A2"/>
    <w:rsid w:val="004C613F"/>
    <w:rsid w:val="004C6515"/>
    <w:rsid w:val="004C654C"/>
    <w:rsid w:val="004C657C"/>
    <w:rsid w:val="004C66E0"/>
    <w:rsid w:val="004C6B09"/>
    <w:rsid w:val="004C6B4D"/>
    <w:rsid w:val="004C6BAD"/>
    <w:rsid w:val="004C6C14"/>
    <w:rsid w:val="004C6C84"/>
    <w:rsid w:val="004C6E19"/>
    <w:rsid w:val="004C6F16"/>
    <w:rsid w:val="004C713A"/>
    <w:rsid w:val="004C7284"/>
    <w:rsid w:val="004C72B1"/>
    <w:rsid w:val="004C7386"/>
    <w:rsid w:val="004C7439"/>
    <w:rsid w:val="004C76F3"/>
    <w:rsid w:val="004C785E"/>
    <w:rsid w:val="004C78E0"/>
    <w:rsid w:val="004C79F3"/>
    <w:rsid w:val="004C7D2A"/>
    <w:rsid w:val="004C7DC9"/>
    <w:rsid w:val="004C7E5E"/>
    <w:rsid w:val="004C7F9F"/>
    <w:rsid w:val="004D025F"/>
    <w:rsid w:val="004D03AB"/>
    <w:rsid w:val="004D0403"/>
    <w:rsid w:val="004D0511"/>
    <w:rsid w:val="004D084E"/>
    <w:rsid w:val="004D0858"/>
    <w:rsid w:val="004D0916"/>
    <w:rsid w:val="004D0C64"/>
    <w:rsid w:val="004D0C7D"/>
    <w:rsid w:val="004D0FCE"/>
    <w:rsid w:val="004D0FD4"/>
    <w:rsid w:val="004D100A"/>
    <w:rsid w:val="004D1031"/>
    <w:rsid w:val="004D1054"/>
    <w:rsid w:val="004D1294"/>
    <w:rsid w:val="004D1343"/>
    <w:rsid w:val="004D171C"/>
    <w:rsid w:val="004D1847"/>
    <w:rsid w:val="004D1F63"/>
    <w:rsid w:val="004D20F3"/>
    <w:rsid w:val="004D2353"/>
    <w:rsid w:val="004D2C7B"/>
    <w:rsid w:val="004D2D54"/>
    <w:rsid w:val="004D301A"/>
    <w:rsid w:val="004D3146"/>
    <w:rsid w:val="004D314A"/>
    <w:rsid w:val="004D3152"/>
    <w:rsid w:val="004D3203"/>
    <w:rsid w:val="004D3343"/>
    <w:rsid w:val="004D3572"/>
    <w:rsid w:val="004D3AE6"/>
    <w:rsid w:val="004D3C27"/>
    <w:rsid w:val="004D3E8D"/>
    <w:rsid w:val="004D40CE"/>
    <w:rsid w:val="004D4146"/>
    <w:rsid w:val="004D41EF"/>
    <w:rsid w:val="004D4451"/>
    <w:rsid w:val="004D4613"/>
    <w:rsid w:val="004D4854"/>
    <w:rsid w:val="004D49AE"/>
    <w:rsid w:val="004D4AAA"/>
    <w:rsid w:val="004D4AAC"/>
    <w:rsid w:val="004D4B24"/>
    <w:rsid w:val="004D4E1B"/>
    <w:rsid w:val="004D4EC5"/>
    <w:rsid w:val="004D5085"/>
    <w:rsid w:val="004D50ED"/>
    <w:rsid w:val="004D51A2"/>
    <w:rsid w:val="004D52B0"/>
    <w:rsid w:val="004D5420"/>
    <w:rsid w:val="004D5477"/>
    <w:rsid w:val="004D5719"/>
    <w:rsid w:val="004D5BE6"/>
    <w:rsid w:val="004D5C07"/>
    <w:rsid w:val="004D5CA5"/>
    <w:rsid w:val="004D5EC7"/>
    <w:rsid w:val="004D5EDD"/>
    <w:rsid w:val="004D61B5"/>
    <w:rsid w:val="004D62AB"/>
    <w:rsid w:val="004D65EE"/>
    <w:rsid w:val="004D6A31"/>
    <w:rsid w:val="004D6CA4"/>
    <w:rsid w:val="004D6DB1"/>
    <w:rsid w:val="004D6EF1"/>
    <w:rsid w:val="004D6F12"/>
    <w:rsid w:val="004D711B"/>
    <w:rsid w:val="004D725C"/>
    <w:rsid w:val="004D72AD"/>
    <w:rsid w:val="004D739E"/>
    <w:rsid w:val="004D74C6"/>
    <w:rsid w:val="004D750F"/>
    <w:rsid w:val="004D7561"/>
    <w:rsid w:val="004D768D"/>
    <w:rsid w:val="004D77E0"/>
    <w:rsid w:val="004D7A46"/>
    <w:rsid w:val="004D7B40"/>
    <w:rsid w:val="004D7B49"/>
    <w:rsid w:val="004D7B76"/>
    <w:rsid w:val="004D7C2A"/>
    <w:rsid w:val="004D7F19"/>
    <w:rsid w:val="004D7F7B"/>
    <w:rsid w:val="004D7F93"/>
    <w:rsid w:val="004D7F96"/>
    <w:rsid w:val="004D7FB1"/>
    <w:rsid w:val="004E01DC"/>
    <w:rsid w:val="004E03D4"/>
    <w:rsid w:val="004E03FA"/>
    <w:rsid w:val="004E0405"/>
    <w:rsid w:val="004E04AA"/>
    <w:rsid w:val="004E0527"/>
    <w:rsid w:val="004E0990"/>
    <w:rsid w:val="004E0C7B"/>
    <w:rsid w:val="004E1006"/>
    <w:rsid w:val="004E13DE"/>
    <w:rsid w:val="004E1414"/>
    <w:rsid w:val="004E1523"/>
    <w:rsid w:val="004E1576"/>
    <w:rsid w:val="004E16B1"/>
    <w:rsid w:val="004E16F6"/>
    <w:rsid w:val="004E1827"/>
    <w:rsid w:val="004E1C26"/>
    <w:rsid w:val="004E1C32"/>
    <w:rsid w:val="004E1CE6"/>
    <w:rsid w:val="004E1E47"/>
    <w:rsid w:val="004E208C"/>
    <w:rsid w:val="004E22AB"/>
    <w:rsid w:val="004E2982"/>
    <w:rsid w:val="004E2A57"/>
    <w:rsid w:val="004E2C68"/>
    <w:rsid w:val="004E2D9C"/>
    <w:rsid w:val="004E2E59"/>
    <w:rsid w:val="004E2F3D"/>
    <w:rsid w:val="004E2F5F"/>
    <w:rsid w:val="004E2F6F"/>
    <w:rsid w:val="004E314E"/>
    <w:rsid w:val="004E32EF"/>
    <w:rsid w:val="004E35D3"/>
    <w:rsid w:val="004E3727"/>
    <w:rsid w:val="004E3818"/>
    <w:rsid w:val="004E382E"/>
    <w:rsid w:val="004E387F"/>
    <w:rsid w:val="004E38F1"/>
    <w:rsid w:val="004E3955"/>
    <w:rsid w:val="004E3C2D"/>
    <w:rsid w:val="004E3E2A"/>
    <w:rsid w:val="004E46CA"/>
    <w:rsid w:val="004E472A"/>
    <w:rsid w:val="004E4A90"/>
    <w:rsid w:val="004E4CFF"/>
    <w:rsid w:val="004E5239"/>
    <w:rsid w:val="004E52E8"/>
    <w:rsid w:val="004E5442"/>
    <w:rsid w:val="004E55F0"/>
    <w:rsid w:val="004E5630"/>
    <w:rsid w:val="004E56F6"/>
    <w:rsid w:val="004E5700"/>
    <w:rsid w:val="004E5754"/>
    <w:rsid w:val="004E57BD"/>
    <w:rsid w:val="004E5AAA"/>
    <w:rsid w:val="004E5DA0"/>
    <w:rsid w:val="004E5E32"/>
    <w:rsid w:val="004E5FA8"/>
    <w:rsid w:val="004E6030"/>
    <w:rsid w:val="004E6036"/>
    <w:rsid w:val="004E6056"/>
    <w:rsid w:val="004E6075"/>
    <w:rsid w:val="004E6324"/>
    <w:rsid w:val="004E64D9"/>
    <w:rsid w:val="004E671D"/>
    <w:rsid w:val="004E682A"/>
    <w:rsid w:val="004E68A6"/>
    <w:rsid w:val="004E68B1"/>
    <w:rsid w:val="004E68E8"/>
    <w:rsid w:val="004E6E54"/>
    <w:rsid w:val="004E6FCB"/>
    <w:rsid w:val="004E7289"/>
    <w:rsid w:val="004E72D4"/>
    <w:rsid w:val="004E7399"/>
    <w:rsid w:val="004E746D"/>
    <w:rsid w:val="004E7543"/>
    <w:rsid w:val="004E7B6E"/>
    <w:rsid w:val="004E7C8C"/>
    <w:rsid w:val="004E7CE7"/>
    <w:rsid w:val="004E7D6D"/>
    <w:rsid w:val="004E7DB9"/>
    <w:rsid w:val="004F0019"/>
    <w:rsid w:val="004F014E"/>
    <w:rsid w:val="004F02B1"/>
    <w:rsid w:val="004F045E"/>
    <w:rsid w:val="004F04D0"/>
    <w:rsid w:val="004F0575"/>
    <w:rsid w:val="004F0604"/>
    <w:rsid w:val="004F0711"/>
    <w:rsid w:val="004F0C58"/>
    <w:rsid w:val="004F0D0E"/>
    <w:rsid w:val="004F0DEB"/>
    <w:rsid w:val="004F0DFF"/>
    <w:rsid w:val="004F0FF4"/>
    <w:rsid w:val="004F1031"/>
    <w:rsid w:val="004F1039"/>
    <w:rsid w:val="004F1125"/>
    <w:rsid w:val="004F112B"/>
    <w:rsid w:val="004F147D"/>
    <w:rsid w:val="004F1732"/>
    <w:rsid w:val="004F17AB"/>
    <w:rsid w:val="004F17CA"/>
    <w:rsid w:val="004F1B24"/>
    <w:rsid w:val="004F1C6C"/>
    <w:rsid w:val="004F230F"/>
    <w:rsid w:val="004F2542"/>
    <w:rsid w:val="004F28A6"/>
    <w:rsid w:val="004F295C"/>
    <w:rsid w:val="004F2A2E"/>
    <w:rsid w:val="004F2AEF"/>
    <w:rsid w:val="004F2F4B"/>
    <w:rsid w:val="004F303B"/>
    <w:rsid w:val="004F3103"/>
    <w:rsid w:val="004F332C"/>
    <w:rsid w:val="004F34DC"/>
    <w:rsid w:val="004F37D3"/>
    <w:rsid w:val="004F3950"/>
    <w:rsid w:val="004F39DA"/>
    <w:rsid w:val="004F3B2A"/>
    <w:rsid w:val="004F3DDB"/>
    <w:rsid w:val="004F3E24"/>
    <w:rsid w:val="004F3F79"/>
    <w:rsid w:val="004F3FC5"/>
    <w:rsid w:val="004F4216"/>
    <w:rsid w:val="004F473A"/>
    <w:rsid w:val="004F493A"/>
    <w:rsid w:val="004F49A9"/>
    <w:rsid w:val="004F4A69"/>
    <w:rsid w:val="004F4A6A"/>
    <w:rsid w:val="004F4ACC"/>
    <w:rsid w:val="004F4EEB"/>
    <w:rsid w:val="004F5005"/>
    <w:rsid w:val="004F5240"/>
    <w:rsid w:val="004F52CF"/>
    <w:rsid w:val="004F54DC"/>
    <w:rsid w:val="004F572A"/>
    <w:rsid w:val="004F58BD"/>
    <w:rsid w:val="004F58FB"/>
    <w:rsid w:val="004F5C38"/>
    <w:rsid w:val="004F5C64"/>
    <w:rsid w:val="004F5DBA"/>
    <w:rsid w:val="004F5EF0"/>
    <w:rsid w:val="004F5FD8"/>
    <w:rsid w:val="004F6037"/>
    <w:rsid w:val="004F626E"/>
    <w:rsid w:val="004F6334"/>
    <w:rsid w:val="004F6645"/>
    <w:rsid w:val="004F6A66"/>
    <w:rsid w:val="004F6ACC"/>
    <w:rsid w:val="004F6B83"/>
    <w:rsid w:val="004F6C5A"/>
    <w:rsid w:val="004F6CB0"/>
    <w:rsid w:val="004F6CB5"/>
    <w:rsid w:val="004F6DA1"/>
    <w:rsid w:val="004F7058"/>
    <w:rsid w:val="004F706C"/>
    <w:rsid w:val="004F710A"/>
    <w:rsid w:val="004F7137"/>
    <w:rsid w:val="004F7554"/>
    <w:rsid w:val="004F79F7"/>
    <w:rsid w:val="004F7AA9"/>
    <w:rsid w:val="004F7CF7"/>
    <w:rsid w:val="004F7D93"/>
    <w:rsid w:val="004F7E7E"/>
    <w:rsid w:val="004F7EE3"/>
    <w:rsid w:val="00500285"/>
    <w:rsid w:val="005002D1"/>
    <w:rsid w:val="005003B2"/>
    <w:rsid w:val="005003CB"/>
    <w:rsid w:val="00500454"/>
    <w:rsid w:val="005006A3"/>
    <w:rsid w:val="005006CC"/>
    <w:rsid w:val="00500ABA"/>
    <w:rsid w:val="00500D66"/>
    <w:rsid w:val="00500EDD"/>
    <w:rsid w:val="00500F28"/>
    <w:rsid w:val="00500FB8"/>
    <w:rsid w:val="00501163"/>
    <w:rsid w:val="005011FB"/>
    <w:rsid w:val="005014DE"/>
    <w:rsid w:val="00501695"/>
    <w:rsid w:val="005016D2"/>
    <w:rsid w:val="00501707"/>
    <w:rsid w:val="00501AF5"/>
    <w:rsid w:val="00501D59"/>
    <w:rsid w:val="00501D68"/>
    <w:rsid w:val="005023D1"/>
    <w:rsid w:val="005023D2"/>
    <w:rsid w:val="0050269E"/>
    <w:rsid w:val="005028B1"/>
    <w:rsid w:val="0050299C"/>
    <w:rsid w:val="00502C48"/>
    <w:rsid w:val="00502CEB"/>
    <w:rsid w:val="00502D5B"/>
    <w:rsid w:val="00502E06"/>
    <w:rsid w:val="00502F33"/>
    <w:rsid w:val="0050325B"/>
    <w:rsid w:val="005032DA"/>
    <w:rsid w:val="005033A7"/>
    <w:rsid w:val="005034CE"/>
    <w:rsid w:val="0050350E"/>
    <w:rsid w:val="0050354C"/>
    <w:rsid w:val="00503833"/>
    <w:rsid w:val="0050390B"/>
    <w:rsid w:val="00503A86"/>
    <w:rsid w:val="00503B9C"/>
    <w:rsid w:val="00503D84"/>
    <w:rsid w:val="00503E9F"/>
    <w:rsid w:val="00504198"/>
    <w:rsid w:val="005041CE"/>
    <w:rsid w:val="005042EE"/>
    <w:rsid w:val="00504345"/>
    <w:rsid w:val="00504598"/>
    <w:rsid w:val="00504639"/>
    <w:rsid w:val="0050478B"/>
    <w:rsid w:val="00504835"/>
    <w:rsid w:val="005048A9"/>
    <w:rsid w:val="005048F5"/>
    <w:rsid w:val="00504A13"/>
    <w:rsid w:val="00504EFA"/>
    <w:rsid w:val="00504F4D"/>
    <w:rsid w:val="00505065"/>
    <w:rsid w:val="00505067"/>
    <w:rsid w:val="0050512B"/>
    <w:rsid w:val="005051F9"/>
    <w:rsid w:val="0050574D"/>
    <w:rsid w:val="005057FB"/>
    <w:rsid w:val="00505B22"/>
    <w:rsid w:val="00505B46"/>
    <w:rsid w:val="00505B92"/>
    <w:rsid w:val="00506096"/>
    <w:rsid w:val="00506200"/>
    <w:rsid w:val="00506597"/>
    <w:rsid w:val="00506603"/>
    <w:rsid w:val="00506656"/>
    <w:rsid w:val="005068B0"/>
    <w:rsid w:val="005069A6"/>
    <w:rsid w:val="00506ACE"/>
    <w:rsid w:val="00506E57"/>
    <w:rsid w:val="00506F41"/>
    <w:rsid w:val="00506FA2"/>
    <w:rsid w:val="00507216"/>
    <w:rsid w:val="00507314"/>
    <w:rsid w:val="00507401"/>
    <w:rsid w:val="00507496"/>
    <w:rsid w:val="0050789E"/>
    <w:rsid w:val="005078C9"/>
    <w:rsid w:val="00507919"/>
    <w:rsid w:val="00507A39"/>
    <w:rsid w:val="00507DDB"/>
    <w:rsid w:val="00507ED6"/>
    <w:rsid w:val="00507FAD"/>
    <w:rsid w:val="005100E1"/>
    <w:rsid w:val="00510187"/>
    <w:rsid w:val="005104E2"/>
    <w:rsid w:val="0051056D"/>
    <w:rsid w:val="005106E6"/>
    <w:rsid w:val="00510A09"/>
    <w:rsid w:val="00510C52"/>
    <w:rsid w:val="00510E94"/>
    <w:rsid w:val="00510F28"/>
    <w:rsid w:val="00511151"/>
    <w:rsid w:val="00511190"/>
    <w:rsid w:val="00511429"/>
    <w:rsid w:val="0051161D"/>
    <w:rsid w:val="005117AD"/>
    <w:rsid w:val="005118EF"/>
    <w:rsid w:val="005119E4"/>
    <w:rsid w:val="005119E6"/>
    <w:rsid w:val="00511AAE"/>
    <w:rsid w:val="00511B50"/>
    <w:rsid w:val="00511BBB"/>
    <w:rsid w:val="005120EC"/>
    <w:rsid w:val="00512283"/>
    <w:rsid w:val="0051235D"/>
    <w:rsid w:val="005123D7"/>
    <w:rsid w:val="00512739"/>
    <w:rsid w:val="0051276B"/>
    <w:rsid w:val="00512938"/>
    <w:rsid w:val="0051298D"/>
    <w:rsid w:val="00512999"/>
    <w:rsid w:val="00512AA4"/>
    <w:rsid w:val="00512B40"/>
    <w:rsid w:val="00512DE5"/>
    <w:rsid w:val="00512FD4"/>
    <w:rsid w:val="00513315"/>
    <w:rsid w:val="00513A8F"/>
    <w:rsid w:val="00513B0D"/>
    <w:rsid w:val="005142A5"/>
    <w:rsid w:val="0051431B"/>
    <w:rsid w:val="0051459F"/>
    <w:rsid w:val="005147F1"/>
    <w:rsid w:val="0051482C"/>
    <w:rsid w:val="00514916"/>
    <w:rsid w:val="00514B07"/>
    <w:rsid w:val="00514B19"/>
    <w:rsid w:val="00514B8B"/>
    <w:rsid w:val="00514CF2"/>
    <w:rsid w:val="00514EEF"/>
    <w:rsid w:val="005150B5"/>
    <w:rsid w:val="0051518B"/>
    <w:rsid w:val="0051521B"/>
    <w:rsid w:val="00515346"/>
    <w:rsid w:val="0051564D"/>
    <w:rsid w:val="005157DF"/>
    <w:rsid w:val="00515A3B"/>
    <w:rsid w:val="00515AB3"/>
    <w:rsid w:val="00515BA2"/>
    <w:rsid w:val="00515BA7"/>
    <w:rsid w:val="00515BB3"/>
    <w:rsid w:val="00515FFB"/>
    <w:rsid w:val="005161B5"/>
    <w:rsid w:val="00516266"/>
    <w:rsid w:val="0051638A"/>
    <w:rsid w:val="005164E8"/>
    <w:rsid w:val="0051656F"/>
    <w:rsid w:val="00516654"/>
    <w:rsid w:val="005166C5"/>
    <w:rsid w:val="0051675E"/>
    <w:rsid w:val="005167D3"/>
    <w:rsid w:val="00516813"/>
    <w:rsid w:val="00516BF8"/>
    <w:rsid w:val="00516D51"/>
    <w:rsid w:val="00516DD6"/>
    <w:rsid w:val="005170A8"/>
    <w:rsid w:val="005171D1"/>
    <w:rsid w:val="00517323"/>
    <w:rsid w:val="005174A5"/>
    <w:rsid w:val="005175CE"/>
    <w:rsid w:val="005179B9"/>
    <w:rsid w:val="005179F3"/>
    <w:rsid w:val="00517C45"/>
    <w:rsid w:val="00517CDD"/>
    <w:rsid w:val="00517D7A"/>
    <w:rsid w:val="00517E37"/>
    <w:rsid w:val="00517E9E"/>
    <w:rsid w:val="00517FAA"/>
    <w:rsid w:val="005200D5"/>
    <w:rsid w:val="0052086E"/>
    <w:rsid w:val="005208A3"/>
    <w:rsid w:val="00520994"/>
    <w:rsid w:val="005209E1"/>
    <w:rsid w:val="00520A91"/>
    <w:rsid w:val="00520FE2"/>
    <w:rsid w:val="005210AB"/>
    <w:rsid w:val="005212EB"/>
    <w:rsid w:val="00521714"/>
    <w:rsid w:val="0052172C"/>
    <w:rsid w:val="00521731"/>
    <w:rsid w:val="00521779"/>
    <w:rsid w:val="00521821"/>
    <w:rsid w:val="00521984"/>
    <w:rsid w:val="0052199B"/>
    <w:rsid w:val="00521E74"/>
    <w:rsid w:val="00521F27"/>
    <w:rsid w:val="0052206B"/>
    <w:rsid w:val="0052208A"/>
    <w:rsid w:val="005220BD"/>
    <w:rsid w:val="0052212A"/>
    <w:rsid w:val="00522302"/>
    <w:rsid w:val="005223F8"/>
    <w:rsid w:val="005226C4"/>
    <w:rsid w:val="00522771"/>
    <w:rsid w:val="005227EA"/>
    <w:rsid w:val="0052292A"/>
    <w:rsid w:val="00522946"/>
    <w:rsid w:val="005229A7"/>
    <w:rsid w:val="00522A05"/>
    <w:rsid w:val="00522CDC"/>
    <w:rsid w:val="00522E69"/>
    <w:rsid w:val="00522F32"/>
    <w:rsid w:val="00522F55"/>
    <w:rsid w:val="00523091"/>
    <w:rsid w:val="00523259"/>
    <w:rsid w:val="005232C9"/>
    <w:rsid w:val="00523520"/>
    <w:rsid w:val="00523652"/>
    <w:rsid w:val="0052371C"/>
    <w:rsid w:val="005237C5"/>
    <w:rsid w:val="0052390C"/>
    <w:rsid w:val="00523A82"/>
    <w:rsid w:val="00523C03"/>
    <w:rsid w:val="00523D18"/>
    <w:rsid w:val="00523FBB"/>
    <w:rsid w:val="00524140"/>
    <w:rsid w:val="00524195"/>
    <w:rsid w:val="005246B9"/>
    <w:rsid w:val="00524984"/>
    <w:rsid w:val="00524C6F"/>
    <w:rsid w:val="00524D0C"/>
    <w:rsid w:val="00524EE2"/>
    <w:rsid w:val="005251DB"/>
    <w:rsid w:val="00525277"/>
    <w:rsid w:val="00525504"/>
    <w:rsid w:val="0052561B"/>
    <w:rsid w:val="0052576E"/>
    <w:rsid w:val="005258AD"/>
    <w:rsid w:val="00525935"/>
    <w:rsid w:val="00525BFB"/>
    <w:rsid w:val="00525C29"/>
    <w:rsid w:val="00525D03"/>
    <w:rsid w:val="00525D6C"/>
    <w:rsid w:val="00525D8E"/>
    <w:rsid w:val="00526018"/>
    <w:rsid w:val="00526050"/>
    <w:rsid w:val="0052623B"/>
    <w:rsid w:val="00526422"/>
    <w:rsid w:val="005266DA"/>
    <w:rsid w:val="00526740"/>
    <w:rsid w:val="005267A3"/>
    <w:rsid w:val="00526869"/>
    <w:rsid w:val="00526D5B"/>
    <w:rsid w:val="00526DE6"/>
    <w:rsid w:val="00526F3F"/>
    <w:rsid w:val="00526F70"/>
    <w:rsid w:val="0052710F"/>
    <w:rsid w:val="005272E2"/>
    <w:rsid w:val="0052763A"/>
    <w:rsid w:val="00527AB7"/>
    <w:rsid w:val="00527B29"/>
    <w:rsid w:val="00527F3A"/>
    <w:rsid w:val="00530441"/>
    <w:rsid w:val="005305D8"/>
    <w:rsid w:val="00530667"/>
    <w:rsid w:val="00530792"/>
    <w:rsid w:val="005309C1"/>
    <w:rsid w:val="00530A1A"/>
    <w:rsid w:val="00530AAE"/>
    <w:rsid w:val="00530CF3"/>
    <w:rsid w:val="00530D32"/>
    <w:rsid w:val="00530D42"/>
    <w:rsid w:val="00530E8B"/>
    <w:rsid w:val="0053102A"/>
    <w:rsid w:val="00531077"/>
    <w:rsid w:val="005311F5"/>
    <w:rsid w:val="00531220"/>
    <w:rsid w:val="0053122F"/>
    <w:rsid w:val="0053134C"/>
    <w:rsid w:val="00531350"/>
    <w:rsid w:val="0053141A"/>
    <w:rsid w:val="005315D4"/>
    <w:rsid w:val="00531622"/>
    <w:rsid w:val="0053185F"/>
    <w:rsid w:val="00531A3B"/>
    <w:rsid w:val="00531CA0"/>
    <w:rsid w:val="00531EA4"/>
    <w:rsid w:val="00531F0C"/>
    <w:rsid w:val="00532001"/>
    <w:rsid w:val="00532131"/>
    <w:rsid w:val="00532349"/>
    <w:rsid w:val="005323F2"/>
    <w:rsid w:val="0053244C"/>
    <w:rsid w:val="00532674"/>
    <w:rsid w:val="005328EB"/>
    <w:rsid w:val="0053290F"/>
    <w:rsid w:val="00532930"/>
    <w:rsid w:val="00532AAC"/>
    <w:rsid w:val="00532B0F"/>
    <w:rsid w:val="00532B23"/>
    <w:rsid w:val="00532C7F"/>
    <w:rsid w:val="00532CB5"/>
    <w:rsid w:val="00532E45"/>
    <w:rsid w:val="00532EFE"/>
    <w:rsid w:val="00532F07"/>
    <w:rsid w:val="00532F36"/>
    <w:rsid w:val="005333BA"/>
    <w:rsid w:val="0053358B"/>
    <w:rsid w:val="005335E8"/>
    <w:rsid w:val="005338AC"/>
    <w:rsid w:val="005338E5"/>
    <w:rsid w:val="00533F29"/>
    <w:rsid w:val="00533F66"/>
    <w:rsid w:val="00534009"/>
    <w:rsid w:val="00534139"/>
    <w:rsid w:val="00534167"/>
    <w:rsid w:val="005344ED"/>
    <w:rsid w:val="005348B0"/>
    <w:rsid w:val="00534947"/>
    <w:rsid w:val="00534C75"/>
    <w:rsid w:val="005350F8"/>
    <w:rsid w:val="00535465"/>
    <w:rsid w:val="0053560C"/>
    <w:rsid w:val="005357C0"/>
    <w:rsid w:val="005359CC"/>
    <w:rsid w:val="00535B60"/>
    <w:rsid w:val="00535DC8"/>
    <w:rsid w:val="00535E13"/>
    <w:rsid w:val="005362CE"/>
    <w:rsid w:val="00536840"/>
    <w:rsid w:val="00536939"/>
    <w:rsid w:val="00536A73"/>
    <w:rsid w:val="00536C9C"/>
    <w:rsid w:val="00536CD2"/>
    <w:rsid w:val="00536D03"/>
    <w:rsid w:val="00536D3D"/>
    <w:rsid w:val="005372A2"/>
    <w:rsid w:val="0053740C"/>
    <w:rsid w:val="005378A9"/>
    <w:rsid w:val="00537E77"/>
    <w:rsid w:val="00537EE4"/>
    <w:rsid w:val="00537F10"/>
    <w:rsid w:val="00537FD8"/>
    <w:rsid w:val="00537FDA"/>
    <w:rsid w:val="0054011A"/>
    <w:rsid w:val="00540158"/>
    <w:rsid w:val="00540308"/>
    <w:rsid w:val="0054034D"/>
    <w:rsid w:val="00540453"/>
    <w:rsid w:val="00540474"/>
    <w:rsid w:val="005404AF"/>
    <w:rsid w:val="0054055B"/>
    <w:rsid w:val="00540594"/>
    <w:rsid w:val="005405E9"/>
    <w:rsid w:val="00540618"/>
    <w:rsid w:val="0054078E"/>
    <w:rsid w:val="005409EF"/>
    <w:rsid w:val="00540B3A"/>
    <w:rsid w:val="00540C9A"/>
    <w:rsid w:val="00540CD5"/>
    <w:rsid w:val="00540D4B"/>
    <w:rsid w:val="00540F1D"/>
    <w:rsid w:val="00541164"/>
    <w:rsid w:val="00541184"/>
    <w:rsid w:val="00541512"/>
    <w:rsid w:val="00541614"/>
    <w:rsid w:val="00541779"/>
    <w:rsid w:val="0054199A"/>
    <w:rsid w:val="00541A37"/>
    <w:rsid w:val="00541A4F"/>
    <w:rsid w:val="00541D8C"/>
    <w:rsid w:val="00541DBE"/>
    <w:rsid w:val="00541FEF"/>
    <w:rsid w:val="00542082"/>
    <w:rsid w:val="005423F8"/>
    <w:rsid w:val="00542405"/>
    <w:rsid w:val="0054248A"/>
    <w:rsid w:val="005427EC"/>
    <w:rsid w:val="00542912"/>
    <w:rsid w:val="00542B4A"/>
    <w:rsid w:val="00543248"/>
    <w:rsid w:val="0054324F"/>
    <w:rsid w:val="00543516"/>
    <w:rsid w:val="0054357B"/>
    <w:rsid w:val="00543717"/>
    <w:rsid w:val="00543793"/>
    <w:rsid w:val="005437F0"/>
    <w:rsid w:val="005439FC"/>
    <w:rsid w:val="00543B11"/>
    <w:rsid w:val="00543D55"/>
    <w:rsid w:val="00543DC2"/>
    <w:rsid w:val="00543FCD"/>
    <w:rsid w:val="0054455E"/>
    <w:rsid w:val="0054455F"/>
    <w:rsid w:val="00544985"/>
    <w:rsid w:val="00544F05"/>
    <w:rsid w:val="005452FB"/>
    <w:rsid w:val="005456F1"/>
    <w:rsid w:val="0054595B"/>
    <w:rsid w:val="00545BAF"/>
    <w:rsid w:val="00545BD1"/>
    <w:rsid w:val="00545BE8"/>
    <w:rsid w:val="00545CEE"/>
    <w:rsid w:val="00545E1E"/>
    <w:rsid w:val="00545E22"/>
    <w:rsid w:val="00545F34"/>
    <w:rsid w:val="00546182"/>
    <w:rsid w:val="005461BE"/>
    <w:rsid w:val="00546200"/>
    <w:rsid w:val="005462D4"/>
    <w:rsid w:val="005462F1"/>
    <w:rsid w:val="005462FD"/>
    <w:rsid w:val="00546512"/>
    <w:rsid w:val="00546766"/>
    <w:rsid w:val="0054676E"/>
    <w:rsid w:val="005467F0"/>
    <w:rsid w:val="00546998"/>
    <w:rsid w:val="005469F3"/>
    <w:rsid w:val="00546A9D"/>
    <w:rsid w:val="00546AFD"/>
    <w:rsid w:val="00546B1D"/>
    <w:rsid w:val="00546BE6"/>
    <w:rsid w:val="00546CFA"/>
    <w:rsid w:val="00546D70"/>
    <w:rsid w:val="00546F18"/>
    <w:rsid w:val="00546FBD"/>
    <w:rsid w:val="0054713A"/>
    <w:rsid w:val="0054715D"/>
    <w:rsid w:val="00547230"/>
    <w:rsid w:val="005473A7"/>
    <w:rsid w:val="00547679"/>
    <w:rsid w:val="00547795"/>
    <w:rsid w:val="005478AD"/>
    <w:rsid w:val="005479EB"/>
    <w:rsid w:val="00547B72"/>
    <w:rsid w:val="00547D5B"/>
    <w:rsid w:val="005500CF"/>
    <w:rsid w:val="0055022B"/>
    <w:rsid w:val="0055059E"/>
    <w:rsid w:val="00550796"/>
    <w:rsid w:val="00550B1C"/>
    <w:rsid w:val="00550F53"/>
    <w:rsid w:val="00550FE1"/>
    <w:rsid w:val="005510FE"/>
    <w:rsid w:val="0055144B"/>
    <w:rsid w:val="0055170C"/>
    <w:rsid w:val="00551A15"/>
    <w:rsid w:val="00551BD5"/>
    <w:rsid w:val="00551C0A"/>
    <w:rsid w:val="00551E9F"/>
    <w:rsid w:val="00551F01"/>
    <w:rsid w:val="00551F90"/>
    <w:rsid w:val="0055215E"/>
    <w:rsid w:val="00552185"/>
    <w:rsid w:val="00552502"/>
    <w:rsid w:val="005525E9"/>
    <w:rsid w:val="0055281C"/>
    <w:rsid w:val="00552AAB"/>
    <w:rsid w:val="00552C1C"/>
    <w:rsid w:val="00552D12"/>
    <w:rsid w:val="00552F1A"/>
    <w:rsid w:val="0055307E"/>
    <w:rsid w:val="005536D9"/>
    <w:rsid w:val="00553893"/>
    <w:rsid w:val="005539F0"/>
    <w:rsid w:val="005539F2"/>
    <w:rsid w:val="00553B14"/>
    <w:rsid w:val="00553B70"/>
    <w:rsid w:val="00553C70"/>
    <w:rsid w:val="00553C7C"/>
    <w:rsid w:val="00553E41"/>
    <w:rsid w:val="00553F59"/>
    <w:rsid w:val="00554332"/>
    <w:rsid w:val="005543C7"/>
    <w:rsid w:val="005544C6"/>
    <w:rsid w:val="0055476D"/>
    <w:rsid w:val="0055494C"/>
    <w:rsid w:val="00554B8D"/>
    <w:rsid w:val="005550E9"/>
    <w:rsid w:val="0055524A"/>
    <w:rsid w:val="00555438"/>
    <w:rsid w:val="00555566"/>
    <w:rsid w:val="00555A56"/>
    <w:rsid w:val="00555C0B"/>
    <w:rsid w:val="00555D0E"/>
    <w:rsid w:val="00555DE6"/>
    <w:rsid w:val="00555E71"/>
    <w:rsid w:val="00555ECE"/>
    <w:rsid w:val="00556180"/>
    <w:rsid w:val="00556233"/>
    <w:rsid w:val="005564C7"/>
    <w:rsid w:val="00556525"/>
    <w:rsid w:val="005566CA"/>
    <w:rsid w:val="00556ADE"/>
    <w:rsid w:val="00556C40"/>
    <w:rsid w:val="00556CB5"/>
    <w:rsid w:val="00556D05"/>
    <w:rsid w:val="00556E49"/>
    <w:rsid w:val="005573B3"/>
    <w:rsid w:val="005573CF"/>
    <w:rsid w:val="005574E2"/>
    <w:rsid w:val="0055756B"/>
    <w:rsid w:val="005575A7"/>
    <w:rsid w:val="005576E8"/>
    <w:rsid w:val="00557770"/>
    <w:rsid w:val="00557926"/>
    <w:rsid w:val="00557BAF"/>
    <w:rsid w:val="00557EFB"/>
    <w:rsid w:val="00557F1A"/>
    <w:rsid w:val="0055FCEA"/>
    <w:rsid w:val="00560056"/>
    <w:rsid w:val="005602C2"/>
    <w:rsid w:val="00560392"/>
    <w:rsid w:val="0056055E"/>
    <w:rsid w:val="00560697"/>
    <w:rsid w:val="0056084E"/>
    <w:rsid w:val="00560972"/>
    <w:rsid w:val="00560A51"/>
    <w:rsid w:val="00560AAC"/>
    <w:rsid w:val="00560BD9"/>
    <w:rsid w:val="00560D8C"/>
    <w:rsid w:val="00560DAE"/>
    <w:rsid w:val="00560E09"/>
    <w:rsid w:val="0056103B"/>
    <w:rsid w:val="00561135"/>
    <w:rsid w:val="005613B7"/>
    <w:rsid w:val="00561429"/>
    <w:rsid w:val="00561561"/>
    <w:rsid w:val="0056172D"/>
    <w:rsid w:val="00561735"/>
    <w:rsid w:val="00561773"/>
    <w:rsid w:val="00561814"/>
    <w:rsid w:val="005619F8"/>
    <w:rsid w:val="00561B29"/>
    <w:rsid w:val="00561FEC"/>
    <w:rsid w:val="00561FEF"/>
    <w:rsid w:val="0056214D"/>
    <w:rsid w:val="0056244A"/>
    <w:rsid w:val="005629BD"/>
    <w:rsid w:val="00562DC6"/>
    <w:rsid w:val="00563174"/>
    <w:rsid w:val="00563269"/>
    <w:rsid w:val="00563287"/>
    <w:rsid w:val="00563475"/>
    <w:rsid w:val="005634FD"/>
    <w:rsid w:val="0056379A"/>
    <w:rsid w:val="0056382E"/>
    <w:rsid w:val="00563E6C"/>
    <w:rsid w:val="00563E7F"/>
    <w:rsid w:val="00563EFA"/>
    <w:rsid w:val="00563FCC"/>
    <w:rsid w:val="00563FED"/>
    <w:rsid w:val="005641BB"/>
    <w:rsid w:val="005641E4"/>
    <w:rsid w:val="00564346"/>
    <w:rsid w:val="00564A31"/>
    <w:rsid w:val="00564B44"/>
    <w:rsid w:val="00564D1D"/>
    <w:rsid w:val="00564E15"/>
    <w:rsid w:val="0056508B"/>
    <w:rsid w:val="005650CC"/>
    <w:rsid w:val="005650CE"/>
    <w:rsid w:val="00565247"/>
    <w:rsid w:val="005652A5"/>
    <w:rsid w:val="005652F1"/>
    <w:rsid w:val="00565316"/>
    <w:rsid w:val="00565734"/>
    <w:rsid w:val="005657C3"/>
    <w:rsid w:val="00565C66"/>
    <w:rsid w:val="00565C70"/>
    <w:rsid w:val="00565E32"/>
    <w:rsid w:val="00565EB7"/>
    <w:rsid w:val="00565F33"/>
    <w:rsid w:val="00565FAC"/>
    <w:rsid w:val="00565FB3"/>
    <w:rsid w:val="00566027"/>
    <w:rsid w:val="005660CC"/>
    <w:rsid w:val="00566275"/>
    <w:rsid w:val="00566650"/>
    <w:rsid w:val="00566811"/>
    <w:rsid w:val="005668EF"/>
    <w:rsid w:val="00566AD0"/>
    <w:rsid w:val="00566CAB"/>
    <w:rsid w:val="0056716A"/>
    <w:rsid w:val="0056730A"/>
    <w:rsid w:val="005674A4"/>
    <w:rsid w:val="0056757A"/>
    <w:rsid w:val="00567798"/>
    <w:rsid w:val="005679EC"/>
    <w:rsid w:val="00567A70"/>
    <w:rsid w:val="00567B24"/>
    <w:rsid w:val="00567CE3"/>
    <w:rsid w:val="00567D12"/>
    <w:rsid w:val="00567D34"/>
    <w:rsid w:val="00567DB8"/>
    <w:rsid w:val="00567DCA"/>
    <w:rsid w:val="00567EE2"/>
    <w:rsid w:val="0057007B"/>
    <w:rsid w:val="00570140"/>
    <w:rsid w:val="00570565"/>
    <w:rsid w:val="005705EA"/>
    <w:rsid w:val="0057081C"/>
    <w:rsid w:val="00570823"/>
    <w:rsid w:val="0057089C"/>
    <w:rsid w:val="00570D31"/>
    <w:rsid w:val="00570F35"/>
    <w:rsid w:val="00570F48"/>
    <w:rsid w:val="0057110E"/>
    <w:rsid w:val="00571B55"/>
    <w:rsid w:val="00571EA0"/>
    <w:rsid w:val="00571EE3"/>
    <w:rsid w:val="00572097"/>
    <w:rsid w:val="005721F9"/>
    <w:rsid w:val="005722A6"/>
    <w:rsid w:val="0057267B"/>
    <w:rsid w:val="005727CB"/>
    <w:rsid w:val="0057287E"/>
    <w:rsid w:val="00572C32"/>
    <w:rsid w:val="00572CEF"/>
    <w:rsid w:val="00572E5D"/>
    <w:rsid w:val="00572FC2"/>
    <w:rsid w:val="00573026"/>
    <w:rsid w:val="005734B2"/>
    <w:rsid w:val="00573599"/>
    <w:rsid w:val="005736F6"/>
    <w:rsid w:val="005737D3"/>
    <w:rsid w:val="00573911"/>
    <w:rsid w:val="00573A2F"/>
    <w:rsid w:val="00573A67"/>
    <w:rsid w:val="00573C59"/>
    <w:rsid w:val="00573F4B"/>
    <w:rsid w:val="0057422A"/>
    <w:rsid w:val="00574252"/>
    <w:rsid w:val="00574557"/>
    <w:rsid w:val="00574576"/>
    <w:rsid w:val="00574624"/>
    <w:rsid w:val="00574829"/>
    <w:rsid w:val="005748B3"/>
    <w:rsid w:val="00574952"/>
    <w:rsid w:val="00574A98"/>
    <w:rsid w:val="00574B14"/>
    <w:rsid w:val="00574B69"/>
    <w:rsid w:val="00574B8D"/>
    <w:rsid w:val="00574E21"/>
    <w:rsid w:val="00575509"/>
    <w:rsid w:val="0057563A"/>
    <w:rsid w:val="005756C2"/>
    <w:rsid w:val="005757B9"/>
    <w:rsid w:val="005757C2"/>
    <w:rsid w:val="00575A74"/>
    <w:rsid w:val="00575D30"/>
    <w:rsid w:val="00576209"/>
    <w:rsid w:val="0057635B"/>
    <w:rsid w:val="00576586"/>
    <w:rsid w:val="005766D3"/>
    <w:rsid w:val="00576BC0"/>
    <w:rsid w:val="00576D0B"/>
    <w:rsid w:val="00576FB5"/>
    <w:rsid w:val="00577172"/>
    <w:rsid w:val="0057733A"/>
    <w:rsid w:val="00577449"/>
    <w:rsid w:val="0057752C"/>
    <w:rsid w:val="0057770B"/>
    <w:rsid w:val="00577A51"/>
    <w:rsid w:val="00577DA8"/>
    <w:rsid w:val="005801B1"/>
    <w:rsid w:val="0058024A"/>
    <w:rsid w:val="00580308"/>
    <w:rsid w:val="0058077A"/>
    <w:rsid w:val="0058082B"/>
    <w:rsid w:val="005808C0"/>
    <w:rsid w:val="00580B3F"/>
    <w:rsid w:val="00580CF0"/>
    <w:rsid w:val="00580D1C"/>
    <w:rsid w:val="00580EB8"/>
    <w:rsid w:val="00580F18"/>
    <w:rsid w:val="0058116B"/>
    <w:rsid w:val="005814D1"/>
    <w:rsid w:val="0058162E"/>
    <w:rsid w:val="005817BA"/>
    <w:rsid w:val="0058193B"/>
    <w:rsid w:val="00581B50"/>
    <w:rsid w:val="00581BCC"/>
    <w:rsid w:val="00581C04"/>
    <w:rsid w:val="00581C7E"/>
    <w:rsid w:val="00581DE8"/>
    <w:rsid w:val="00581F5D"/>
    <w:rsid w:val="0058202A"/>
    <w:rsid w:val="005820FC"/>
    <w:rsid w:val="005821D5"/>
    <w:rsid w:val="005822A5"/>
    <w:rsid w:val="00582343"/>
    <w:rsid w:val="00582348"/>
    <w:rsid w:val="00582447"/>
    <w:rsid w:val="00582497"/>
    <w:rsid w:val="005824AA"/>
    <w:rsid w:val="00582547"/>
    <w:rsid w:val="005827B3"/>
    <w:rsid w:val="00582975"/>
    <w:rsid w:val="00582A6D"/>
    <w:rsid w:val="00582BFC"/>
    <w:rsid w:val="00582C35"/>
    <w:rsid w:val="00582D38"/>
    <w:rsid w:val="00582E22"/>
    <w:rsid w:val="00582FE4"/>
    <w:rsid w:val="00583186"/>
    <w:rsid w:val="005831D9"/>
    <w:rsid w:val="005833A6"/>
    <w:rsid w:val="005833D5"/>
    <w:rsid w:val="00583577"/>
    <w:rsid w:val="00583610"/>
    <w:rsid w:val="00583724"/>
    <w:rsid w:val="00583805"/>
    <w:rsid w:val="00583FDF"/>
    <w:rsid w:val="00584096"/>
    <w:rsid w:val="005841D3"/>
    <w:rsid w:val="005844AA"/>
    <w:rsid w:val="0058454C"/>
    <w:rsid w:val="00584882"/>
    <w:rsid w:val="00584A08"/>
    <w:rsid w:val="00584B53"/>
    <w:rsid w:val="00584BFB"/>
    <w:rsid w:val="00584E28"/>
    <w:rsid w:val="00584EA2"/>
    <w:rsid w:val="00585065"/>
    <w:rsid w:val="005852BA"/>
    <w:rsid w:val="005854FD"/>
    <w:rsid w:val="00585540"/>
    <w:rsid w:val="00585897"/>
    <w:rsid w:val="0058590B"/>
    <w:rsid w:val="00585C63"/>
    <w:rsid w:val="00585C92"/>
    <w:rsid w:val="00585D1A"/>
    <w:rsid w:val="00585D46"/>
    <w:rsid w:val="00586038"/>
    <w:rsid w:val="00586078"/>
    <w:rsid w:val="0058645D"/>
    <w:rsid w:val="00586470"/>
    <w:rsid w:val="00586888"/>
    <w:rsid w:val="0058698A"/>
    <w:rsid w:val="005869A4"/>
    <w:rsid w:val="00586A64"/>
    <w:rsid w:val="00586B79"/>
    <w:rsid w:val="00586FF4"/>
    <w:rsid w:val="005870BF"/>
    <w:rsid w:val="005874C3"/>
    <w:rsid w:val="0058769A"/>
    <w:rsid w:val="0058774A"/>
    <w:rsid w:val="005879B4"/>
    <w:rsid w:val="00587AA7"/>
    <w:rsid w:val="00587ADB"/>
    <w:rsid w:val="00587C1F"/>
    <w:rsid w:val="00587D0E"/>
    <w:rsid w:val="00587D3E"/>
    <w:rsid w:val="00587EC9"/>
    <w:rsid w:val="00587EE6"/>
    <w:rsid w:val="00590055"/>
    <w:rsid w:val="00590221"/>
    <w:rsid w:val="005902A5"/>
    <w:rsid w:val="005907D0"/>
    <w:rsid w:val="00590904"/>
    <w:rsid w:val="00590A21"/>
    <w:rsid w:val="00590B30"/>
    <w:rsid w:val="00590D62"/>
    <w:rsid w:val="00590D84"/>
    <w:rsid w:val="00590D94"/>
    <w:rsid w:val="0059110C"/>
    <w:rsid w:val="005912B7"/>
    <w:rsid w:val="005914D8"/>
    <w:rsid w:val="005918C2"/>
    <w:rsid w:val="00591C94"/>
    <w:rsid w:val="00591DC4"/>
    <w:rsid w:val="0059290A"/>
    <w:rsid w:val="00592B37"/>
    <w:rsid w:val="00592BEC"/>
    <w:rsid w:val="00592C57"/>
    <w:rsid w:val="00592CDE"/>
    <w:rsid w:val="00592CF0"/>
    <w:rsid w:val="00592D0F"/>
    <w:rsid w:val="00592D3F"/>
    <w:rsid w:val="00593007"/>
    <w:rsid w:val="005930AF"/>
    <w:rsid w:val="0059312A"/>
    <w:rsid w:val="0059374C"/>
    <w:rsid w:val="00593829"/>
    <w:rsid w:val="0059398C"/>
    <w:rsid w:val="00593CEC"/>
    <w:rsid w:val="00593D68"/>
    <w:rsid w:val="00593E68"/>
    <w:rsid w:val="00593EE8"/>
    <w:rsid w:val="00593F38"/>
    <w:rsid w:val="0059405C"/>
    <w:rsid w:val="00594308"/>
    <w:rsid w:val="0059447C"/>
    <w:rsid w:val="005946DA"/>
    <w:rsid w:val="00594771"/>
    <w:rsid w:val="0059497F"/>
    <w:rsid w:val="00594989"/>
    <w:rsid w:val="00594D10"/>
    <w:rsid w:val="00594DE1"/>
    <w:rsid w:val="00594E15"/>
    <w:rsid w:val="00594F37"/>
    <w:rsid w:val="00594F41"/>
    <w:rsid w:val="00594FEA"/>
    <w:rsid w:val="00595210"/>
    <w:rsid w:val="00595271"/>
    <w:rsid w:val="00595547"/>
    <w:rsid w:val="00595559"/>
    <w:rsid w:val="00595602"/>
    <w:rsid w:val="00595658"/>
    <w:rsid w:val="005956E9"/>
    <w:rsid w:val="005957B1"/>
    <w:rsid w:val="00595983"/>
    <w:rsid w:val="0059599A"/>
    <w:rsid w:val="0059599B"/>
    <w:rsid w:val="00595AB5"/>
    <w:rsid w:val="00595D63"/>
    <w:rsid w:val="00595EE9"/>
    <w:rsid w:val="00596027"/>
    <w:rsid w:val="005962B2"/>
    <w:rsid w:val="0059637F"/>
    <w:rsid w:val="0059646E"/>
    <w:rsid w:val="00596710"/>
    <w:rsid w:val="005968E3"/>
    <w:rsid w:val="005969E1"/>
    <w:rsid w:val="00596AF8"/>
    <w:rsid w:val="00596BD9"/>
    <w:rsid w:val="00596DC0"/>
    <w:rsid w:val="00596E48"/>
    <w:rsid w:val="00596F5C"/>
    <w:rsid w:val="0059709B"/>
    <w:rsid w:val="00597288"/>
    <w:rsid w:val="00597346"/>
    <w:rsid w:val="005973C5"/>
    <w:rsid w:val="0059751B"/>
    <w:rsid w:val="0059761E"/>
    <w:rsid w:val="00597778"/>
    <w:rsid w:val="00597AB5"/>
    <w:rsid w:val="00597DCE"/>
    <w:rsid w:val="005A009C"/>
    <w:rsid w:val="005A00E3"/>
    <w:rsid w:val="005A0167"/>
    <w:rsid w:val="005A02B5"/>
    <w:rsid w:val="005A02CB"/>
    <w:rsid w:val="005A0411"/>
    <w:rsid w:val="005A05D0"/>
    <w:rsid w:val="005A0838"/>
    <w:rsid w:val="005A0D0A"/>
    <w:rsid w:val="005A0EF5"/>
    <w:rsid w:val="005A0F9C"/>
    <w:rsid w:val="005A1114"/>
    <w:rsid w:val="005A111C"/>
    <w:rsid w:val="005A1211"/>
    <w:rsid w:val="005A1387"/>
    <w:rsid w:val="005A1456"/>
    <w:rsid w:val="005A1651"/>
    <w:rsid w:val="005A179C"/>
    <w:rsid w:val="005A198C"/>
    <w:rsid w:val="005A1BA0"/>
    <w:rsid w:val="005A1CAC"/>
    <w:rsid w:val="005A1E26"/>
    <w:rsid w:val="005A1F44"/>
    <w:rsid w:val="005A1F56"/>
    <w:rsid w:val="005A1FD2"/>
    <w:rsid w:val="005A1FE6"/>
    <w:rsid w:val="005A20CA"/>
    <w:rsid w:val="005A21E2"/>
    <w:rsid w:val="005A22BC"/>
    <w:rsid w:val="005A247B"/>
    <w:rsid w:val="005A258B"/>
    <w:rsid w:val="005A2729"/>
    <w:rsid w:val="005A27F1"/>
    <w:rsid w:val="005A293D"/>
    <w:rsid w:val="005A29C9"/>
    <w:rsid w:val="005A2BDA"/>
    <w:rsid w:val="005A2CAF"/>
    <w:rsid w:val="005A2D71"/>
    <w:rsid w:val="005A2E00"/>
    <w:rsid w:val="005A2E51"/>
    <w:rsid w:val="005A2F27"/>
    <w:rsid w:val="005A3379"/>
    <w:rsid w:val="005A34DA"/>
    <w:rsid w:val="005A3518"/>
    <w:rsid w:val="005A37F7"/>
    <w:rsid w:val="005A390C"/>
    <w:rsid w:val="005A40F6"/>
    <w:rsid w:val="005A4383"/>
    <w:rsid w:val="005A45F6"/>
    <w:rsid w:val="005A491A"/>
    <w:rsid w:val="005A4DC9"/>
    <w:rsid w:val="005A511D"/>
    <w:rsid w:val="005A5279"/>
    <w:rsid w:val="005A527F"/>
    <w:rsid w:val="005A5339"/>
    <w:rsid w:val="005A53FA"/>
    <w:rsid w:val="005A5466"/>
    <w:rsid w:val="005A55EE"/>
    <w:rsid w:val="005A5672"/>
    <w:rsid w:val="005A577F"/>
    <w:rsid w:val="005A58D7"/>
    <w:rsid w:val="005A5A41"/>
    <w:rsid w:val="005A5C04"/>
    <w:rsid w:val="005A5D73"/>
    <w:rsid w:val="005A5D92"/>
    <w:rsid w:val="005A5E38"/>
    <w:rsid w:val="005A5FB1"/>
    <w:rsid w:val="005A6091"/>
    <w:rsid w:val="005A617E"/>
    <w:rsid w:val="005A6263"/>
    <w:rsid w:val="005A63CA"/>
    <w:rsid w:val="005A63D8"/>
    <w:rsid w:val="005A6896"/>
    <w:rsid w:val="005A694A"/>
    <w:rsid w:val="005A698D"/>
    <w:rsid w:val="005A6A9A"/>
    <w:rsid w:val="005A6B5C"/>
    <w:rsid w:val="005A6BBD"/>
    <w:rsid w:val="005A6CF4"/>
    <w:rsid w:val="005A6D5D"/>
    <w:rsid w:val="005A6FA7"/>
    <w:rsid w:val="005A7335"/>
    <w:rsid w:val="005A7567"/>
    <w:rsid w:val="005A76E8"/>
    <w:rsid w:val="005A7722"/>
    <w:rsid w:val="005A783C"/>
    <w:rsid w:val="005A7951"/>
    <w:rsid w:val="005A7B51"/>
    <w:rsid w:val="005A7CA1"/>
    <w:rsid w:val="005A7E25"/>
    <w:rsid w:val="005B00CF"/>
    <w:rsid w:val="005B00FB"/>
    <w:rsid w:val="005B0175"/>
    <w:rsid w:val="005B0256"/>
    <w:rsid w:val="005B02CF"/>
    <w:rsid w:val="005B051C"/>
    <w:rsid w:val="005B0622"/>
    <w:rsid w:val="005B0838"/>
    <w:rsid w:val="005B089C"/>
    <w:rsid w:val="005B09C0"/>
    <w:rsid w:val="005B09FD"/>
    <w:rsid w:val="005B0FEB"/>
    <w:rsid w:val="005B118E"/>
    <w:rsid w:val="005B1238"/>
    <w:rsid w:val="005B13FA"/>
    <w:rsid w:val="005B1746"/>
    <w:rsid w:val="005B1765"/>
    <w:rsid w:val="005B186A"/>
    <w:rsid w:val="005B1965"/>
    <w:rsid w:val="005B1B2B"/>
    <w:rsid w:val="005B1BD1"/>
    <w:rsid w:val="005B1BEF"/>
    <w:rsid w:val="005B1C1A"/>
    <w:rsid w:val="005B1E1D"/>
    <w:rsid w:val="005B1E4A"/>
    <w:rsid w:val="005B1FA9"/>
    <w:rsid w:val="005B20C9"/>
    <w:rsid w:val="005B2179"/>
    <w:rsid w:val="005B2245"/>
    <w:rsid w:val="005B2276"/>
    <w:rsid w:val="005B267D"/>
    <w:rsid w:val="005B269B"/>
    <w:rsid w:val="005B2803"/>
    <w:rsid w:val="005B29EF"/>
    <w:rsid w:val="005B2B81"/>
    <w:rsid w:val="005B2B9C"/>
    <w:rsid w:val="005B2C34"/>
    <w:rsid w:val="005B2C88"/>
    <w:rsid w:val="005B2D60"/>
    <w:rsid w:val="005B30BC"/>
    <w:rsid w:val="005B3149"/>
    <w:rsid w:val="005B33FA"/>
    <w:rsid w:val="005B37ED"/>
    <w:rsid w:val="005B38F5"/>
    <w:rsid w:val="005B3904"/>
    <w:rsid w:val="005B3C8B"/>
    <w:rsid w:val="005B4052"/>
    <w:rsid w:val="005B41E4"/>
    <w:rsid w:val="005B45A9"/>
    <w:rsid w:val="005B4DF1"/>
    <w:rsid w:val="005B5175"/>
    <w:rsid w:val="005B529B"/>
    <w:rsid w:val="005B52D1"/>
    <w:rsid w:val="005B5478"/>
    <w:rsid w:val="005B556F"/>
    <w:rsid w:val="005B5715"/>
    <w:rsid w:val="005B5915"/>
    <w:rsid w:val="005B5C25"/>
    <w:rsid w:val="005B5EF0"/>
    <w:rsid w:val="005B5FDE"/>
    <w:rsid w:val="005B60CA"/>
    <w:rsid w:val="005B6286"/>
    <w:rsid w:val="005B632A"/>
    <w:rsid w:val="005B63AB"/>
    <w:rsid w:val="005B6516"/>
    <w:rsid w:val="005B6535"/>
    <w:rsid w:val="005B6536"/>
    <w:rsid w:val="005B65CF"/>
    <w:rsid w:val="005B6696"/>
    <w:rsid w:val="005B66C4"/>
    <w:rsid w:val="005B6A88"/>
    <w:rsid w:val="005B6C12"/>
    <w:rsid w:val="005B6C60"/>
    <w:rsid w:val="005B6D2B"/>
    <w:rsid w:val="005B6ED1"/>
    <w:rsid w:val="005B7117"/>
    <w:rsid w:val="005B7148"/>
    <w:rsid w:val="005B7431"/>
    <w:rsid w:val="005B74E1"/>
    <w:rsid w:val="005B75AE"/>
    <w:rsid w:val="005B761A"/>
    <w:rsid w:val="005B77EB"/>
    <w:rsid w:val="005B7864"/>
    <w:rsid w:val="005B7B0A"/>
    <w:rsid w:val="005B7C4C"/>
    <w:rsid w:val="005B7CE5"/>
    <w:rsid w:val="005B7F29"/>
    <w:rsid w:val="005B7FDD"/>
    <w:rsid w:val="005C0086"/>
    <w:rsid w:val="005C01D7"/>
    <w:rsid w:val="005C02F2"/>
    <w:rsid w:val="005C05D1"/>
    <w:rsid w:val="005C0802"/>
    <w:rsid w:val="005C0A0E"/>
    <w:rsid w:val="005C0A7B"/>
    <w:rsid w:val="005C0E25"/>
    <w:rsid w:val="005C10D7"/>
    <w:rsid w:val="005C1257"/>
    <w:rsid w:val="005C14AF"/>
    <w:rsid w:val="005C158F"/>
    <w:rsid w:val="005C15AB"/>
    <w:rsid w:val="005C15FE"/>
    <w:rsid w:val="005C1625"/>
    <w:rsid w:val="005C16F0"/>
    <w:rsid w:val="005C1A40"/>
    <w:rsid w:val="005C1B0C"/>
    <w:rsid w:val="005C1CBB"/>
    <w:rsid w:val="005C2116"/>
    <w:rsid w:val="005C2225"/>
    <w:rsid w:val="005C2287"/>
    <w:rsid w:val="005C22EE"/>
    <w:rsid w:val="005C2460"/>
    <w:rsid w:val="005C26C2"/>
    <w:rsid w:val="005C26C4"/>
    <w:rsid w:val="005C2875"/>
    <w:rsid w:val="005C2AB1"/>
    <w:rsid w:val="005C2AC1"/>
    <w:rsid w:val="005C2C45"/>
    <w:rsid w:val="005C30B3"/>
    <w:rsid w:val="005C3200"/>
    <w:rsid w:val="005C336B"/>
    <w:rsid w:val="005C36B7"/>
    <w:rsid w:val="005C3846"/>
    <w:rsid w:val="005C389E"/>
    <w:rsid w:val="005C3AEA"/>
    <w:rsid w:val="005C3BE0"/>
    <w:rsid w:val="005C3E26"/>
    <w:rsid w:val="005C3EAD"/>
    <w:rsid w:val="005C3F15"/>
    <w:rsid w:val="005C408C"/>
    <w:rsid w:val="005C4470"/>
    <w:rsid w:val="005C48D4"/>
    <w:rsid w:val="005C491F"/>
    <w:rsid w:val="005C49C1"/>
    <w:rsid w:val="005C49DC"/>
    <w:rsid w:val="005C4CC8"/>
    <w:rsid w:val="005C4CD3"/>
    <w:rsid w:val="005C509F"/>
    <w:rsid w:val="005C5149"/>
    <w:rsid w:val="005C5343"/>
    <w:rsid w:val="005C53AA"/>
    <w:rsid w:val="005C54DC"/>
    <w:rsid w:val="005C57AD"/>
    <w:rsid w:val="005C58B3"/>
    <w:rsid w:val="005C5A27"/>
    <w:rsid w:val="005C5B50"/>
    <w:rsid w:val="005C5B82"/>
    <w:rsid w:val="005C5DA8"/>
    <w:rsid w:val="005C5E15"/>
    <w:rsid w:val="005C5E3D"/>
    <w:rsid w:val="005C5F1A"/>
    <w:rsid w:val="005C63A8"/>
    <w:rsid w:val="005C6742"/>
    <w:rsid w:val="005C69CE"/>
    <w:rsid w:val="005C6AB0"/>
    <w:rsid w:val="005C6B26"/>
    <w:rsid w:val="005C6B81"/>
    <w:rsid w:val="005C6BCF"/>
    <w:rsid w:val="005C6E53"/>
    <w:rsid w:val="005C6F58"/>
    <w:rsid w:val="005C71CA"/>
    <w:rsid w:val="005C725F"/>
    <w:rsid w:val="005C742E"/>
    <w:rsid w:val="005C7540"/>
    <w:rsid w:val="005C756D"/>
    <w:rsid w:val="005C782A"/>
    <w:rsid w:val="005C7AAF"/>
    <w:rsid w:val="005C7B43"/>
    <w:rsid w:val="005C7C16"/>
    <w:rsid w:val="005C7F51"/>
    <w:rsid w:val="005D0045"/>
    <w:rsid w:val="005D02A0"/>
    <w:rsid w:val="005D03C2"/>
    <w:rsid w:val="005D0425"/>
    <w:rsid w:val="005D0503"/>
    <w:rsid w:val="005D05D2"/>
    <w:rsid w:val="005D0869"/>
    <w:rsid w:val="005D0957"/>
    <w:rsid w:val="005D0A65"/>
    <w:rsid w:val="005D0A70"/>
    <w:rsid w:val="005D11B1"/>
    <w:rsid w:val="005D1523"/>
    <w:rsid w:val="005D165B"/>
    <w:rsid w:val="005D1955"/>
    <w:rsid w:val="005D1A02"/>
    <w:rsid w:val="005D1CC4"/>
    <w:rsid w:val="005D21A4"/>
    <w:rsid w:val="005D2273"/>
    <w:rsid w:val="005D22B0"/>
    <w:rsid w:val="005D23A2"/>
    <w:rsid w:val="005D25A8"/>
    <w:rsid w:val="005D25DE"/>
    <w:rsid w:val="005D2AD6"/>
    <w:rsid w:val="005D2B45"/>
    <w:rsid w:val="005D2B68"/>
    <w:rsid w:val="005D2B6B"/>
    <w:rsid w:val="005D2C1C"/>
    <w:rsid w:val="005D2C49"/>
    <w:rsid w:val="005D2EAD"/>
    <w:rsid w:val="005D32FC"/>
    <w:rsid w:val="005D3302"/>
    <w:rsid w:val="005D336A"/>
    <w:rsid w:val="005D33CC"/>
    <w:rsid w:val="005D3602"/>
    <w:rsid w:val="005D3BA1"/>
    <w:rsid w:val="005D3C72"/>
    <w:rsid w:val="005D3CA1"/>
    <w:rsid w:val="005D3DE1"/>
    <w:rsid w:val="005D3E0B"/>
    <w:rsid w:val="005D3EA0"/>
    <w:rsid w:val="005D4551"/>
    <w:rsid w:val="005D4574"/>
    <w:rsid w:val="005D48F9"/>
    <w:rsid w:val="005D49BA"/>
    <w:rsid w:val="005D4AAF"/>
    <w:rsid w:val="005D4E52"/>
    <w:rsid w:val="005D4E56"/>
    <w:rsid w:val="005D5036"/>
    <w:rsid w:val="005D50A3"/>
    <w:rsid w:val="005D50D4"/>
    <w:rsid w:val="005D521A"/>
    <w:rsid w:val="005D524E"/>
    <w:rsid w:val="005D5443"/>
    <w:rsid w:val="005D5531"/>
    <w:rsid w:val="005D55D5"/>
    <w:rsid w:val="005D560F"/>
    <w:rsid w:val="005D5777"/>
    <w:rsid w:val="005D57FA"/>
    <w:rsid w:val="005D5AB1"/>
    <w:rsid w:val="005D5ABC"/>
    <w:rsid w:val="005D5BCE"/>
    <w:rsid w:val="005D5E78"/>
    <w:rsid w:val="005D5F60"/>
    <w:rsid w:val="005D60F2"/>
    <w:rsid w:val="005D6246"/>
    <w:rsid w:val="005D62B0"/>
    <w:rsid w:val="005D63C0"/>
    <w:rsid w:val="005D6543"/>
    <w:rsid w:val="005D65CD"/>
    <w:rsid w:val="005D65F5"/>
    <w:rsid w:val="005D66C7"/>
    <w:rsid w:val="005D66DA"/>
    <w:rsid w:val="005D67A5"/>
    <w:rsid w:val="005D685B"/>
    <w:rsid w:val="005D6981"/>
    <w:rsid w:val="005D6B6C"/>
    <w:rsid w:val="005D6C47"/>
    <w:rsid w:val="005D6D42"/>
    <w:rsid w:val="005D6DDA"/>
    <w:rsid w:val="005D6FC9"/>
    <w:rsid w:val="005D71F3"/>
    <w:rsid w:val="005D71F9"/>
    <w:rsid w:val="005D738B"/>
    <w:rsid w:val="005D7552"/>
    <w:rsid w:val="005D76F6"/>
    <w:rsid w:val="005D77B9"/>
    <w:rsid w:val="005D77CD"/>
    <w:rsid w:val="005D7881"/>
    <w:rsid w:val="005D7A73"/>
    <w:rsid w:val="005D7B85"/>
    <w:rsid w:val="005D7BC3"/>
    <w:rsid w:val="005D7D07"/>
    <w:rsid w:val="005D7D6D"/>
    <w:rsid w:val="005E01AC"/>
    <w:rsid w:val="005E06C1"/>
    <w:rsid w:val="005E0887"/>
    <w:rsid w:val="005E08BF"/>
    <w:rsid w:val="005E0A4A"/>
    <w:rsid w:val="005E0C47"/>
    <w:rsid w:val="005E0ED1"/>
    <w:rsid w:val="005E0F2E"/>
    <w:rsid w:val="005E1199"/>
    <w:rsid w:val="005E1218"/>
    <w:rsid w:val="005E1219"/>
    <w:rsid w:val="005E132D"/>
    <w:rsid w:val="005E160D"/>
    <w:rsid w:val="005E186B"/>
    <w:rsid w:val="005E187D"/>
    <w:rsid w:val="005E18E8"/>
    <w:rsid w:val="005E1D0C"/>
    <w:rsid w:val="005E1D4F"/>
    <w:rsid w:val="005E1D51"/>
    <w:rsid w:val="005E1D88"/>
    <w:rsid w:val="005E1FC4"/>
    <w:rsid w:val="005E2043"/>
    <w:rsid w:val="005E212C"/>
    <w:rsid w:val="005E24AD"/>
    <w:rsid w:val="005E2507"/>
    <w:rsid w:val="005E27EC"/>
    <w:rsid w:val="005E28A0"/>
    <w:rsid w:val="005E28B1"/>
    <w:rsid w:val="005E28B4"/>
    <w:rsid w:val="005E2A12"/>
    <w:rsid w:val="005E2B67"/>
    <w:rsid w:val="005E2F12"/>
    <w:rsid w:val="005E3063"/>
    <w:rsid w:val="005E306F"/>
    <w:rsid w:val="005E310D"/>
    <w:rsid w:val="005E322E"/>
    <w:rsid w:val="005E32F3"/>
    <w:rsid w:val="005E331A"/>
    <w:rsid w:val="005E335A"/>
    <w:rsid w:val="005E3554"/>
    <w:rsid w:val="005E3599"/>
    <w:rsid w:val="005E36D8"/>
    <w:rsid w:val="005E3D74"/>
    <w:rsid w:val="005E3F18"/>
    <w:rsid w:val="005E3F7E"/>
    <w:rsid w:val="005E4220"/>
    <w:rsid w:val="005E4A06"/>
    <w:rsid w:val="005E4B40"/>
    <w:rsid w:val="005E4D4D"/>
    <w:rsid w:val="005E4D61"/>
    <w:rsid w:val="005E510B"/>
    <w:rsid w:val="005E56BF"/>
    <w:rsid w:val="005E56F4"/>
    <w:rsid w:val="005E5777"/>
    <w:rsid w:val="005E5879"/>
    <w:rsid w:val="005E59E9"/>
    <w:rsid w:val="005E59FA"/>
    <w:rsid w:val="005E5A93"/>
    <w:rsid w:val="005E5C13"/>
    <w:rsid w:val="005E5E4E"/>
    <w:rsid w:val="005E5E80"/>
    <w:rsid w:val="005E5E8E"/>
    <w:rsid w:val="005E5EB2"/>
    <w:rsid w:val="005E5FBA"/>
    <w:rsid w:val="005E5FF0"/>
    <w:rsid w:val="005E5FF8"/>
    <w:rsid w:val="005E6272"/>
    <w:rsid w:val="005E6289"/>
    <w:rsid w:val="005E62EE"/>
    <w:rsid w:val="005E65FD"/>
    <w:rsid w:val="005E6991"/>
    <w:rsid w:val="005E6C4A"/>
    <w:rsid w:val="005E6FD5"/>
    <w:rsid w:val="005E6FE6"/>
    <w:rsid w:val="005E7108"/>
    <w:rsid w:val="005E75BB"/>
    <w:rsid w:val="005E7657"/>
    <w:rsid w:val="005E7ABB"/>
    <w:rsid w:val="005E7B28"/>
    <w:rsid w:val="005E7BB1"/>
    <w:rsid w:val="005E7BD1"/>
    <w:rsid w:val="005E7C0A"/>
    <w:rsid w:val="005E7C3A"/>
    <w:rsid w:val="005E7CC5"/>
    <w:rsid w:val="005E7D7E"/>
    <w:rsid w:val="005E7D9C"/>
    <w:rsid w:val="005F02BA"/>
    <w:rsid w:val="005F05C1"/>
    <w:rsid w:val="005F05EE"/>
    <w:rsid w:val="005F0691"/>
    <w:rsid w:val="005F0BEC"/>
    <w:rsid w:val="005F0CA3"/>
    <w:rsid w:val="005F0F2A"/>
    <w:rsid w:val="005F0F6C"/>
    <w:rsid w:val="005F0FC7"/>
    <w:rsid w:val="005F137A"/>
    <w:rsid w:val="005F13D5"/>
    <w:rsid w:val="005F1423"/>
    <w:rsid w:val="005F149D"/>
    <w:rsid w:val="005F16D1"/>
    <w:rsid w:val="005F1B4D"/>
    <w:rsid w:val="005F2149"/>
    <w:rsid w:val="005F23F3"/>
    <w:rsid w:val="005F25E3"/>
    <w:rsid w:val="005F265A"/>
    <w:rsid w:val="005F2699"/>
    <w:rsid w:val="005F2820"/>
    <w:rsid w:val="005F28A8"/>
    <w:rsid w:val="005F28EC"/>
    <w:rsid w:val="005F2A1A"/>
    <w:rsid w:val="005F2B9D"/>
    <w:rsid w:val="005F2C2E"/>
    <w:rsid w:val="005F2C8C"/>
    <w:rsid w:val="005F2DA4"/>
    <w:rsid w:val="005F2E74"/>
    <w:rsid w:val="005F32A0"/>
    <w:rsid w:val="005F32C1"/>
    <w:rsid w:val="005F3508"/>
    <w:rsid w:val="005F3575"/>
    <w:rsid w:val="005F35DE"/>
    <w:rsid w:val="005F35FF"/>
    <w:rsid w:val="005F381E"/>
    <w:rsid w:val="005F39BF"/>
    <w:rsid w:val="005F3CDD"/>
    <w:rsid w:val="005F3FA5"/>
    <w:rsid w:val="005F401B"/>
    <w:rsid w:val="005F401C"/>
    <w:rsid w:val="005F41C9"/>
    <w:rsid w:val="005F4566"/>
    <w:rsid w:val="005F49BF"/>
    <w:rsid w:val="005F4B15"/>
    <w:rsid w:val="005F4D0D"/>
    <w:rsid w:val="005F5045"/>
    <w:rsid w:val="005F50BD"/>
    <w:rsid w:val="005F5460"/>
    <w:rsid w:val="005F551F"/>
    <w:rsid w:val="005F5600"/>
    <w:rsid w:val="005F5684"/>
    <w:rsid w:val="005F57BF"/>
    <w:rsid w:val="005F580B"/>
    <w:rsid w:val="005F59AD"/>
    <w:rsid w:val="005F5E27"/>
    <w:rsid w:val="005F5E4B"/>
    <w:rsid w:val="005F5EAA"/>
    <w:rsid w:val="005F6073"/>
    <w:rsid w:val="005F6379"/>
    <w:rsid w:val="005F6570"/>
    <w:rsid w:val="005F65F6"/>
    <w:rsid w:val="005F67F4"/>
    <w:rsid w:val="005F6980"/>
    <w:rsid w:val="005F6F53"/>
    <w:rsid w:val="005F6FC2"/>
    <w:rsid w:val="005F7017"/>
    <w:rsid w:val="005F715E"/>
    <w:rsid w:val="005F717D"/>
    <w:rsid w:val="005F72C9"/>
    <w:rsid w:val="005F74F7"/>
    <w:rsid w:val="005F7542"/>
    <w:rsid w:val="005F77D6"/>
    <w:rsid w:val="005F78AF"/>
    <w:rsid w:val="005F7B19"/>
    <w:rsid w:val="005F7D19"/>
    <w:rsid w:val="006000F8"/>
    <w:rsid w:val="006001D4"/>
    <w:rsid w:val="006003FC"/>
    <w:rsid w:val="006004BF"/>
    <w:rsid w:val="006004D3"/>
    <w:rsid w:val="006006D0"/>
    <w:rsid w:val="006006F1"/>
    <w:rsid w:val="0060076B"/>
    <w:rsid w:val="00600858"/>
    <w:rsid w:val="00600980"/>
    <w:rsid w:val="006009A8"/>
    <w:rsid w:val="00600AF5"/>
    <w:rsid w:val="00600BBF"/>
    <w:rsid w:val="00600E24"/>
    <w:rsid w:val="00600E79"/>
    <w:rsid w:val="00600E9F"/>
    <w:rsid w:val="00600FEB"/>
    <w:rsid w:val="0060102D"/>
    <w:rsid w:val="00601273"/>
    <w:rsid w:val="006014C2"/>
    <w:rsid w:val="006016B4"/>
    <w:rsid w:val="006019DE"/>
    <w:rsid w:val="006019F7"/>
    <w:rsid w:val="00601A00"/>
    <w:rsid w:val="00601A9A"/>
    <w:rsid w:val="00601B40"/>
    <w:rsid w:val="00601C28"/>
    <w:rsid w:val="00601CD4"/>
    <w:rsid w:val="00601DAF"/>
    <w:rsid w:val="0060204D"/>
    <w:rsid w:val="006020B8"/>
    <w:rsid w:val="006021FD"/>
    <w:rsid w:val="00602670"/>
    <w:rsid w:val="006026BE"/>
    <w:rsid w:val="0060282A"/>
    <w:rsid w:val="0060299D"/>
    <w:rsid w:val="00602A32"/>
    <w:rsid w:val="00602F3A"/>
    <w:rsid w:val="00602FBB"/>
    <w:rsid w:val="00603025"/>
    <w:rsid w:val="006030F7"/>
    <w:rsid w:val="00603143"/>
    <w:rsid w:val="006033FA"/>
    <w:rsid w:val="006035C7"/>
    <w:rsid w:val="00603A7B"/>
    <w:rsid w:val="00603BC4"/>
    <w:rsid w:val="00603BEE"/>
    <w:rsid w:val="00603D97"/>
    <w:rsid w:val="00603DBE"/>
    <w:rsid w:val="00603E58"/>
    <w:rsid w:val="00603FAE"/>
    <w:rsid w:val="006042FB"/>
    <w:rsid w:val="00604327"/>
    <w:rsid w:val="0060443D"/>
    <w:rsid w:val="00604679"/>
    <w:rsid w:val="0060468B"/>
    <w:rsid w:val="006047DC"/>
    <w:rsid w:val="00604CAB"/>
    <w:rsid w:val="00605247"/>
    <w:rsid w:val="006052EF"/>
    <w:rsid w:val="006053E6"/>
    <w:rsid w:val="006056D1"/>
    <w:rsid w:val="006058F6"/>
    <w:rsid w:val="00605929"/>
    <w:rsid w:val="0060594A"/>
    <w:rsid w:val="006059A7"/>
    <w:rsid w:val="00605C72"/>
    <w:rsid w:val="00605C8E"/>
    <w:rsid w:val="00605DFD"/>
    <w:rsid w:val="00606008"/>
    <w:rsid w:val="006060C6"/>
    <w:rsid w:val="006060EC"/>
    <w:rsid w:val="00606136"/>
    <w:rsid w:val="00606158"/>
    <w:rsid w:val="006061DB"/>
    <w:rsid w:val="006062DD"/>
    <w:rsid w:val="006063F9"/>
    <w:rsid w:val="006064EA"/>
    <w:rsid w:val="006065E6"/>
    <w:rsid w:val="0060690B"/>
    <w:rsid w:val="00606979"/>
    <w:rsid w:val="006069C7"/>
    <w:rsid w:val="00606E69"/>
    <w:rsid w:val="0060705D"/>
    <w:rsid w:val="00607127"/>
    <w:rsid w:val="0060723E"/>
    <w:rsid w:val="00607347"/>
    <w:rsid w:val="0060739C"/>
    <w:rsid w:val="00607687"/>
    <w:rsid w:val="006077BA"/>
    <w:rsid w:val="00607882"/>
    <w:rsid w:val="00607976"/>
    <w:rsid w:val="0060798F"/>
    <w:rsid w:val="00607CF6"/>
    <w:rsid w:val="00607E5A"/>
    <w:rsid w:val="00607F58"/>
    <w:rsid w:val="00607F76"/>
    <w:rsid w:val="0061020A"/>
    <w:rsid w:val="006106BE"/>
    <w:rsid w:val="006108C9"/>
    <w:rsid w:val="00610981"/>
    <w:rsid w:val="00610985"/>
    <w:rsid w:val="00610BDD"/>
    <w:rsid w:val="00611349"/>
    <w:rsid w:val="006114BE"/>
    <w:rsid w:val="0061150F"/>
    <w:rsid w:val="0061157E"/>
    <w:rsid w:val="006115A6"/>
    <w:rsid w:val="0061163A"/>
    <w:rsid w:val="006116D7"/>
    <w:rsid w:val="00611C3A"/>
    <w:rsid w:val="00611CDB"/>
    <w:rsid w:val="00611DE7"/>
    <w:rsid w:val="00611EA0"/>
    <w:rsid w:val="0061226A"/>
    <w:rsid w:val="00612279"/>
    <w:rsid w:val="006123AD"/>
    <w:rsid w:val="0061249D"/>
    <w:rsid w:val="006124B9"/>
    <w:rsid w:val="006124C1"/>
    <w:rsid w:val="006125E0"/>
    <w:rsid w:val="0061284E"/>
    <w:rsid w:val="006128CE"/>
    <w:rsid w:val="00612ADF"/>
    <w:rsid w:val="00612B83"/>
    <w:rsid w:val="00612C91"/>
    <w:rsid w:val="00612DCA"/>
    <w:rsid w:val="00612DF4"/>
    <w:rsid w:val="00612F5B"/>
    <w:rsid w:val="00612F65"/>
    <w:rsid w:val="00612FCF"/>
    <w:rsid w:val="00613186"/>
    <w:rsid w:val="0061327B"/>
    <w:rsid w:val="006133A5"/>
    <w:rsid w:val="006139CF"/>
    <w:rsid w:val="00613A31"/>
    <w:rsid w:val="00613C74"/>
    <w:rsid w:val="00613DFC"/>
    <w:rsid w:val="006141AF"/>
    <w:rsid w:val="0061428D"/>
    <w:rsid w:val="00614474"/>
    <w:rsid w:val="006144B7"/>
    <w:rsid w:val="006146C0"/>
    <w:rsid w:val="00614794"/>
    <w:rsid w:val="006148CB"/>
    <w:rsid w:val="00614C96"/>
    <w:rsid w:val="00614E8F"/>
    <w:rsid w:val="00614EDC"/>
    <w:rsid w:val="00614F0D"/>
    <w:rsid w:val="00614F6C"/>
    <w:rsid w:val="006151D0"/>
    <w:rsid w:val="00615297"/>
    <w:rsid w:val="006153CE"/>
    <w:rsid w:val="006155C9"/>
    <w:rsid w:val="006155E3"/>
    <w:rsid w:val="00615693"/>
    <w:rsid w:val="006157C1"/>
    <w:rsid w:val="006157FC"/>
    <w:rsid w:val="00615923"/>
    <w:rsid w:val="00615962"/>
    <w:rsid w:val="00615A1E"/>
    <w:rsid w:val="00615AA0"/>
    <w:rsid w:val="00615C93"/>
    <w:rsid w:val="0061602F"/>
    <w:rsid w:val="00616114"/>
    <w:rsid w:val="0061611D"/>
    <w:rsid w:val="00616154"/>
    <w:rsid w:val="00616157"/>
    <w:rsid w:val="00616222"/>
    <w:rsid w:val="006163A6"/>
    <w:rsid w:val="006164D6"/>
    <w:rsid w:val="0061680E"/>
    <w:rsid w:val="00616A05"/>
    <w:rsid w:val="00616AFC"/>
    <w:rsid w:val="00616E2D"/>
    <w:rsid w:val="00616ED6"/>
    <w:rsid w:val="00616F0D"/>
    <w:rsid w:val="00617058"/>
    <w:rsid w:val="006170D4"/>
    <w:rsid w:val="00617125"/>
    <w:rsid w:val="006171DE"/>
    <w:rsid w:val="00617354"/>
    <w:rsid w:val="0061741B"/>
    <w:rsid w:val="00617439"/>
    <w:rsid w:val="0061760C"/>
    <w:rsid w:val="0061764F"/>
    <w:rsid w:val="0061767A"/>
    <w:rsid w:val="00617E2C"/>
    <w:rsid w:val="00617ECA"/>
    <w:rsid w:val="0062005F"/>
    <w:rsid w:val="006202A2"/>
    <w:rsid w:val="00620634"/>
    <w:rsid w:val="006206DD"/>
    <w:rsid w:val="00620761"/>
    <w:rsid w:val="00620783"/>
    <w:rsid w:val="00620A94"/>
    <w:rsid w:val="00620B05"/>
    <w:rsid w:val="00620DD4"/>
    <w:rsid w:val="00620F51"/>
    <w:rsid w:val="00620F61"/>
    <w:rsid w:val="00621344"/>
    <w:rsid w:val="006213C1"/>
    <w:rsid w:val="00621AB1"/>
    <w:rsid w:val="00621CEB"/>
    <w:rsid w:val="00621DF7"/>
    <w:rsid w:val="00621E88"/>
    <w:rsid w:val="00621EEC"/>
    <w:rsid w:val="00622252"/>
    <w:rsid w:val="00622346"/>
    <w:rsid w:val="006223D5"/>
    <w:rsid w:val="00622473"/>
    <w:rsid w:val="0062256A"/>
    <w:rsid w:val="00622878"/>
    <w:rsid w:val="006228A3"/>
    <w:rsid w:val="006229C2"/>
    <w:rsid w:val="00622C00"/>
    <w:rsid w:val="00622C01"/>
    <w:rsid w:val="00622C51"/>
    <w:rsid w:val="00622C6C"/>
    <w:rsid w:val="00622F70"/>
    <w:rsid w:val="00623012"/>
    <w:rsid w:val="0062307B"/>
    <w:rsid w:val="006230F7"/>
    <w:rsid w:val="006233CB"/>
    <w:rsid w:val="006233D9"/>
    <w:rsid w:val="006234E3"/>
    <w:rsid w:val="0062362B"/>
    <w:rsid w:val="00623771"/>
    <w:rsid w:val="006239DE"/>
    <w:rsid w:val="006239FE"/>
    <w:rsid w:val="00623AF9"/>
    <w:rsid w:val="00623B10"/>
    <w:rsid w:val="00623B6D"/>
    <w:rsid w:val="00623CED"/>
    <w:rsid w:val="00623E7F"/>
    <w:rsid w:val="00623F6C"/>
    <w:rsid w:val="00624070"/>
    <w:rsid w:val="006243D0"/>
    <w:rsid w:val="00624557"/>
    <w:rsid w:val="006248A4"/>
    <w:rsid w:val="0062499E"/>
    <w:rsid w:val="00624A7B"/>
    <w:rsid w:val="00624B6A"/>
    <w:rsid w:val="00624BC3"/>
    <w:rsid w:val="00624D86"/>
    <w:rsid w:val="00624DC7"/>
    <w:rsid w:val="00624DDD"/>
    <w:rsid w:val="00624E6E"/>
    <w:rsid w:val="00624EF5"/>
    <w:rsid w:val="0062524C"/>
    <w:rsid w:val="0062533C"/>
    <w:rsid w:val="00625428"/>
    <w:rsid w:val="006254D5"/>
    <w:rsid w:val="0062581D"/>
    <w:rsid w:val="0062583E"/>
    <w:rsid w:val="006258C0"/>
    <w:rsid w:val="00625CFE"/>
    <w:rsid w:val="00625DE3"/>
    <w:rsid w:val="0062606F"/>
    <w:rsid w:val="00626365"/>
    <w:rsid w:val="006263D8"/>
    <w:rsid w:val="006264B3"/>
    <w:rsid w:val="00626551"/>
    <w:rsid w:val="0062657D"/>
    <w:rsid w:val="0062661F"/>
    <w:rsid w:val="00626ABD"/>
    <w:rsid w:val="00626E1E"/>
    <w:rsid w:val="00626E55"/>
    <w:rsid w:val="006270D9"/>
    <w:rsid w:val="00627207"/>
    <w:rsid w:val="00627264"/>
    <w:rsid w:val="00627292"/>
    <w:rsid w:val="0062733A"/>
    <w:rsid w:val="006273BE"/>
    <w:rsid w:val="006277D5"/>
    <w:rsid w:val="006277F9"/>
    <w:rsid w:val="006279C8"/>
    <w:rsid w:val="00627C50"/>
    <w:rsid w:val="00627DE3"/>
    <w:rsid w:val="00630004"/>
    <w:rsid w:val="00630118"/>
    <w:rsid w:val="006301E5"/>
    <w:rsid w:val="0063036B"/>
    <w:rsid w:val="0063067A"/>
    <w:rsid w:val="00630A90"/>
    <w:rsid w:val="00630AC4"/>
    <w:rsid w:val="00630B6E"/>
    <w:rsid w:val="00630EA7"/>
    <w:rsid w:val="00630F78"/>
    <w:rsid w:val="006310F3"/>
    <w:rsid w:val="00631173"/>
    <w:rsid w:val="006311DA"/>
    <w:rsid w:val="00631387"/>
    <w:rsid w:val="0063174D"/>
    <w:rsid w:val="00631B0D"/>
    <w:rsid w:val="00631C29"/>
    <w:rsid w:val="00631C68"/>
    <w:rsid w:val="00631D2D"/>
    <w:rsid w:val="00631D99"/>
    <w:rsid w:val="00631E55"/>
    <w:rsid w:val="00631F70"/>
    <w:rsid w:val="006320BA"/>
    <w:rsid w:val="006322AF"/>
    <w:rsid w:val="0063239D"/>
    <w:rsid w:val="006324FF"/>
    <w:rsid w:val="006325AB"/>
    <w:rsid w:val="0063266F"/>
    <w:rsid w:val="006326B4"/>
    <w:rsid w:val="006326C5"/>
    <w:rsid w:val="006327CC"/>
    <w:rsid w:val="00632B08"/>
    <w:rsid w:val="00632C4A"/>
    <w:rsid w:val="00632E82"/>
    <w:rsid w:val="00632F91"/>
    <w:rsid w:val="006331C6"/>
    <w:rsid w:val="006335A9"/>
    <w:rsid w:val="0063367B"/>
    <w:rsid w:val="00633ADE"/>
    <w:rsid w:val="00633B29"/>
    <w:rsid w:val="00633CE7"/>
    <w:rsid w:val="00633D7D"/>
    <w:rsid w:val="0063424C"/>
    <w:rsid w:val="006343AA"/>
    <w:rsid w:val="0063449B"/>
    <w:rsid w:val="006344CF"/>
    <w:rsid w:val="00634564"/>
    <w:rsid w:val="0063463A"/>
    <w:rsid w:val="00634965"/>
    <w:rsid w:val="00634D24"/>
    <w:rsid w:val="00634F50"/>
    <w:rsid w:val="00634F5B"/>
    <w:rsid w:val="0063527F"/>
    <w:rsid w:val="006352B8"/>
    <w:rsid w:val="0063544B"/>
    <w:rsid w:val="0063567B"/>
    <w:rsid w:val="0063569E"/>
    <w:rsid w:val="006356E8"/>
    <w:rsid w:val="00635711"/>
    <w:rsid w:val="00635868"/>
    <w:rsid w:val="0063594C"/>
    <w:rsid w:val="00635BDD"/>
    <w:rsid w:val="00635E56"/>
    <w:rsid w:val="00635F3F"/>
    <w:rsid w:val="00635F88"/>
    <w:rsid w:val="00636038"/>
    <w:rsid w:val="006363AE"/>
    <w:rsid w:val="006365E6"/>
    <w:rsid w:val="00636683"/>
    <w:rsid w:val="0063684F"/>
    <w:rsid w:val="00636CA8"/>
    <w:rsid w:val="00636E00"/>
    <w:rsid w:val="00636FE3"/>
    <w:rsid w:val="0063702E"/>
    <w:rsid w:val="006370BA"/>
    <w:rsid w:val="006370CD"/>
    <w:rsid w:val="0063721B"/>
    <w:rsid w:val="0063734D"/>
    <w:rsid w:val="00637416"/>
    <w:rsid w:val="0063749C"/>
    <w:rsid w:val="00637564"/>
    <w:rsid w:val="00637695"/>
    <w:rsid w:val="00637807"/>
    <w:rsid w:val="00637A57"/>
    <w:rsid w:val="00637AB3"/>
    <w:rsid w:val="00637AF9"/>
    <w:rsid w:val="00637BB8"/>
    <w:rsid w:val="00637BD1"/>
    <w:rsid w:val="00637D45"/>
    <w:rsid w:val="00637DDE"/>
    <w:rsid w:val="00637ED2"/>
    <w:rsid w:val="00640064"/>
    <w:rsid w:val="00640120"/>
    <w:rsid w:val="0064038D"/>
    <w:rsid w:val="006403C7"/>
    <w:rsid w:val="0064058D"/>
    <w:rsid w:val="0064064A"/>
    <w:rsid w:val="00640667"/>
    <w:rsid w:val="0064079C"/>
    <w:rsid w:val="0064087E"/>
    <w:rsid w:val="00640BFB"/>
    <w:rsid w:val="00640D3E"/>
    <w:rsid w:val="00641112"/>
    <w:rsid w:val="006411F2"/>
    <w:rsid w:val="00641207"/>
    <w:rsid w:val="00641407"/>
    <w:rsid w:val="00641411"/>
    <w:rsid w:val="006414BA"/>
    <w:rsid w:val="006416BF"/>
    <w:rsid w:val="0064175A"/>
    <w:rsid w:val="00641A96"/>
    <w:rsid w:val="00641C80"/>
    <w:rsid w:val="00641CD2"/>
    <w:rsid w:val="00641E71"/>
    <w:rsid w:val="00642280"/>
    <w:rsid w:val="006422E5"/>
    <w:rsid w:val="00642689"/>
    <w:rsid w:val="006426E0"/>
    <w:rsid w:val="00642708"/>
    <w:rsid w:val="00642787"/>
    <w:rsid w:val="00642985"/>
    <w:rsid w:val="006429D3"/>
    <w:rsid w:val="00642ECC"/>
    <w:rsid w:val="00642FF5"/>
    <w:rsid w:val="00643004"/>
    <w:rsid w:val="006430BE"/>
    <w:rsid w:val="00643762"/>
    <w:rsid w:val="006437E1"/>
    <w:rsid w:val="006438E9"/>
    <w:rsid w:val="006438F8"/>
    <w:rsid w:val="006439F8"/>
    <w:rsid w:val="00643B5B"/>
    <w:rsid w:val="0064413C"/>
    <w:rsid w:val="0064416F"/>
    <w:rsid w:val="00644197"/>
    <w:rsid w:val="006443FE"/>
    <w:rsid w:val="006445A0"/>
    <w:rsid w:val="00644611"/>
    <w:rsid w:val="0064495E"/>
    <w:rsid w:val="00644B35"/>
    <w:rsid w:val="00644FBE"/>
    <w:rsid w:val="00645283"/>
    <w:rsid w:val="00645432"/>
    <w:rsid w:val="00645564"/>
    <w:rsid w:val="006458D5"/>
    <w:rsid w:val="00645ADB"/>
    <w:rsid w:val="00645C43"/>
    <w:rsid w:val="00645CDD"/>
    <w:rsid w:val="00645E9E"/>
    <w:rsid w:val="0064601A"/>
    <w:rsid w:val="006461CB"/>
    <w:rsid w:val="00646388"/>
    <w:rsid w:val="006464B6"/>
    <w:rsid w:val="00646650"/>
    <w:rsid w:val="00646862"/>
    <w:rsid w:val="00646AA7"/>
    <w:rsid w:val="00646C5D"/>
    <w:rsid w:val="00646C77"/>
    <w:rsid w:val="00646F0F"/>
    <w:rsid w:val="006471EE"/>
    <w:rsid w:val="00647396"/>
    <w:rsid w:val="00647455"/>
    <w:rsid w:val="00647469"/>
    <w:rsid w:val="006474A0"/>
    <w:rsid w:val="006475EA"/>
    <w:rsid w:val="00647697"/>
    <w:rsid w:val="006476DA"/>
    <w:rsid w:val="006478E7"/>
    <w:rsid w:val="006478F5"/>
    <w:rsid w:val="0064791D"/>
    <w:rsid w:val="00647970"/>
    <w:rsid w:val="00647973"/>
    <w:rsid w:val="006479B2"/>
    <w:rsid w:val="00647B25"/>
    <w:rsid w:val="00647EC5"/>
    <w:rsid w:val="00650132"/>
    <w:rsid w:val="00650257"/>
    <w:rsid w:val="00650499"/>
    <w:rsid w:val="006504FC"/>
    <w:rsid w:val="006506D0"/>
    <w:rsid w:val="00650AFB"/>
    <w:rsid w:val="00650D01"/>
    <w:rsid w:val="00650D0C"/>
    <w:rsid w:val="00650D1F"/>
    <w:rsid w:val="00650D4A"/>
    <w:rsid w:val="00650D72"/>
    <w:rsid w:val="00650F32"/>
    <w:rsid w:val="0065121B"/>
    <w:rsid w:val="006512CF"/>
    <w:rsid w:val="006513C8"/>
    <w:rsid w:val="0065160E"/>
    <w:rsid w:val="00651795"/>
    <w:rsid w:val="00651809"/>
    <w:rsid w:val="0065189D"/>
    <w:rsid w:val="00651900"/>
    <w:rsid w:val="00651A4B"/>
    <w:rsid w:val="00651BE2"/>
    <w:rsid w:val="00651CA4"/>
    <w:rsid w:val="00651D55"/>
    <w:rsid w:val="00651D89"/>
    <w:rsid w:val="006526F0"/>
    <w:rsid w:val="006527F0"/>
    <w:rsid w:val="00652BE7"/>
    <w:rsid w:val="00652CF0"/>
    <w:rsid w:val="00652D53"/>
    <w:rsid w:val="00652DE9"/>
    <w:rsid w:val="00652E5E"/>
    <w:rsid w:val="006532E0"/>
    <w:rsid w:val="0065339E"/>
    <w:rsid w:val="0065340E"/>
    <w:rsid w:val="00653916"/>
    <w:rsid w:val="00653993"/>
    <w:rsid w:val="00653AB4"/>
    <w:rsid w:val="00653CAB"/>
    <w:rsid w:val="00653D4D"/>
    <w:rsid w:val="00653DDC"/>
    <w:rsid w:val="00654118"/>
    <w:rsid w:val="0065423A"/>
    <w:rsid w:val="00654347"/>
    <w:rsid w:val="00654673"/>
    <w:rsid w:val="0065473A"/>
    <w:rsid w:val="006547BC"/>
    <w:rsid w:val="00654913"/>
    <w:rsid w:val="0065495E"/>
    <w:rsid w:val="00654977"/>
    <w:rsid w:val="006549AE"/>
    <w:rsid w:val="00654BD2"/>
    <w:rsid w:val="00654C95"/>
    <w:rsid w:val="00654FF7"/>
    <w:rsid w:val="00655A5F"/>
    <w:rsid w:val="00655C1F"/>
    <w:rsid w:val="00655D35"/>
    <w:rsid w:val="00656058"/>
    <w:rsid w:val="00656236"/>
    <w:rsid w:val="00656238"/>
    <w:rsid w:val="00656492"/>
    <w:rsid w:val="00656739"/>
    <w:rsid w:val="006569D8"/>
    <w:rsid w:val="00656B09"/>
    <w:rsid w:val="00656D58"/>
    <w:rsid w:val="00656DA8"/>
    <w:rsid w:val="00656E0D"/>
    <w:rsid w:val="00656FD5"/>
    <w:rsid w:val="006570C9"/>
    <w:rsid w:val="00657237"/>
    <w:rsid w:val="00657506"/>
    <w:rsid w:val="006576E1"/>
    <w:rsid w:val="006577F5"/>
    <w:rsid w:val="00657A1E"/>
    <w:rsid w:val="00657BB4"/>
    <w:rsid w:val="00657C3E"/>
    <w:rsid w:val="00658C3E"/>
    <w:rsid w:val="0066003D"/>
    <w:rsid w:val="006601EA"/>
    <w:rsid w:val="00660334"/>
    <w:rsid w:val="0066037F"/>
    <w:rsid w:val="0066050B"/>
    <w:rsid w:val="006606E1"/>
    <w:rsid w:val="00660A02"/>
    <w:rsid w:val="00660C43"/>
    <w:rsid w:val="00660FF8"/>
    <w:rsid w:val="0066120F"/>
    <w:rsid w:val="0066121E"/>
    <w:rsid w:val="00661237"/>
    <w:rsid w:val="0066138B"/>
    <w:rsid w:val="00661480"/>
    <w:rsid w:val="0066155D"/>
    <w:rsid w:val="006615E5"/>
    <w:rsid w:val="00661654"/>
    <w:rsid w:val="0066185C"/>
    <w:rsid w:val="0066196D"/>
    <w:rsid w:val="00661B29"/>
    <w:rsid w:val="00661BBF"/>
    <w:rsid w:val="00661D51"/>
    <w:rsid w:val="00661EF1"/>
    <w:rsid w:val="00661FFB"/>
    <w:rsid w:val="00662188"/>
    <w:rsid w:val="00662279"/>
    <w:rsid w:val="006622CA"/>
    <w:rsid w:val="00662327"/>
    <w:rsid w:val="00662474"/>
    <w:rsid w:val="006624BE"/>
    <w:rsid w:val="006625A6"/>
    <w:rsid w:val="006626EC"/>
    <w:rsid w:val="00662788"/>
    <w:rsid w:val="00662794"/>
    <w:rsid w:val="00662894"/>
    <w:rsid w:val="006629EE"/>
    <w:rsid w:val="00663272"/>
    <w:rsid w:val="00663290"/>
    <w:rsid w:val="006632EF"/>
    <w:rsid w:val="00663332"/>
    <w:rsid w:val="006633A0"/>
    <w:rsid w:val="006633D9"/>
    <w:rsid w:val="006633E4"/>
    <w:rsid w:val="00663594"/>
    <w:rsid w:val="006639E8"/>
    <w:rsid w:val="006639EE"/>
    <w:rsid w:val="00663A1C"/>
    <w:rsid w:val="00663BDE"/>
    <w:rsid w:val="00663CAA"/>
    <w:rsid w:val="006641B6"/>
    <w:rsid w:val="0066427D"/>
    <w:rsid w:val="00664776"/>
    <w:rsid w:val="00664891"/>
    <w:rsid w:val="006649A6"/>
    <w:rsid w:val="00664BAA"/>
    <w:rsid w:val="00664C8E"/>
    <w:rsid w:val="00664F86"/>
    <w:rsid w:val="006651CC"/>
    <w:rsid w:val="006652C7"/>
    <w:rsid w:val="0066532C"/>
    <w:rsid w:val="00665471"/>
    <w:rsid w:val="006654AB"/>
    <w:rsid w:val="0066552C"/>
    <w:rsid w:val="00665557"/>
    <w:rsid w:val="00665638"/>
    <w:rsid w:val="0066597D"/>
    <w:rsid w:val="006659D9"/>
    <w:rsid w:val="00665D51"/>
    <w:rsid w:val="00665D54"/>
    <w:rsid w:val="00665D98"/>
    <w:rsid w:val="00665F26"/>
    <w:rsid w:val="00665F6F"/>
    <w:rsid w:val="00665FE4"/>
    <w:rsid w:val="0066633E"/>
    <w:rsid w:val="006663D1"/>
    <w:rsid w:val="006665F9"/>
    <w:rsid w:val="006667F5"/>
    <w:rsid w:val="0066696C"/>
    <w:rsid w:val="00666A7F"/>
    <w:rsid w:val="00666FD6"/>
    <w:rsid w:val="00667167"/>
    <w:rsid w:val="00667202"/>
    <w:rsid w:val="0066722F"/>
    <w:rsid w:val="0066728A"/>
    <w:rsid w:val="006672B6"/>
    <w:rsid w:val="0066732B"/>
    <w:rsid w:val="00667414"/>
    <w:rsid w:val="0066742E"/>
    <w:rsid w:val="00667458"/>
    <w:rsid w:val="00667A49"/>
    <w:rsid w:val="00667ACB"/>
    <w:rsid w:val="00667B42"/>
    <w:rsid w:val="00667C6D"/>
    <w:rsid w:val="00667CE7"/>
    <w:rsid w:val="00667E08"/>
    <w:rsid w:val="00667E28"/>
    <w:rsid w:val="00667F40"/>
    <w:rsid w:val="00667FEF"/>
    <w:rsid w:val="00670147"/>
    <w:rsid w:val="00670192"/>
    <w:rsid w:val="006702BC"/>
    <w:rsid w:val="0067035E"/>
    <w:rsid w:val="00670429"/>
    <w:rsid w:val="0067051C"/>
    <w:rsid w:val="0067052E"/>
    <w:rsid w:val="006705BB"/>
    <w:rsid w:val="006706A5"/>
    <w:rsid w:val="00670917"/>
    <w:rsid w:val="0067096B"/>
    <w:rsid w:val="00670AC8"/>
    <w:rsid w:val="00670B4A"/>
    <w:rsid w:val="00670D59"/>
    <w:rsid w:val="00671036"/>
    <w:rsid w:val="006711CD"/>
    <w:rsid w:val="00671330"/>
    <w:rsid w:val="00671517"/>
    <w:rsid w:val="00671541"/>
    <w:rsid w:val="0067158E"/>
    <w:rsid w:val="0067185B"/>
    <w:rsid w:val="00671DD3"/>
    <w:rsid w:val="00671EE8"/>
    <w:rsid w:val="00671EE9"/>
    <w:rsid w:val="00672010"/>
    <w:rsid w:val="00672330"/>
    <w:rsid w:val="00672473"/>
    <w:rsid w:val="00672711"/>
    <w:rsid w:val="00672A75"/>
    <w:rsid w:val="00672BA7"/>
    <w:rsid w:val="00672C19"/>
    <w:rsid w:val="00672CAB"/>
    <w:rsid w:val="0067316D"/>
    <w:rsid w:val="006731F6"/>
    <w:rsid w:val="00673364"/>
    <w:rsid w:val="006739CE"/>
    <w:rsid w:val="006739E2"/>
    <w:rsid w:val="00673A18"/>
    <w:rsid w:val="00673C81"/>
    <w:rsid w:val="00673D68"/>
    <w:rsid w:val="00673E17"/>
    <w:rsid w:val="00673FD0"/>
    <w:rsid w:val="00674083"/>
    <w:rsid w:val="00674262"/>
    <w:rsid w:val="00674312"/>
    <w:rsid w:val="00674321"/>
    <w:rsid w:val="00674391"/>
    <w:rsid w:val="00674425"/>
    <w:rsid w:val="00674580"/>
    <w:rsid w:val="00674784"/>
    <w:rsid w:val="00674DFA"/>
    <w:rsid w:val="006751D8"/>
    <w:rsid w:val="00675371"/>
    <w:rsid w:val="006754BC"/>
    <w:rsid w:val="006755C0"/>
    <w:rsid w:val="00675602"/>
    <w:rsid w:val="00675700"/>
    <w:rsid w:val="00675823"/>
    <w:rsid w:val="006758FE"/>
    <w:rsid w:val="006759E6"/>
    <w:rsid w:val="00675D06"/>
    <w:rsid w:val="00675D88"/>
    <w:rsid w:val="00675DE3"/>
    <w:rsid w:val="00675EC0"/>
    <w:rsid w:val="006760FB"/>
    <w:rsid w:val="006765CF"/>
    <w:rsid w:val="00676661"/>
    <w:rsid w:val="00676696"/>
    <w:rsid w:val="006767DC"/>
    <w:rsid w:val="006768ED"/>
    <w:rsid w:val="006769C7"/>
    <w:rsid w:val="006769F1"/>
    <w:rsid w:val="00676C4E"/>
    <w:rsid w:val="00676DD3"/>
    <w:rsid w:val="00677023"/>
    <w:rsid w:val="006770EA"/>
    <w:rsid w:val="006771E9"/>
    <w:rsid w:val="0067735F"/>
    <w:rsid w:val="00677476"/>
    <w:rsid w:val="006776C7"/>
    <w:rsid w:val="006777F1"/>
    <w:rsid w:val="00677953"/>
    <w:rsid w:val="00677954"/>
    <w:rsid w:val="0067797E"/>
    <w:rsid w:val="006779A1"/>
    <w:rsid w:val="00677A0D"/>
    <w:rsid w:val="00677C52"/>
    <w:rsid w:val="00677C91"/>
    <w:rsid w:val="00677E4E"/>
    <w:rsid w:val="00677F67"/>
    <w:rsid w:val="00677F87"/>
    <w:rsid w:val="00677FB6"/>
    <w:rsid w:val="006800A1"/>
    <w:rsid w:val="00680155"/>
    <w:rsid w:val="006801AB"/>
    <w:rsid w:val="006801BB"/>
    <w:rsid w:val="006801EB"/>
    <w:rsid w:val="006803DE"/>
    <w:rsid w:val="00680512"/>
    <w:rsid w:val="0068097B"/>
    <w:rsid w:val="00680AC5"/>
    <w:rsid w:val="00680B82"/>
    <w:rsid w:val="00680BDD"/>
    <w:rsid w:val="00680C76"/>
    <w:rsid w:val="00681032"/>
    <w:rsid w:val="006810AC"/>
    <w:rsid w:val="00681261"/>
    <w:rsid w:val="00681512"/>
    <w:rsid w:val="00681660"/>
    <w:rsid w:val="006818EB"/>
    <w:rsid w:val="00681919"/>
    <w:rsid w:val="00681976"/>
    <w:rsid w:val="006819C6"/>
    <w:rsid w:val="00681A6E"/>
    <w:rsid w:val="00681C12"/>
    <w:rsid w:val="00681C16"/>
    <w:rsid w:val="00681E44"/>
    <w:rsid w:val="00681F6B"/>
    <w:rsid w:val="00682130"/>
    <w:rsid w:val="006824D9"/>
    <w:rsid w:val="00682A9C"/>
    <w:rsid w:val="00682B22"/>
    <w:rsid w:val="00682C07"/>
    <w:rsid w:val="00682C0C"/>
    <w:rsid w:val="00682E66"/>
    <w:rsid w:val="006830D3"/>
    <w:rsid w:val="00683311"/>
    <w:rsid w:val="0068335E"/>
    <w:rsid w:val="0068356E"/>
    <w:rsid w:val="0068369A"/>
    <w:rsid w:val="00683965"/>
    <w:rsid w:val="00683B3C"/>
    <w:rsid w:val="00683B52"/>
    <w:rsid w:val="00683B82"/>
    <w:rsid w:val="00683FC4"/>
    <w:rsid w:val="0068410F"/>
    <w:rsid w:val="00684442"/>
    <w:rsid w:val="0068449B"/>
    <w:rsid w:val="00684624"/>
    <w:rsid w:val="006846D8"/>
    <w:rsid w:val="0068478D"/>
    <w:rsid w:val="00684B96"/>
    <w:rsid w:val="00684FE8"/>
    <w:rsid w:val="00685130"/>
    <w:rsid w:val="00685417"/>
    <w:rsid w:val="00685535"/>
    <w:rsid w:val="0068558D"/>
    <w:rsid w:val="00685914"/>
    <w:rsid w:val="00685AE8"/>
    <w:rsid w:val="00685CFE"/>
    <w:rsid w:val="00685DE2"/>
    <w:rsid w:val="00685F9D"/>
    <w:rsid w:val="00685FF7"/>
    <w:rsid w:val="00686058"/>
    <w:rsid w:val="006861F2"/>
    <w:rsid w:val="00686381"/>
    <w:rsid w:val="006866D0"/>
    <w:rsid w:val="00686758"/>
    <w:rsid w:val="00686921"/>
    <w:rsid w:val="00686A89"/>
    <w:rsid w:val="00686C30"/>
    <w:rsid w:val="006871A0"/>
    <w:rsid w:val="006871B4"/>
    <w:rsid w:val="006872E0"/>
    <w:rsid w:val="00687484"/>
    <w:rsid w:val="006874E7"/>
    <w:rsid w:val="00687528"/>
    <w:rsid w:val="006875EC"/>
    <w:rsid w:val="00687640"/>
    <w:rsid w:val="0068768D"/>
    <w:rsid w:val="0068780C"/>
    <w:rsid w:val="006878D7"/>
    <w:rsid w:val="00687AA1"/>
    <w:rsid w:val="00687B54"/>
    <w:rsid w:val="00687D25"/>
    <w:rsid w:val="00687D61"/>
    <w:rsid w:val="00687F2F"/>
    <w:rsid w:val="00687FAE"/>
    <w:rsid w:val="006900A2"/>
    <w:rsid w:val="006902F1"/>
    <w:rsid w:val="00690533"/>
    <w:rsid w:val="0069053E"/>
    <w:rsid w:val="006905FD"/>
    <w:rsid w:val="00690950"/>
    <w:rsid w:val="0069099B"/>
    <w:rsid w:val="006909FE"/>
    <w:rsid w:val="00690E04"/>
    <w:rsid w:val="00690F2F"/>
    <w:rsid w:val="0069128A"/>
    <w:rsid w:val="0069138D"/>
    <w:rsid w:val="00691585"/>
    <w:rsid w:val="00691747"/>
    <w:rsid w:val="0069184D"/>
    <w:rsid w:val="0069190E"/>
    <w:rsid w:val="0069191A"/>
    <w:rsid w:val="00691968"/>
    <w:rsid w:val="00691E01"/>
    <w:rsid w:val="00691E78"/>
    <w:rsid w:val="00692230"/>
    <w:rsid w:val="006924F4"/>
    <w:rsid w:val="00692537"/>
    <w:rsid w:val="00692848"/>
    <w:rsid w:val="00692980"/>
    <w:rsid w:val="00692B9D"/>
    <w:rsid w:val="00692CCB"/>
    <w:rsid w:val="00692DC0"/>
    <w:rsid w:val="00692E1A"/>
    <w:rsid w:val="00692F1B"/>
    <w:rsid w:val="00692F5F"/>
    <w:rsid w:val="006932FF"/>
    <w:rsid w:val="006935AF"/>
    <w:rsid w:val="006937F2"/>
    <w:rsid w:val="00693A0A"/>
    <w:rsid w:val="00693A69"/>
    <w:rsid w:val="00693BB7"/>
    <w:rsid w:val="00693C70"/>
    <w:rsid w:val="00693CF4"/>
    <w:rsid w:val="0069408B"/>
    <w:rsid w:val="00694411"/>
    <w:rsid w:val="006944BC"/>
    <w:rsid w:val="00694616"/>
    <w:rsid w:val="0069489C"/>
    <w:rsid w:val="00694966"/>
    <w:rsid w:val="006949D0"/>
    <w:rsid w:val="00694D48"/>
    <w:rsid w:val="00694D83"/>
    <w:rsid w:val="00694E9D"/>
    <w:rsid w:val="00694F50"/>
    <w:rsid w:val="00694FBF"/>
    <w:rsid w:val="0069514C"/>
    <w:rsid w:val="006952D6"/>
    <w:rsid w:val="00695422"/>
    <w:rsid w:val="0069551F"/>
    <w:rsid w:val="0069555B"/>
    <w:rsid w:val="00695733"/>
    <w:rsid w:val="00695767"/>
    <w:rsid w:val="006957D0"/>
    <w:rsid w:val="00695D89"/>
    <w:rsid w:val="00695DF8"/>
    <w:rsid w:val="00695EBA"/>
    <w:rsid w:val="00695F7C"/>
    <w:rsid w:val="00695FB5"/>
    <w:rsid w:val="00696083"/>
    <w:rsid w:val="006961C4"/>
    <w:rsid w:val="00696452"/>
    <w:rsid w:val="006964A4"/>
    <w:rsid w:val="006964D3"/>
    <w:rsid w:val="00696555"/>
    <w:rsid w:val="006968DF"/>
    <w:rsid w:val="006968EE"/>
    <w:rsid w:val="00696B85"/>
    <w:rsid w:val="00696CE6"/>
    <w:rsid w:val="00696E53"/>
    <w:rsid w:val="00696F31"/>
    <w:rsid w:val="00696FD4"/>
    <w:rsid w:val="00697138"/>
    <w:rsid w:val="006972F1"/>
    <w:rsid w:val="0069756C"/>
    <w:rsid w:val="0069756F"/>
    <w:rsid w:val="006975FB"/>
    <w:rsid w:val="006976BA"/>
    <w:rsid w:val="006976C1"/>
    <w:rsid w:val="00697965"/>
    <w:rsid w:val="00697B2D"/>
    <w:rsid w:val="00697CC8"/>
    <w:rsid w:val="00697CD1"/>
    <w:rsid w:val="00697D6A"/>
    <w:rsid w:val="00697F30"/>
    <w:rsid w:val="006A0002"/>
    <w:rsid w:val="006A01F2"/>
    <w:rsid w:val="006A021B"/>
    <w:rsid w:val="006A03A1"/>
    <w:rsid w:val="006A04C5"/>
    <w:rsid w:val="006A09EE"/>
    <w:rsid w:val="006A0B0F"/>
    <w:rsid w:val="006A0B4E"/>
    <w:rsid w:val="006A0DD8"/>
    <w:rsid w:val="006A103D"/>
    <w:rsid w:val="006A10D0"/>
    <w:rsid w:val="006A1160"/>
    <w:rsid w:val="006A1270"/>
    <w:rsid w:val="006A1275"/>
    <w:rsid w:val="006A149F"/>
    <w:rsid w:val="006A14C9"/>
    <w:rsid w:val="006A15A3"/>
    <w:rsid w:val="006A175D"/>
    <w:rsid w:val="006A186B"/>
    <w:rsid w:val="006A193A"/>
    <w:rsid w:val="006A1ABB"/>
    <w:rsid w:val="006A1C6F"/>
    <w:rsid w:val="006A1C8D"/>
    <w:rsid w:val="006A1E51"/>
    <w:rsid w:val="006A291D"/>
    <w:rsid w:val="006A2AEB"/>
    <w:rsid w:val="006A2E62"/>
    <w:rsid w:val="006A2E7A"/>
    <w:rsid w:val="006A2F41"/>
    <w:rsid w:val="006A3055"/>
    <w:rsid w:val="006A3352"/>
    <w:rsid w:val="006A3485"/>
    <w:rsid w:val="006A3745"/>
    <w:rsid w:val="006A39B7"/>
    <w:rsid w:val="006A3AD8"/>
    <w:rsid w:val="006A3BEB"/>
    <w:rsid w:val="006A3CAE"/>
    <w:rsid w:val="006A3DE1"/>
    <w:rsid w:val="006A4405"/>
    <w:rsid w:val="006A46B5"/>
    <w:rsid w:val="006A479D"/>
    <w:rsid w:val="006A4C28"/>
    <w:rsid w:val="006A4CD4"/>
    <w:rsid w:val="006A4F4A"/>
    <w:rsid w:val="006A4FAC"/>
    <w:rsid w:val="006A5064"/>
    <w:rsid w:val="006A51F6"/>
    <w:rsid w:val="006A5213"/>
    <w:rsid w:val="006A5561"/>
    <w:rsid w:val="006A5737"/>
    <w:rsid w:val="006A5964"/>
    <w:rsid w:val="006A5A87"/>
    <w:rsid w:val="006A5DE4"/>
    <w:rsid w:val="006A6152"/>
    <w:rsid w:val="006A649C"/>
    <w:rsid w:val="006A659C"/>
    <w:rsid w:val="006A6867"/>
    <w:rsid w:val="006A6879"/>
    <w:rsid w:val="006A6901"/>
    <w:rsid w:val="006A6CCC"/>
    <w:rsid w:val="006A6EF9"/>
    <w:rsid w:val="006A6F0F"/>
    <w:rsid w:val="006A7070"/>
    <w:rsid w:val="006A7092"/>
    <w:rsid w:val="006A70CA"/>
    <w:rsid w:val="006A71CB"/>
    <w:rsid w:val="006A721A"/>
    <w:rsid w:val="006A7272"/>
    <w:rsid w:val="006A72AD"/>
    <w:rsid w:val="006A741A"/>
    <w:rsid w:val="006A75A1"/>
    <w:rsid w:val="006A76E3"/>
    <w:rsid w:val="006A7799"/>
    <w:rsid w:val="006A77B6"/>
    <w:rsid w:val="006A7A07"/>
    <w:rsid w:val="006A7ABE"/>
    <w:rsid w:val="006A7B19"/>
    <w:rsid w:val="006A7C83"/>
    <w:rsid w:val="006B0301"/>
    <w:rsid w:val="006B0551"/>
    <w:rsid w:val="006B06DC"/>
    <w:rsid w:val="006B06F2"/>
    <w:rsid w:val="006B0A27"/>
    <w:rsid w:val="006B0CEA"/>
    <w:rsid w:val="006B0D82"/>
    <w:rsid w:val="006B111D"/>
    <w:rsid w:val="006B1319"/>
    <w:rsid w:val="006B13C1"/>
    <w:rsid w:val="006B14BD"/>
    <w:rsid w:val="006B15DF"/>
    <w:rsid w:val="006B1A6C"/>
    <w:rsid w:val="006B1B3A"/>
    <w:rsid w:val="006B1CFB"/>
    <w:rsid w:val="006B1E43"/>
    <w:rsid w:val="006B218D"/>
    <w:rsid w:val="006B2351"/>
    <w:rsid w:val="006B2385"/>
    <w:rsid w:val="006B2644"/>
    <w:rsid w:val="006B269B"/>
    <w:rsid w:val="006B2884"/>
    <w:rsid w:val="006B2899"/>
    <w:rsid w:val="006B2B17"/>
    <w:rsid w:val="006B2B5A"/>
    <w:rsid w:val="006B2D7B"/>
    <w:rsid w:val="006B2FD6"/>
    <w:rsid w:val="006B31A8"/>
    <w:rsid w:val="006B31F7"/>
    <w:rsid w:val="006B3214"/>
    <w:rsid w:val="006B3226"/>
    <w:rsid w:val="006B325D"/>
    <w:rsid w:val="006B3797"/>
    <w:rsid w:val="006B3810"/>
    <w:rsid w:val="006B395C"/>
    <w:rsid w:val="006B3AA3"/>
    <w:rsid w:val="006B3BB2"/>
    <w:rsid w:val="006B3CFD"/>
    <w:rsid w:val="006B3DC2"/>
    <w:rsid w:val="006B3E23"/>
    <w:rsid w:val="006B4167"/>
    <w:rsid w:val="006B421F"/>
    <w:rsid w:val="006B471F"/>
    <w:rsid w:val="006B4815"/>
    <w:rsid w:val="006B4AE4"/>
    <w:rsid w:val="006B4B84"/>
    <w:rsid w:val="006B4BB9"/>
    <w:rsid w:val="006B4D28"/>
    <w:rsid w:val="006B4DD1"/>
    <w:rsid w:val="006B4E4B"/>
    <w:rsid w:val="006B4E57"/>
    <w:rsid w:val="006B4F94"/>
    <w:rsid w:val="006B4FD6"/>
    <w:rsid w:val="006B524B"/>
    <w:rsid w:val="006B53CF"/>
    <w:rsid w:val="006B5449"/>
    <w:rsid w:val="006B5B45"/>
    <w:rsid w:val="006B5B47"/>
    <w:rsid w:val="006B5BBF"/>
    <w:rsid w:val="006B5C9F"/>
    <w:rsid w:val="006B5CED"/>
    <w:rsid w:val="006B5F04"/>
    <w:rsid w:val="006B5F58"/>
    <w:rsid w:val="006B5FCF"/>
    <w:rsid w:val="006B6078"/>
    <w:rsid w:val="006B6276"/>
    <w:rsid w:val="006B6457"/>
    <w:rsid w:val="006B6602"/>
    <w:rsid w:val="006B6771"/>
    <w:rsid w:val="006B68B1"/>
    <w:rsid w:val="006B6AA8"/>
    <w:rsid w:val="006B6C62"/>
    <w:rsid w:val="006B6DA5"/>
    <w:rsid w:val="006B77E9"/>
    <w:rsid w:val="006B790C"/>
    <w:rsid w:val="006B7B0D"/>
    <w:rsid w:val="006B7B41"/>
    <w:rsid w:val="006B7C74"/>
    <w:rsid w:val="006B7CB8"/>
    <w:rsid w:val="006B7DB5"/>
    <w:rsid w:val="006B7DC2"/>
    <w:rsid w:val="006C0246"/>
    <w:rsid w:val="006C0249"/>
    <w:rsid w:val="006C02DB"/>
    <w:rsid w:val="006C0379"/>
    <w:rsid w:val="006C0635"/>
    <w:rsid w:val="006C077A"/>
    <w:rsid w:val="006C07AD"/>
    <w:rsid w:val="006C07D9"/>
    <w:rsid w:val="006C0A65"/>
    <w:rsid w:val="006C1149"/>
    <w:rsid w:val="006C1246"/>
    <w:rsid w:val="006C1501"/>
    <w:rsid w:val="006C185D"/>
    <w:rsid w:val="006C19BD"/>
    <w:rsid w:val="006C1A3A"/>
    <w:rsid w:val="006C1CD3"/>
    <w:rsid w:val="006C1E2F"/>
    <w:rsid w:val="006C1EF3"/>
    <w:rsid w:val="006C1EF7"/>
    <w:rsid w:val="006C1F32"/>
    <w:rsid w:val="006C1FE4"/>
    <w:rsid w:val="006C2030"/>
    <w:rsid w:val="006C20B1"/>
    <w:rsid w:val="006C20CD"/>
    <w:rsid w:val="006C21FB"/>
    <w:rsid w:val="006C27ED"/>
    <w:rsid w:val="006C2992"/>
    <w:rsid w:val="006C2B82"/>
    <w:rsid w:val="006C2EF8"/>
    <w:rsid w:val="006C30E7"/>
    <w:rsid w:val="006C30F7"/>
    <w:rsid w:val="006C32FC"/>
    <w:rsid w:val="006C34B1"/>
    <w:rsid w:val="006C3607"/>
    <w:rsid w:val="006C3651"/>
    <w:rsid w:val="006C388F"/>
    <w:rsid w:val="006C38BD"/>
    <w:rsid w:val="006C3971"/>
    <w:rsid w:val="006C3B45"/>
    <w:rsid w:val="006C3CD5"/>
    <w:rsid w:val="006C3EC6"/>
    <w:rsid w:val="006C3EF5"/>
    <w:rsid w:val="006C3F78"/>
    <w:rsid w:val="006C4071"/>
    <w:rsid w:val="006C4232"/>
    <w:rsid w:val="006C42EF"/>
    <w:rsid w:val="006C4495"/>
    <w:rsid w:val="006C461A"/>
    <w:rsid w:val="006C47A8"/>
    <w:rsid w:val="006C4880"/>
    <w:rsid w:val="006C4893"/>
    <w:rsid w:val="006C4997"/>
    <w:rsid w:val="006C4A0A"/>
    <w:rsid w:val="006C4AD6"/>
    <w:rsid w:val="006C4AE1"/>
    <w:rsid w:val="006C4B04"/>
    <w:rsid w:val="006C4B90"/>
    <w:rsid w:val="006C4CC4"/>
    <w:rsid w:val="006C4CC9"/>
    <w:rsid w:val="006C4F11"/>
    <w:rsid w:val="006C5276"/>
    <w:rsid w:val="006C5294"/>
    <w:rsid w:val="006C52A8"/>
    <w:rsid w:val="006C536A"/>
    <w:rsid w:val="006C54FC"/>
    <w:rsid w:val="006C5802"/>
    <w:rsid w:val="006C5A14"/>
    <w:rsid w:val="006C5ABF"/>
    <w:rsid w:val="006C5D91"/>
    <w:rsid w:val="006C5E48"/>
    <w:rsid w:val="006C632C"/>
    <w:rsid w:val="006C6332"/>
    <w:rsid w:val="006C63CA"/>
    <w:rsid w:val="006C6523"/>
    <w:rsid w:val="006C6524"/>
    <w:rsid w:val="006C668B"/>
    <w:rsid w:val="006C670B"/>
    <w:rsid w:val="006C6745"/>
    <w:rsid w:val="006C6932"/>
    <w:rsid w:val="006C6AF3"/>
    <w:rsid w:val="006C6BEA"/>
    <w:rsid w:val="006C6C85"/>
    <w:rsid w:val="006C6CD1"/>
    <w:rsid w:val="006C6EC5"/>
    <w:rsid w:val="006C7375"/>
    <w:rsid w:val="006C7483"/>
    <w:rsid w:val="006C7A85"/>
    <w:rsid w:val="006C7B68"/>
    <w:rsid w:val="006C7C21"/>
    <w:rsid w:val="006C7C70"/>
    <w:rsid w:val="006C7DE1"/>
    <w:rsid w:val="006C7FDC"/>
    <w:rsid w:val="006D0075"/>
    <w:rsid w:val="006D0195"/>
    <w:rsid w:val="006D0285"/>
    <w:rsid w:val="006D0294"/>
    <w:rsid w:val="006D0415"/>
    <w:rsid w:val="006D0467"/>
    <w:rsid w:val="006D06FD"/>
    <w:rsid w:val="006D0866"/>
    <w:rsid w:val="006D0B24"/>
    <w:rsid w:val="006D0D29"/>
    <w:rsid w:val="006D0F68"/>
    <w:rsid w:val="006D14B8"/>
    <w:rsid w:val="006D1673"/>
    <w:rsid w:val="006D16DB"/>
    <w:rsid w:val="006D1A56"/>
    <w:rsid w:val="006D1A61"/>
    <w:rsid w:val="006D1B74"/>
    <w:rsid w:val="006D238D"/>
    <w:rsid w:val="006D23B8"/>
    <w:rsid w:val="006D23E0"/>
    <w:rsid w:val="006D26EB"/>
    <w:rsid w:val="006D26EE"/>
    <w:rsid w:val="006D27C6"/>
    <w:rsid w:val="006D2829"/>
    <w:rsid w:val="006D2AE0"/>
    <w:rsid w:val="006D2C99"/>
    <w:rsid w:val="006D2D1F"/>
    <w:rsid w:val="006D2D2B"/>
    <w:rsid w:val="006D2D59"/>
    <w:rsid w:val="006D33D2"/>
    <w:rsid w:val="006D36DB"/>
    <w:rsid w:val="006D36DD"/>
    <w:rsid w:val="006D38BC"/>
    <w:rsid w:val="006D38F7"/>
    <w:rsid w:val="006D3A57"/>
    <w:rsid w:val="006D3ADF"/>
    <w:rsid w:val="006D3C17"/>
    <w:rsid w:val="006D3CD3"/>
    <w:rsid w:val="006D3D9E"/>
    <w:rsid w:val="006D3EA8"/>
    <w:rsid w:val="006D4039"/>
    <w:rsid w:val="006D43E3"/>
    <w:rsid w:val="006D4450"/>
    <w:rsid w:val="006D472F"/>
    <w:rsid w:val="006D490C"/>
    <w:rsid w:val="006D4AA0"/>
    <w:rsid w:val="006D4B64"/>
    <w:rsid w:val="006D4BB7"/>
    <w:rsid w:val="006D4BC7"/>
    <w:rsid w:val="006D4D1B"/>
    <w:rsid w:val="006D4D71"/>
    <w:rsid w:val="006D4F3A"/>
    <w:rsid w:val="006D51F3"/>
    <w:rsid w:val="006D5472"/>
    <w:rsid w:val="006D5716"/>
    <w:rsid w:val="006D573C"/>
    <w:rsid w:val="006D58CC"/>
    <w:rsid w:val="006D58FD"/>
    <w:rsid w:val="006D5AA7"/>
    <w:rsid w:val="006D5C84"/>
    <w:rsid w:val="006D5D23"/>
    <w:rsid w:val="006D5D8C"/>
    <w:rsid w:val="006D5DAD"/>
    <w:rsid w:val="006D5E5E"/>
    <w:rsid w:val="006D619E"/>
    <w:rsid w:val="006D6358"/>
    <w:rsid w:val="006D65CD"/>
    <w:rsid w:val="006D65D4"/>
    <w:rsid w:val="006D6675"/>
    <w:rsid w:val="006D680C"/>
    <w:rsid w:val="006D6974"/>
    <w:rsid w:val="006D69F1"/>
    <w:rsid w:val="006D6ACE"/>
    <w:rsid w:val="006D6B35"/>
    <w:rsid w:val="006D6B54"/>
    <w:rsid w:val="006D70F9"/>
    <w:rsid w:val="006D71DB"/>
    <w:rsid w:val="006D75A4"/>
    <w:rsid w:val="006D7835"/>
    <w:rsid w:val="006D796B"/>
    <w:rsid w:val="006D7CB8"/>
    <w:rsid w:val="006D7CE2"/>
    <w:rsid w:val="006D7E2C"/>
    <w:rsid w:val="006D7F3C"/>
    <w:rsid w:val="006E0032"/>
    <w:rsid w:val="006E00EA"/>
    <w:rsid w:val="006E00F4"/>
    <w:rsid w:val="006E03A4"/>
    <w:rsid w:val="006E0540"/>
    <w:rsid w:val="006E06C3"/>
    <w:rsid w:val="006E0997"/>
    <w:rsid w:val="006E0A17"/>
    <w:rsid w:val="006E0AA4"/>
    <w:rsid w:val="006E0B0B"/>
    <w:rsid w:val="006E0BB5"/>
    <w:rsid w:val="006E0C63"/>
    <w:rsid w:val="006E0D98"/>
    <w:rsid w:val="006E0F84"/>
    <w:rsid w:val="006E1229"/>
    <w:rsid w:val="006E14C2"/>
    <w:rsid w:val="006E14EC"/>
    <w:rsid w:val="006E1A14"/>
    <w:rsid w:val="006E1AA2"/>
    <w:rsid w:val="006E1B81"/>
    <w:rsid w:val="006E1FAC"/>
    <w:rsid w:val="006E1FCD"/>
    <w:rsid w:val="006E201A"/>
    <w:rsid w:val="006E203E"/>
    <w:rsid w:val="006E204B"/>
    <w:rsid w:val="006E215E"/>
    <w:rsid w:val="006E2160"/>
    <w:rsid w:val="006E238C"/>
    <w:rsid w:val="006E27CC"/>
    <w:rsid w:val="006E2873"/>
    <w:rsid w:val="006E2A50"/>
    <w:rsid w:val="006E2AB9"/>
    <w:rsid w:val="006E2D14"/>
    <w:rsid w:val="006E2D20"/>
    <w:rsid w:val="006E306D"/>
    <w:rsid w:val="006E3292"/>
    <w:rsid w:val="006E3429"/>
    <w:rsid w:val="006E35DF"/>
    <w:rsid w:val="006E36DC"/>
    <w:rsid w:val="006E3777"/>
    <w:rsid w:val="006E3AE3"/>
    <w:rsid w:val="006E3B41"/>
    <w:rsid w:val="006E3B53"/>
    <w:rsid w:val="006E3B98"/>
    <w:rsid w:val="006E3BF4"/>
    <w:rsid w:val="006E3E4B"/>
    <w:rsid w:val="006E3E96"/>
    <w:rsid w:val="006E4496"/>
    <w:rsid w:val="006E45FC"/>
    <w:rsid w:val="006E465D"/>
    <w:rsid w:val="006E4943"/>
    <w:rsid w:val="006E4ECF"/>
    <w:rsid w:val="006E4EFA"/>
    <w:rsid w:val="006E4F0B"/>
    <w:rsid w:val="006E4F68"/>
    <w:rsid w:val="006E50A0"/>
    <w:rsid w:val="006E5200"/>
    <w:rsid w:val="006E526C"/>
    <w:rsid w:val="006E5348"/>
    <w:rsid w:val="006E548D"/>
    <w:rsid w:val="006E55F3"/>
    <w:rsid w:val="006E5631"/>
    <w:rsid w:val="006E591F"/>
    <w:rsid w:val="006E5D5A"/>
    <w:rsid w:val="006E5FF0"/>
    <w:rsid w:val="006E6313"/>
    <w:rsid w:val="006E6354"/>
    <w:rsid w:val="006E6664"/>
    <w:rsid w:val="006E6690"/>
    <w:rsid w:val="006E6A17"/>
    <w:rsid w:val="006E6A2C"/>
    <w:rsid w:val="006E6AE5"/>
    <w:rsid w:val="006E6B30"/>
    <w:rsid w:val="006E6B42"/>
    <w:rsid w:val="006E6C8D"/>
    <w:rsid w:val="006E6D31"/>
    <w:rsid w:val="006E6E28"/>
    <w:rsid w:val="006E6E3D"/>
    <w:rsid w:val="006E71A4"/>
    <w:rsid w:val="006E71FC"/>
    <w:rsid w:val="006E74B5"/>
    <w:rsid w:val="006E75EB"/>
    <w:rsid w:val="006E76AC"/>
    <w:rsid w:val="006E79ED"/>
    <w:rsid w:val="006E7DAC"/>
    <w:rsid w:val="006E7DD0"/>
    <w:rsid w:val="006E7E86"/>
    <w:rsid w:val="006F0016"/>
    <w:rsid w:val="006F0454"/>
    <w:rsid w:val="006F0520"/>
    <w:rsid w:val="006F07B2"/>
    <w:rsid w:val="006F0992"/>
    <w:rsid w:val="006F0A4C"/>
    <w:rsid w:val="006F0AED"/>
    <w:rsid w:val="006F0AF1"/>
    <w:rsid w:val="006F0C13"/>
    <w:rsid w:val="006F0D7E"/>
    <w:rsid w:val="006F0E7A"/>
    <w:rsid w:val="006F0F50"/>
    <w:rsid w:val="006F1415"/>
    <w:rsid w:val="006F1478"/>
    <w:rsid w:val="006F1615"/>
    <w:rsid w:val="006F16C6"/>
    <w:rsid w:val="006F16FC"/>
    <w:rsid w:val="006F18F6"/>
    <w:rsid w:val="006F1A4E"/>
    <w:rsid w:val="006F1B60"/>
    <w:rsid w:val="006F1C32"/>
    <w:rsid w:val="006F206D"/>
    <w:rsid w:val="006F2193"/>
    <w:rsid w:val="006F2218"/>
    <w:rsid w:val="006F2420"/>
    <w:rsid w:val="006F2785"/>
    <w:rsid w:val="006F293C"/>
    <w:rsid w:val="006F298B"/>
    <w:rsid w:val="006F2BD0"/>
    <w:rsid w:val="006F2CC8"/>
    <w:rsid w:val="006F2D37"/>
    <w:rsid w:val="006F2DDA"/>
    <w:rsid w:val="006F3043"/>
    <w:rsid w:val="006F3262"/>
    <w:rsid w:val="006F32EC"/>
    <w:rsid w:val="006F32F1"/>
    <w:rsid w:val="006F332D"/>
    <w:rsid w:val="006F3633"/>
    <w:rsid w:val="006F36AD"/>
    <w:rsid w:val="006F3A21"/>
    <w:rsid w:val="006F3A4D"/>
    <w:rsid w:val="006F3B0B"/>
    <w:rsid w:val="006F3BD0"/>
    <w:rsid w:val="006F3F23"/>
    <w:rsid w:val="006F3F69"/>
    <w:rsid w:val="006F418F"/>
    <w:rsid w:val="006F4209"/>
    <w:rsid w:val="006F4338"/>
    <w:rsid w:val="006F4457"/>
    <w:rsid w:val="006F454F"/>
    <w:rsid w:val="006F46A4"/>
    <w:rsid w:val="006F4990"/>
    <w:rsid w:val="006F49E1"/>
    <w:rsid w:val="006F4B11"/>
    <w:rsid w:val="006F4B4A"/>
    <w:rsid w:val="006F4FEE"/>
    <w:rsid w:val="006F50F5"/>
    <w:rsid w:val="006F5302"/>
    <w:rsid w:val="006F55A4"/>
    <w:rsid w:val="006F5694"/>
    <w:rsid w:val="006F5772"/>
    <w:rsid w:val="006F5B20"/>
    <w:rsid w:val="006F5D9B"/>
    <w:rsid w:val="006F5F91"/>
    <w:rsid w:val="006F5FD6"/>
    <w:rsid w:val="006F6A38"/>
    <w:rsid w:val="006F6A40"/>
    <w:rsid w:val="006F6A5F"/>
    <w:rsid w:val="006F6B17"/>
    <w:rsid w:val="006F7026"/>
    <w:rsid w:val="006F7116"/>
    <w:rsid w:val="006F7131"/>
    <w:rsid w:val="006F71EC"/>
    <w:rsid w:val="006F7386"/>
    <w:rsid w:val="006F765E"/>
    <w:rsid w:val="006F77F6"/>
    <w:rsid w:val="006F79F1"/>
    <w:rsid w:val="006F7A32"/>
    <w:rsid w:val="006F7A35"/>
    <w:rsid w:val="006F7B14"/>
    <w:rsid w:val="006F7F2D"/>
    <w:rsid w:val="007001CB"/>
    <w:rsid w:val="0070026D"/>
    <w:rsid w:val="00700303"/>
    <w:rsid w:val="00700338"/>
    <w:rsid w:val="00700465"/>
    <w:rsid w:val="00700938"/>
    <w:rsid w:val="007009E7"/>
    <w:rsid w:val="00700BE5"/>
    <w:rsid w:val="00700D43"/>
    <w:rsid w:val="00700DFB"/>
    <w:rsid w:val="00701121"/>
    <w:rsid w:val="00701338"/>
    <w:rsid w:val="007018B5"/>
    <w:rsid w:val="007019A8"/>
    <w:rsid w:val="00701A18"/>
    <w:rsid w:val="00701C7E"/>
    <w:rsid w:val="00701F1A"/>
    <w:rsid w:val="00702135"/>
    <w:rsid w:val="0070246B"/>
    <w:rsid w:val="0070251E"/>
    <w:rsid w:val="00702559"/>
    <w:rsid w:val="007026D7"/>
    <w:rsid w:val="00702758"/>
    <w:rsid w:val="007027A3"/>
    <w:rsid w:val="0070292C"/>
    <w:rsid w:val="00702968"/>
    <w:rsid w:val="00702A13"/>
    <w:rsid w:val="00702A55"/>
    <w:rsid w:val="00702D1E"/>
    <w:rsid w:val="00703036"/>
    <w:rsid w:val="007031B7"/>
    <w:rsid w:val="007032A0"/>
    <w:rsid w:val="00703362"/>
    <w:rsid w:val="007033A9"/>
    <w:rsid w:val="00703422"/>
    <w:rsid w:val="00703843"/>
    <w:rsid w:val="007038B8"/>
    <w:rsid w:val="00703935"/>
    <w:rsid w:val="00703950"/>
    <w:rsid w:val="00703AE4"/>
    <w:rsid w:val="00703B82"/>
    <w:rsid w:val="00703B8F"/>
    <w:rsid w:val="00703C2C"/>
    <w:rsid w:val="00704084"/>
    <w:rsid w:val="007041AD"/>
    <w:rsid w:val="007044EB"/>
    <w:rsid w:val="0070455B"/>
    <w:rsid w:val="007045ED"/>
    <w:rsid w:val="007045F3"/>
    <w:rsid w:val="0070483C"/>
    <w:rsid w:val="0070494E"/>
    <w:rsid w:val="007049EB"/>
    <w:rsid w:val="00704B7F"/>
    <w:rsid w:val="00704D2E"/>
    <w:rsid w:val="007051A4"/>
    <w:rsid w:val="00705206"/>
    <w:rsid w:val="00705446"/>
    <w:rsid w:val="00705632"/>
    <w:rsid w:val="007056D9"/>
    <w:rsid w:val="0070596F"/>
    <w:rsid w:val="00705A21"/>
    <w:rsid w:val="00705D46"/>
    <w:rsid w:val="00705F65"/>
    <w:rsid w:val="007060BF"/>
    <w:rsid w:val="00706204"/>
    <w:rsid w:val="00706352"/>
    <w:rsid w:val="007067DA"/>
    <w:rsid w:val="00706BF4"/>
    <w:rsid w:val="00706E42"/>
    <w:rsid w:val="00706EE9"/>
    <w:rsid w:val="00706FB1"/>
    <w:rsid w:val="00707022"/>
    <w:rsid w:val="007071A2"/>
    <w:rsid w:val="00707519"/>
    <w:rsid w:val="00707C27"/>
    <w:rsid w:val="00707DE8"/>
    <w:rsid w:val="00707E22"/>
    <w:rsid w:val="00710098"/>
    <w:rsid w:val="007100BD"/>
    <w:rsid w:val="007100F1"/>
    <w:rsid w:val="007101F5"/>
    <w:rsid w:val="0071023B"/>
    <w:rsid w:val="00710513"/>
    <w:rsid w:val="0071054A"/>
    <w:rsid w:val="00710877"/>
    <w:rsid w:val="007108BC"/>
    <w:rsid w:val="00710A0A"/>
    <w:rsid w:val="00710A2B"/>
    <w:rsid w:val="00710B22"/>
    <w:rsid w:val="00710BF5"/>
    <w:rsid w:val="00710C85"/>
    <w:rsid w:val="00710C9F"/>
    <w:rsid w:val="00710CE8"/>
    <w:rsid w:val="00710FC1"/>
    <w:rsid w:val="0071108A"/>
    <w:rsid w:val="007110E1"/>
    <w:rsid w:val="00711213"/>
    <w:rsid w:val="007112A9"/>
    <w:rsid w:val="007112CF"/>
    <w:rsid w:val="00711476"/>
    <w:rsid w:val="007114B9"/>
    <w:rsid w:val="007115E4"/>
    <w:rsid w:val="007115F5"/>
    <w:rsid w:val="0071185D"/>
    <w:rsid w:val="00711942"/>
    <w:rsid w:val="00711DD2"/>
    <w:rsid w:val="00712394"/>
    <w:rsid w:val="0071244F"/>
    <w:rsid w:val="00712515"/>
    <w:rsid w:val="007125A0"/>
    <w:rsid w:val="007125D5"/>
    <w:rsid w:val="0071287F"/>
    <w:rsid w:val="00712A30"/>
    <w:rsid w:val="00712B3B"/>
    <w:rsid w:val="00712C90"/>
    <w:rsid w:val="00712DF3"/>
    <w:rsid w:val="00712F06"/>
    <w:rsid w:val="00712FBB"/>
    <w:rsid w:val="00713067"/>
    <w:rsid w:val="00713173"/>
    <w:rsid w:val="007133A0"/>
    <w:rsid w:val="007134AE"/>
    <w:rsid w:val="0071366C"/>
    <w:rsid w:val="007136B0"/>
    <w:rsid w:val="00713719"/>
    <w:rsid w:val="00713A39"/>
    <w:rsid w:val="00713AED"/>
    <w:rsid w:val="00713B7E"/>
    <w:rsid w:val="00713C13"/>
    <w:rsid w:val="00713C16"/>
    <w:rsid w:val="00713E24"/>
    <w:rsid w:val="00713FDC"/>
    <w:rsid w:val="00713FDF"/>
    <w:rsid w:val="0071403B"/>
    <w:rsid w:val="00714137"/>
    <w:rsid w:val="0071420A"/>
    <w:rsid w:val="00714217"/>
    <w:rsid w:val="007143B1"/>
    <w:rsid w:val="007148C1"/>
    <w:rsid w:val="007148C8"/>
    <w:rsid w:val="00714E8B"/>
    <w:rsid w:val="00714F6A"/>
    <w:rsid w:val="00715098"/>
    <w:rsid w:val="007152E2"/>
    <w:rsid w:val="007153C4"/>
    <w:rsid w:val="00715539"/>
    <w:rsid w:val="007155E2"/>
    <w:rsid w:val="007159B2"/>
    <w:rsid w:val="00715CB0"/>
    <w:rsid w:val="00715D06"/>
    <w:rsid w:val="00715DC5"/>
    <w:rsid w:val="00715F6F"/>
    <w:rsid w:val="00715FCA"/>
    <w:rsid w:val="00716027"/>
    <w:rsid w:val="0071605F"/>
    <w:rsid w:val="007160F4"/>
    <w:rsid w:val="00716167"/>
    <w:rsid w:val="00716231"/>
    <w:rsid w:val="0071638B"/>
    <w:rsid w:val="0071640E"/>
    <w:rsid w:val="00716835"/>
    <w:rsid w:val="007168F7"/>
    <w:rsid w:val="00716993"/>
    <w:rsid w:val="007169F7"/>
    <w:rsid w:val="007169F8"/>
    <w:rsid w:val="00716A1F"/>
    <w:rsid w:val="00716A20"/>
    <w:rsid w:val="00716B52"/>
    <w:rsid w:val="00716F6D"/>
    <w:rsid w:val="00717204"/>
    <w:rsid w:val="0071743A"/>
    <w:rsid w:val="00717798"/>
    <w:rsid w:val="007178A9"/>
    <w:rsid w:val="007178AB"/>
    <w:rsid w:val="00717BA9"/>
    <w:rsid w:val="00717CA4"/>
    <w:rsid w:val="007201CE"/>
    <w:rsid w:val="007202A5"/>
    <w:rsid w:val="007202B8"/>
    <w:rsid w:val="007203DB"/>
    <w:rsid w:val="007204D7"/>
    <w:rsid w:val="0072059D"/>
    <w:rsid w:val="0072062B"/>
    <w:rsid w:val="00720786"/>
    <w:rsid w:val="00720908"/>
    <w:rsid w:val="00720CDB"/>
    <w:rsid w:val="00720CE8"/>
    <w:rsid w:val="00720D67"/>
    <w:rsid w:val="00720E64"/>
    <w:rsid w:val="00720EC8"/>
    <w:rsid w:val="007210F8"/>
    <w:rsid w:val="00721287"/>
    <w:rsid w:val="007212E1"/>
    <w:rsid w:val="00721337"/>
    <w:rsid w:val="0072152D"/>
    <w:rsid w:val="007215B7"/>
    <w:rsid w:val="007216D1"/>
    <w:rsid w:val="00721706"/>
    <w:rsid w:val="00721ACC"/>
    <w:rsid w:val="00721C6A"/>
    <w:rsid w:val="00721EDD"/>
    <w:rsid w:val="007222D2"/>
    <w:rsid w:val="007225EE"/>
    <w:rsid w:val="0072284C"/>
    <w:rsid w:val="0072297E"/>
    <w:rsid w:val="00722AE6"/>
    <w:rsid w:val="00722B25"/>
    <w:rsid w:val="00722DDD"/>
    <w:rsid w:val="00722E3D"/>
    <w:rsid w:val="00722E47"/>
    <w:rsid w:val="00722EF6"/>
    <w:rsid w:val="00723004"/>
    <w:rsid w:val="00723189"/>
    <w:rsid w:val="00723199"/>
    <w:rsid w:val="0072343E"/>
    <w:rsid w:val="007235C9"/>
    <w:rsid w:val="007237D0"/>
    <w:rsid w:val="00723936"/>
    <w:rsid w:val="00723B36"/>
    <w:rsid w:val="00723BF3"/>
    <w:rsid w:val="00723D20"/>
    <w:rsid w:val="00723D59"/>
    <w:rsid w:val="0072428E"/>
    <w:rsid w:val="0072430C"/>
    <w:rsid w:val="00724356"/>
    <w:rsid w:val="0072439A"/>
    <w:rsid w:val="00724581"/>
    <w:rsid w:val="007246A8"/>
    <w:rsid w:val="00724951"/>
    <w:rsid w:val="00724AA3"/>
    <w:rsid w:val="00724B13"/>
    <w:rsid w:val="00724D06"/>
    <w:rsid w:val="00724F01"/>
    <w:rsid w:val="007251FF"/>
    <w:rsid w:val="0072546F"/>
    <w:rsid w:val="007255E8"/>
    <w:rsid w:val="007256AD"/>
    <w:rsid w:val="00725808"/>
    <w:rsid w:val="007259D4"/>
    <w:rsid w:val="00725C06"/>
    <w:rsid w:val="00725E5B"/>
    <w:rsid w:val="00725EA9"/>
    <w:rsid w:val="00725F2D"/>
    <w:rsid w:val="00725F3C"/>
    <w:rsid w:val="00725F4F"/>
    <w:rsid w:val="00726125"/>
    <w:rsid w:val="007261DC"/>
    <w:rsid w:val="00726210"/>
    <w:rsid w:val="00726449"/>
    <w:rsid w:val="00726642"/>
    <w:rsid w:val="00726672"/>
    <w:rsid w:val="007267A3"/>
    <w:rsid w:val="007268FE"/>
    <w:rsid w:val="00726CE8"/>
    <w:rsid w:val="00726D0C"/>
    <w:rsid w:val="00727141"/>
    <w:rsid w:val="0072747C"/>
    <w:rsid w:val="0072749C"/>
    <w:rsid w:val="00727557"/>
    <w:rsid w:val="007276E5"/>
    <w:rsid w:val="00727824"/>
    <w:rsid w:val="00727AF7"/>
    <w:rsid w:val="00727D53"/>
    <w:rsid w:val="00727D8A"/>
    <w:rsid w:val="00727DCD"/>
    <w:rsid w:val="00730019"/>
    <w:rsid w:val="00730028"/>
    <w:rsid w:val="007300A4"/>
    <w:rsid w:val="0073030E"/>
    <w:rsid w:val="00730350"/>
    <w:rsid w:val="007303FE"/>
    <w:rsid w:val="007304F0"/>
    <w:rsid w:val="0073059B"/>
    <w:rsid w:val="0073106B"/>
    <w:rsid w:val="007313EA"/>
    <w:rsid w:val="007313ED"/>
    <w:rsid w:val="007315F7"/>
    <w:rsid w:val="0073161B"/>
    <w:rsid w:val="00731AA6"/>
    <w:rsid w:val="00731D4A"/>
    <w:rsid w:val="00731F3B"/>
    <w:rsid w:val="00731F44"/>
    <w:rsid w:val="00731F57"/>
    <w:rsid w:val="00732137"/>
    <w:rsid w:val="0073229D"/>
    <w:rsid w:val="007323A9"/>
    <w:rsid w:val="00732703"/>
    <w:rsid w:val="00732978"/>
    <w:rsid w:val="00732B78"/>
    <w:rsid w:val="00732DC7"/>
    <w:rsid w:val="00732FB7"/>
    <w:rsid w:val="00733154"/>
    <w:rsid w:val="0073321A"/>
    <w:rsid w:val="0073329B"/>
    <w:rsid w:val="007332CC"/>
    <w:rsid w:val="0073333D"/>
    <w:rsid w:val="0073373D"/>
    <w:rsid w:val="0073376F"/>
    <w:rsid w:val="0073397E"/>
    <w:rsid w:val="00733D3A"/>
    <w:rsid w:val="00733E04"/>
    <w:rsid w:val="00733E13"/>
    <w:rsid w:val="0073406C"/>
    <w:rsid w:val="00734290"/>
    <w:rsid w:val="0073433D"/>
    <w:rsid w:val="00734552"/>
    <w:rsid w:val="007349C3"/>
    <w:rsid w:val="00734B31"/>
    <w:rsid w:val="00734CE7"/>
    <w:rsid w:val="00734CF5"/>
    <w:rsid w:val="00734D86"/>
    <w:rsid w:val="00734E69"/>
    <w:rsid w:val="00734F49"/>
    <w:rsid w:val="007356A7"/>
    <w:rsid w:val="00735708"/>
    <w:rsid w:val="0073572D"/>
    <w:rsid w:val="00735739"/>
    <w:rsid w:val="0073576F"/>
    <w:rsid w:val="00735903"/>
    <w:rsid w:val="00735A42"/>
    <w:rsid w:val="00735E33"/>
    <w:rsid w:val="00735F48"/>
    <w:rsid w:val="00735F8D"/>
    <w:rsid w:val="0073609C"/>
    <w:rsid w:val="007360B0"/>
    <w:rsid w:val="00736185"/>
    <w:rsid w:val="00736533"/>
    <w:rsid w:val="007365A5"/>
    <w:rsid w:val="007368B7"/>
    <w:rsid w:val="007368DC"/>
    <w:rsid w:val="00736DC6"/>
    <w:rsid w:val="00736E65"/>
    <w:rsid w:val="00736F68"/>
    <w:rsid w:val="007371D0"/>
    <w:rsid w:val="007371F9"/>
    <w:rsid w:val="007373FB"/>
    <w:rsid w:val="00737658"/>
    <w:rsid w:val="007376EE"/>
    <w:rsid w:val="007378CE"/>
    <w:rsid w:val="00737A58"/>
    <w:rsid w:val="00737AC9"/>
    <w:rsid w:val="00737C57"/>
    <w:rsid w:val="00737D61"/>
    <w:rsid w:val="00737E07"/>
    <w:rsid w:val="00740059"/>
    <w:rsid w:val="007401D2"/>
    <w:rsid w:val="007401D3"/>
    <w:rsid w:val="007404D9"/>
    <w:rsid w:val="00740632"/>
    <w:rsid w:val="007406B7"/>
    <w:rsid w:val="0074082E"/>
    <w:rsid w:val="00740909"/>
    <w:rsid w:val="00740985"/>
    <w:rsid w:val="00740C83"/>
    <w:rsid w:val="00740F79"/>
    <w:rsid w:val="007412EC"/>
    <w:rsid w:val="007413EE"/>
    <w:rsid w:val="007419E5"/>
    <w:rsid w:val="00741A71"/>
    <w:rsid w:val="00741AE5"/>
    <w:rsid w:val="00741CFA"/>
    <w:rsid w:val="00741EEA"/>
    <w:rsid w:val="00741EF8"/>
    <w:rsid w:val="007420A8"/>
    <w:rsid w:val="00742725"/>
    <w:rsid w:val="00742924"/>
    <w:rsid w:val="00742A89"/>
    <w:rsid w:val="00742B02"/>
    <w:rsid w:val="00742B4A"/>
    <w:rsid w:val="00742D81"/>
    <w:rsid w:val="00742E42"/>
    <w:rsid w:val="00742F1C"/>
    <w:rsid w:val="00743292"/>
    <w:rsid w:val="007435BA"/>
    <w:rsid w:val="0074367B"/>
    <w:rsid w:val="007436BA"/>
    <w:rsid w:val="0074370B"/>
    <w:rsid w:val="00743819"/>
    <w:rsid w:val="00743863"/>
    <w:rsid w:val="00743BF4"/>
    <w:rsid w:val="00743C58"/>
    <w:rsid w:val="00743EF2"/>
    <w:rsid w:val="007440F4"/>
    <w:rsid w:val="00744170"/>
    <w:rsid w:val="00744236"/>
    <w:rsid w:val="00744438"/>
    <w:rsid w:val="00744451"/>
    <w:rsid w:val="0074477F"/>
    <w:rsid w:val="00744D14"/>
    <w:rsid w:val="007450A2"/>
    <w:rsid w:val="007450D1"/>
    <w:rsid w:val="007454A2"/>
    <w:rsid w:val="007459BD"/>
    <w:rsid w:val="00745D9B"/>
    <w:rsid w:val="00745F8A"/>
    <w:rsid w:val="0074600E"/>
    <w:rsid w:val="007461B3"/>
    <w:rsid w:val="007461E0"/>
    <w:rsid w:val="007462A9"/>
    <w:rsid w:val="00746AE4"/>
    <w:rsid w:val="00746B59"/>
    <w:rsid w:val="007471DE"/>
    <w:rsid w:val="007471F5"/>
    <w:rsid w:val="0074720C"/>
    <w:rsid w:val="00747320"/>
    <w:rsid w:val="00747604"/>
    <w:rsid w:val="00747758"/>
    <w:rsid w:val="0074777F"/>
    <w:rsid w:val="00747904"/>
    <w:rsid w:val="007479BB"/>
    <w:rsid w:val="007479E6"/>
    <w:rsid w:val="00747A87"/>
    <w:rsid w:val="00747F7A"/>
    <w:rsid w:val="00750061"/>
    <w:rsid w:val="0075026D"/>
    <w:rsid w:val="007507FB"/>
    <w:rsid w:val="007509CC"/>
    <w:rsid w:val="00750AD8"/>
    <w:rsid w:val="00750CD6"/>
    <w:rsid w:val="007511B9"/>
    <w:rsid w:val="007511C9"/>
    <w:rsid w:val="0075124D"/>
    <w:rsid w:val="007512FE"/>
    <w:rsid w:val="00751425"/>
    <w:rsid w:val="00751438"/>
    <w:rsid w:val="0075197A"/>
    <w:rsid w:val="00751AC5"/>
    <w:rsid w:val="00751ACB"/>
    <w:rsid w:val="00751AEE"/>
    <w:rsid w:val="00751AF0"/>
    <w:rsid w:val="00751B38"/>
    <w:rsid w:val="00751F98"/>
    <w:rsid w:val="00751FAD"/>
    <w:rsid w:val="00752043"/>
    <w:rsid w:val="007520A0"/>
    <w:rsid w:val="00752117"/>
    <w:rsid w:val="00752331"/>
    <w:rsid w:val="00752333"/>
    <w:rsid w:val="007523CE"/>
    <w:rsid w:val="00752543"/>
    <w:rsid w:val="0075260E"/>
    <w:rsid w:val="00752905"/>
    <w:rsid w:val="0075299C"/>
    <w:rsid w:val="00752B30"/>
    <w:rsid w:val="00752BEF"/>
    <w:rsid w:val="00752BFD"/>
    <w:rsid w:val="00752D64"/>
    <w:rsid w:val="00752F0D"/>
    <w:rsid w:val="00752FEF"/>
    <w:rsid w:val="00752FF1"/>
    <w:rsid w:val="00753189"/>
    <w:rsid w:val="00753635"/>
    <w:rsid w:val="007536DF"/>
    <w:rsid w:val="0075373E"/>
    <w:rsid w:val="00753B0F"/>
    <w:rsid w:val="007540A3"/>
    <w:rsid w:val="0075412C"/>
    <w:rsid w:val="007541DE"/>
    <w:rsid w:val="007542D3"/>
    <w:rsid w:val="0075432D"/>
    <w:rsid w:val="00754410"/>
    <w:rsid w:val="007548E9"/>
    <w:rsid w:val="007548EC"/>
    <w:rsid w:val="00754925"/>
    <w:rsid w:val="00754A55"/>
    <w:rsid w:val="00754A5E"/>
    <w:rsid w:val="00754F7D"/>
    <w:rsid w:val="007555EF"/>
    <w:rsid w:val="0075573D"/>
    <w:rsid w:val="007557CA"/>
    <w:rsid w:val="00755C39"/>
    <w:rsid w:val="00755D75"/>
    <w:rsid w:val="00755F1F"/>
    <w:rsid w:val="00756097"/>
    <w:rsid w:val="00756117"/>
    <w:rsid w:val="007562BC"/>
    <w:rsid w:val="007562F4"/>
    <w:rsid w:val="0075631B"/>
    <w:rsid w:val="007563BE"/>
    <w:rsid w:val="00756451"/>
    <w:rsid w:val="007567BC"/>
    <w:rsid w:val="007569D5"/>
    <w:rsid w:val="007569EA"/>
    <w:rsid w:val="00756CBA"/>
    <w:rsid w:val="00756E31"/>
    <w:rsid w:val="00757129"/>
    <w:rsid w:val="0075721A"/>
    <w:rsid w:val="0075796D"/>
    <w:rsid w:val="00757E51"/>
    <w:rsid w:val="00757F62"/>
    <w:rsid w:val="00760055"/>
    <w:rsid w:val="00760254"/>
    <w:rsid w:val="0076036A"/>
    <w:rsid w:val="00760392"/>
    <w:rsid w:val="00760457"/>
    <w:rsid w:val="007607C8"/>
    <w:rsid w:val="0076087F"/>
    <w:rsid w:val="00760B14"/>
    <w:rsid w:val="00760BBF"/>
    <w:rsid w:val="00760C55"/>
    <w:rsid w:val="00760DDA"/>
    <w:rsid w:val="00760E4B"/>
    <w:rsid w:val="0076182D"/>
    <w:rsid w:val="0076191E"/>
    <w:rsid w:val="00761A33"/>
    <w:rsid w:val="00761C1B"/>
    <w:rsid w:val="00761E0D"/>
    <w:rsid w:val="00761EFE"/>
    <w:rsid w:val="007622BC"/>
    <w:rsid w:val="007622FE"/>
    <w:rsid w:val="00762707"/>
    <w:rsid w:val="007628D5"/>
    <w:rsid w:val="00762B10"/>
    <w:rsid w:val="00762B62"/>
    <w:rsid w:val="00762BFA"/>
    <w:rsid w:val="00762E49"/>
    <w:rsid w:val="00762ECF"/>
    <w:rsid w:val="007632EC"/>
    <w:rsid w:val="00763304"/>
    <w:rsid w:val="00763619"/>
    <w:rsid w:val="0076389D"/>
    <w:rsid w:val="00763B4B"/>
    <w:rsid w:val="00763D6D"/>
    <w:rsid w:val="00763D95"/>
    <w:rsid w:val="007643DA"/>
    <w:rsid w:val="007644C7"/>
    <w:rsid w:val="00764580"/>
    <w:rsid w:val="007645AA"/>
    <w:rsid w:val="007646F4"/>
    <w:rsid w:val="00764795"/>
    <w:rsid w:val="00764849"/>
    <w:rsid w:val="00764A9D"/>
    <w:rsid w:val="00764ABC"/>
    <w:rsid w:val="00764B98"/>
    <w:rsid w:val="00764CAC"/>
    <w:rsid w:val="00764D7E"/>
    <w:rsid w:val="00764DC8"/>
    <w:rsid w:val="00764F0B"/>
    <w:rsid w:val="00765059"/>
    <w:rsid w:val="0076510B"/>
    <w:rsid w:val="00765244"/>
    <w:rsid w:val="007655B7"/>
    <w:rsid w:val="007656C1"/>
    <w:rsid w:val="007657EB"/>
    <w:rsid w:val="00765970"/>
    <w:rsid w:val="00765C5B"/>
    <w:rsid w:val="00766073"/>
    <w:rsid w:val="0076623F"/>
    <w:rsid w:val="0076624E"/>
    <w:rsid w:val="007665DB"/>
    <w:rsid w:val="0076660B"/>
    <w:rsid w:val="00766911"/>
    <w:rsid w:val="00766AC1"/>
    <w:rsid w:val="00766CDD"/>
    <w:rsid w:val="00766CE6"/>
    <w:rsid w:val="00766CEB"/>
    <w:rsid w:val="00767001"/>
    <w:rsid w:val="0076720B"/>
    <w:rsid w:val="00767275"/>
    <w:rsid w:val="00767404"/>
    <w:rsid w:val="007675BA"/>
    <w:rsid w:val="00767659"/>
    <w:rsid w:val="00767780"/>
    <w:rsid w:val="007678B0"/>
    <w:rsid w:val="00767C73"/>
    <w:rsid w:val="00767ECE"/>
    <w:rsid w:val="00767FF5"/>
    <w:rsid w:val="00770117"/>
    <w:rsid w:val="00770143"/>
    <w:rsid w:val="007704E1"/>
    <w:rsid w:val="00770804"/>
    <w:rsid w:val="00770836"/>
    <w:rsid w:val="007708EA"/>
    <w:rsid w:val="0077091D"/>
    <w:rsid w:val="00770B2A"/>
    <w:rsid w:val="00770BB4"/>
    <w:rsid w:val="00770BE3"/>
    <w:rsid w:val="00770D19"/>
    <w:rsid w:val="00770D35"/>
    <w:rsid w:val="00770EB8"/>
    <w:rsid w:val="007711CA"/>
    <w:rsid w:val="007714FF"/>
    <w:rsid w:val="007718BB"/>
    <w:rsid w:val="00771AD3"/>
    <w:rsid w:val="00771CFB"/>
    <w:rsid w:val="00772011"/>
    <w:rsid w:val="007723DA"/>
    <w:rsid w:val="00772458"/>
    <w:rsid w:val="00772618"/>
    <w:rsid w:val="0077276D"/>
    <w:rsid w:val="0077282F"/>
    <w:rsid w:val="00772851"/>
    <w:rsid w:val="007728D6"/>
    <w:rsid w:val="00772BF8"/>
    <w:rsid w:val="0077308B"/>
    <w:rsid w:val="007731FA"/>
    <w:rsid w:val="007732E7"/>
    <w:rsid w:val="00773484"/>
    <w:rsid w:val="007735C7"/>
    <w:rsid w:val="007735D6"/>
    <w:rsid w:val="007736C3"/>
    <w:rsid w:val="007739E0"/>
    <w:rsid w:val="00773B53"/>
    <w:rsid w:val="00773C98"/>
    <w:rsid w:val="00773E11"/>
    <w:rsid w:val="00773F48"/>
    <w:rsid w:val="0077423F"/>
    <w:rsid w:val="007742AA"/>
    <w:rsid w:val="0077453A"/>
    <w:rsid w:val="007748B1"/>
    <w:rsid w:val="00774B35"/>
    <w:rsid w:val="00774B73"/>
    <w:rsid w:val="00774CE1"/>
    <w:rsid w:val="00774D02"/>
    <w:rsid w:val="00774FD1"/>
    <w:rsid w:val="00774FD8"/>
    <w:rsid w:val="00775361"/>
    <w:rsid w:val="007756DA"/>
    <w:rsid w:val="00775980"/>
    <w:rsid w:val="00775B9A"/>
    <w:rsid w:val="00775C3D"/>
    <w:rsid w:val="00775C50"/>
    <w:rsid w:val="007765A5"/>
    <w:rsid w:val="007766AF"/>
    <w:rsid w:val="007766B4"/>
    <w:rsid w:val="007767F4"/>
    <w:rsid w:val="007769A1"/>
    <w:rsid w:val="00776A29"/>
    <w:rsid w:val="00776CB9"/>
    <w:rsid w:val="00776CC1"/>
    <w:rsid w:val="00776DFD"/>
    <w:rsid w:val="00777379"/>
    <w:rsid w:val="00777764"/>
    <w:rsid w:val="00777CB7"/>
    <w:rsid w:val="00777D4D"/>
    <w:rsid w:val="007803FB"/>
    <w:rsid w:val="0078044B"/>
    <w:rsid w:val="007805FF"/>
    <w:rsid w:val="007808A1"/>
    <w:rsid w:val="007808DC"/>
    <w:rsid w:val="00780920"/>
    <w:rsid w:val="00780993"/>
    <w:rsid w:val="007809C0"/>
    <w:rsid w:val="00780D62"/>
    <w:rsid w:val="00780EAE"/>
    <w:rsid w:val="00780EF0"/>
    <w:rsid w:val="00780FD3"/>
    <w:rsid w:val="00780FDD"/>
    <w:rsid w:val="00780FE3"/>
    <w:rsid w:val="0078109F"/>
    <w:rsid w:val="007812A5"/>
    <w:rsid w:val="007813C1"/>
    <w:rsid w:val="007814D0"/>
    <w:rsid w:val="007814DC"/>
    <w:rsid w:val="007817A8"/>
    <w:rsid w:val="00781987"/>
    <w:rsid w:val="00781A98"/>
    <w:rsid w:val="00781AFE"/>
    <w:rsid w:val="00781B9F"/>
    <w:rsid w:val="00781C48"/>
    <w:rsid w:val="00781CF6"/>
    <w:rsid w:val="00781F83"/>
    <w:rsid w:val="00781FF7"/>
    <w:rsid w:val="007821F6"/>
    <w:rsid w:val="00782247"/>
    <w:rsid w:val="0078245D"/>
    <w:rsid w:val="00782466"/>
    <w:rsid w:val="00782605"/>
    <w:rsid w:val="007826B8"/>
    <w:rsid w:val="007826F0"/>
    <w:rsid w:val="00782700"/>
    <w:rsid w:val="00782817"/>
    <w:rsid w:val="007828ED"/>
    <w:rsid w:val="0078291D"/>
    <w:rsid w:val="00782A86"/>
    <w:rsid w:val="00782BA9"/>
    <w:rsid w:val="00782C68"/>
    <w:rsid w:val="00782CC2"/>
    <w:rsid w:val="00782E16"/>
    <w:rsid w:val="0078313B"/>
    <w:rsid w:val="007832C6"/>
    <w:rsid w:val="007832CB"/>
    <w:rsid w:val="007833DD"/>
    <w:rsid w:val="00783474"/>
    <w:rsid w:val="007837BC"/>
    <w:rsid w:val="00783840"/>
    <w:rsid w:val="007839CC"/>
    <w:rsid w:val="00783A03"/>
    <w:rsid w:val="00783AC5"/>
    <w:rsid w:val="00783ADB"/>
    <w:rsid w:val="00783B04"/>
    <w:rsid w:val="00783C86"/>
    <w:rsid w:val="00783DEC"/>
    <w:rsid w:val="00783F5D"/>
    <w:rsid w:val="00784126"/>
    <w:rsid w:val="007842A5"/>
    <w:rsid w:val="007842C4"/>
    <w:rsid w:val="00784364"/>
    <w:rsid w:val="007843A1"/>
    <w:rsid w:val="00784453"/>
    <w:rsid w:val="007845AE"/>
    <w:rsid w:val="00784A55"/>
    <w:rsid w:val="00784B44"/>
    <w:rsid w:val="00784D7B"/>
    <w:rsid w:val="00784E6E"/>
    <w:rsid w:val="00784FCC"/>
    <w:rsid w:val="007850AB"/>
    <w:rsid w:val="007851D5"/>
    <w:rsid w:val="007852A1"/>
    <w:rsid w:val="00785310"/>
    <w:rsid w:val="007854C2"/>
    <w:rsid w:val="00785548"/>
    <w:rsid w:val="007855B6"/>
    <w:rsid w:val="0078587B"/>
    <w:rsid w:val="0078595A"/>
    <w:rsid w:val="007859DC"/>
    <w:rsid w:val="00785C63"/>
    <w:rsid w:val="00785E72"/>
    <w:rsid w:val="0078627B"/>
    <w:rsid w:val="0078630E"/>
    <w:rsid w:val="007866CC"/>
    <w:rsid w:val="00786890"/>
    <w:rsid w:val="00786DBC"/>
    <w:rsid w:val="00786DE1"/>
    <w:rsid w:val="00786EEA"/>
    <w:rsid w:val="00786F41"/>
    <w:rsid w:val="00786F94"/>
    <w:rsid w:val="00787222"/>
    <w:rsid w:val="0078729F"/>
    <w:rsid w:val="00787497"/>
    <w:rsid w:val="007874E6"/>
    <w:rsid w:val="00787529"/>
    <w:rsid w:val="0078779C"/>
    <w:rsid w:val="007877EF"/>
    <w:rsid w:val="00787802"/>
    <w:rsid w:val="00787936"/>
    <w:rsid w:val="00787B55"/>
    <w:rsid w:val="00787BBD"/>
    <w:rsid w:val="00787CE8"/>
    <w:rsid w:val="00787D4A"/>
    <w:rsid w:val="00787F5A"/>
    <w:rsid w:val="007900BA"/>
    <w:rsid w:val="007901E2"/>
    <w:rsid w:val="00790511"/>
    <w:rsid w:val="00790608"/>
    <w:rsid w:val="00790690"/>
    <w:rsid w:val="00790807"/>
    <w:rsid w:val="0079080C"/>
    <w:rsid w:val="007908DA"/>
    <w:rsid w:val="00790BF1"/>
    <w:rsid w:val="00790F4C"/>
    <w:rsid w:val="00790F8A"/>
    <w:rsid w:val="00791506"/>
    <w:rsid w:val="007915CC"/>
    <w:rsid w:val="00791C71"/>
    <w:rsid w:val="00791C73"/>
    <w:rsid w:val="00791E4E"/>
    <w:rsid w:val="00792227"/>
    <w:rsid w:val="007922C0"/>
    <w:rsid w:val="00792561"/>
    <w:rsid w:val="00792683"/>
    <w:rsid w:val="00792772"/>
    <w:rsid w:val="0079297D"/>
    <w:rsid w:val="00792989"/>
    <w:rsid w:val="00792B25"/>
    <w:rsid w:val="00792C9A"/>
    <w:rsid w:val="00792CDF"/>
    <w:rsid w:val="00792E9A"/>
    <w:rsid w:val="00792F3A"/>
    <w:rsid w:val="00792FC6"/>
    <w:rsid w:val="00792FD8"/>
    <w:rsid w:val="007930E8"/>
    <w:rsid w:val="007934E2"/>
    <w:rsid w:val="00793557"/>
    <w:rsid w:val="0079358B"/>
    <w:rsid w:val="0079360B"/>
    <w:rsid w:val="00793738"/>
    <w:rsid w:val="0079381F"/>
    <w:rsid w:val="00793A0E"/>
    <w:rsid w:val="00793A64"/>
    <w:rsid w:val="00793B0F"/>
    <w:rsid w:val="00793B7C"/>
    <w:rsid w:val="00793C19"/>
    <w:rsid w:val="00793CF7"/>
    <w:rsid w:val="00793E30"/>
    <w:rsid w:val="00793EDC"/>
    <w:rsid w:val="00793FFB"/>
    <w:rsid w:val="00794343"/>
    <w:rsid w:val="00794433"/>
    <w:rsid w:val="007944EC"/>
    <w:rsid w:val="00794E2B"/>
    <w:rsid w:val="00794F59"/>
    <w:rsid w:val="00795365"/>
    <w:rsid w:val="0079540B"/>
    <w:rsid w:val="0079555C"/>
    <w:rsid w:val="007956BC"/>
    <w:rsid w:val="00795868"/>
    <w:rsid w:val="00795910"/>
    <w:rsid w:val="0079596C"/>
    <w:rsid w:val="00795B33"/>
    <w:rsid w:val="00795E6D"/>
    <w:rsid w:val="00795E71"/>
    <w:rsid w:val="00795EB7"/>
    <w:rsid w:val="00795F8F"/>
    <w:rsid w:val="00795FDE"/>
    <w:rsid w:val="00795FFB"/>
    <w:rsid w:val="00796033"/>
    <w:rsid w:val="00796130"/>
    <w:rsid w:val="007961B4"/>
    <w:rsid w:val="0079643A"/>
    <w:rsid w:val="00796BB2"/>
    <w:rsid w:val="00796BEF"/>
    <w:rsid w:val="00796DEB"/>
    <w:rsid w:val="00796F47"/>
    <w:rsid w:val="007970F1"/>
    <w:rsid w:val="00797216"/>
    <w:rsid w:val="007973A0"/>
    <w:rsid w:val="00797550"/>
    <w:rsid w:val="0079768B"/>
    <w:rsid w:val="00797A85"/>
    <w:rsid w:val="00797DA1"/>
    <w:rsid w:val="00797DF8"/>
    <w:rsid w:val="007A0076"/>
    <w:rsid w:val="007A0259"/>
    <w:rsid w:val="007A0317"/>
    <w:rsid w:val="007A032A"/>
    <w:rsid w:val="007A03A1"/>
    <w:rsid w:val="007A0537"/>
    <w:rsid w:val="007A06A4"/>
    <w:rsid w:val="007A0742"/>
    <w:rsid w:val="007A08AD"/>
    <w:rsid w:val="007A0E4D"/>
    <w:rsid w:val="007A100B"/>
    <w:rsid w:val="007A104A"/>
    <w:rsid w:val="007A1262"/>
    <w:rsid w:val="007A1272"/>
    <w:rsid w:val="007A12B0"/>
    <w:rsid w:val="007A132F"/>
    <w:rsid w:val="007A1458"/>
    <w:rsid w:val="007A1703"/>
    <w:rsid w:val="007A17BF"/>
    <w:rsid w:val="007A21A2"/>
    <w:rsid w:val="007A22CC"/>
    <w:rsid w:val="007A2487"/>
    <w:rsid w:val="007A249D"/>
    <w:rsid w:val="007A252D"/>
    <w:rsid w:val="007A25DF"/>
    <w:rsid w:val="007A26A0"/>
    <w:rsid w:val="007A28A8"/>
    <w:rsid w:val="007A2B5F"/>
    <w:rsid w:val="007A2BB0"/>
    <w:rsid w:val="007A2F34"/>
    <w:rsid w:val="007A3060"/>
    <w:rsid w:val="007A3659"/>
    <w:rsid w:val="007A36C5"/>
    <w:rsid w:val="007A36C6"/>
    <w:rsid w:val="007A3819"/>
    <w:rsid w:val="007A3CCB"/>
    <w:rsid w:val="007A40C7"/>
    <w:rsid w:val="007A42C6"/>
    <w:rsid w:val="007A4337"/>
    <w:rsid w:val="007A4366"/>
    <w:rsid w:val="007A4377"/>
    <w:rsid w:val="007A4507"/>
    <w:rsid w:val="007A45D3"/>
    <w:rsid w:val="007A4AE4"/>
    <w:rsid w:val="007A4DEB"/>
    <w:rsid w:val="007A4EB1"/>
    <w:rsid w:val="007A4F04"/>
    <w:rsid w:val="007A55CC"/>
    <w:rsid w:val="007A5855"/>
    <w:rsid w:val="007A58DB"/>
    <w:rsid w:val="007A5A69"/>
    <w:rsid w:val="007A6056"/>
    <w:rsid w:val="007A6111"/>
    <w:rsid w:val="007A65F9"/>
    <w:rsid w:val="007A6810"/>
    <w:rsid w:val="007A6C3F"/>
    <w:rsid w:val="007A6C7C"/>
    <w:rsid w:val="007A6DCA"/>
    <w:rsid w:val="007A6DFE"/>
    <w:rsid w:val="007A7004"/>
    <w:rsid w:val="007A7308"/>
    <w:rsid w:val="007A7313"/>
    <w:rsid w:val="007A7322"/>
    <w:rsid w:val="007A73C3"/>
    <w:rsid w:val="007A7566"/>
    <w:rsid w:val="007A75F9"/>
    <w:rsid w:val="007A7643"/>
    <w:rsid w:val="007A77E9"/>
    <w:rsid w:val="007A789B"/>
    <w:rsid w:val="007A78EB"/>
    <w:rsid w:val="007A78FC"/>
    <w:rsid w:val="007A7A9A"/>
    <w:rsid w:val="007A7B1C"/>
    <w:rsid w:val="007A7C07"/>
    <w:rsid w:val="007A7C69"/>
    <w:rsid w:val="007A7FD0"/>
    <w:rsid w:val="007B00B8"/>
    <w:rsid w:val="007B0630"/>
    <w:rsid w:val="007B07A0"/>
    <w:rsid w:val="007B07AA"/>
    <w:rsid w:val="007B0A2A"/>
    <w:rsid w:val="007B0A40"/>
    <w:rsid w:val="007B0AEA"/>
    <w:rsid w:val="007B0B1A"/>
    <w:rsid w:val="007B0C6E"/>
    <w:rsid w:val="007B0D04"/>
    <w:rsid w:val="007B0DB5"/>
    <w:rsid w:val="007B0DF5"/>
    <w:rsid w:val="007B0E29"/>
    <w:rsid w:val="007B1101"/>
    <w:rsid w:val="007B1698"/>
    <w:rsid w:val="007B18AD"/>
    <w:rsid w:val="007B18E6"/>
    <w:rsid w:val="007B1A18"/>
    <w:rsid w:val="007B1C3D"/>
    <w:rsid w:val="007B1CE4"/>
    <w:rsid w:val="007B1DD6"/>
    <w:rsid w:val="007B2326"/>
    <w:rsid w:val="007B24BB"/>
    <w:rsid w:val="007B28FD"/>
    <w:rsid w:val="007B2997"/>
    <w:rsid w:val="007B2C45"/>
    <w:rsid w:val="007B2D48"/>
    <w:rsid w:val="007B2EE4"/>
    <w:rsid w:val="007B2F56"/>
    <w:rsid w:val="007B2F5A"/>
    <w:rsid w:val="007B30AA"/>
    <w:rsid w:val="007B343C"/>
    <w:rsid w:val="007B3446"/>
    <w:rsid w:val="007B353C"/>
    <w:rsid w:val="007B365F"/>
    <w:rsid w:val="007B3812"/>
    <w:rsid w:val="007B39BE"/>
    <w:rsid w:val="007B3B89"/>
    <w:rsid w:val="007B3CB0"/>
    <w:rsid w:val="007B3EBA"/>
    <w:rsid w:val="007B3EC8"/>
    <w:rsid w:val="007B3ECA"/>
    <w:rsid w:val="007B3FEA"/>
    <w:rsid w:val="007B421F"/>
    <w:rsid w:val="007B437A"/>
    <w:rsid w:val="007B440E"/>
    <w:rsid w:val="007B4554"/>
    <w:rsid w:val="007B4897"/>
    <w:rsid w:val="007B4921"/>
    <w:rsid w:val="007B492D"/>
    <w:rsid w:val="007B4AFD"/>
    <w:rsid w:val="007B4BEE"/>
    <w:rsid w:val="007B4F86"/>
    <w:rsid w:val="007B4FFB"/>
    <w:rsid w:val="007B537B"/>
    <w:rsid w:val="007B54D1"/>
    <w:rsid w:val="007B581C"/>
    <w:rsid w:val="007B59BC"/>
    <w:rsid w:val="007B59C7"/>
    <w:rsid w:val="007B5C3E"/>
    <w:rsid w:val="007B5E23"/>
    <w:rsid w:val="007B6126"/>
    <w:rsid w:val="007B6419"/>
    <w:rsid w:val="007B6786"/>
    <w:rsid w:val="007B6840"/>
    <w:rsid w:val="007B69F9"/>
    <w:rsid w:val="007B6B7A"/>
    <w:rsid w:val="007B6BBC"/>
    <w:rsid w:val="007B6D2A"/>
    <w:rsid w:val="007B71E6"/>
    <w:rsid w:val="007B71E8"/>
    <w:rsid w:val="007B74FC"/>
    <w:rsid w:val="007B769F"/>
    <w:rsid w:val="007B76A7"/>
    <w:rsid w:val="007B79A3"/>
    <w:rsid w:val="007B79D9"/>
    <w:rsid w:val="007B79E3"/>
    <w:rsid w:val="007B79F3"/>
    <w:rsid w:val="007B7AB6"/>
    <w:rsid w:val="007B7B1A"/>
    <w:rsid w:val="007B7B65"/>
    <w:rsid w:val="007B7C03"/>
    <w:rsid w:val="007B7D06"/>
    <w:rsid w:val="007B7DEA"/>
    <w:rsid w:val="007C009B"/>
    <w:rsid w:val="007C00B6"/>
    <w:rsid w:val="007C0157"/>
    <w:rsid w:val="007C01C4"/>
    <w:rsid w:val="007C02E1"/>
    <w:rsid w:val="007C0564"/>
    <w:rsid w:val="007C05FA"/>
    <w:rsid w:val="007C0849"/>
    <w:rsid w:val="007C0890"/>
    <w:rsid w:val="007C0A6B"/>
    <w:rsid w:val="007C0B74"/>
    <w:rsid w:val="007C0DEC"/>
    <w:rsid w:val="007C0EF9"/>
    <w:rsid w:val="007C0FDD"/>
    <w:rsid w:val="007C1017"/>
    <w:rsid w:val="007C1233"/>
    <w:rsid w:val="007C1266"/>
    <w:rsid w:val="007C13C9"/>
    <w:rsid w:val="007C1516"/>
    <w:rsid w:val="007C154A"/>
    <w:rsid w:val="007C159D"/>
    <w:rsid w:val="007C1708"/>
    <w:rsid w:val="007C1848"/>
    <w:rsid w:val="007C1BBC"/>
    <w:rsid w:val="007C1E60"/>
    <w:rsid w:val="007C1EAF"/>
    <w:rsid w:val="007C21B5"/>
    <w:rsid w:val="007C21DE"/>
    <w:rsid w:val="007C21EF"/>
    <w:rsid w:val="007C222E"/>
    <w:rsid w:val="007C256B"/>
    <w:rsid w:val="007C259D"/>
    <w:rsid w:val="007C2702"/>
    <w:rsid w:val="007C2725"/>
    <w:rsid w:val="007C27DF"/>
    <w:rsid w:val="007C2B88"/>
    <w:rsid w:val="007C2E31"/>
    <w:rsid w:val="007C2FD3"/>
    <w:rsid w:val="007C30C4"/>
    <w:rsid w:val="007C3288"/>
    <w:rsid w:val="007C3362"/>
    <w:rsid w:val="007C3408"/>
    <w:rsid w:val="007C367B"/>
    <w:rsid w:val="007C3681"/>
    <w:rsid w:val="007C3ADB"/>
    <w:rsid w:val="007C3B51"/>
    <w:rsid w:val="007C3C85"/>
    <w:rsid w:val="007C3C8C"/>
    <w:rsid w:val="007C3D16"/>
    <w:rsid w:val="007C4036"/>
    <w:rsid w:val="007C41DB"/>
    <w:rsid w:val="007C421B"/>
    <w:rsid w:val="007C42C1"/>
    <w:rsid w:val="007C474C"/>
    <w:rsid w:val="007C483B"/>
    <w:rsid w:val="007C4878"/>
    <w:rsid w:val="007C48FB"/>
    <w:rsid w:val="007C4A3D"/>
    <w:rsid w:val="007C4B73"/>
    <w:rsid w:val="007C4B77"/>
    <w:rsid w:val="007C4BBB"/>
    <w:rsid w:val="007C4BD2"/>
    <w:rsid w:val="007C4D2F"/>
    <w:rsid w:val="007C4FF6"/>
    <w:rsid w:val="007C5129"/>
    <w:rsid w:val="007C5201"/>
    <w:rsid w:val="007C538C"/>
    <w:rsid w:val="007C5483"/>
    <w:rsid w:val="007C57D9"/>
    <w:rsid w:val="007C5C0C"/>
    <w:rsid w:val="007C5CA0"/>
    <w:rsid w:val="007C5EFD"/>
    <w:rsid w:val="007C5FED"/>
    <w:rsid w:val="007C6043"/>
    <w:rsid w:val="007C6203"/>
    <w:rsid w:val="007C62BB"/>
    <w:rsid w:val="007C64D7"/>
    <w:rsid w:val="007C656C"/>
    <w:rsid w:val="007C673A"/>
    <w:rsid w:val="007C673D"/>
    <w:rsid w:val="007C68F5"/>
    <w:rsid w:val="007C694C"/>
    <w:rsid w:val="007C6AC0"/>
    <w:rsid w:val="007C6B0F"/>
    <w:rsid w:val="007C6B48"/>
    <w:rsid w:val="007C6E21"/>
    <w:rsid w:val="007C6E6A"/>
    <w:rsid w:val="007C6F97"/>
    <w:rsid w:val="007C709E"/>
    <w:rsid w:val="007C72EE"/>
    <w:rsid w:val="007C7491"/>
    <w:rsid w:val="007C751A"/>
    <w:rsid w:val="007C76EE"/>
    <w:rsid w:val="007C7A5F"/>
    <w:rsid w:val="007C7B60"/>
    <w:rsid w:val="007C7CCB"/>
    <w:rsid w:val="007D025A"/>
    <w:rsid w:val="007D03AD"/>
    <w:rsid w:val="007D043F"/>
    <w:rsid w:val="007D04D1"/>
    <w:rsid w:val="007D0500"/>
    <w:rsid w:val="007D0848"/>
    <w:rsid w:val="007D0945"/>
    <w:rsid w:val="007D0A9D"/>
    <w:rsid w:val="007D0C11"/>
    <w:rsid w:val="007D0E3F"/>
    <w:rsid w:val="007D11D1"/>
    <w:rsid w:val="007D1272"/>
    <w:rsid w:val="007D147C"/>
    <w:rsid w:val="007D1593"/>
    <w:rsid w:val="007D15CD"/>
    <w:rsid w:val="007D1704"/>
    <w:rsid w:val="007D1EF8"/>
    <w:rsid w:val="007D1FC2"/>
    <w:rsid w:val="007D1FD2"/>
    <w:rsid w:val="007D20B0"/>
    <w:rsid w:val="007D24E4"/>
    <w:rsid w:val="007D25DF"/>
    <w:rsid w:val="007D2673"/>
    <w:rsid w:val="007D26FA"/>
    <w:rsid w:val="007D2703"/>
    <w:rsid w:val="007D270E"/>
    <w:rsid w:val="007D279A"/>
    <w:rsid w:val="007D28EF"/>
    <w:rsid w:val="007D2904"/>
    <w:rsid w:val="007D2A7B"/>
    <w:rsid w:val="007D2C3B"/>
    <w:rsid w:val="007D2D3E"/>
    <w:rsid w:val="007D2E44"/>
    <w:rsid w:val="007D31C4"/>
    <w:rsid w:val="007D31EF"/>
    <w:rsid w:val="007D335D"/>
    <w:rsid w:val="007D3391"/>
    <w:rsid w:val="007D34CA"/>
    <w:rsid w:val="007D3550"/>
    <w:rsid w:val="007D36D4"/>
    <w:rsid w:val="007D37DD"/>
    <w:rsid w:val="007D381E"/>
    <w:rsid w:val="007D3AE1"/>
    <w:rsid w:val="007D3B1B"/>
    <w:rsid w:val="007D3B48"/>
    <w:rsid w:val="007D3B52"/>
    <w:rsid w:val="007D3C27"/>
    <w:rsid w:val="007D3C9C"/>
    <w:rsid w:val="007D3D8E"/>
    <w:rsid w:val="007D3E1C"/>
    <w:rsid w:val="007D40E8"/>
    <w:rsid w:val="007D423F"/>
    <w:rsid w:val="007D43AC"/>
    <w:rsid w:val="007D443F"/>
    <w:rsid w:val="007D46E0"/>
    <w:rsid w:val="007D4AA5"/>
    <w:rsid w:val="007D4AFC"/>
    <w:rsid w:val="007D4DDD"/>
    <w:rsid w:val="007D5144"/>
    <w:rsid w:val="007D5345"/>
    <w:rsid w:val="007D55C4"/>
    <w:rsid w:val="007D56DC"/>
    <w:rsid w:val="007D57AF"/>
    <w:rsid w:val="007D57DE"/>
    <w:rsid w:val="007D592A"/>
    <w:rsid w:val="007D5AFA"/>
    <w:rsid w:val="007D5B1C"/>
    <w:rsid w:val="007D5C1D"/>
    <w:rsid w:val="007D5D0C"/>
    <w:rsid w:val="007D60B0"/>
    <w:rsid w:val="007D6130"/>
    <w:rsid w:val="007D62C5"/>
    <w:rsid w:val="007D6455"/>
    <w:rsid w:val="007D65F0"/>
    <w:rsid w:val="007D6609"/>
    <w:rsid w:val="007D661C"/>
    <w:rsid w:val="007D6C65"/>
    <w:rsid w:val="007D7007"/>
    <w:rsid w:val="007D70CB"/>
    <w:rsid w:val="007D7570"/>
    <w:rsid w:val="007D75E2"/>
    <w:rsid w:val="007D7631"/>
    <w:rsid w:val="007D768B"/>
    <w:rsid w:val="007D7755"/>
    <w:rsid w:val="007D7807"/>
    <w:rsid w:val="007D7848"/>
    <w:rsid w:val="007D7876"/>
    <w:rsid w:val="007D79B0"/>
    <w:rsid w:val="007D7AF8"/>
    <w:rsid w:val="007D7B77"/>
    <w:rsid w:val="007D7B99"/>
    <w:rsid w:val="007D7FF5"/>
    <w:rsid w:val="007E04E3"/>
    <w:rsid w:val="007E06C9"/>
    <w:rsid w:val="007E070F"/>
    <w:rsid w:val="007E0776"/>
    <w:rsid w:val="007E0787"/>
    <w:rsid w:val="007E079E"/>
    <w:rsid w:val="007E0B27"/>
    <w:rsid w:val="007E0BA3"/>
    <w:rsid w:val="007E0CBA"/>
    <w:rsid w:val="007E0CC8"/>
    <w:rsid w:val="007E0D67"/>
    <w:rsid w:val="007E0D87"/>
    <w:rsid w:val="007E0F1C"/>
    <w:rsid w:val="007E0F2B"/>
    <w:rsid w:val="007E0F7E"/>
    <w:rsid w:val="007E11BF"/>
    <w:rsid w:val="007E1284"/>
    <w:rsid w:val="007E1359"/>
    <w:rsid w:val="007E13EC"/>
    <w:rsid w:val="007E142E"/>
    <w:rsid w:val="007E16BF"/>
    <w:rsid w:val="007E171A"/>
    <w:rsid w:val="007E1AD5"/>
    <w:rsid w:val="007E1B50"/>
    <w:rsid w:val="007E1E7B"/>
    <w:rsid w:val="007E1E86"/>
    <w:rsid w:val="007E1F4C"/>
    <w:rsid w:val="007E2129"/>
    <w:rsid w:val="007E219E"/>
    <w:rsid w:val="007E22C7"/>
    <w:rsid w:val="007E22EC"/>
    <w:rsid w:val="007E28C5"/>
    <w:rsid w:val="007E28DB"/>
    <w:rsid w:val="007E2A81"/>
    <w:rsid w:val="007E2D1F"/>
    <w:rsid w:val="007E3015"/>
    <w:rsid w:val="007E3084"/>
    <w:rsid w:val="007E31CE"/>
    <w:rsid w:val="007E33E8"/>
    <w:rsid w:val="007E3540"/>
    <w:rsid w:val="007E35C3"/>
    <w:rsid w:val="007E369A"/>
    <w:rsid w:val="007E382F"/>
    <w:rsid w:val="007E3883"/>
    <w:rsid w:val="007E3A5A"/>
    <w:rsid w:val="007E3B39"/>
    <w:rsid w:val="007E3BED"/>
    <w:rsid w:val="007E3C09"/>
    <w:rsid w:val="007E3D19"/>
    <w:rsid w:val="007E3D40"/>
    <w:rsid w:val="007E3D79"/>
    <w:rsid w:val="007E4441"/>
    <w:rsid w:val="007E4603"/>
    <w:rsid w:val="007E464C"/>
    <w:rsid w:val="007E4764"/>
    <w:rsid w:val="007E47DF"/>
    <w:rsid w:val="007E48B8"/>
    <w:rsid w:val="007E48F3"/>
    <w:rsid w:val="007E4B71"/>
    <w:rsid w:val="007E4BD8"/>
    <w:rsid w:val="007E4CE8"/>
    <w:rsid w:val="007E4EA1"/>
    <w:rsid w:val="007E5379"/>
    <w:rsid w:val="007E565F"/>
    <w:rsid w:val="007E5865"/>
    <w:rsid w:val="007E5915"/>
    <w:rsid w:val="007E5B5A"/>
    <w:rsid w:val="007E5B82"/>
    <w:rsid w:val="007E5C9E"/>
    <w:rsid w:val="007E5E01"/>
    <w:rsid w:val="007E5F7B"/>
    <w:rsid w:val="007E6383"/>
    <w:rsid w:val="007E6488"/>
    <w:rsid w:val="007E649A"/>
    <w:rsid w:val="007E650D"/>
    <w:rsid w:val="007E655E"/>
    <w:rsid w:val="007E65B4"/>
    <w:rsid w:val="007E6669"/>
    <w:rsid w:val="007E694E"/>
    <w:rsid w:val="007E6A82"/>
    <w:rsid w:val="007E6AA8"/>
    <w:rsid w:val="007E6AFD"/>
    <w:rsid w:val="007E6B0E"/>
    <w:rsid w:val="007E6C50"/>
    <w:rsid w:val="007E6E56"/>
    <w:rsid w:val="007E7361"/>
    <w:rsid w:val="007E7480"/>
    <w:rsid w:val="007E758A"/>
    <w:rsid w:val="007E759F"/>
    <w:rsid w:val="007E778A"/>
    <w:rsid w:val="007E7796"/>
    <w:rsid w:val="007E7BED"/>
    <w:rsid w:val="007E7CA2"/>
    <w:rsid w:val="007F02A6"/>
    <w:rsid w:val="007F02C3"/>
    <w:rsid w:val="007F03AD"/>
    <w:rsid w:val="007F041F"/>
    <w:rsid w:val="007F06E4"/>
    <w:rsid w:val="007F0842"/>
    <w:rsid w:val="007F086A"/>
    <w:rsid w:val="007F0901"/>
    <w:rsid w:val="007F0955"/>
    <w:rsid w:val="007F0BE2"/>
    <w:rsid w:val="007F0E4B"/>
    <w:rsid w:val="007F0F5D"/>
    <w:rsid w:val="007F0FC6"/>
    <w:rsid w:val="007F12F6"/>
    <w:rsid w:val="007F1456"/>
    <w:rsid w:val="007F1826"/>
    <w:rsid w:val="007F195E"/>
    <w:rsid w:val="007F196A"/>
    <w:rsid w:val="007F19AA"/>
    <w:rsid w:val="007F1A15"/>
    <w:rsid w:val="007F1A82"/>
    <w:rsid w:val="007F1B21"/>
    <w:rsid w:val="007F1B32"/>
    <w:rsid w:val="007F1E7A"/>
    <w:rsid w:val="007F1F81"/>
    <w:rsid w:val="007F23B6"/>
    <w:rsid w:val="007F254B"/>
    <w:rsid w:val="007F2575"/>
    <w:rsid w:val="007F2847"/>
    <w:rsid w:val="007F2996"/>
    <w:rsid w:val="007F2A68"/>
    <w:rsid w:val="007F2C4F"/>
    <w:rsid w:val="007F2EA6"/>
    <w:rsid w:val="007F2ED9"/>
    <w:rsid w:val="007F2F2B"/>
    <w:rsid w:val="007F300E"/>
    <w:rsid w:val="007F3407"/>
    <w:rsid w:val="007F340C"/>
    <w:rsid w:val="007F352D"/>
    <w:rsid w:val="007F3570"/>
    <w:rsid w:val="007F3578"/>
    <w:rsid w:val="007F3633"/>
    <w:rsid w:val="007F37F3"/>
    <w:rsid w:val="007F3816"/>
    <w:rsid w:val="007F3A00"/>
    <w:rsid w:val="007F3CD7"/>
    <w:rsid w:val="007F3F1A"/>
    <w:rsid w:val="007F3F91"/>
    <w:rsid w:val="007F4017"/>
    <w:rsid w:val="007F43E8"/>
    <w:rsid w:val="007F4505"/>
    <w:rsid w:val="007F484D"/>
    <w:rsid w:val="007F489C"/>
    <w:rsid w:val="007F49C6"/>
    <w:rsid w:val="007F4C54"/>
    <w:rsid w:val="007F4FE7"/>
    <w:rsid w:val="007F5021"/>
    <w:rsid w:val="007F5310"/>
    <w:rsid w:val="007F5429"/>
    <w:rsid w:val="007F54F1"/>
    <w:rsid w:val="007F551A"/>
    <w:rsid w:val="007F5960"/>
    <w:rsid w:val="007F59B8"/>
    <w:rsid w:val="007F59D2"/>
    <w:rsid w:val="007F59FC"/>
    <w:rsid w:val="007F5ACF"/>
    <w:rsid w:val="007F5AE4"/>
    <w:rsid w:val="007F5BDE"/>
    <w:rsid w:val="007F5C08"/>
    <w:rsid w:val="007F5D54"/>
    <w:rsid w:val="007F5D9B"/>
    <w:rsid w:val="007F6036"/>
    <w:rsid w:val="007F627B"/>
    <w:rsid w:val="007F6328"/>
    <w:rsid w:val="007F65BE"/>
    <w:rsid w:val="007F683E"/>
    <w:rsid w:val="007F6B76"/>
    <w:rsid w:val="007F6CA4"/>
    <w:rsid w:val="007F6CBB"/>
    <w:rsid w:val="007F6EE6"/>
    <w:rsid w:val="007F6F0E"/>
    <w:rsid w:val="007F7166"/>
    <w:rsid w:val="007F740C"/>
    <w:rsid w:val="007F7687"/>
    <w:rsid w:val="007F7B9F"/>
    <w:rsid w:val="007F7CD5"/>
    <w:rsid w:val="007F7DE2"/>
    <w:rsid w:val="00800080"/>
    <w:rsid w:val="008000A5"/>
    <w:rsid w:val="008000FA"/>
    <w:rsid w:val="0080019C"/>
    <w:rsid w:val="008006D3"/>
    <w:rsid w:val="0080075C"/>
    <w:rsid w:val="00800897"/>
    <w:rsid w:val="008008AA"/>
    <w:rsid w:val="00800B81"/>
    <w:rsid w:val="00800EBD"/>
    <w:rsid w:val="00800F06"/>
    <w:rsid w:val="00801053"/>
    <w:rsid w:val="008010DC"/>
    <w:rsid w:val="008011FA"/>
    <w:rsid w:val="008013F5"/>
    <w:rsid w:val="00801479"/>
    <w:rsid w:val="0080162F"/>
    <w:rsid w:val="00801643"/>
    <w:rsid w:val="00801651"/>
    <w:rsid w:val="00801A69"/>
    <w:rsid w:val="00802271"/>
    <w:rsid w:val="008022A0"/>
    <w:rsid w:val="008022D7"/>
    <w:rsid w:val="0080239F"/>
    <w:rsid w:val="00802439"/>
    <w:rsid w:val="0080251B"/>
    <w:rsid w:val="0080258B"/>
    <w:rsid w:val="0080262A"/>
    <w:rsid w:val="00802974"/>
    <w:rsid w:val="00802982"/>
    <w:rsid w:val="00802A37"/>
    <w:rsid w:val="00802A81"/>
    <w:rsid w:val="00802F15"/>
    <w:rsid w:val="008031FF"/>
    <w:rsid w:val="008032D7"/>
    <w:rsid w:val="008033CF"/>
    <w:rsid w:val="008035D6"/>
    <w:rsid w:val="00803608"/>
    <w:rsid w:val="00803613"/>
    <w:rsid w:val="00803741"/>
    <w:rsid w:val="008039CE"/>
    <w:rsid w:val="00803A42"/>
    <w:rsid w:val="00803A4B"/>
    <w:rsid w:val="00803A88"/>
    <w:rsid w:val="00803DAF"/>
    <w:rsid w:val="008044D3"/>
    <w:rsid w:val="008044D4"/>
    <w:rsid w:val="008044F9"/>
    <w:rsid w:val="008045A1"/>
    <w:rsid w:val="00804AA5"/>
    <w:rsid w:val="00804B56"/>
    <w:rsid w:val="00804BE1"/>
    <w:rsid w:val="00804D3D"/>
    <w:rsid w:val="00804DEB"/>
    <w:rsid w:val="0080519C"/>
    <w:rsid w:val="008053D5"/>
    <w:rsid w:val="008054ED"/>
    <w:rsid w:val="00805501"/>
    <w:rsid w:val="008056F2"/>
    <w:rsid w:val="008058CC"/>
    <w:rsid w:val="008058F2"/>
    <w:rsid w:val="00805ABD"/>
    <w:rsid w:val="00805E2B"/>
    <w:rsid w:val="00805EA5"/>
    <w:rsid w:val="00806549"/>
    <w:rsid w:val="008065CE"/>
    <w:rsid w:val="00806969"/>
    <w:rsid w:val="008069FC"/>
    <w:rsid w:val="00806AAA"/>
    <w:rsid w:val="00806D31"/>
    <w:rsid w:val="00806D7B"/>
    <w:rsid w:val="00806D84"/>
    <w:rsid w:val="00807115"/>
    <w:rsid w:val="008071B2"/>
    <w:rsid w:val="008072DC"/>
    <w:rsid w:val="0080740E"/>
    <w:rsid w:val="0080752E"/>
    <w:rsid w:val="008076A2"/>
    <w:rsid w:val="00807738"/>
    <w:rsid w:val="00807B7A"/>
    <w:rsid w:val="00807C57"/>
    <w:rsid w:val="00807D3A"/>
    <w:rsid w:val="00807EE9"/>
    <w:rsid w:val="00807F15"/>
    <w:rsid w:val="0081020D"/>
    <w:rsid w:val="0081042D"/>
    <w:rsid w:val="008104FF"/>
    <w:rsid w:val="0081072F"/>
    <w:rsid w:val="00810A54"/>
    <w:rsid w:val="00810B65"/>
    <w:rsid w:val="00810C75"/>
    <w:rsid w:val="00810D27"/>
    <w:rsid w:val="00810D71"/>
    <w:rsid w:val="00810E8D"/>
    <w:rsid w:val="00810ED7"/>
    <w:rsid w:val="00810FA2"/>
    <w:rsid w:val="0081103F"/>
    <w:rsid w:val="0081107E"/>
    <w:rsid w:val="0081130C"/>
    <w:rsid w:val="0081152B"/>
    <w:rsid w:val="008118CD"/>
    <w:rsid w:val="008118E0"/>
    <w:rsid w:val="00811967"/>
    <w:rsid w:val="00811F34"/>
    <w:rsid w:val="00811FC0"/>
    <w:rsid w:val="00812196"/>
    <w:rsid w:val="00812474"/>
    <w:rsid w:val="00812625"/>
    <w:rsid w:val="00812762"/>
    <w:rsid w:val="00812814"/>
    <w:rsid w:val="00812820"/>
    <w:rsid w:val="008129B7"/>
    <w:rsid w:val="00812CFA"/>
    <w:rsid w:val="00812FEC"/>
    <w:rsid w:val="00813296"/>
    <w:rsid w:val="0081337A"/>
    <w:rsid w:val="0081338D"/>
    <w:rsid w:val="00813441"/>
    <w:rsid w:val="008136AF"/>
    <w:rsid w:val="008136B8"/>
    <w:rsid w:val="008138B1"/>
    <w:rsid w:val="00813A24"/>
    <w:rsid w:val="00813C83"/>
    <w:rsid w:val="00813D2D"/>
    <w:rsid w:val="00814199"/>
    <w:rsid w:val="008141D7"/>
    <w:rsid w:val="0081433A"/>
    <w:rsid w:val="008143D8"/>
    <w:rsid w:val="0081450D"/>
    <w:rsid w:val="008145CD"/>
    <w:rsid w:val="008146ED"/>
    <w:rsid w:val="00814708"/>
    <w:rsid w:val="0081493B"/>
    <w:rsid w:val="008149B8"/>
    <w:rsid w:val="00814ACF"/>
    <w:rsid w:val="00814CF1"/>
    <w:rsid w:val="00814DEC"/>
    <w:rsid w:val="00814F37"/>
    <w:rsid w:val="00815158"/>
    <w:rsid w:val="008151B0"/>
    <w:rsid w:val="008151D5"/>
    <w:rsid w:val="0081526A"/>
    <w:rsid w:val="008152FE"/>
    <w:rsid w:val="00815413"/>
    <w:rsid w:val="00815495"/>
    <w:rsid w:val="0081557D"/>
    <w:rsid w:val="0081582F"/>
    <w:rsid w:val="008158B9"/>
    <w:rsid w:val="00815D34"/>
    <w:rsid w:val="008162F0"/>
    <w:rsid w:val="00816307"/>
    <w:rsid w:val="00816590"/>
    <w:rsid w:val="00816659"/>
    <w:rsid w:val="008166A0"/>
    <w:rsid w:val="00816710"/>
    <w:rsid w:val="008168D7"/>
    <w:rsid w:val="00816989"/>
    <w:rsid w:val="00816A31"/>
    <w:rsid w:val="00816C7B"/>
    <w:rsid w:val="00816C7F"/>
    <w:rsid w:val="00816C82"/>
    <w:rsid w:val="00816F2C"/>
    <w:rsid w:val="008170A7"/>
    <w:rsid w:val="00817125"/>
    <w:rsid w:val="008171CE"/>
    <w:rsid w:val="00817254"/>
    <w:rsid w:val="008174A4"/>
    <w:rsid w:val="008175E0"/>
    <w:rsid w:val="0081761E"/>
    <w:rsid w:val="00817935"/>
    <w:rsid w:val="008179FA"/>
    <w:rsid w:val="00817AAD"/>
    <w:rsid w:val="00817D1A"/>
    <w:rsid w:val="00820081"/>
    <w:rsid w:val="008202F2"/>
    <w:rsid w:val="0082032D"/>
    <w:rsid w:val="008206E1"/>
    <w:rsid w:val="0082072B"/>
    <w:rsid w:val="008208ED"/>
    <w:rsid w:val="00820944"/>
    <w:rsid w:val="00820B3B"/>
    <w:rsid w:val="00820B84"/>
    <w:rsid w:val="00820C85"/>
    <w:rsid w:val="008210CE"/>
    <w:rsid w:val="00821206"/>
    <w:rsid w:val="0082164A"/>
    <w:rsid w:val="008217E3"/>
    <w:rsid w:val="008218F2"/>
    <w:rsid w:val="008218FE"/>
    <w:rsid w:val="00821907"/>
    <w:rsid w:val="00821B16"/>
    <w:rsid w:val="00821B2B"/>
    <w:rsid w:val="00821CB1"/>
    <w:rsid w:val="0082207C"/>
    <w:rsid w:val="008220A8"/>
    <w:rsid w:val="00822243"/>
    <w:rsid w:val="00822543"/>
    <w:rsid w:val="00822545"/>
    <w:rsid w:val="00822602"/>
    <w:rsid w:val="008227CA"/>
    <w:rsid w:val="0082280B"/>
    <w:rsid w:val="008228C8"/>
    <w:rsid w:val="008228EF"/>
    <w:rsid w:val="00822AF6"/>
    <w:rsid w:val="00822D62"/>
    <w:rsid w:val="008230E2"/>
    <w:rsid w:val="00823303"/>
    <w:rsid w:val="00823394"/>
    <w:rsid w:val="00823483"/>
    <w:rsid w:val="00823798"/>
    <w:rsid w:val="008238F2"/>
    <w:rsid w:val="00823A65"/>
    <w:rsid w:val="00823A76"/>
    <w:rsid w:val="00823D6B"/>
    <w:rsid w:val="008245E9"/>
    <w:rsid w:val="008246BF"/>
    <w:rsid w:val="00824720"/>
    <w:rsid w:val="0082477E"/>
    <w:rsid w:val="008248B4"/>
    <w:rsid w:val="00824ABB"/>
    <w:rsid w:val="00824E68"/>
    <w:rsid w:val="00825102"/>
    <w:rsid w:val="0082518B"/>
    <w:rsid w:val="008253B2"/>
    <w:rsid w:val="00825592"/>
    <w:rsid w:val="0082591A"/>
    <w:rsid w:val="008259EF"/>
    <w:rsid w:val="00825A21"/>
    <w:rsid w:val="00825B21"/>
    <w:rsid w:val="00825EB4"/>
    <w:rsid w:val="00825FBF"/>
    <w:rsid w:val="00826032"/>
    <w:rsid w:val="0082627A"/>
    <w:rsid w:val="008263AB"/>
    <w:rsid w:val="00826512"/>
    <w:rsid w:val="0082659D"/>
    <w:rsid w:val="0082682F"/>
    <w:rsid w:val="008268AC"/>
    <w:rsid w:val="00826A36"/>
    <w:rsid w:val="00826AAE"/>
    <w:rsid w:val="00826B59"/>
    <w:rsid w:val="00826C29"/>
    <w:rsid w:val="00827198"/>
    <w:rsid w:val="00827312"/>
    <w:rsid w:val="00827741"/>
    <w:rsid w:val="00827872"/>
    <w:rsid w:val="008278A5"/>
    <w:rsid w:val="00827E97"/>
    <w:rsid w:val="00827FAE"/>
    <w:rsid w:val="00830047"/>
    <w:rsid w:val="0083026A"/>
    <w:rsid w:val="00830306"/>
    <w:rsid w:val="008303C2"/>
    <w:rsid w:val="00830459"/>
    <w:rsid w:val="008304FC"/>
    <w:rsid w:val="008306F9"/>
    <w:rsid w:val="008309FF"/>
    <w:rsid w:val="00830B44"/>
    <w:rsid w:val="00830F69"/>
    <w:rsid w:val="00830F74"/>
    <w:rsid w:val="00831251"/>
    <w:rsid w:val="00831861"/>
    <w:rsid w:val="0083186C"/>
    <w:rsid w:val="008318D3"/>
    <w:rsid w:val="00831A27"/>
    <w:rsid w:val="00831B71"/>
    <w:rsid w:val="00831BF4"/>
    <w:rsid w:val="00831F24"/>
    <w:rsid w:val="0083204A"/>
    <w:rsid w:val="0083209E"/>
    <w:rsid w:val="008320DE"/>
    <w:rsid w:val="008322B0"/>
    <w:rsid w:val="0083232A"/>
    <w:rsid w:val="008325AF"/>
    <w:rsid w:val="008326BD"/>
    <w:rsid w:val="0083286F"/>
    <w:rsid w:val="00832A99"/>
    <w:rsid w:val="00832ED9"/>
    <w:rsid w:val="00832F22"/>
    <w:rsid w:val="008333DA"/>
    <w:rsid w:val="00833621"/>
    <w:rsid w:val="00833726"/>
    <w:rsid w:val="00833B1B"/>
    <w:rsid w:val="00833DFF"/>
    <w:rsid w:val="00833FEF"/>
    <w:rsid w:val="0083405E"/>
    <w:rsid w:val="0083407B"/>
    <w:rsid w:val="00834112"/>
    <w:rsid w:val="008343A8"/>
    <w:rsid w:val="008347E8"/>
    <w:rsid w:val="00834957"/>
    <w:rsid w:val="00834ACB"/>
    <w:rsid w:val="00834B48"/>
    <w:rsid w:val="00834C32"/>
    <w:rsid w:val="00834C8B"/>
    <w:rsid w:val="00834CB8"/>
    <w:rsid w:val="00834D23"/>
    <w:rsid w:val="00835086"/>
    <w:rsid w:val="0083532A"/>
    <w:rsid w:val="008353C7"/>
    <w:rsid w:val="00835430"/>
    <w:rsid w:val="008354CE"/>
    <w:rsid w:val="00835501"/>
    <w:rsid w:val="00835555"/>
    <w:rsid w:val="008355B9"/>
    <w:rsid w:val="0083571A"/>
    <w:rsid w:val="0083590D"/>
    <w:rsid w:val="00835963"/>
    <w:rsid w:val="00835A2B"/>
    <w:rsid w:val="00835E99"/>
    <w:rsid w:val="00835FEE"/>
    <w:rsid w:val="0083614B"/>
    <w:rsid w:val="00836252"/>
    <w:rsid w:val="00836389"/>
    <w:rsid w:val="0083679B"/>
    <w:rsid w:val="008367A3"/>
    <w:rsid w:val="008368F1"/>
    <w:rsid w:val="00836AA0"/>
    <w:rsid w:val="00836AB4"/>
    <w:rsid w:val="00836B4A"/>
    <w:rsid w:val="00837096"/>
    <w:rsid w:val="008371A2"/>
    <w:rsid w:val="0083721C"/>
    <w:rsid w:val="008376F5"/>
    <w:rsid w:val="008378A8"/>
    <w:rsid w:val="00837979"/>
    <w:rsid w:val="008379F0"/>
    <w:rsid w:val="00837BD3"/>
    <w:rsid w:val="008403DA"/>
    <w:rsid w:val="0084054D"/>
    <w:rsid w:val="00840DD4"/>
    <w:rsid w:val="00840F2D"/>
    <w:rsid w:val="00840FD5"/>
    <w:rsid w:val="008412DC"/>
    <w:rsid w:val="0084155B"/>
    <w:rsid w:val="0084170B"/>
    <w:rsid w:val="00841827"/>
    <w:rsid w:val="0084192E"/>
    <w:rsid w:val="00841972"/>
    <w:rsid w:val="00841D28"/>
    <w:rsid w:val="008421C9"/>
    <w:rsid w:val="0084225E"/>
    <w:rsid w:val="00842366"/>
    <w:rsid w:val="00842491"/>
    <w:rsid w:val="0084279B"/>
    <w:rsid w:val="008429A2"/>
    <w:rsid w:val="00842A84"/>
    <w:rsid w:val="00842D6E"/>
    <w:rsid w:val="00842E95"/>
    <w:rsid w:val="008432FA"/>
    <w:rsid w:val="00843B77"/>
    <w:rsid w:val="00843E1B"/>
    <w:rsid w:val="00843E46"/>
    <w:rsid w:val="00844203"/>
    <w:rsid w:val="00844425"/>
    <w:rsid w:val="008444AC"/>
    <w:rsid w:val="0084469D"/>
    <w:rsid w:val="008447D0"/>
    <w:rsid w:val="0084496A"/>
    <w:rsid w:val="00844C8F"/>
    <w:rsid w:val="00844CCA"/>
    <w:rsid w:val="00844CF7"/>
    <w:rsid w:val="00844DBB"/>
    <w:rsid w:val="0084521E"/>
    <w:rsid w:val="00845509"/>
    <w:rsid w:val="00845517"/>
    <w:rsid w:val="00845559"/>
    <w:rsid w:val="008457FD"/>
    <w:rsid w:val="00845A1C"/>
    <w:rsid w:val="00845ACC"/>
    <w:rsid w:val="00845B89"/>
    <w:rsid w:val="00845F65"/>
    <w:rsid w:val="00846164"/>
    <w:rsid w:val="00846236"/>
    <w:rsid w:val="0084623D"/>
    <w:rsid w:val="008462F8"/>
    <w:rsid w:val="00846349"/>
    <w:rsid w:val="0084657D"/>
    <w:rsid w:val="008466B6"/>
    <w:rsid w:val="00846933"/>
    <w:rsid w:val="008469BA"/>
    <w:rsid w:val="00846B11"/>
    <w:rsid w:val="00846DDE"/>
    <w:rsid w:val="00846EE5"/>
    <w:rsid w:val="00846F9C"/>
    <w:rsid w:val="00846FBF"/>
    <w:rsid w:val="0084764B"/>
    <w:rsid w:val="0084765E"/>
    <w:rsid w:val="008477F0"/>
    <w:rsid w:val="0084787F"/>
    <w:rsid w:val="008479CC"/>
    <w:rsid w:val="00847A56"/>
    <w:rsid w:val="00847B7D"/>
    <w:rsid w:val="00847D3F"/>
    <w:rsid w:val="00847F64"/>
    <w:rsid w:val="00847F88"/>
    <w:rsid w:val="00847F95"/>
    <w:rsid w:val="00847FE5"/>
    <w:rsid w:val="0085007F"/>
    <w:rsid w:val="0085052C"/>
    <w:rsid w:val="0085077B"/>
    <w:rsid w:val="008508A9"/>
    <w:rsid w:val="00850A4A"/>
    <w:rsid w:val="00850AC2"/>
    <w:rsid w:val="00850D7C"/>
    <w:rsid w:val="00850E49"/>
    <w:rsid w:val="0085118E"/>
    <w:rsid w:val="008511BB"/>
    <w:rsid w:val="00851682"/>
    <w:rsid w:val="00851890"/>
    <w:rsid w:val="00851CA6"/>
    <w:rsid w:val="00851E57"/>
    <w:rsid w:val="00852419"/>
    <w:rsid w:val="00852A41"/>
    <w:rsid w:val="00852E74"/>
    <w:rsid w:val="00853573"/>
    <w:rsid w:val="008535AA"/>
    <w:rsid w:val="00853DE4"/>
    <w:rsid w:val="00853E24"/>
    <w:rsid w:val="00853F30"/>
    <w:rsid w:val="00854042"/>
    <w:rsid w:val="008540D2"/>
    <w:rsid w:val="008541DE"/>
    <w:rsid w:val="00854404"/>
    <w:rsid w:val="00854405"/>
    <w:rsid w:val="0085448E"/>
    <w:rsid w:val="0085463C"/>
    <w:rsid w:val="0085464C"/>
    <w:rsid w:val="008546B6"/>
    <w:rsid w:val="00854849"/>
    <w:rsid w:val="008549B9"/>
    <w:rsid w:val="00854AFE"/>
    <w:rsid w:val="00854B68"/>
    <w:rsid w:val="00854DB3"/>
    <w:rsid w:val="00854DC7"/>
    <w:rsid w:val="00854E43"/>
    <w:rsid w:val="0085524E"/>
    <w:rsid w:val="00855364"/>
    <w:rsid w:val="008554BA"/>
    <w:rsid w:val="00855A38"/>
    <w:rsid w:val="00855AC2"/>
    <w:rsid w:val="00855B51"/>
    <w:rsid w:val="00855D8B"/>
    <w:rsid w:val="00855EF9"/>
    <w:rsid w:val="00856499"/>
    <w:rsid w:val="00856653"/>
    <w:rsid w:val="00856A6C"/>
    <w:rsid w:val="00856AF3"/>
    <w:rsid w:val="00856CA0"/>
    <w:rsid w:val="00857040"/>
    <w:rsid w:val="00857201"/>
    <w:rsid w:val="008572EF"/>
    <w:rsid w:val="008573D1"/>
    <w:rsid w:val="008574C7"/>
    <w:rsid w:val="008576A8"/>
    <w:rsid w:val="008576B6"/>
    <w:rsid w:val="00857803"/>
    <w:rsid w:val="00857AE2"/>
    <w:rsid w:val="00857D6C"/>
    <w:rsid w:val="00857DE9"/>
    <w:rsid w:val="00857EEE"/>
    <w:rsid w:val="008600DC"/>
    <w:rsid w:val="00860299"/>
    <w:rsid w:val="008602B4"/>
    <w:rsid w:val="00860393"/>
    <w:rsid w:val="008603AE"/>
    <w:rsid w:val="00860475"/>
    <w:rsid w:val="00860567"/>
    <w:rsid w:val="00860856"/>
    <w:rsid w:val="00860AB2"/>
    <w:rsid w:val="00860E7B"/>
    <w:rsid w:val="008611B4"/>
    <w:rsid w:val="00861789"/>
    <w:rsid w:val="00861DD3"/>
    <w:rsid w:val="00861EC0"/>
    <w:rsid w:val="00861FB5"/>
    <w:rsid w:val="0086251F"/>
    <w:rsid w:val="00862639"/>
    <w:rsid w:val="00862C7B"/>
    <w:rsid w:val="00862DFD"/>
    <w:rsid w:val="00862F23"/>
    <w:rsid w:val="00863117"/>
    <w:rsid w:val="00863821"/>
    <w:rsid w:val="008638BC"/>
    <w:rsid w:val="00863AFC"/>
    <w:rsid w:val="00863B0C"/>
    <w:rsid w:val="00863D08"/>
    <w:rsid w:val="00863DAD"/>
    <w:rsid w:val="00863E26"/>
    <w:rsid w:val="00863F3B"/>
    <w:rsid w:val="008641AD"/>
    <w:rsid w:val="008642C7"/>
    <w:rsid w:val="00864370"/>
    <w:rsid w:val="00864636"/>
    <w:rsid w:val="00864E48"/>
    <w:rsid w:val="00864E95"/>
    <w:rsid w:val="00864E9F"/>
    <w:rsid w:val="0086512A"/>
    <w:rsid w:val="008651DD"/>
    <w:rsid w:val="0086521F"/>
    <w:rsid w:val="00865262"/>
    <w:rsid w:val="008652DB"/>
    <w:rsid w:val="00865344"/>
    <w:rsid w:val="008653E3"/>
    <w:rsid w:val="008658B6"/>
    <w:rsid w:val="00865922"/>
    <w:rsid w:val="008659CE"/>
    <w:rsid w:val="008659E6"/>
    <w:rsid w:val="00865A27"/>
    <w:rsid w:val="00865AEC"/>
    <w:rsid w:val="00865BFE"/>
    <w:rsid w:val="00865C9F"/>
    <w:rsid w:val="00866104"/>
    <w:rsid w:val="008662DB"/>
    <w:rsid w:val="00866319"/>
    <w:rsid w:val="00866389"/>
    <w:rsid w:val="008664E7"/>
    <w:rsid w:val="00866507"/>
    <w:rsid w:val="008666BC"/>
    <w:rsid w:val="00866707"/>
    <w:rsid w:val="008668CA"/>
    <w:rsid w:val="008669F9"/>
    <w:rsid w:val="00866A4A"/>
    <w:rsid w:val="00866B97"/>
    <w:rsid w:val="00866C0C"/>
    <w:rsid w:val="00866CCB"/>
    <w:rsid w:val="00866E54"/>
    <w:rsid w:val="00867004"/>
    <w:rsid w:val="0086702D"/>
    <w:rsid w:val="008670F6"/>
    <w:rsid w:val="008671BD"/>
    <w:rsid w:val="00867474"/>
    <w:rsid w:val="008674EE"/>
    <w:rsid w:val="0086760B"/>
    <w:rsid w:val="0086765C"/>
    <w:rsid w:val="0086774B"/>
    <w:rsid w:val="00867BA7"/>
    <w:rsid w:val="00867CD6"/>
    <w:rsid w:val="00867DF7"/>
    <w:rsid w:val="00867F90"/>
    <w:rsid w:val="0087005F"/>
    <w:rsid w:val="00870241"/>
    <w:rsid w:val="00870666"/>
    <w:rsid w:val="00870E14"/>
    <w:rsid w:val="00870FF9"/>
    <w:rsid w:val="00871082"/>
    <w:rsid w:val="0087145D"/>
    <w:rsid w:val="008714F5"/>
    <w:rsid w:val="0087158E"/>
    <w:rsid w:val="00871684"/>
    <w:rsid w:val="008719A3"/>
    <w:rsid w:val="00871A68"/>
    <w:rsid w:val="00871B02"/>
    <w:rsid w:val="00871B55"/>
    <w:rsid w:val="00871CE5"/>
    <w:rsid w:val="00871E03"/>
    <w:rsid w:val="00871ECC"/>
    <w:rsid w:val="0087203E"/>
    <w:rsid w:val="00872063"/>
    <w:rsid w:val="008720DA"/>
    <w:rsid w:val="008721E9"/>
    <w:rsid w:val="00872319"/>
    <w:rsid w:val="008724B7"/>
    <w:rsid w:val="008725FE"/>
    <w:rsid w:val="0087266D"/>
    <w:rsid w:val="0087269C"/>
    <w:rsid w:val="008727B0"/>
    <w:rsid w:val="00872864"/>
    <w:rsid w:val="00872A60"/>
    <w:rsid w:val="00872F1B"/>
    <w:rsid w:val="0087302F"/>
    <w:rsid w:val="00873122"/>
    <w:rsid w:val="0087374F"/>
    <w:rsid w:val="00873B21"/>
    <w:rsid w:val="00873D2E"/>
    <w:rsid w:val="00873E1F"/>
    <w:rsid w:val="00873F04"/>
    <w:rsid w:val="00874129"/>
    <w:rsid w:val="0087440B"/>
    <w:rsid w:val="00874551"/>
    <w:rsid w:val="0087459D"/>
    <w:rsid w:val="00874961"/>
    <w:rsid w:val="00874B46"/>
    <w:rsid w:val="0087545A"/>
    <w:rsid w:val="0087572D"/>
    <w:rsid w:val="0087598D"/>
    <w:rsid w:val="00876200"/>
    <w:rsid w:val="008762F3"/>
    <w:rsid w:val="008767A1"/>
    <w:rsid w:val="00876B17"/>
    <w:rsid w:val="00876C98"/>
    <w:rsid w:val="008776C4"/>
    <w:rsid w:val="008777F5"/>
    <w:rsid w:val="00877A9C"/>
    <w:rsid w:val="00877DD4"/>
    <w:rsid w:val="00877DDF"/>
    <w:rsid w:val="00877EAB"/>
    <w:rsid w:val="0088004C"/>
    <w:rsid w:val="00880087"/>
    <w:rsid w:val="0088027C"/>
    <w:rsid w:val="0088065A"/>
    <w:rsid w:val="0088066C"/>
    <w:rsid w:val="0088074D"/>
    <w:rsid w:val="00880BD2"/>
    <w:rsid w:val="00880E04"/>
    <w:rsid w:val="008810BD"/>
    <w:rsid w:val="008817D2"/>
    <w:rsid w:val="0088198A"/>
    <w:rsid w:val="008819C9"/>
    <w:rsid w:val="00881C1B"/>
    <w:rsid w:val="00882295"/>
    <w:rsid w:val="008824CF"/>
    <w:rsid w:val="00882556"/>
    <w:rsid w:val="008828CE"/>
    <w:rsid w:val="00882A2A"/>
    <w:rsid w:val="00882DA4"/>
    <w:rsid w:val="00882E0C"/>
    <w:rsid w:val="00882ECB"/>
    <w:rsid w:val="00883357"/>
    <w:rsid w:val="0088336F"/>
    <w:rsid w:val="0088348D"/>
    <w:rsid w:val="00883572"/>
    <w:rsid w:val="00883618"/>
    <w:rsid w:val="008837AE"/>
    <w:rsid w:val="0088388D"/>
    <w:rsid w:val="008838DD"/>
    <w:rsid w:val="008838F6"/>
    <w:rsid w:val="008839C3"/>
    <w:rsid w:val="00883BF3"/>
    <w:rsid w:val="00883D65"/>
    <w:rsid w:val="00883E7F"/>
    <w:rsid w:val="00884178"/>
    <w:rsid w:val="00884387"/>
    <w:rsid w:val="0088446F"/>
    <w:rsid w:val="00884548"/>
    <w:rsid w:val="0088463F"/>
    <w:rsid w:val="00884680"/>
    <w:rsid w:val="008847F6"/>
    <w:rsid w:val="00884820"/>
    <w:rsid w:val="00884923"/>
    <w:rsid w:val="00884973"/>
    <w:rsid w:val="008849CD"/>
    <w:rsid w:val="00884A4D"/>
    <w:rsid w:val="00884BF5"/>
    <w:rsid w:val="00884D0D"/>
    <w:rsid w:val="00884D59"/>
    <w:rsid w:val="00884F94"/>
    <w:rsid w:val="00885235"/>
    <w:rsid w:val="00885258"/>
    <w:rsid w:val="008852ED"/>
    <w:rsid w:val="00885540"/>
    <w:rsid w:val="00885605"/>
    <w:rsid w:val="0088573B"/>
    <w:rsid w:val="00885A46"/>
    <w:rsid w:val="00885F03"/>
    <w:rsid w:val="0088612F"/>
    <w:rsid w:val="00886185"/>
    <w:rsid w:val="00886237"/>
    <w:rsid w:val="008863AC"/>
    <w:rsid w:val="00886811"/>
    <w:rsid w:val="0088687A"/>
    <w:rsid w:val="00886AD3"/>
    <w:rsid w:val="00886CE2"/>
    <w:rsid w:val="00886F82"/>
    <w:rsid w:val="008871CF"/>
    <w:rsid w:val="0088720F"/>
    <w:rsid w:val="008874DE"/>
    <w:rsid w:val="008875B2"/>
    <w:rsid w:val="00887759"/>
    <w:rsid w:val="00887976"/>
    <w:rsid w:val="00887B92"/>
    <w:rsid w:val="00887CCE"/>
    <w:rsid w:val="00887F8E"/>
    <w:rsid w:val="0089004A"/>
    <w:rsid w:val="00890274"/>
    <w:rsid w:val="008902E5"/>
    <w:rsid w:val="008903F3"/>
    <w:rsid w:val="00890467"/>
    <w:rsid w:val="008904D9"/>
    <w:rsid w:val="008904DF"/>
    <w:rsid w:val="00890664"/>
    <w:rsid w:val="00890832"/>
    <w:rsid w:val="008909EC"/>
    <w:rsid w:val="00890BDF"/>
    <w:rsid w:val="00890D9D"/>
    <w:rsid w:val="00890F1F"/>
    <w:rsid w:val="00891379"/>
    <w:rsid w:val="008915BB"/>
    <w:rsid w:val="008916FE"/>
    <w:rsid w:val="00891986"/>
    <w:rsid w:val="008919F6"/>
    <w:rsid w:val="00891ACB"/>
    <w:rsid w:val="00891AEF"/>
    <w:rsid w:val="00891B36"/>
    <w:rsid w:val="00891C7E"/>
    <w:rsid w:val="00891DDE"/>
    <w:rsid w:val="00891FEE"/>
    <w:rsid w:val="0089231A"/>
    <w:rsid w:val="00892527"/>
    <w:rsid w:val="008926E3"/>
    <w:rsid w:val="00892991"/>
    <w:rsid w:val="00892ABD"/>
    <w:rsid w:val="00892E68"/>
    <w:rsid w:val="0089356E"/>
    <w:rsid w:val="0089376E"/>
    <w:rsid w:val="008938DF"/>
    <w:rsid w:val="0089392D"/>
    <w:rsid w:val="008939D6"/>
    <w:rsid w:val="00893A41"/>
    <w:rsid w:val="00893ABA"/>
    <w:rsid w:val="00893C43"/>
    <w:rsid w:val="00893C78"/>
    <w:rsid w:val="00893FAF"/>
    <w:rsid w:val="00894044"/>
    <w:rsid w:val="00894075"/>
    <w:rsid w:val="0089439A"/>
    <w:rsid w:val="00894411"/>
    <w:rsid w:val="0089453E"/>
    <w:rsid w:val="008946C4"/>
    <w:rsid w:val="00894851"/>
    <w:rsid w:val="0089488F"/>
    <w:rsid w:val="00894B61"/>
    <w:rsid w:val="00894CFE"/>
    <w:rsid w:val="00894E1F"/>
    <w:rsid w:val="00894E26"/>
    <w:rsid w:val="00894EA2"/>
    <w:rsid w:val="00894F59"/>
    <w:rsid w:val="0089532B"/>
    <w:rsid w:val="00895612"/>
    <w:rsid w:val="008957AB"/>
    <w:rsid w:val="00895AEC"/>
    <w:rsid w:val="00895D95"/>
    <w:rsid w:val="0089605F"/>
    <w:rsid w:val="008960CA"/>
    <w:rsid w:val="008961C9"/>
    <w:rsid w:val="008961EE"/>
    <w:rsid w:val="0089628D"/>
    <w:rsid w:val="008962E8"/>
    <w:rsid w:val="008964A7"/>
    <w:rsid w:val="008964D2"/>
    <w:rsid w:val="0089665E"/>
    <w:rsid w:val="0089667B"/>
    <w:rsid w:val="008967A8"/>
    <w:rsid w:val="008968FC"/>
    <w:rsid w:val="00896BF9"/>
    <w:rsid w:val="00897472"/>
    <w:rsid w:val="008975BE"/>
    <w:rsid w:val="0089771C"/>
    <w:rsid w:val="00897AB4"/>
    <w:rsid w:val="00897D06"/>
    <w:rsid w:val="00897DFA"/>
    <w:rsid w:val="00897F2A"/>
    <w:rsid w:val="008A01B1"/>
    <w:rsid w:val="008A0355"/>
    <w:rsid w:val="008A03F2"/>
    <w:rsid w:val="008A04E8"/>
    <w:rsid w:val="008A0519"/>
    <w:rsid w:val="008A077E"/>
    <w:rsid w:val="008A0FAB"/>
    <w:rsid w:val="008A10D1"/>
    <w:rsid w:val="008A1240"/>
    <w:rsid w:val="008A12B1"/>
    <w:rsid w:val="008A16A3"/>
    <w:rsid w:val="008A1AE6"/>
    <w:rsid w:val="008A1D9F"/>
    <w:rsid w:val="008A1EB4"/>
    <w:rsid w:val="008A1F7A"/>
    <w:rsid w:val="008A24E6"/>
    <w:rsid w:val="008A2532"/>
    <w:rsid w:val="008A2546"/>
    <w:rsid w:val="008A2906"/>
    <w:rsid w:val="008A29D0"/>
    <w:rsid w:val="008A2A2B"/>
    <w:rsid w:val="008A2F83"/>
    <w:rsid w:val="008A3012"/>
    <w:rsid w:val="008A326D"/>
    <w:rsid w:val="008A3419"/>
    <w:rsid w:val="008A349E"/>
    <w:rsid w:val="008A356B"/>
    <w:rsid w:val="008A36C4"/>
    <w:rsid w:val="008A373F"/>
    <w:rsid w:val="008A38FD"/>
    <w:rsid w:val="008A3966"/>
    <w:rsid w:val="008A3DB3"/>
    <w:rsid w:val="008A3DCF"/>
    <w:rsid w:val="008A3F7A"/>
    <w:rsid w:val="008A423B"/>
    <w:rsid w:val="008A429C"/>
    <w:rsid w:val="008A42DE"/>
    <w:rsid w:val="008A42F5"/>
    <w:rsid w:val="008A4363"/>
    <w:rsid w:val="008A467B"/>
    <w:rsid w:val="008A4732"/>
    <w:rsid w:val="008A486D"/>
    <w:rsid w:val="008A4AA8"/>
    <w:rsid w:val="008A4AEF"/>
    <w:rsid w:val="008A4D49"/>
    <w:rsid w:val="008A4EF2"/>
    <w:rsid w:val="008A4F10"/>
    <w:rsid w:val="008A5124"/>
    <w:rsid w:val="008A55FC"/>
    <w:rsid w:val="008A57FB"/>
    <w:rsid w:val="008A580A"/>
    <w:rsid w:val="008A5900"/>
    <w:rsid w:val="008A591A"/>
    <w:rsid w:val="008A6044"/>
    <w:rsid w:val="008A60B8"/>
    <w:rsid w:val="008A61AE"/>
    <w:rsid w:val="008A61DB"/>
    <w:rsid w:val="008A62E9"/>
    <w:rsid w:val="008A6343"/>
    <w:rsid w:val="008A63EC"/>
    <w:rsid w:val="008A6423"/>
    <w:rsid w:val="008A65B1"/>
    <w:rsid w:val="008A670B"/>
    <w:rsid w:val="008A687F"/>
    <w:rsid w:val="008A689C"/>
    <w:rsid w:val="008A694B"/>
    <w:rsid w:val="008A6A52"/>
    <w:rsid w:val="008A6A7A"/>
    <w:rsid w:val="008A6B6E"/>
    <w:rsid w:val="008A6D27"/>
    <w:rsid w:val="008A6D62"/>
    <w:rsid w:val="008A7209"/>
    <w:rsid w:val="008A7294"/>
    <w:rsid w:val="008A7322"/>
    <w:rsid w:val="008A73BC"/>
    <w:rsid w:val="008A752E"/>
    <w:rsid w:val="008A7749"/>
    <w:rsid w:val="008A78B4"/>
    <w:rsid w:val="008A78C8"/>
    <w:rsid w:val="008A7AED"/>
    <w:rsid w:val="008A7B41"/>
    <w:rsid w:val="008A7B49"/>
    <w:rsid w:val="008A7CC4"/>
    <w:rsid w:val="008A7CDF"/>
    <w:rsid w:val="008A7D51"/>
    <w:rsid w:val="008A7F6F"/>
    <w:rsid w:val="008B04E5"/>
    <w:rsid w:val="008B0A4C"/>
    <w:rsid w:val="008B0A92"/>
    <w:rsid w:val="008B0AA7"/>
    <w:rsid w:val="008B0EE6"/>
    <w:rsid w:val="008B104D"/>
    <w:rsid w:val="008B1746"/>
    <w:rsid w:val="008B1A99"/>
    <w:rsid w:val="008B1CDB"/>
    <w:rsid w:val="008B1EB1"/>
    <w:rsid w:val="008B1F43"/>
    <w:rsid w:val="008B201B"/>
    <w:rsid w:val="008B2179"/>
    <w:rsid w:val="008B223B"/>
    <w:rsid w:val="008B23F7"/>
    <w:rsid w:val="008B2544"/>
    <w:rsid w:val="008B2605"/>
    <w:rsid w:val="008B2639"/>
    <w:rsid w:val="008B282A"/>
    <w:rsid w:val="008B2A51"/>
    <w:rsid w:val="008B2EF4"/>
    <w:rsid w:val="008B2F2C"/>
    <w:rsid w:val="008B36BF"/>
    <w:rsid w:val="008B3884"/>
    <w:rsid w:val="008B39DF"/>
    <w:rsid w:val="008B3A34"/>
    <w:rsid w:val="008B3C71"/>
    <w:rsid w:val="008B3D15"/>
    <w:rsid w:val="008B4081"/>
    <w:rsid w:val="008B4108"/>
    <w:rsid w:val="008B411F"/>
    <w:rsid w:val="008B416C"/>
    <w:rsid w:val="008B43F5"/>
    <w:rsid w:val="008B44B7"/>
    <w:rsid w:val="008B4597"/>
    <w:rsid w:val="008B4770"/>
    <w:rsid w:val="008B4832"/>
    <w:rsid w:val="008B48BB"/>
    <w:rsid w:val="008B4AD7"/>
    <w:rsid w:val="008B4CF0"/>
    <w:rsid w:val="008B503B"/>
    <w:rsid w:val="008B5117"/>
    <w:rsid w:val="008B5265"/>
    <w:rsid w:val="008B5291"/>
    <w:rsid w:val="008B52C1"/>
    <w:rsid w:val="008B539D"/>
    <w:rsid w:val="008B55B2"/>
    <w:rsid w:val="008B5727"/>
    <w:rsid w:val="008B5935"/>
    <w:rsid w:val="008B5BE3"/>
    <w:rsid w:val="008B5DD5"/>
    <w:rsid w:val="008B60F7"/>
    <w:rsid w:val="008B61DE"/>
    <w:rsid w:val="008B6312"/>
    <w:rsid w:val="008B6567"/>
    <w:rsid w:val="008B668D"/>
    <w:rsid w:val="008B6B5B"/>
    <w:rsid w:val="008B6B6E"/>
    <w:rsid w:val="008B6E8A"/>
    <w:rsid w:val="008B7005"/>
    <w:rsid w:val="008B71D3"/>
    <w:rsid w:val="008B71EA"/>
    <w:rsid w:val="008B71F1"/>
    <w:rsid w:val="008B773E"/>
    <w:rsid w:val="008B7B05"/>
    <w:rsid w:val="008B7D56"/>
    <w:rsid w:val="008B7F4D"/>
    <w:rsid w:val="008C0017"/>
    <w:rsid w:val="008C0336"/>
    <w:rsid w:val="008C0455"/>
    <w:rsid w:val="008C04AE"/>
    <w:rsid w:val="008C0590"/>
    <w:rsid w:val="008C07FE"/>
    <w:rsid w:val="008C0E9D"/>
    <w:rsid w:val="008C0F5C"/>
    <w:rsid w:val="008C118F"/>
    <w:rsid w:val="008C12EF"/>
    <w:rsid w:val="008C133E"/>
    <w:rsid w:val="008C1534"/>
    <w:rsid w:val="008C16C4"/>
    <w:rsid w:val="008C17B6"/>
    <w:rsid w:val="008C18F8"/>
    <w:rsid w:val="008C1986"/>
    <w:rsid w:val="008C19F4"/>
    <w:rsid w:val="008C1A69"/>
    <w:rsid w:val="008C1A6C"/>
    <w:rsid w:val="008C1B07"/>
    <w:rsid w:val="008C1BAC"/>
    <w:rsid w:val="008C1D68"/>
    <w:rsid w:val="008C1F2D"/>
    <w:rsid w:val="008C21BC"/>
    <w:rsid w:val="008C21F1"/>
    <w:rsid w:val="008C22B4"/>
    <w:rsid w:val="008C2342"/>
    <w:rsid w:val="008C2350"/>
    <w:rsid w:val="008C236C"/>
    <w:rsid w:val="008C23AA"/>
    <w:rsid w:val="008C23BA"/>
    <w:rsid w:val="008C243C"/>
    <w:rsid w:val="008C272E"/>
    <w:rsid w:val="008C2BCE"/>
    <w:rsid w:val="008C2C82"/>
    <w:rsid w:val="008C2E40"/>
    <w:rsid w:val="008C304F"/>
    <w:rsid w:val="008C310B"/>
    <w:rsid w:val="008C325E"/>
    <w:rsid w:val="008C339E"/>
    <w:rsid w:val="008C3422"/>
    <w:rsid w:val="008C34F3"/>
    <w:rsid w:val="008C353E"/>
    <w:rsid w:val="008C35D3"/>
    <w:rsid w:val="008C38B1"/>
    <w:rsid w:val="008C3976"/>
    <w:rsid w:val="008C3A28"/>
    <w:rsid w:val="008C3B26"/>
    <w:rsid w:val="008C3C2B"/>
    <w:rsid w:val="008C3D5E"/>
    <w:rsid w:val="008C3FCC"/>
    <w:rsid w:val="008C4244"/>
    <w:rsid w:val="008C44E3"/>
    <w:rsid w:val="008C466E"/>
    <w:rsid w:val="008C4795"/>
    <w:rsid w:val="008C47D3"/>
    <w:rsid w:val="008C4873"/>
    <w:rsid w:val="008C4A3B"/>
    <w:rsid w:val="008C4AE2"/>
    <w:rsid w:val="008C4D29"/>
    <w:rsid w:val="008C4FE3"/>
    <w:rsid w:val="008C5557"/>
    <w:rsid w:val="008C55B0"/>
    <w:rsid w:val="008C560A"/>
    <w:rsid w:val="008C5762"/>
    <w:rsid w:val="008C577B"/>
    <w:rsid w:val="008C5832"/>
    <w:rsid w:val="008C5C25"/>
    <w:rsid w:val="008C5E17"/>
    <w:rsid w:val="008C6017"/>
    <w:rsid w:val="008C6047"/>
    <w:rsid w:val="008C61BC"/>
    <w:rsid w:val="008C626F"/>
    <w:rsid w:val="008C6337"/>
    <w:rsid w:val="008C6421"/>
    <w:rsid w:val="008C64BD"/>
    <w:rsid w:val="008C64FA"/>
    <w:rsid w:val="008C65AC"/>
    <w:rsid w:val="008C660E"/>
    <w:rsid w:val="008C663F"/>
    <w:rsid w:val="008C6BBE"/>
    <w:rsid w:val="008C6F58"/>
    <w:rsid w:val="008C73E2"/>
    <w:rsid w:val="008C7703"/>
    <w:rsid w:val="008C7DC8"/>
    <w:rsid w:val="008D0038"/>
    <w:rsid w:val="008D0181"/>
    <w:rsid w:val="008D01F0"/>
    <w:rsid w:val="008D0495"/>
    <w:rsid w:val="008D054A"/>
    <w:rsid w:val="008D0729"/>
    <w:rsid w:val="008D076D"/>
    <w:rsid w:val="008D08AB"/>
    <w:rsid w:val="008D0925"/>
    <w:rsid w:val="008D09F3"/>
    <w:rsid w:val="008D0A9A"/>
    <w:rsid w:val="008D0C35"/>
    <w:rsid w:val="008D0E4B"/>
    <w:rsid w:val="008D0F98"/>
    <w:rsid w:val="008D1142"/>
    <w:rsid w:val="008D1260"/>
    <w:rsid w:val="008D14F8"/>
    <w:rsid w:val="008D1525"/>
    <w:rsid w:val="008D1629"/>
    <w:rsid w:val="008D163A"/>
    <w:rsid w:val="008D17F5"/>
    <w:rsid w:val="008D18F9"/>
    <w:rsid w:val="008D18FA"/>
    <w:rsid w:val="008D1A0F"/>
    <w:rsid w:val="008D1D6A"/>
    <w:rsid w:val="008D20A8"/>
    <w:rsid w:val="008D21A1"/>
    <w:rsid w:val="008D21D5"/>
    <w:rsid w:val="008D2239"/>
    <w:rsid w:val="008D22DF"/>
    <w:rsid w:val="008D2357"/>
    <w:rsid w:val="008D23AF"/>
    <w:rsid w:val="008D2467"/>
    <w:rsid w:val="008D2754"/>
    <w:rsid w:val="008D299D"/>
    <w:rsid w:val="008D29D5"/>
    <w:rsid w:val="008D2DC0"/>
    <w:rsid w:val="008D2F0A"/>
    <w:rsid w:val="008D305E"/>
    <w:rsid w:val="008D3098"/>
    <w:rsid w:val="008D334D"/>
    <w:rsid w:val="008D34BC"/>
    <w:rsid w:val="008D3542"/>
    <w:rsid w:val="008D3959"/>
    <w:rsid w:val="008D39FF"/>
    <w:rsid w:val="008D3D04"/>
    <w:rsid w:val="008D3D0E"/>
    <w:rsid w:val="008D3DCC"/>
    <w:rsid w:val="008D3FE5"/>
    <w:rsid w:val="008D3FF5"/>
    <w:rsid w:val="008D4401"/>
    <w:rsid w:val="008D441C"/>
    <w:rsid w:val="008D44BB"/>
    <w:rsid w:val="008D462A"/>
    <w:rsid w:val="008D4BAA"/>
    <w:rsid w:val="008D4D57"/>
    <w:rsid w:val="008D4E5B"/>
    <w:rsid w:val="008D4FAC"/>
    <w:rsid w:val="008D5130"/>
    <w:rsid w:val="008D52BC"/>
    <w:rsid w:val="008D5445"/>
    <w:rsid w:val="008D57A6"/>
    <w:rsid w:val="008D5811"/>
    <w:rsid w:val="008D581E"/>
    <w:rsid w:val="008D5A17"/>
    <w:rsid w:val="008D5F20"/>
    <w:rsid w:val="008D60E9"/>
    <w:rsid w:val="008D63FE"/>
    <w:rsid w:val="008D6401"/>
    <w:rsid w:val="008D6596"/>
    <w:rsid w:val="008D6AEE"/>
    <w:rsid w:val="008D6C00"/>
    <w:rsid w:val="008D6C05"/>
    <w:rsid w:val="008D6E6E"/>
    <w:rsid w:val="008D6F54"/>
    <w:rsid w:val="008D73E1"/>
    <w:rsid w:val="008D746E"/>
    <w:rsid w:val="008D76B4"/>
    <w:rsid w:val="008D7796"/>
    <w:rsid w:val="008D77BC"/>
    <w:rsid w:val="008D781E"/>
    <w:rsid w:val="008D785F"/>
    <w:rsid w:val="008D78A7"/>
    <w:rsid w:val="008D7930"/>
    <w:rsid w:val="008D7AE6"/>
    <w:rsid w:val="008D7CB2"/>
    <w:rsid w:val="008D7E42"/>
    <w:rsid w:val="008D7E84"/>
    <w:rsid w:val="008E0422"/>
    <w:rsid w:val="008E0449"/>
    <w:rsid w:val="008E05D1"/>
    <w:rsid w:val="008E0619"/>
    <w:rsid w:val="008E063A"/>
    <w:rsid w:val="008E069D"/>
    <w:rsid w:val="008E0C8C"/>
    <w:rsid w:val="008E0D25"/>
    <w:rsid w:val="008E145B"/>
    <w:rsid w:val="008E1460"/>
    <w:rsid w:val="008E14DD"/>
    <w:rsid w:val="008E16C4"/>
    <w:rsid w:val="008E1767"/>
    <w:rsid w:val="008E1854"/>
    <w:rsid w:val="008E1B52"/>
    <w:rsid w:val="008E2078"/>
    <w:rsid w:val="008E209D"/>
    <w:rsid w:val="008E23D2"/>
    <w:rsid w:val="008E23E8"/>
    <w:rsid w:val="008E2703"/>
    <w:rsid w:val="008E2866"/>
    <w:rsid w:val="008E286D"/>
    <w:rsid w:val="008E28B0"/>
    <w:rsid w:val="008E2F55"/>
    <w:rsid w:val="008E3009"/>
    <w:rsid w:val="008E313D"/>
    <w:rsid w:val="008E3405"/>
    <w:rsid w:val="008E368F"/>
    <w:rsid w:val="008E37E7"/>
    <w:rsid w:val="008E3A1A"/>
    <w:rsid w:val="008E3B28"/>
    <w:rsid w:val="008E3C02"/>
    <w:rsid w:val="008E3C30"/>
    <w:rsid w:val="008E3F4F"/>
    <w:rsid w:val="008E3FEF"/>
    <w:rsid w:val="008E40FF"/>
    <w:rsid w:val="008E41FC"/>
    <w:rsid w:val="008E448C"/>
    <w:rsid w:val="008E4672"/>
    <w:rsid w:val="008E4757"/>
    <w:rsid w:val="008E47C3"/>
    <w:rsid w:val="008E483C"/>
    <w:rsid w:val="008E4AC6"/>
    <w:rsid w:val="008E4CFC"/>
    <w:rsid w:val="008E4F26"/>
    <w:rsid w:val="008E4F9B"/>
    <w:rsid w:val="008E512B"/>
    <w:rsid w:val="008E5130"/>
    <w:rsid w:val="008E548A"/>
    <w:rsid w:val="008E55CA"/>
    <w:rsid w:val="008E55F5"/>
    <w:rsid w:val="008E586B"/>
    <w:rsid w:val="008E5983"/>
    <w:rsid w:val="008E5A3A"/>
    <w:rsid w:val="008E5DAA"/>
    <w:rsid w:val="008E5DEA"/>
    <w:rsid w:val="008E6173"/>
    <w:rsid w:val="008E6232"/>
    <w:rsid w:val="008E632C"/>
    <w:rsid w:val="008E6642"/>
    <w:rsid w:val="008E66FE"/>
    <w:rsid w:val="008E6872"/>
    <w:rsid w:val="008E699D"/>
    <w:rsid w:val="008E6ADE"/>
    <w:rsid w:val="008E6AE6"/>
    <w:rsid w:val="008E70FF"/>
    <w:rsid w:val="008E7382"/>
    <w:rsid w:val="008E7750"/>
    <w:rsid w:val="008E77E8"/>
    <w:rsid w:val="008E79D3"/>
    <w:rsid w:val="008E7BCA"/>
    <w:rsid w:val="008E7C47"/>
    <w:rsid w:val="008E7CD1"/>
    <w:rsid w:val="008F004F"/>
    <w:rsid w:val="008F0214"/>
    <w:rsid w:val="008F04CC"/>
    <w:rsid w:val="008F04CD"/>
    <w:rsid w:val="008F0540"/>
    <w:rsid w:val="008F062B"/>
    <w:rsid w:val="008F0896"/>
    <w:rsid w:val="008F08F1"/>
    <w:rsid w:val="008F0935"/>
    <w:rsid w:val="008F0A50"/>
    <w:rsid w:val="008F0B93"/>
    <w:rsid w:val="008F0BDE"/>
    <w:rsid w:val="008F0BE5"/>
    <w:rsid w:val="008F0DA1"/>
    <w:rsid w:val="008F128D"/>
    <w:rsid w:val="008F13C0"/>
    <w:rsid w:val="008F13D0"/>
    <w:rsid w:val="008F15C3"/>
    <w:rsid w:val="008F19C6"/>
    <w:rsid w:val="008F19FC"/>
    <w:rsid w:val="008F1A48"/>
    <w:rsid w:val="008F1B2C"/>
    <w:rsid w:val="008F1C0D"/>
    <w:rsid w:val="008F1E11"/>
    <w:rsid w:val="008F1EC2"/>
    <w:rsid w:val="008F1FF9"/>
    <w:rsid w:val="008F215D"/>
    <w:rsid w:val="008F25FE"/>
    <w:rsid w:val="008F2617"/>
    <w:rsid w:val="008F2665"/>
    <w:rsid w:val="008F278A"/>
    <w:rsid w:val="008F29DF"/>
    <w:rsid w:val="008F2ADA"/>
    <w:rsid w:val="008F2C1D"/>
    <w:rsid w:val="008F2E94"/>
    <w:rsid w:val="008F3007"/>
    <w:rsid w:val="008F30C8"/>
    <w:rsid w:val="008F363D"/>
    <w:rsid w:val="008F3683"/>
    <w:rsid w:val="008F36C1"/>
    <w:rsid w:val="008F3725"/>
    <w:rsid w:val="008F3B7F"/>
    <w:rsid w:val="008F3DE5"/>
    <w:rsid w:val="008F3E6F"/>
    <w:rsid w:val="008F3FCA"/>
    <w:rsid w:val="008F40BB"/>
    <w:rsid w:val="008F42C9"/>
    <w:rsid w:val="008F4323"/>
    <w:rsid w:val="008F432E"/>
    <w:rsid w:val="008F43C3"/>
    <w:rsid w:val="008F45D1"/>
    <w:rsid w:val="008F46ED"/>
    <w:rsid w:val="008F47FD"/>
    <w:rsid w:val="008F48AD"/>
    <w:rsid w:val="008F4AD7"/>
    <w:rsid w:val="008F4B39"/>
    <w:rsid w:val="008F4C35"/>
    <w:rsid w:val="008F4D70"/>
    <w:rsid w:val="008F4D79"/>
    <w:rsid w:val="008F4E32"/>
    <w:rsid w:val="008F5078"/>
    <w:rsid w:val="008F523F"/>
    <w:rsid w:val="008F5728"/>
    <w:rsid w:val="008F575A"/>
    <w:rsid w:val="008F57D7"/>
    <w:rsid w:val="008F595E"/>
    <w:rsid w:val="008F5974"/>
    <w:rsid w:val="008F5A03"/>
    <w:rsid w:val="008F5A68"/>
    <w:rsid w:val="008F5AAF"/>
    <w:rsid w:val="008F5B67"/>
    <w:rsid w:val="008F5C55"/>
    <w:rsid w:val="008F5DA5"/>
    <w:rsid w:val="008F5ED6"/>
    <w:rsid w:val="008F5F01"/>
    <w:rsid w:val="008F60F8"/>
    <w:rsid w:val="008F6760"/>
    <w:rsid w:val="008F6891"/>
    <w:rsid w:val="008F68D4"/>
    <w:rsid w:val="008F68DF"/>
    <w:rsid w:val="008F6AD0"/>
    <w:rsid w:val="008F6B01"/>
    <w:rsid w:val="008F6C61"/>
    <w:rsid w:val="008F6CAD"/>
    <w:rsid w:val="008F6E56"/>
    <w:rsid w:val="008F7066"/>
    <w:rsid w:val="008F7117"/>
    <w:rsid w:val="008F73CA"/>
    <w:rsid w:val="008F7634"/>
    <w:rsid w:val="008F776A"/>
    <w:rsid w:val="008F7955"/>
    <w:rsid w:val="008F7992"/>
    <w:rsid w:val="008F79C2"/>
    <w:rsid w:val="008F7BE8"/>
    <w:rsid w:val="008F7CEB"/>
    <w:rsid w:val="008F7E55"/>
    <w:rsid w:val="008F7F6F"/>
    <w:rsid w:val="008F7FB6"/>
    <w:rsid w:val="009011AD"/>
    <w:rsid w:val="0090133D"/>
    <w:rsid w:val="00901691"/>
    <w:rsid w:val="00901B0F"/>
    <w:rsid w:val="00901CBD"/>
    <w:rsid w:val="00901D44"/>
    <w:rsid w:val="00901E67"/>
    <w:rsid w:val="00902179"/>
    <w:rsid w:val="009022B4"/>
    <w:rsid w:val="009022D9"/>
    <w:rsid w:val="00902570"/>
    <w:rsid w:val="00902581"/>
    <w:rsid w:val="00902623"/>
    <w:rsid w:val="0090292F"/>
    <w:rsid w:val="00902B41"/>
    <w:rsid w:val="00902BCC"/>
    <w:rsid w:val="00902C62"/>
    <w:rsid w:val="009031E1"/>
    <w:rsid w:val="009032F8"/>
    <w:rsid w:val="00903365"/>
    <w:rsid w:val="009035A7"/>
    <w:rsid w:val="00903CAB"/>
    <w:rsid w:val="00903D2C"/>
    <w:rsid w:val="0090406D"/>
    <w:rsid w:val="00904288"/>
    <w:rsid w:val="009046D5"/>
    <w:rsid w:val="00904848"/>
    <w:rsid w:val="00904B36"/>
    <w:rsid w:val="00904B41"/>
    <w:rsid w:val="00904C7E"/>
    <w:rsid w:val="00904C9C"/>
    <w:rsid w:val="00904D2A"/>
    <w:rsid w:val="00904E6B"/>
    <w:rsid w:val="00904F29"/>
    <w:rsid w:val="00905134"/>
    <w:rsid w:val="009052CA"/>
    <w:rsid w:val="0090548C"/>
    <w:rsid w:val="00905640"/>
    <w:rsid w:val="009056BF"/>
    <w:rsid w:val="0090571F"/>
    <w:rsid w:val="0090578A"/>
    <w:rsid w:val="00905918"/>
    <w:rsid w:val="00905A1F"/>
    <w:rsid w:val="00905A64"/>
    <w:rsid w:val="00905B3B"/>
    <w:rsid w:val="00905BA2"/>
    <w:rsid w:val="00905DED"/>
    <w:rsid w:val="00905F87"/>
    <w:rsid w:val="00906017"/>
    <w:rsid w:val="00906243"/>
    <w:rsid w:val="0090659B"/>
    <w:rsid w:val="0090666B"/>
    <w:rsid w:val="0090675E"/>
    <w:rsid w:val="00906ECA"/>
    <w:rsid w:val="00907145"/>
    <w:rsid w:val="0090755A"/>
    <w:rsid w:val="00907719"/>
    <w:rsid w:val="009079AF"/>
    <w:rsid w:val="00907AD1"/>
    <w:rsid w:val="00907B65"/>
    <w:rsid w:val="00907C6D"/>
    <w:rsid w:val="00907FAC"/>
    <w:rsid w:val="00907FE1"/>
    <w:rsid w:val="0091004D"/>
    <w:rsid w:val="009103EC"/>
    <w:rsid w:val="00910575"/>
    <w:rsid w:val="00910660"/>
    <w:rsid w:val="009106B3"/>
    <w:rsid w:val="009106E2"/>
    <w:rsid w:val="009108A3"/>
    <w:rsid w:val="00910AD0"/>
    <w:rsid w:val="00910C45"/>
    <w:rsid w:val="00910C52"/>
    <w:rsid w:val="00910C84"/>
    <w:rsid w:val="00910CB4"/>
    <w:rsid w:val="00910D22"/>
    <w:rsid w:val="00910EEC"/>
    <w:rsid w:val="0091118B"/>
    <w:rsid w:val="00911247"/>
    <w:rsid w:val="009112BF"/>
    <w:rsid w:val="009113D5"/>
    <w:rsid w:val="009116BB"/>
    <w:rsid w:val="0091192C"/>
    <w:rsid w:val="00911A33"/>
    <w:rsid w:val="00911BD6"/>
    <w:rsid w:val="00911E43"/>
    <w:rsid w:val="00911F0F"/>
    <w:rsid w:val="00911F94"/>
    <w:rsid w:val="0091232E"/>
    <w:rsid w:val="009123B2"/>
    <w:rsid w:val="009126AB"/>
    <w:rsid w:val="00912AF7"/>
    <w:rsid w:val="00912B3D"/>
    <w:rsid w:val="00912B85"/>
    <w:rsid w:val="00912CD6"/>
    <w:rsid w:val="00912EFF"/>
    <w:rsid w:val="009130C0"/>
    <w:rsid w:val="0091348B"/>
    <w:rsid w:val="00913545"/>
    <w:rsid w:val="009138A8"/>
    <w:rsid w:val="009139EA"/>
    <w:rsid w:val="00913CC7"/>
    <w:rsid w:val="00913CCF"/>
    <w:rsid w:val="00913CD0"/>
    <w:rsid w:val="00913E02"/>
    <w:rsid w:val="00914051"/>
    <w:rsid w:val="00914196"/>
    <w:rsid w:val="009141B5"/>
    <w:rsid w:val="00914294"/>
    <w:rsid w:val="00914312"/>
    <w:rsid w:val="00914423"/>
    <w:rsid w:val="00914500"/>
    <w:rsid w:val="0091457E"/>
    <w:rsid w:val="009148BC"/>
    <w:rsid w:val="00914A26"/>
    <w:rsid w:val="00914C69"/>
    <w:rsid w:val="00914D8E"/>
    <w:rsid w:val="00914EB0"/>
    <w:rsid w:val="00915074"/>
    <w:rsid w:val="009150CA"/>
    <w:rsid w:val="0091510D"/>
    <w:rsid w:val="00915532"/>
    <w:rsid w:val="009155A5"/>
    <w:rsid w:val="0091580D"/>
    <w:rsid w:val="00915915"/>
    <w:rsid w:val="00915A13"/>
    <w:rsid w:val="00915AAE"/>
    <w:rsid w:val="00915C11"/>
    <w:rsid w:val="00915C77"/>
    <w:rsid w:val="00915D6D"/>
    <w:rsid w:val="00915DA9"/>
    <w:rsid w:val="00916136"/>
    <w:rsid w:val="009161DA"/>
    <w:rsid w:val="009162D4"/>
    <w:rsid w:val="00916319"/>
    <w:rsid w:val="0091655F"/>
    <w:rsid w:val="009165CE"/>
    <w:rsid w:val="00916771"/>
    <w:rsid w:val="00916838"/>
    <w:rsid w:val="00916A0A"/>
    <w:rsid w:val="00916C9B"/>
    <w:rsid w:val="00916CDC"/>
    <w:rsid w:val="00916D52"/>
    <w:rsid w:val="00916DD0"/>
    <w:rsid w:val="00916DE3"/>
    <w:rsid w:val="00917039"/>
    <w:rsid w:val="00917131"/>
    <w:rsid w:val="0091748A"/>
    <w:rsid w:val="009175F2"/>
    <w:rsid w:val="00917A3A"/>
    <w:rsid w:val="00917B0A"/>
    <w:rsid w:val="00917BF0"/>
    <w:rsid w:val="00917D41"/>
    <w:rsid w:val="00917DB6"/>
    <w:rsid w:val="00917E3E"/>
    <w:rsid w:val="00917FC7"/>
    <w:rsid w:val="0092028F"/>
    <w:rsid w:val="009202D5"/>
    <w:rsid w:val="0092065D"/>
    <w:rsid w:val="00920AC6"/>
    <w:rsid w:val="00920B0C"/>
    <w:rsid w:val="00920D24"/>
    <w:rsid w:val="00920D5B"/>
    <w:rsid w:val="00920F9A"/>
    <w:rsid w:val="00921109"/>
    <w:rsid w:val="009212B1"/>
    <w:rsid w:val="009212F4"/>
    <w:rsid w:val="00921404"/>
    <w:rsid w:val="00921456"/>
    <w:rsid w:val="00921469"/>
    <w:rsid w:val="0092148F"/>
    <w:rsid w:val="00921534"/>
    <w:rsid w:val="00921585"/>
    <w:rsid w:val="00921907"/>
    <w:rsid w:val="00921B7F"/>
    <w:rsid w:val="00921BC7"/>
    <w:rsid w:val="00921CBD"/>
    <w:rsid w:val="0092206C"/>
    <w:rsid w:val="00922152"/>
    <w:rsid w:val="00922317"/>
    <w:rsid w:val="009224AF"/>
    <w:rsid w:val="009225BA"/>
    <w:rsid w:val="0092276E"/>
    <w:rsid w:val="009227B3"/>
    <w:rsid w:val="00922858"/>
    <w:rsid w:val="009228D2"/>
    <w:rsid w:val="00922AFC"/>
    <w:rsid w:val="00922B52"/>
    <w:rsid w:val="00922DDC"/>
    <w:rsid w:val="00922F18"/>
    <w:rsid w:val="009230B1"/>
    <w:rsid w:val="009231D5"/>
    <w:rsid w:val="00923259"/>
    <w:rsid w:val="0092325B"/>
    <w:rsid w:val="00923276"/>
    <w:rsid w:val="009232F4"/>
    <w:rsid w:val="009234C2"/>
    <w:rsid w:val="0092367C"/>
    <w:rsid w:val="00923701"/>
    <w:rsid w:val="00923971"/>
    <w:rsid w:val="009239EA"/>
    <w:rsid w:val="00923AD9"/>
    <w:rsid w:val="00923AE4"/>
    <w:rsid w:val="00923DCE"/>
    <w:rsid w:val="009241C0"/>
    <w:rsid w:val="009241D5"/>
    <w:rsid w:val="00924298"/>
    <w:rsid w:val="00924337"/>
    <w:rsid w:val="0092460F"/>
    <w:rsid w:val="009246BC"/>
    <w:rsid w:val="009249E7"/>
    <w:rsid w:val="009249F6"/>
    <w:rsid w:val="00924A69"/>
    <w:rsid w:val="00924C1B"/>
    <w:rsid w:val="00924D90"/>
    <w:rsid w:val="00925065"/>
    <w:rsid w:val="00925159"/>
    <w:rsid w:val="009251AA"/>
    <w:rsid w:val="00925228"/>
    <w:rsid w:val="009252AF"/>
    <w:rsid w:val="00925387"/>
    <w:rsid w:val="0092543B"/>
    <w:rsid w:val="009255F8"/>
    <w:rsid w:val="00925817"/>
    <w:rsid w:val="00925B01"/>
    <w:rsid w:val="00925B5A"/>
    <w:rsid w:val="00925BB2"/>
    <w:rsid w:val="00925BCE"/>
    <w:rsid w:val="00925D86"/>
    <w:rsid w:val="00925DA3"/>
    <w:rsid w:val="00925E89"/>
    <w:rsid w:val="00925F19"/>
    <w:rsid w:val="00926095"/>
    <w:rsid w:val="00926178"/>
    <w:rsid w:val="0092620B"/>
    <w:rsid w:val="00926713"/>
    <w:rsid w:val="00926A74"/>
    <w:rsid w:val="00926AB0"/>
    <w:rsid w:val="00926C4D"/>
    <w:rsid w:val="00926D57"/>
    <w:rsid w:val="009270C2"/>
    <w:rsid w:val="00927310"/>
    <w:rsid w:val="00927351"/>
    <w:rsid w:val="0092744D"/>
    <w:rsid w:val="00927687"/>
    <w:rsid w:val="0092799C"/>
    <w:rsid w:val="00927A47"/>
    <w:rsid w:val="00927C26"/>
    <w:rsid w:val="00927CA5"/>
    <w:rsid w:val="00927CB5"/>
    <w:rsid w:val="00927D95"/>
    <w:rsid w:val="00927DF2"/>
    <w:rsid w:val="00930155"/>
    <w:rsid w:val="00930210"/>
    <w:rsid w:val="0093029E"/>
    <w:rsid w:val="00930517"/>
    <w:rsid w:val="00930613"/>
    <w:rsid w:val="009307DD"/>
    <w:rsid w:val="0093092A"/>
    <w:rsid w:val="00930C31"/>
    <w:rsid w:val="0093110D"/>
    <w:rsid w:val="00931114"/>
    <w:rsid w:val="009316A2"/>
    <w:rsid w:val="0093180D"/>
    <w:rsid w:val="00932045"/>
    <w:rsid w:val="00932090"/>
    <w:rsid w:val="009320C3"/>
    <w:rsid w:val="00932218"/>
    <w:rsid w:val="0093232B"/>
    <w:rsid w:val="0093267D"/>
    <w:rsid w:val="009326D0"/>
    <w:rsid w:val="00932846"/>
    <w:rsid w:val="009328C7"/>
    <w:rsid w:val="00932A56"/>
    <w:rsid w:val="00932BF0"/>
    <w:rsid w:val="00932DA0"/>
    <w:rsid w:val="00932DAB"/>
    <w:rsid w:val="00932E42"/>
    <w:rsid w:val="009330B8"/>
    <w:rsid w:val="009334C5"/>
    <w:rsid w:val="009337EC"/>
    <w:rsid w:val="0093385B"/>
    <w:rsid w:val="0093396C"/>
    <w:rsid w:val="00933B68"/>
    <w:rsid w:val="00933C2D"/>
    <w:rsid w:val="00933DC5"/>
    <w:rsid w:val="00934140"/>
    <w:rsid w:val="00934148"/>
    <w:rsid w:val="00934236"/>
    <w:rsid w:val="0093431A"/>
    <w:rsid w:val="009345B8"/>
    <w:rsid w:val="00934695"/>
    <w:rsid w:val="00934B0D"/>
    <w:rsid w:val="00934B6F"/>
    <w:rsid w:val="00934EC3"/>
    <w:rsid w:val="00935231"/>
    <w:rsid w:val="00935366"/>
    <w:rsid w:val="009353D6"/>
    <w:rsid w:val="009353F8"/>
    <w:rsid w:val="009356E4"/>
    <w:rsid w:val="0093584A"/>
    <w:rsid w:val="00935899"/>
    <w:rsid w:val="00935B1E"/>
    <w:rsid w:val="00935E6A"/>
    <w:rsid w:val="00935E75"/>
    <w:rsid w:val="00935F40"/>
    <w:rsid w:val="0093618F"/>
    <w:rsid w:val="00936233"/>
    <w:rsid w:val="00936387"/>
    <w:rsid w:val="0093644E"/>
    <w:rsid w:val="00936519"/>
    <w:rsid w:val="00936812"/>
    <w:rsid w:val="00936A32"/>
    <w:rsid w:val="00936BC5"/>
    <w:rsid w:val="00936C16"/>
    <w:rsid w:val="00936DE4"/>
    <w:rsid w:val="009373B8"/>
    <w:rsid w:val="00937415"/>
    <w:rsid w:val="0093743E"/>
    <w:rsid w:val="00937657"/>
    <w:rsid w:val="009378B6"/>
    <w:rsid w:val="00937F55"/>
    <w:rsid w:val="00937F8C"/>
    <w:rsid w:val="0094016D"/>
    <w:rsid w:val="0094029C"/>
    <w:rsid w:val="00940398"/>
    <w:rsid w:val="009404E7"/>
    <w:rsid w:val="009404F4"/>
    <w:rsid w:val="00940518"/>
    <w:rsid w:val="0094087C"/>
    <w:rsid w:val="00940AB5"/>
    <w:rsid w:val="00940DF9"/>
    <w:rsid w:val="00940F30"/>
    <w:rsid w:val="009412D0"/>
    <w:rsid w:val="009413E0"/>
    <w:rsid w:val="009413E4"/>
    <w:rsid w:val="0094141C"/>
    <w:rsid w:val="00941541"/>
    <w:rsid w:val="0094155E"/>
    <w:rsid w:val="009415F8"/>
    <w:rsid w:val="009419EF"/>
    <w:rsid w:val="00941B08"/>
    <w:rsid w:val="00941B16"/>
    <w:rsid w:val="00941B72"/>
    <w:rsid w:val="00941C5C"/>
    <w:rsid w:val="00941E14"/>
    <w:rsid w:val="0094202B"/>
    <w:rsid w:val="009421CD"/>
    <w:rsid w:val="009425CA"/>
    <w:rsid w:val="00942632"/>
    <w:rsid w:val="009428D2"/>
    <w:rsid w:val="0094291E"/>
    <w:rsid w:val="00942A9E"/>
    <w:rsid w:val="00942B19"/>
    <w:rsid w:val="00942BE2"/>
    <w:rsid w:val="00942BE8"/>
    <w:rsid w:val="00942E6F"/>
    <w:rsid w:val="00942EAE"/>
    <w:rsid w:val="00942F94"/>
    <w:rsid w:val="0094325F"/>
    <w:rsid w:val="009432D9"/>
    <w:rsid w:val="00943402"/>
    <w:rsid w:val="009434A5"/>
    <w:rsid w:val="00943832"/>
    <w:rsid w:val="00943BAF"/>
    <w:rsid w:val="00943C42"/>
    <w:rsid w:val="00943CAD"/>
    <w:rsid w:val="00943D50"/>
    <w:rsid w:val="00943D71"/>
    <w:rsid w:val="00943DAD"/>
    <w:rsid w:val="00943F66"/>
    <w:rsid w:val="00943FA7"/>
    <w:rsid w:val="00944098"/>
    <w:rsid w:val="009440A2"/>
    <w:rsid w:val="009445B0"/>
    <w:rsid w:val="00944954"/>
    <w:rsid w:val="009449C4"/>
    <w:rsid w:val="00944A6B"/>
    <w:rsid w:val="00944BE5"/>
    <w:rsid w:val="00944D37"/>
    <w:rsid w:val="00944ECD"/>
    <w:rsid w:val="00944F41"/>
    <w:rsid w:val="00944F89"/>
    <w:rsid w:val="00945142"/>
    <w:rsid w:val="00945152"/>
    <w:rsid w:val="00945158"/>
    <w:rsid w:val="0094516B"/>
    <w:rsid w:val="0094572C"/>
    <w:rsid w:val="009457DD"/>
    <w:rsid w:val="00945AE7"/>
    <w:rsid w:val="00945BC7"/>
    <w:rsid w:val="0094614B"/>
    <w:rsid w:val="00946276"/>
    <w:rsid w:val="009463DD"/>
    <w:rsid w:val="00946799"/>
    <w:rsid w:val="0094690E"/>
    <w:rsid w:val="00946A91"/>
    <w:rsid w:val="00946ABD"/>
    <w:rsid w:val="00946B84"/>
    <w:rsid w:val="00946C2D"/>
    <w:rsid w:val="00946CF0"/>
    <w:rsid w:val="00946D6D"/>
    <w:rsid w:val="00946FD5"/>
    <w:rsid w:val="00947019"/>
    <w:rsid w:val="009471C0"/>
    <w:rsid w:val="00947650"/>
    <w:rsid w:val="00947784"/>
    <w:rsid w:val="009478AD"/>
    <w:rsid w:val="00947A81"/>
    <w:rsid w:val="00947AA4"/>
    <w:rsid w:val="00947B9C"/>
    <w:rsid w:val="00947BA4"/>
    <w:rsid w:val="00947BE8"/>
    <w:rsid w:val="00947FE1"/>
    <w:rsid w:val="0095013A"/>
    <w:rsid w:val="00950367"/>
    <w:rsid w:val="009507C1"/>
    <w:rsid w:val="00950800"/>
    <w:rsid w:val="0095088E"/>
    <w:rsid w:val="009508B7"/>
    <w:rsid w:val="00950A7D"/>
    <w:rsid w:val="00950C5D"/>
    <w:rsid w:val="00950EDF"/>
    <w:rsid w:val="00950F45"/>
    <w:rsid w:val="00950F56"/>
    <w:rsid w:val="00951191"/>
    <w:rsid w:val="00951271"/>
    <w:rsid w:val="009515C6"/>
    <w:rsid w:val="00951721"/>
    <w:rsid w:val="00951AB4"/>
    <w:rsid w:val="00951BB2"/>
    <w:rsid w:val="00951BBF"/>
    <w:rsid w:val="00951C37"/>
    <w:rsid w:val="00951CAE"/>
    <w:rsid w:val="00951DBA"/>
    <w:rsid w:val="00952064"/>
    <w:rsid w:val="009522F0"/>
    <w:rsid w:val="00952502"/>
    <w:rsid w:val="009528D7"/>
    <w:rsid w:val="009529EF"/>
    <w:rsid w:val="009529FD"/>
    <w:rsid w:val="00952B76"/>
    <w:rsid w:val="00952C66"/>
    <w:rsid w:val="00952C68"/>
    <w:rsid w:val="00952D9A"/>
    <w:rsid w:val="00952E0D"/>
    <w:rsid w:val="00952EAD"/>
    <w:rsid w:val="009530CA"/>
    <w:rsid w:val="00953196"/>
    <w:rsid w:val="009531CF"/>
    <w:rsid w:val="00953222"/>
    <w:rsid w:val="0095366A"/>
    <w:rsid w:val="00953747"/>
    <w:rsid w:val="00953AD0"/>
    <w:rsid w:val="00953AD1"/>
    <w:rsid w:val="009542B7"/>
    <w:rsid w:val="009543C4"/>
    <w:rsid w:val="0095448D"/>
    <w:rsid w:val="0095468D"/>
    <w:rsid w:val="009546B9"/>
    <w:rsid w:val="00954704"/>
    <w:rsid w:val="0095478B"/>
    <w:rsid w:val="009548B0"/>
    <w:rsid w:val="00954954"/>
    <w:rsid w:val="00954E1D"/>
    <w:rsid w:val="0095504B"/>
    <w:rsid w:val="00955061"/>
    <w:rsid w:val="009550B2"/>
    <w:rsid w:val="0095518E"/>
    <w:rsid w:val="00955199"/>
    <w:rsid w:val="009551ED"/>
    <w:rsid w:val="00955352"/>
    <w:rsid w:val="0095539D"/>
    <w:rsid w:val="009555E3"/>
    <w:rsid w:val="0095567F"/>
    <w:rsid w:val="00955820"/>
    <w:rsid w:val="009558C6"/>
    <w:rsid w:val="009559F8"/>
    <w:rsid w:val="00955D50"/>
    <w:rsid w:val="0095621B"/>
    <w:rsid w:val="0095634B"/>
    <w:rsid w:val="00956371"/>
    <w:rsid w:val="009563D5"/>
    <w:rsid w:val="00956444"/>
    <w:rsid w:val="009565E5"/>
    <w:rsid w:val="009568FC"/>
    <w:rsid w:val="00956916"/>
    <w:rsid w:val="00956A5E"/>
    <w:rsid w:val="00956C67"/>
    <w:rsid w:val="00956D03"/>
    <w:rsid w:val="00956DE0"/>
    <w:rsid w:val="00956F17"/>
    <w:rsid w:val="00957116"/>
    <w:rsid w:val="0095735E"/>
    <w:rsid w:val="00957409"/>
    <w:rsid w:val="00957860"/>
    <w:rsid w:val="00957B24"/>
    <w:rsid w:val="00957C3B"/>
    <w:rsid w:val="00957C3F"/>
    <w:rsid w:val="00957C91"/>
    <w:rsid w:val="00957D05"/>
    <w:rsid w:val="00957D8A"/>
    <w:rsid w:val="00957D9A"/>
    <w:rsid w:val="00957DC4"/>
    <w:rsid w:val="00957EBD"/>
    <w:rsid w:val="00957F78"/>
    <w:rsid w:val="0096041D"/>
    <w:rsid w:val="009604F9"/>
    <w:rsid w:val="00960752"/>
    <w:rsid w:val="009609C7"/>
    <w:rsid w:val="009609D0"/>
    <w:rsid w:val="009609EB"/>
    <w:rsid w:val="00960A36"/>
    <w:rsid w:val="00961350"/>
    <w:rsid w:val="00961481"/>
    <w:rsid w:val="0096148D"/>
    <w:rsid w:val="00961653"/>
    <w:rsid w:val="00961670"/>
    <w:rsid w:val="00961693"/>
    <w:rsid w:val="0096186E"/>
    <w:rsid w:val="00961C9B"/>
    <w:rsid w:val="00961EED"/>
    <w:rsid w:val="0096229A"/>
    <w:rsid w:val="00962371"/>
    <w:rsid w:val="00962568"/>
    <w:rsid w:val="009625C3"/>
    <w:rsid w:val="00962811"/>
    <w:rsid w:val="00962A50"/>
    <w:rsid w:val="00962D4E"/>
    <w:rsid w:val="00962DB1"/>
    <w:rsid w:val="00963065"/>
    <w:rsid w:val="009630EC"/>
    <w:rsid w:val="009632EA"/>
    <w:rsid w:val="009633B7"/>
    <w:rsid w:val="009638BB"/>
    <w:rsid w:val="009638C4"/>
    <w:rsid w:val="00963C15"/>
    <w:rsid w:val="00963DF9"/>
    <w:rsid w:val="00963EBF"/>
    <w:rsid w:val="0096415D"/>
    <w:rsid w:val="00964431"/>
    <w:rsid w:val="009645A9"/>
    <w:rsid w:val="0096474D"/>
    <w:rsid w:val="0096478E"/>
    <w:rsid w:val="00964D68"/>
    <w:rsid w:val="00965194"/>
    <w:rsid w:val="009651F6"/>
    <w:rsid w:val="00965261"/>
    <w:rsid w:val="0096544D"/>
    <w:rsid w:val="009654BB"/>
    <w:rsid w:val="00965527"/>
    <w:rsid w:val="00965724"/>
    <w:rsid w:val="00966014"/>
    <w:rsid w:val="0096610F"/>
    <w:rsid w:val="009661CF"/>
    <w:rsid w:val="00966228"/>
    <w:rsid w:val="009664B6"/>
    <w:rsid w:val="0096683D"/>
    <w:rsid w:val="00966E51"/>
    <w:rsid w:val="00966F84"/>
    <w:rsid w:val="009673F5"/>
    <w:rsid w:val="009676CF"/>
    <w:rsid w:val="009678C0"/>
    <w:rsid w:val="00967A6A"/>
    <w:rsid w:val="00967A8F"/>
    <w:rsid w:val="00967B8A"/>
    <w:rsid w:val="00967CC0"/>
    <w:rsid w:val="00967D24"/>
    <w:rsid w:val="00967D48"/>
    <w:rsid w:val="0097000F"/>
    <w:rsid w:val="0097010E"/>
    <w:rsid w:val="009704BE"/>
    <w:rsid w:val="009704C7"/>
    <w:rsid w:val="00970757"/>
    <w:rsid w:val="00970809"/>
    <w:rsid w:val="00970A8C"/>
    <w:rsid w:val="00970B42"/>
    <w:rsid w:val="00970B72"/>
    <w:rsid w:val="00970C32"/>
    <w:rsid w:val="00970C6B"/>
    <w:rsid w:val="0097109E"/>
    <w:rsid w:val="009710E4"/>
    <w:rsid w:val="009711C9"/>
    <w:rsid w:val="0097128B"/>
    <w:rsid w:val="009713C9"/>
    <w:rsid w:val="00971580"/>
    <w:rsid w:val="00971657"/>
    <w:rsid w:val="00971898"/>
    <w:rsid w:val="00971934"/>
    <w:rsid w:val="00971A12"/>
    <w:rsid w:val="00971C86"/>
    <w:rsid w:val="00971CA7"/>
    <w:rsid w:val="00971CA8"/>
    <w:rsid w:val="00971D8B"/>
    <w:rsid w:val="00971FFE"/>
    <w:rsid w:val="0097209F"/>
    <w:rsid w:val="0097213A"/>
    <w:rsid w:val="009721E6"/>
    <w:rsid w:val="0097227D"/>
    <w:rsid w:val="009723A1"/>
    <w:rsid w:val="0097246D"/>
    <w:rsid w:val="009725CC"/>
    <w:rsid w:val="009725F6"/>
    <w:rsid w:val="0097270F"/>
    <w:rsid w:val="00972AC1"/>
    <w:rsid w:val="00972BC4"/>
    <w:rsid w:val="00972D09"/>
    <w:rsid w:val="00972DE5"/>
    <w:rsid w:val="00972EDB"/>
    <w:rsid w:val="00972F2F"/>
    <w:rsid w:val="00973094"/>
    <w:rsid w:val="00973645"/>
    <w:rsid w:val="00973888"/>
    <w:rsid w:val="00973E1D"/>
    <w:rsid w:val="00973F28"/>
    <w:rsid w:val="0097431C"/>
    <w:rsid w:val="00974370"/>
    <w:rsid w:val="00974407"/>
    <w:rsid w:val="0097465C"/>
    <w:rsid w:val="00974724"/>
    <w:rsid w:val="009747B5"/>
    <w:rsid w:val="009749C7"/>
    <w:rsid w:val="009749F3"/>
    <w:rsid w:val="00974A87"/>
    <w:rsid w:val="00974C83"/>
    <w:rsid w:val="00974C98"/>
    <w:rsid w:val="00974CA5"/>
    <w:rsid w:val="00974CF3"/>
    <w:rsid w:val="009751BC"/>
    <w:rsid w:val="00975279"/>
    <w:rsid w:val="009752EC"/>
    <w:rsid w:val="009754C5"/>
    <w:rsid w:val="009755C9"/>
    <w:rsid w:val="009755FD"/>
    <w:rsid w:val="00975739"/>
    <w:rsid w:val="00975945"/>
    <w:rsid w:val="00975B2F"/>
    <w:rsid w:val="00975C21"/>
    <w:rsid w:val="00975D8F"/>
    <w:rsid w:val="00975E09"/>
    <w:rsid w:val="00975F1D"/>
    <w:rsid w:val="00975F57"/>
    <w:rsid w:val="00975F87"/>
    <w:rsid w:val="00976246"/>
    <w:rsid w:val="0097642B"/>
    <w:rsid w:val="00976460"/>
    <w:rsid w:val="009765EF"/>
    <w:rsid w:val="009767E7"/>
    <w:rsid w:val="00976B0B"/>
    <w:rsid w:val="00976C84"/>
    <w:rsid w:val="00976F2F"/>
    <w:rsid w:val="00976F86"/>
    <w:rsid w:val="00976FBC"/>
    <w:rsid w:val="00977012"/>
    <w:rsid w:val="0097729A"/>
    <w:rsid w:val="009774ED"/>
    <w:rsid w:val="00977569"/>
    <w:rsid w:val="00977908"/>
    <w:rsid w:val="00977ABB"/>
    <w:rsid w:val="00977E4F"/>
    <w:rsid w:val="00977FD8"/>
    <w:rsid w:val="0098001E"/>
    <w:rsid w:val="00980022"/>
    <w:rsid w:val="00980090"/>
    <w:rsid w:val="0098015A"/>
    <w:rsid w:val="0098022D"/>
    <w:rsid w:val="009802E3"/>
    <w:rsid w:val="00980389"/>
    <w:rsid w:val="009804F0"/>
    <w:rsid w:val="0098069F"/>
    <w:rsid w:val="0098074F"/>
    <w:rsid w:val="00980880"/>
    <w:rsid w:val="00980912"/>
    <w:rsid w:val="009809AD"/>
    <w:rsid w:val="00980A9B"/>
    <w:rsid w:val="00980BA9"/>
    <w:rsid w:val="0098100B"/>
    <w:rsid w:val="009810CF"/>
    <w:rsid w:val="00981137"/>
    <w:rsid w:val="0098124D"/>
    <w:rsid w:val="00981275"/>
    <w:rsid w:val="00981364"/>
    <w:rsid w:val="009813C2"/>
    <w:rsid w:val="009814BE"/>
    <w:rsid w:val="0098174E"/>
    <w:rsid w:val="0098195C"/>
    <w:rsid w:val="009819A8"/>
    <w:rsid w:val="00981AD6"/>
    <w:rsid w:val="00981F76"/>
    <w:rsid w:val="00981FDB"/>
    <w:rsid w:val="00982003"/>
    <w:rsid w:val="00982094"/>
    <w:rsid w:val="0098277E"/>
    <w:rsid w:val="009829D3"/>
    <w:rsid w:val="00982A7D"/>
    <w:rsid w:val="00982AE9"/>
    <w:rsid w:val="00982D16"/>
    <w:rsid w:val="00982FC9"/>
    <w:rsid w:val="00983242"/>
    <w:rsid w:val="0098335B"/>
    <w:rsid w:val="00983424"/>
    <w:rsid w:val="009834EA"/>
    <w:rsid w:val="009837C7"/>
    <w:rsid w:val="009839C2"/>
    <w:rsid w:val="00983CD3"/>
    <w:rsid w:val="00983DDD"/>
    <w:rsid w:val="00983EDE"/>
    <w:rsid w:val="009840DF"/>
    <w:rsid w:val="0098411F"/>
    <w:rsid w:val="009842E0"/>
    <w:rsid w:val="0098469E"/>
    <w:rsid w:val="0098477E"/>
    <w:rsid w:val="009847B1"/>
    <w:rsid w:val="0098480C"/>
    <w:rsid w:val="00984A72"/>
    <w:rsid w:val="00984B5B"/>
    <w:rsid w:val="00984CAA"/>
    <w:rsid w:val="0098504C"/>
    <w:rsid w:val="00985535"/>
    <w:rsid w:val="00985605"/>
    <w:rsid w:val="00985668"/>
    <w:rsid w:val="00985FFC"/>
    <w:rsid w:val="0098611E"/>
    <w:rsid w:val="00986233"/>
    <w:rsid w:val="00986513"/>
    <w:rsid w:val="00986631"/>
    <w:rsid w:val="00986762"/>
    <w:rsid w:val="009868E2"/>
    <w:rsid w:val="009868F1"/>
    <w:rsid w:val="009869BA"/>
    <w:rsid w:val="00986AA1"/>
    <w:rsid w:val="00986D38"/>
    <w:rsid w:val="00986D61"/>
    <w:rsid w:val="00986E6A"/>
    <w:rsid w:val="00987236"/>
    <w:rsid w:val="009872CA"/>
    <w:rsid w:val="009873D8"/>
    <w:rsid w:val="009874A7"/>
    <w:rsid w:val="00987591"/>
    <w:rsid w:val="009875B0"/>
    <w:rsid w:val="00987703"/>
    <w:rsid w:val="00987789"/>
    <w:rsid w:val="0098781F"/>
    <w:rsid w:val="0098787E"/>
    <w:rsid w:val="00987A23"/>
    <w:rsid w:val="00987D51"/>
    <w:rsid w:val="00987EC4"/>
    <w:rsid w:val="00987EDA"/>
    <w:rsid w:val="009900F3"/>
    <w:rsid w:val="0099032B"/>
    <w:rsid w:val="0099089E"/>
    <w:rsid w:val="009908F2"/>
    <w:rsid w:val="0099094A"/>
    <w:rsid w:val="00990B04"/>
    <w:rsid w:val="00990B63"/>
    <w:rsid w:val="00990DE2"/>
    <w:rsid w:val="00991010"/>
    <w:rsid w:val="009912EF"/>
    <w:rsid w:val="009912F1"/>
    <w:rsid w:val="0099139E"/>
    <w:rsid w:val="00991463"/>
    <w:rsid w:val="00991499"/>
    <w:rsid w:val="009914ED"/>
    <w:rsid w:val="0099184B"/>
    <w:rsid w:val="009919E6"/>
    <w:rsid w:val="00991AAF"/>
    <w:rsid w:val="00991EA8"/>
    <w:rsid w:val="00992211"/>
    <w:rsid w:val="0099231F"/>
    <w:rsid w:val="009923E0"/>
    <w:rsid w:val="009923F5"/>
    <w:rsid w:val="00992578"/>
    <w:rsid w:val="0099279D"/>
    <w:rsid w:val="009927B7"/>
    <w:rsid w:val="009928DF"/>
    <w:rsid w:val="009928ED"/>
    <w:rsid w:val="0099298E"/>
    <w:rsid w:val="009929C1"/>
    <w:rsid w:val="00992B0D"/>
    <w:rsid w:val="00992C98"/>
    <w:rsid w:val="00992DE5"/>
    <w:rsid w:val="00992E3B"/>
    <w:rsid w:val="00993117"/>
    <w:rsid w:val="00993318"/>
    <w:rsid w:val="00993354"/>
    <w:rsid w:val="009935BB"/>
    <w:rsid w:val="009936BB"/>
    <w:rsid w:val="009937C8"/>
    <w:rsid w:val="00993817"/>
    <w:rsid w:val="0099383F"/>
    <w:rsid w:val="00993929"/>
    <w:rsid w:val="00993D27"/>
    <w:rsid w:val="00993FCB"/>
    <w:rsid w:val="009940A2"/>
    <w:rsid w:val="00994248"/>
    <w:rsid w:val="009944BA"/>
    <w:rsid w:val="0099455A"/>
    <w:rsid w:val="009946CB"/>
    <w:rsid w:val="00994834"/>
    <w:rsid w:val="009948EA"/>
    <w:rsid w:val="009948F3"/>
    <w:rsid w:val="0099494F"/>
    <w:rsid w:val="00994D49"/>
    <w:rsid w:val="0099536F"/>
    <w:rsid w:val="0099572F"/>
    <w:rsid w:val="009958BD"/>
    <w:rsid w:val="00995ACD"/>
    <w:rsid w:val="00995C98"/>
    <w:rsid w:val="009960D0"/>
    <w:rsid w:val="0099619E"/>
    <w:rsid w:val="0099656A"/>
    <w:rsid w:val="00996782"/>
    <w:rsid w:val="00996A3F"/>
    <w:rsid w:val="00996C01"/>
    <w:rsid w:val="00996C12"/>
    <w:rsid w:val="00996CBC"/>
    <w:rsid w:val="00996E57"/>
    <w:rsid w:val="00996E8B"/>
    <w:rsid w:val="00997137"/>
    <w:rsid w:val="00997298"/>
    <w:rsid w:val="009972E7"/>
    <w:rsid w:val="00997332"/>
    <w:rsid w:val="00997420"/>
    <w:rsid w:val="00997437"/>
    <w:rsid w:val="00997478"/>
    <w:rsid w:val="0099765D"/>
    <w:rsid w:val="0099783F"/>
    <w:rsid w:val="00997C55"/>
    <w:rsid w:val="00997F44"/>
    <w:rsid w:val="009A001E"/>
    <w:rsid w:val="009A0060"/>
    <w:rsid w:val="009A0085"/>
    <w:rsid w:val="009A00DC"/>
    <w:rsid w:val="009A01E4"/>
    <w:rsid w:val="009A04B5"/>
    <w:rsid w:val="009A0760"/>
    <w:rsid w:val="009A0763"/>
    <w:rsid w:val="009A0805"/>
    <w:rsid w:val="009A0C76"/>
    <w:rsid w:val="009A0DFB"/>
    <w:rsid w:val="009A1113"/>
    <w:rsid w:val="009A1272"/>
    <w:rsid w:val="009A15CD"/>
    <w:rsid w:val="009A1793"/>
    <w:rsid w:val="009A180E"/>
    <w:rsid w:val="009A1901"/>
    <w:rsid w:val="009A1A28"/>
    <w:rsid w:val="009A1EDB"/>
    <w:rsid w:val="009A228C"/>
    <w:rsid w:val="009A23FF"/>
    <w:rsid w:val="009A2404"/>
    <w:rsid w:val="009A2478"/>
    <w:rsid w:val="009A264F"/>
    <w:rsid w:val="009A2650"/>
    <w:rsid w:val="009A26D5"/>
    <w:rsid w:val="009A274D"/>
    <w:rsid w:val="009A277F"/>
    <w:rsid w:val="009A2ACA"/>
    <w:rsid w:val="009A2C2F"/>
    <w:rsid w:val="009A2E7F"/>
    <w:rsid w:val="009A2F7D"/>
    <w:rsid w:val="009A2F9C"/>
    <w:rsid w:val="009A33F4"/>
    <w:rsid w:val="009A340C"/>
    <w:rsid w:val="009A3495"/>
    <w:rsid w:val="009A34F8"/>
    <w:rsid w:val="009A35D6"/>
    <w:rsid w:val="009A3626"/>
    <w:rsid w:val="009A3A66"/>
    <w:rsid w:val="009A3C85"/>
    <w:rsid w:val="009A3C9C"/>
    <w:rsid w:val="009A3CCC"/>
    <w:rsid w:val="009A3E48"/>
    <w:rsid w:val="009A3F85"/>
    <w:rsid w:val="009A3F8C"/>
    <w:rsid w:val="009A402A"/>
    <w:rsid w:val="009A4037"/>
    <w:rsid w:val="009A41B2"/>
    <w:rsid w:val="009A41C2"/>
    <w:rsid w:val="009A4260"/>
    <w:rsid w:val="009A43DC"/>
    <w:rsid w:val="009A448D"/>
    <w:rsid w:val="009A4D88"/>
    <w:rsid w:val="009A4E3A"/>
    <w:rsid w:val="009A4E3B"/>
    <w:rsid w:val="009A4E78"/>
    <w:rsid w:val="009A4F02"/>
    <w:rsid w:val="009A4F85"/>
    <w:rsid w:val="009A5369"/>
    <w:rsid w:val="009A58B2"/>
    <w:rsid w:val="009A5991"/>
    <w:rsid w:val="009A59ED"/>
    <w:rsid w:val="009A5CA6"/>
    <w:rsid w:val="009A5E9B"/>
    <w:rsid w:val="009A5ECE"/>
    <w:rsid w:val="009A644E"/>
    <w:rsid w:val="009A64BF"/>
    <w:rsid w:val="009A64F9"/>
    <w:rsid w:val="009A6864"/>
    <w:rsid w:val="009A69C6"/>
    <w:rsid w:val="009A6A5A"/>
    <w:rsid w:val="009A6BA1"/>
    <w:rsid w:val="009A6D14"/>
    <w:rsid w:val="009A7071"/>
    <w:rsid w:val="009A709A"/>
    <w:rsid w:val="009A71CE"/>
    <w:rsid w:val="009A73E5"/>
    <w:rsid w:val="009A74B7"/>
    <w:rsid w:val="009A7521"/>
    <w:rsid w:val="009A7762"/>
    <w:rsid w:val="009A783C"/>
    <w:rsid w:val="009A7A9B"/>
    <w:rsid w:val="009A7EED"/>
    <w:rsid w:val="009A7FE6"/>
    <w:rsid w:val="009B0034"/>
    <w:rsid w:val="009B0045"/>
    <w:rsid w:val="009B0211"/>
    <w:rsid w:val="009B0306"/>
    <w:rsid w:val="009B04F1"/>
    <w:rsid w:val="009B05A0"/>
    <w:rsid w:val="009B06BC"/>
    <w:rsid w:val="009B079A"/>
    <w:rsid w:val="009B081A"/>
    <w:rsid w:val="009B08E0"/>
    <w:rsid w:val="009B0A12"/>
    <w:rsid w:val="009B0C0A"/>
    <w:rsid w:val="009B0D2C"/>
    <w:rsid w:val="009B0E7C"/>
    <w:rsid w:val="009B14C6"/>
    <w:rsid w:val="009B15DE"/>
    <w:rsid w:val="009B186E"/>
    <w:rsid w:val="009B18A3"/>
    <w:rsid w:val="009B192D"/>
    <w:rsid w:val="009B1A74"/>
    <w:rsid w:val="009B1D32"/>
    <w:rsid w:val="009B1D39"/>
    <w:rsid w:val="009B1DB1"/>
    <w:rsid w:val="009B2009"/>
    <w:rsid w:val="009B21B5"/>
    <w:rsid w:val="009B21C5"/>
    <w:rsid w:val="009B2401"/>
    <w:rsid w:val="009B240E"/>
    <w:rsid w:val="009B27BC"/>
    <w:rsid w:val="009B2982"/>
    <w:rsid w:val="009B2A38"/>
    <w:rsid w:val="009B2AEE"/>
    <w:rsid w:val="009B2CBE"/>
    <w:rsid w:val="009B2D59"/>
    <w:rsid w:val="009B2FF9"/>
    <w:rsid w:val="009B3007"/>
    <w:rsid w:val="009B30BA"/>
    <w:rsid w:val="009B30D6"/>
    <w:rsid w:val="009B313B"/>
    <w:rsid w:val="009B3251"/>
    <w:rsid w:val="009B341C"/>
    <w:rsid w:val="009B3575"/>
    <w:rsid w:val="009B35E5"/>
    <w:rsid w:val="009B3616"/>
    <w:rsid w:val="009B3691"/>
    <w:rsid w:val="009B36BF"/>
    <w:rsid w:val="009B3878"/>
    <w:rsid w:val="009B395E"/>
    <w:rsid w:val="009B39D2"/>
    <w:rsid w:val="009B3BB7"/>
    <w:rsid w:val="009B3D1A"/>
    <w:rsid w:val="009B3DFD"/>
    <w:rsid w:val="009B3F99"/>
    <w:rsid w:val="009B3FD3"/>
    <w:rsid w:val="009B411C"/>
    <w:rsid w:val="009B4322"/>
    <w:rsid w:val="009B4482"/>
    <w:rsid w:val="009B44F2"/>
    <w:rsid w:val="009B45D9"/>
    <w:rsid w:val="009B4851"/>
    <w:rsid w:val="009B4C5D"/>
    <w:rsid w:val="009B4D8B"/>
    <w:rsid w:val="009B4E56"/>
    <w:rsid w:val="009B4F04"/>
    <w:rsid w:val="009B50C7"/>
    <w:rsid w:val="009B5179"/>
    <w:rsid w:val="009B52BB"/>
    <w:rsid w:val="009B54DF"/>
    <w:rsid w:val="009B557D"/>
    <w:rsid w:val="009B559D"/>
    <w:rsid w:val="009B590A"/>
    <w:rsid w:val="009B5C9A"/>
    <w:rsid w:val="009B5CFB"/>
    <w:rsid w:val="009B5D8D"/>
    <w:rsid w:val="009B5E05"/>
    <w:rsid w:val="009B5F67"/>
    <w:rsid w:val="009B5FED"/>
    <w:rsid w:val="009B6381"/>
    <w:rsid w:val="009B646A"/>
    <w:rsid w:val="009B6677"/>
    <w:rsid w:val="009B6BEE"/>
    <w:rsid w:val="009B6E1D"/>
    <w:rsid w:val="009B6E47"/>
    <w:rsid w:val="009B6F66"/>
    <w:rsid w:val="009B7048"/>
    <w:rsid w:val="009B706A"/>
    <w:rsid w:val="009B7107"/>
    <w:rsid w:val="009B72BC"/>
    <w:rsid w:val="009B78A1"/>
    <w:rsid w:val="009B799A"/>
    <w:rsid w:val="009B7B9F"/>
    <w:rsid w:val="009B7C13"/>
    <w:rsid w:val="009B7E95"/>
    <w:rsid w:val="009B7F12"/>
    <w:rsid w:val="009C0604"/>
    <w:rsid w:val="009C07CA"/>
    <w:rsid w:val="009C0B06"/>
    <w:rsid w:val="009C0C19"/>
    <w:rsid w:val="009C1154"/>
    <w:rsid w:val="009C11C1"/>
    <w:rsid w:val="009C125D"/>
    <w:rsid w:val="009C1461"/>
    <w:rsid w:val="009C1601"/>
    <w:rsid w:val="009C16EA"/>
    <w:rsid w:val="009C18F3"/>
    <w:rsid w:val="009C1CF2"/>
    <w:rsid w:val="009C1D7A"/>
    <w:rsid w:val="009C1D7B"/>
    <w:rsid w:val="009C1D95"/>
    <w:rsid w:val="009C1E9D"/>
    <w:rsid w:val="009C1F26"/>
    <w:rsid w:val="009C1F6F"/>
    <w:rsid w:val="009C2111"/>
    <w:rsid w:val="009C2473"/>
    <w:rsid w:val="009C2845"/>
    <w:rsid w:val="009C28AA"/>
    <w:rsid w:val="009C2957"/>
    <w:rsid w:val="009C296D"/>
    <w:rsid w:val="009C2D97"/>
    <w:rsid w:val="009C2E59"/>
    <w:rsid w:val="009C2E98"/>
    <w:rsid w:val="009C31A9"/>
    <w:rsid w:val="009C31E9"/>
    <w:rsid w:val="009C3438"/>
    <w:rsid w:val="009C3456"/>
    <w:rsid w:val="009C3502"/>
    <w:rsid w:val="009C3533"/>
    <w:rsid w:val="009C3556"/>
    <w:rsid w:val="009C36D2"/>
    <w:rsid w:val="009C3803"/>
    <w:rsid w:val="009C3A40"/>
    <w:rsid w:val="009C3D4F"/>
    <w:rsid w:val="009C3E79"/>
    <w:rsid w:val="009C3F7A"/>
    <w:rsid w:val="009C4157"/>
    <w:rsid w:val="009C4629"/>
    <w:rsid w:val="009C47FE"/>
    <w:rsid w:val="009C4844"/>
    <w:rsid w:val="009C4A17"/>
    <w:rsid w:val="009C4A6F"/>
    <w:rsid w:val="009C4B2B"/>
    <w:rsid w:val="009C4B4E"/>
    <w:rsid w:val="009C4E37"/>
    <w:rsid w:val="009C4F87"/>
    <w:rsid w:val="009C50FA"/>
    <w:rsid w:val="009C50FC"/>
    <w:rsid w:val="009C521B"/>
    <w:rsid w:val="009C52AD"/>
    <w:rsid w:val="009C5AA3"/>
    <w:rsid w:val="009C5BE6"/>
    <w:rsid w:val="009C5C1E"/>
    <w:rsid w:val="009C5CAC"/>
    <w:rsid w:val="009C60C5"/>
    <w:rsid w:val="009C61E8"/>
    <w:rsid w:val="009C638A"/>
    <w:rsid w:val="009C6470"/>
    <w:rsid w:val="009C65DE"/>
    <w:rsid w:val="009C6625"/>
    <w:rsid w:val="009C6EC1"/>
    <w:rsid w:val="009C6EF0"/>
    <w:rsid w:val="009C700C"/>
    <w:rsid w:val="009C7130"/>
    <w:rsid w:val="009C7393"/>
    <w:rsid w:val="009C739A"/>
    <w:rsid w:val="009C7473"/>
    <w:rsid w:val="009C74DA"/>
    <w:rsid w:val="009C7952"/>
    <w:rsid w:val="009C7977"/>
    <w:rsid w:val="009C7CF6"/>
    <w:rsid w:val="009C7DD5"/>
    <w:rsid w:val="009C7E93"/>
    <w:rsid w:val="009C7EE2"/>
    <w:rsid w:val="009C7F4C"/>
    <w:rsid w:val="009C7F8A"/>
    <w:rsid w:val="009D0002"/>
    <w:rsid w:val="009D0296"/>
    <w:rsid w:val="009D02D7"/>
    <w:rsid w:val="009D04B9"/>
    <w:rsid w:val="009D068E"/>
    <w:rsid w:val="009D06AA"/>
    <w:rsid w:val="009D0951"/>
    <w:rsid w:val="009D0AC6"/>
    <w:rsid w:val="009D0B22"/>
    <w:rsid w:val="009D0BAD"/>
    <w:rsid w:val="009D0E16"/>
    <w:rsid w:val="009D0E7E"/>
    <w:rsid w:val="009D0F1A"/>
    <w:rsid w:val="009D1022"/>
    <w:rsid w:val="009D1173"/>
    <w:rsid w:val="009D1175"/>
    <w:rsid w:val="009D1351"/>
    <w:rsid w:val="009D14DA"/>
    <w:rsid w:val="009D163B"/>
    <w:rsid w:val="009D165D"/>
    <w:rsid w:val="009D1A0A"/>
    <w:rsid w:val="009D1AB5"/>
    <w:rsid w:val="009D1F40"/>
    <w:rsid w:val="009D1F66"/>
    <w:rsid w:val="009D2092"/>
    <w:rsid w:val="009D20BC"/>
    <w:rsid w:val="009D2401"/>
    <w:rsid w:val="009D2712"/>
    <w:rsid w:val="009D297E"/>
    <w:rsid w:val="009D2A35"/>
    <w:rsid w:val="009D2AC1"/>
    <w:rsid w:val="009D2AD7"/>
    <w:rsid w:val="009D2FC6"/>
    <w:rsid w:val="009D2FCE"/>
    <w:rsid w:val="009D3411"/>
    <w:rsid w:val="009D351C"/>
    <w:rsid w:val="009D3547"/>
    <w:rsid w:val="009D3634"/>
    <w:rsid w:val="009D3705"/>
    <w:rsid w:val="009D3814"/>
    <w:rsid w:val="009D38AD"/>
    <w:rsid w:val="009D38E8"/>
    <w:rsid w:val="009D3B86"/>
    <w:rsid w:val="009D3BC3"/>
    <w:rsid w:val="009D3DC0"/>
    <w:rsid w:val="009D3DDC"/>
    <w:rsid w:val="009D3E13"/>
    <w:rsid w:val="009D3E6E"/>
    <w:rsid w:val="009D42D7"/>
    <w:rsid w:val="009D4453"/>
    <w:rsid w:val="009D44A8"/>
    <w:rsid w:val="009D49DC"/>
    <w:rsid w:val="009D4B0A"/>
    <w:rsid w:val="009D4B16"/>
    <w:rsid w:val="009D4BC8"/>
    <w:rsid w:val="009D4DBA"/>
    <w:rsid w:val="009D4DDE"/>
    <w:rsid w:val="009D4ED8"/>
    <w:rsid w:val="009D5146"/>
    <w:rsid w:val="009D51A2"/>
    <w:rsid w:val="009D535A"/>
    <w:rsid w:val="009D5376"/>
    <w:rsid w:val="009D53C3"/>
    <w:rsid w:val="009D545F"/>
    <w:rsid w:val="009D552F"/>
    <w:rsid w:val="009D56A5"/>
    <w:rsid w:val="009D5810"/>
    <w:rsid w:val="009D5AFA"/>
    <w:rsid w:val="009D5E2D"/>
    <w:rsid w:val="009D5FF9"/>
    <w:rsid w:val="009D611B"/>
    <w:rsid w:val="009D625B"/>
    <w:rsid w:val="009D630D"/>
    <w:rsid w:val="009D6390"/>
    <w:rsid w:val="009D6767"/>
    <w:rsid w:val="009D67E9"/>
    <w:rsid w:val="009D67F8"/>
    <w:rsid w:val="009D6B00"/>
    <w:rsid w:val="009D6B11"/>
    <w:rsid w:val="009D6B67"/>
    <w:rsid w:val="009D6B89"/>
    <w:rsid w:val="009D6D33"/>
    <w:rsid w:val="009D6FA3"/>
    <w:rsid w:val="009D7110"/>
    <w:rsid w:val="009D7409"/>
    <w:rsid w:val="009D7576"/>
    <w:rsid w:val="009D793A"/>
    <w:rsid w:val="009D7A4C"/>
    <w:rsid w:val="009D7B19"/>
    <w:rsid w:val="009D7B89"/>
    <w:rsid w:val="009D7E0A"/>
    <w:rsid w:val="009D7E5A"/>
    <w:rsid w:val="009D7E6E"/>
    <w:rsid w:val="009E003C"/>
    <w:rsid w:val="009E0130"/>
    <w:rsid w:val="009E0283"/>
    <w:rsid w:val="009E0287"/>
    <w:rsid w:val="009E0774"/>
    <w:rsid w:val="009E0792"/>
    <w:rsid w:val="009E087A"/>
    <w:rsid w:val="009E08BF"/>
    <w:rsid w:val="009E09A6"/>
    <w:rsid w:val="009E0C31"/>
    <w:rsid w:val="009E0E07"/>
    <w:rsid w:val="009E0F83"/>
    <w:rsid w:val="009E0FD4"/>
    <w:rsid w:val="009E1220"/>
    <w:rsid w:val="009E14C8"/>
    <w:rsid w:val="009E1640"/>
    <w:rsid w:val="009E1685"/>
    <w:rsid w:val="009E169E"/>
    <w:rsid w:val="009E1856"/>
    <w:rsid w:val="009E1B6D"/>
    <w:rsid w:val="009E1D64"/>
    <w:rsid w:val="009E1FA5"/>
    <w:rsid w:val="009E1FC2"/>
    <w:rsid w:val="009E206D"/>
    <w:rsid w:val="009E227F"/>
    <w:rsid w:val="009E22CB"/>
    <w:rsid w:val="009E23CA"/>
    <w:rsid w:val="009E24BD"/>
    <w:rsid w:val="009E2523"/>
    <w:rsid w:val="009E27FF"/>
    <w:rsid w:val="009E2DBD"/>
    <w:rsid w:val="009E2E57"/>
    <w:rsid w:val="009E3205"/>
    <w:rsid w:val="009E32CB"/>
    <w:rsid w:val="009E3490"/>
    <w:rsid w:val="009E3583"/>
    <w:rsid w:val="009E37D2"/>
    <w:rsid w:val="009E38AB"/>
    <w:rsid w:val="009E38E6"/>
    <w:rsid w:val="009E3980"/>
    <w:rsid w:val="009E3990"/>
    <w:rsid w:val="009E3E17"/>
    <w:rsid w:val="009E3E86"/>
    <w:rsid w:val="009E3F8F"/>
    <w:rsid w:val="009E4035"/>
    <w:rsid w:val="009E4334"/>
    <w:rsid w:val="009E4434"/>
    <w:rsid w:val="009E4436"/>
    <w:rsid w:val="009E44C6"/>
    <w:rsid w:val="009E4538"/>
    <w:rsid w:val="009E48EA"/>
    <w:rsid w:val="009E4AD3"/>
    <w:rsid w:val="009E4B46"/>
    <w:rsid w:val="009E4C53"/>
    <w:rsid w:val="009E4DB4"/>
    <w:rsid w:val="009E4F07"/>
    <w:rsid w:val="009E513D"/>
    <w:rsid w:val="009E5253"/>
    <w:rsid w:val="009E5338"/>
    <w:rsid w:val="009E53B1"/>
    <w:rsid w:val="009E56B0"/>
    <w:rsid w:val="009E57CD"/>
    <w:rsid w:val="009E5B03"/>
    <w:rsid w:val="009E5B1A"/>
    <w:rsid w:val="009E5B90"/>
    <w:rsid w:val="009E5C2A"/>
    <w:rsid w:val="009E5CD1"/>
    <w:rsid w:val="009E601F"/>
    <w:rsid w:val="009E6040"/>
    <w:rsid w:val="009E627B"/>
    <w:rsid w:val="009E6322"/>
    <w:rsid w:val="009E6335"/>
    <w:rsid w:val="009E658B"/>
    <w:rsid w:val="009E6616"/>
    <w:rsid w:val="009E6739"/>
    <w:rsid w:val="009E6A0B"/>
    <w:rsid w:val="009E6C54"/>
    <w:rsid w:val="009E7067"/>
    <w:rsid w:val="009E7140"/>
    <w:rsid w:val="009E7148"/>
    <w:rsid w:val="009E7149"/>
    <w:rsid w:val="009E71CF"/>
    <w:rsid w:val="009E7218"/>
    <w:rsid w:val="009E727D"/>
    <w:rsid w:val="009E728C"/>
    <w:rsid w:val="009E7562"/>
    <w:rsid w:val="009E772C"/>
    <w:rsid w:val="009E7D8C"/>
    <w:rsid w:val="009E7E2D"/>
    <w:rsid w:val="009E7F89"/>
    <w:rsid w:val="009F0254"/>
    <w:rsid w:val="009F05AB"/>
    <w:rsid w:val="009F06AA"/>
    <w:rsid w:val="009F07E5"/>
    <w:rsid w:val="009F0AAD"/>
    <w:rsid w:val="009F0BA8"/>
    <w:rsid w:val="009F0F0B"/>
    <w:rsid w:val="009F0FD1"/>
    <w:rsid w:val="009F1410"/>
    <w:rsid w:val="009F16DA"/>
    <w:rsid w:val="009F1796"/>
    <w:rsid w:val="009F187B"/>
    <w:rsid w:val="009F1903"/>
    <w:rsid w:val="009F190E"/>
    <w:rsid w:val="009F196B"/>
    <w:rsid w:val="009F198E"/>
    <w:rsid w:val="009F1A63"/>
    <w:rsid w:val="009F1A7D"/>
    <w:rsid w:val="009F1C17"/>
    <w:rsid w:val="009F1D06"/>
    <w:rsid w:val="009F1EE6"/>
    <w:rsid w:val="009F26AB"/>
    <w:rsid w:val="009F276F"/>
    <w:rsid w:val="009F288B"/>
    <w:rsid w:val="009F2A30"/>
    <w:rsid w:val="009F2D5D"/>
    <w:rsid w:val="009F2F08"/>
    <w:rsid w:val="009F303E"/>
    <w:rsid w:val="009F34D4"/>
    <w:rsid w:val="009F34EF"/>
    <w:rsid w:val="009F3624"/>
    <w:rsid w:val="009F37A5"/>
    <w:rsid w:val="009F37E3"/>
    <w:rsid w:val="009F393C"/>
    <w:rsid w:val="009F398D"/>
    <w:rsid w:val="009F3A93"/>
    <w:rsid w:val="009F3AC0"/>
    <w:rsid w:val="009F3C6C"/>
    <w:rsid w:val="009F41F8"/>
    <w:rsid w:val="009F45F6"/>
    <w:rsid w:val="009F49CD"/>
    <w:rsid w:val="009F4A5A"/>
    <w:rsid w:val="009F4BD2"/>
    <w:rsid w:val="009F4F07"/>
    <w:rsid w:val="009F4FEA"/>
    <w:rsid w:val="009F4FF2"/>
    <w:rsid w:val="009F502B"/>
    <w:rsid w:val="009F5120"/>
    <w:rsid w:val="009F535B"/>
    <w:rsid w:val="009F53CA"/>
    <w:rsid w:val="009F54BD"/>
    <w:rsid w:val="009F54D5"/>
    <w:rsid w:val="009F55CF"/>
    <w:rsid w:val="009F55EE"/>
    <w:rsid w:val="009F5634"/>
    <w:rsid w:val="009F5B5F"/>
    <w:rsid w:val="009F5C13"/>
    <w:rsid w:val="009F5DB7"/>
    <w:rsid w:val="009F5E67"/>
    <w:rsid w:val="009F6122"/>
    <w:rsid w:val="009F618B"/>
    <w:rsid w:val="009F621B"/>
    <w:rsid w:val="009F6365"/>
    <w:rsid w:val="009F6486"/>
    <w:rsid w:val="009F653C"/>
    <w:rsid w:val="009F65A0"/>
    <w:rsid w:val="009F665E"/>
    <w:rsid w:val="009F6977"/>
    <w:rsid w:val="009F6A00"/>
    <w:rsid w:val="009F6A21"/>
    <w:rsid w:val="009F6B87"/>
    <w:rsid w:val="009F6BE7"/>
    <w:rsid w:val="009F6DE2"/>
    <w:rsid w:val="009F6E00"/>
    <w:rsid w:val="009F73EC"/>
    <w:rsid w:val="009F75E4"/>
    <w:rsid w:val="009F7632"/>
    <w:rsid w:val="009F772E"/>
    <w:rsid w:val="009F782A"/>
    <w:rsid w:val="009F787D"/>
    <w:rsid w:val="009F79D6"/>
    <w:rsid w:val="009F7BA6"/>
    <w:rsid w:val="009F7C06"/>
    <w:rsid w:val="009F7C6A"/>
    <w:rsid w:val="009F7FAC"/>
    <w:rsid w:val="00A0003E"/>
    <w:rsid w:val="00A00236"/>
    <w:rsid w:val="00A002CF"/>
    <w:rsid w:val="00A002F4"/>
    <w:rsid w:val="00A004FB"/>
    <w:rsid w:val="00A00540"/>
    <w:rsid w:val="00A00570"/>
    <w:rsid w:val="00A00626"/>
    <w:rsid w:val="00A00AC9"/>
    <w:rsid w:val="00A00E23"/>
    <w:rsid w:val="00A00E25"/>
    <w:rsid w:val="00A00F18"/>
    <w:rsid w:val="00A011C5"/>
    <w:rsid w:val="00A011E5"/>
    <w:rsid w:val="00A0129B"/>
    <w:rsid w:val="00A0135A"/>
    <w:rsid w:val="00A015E3"/>
    <w:rsid w:val="00A015FA"/>
    <w:rsid w:val="00A016CE"/>
    <w:rsid w:val="00A01856"/>
    <w:rsid w:val="00A019CC"/>
    <w:rsid w:val="00A01BFD"/>
    <w:rsid w:val="00A02265"/>
    <w:rsid w:val="00A0226C"/>
    <w:rsid w:val="00A023E1"/>
    <w:rsid w:val="00A024AA"/>
    <w:rsid w:val="00A024CF"/>
    <w:rsid w:val="00A02793"/>
    <w:rsid w:val="00A02D00"/>
    <w:rsid w:val="00A02D73"/>
    <w:rsid w:val="00A02DE1"/>
    <w:rsid w:val="00A02E8A"/>
    <w:rsid w:val="00A031E6"/>
    <w:rsid w:val="00A039FA"/>
    <w:rsid w:val="00A03CA9"/>
    <w:rsid w:val="00A03DBD"/>
    <w:rsid w:val="00A042A6"/>
    <w:rsid w:val="00A04314"/>
    <w:rsid w:val="00A04370"/>
    <w:rsid w:val="00A04780"/>
    <w:rsid w:val="00A048AD"/>
    <w:rsid w:val="00A049AF"/>
    <w:rsid w:val="00A04A05"/>
    <w:rsid w:val="00A04A23"/>
    <w:rsid w:val="00A04EE4"/>
    <w:rsid w:val="00A05067"/>
    <w:rsid w:val="00A05207"/>
    <w:rsid w:val="00A05277"/>
    <w:rsid w:val="00A05312"/>
    <w:rsid w:val="00A05433"/>
    <w:rsid w:val="00A0562A"/>
    <w:rsid w:val="00A05705"/>
    <w:rsid w:val="00A0586E"/>
    <w:rsid w:val="00A0592D"/>
    <w:rsid w:val="00A05A40"/>
    <w:rsid w:val="00A05A62"/>
    <w:rsid w:val="00A05A92"/>
    <w:rsid w:val="00A05D8F"/>
    <w:rsid w:val="00A05FCF"/>
    <w:rsid w:val="00A0602A"/>
    <w:rsid w:val="00A06217"/>
    <w:rsid w:val="00A0644B"/>
    <w:rsid w:val="00A0672D"/>
    <w:rsid w:val="00A0682D"/>
    <w:rsid w:val="00A069D0"/>
    <w:rsid w:val="00A06B82"/>
    <w:rsid w:val="00A06BD1"/>
    <w:rsid w:val="00A06E90"/>
    <w:rsid w:val="00A06F23"/>
    <w:rsid w:val="00A073E3"/>
    <w:rsid w:val="00A07596"/>
    <w:rsid w:val="00A07677"/>
    <w:rsid w:val="00A07B17"/>
    <w:rsid w:val="00A07C29"/>
    <w:rsid w:val="00A07F65"/>
    <w:rsid w:val="00A1003F"/>
    <w:rsid w:val="00A10089"/>
    <w:rsid w:val="00A101B8"/>
    <w:rsid w:val="00A101D1"/>
    <w:rsid w:val="00A10294"/>
    <w:rsid w:val="00A10340"/>
    <w:rsid w:val="00A1051C"/>
    <w:rsid w:val="00A10644"/>
    <w:rsid w:val="00A1079C"/>
    <w:rsid w:val="00A10B1F"/>
    <w:rsid w:val="00A10D2D"/>
    <w:rsid w:val="00A10FBD"/>
    <w:rsid w:val="00A11213"/>
    <w:rsid w:val="00A112C1"/>
    <w:rsid w:val="00A11528"/>
    <w:rsid w:val="00A116C2"/>
    <w:rsid w:val="00A1185B"/>
    <w:rsid w:val="00A118CC"/>
    <w:rsid w:val="00A11920"/>
    <w:rsid w:val="00A11C4E"/>
    <w:rsid w:val="00A11F1B"/>
    <w:rsid w:val="00A120A1"/>
    <w:rsid w:val="00A1252A"/>
    <w:rsid w:val="00A12538"/>
    <w:rsid w:val="00A125D8"/>
    <w:rsid w:val="00A12702"/>
    <w:rsid w:val="00A12732"/>
    <w:rsid w:val="00A128D0"/>
    <w:rsid w:val="00A128DA"/>
    <w:rsid w:val="00A12989"/>
    <w:rsid w:val="00A12B06"/>
    <w:rsid w:val="00A12BF4"/>
    <w:rsid w:val="00A12D33"/>
    <w:rsid w:val="00A130BF"/>
    <w:rsid w:val="00A1319F"/>
    <w:rsid w:val="00A132AB"/>
    <w:rsid w:val="00A132C8"/>
    <w:rsid w:val="00A13358"/>
    <w:rsid w:val="00A136AD"/>
    <w:rsid w:val="00A13888"/>
    <w:rsid w:val="00A13974"/>
    <w:rsid w:val="00A139E6"/>
    <w:rsid w:val="00A13A2B"/>
    <w:rsid w:val="00A13A78"/>
    <w:rsid w:val="00A13E31"/>
    <w:rsid w:val="00A13ECE"/>
    <w:rsid w:val="00A14339"/>
    <w:rsid w:val="00A1468C"/>
    <w:rsid w:val="00A1496C"/>
    <w:rsid w:val="00A14A43"/>
    <w:rsid w:val="00A14AFB"/>
    <w:rsid w:val="00A14B85"/>
    <w:rsid w:val="00A14BAB"/>
    <w:rsid w:val="00A14D89"/>
    <w:rsid w:val="00A15341"/>
    <w:rsid w:val="00A15606"/>
    <w:rsid w:val="00A158CD"/>
    <w:rsid w:val="00A15902"/>
    <w:rsid w:val="00A15BE3"/>
    <w:rsid w:val="00A15BFB"/>
    <w:rsid w:val="00A15C07"/>
    <w:rsid w:val="00A15C58"/>
    <w:rsid w:val="00A15DC5"/>
    <w:rsid w:val="00A15E0B"/>
    <w:rsid w:val="00A15EBA"/>
    <w:rsid w:val="00A16134"/>
    <w:rsid w:val="00A16B51"/>
    <w:rsid w:val="00A16D12"/>
    <w:rsid w:val="00A1713A"/>
    <w:rsid w:val="00A17205"/>
    <w:rsid w:val="00A17239"/>
    <w:rsid w:val="00A172F3"/>
    <w:rsid w:val="00A173F7"/>
    <w:rsid w:val="00A175B8"/>
    <w:rsid w:val="00A17A77"/>
    <w:rsid w:val="00A17AA1"/>
    <w:rsid w:val="00A17BA5"/>
    <w:rsid w:val="00A17C4B"/>
    <w:rsid w:val="00A17D87"/>
    <w:rsid w:val="00A17DAF"/>
    <w:rsid w:val="00A17E09"/>
    <w:rsid w:val="00A17E16"/>
    <w:rsid w:val="00A17EB1"/>
    <w:rsid w:val="00A17F66"/>
    <w:rsid w:val="00A17FE7"/>
    <w:rsid w:val="00A2047F"/>
    <w:rsid w:val="00A20521"/>
    <w:rsid w:val="00A2055B"/>
    <w:rsid w:val="00A2075D"/>
    <w:rsid w:val="00A2076F"/>
    <w:rsid w:val="00A20AB6"/>
    <w:rsid w:val="00A20AF6"/>
    <w:rsid w:val="00A20B30"/>
    <w:rsid w:val="00A20BB2"/>
    <w:rsid w:val="00A20C62"/>
    <w:rsid w:val="00A20E22"/>
    <w:rsid w:val="00A20ED3"/>
    <w:rsid w:val="00A21021"/>
    <w:rsid w:val="00A212B7"/>
    <w:rsid w:val="00A212DC"/>
    <w:rsid w:val="00A212E3"/>
    <w:rsid w:val="00A213AD"/>
    <w:rsid w:val="00A2154D"/>
    <w:rsid w:val="00A215FE"/>
    <w:rsid w:val="00A2177B"/>
    <w:rsid w:val="00A2198A"/>
    <w:rsid w:val="00A21A47"/>
    <w:rsid w:val="00A21BC0"/>
    <w:rsid w:val="00A21FFC"/>
    <w:rsid w:val="00A22003"/>
    <w:rsid w:val="00A22286"/>
    <w:rsid w:val="00A225B3"/>
    <w:rsid w:val="00A225D7"/>
    <w:rsid w:val="00A227FD"/>
    <w:rsid w:val="00A22939"/>
    <w:rsid w:val="00A22952"/>
    <w:rsid w:val="00A22B05"/>
    <w:rsid w:val="00A22E93"/>
    <w:rsid w:val="00A230D4"/>
    <w:rsid w:val="00A230F2"/>
    <w:rsid w:val="00A23369"/>
    <w:rsid w:val="00A2340E"/>
    <w:rsid w:val="00A236F8"/>
    <w:rsid w:val="00A237C3"/>
    <w:rsid w:val="00A2390F"/>
    <w:rsid w:val="00A23945"/>
    <w:rsid w:val="00A23ADB"/>
    <w:rsid w:val="00A23B5B"/>
    <w:rsid w:val="00A23F88"/>
    <w:rsid w:val="00A24031"/>
    <w:rsid w:val="00A24605"/>
    <w:rsid w:val="00A24922"/>
    <w:rsid w:val="00A24C1D"/>
    <w:rsid w:val="00A24CD2"/>
    <w:rsid w:val="00A24F5D"/>
    <w:rsid w:val="00A2508F"/>
    <w:rsid w:val="00A251EE"/>
    <w:rsid w:val="00A2556A"/>
    <w:rsid w:val="00A255F2"/>
    <w:rsid w:val="00A25745"/>
    <w:rsid w:val="00A2580B"/>
    <w:rsid w:val="00A25A21"/>
    <w:rsid w:val="00A25C6E"/>
    <w:rsid w:val="00A2607B"/>
    <w:rsid w:val="00A26141"/>
    <w:rsid w:val="00A261ED"/>
    <w:rsid w:val="00A26250"/>
    <w:rsid w:val="00A264F4"/>
    <w:rsid w:val="00A268EE"/>
    <w:rsid w:val="00A26A7A"/>
    <w:rsid w:val="00A26F9C"/>
    <w:rsid w:val="00A2715A"/>
    <w:rsid w:val="00A27227"/>
    <w:rsid w:val="00A273BD"/>
    <w:rsid w:val="00A273D1"/>
    <w:rsid w:val="00A276DB"/>
    <w:rsid w:val="00A2780C"/>
    <w:rsid w:val="00A27944"/>
    <w:rsid w:val="00A27AE9"/>
    <w:rsid w:val="00A27BE2"/>
    <w:rsid w:val="00A27E17"/>
    <w:rsid w:val="00A27E30"/>
    <w:rsid w:val="00A30055"/>
    <w:rsid w:val="00A30367"/>
    <w:rsid w:val="00A303F3"/>
    <w:rsid w:val="00A30528"/>
    <w:rsid w:val="00A306C5"/>
    <w:rsid w:val="00A30B2A"/>
    <w:rsid w:val="00A30B3A"/>
    <w:rsid w:val="00A30EC4"/>
    <w:rsid w:val="00A30EEF"/>
    <w:rsid w:val="00A31542"/>
    <w:rsid w:val="00A318D0"/>
    <w:rsid w:val="00A31904"/>
    <w:rsid w:val="00A31979"/>
    <w:rsid w:val="00A3197E"/>
    <w:rsid w:val="00A31A1D"/>
    <w:rsid w:val="00A31C01"/>
    <w:rsid w:val="00A31D78"/>
    <w:rsid w:val="00A31E41"/>
    <w:rsid w:val="00A3205A"/>
    <w:rsid w:val="00A321A1"/>
    <w:rsid w:val="00A3223B"/>
    <w:rsid w:val="00A32317"/>
    <w:rsid w:val="00A32382"/>
    <w:rsid w:val="00A3258E"/>
    <w:rsid w:val="00A3295D"/>
    <w:rsid w:val="00A32962"/>
    <w:rsid w:val="00A32A04"/>
    <w:rsid w:val="00A32B3E"/>
    <w:rsid w:val="00A32B68"/>
    <w:rsid w:val="00A32EA1"/>
    <w:rsid w:val="00A333B7"/>
    <w:rsid w:val="00A334CC"/>
    <w:rsid w:val="00A334FA"/>
    <w:rsid w:val="00A33714"/>
    <w:rsid w:val="00A3373D"/>
    <w:rsid w:val="00A33A92"/>
    <w:rsid w:val="00A33AFB"/>
    <w:rsid w:val="00A33B19"/>
    <w:rsid w:val="00A33BBF"/>
    <w:rsid w:val="00A33FD9"/>
    <w:rsid w:val="00A340B2"/>
    <w:rsid w:val="00A34225"/>
    <w:rsid w:val="00A34290"/>
    <w:rsid w:val="00A342DE"/>
    <w:rsid w:val="00A34314"/>
    <w:rsid w:val="00A34338"/>
    <w:rsid w:val="00A34905"/>
    <w:rsid w:val="00A34B67"/>
    <w:rsid w:val="00A34CF2"/>
    <w:rsid w:val="00A34D73"/>
    <w:rsid w:val="00A34E02"/>
    <w:rsid w:val="00A34E2E"/>
    <w:rsid w:val="00A35016"/>
    <w:rsid w:val="00A35177"/>
    <w:rsid w:val="00A351AB"/>
    <w:rsid w:val="00A35810"/>
    <w:rsid w:val="00A35870"/>
    <w:rsid w:val="00A3597A"/>
    <w:rsid w:val="00A35B55"/>
    <w:rsid w:val="00A35D38"/>
    <w:rsid w:val="00A35DE3"/>
    <w:rsid w:val="00A35E45"/>
    <w:rsid w:val="00A35FA0"/>
    <w:rsid w:val="00A3618D"/>
    <w:rsid w:val="00A362AE"/>
    <w:rsid w:val="00A36303"/>
    <w:rsid w:val="00A36328"/>
    <w:rsid w:val="00A365A0"/>
    <w:rsid w:val="00A368E6"/>
    <w:rsid w:val="00A36B1E"/>
    <w:rsid w:val="00A36E03"/>
    <w:rsid w:val="00A37014"/>
    <w:rsid w:val="00A37066"/>
    <w:rsid w:val="00A37422"/>
    <w:rsid w:val="00A374B4"/>
    <w:rsid w:val="00A37801"/>
    <w:rsid w:val="00A37973"/>
    <w:rsid w:val="00A37A87"/>
    <w:rsid w:val="00A37EB5"/>
    <w:rsid w:val="00A37F41"/>
    <w:rsid w:val="00A400EE"/>
    <w:rsid w:val="00A40141"/>
    <w:rsid w:val="00A40236"/>
    <w:rsid w:val="00A4032F"/>
    <w:rsid w:val="00A403A5"/>
    <w:rsid w:val="00A4058D"/>
    <w:rsid w:val="00A405B9"/>
    <w:rsid w:val="00A4079F"/>
    <w:rsid w:val="00A409A9"/>
    <w:rsid w:val="00A409AA"/>
    <w:rsid w:val="00A40A1E"/>
    <w:rsid w:val="00A40C0C"/>
    <w:rsid w:val="00A40E67"/>
    <w:rsid w:val="00A40E98"/>
    <w:rsid w:val="00A40FC9"/>
    <w:rsid w:val="00A41009"/>
    <w:rsid w:val="00A410D9"/>
    <w:rsid w:val="00A411F5"/>
    <w:rsid w:val="00A4148D"/>
    <w:rsid w:val="00A41839"/>
    <w:rsid w:val="00A4194D"/>
    <w:rsid w:val="00A41BAA"/>
    <w:rsid w:val="00A41C5E"/>
    <w:rsid w:val="00A41DE9"/>
    <w:rsid w:val="00A42002"/>
    <w:rsid w:val="00A422C3"/>
    <w:rsid w:val="00A423A6"/>
    <w:rsid w:val="00A425D8"/>
    <w:rsid w:val="00A42658"/>
    <w:rsid w:val="00A42AC1"/>
    <w:rsid w:val="00A42D0D"/>
    <w:rsid w:val="00A42F04"/>
    <w:rsid w:val="00A430D1"/>
    <w:rsid w:val="00A43119"/>
    <w:rsid w:val="00A431A1"/>
    <w:rsid w:val="00A434E6"/>
    <w:rsid w:val="00A43727"/>
    <w:rsid w:val="00A437C1"/>
    <w:rsid w:val="00A43872"/>
    <w:rsid w:val="00A439E8"/>
    <w:rsid w:val="00A43A46"/>
    <w:rsid w:val="00A43D5B"/>
    <w:rsid w:val="00A43DA5"/>
    <w:rsid w:val="00A44106"/>
    <w:rsid w:val="00A441AD"/>
    <w:rsid w:val="00A44271"/>
    <w:rsid w:val="00A44467"/>
    <w:rsid w:val="00A44857"/>
    <w:rsid w:val="00A448CD"/>
    <w:rsid w:val="00A44A9D"/>
    <w:rsid w:val="00A44B26"/>
    <w:rsid w:val="00A44DEC"/>
    <w:rsid w:val="00A4519E"/>
    <w:rsid w:val="00A451AB"/>
    <w:rsid w:val="00A454E6"/>
    <w:rsid w:val="00A45766"/>
    <w:rsid w:val="00A458DD"/>
    <w:rsid w:val="00A458E2"/>
    <w:rsid w:val="00A45AE5"/>
    <w:rsid w:val="00A45B2C"/>
    <w:rsid w:val="00A45D12"/>
    <w:rsid w:val="00A45D3A"/>
    <w:rsid w:val="00A45D80"/>
    <w:rsid w:val="00A45D8C"/>
    <w:rsid w:val="00A46085"/>
    <w:rsid w:val="00A461BE"/>
    <w:rsid w:val="00A46252"/>
    <w:rsid w:val="00A46361"/>
    <w:rsid w:val="00A463A1"/>
    <w:rsid w:val="00A46784"/>
    <w:rsid w:val="00A4679B"/>
    <w:rsid w:val="00A468FB"/>
    <w:rsid w:val="00A46919"/>
    <w:rsid w:val="00A470B0"/>
    <w:rsid w:val="00A4710E"/>
    <w:rsid w:val="00A472BB"/>
    <w:rsid w:val="00A47347"/>
    <w:rsid w:val="00A47556"/>
    <w:rsid w:val="00A47631"/>
    <w:rsid w:val="00A47AAB"/>
    <w:rsid w:val="00A47D91"/>
    <w:rsid w:val="00A47F58"/>
    <w:rsid w:val="00A50121"/>
    <w:rsid w:val="00A50249"/>
    <w:rsid w:val="00A50295"/>
    <w:rsid w:val="00A502CE"/>
    <w:rsid w:val="00A503CF"/>
    <w:rsid w:val="00A504E8"/>
    <w:rsid w:val="00A5055A"/>
    <w:rsid w:val="00A506EF"/>
    <w:rsid w:val="00A50733"/>
    <w:rsid w:val="00A5080D"/>
    <w:rsid w:val="00A5088B"/>
    <w:rsid w:val="00A50983"/>
    <w:rsid w:val="00A50F8C"/>
    <w:rsid w:val="00A51255"/>
    <w:rsid w:val="00A51273"/>
    <w:rsid w:val="00A51286"/>
    <w:rsid w:val="00A5154B"/>
    <w:rsid w:val="00A516F2"/>
    <w:rsid w:val="00A51790"/>
    <w:rsid w:val="00A519E6"/>
    <w:rsid w:val="00A51AA9"/>
    <w:rsid w:val="00A51AF1"/>
    <w:rsid w:val="00A51BE1"/>
    <w:rsid w:val="00A51EE4"/>
    <w:rsid w:val="00A521ED"/>
    <w:rsid w:val="00A523F4"/>
    <w:rsid w:val="00A527C4"/>
    <w:rsid w:val="00A528A1"/>
    <w:rsid w:val="00A528E9"/>
    <w:rsid w:val="00A52946"/>
    <w:rsid w:val="00A52B41"/>
    <w:rsid w:val="00A52C06"/>
    <w:rsid w:val="00A52CD8"/>
    <w:rsid w:val="00A52D29"/>
    <w:rsid w:val="00A52EA2"/>
    <w:rsid w:val="00A52F43"/>
    <w:rsid w:val="00A52F76"/>
    <w:rsid w:val="00A53058"/>
    <w:rsid w:val="00A530B8"/>
    <w:rsid w:val="00A53274"/>
    <w:rsid w:val="00A5334A"/>
    <w:rsid w:val="00A538D5"/>
    <w:rsid w:val="00A539FC"/>
    <w:rsid w:val="00A53DC1"/>
    <w:rsid w:val="00A53F3C"/>
    <w:rsid w:val="00A5412F"/>
    <w:rsid w:val="00A542A8"/>
    <w:rsid w:val="00A54455"/>
    <w:rsid w:val="00A54772"/>
    <w:rsid w:val="00A548F9"/>
    <w:rsid w:val="00A5493F"/>
    <w:rsid w:val="00A54B1C"/>
    <w:rsid w:val="00A54BE7"/>
    <w:rsid w:val="00A54CDB"/>
    <w:rsid w:val="00A54E75"/>
    <w:rsid w:val="00A54EE6"/>
    <w:rsid w:val="00A54F2B"/>
    <w:rsid w:val="00A5519B"/>
    <w:rsid w:val="00A55293"/>
    <w:rsid w:val="00A552DE"/>
    <w:rsid w:val="00A55350"/>
    <w:rsid w:val="00A553E3"/>
    <w:rsid w:val="00A55730"/>
    <w:rsid w:val="00A55D02"/>
    <w:rsid w:val="00A55D30"/>
    <w:rsid w:val="00A55D32"/>
    <w:rsid w:val="00A55FFE"/>
    <w:rsid w:val="00A5609C"/>
    <w:rsid w:val="00A56259"/>
    <w:rsid w:val="00A56395"/>
    <w:rsid w:val="00A565FF"/>
    <w:rsid w:val="00A56627"/>
    <w:rsid w:val="00A56702"/>
    <w:rsid w:val="00A56C54"/>
    <w:rsid w:val="00A56FFE"/>
    <w:rsid w:val="00A57049"/>
    <w:rsid w:val="00A57386"/>
    <w:rsid w:val="00A575C0"/>
    <w:rsid w:val="00A57635"/>
    <w:rsid w:val="00A576E0"/>
    <w:rsid w:val="00A57845"/>
    <w:rsid w:val="00A579DA"/>
    <w:rsid w:val="00A57A01"/>
    <w:rsid w:val="00A57F09"/>
    <w:rsid w:val="00A60076"/>
    <w:rsid w:val="00A6042E"/>
    <w:rsid w:val="00A605D5"/>
    <w:rsid w:val="00A6071C"/>
    <w:rsid w:val="00A60915"/>
    <w:rsid w:val="00A60A23"/>
    <w:rsid w:val="00A60CDC"/>
    <w:rsid w:val="00A60DA0"/>
    <w:rsid w:val="00A60E70"/>
    <w:rsid w:val="00A6101E"/>
    <w:rsid w:val="00A6133D"/>
    <w:rsid w:val="00A61349"/>
    <w:rsid w:val="00A6183A"/>
    <w:rsid w:val="00A619F1"/>
    <w:rsid w:val="00A61CED"/>
    <w:rsid w:val="00A61D2E"/>
    <w:rsid w:val="00A61D95"/>
    <w:rsid w:val="00A61F4A"/>
    <w:rsid w:val="00A61F6E"/>
    <w:rsid w:val="00A62171"/>
    <w:rsid w:val="00A62499"/>
    <w:rsid w:val="00A624FE"/>
    <w:rsid w:val="00A62513"/>
    <w:rsid w:val="00A62EA4"/>
    <w:rsid w:val="00A62F7B"/>
    <w:rsid w:val="00A6300A"/>
    <w:rsid w:val="00A6325F"/>
    <w:rsid w:val="00A6332B"/>
    <w:rsid w:val="00A634B7"/>
    <w:rsid w:val="00A63792"/>
    <w:rsid w:val="00A637DE"/>
    <w:rsid w:val="00A6382B"/>
    <w:rsid w:val="00A6390D"/>
    <w:rsid w:val="00A63A12"/>
    <w:rsid w:val="00A63C68"/>
    <w:rsid w:val="00A64297"/>
    <w:rsid w:val="00A64698"/>
    <w:rsid w:val="00A6483D"/>
    <w:rsid w:val="00A64A38"/>
    <w:rsid w:val="00A64A7B"/>
    <w:rsid w:val="00A64CC2"/>
    <w:rsid w:val="00A64D19"/>
    <w:rsid w:val="00A64EAE"/>
    <w:rsid w:val="00A65528"/>
    <w:rsid w:val="00A65554"/>
    <w:rsid w:val="00A655E2"/>
    <w:rsid w:val="00A6565A"/>
    <w:rsid w:val="00A6586E"/>
    <w:rsid w:val="00A658CB"/>
    <w:rsid w:val="00A65991"/>
    <w:rsid w:val="00A659F8"/>
    <w:rsid w:val="00A65A85"/>
    <w:rsid w:val="00A65C87"/>
    <w:rsid w:val="00A65E55"/>
    <w:rsid w:val="00A65E91"/>
    <w:rsid w:val="00A661A5"/>
    <w:rsid w:val="00A6663C"/>
    <w:rsid w:val="00A666BA"/>
    <w:rsid w:val="00A66769"/>
    <w:rsid w:val="00A6680E"/>
    <w:rsid w:val="00A669A1"/>
    <w:rsid w:val="00A66A7B"/>
    <w:rsid w:val="00A66AD4"/>
    <w:rsid w:val="00A67118"/>
    <w:rsid w:val="00A672CA"/>
    <w:rsid w:val="00A67401"/>
    <w:rsid w:val="00A67408"/>
    <w:rsid w:val="00A674AC"/>
    <w:rsid w:val="00A67537"/>
    <w:rsid w:val="00A67631"/>
    <w:rsid w:val="00A676AD"/>
    <w:rsid w:val="00A6778C"/>
    <w:rsid w:val="00A67E76"/>
    <w:rsid w:val="00A67EC9"/>
    <w:rsid w:val="00A67FC3"/>
    <w:rsid w:val="00A701B2"/>
    <w:rsid w:val="00A70254"/>
    <w:rsid w:val="00A702DA"/>
    <w:rsid w:val="00A702DD"/>
    <w:rsid w:val="00A702ED"/>
    <w:rsid w:val="00A70416"/>
    <w:rsid w:val="00A70478"/>
    <w:rsid w:val="00A7047B"/>
    <w:rsid w:val="00A70577"/>
    <w:rsid w:val="00A7062B"/>
    <w:rsid w:val="00A706E7"/>
    <w:rsid w:val="00A707D8"/>
    <w:rsid w:val="00A70868"/>
    <w:rsid w:val="00A70892"/>
    <w:rsid w:val="00A70C83"/>
    <w:rsid w:val="00A70CB7"/>
    <w:rsid w:val="00A70FF8"/>
    <w:rsid w:val="00A71105"/>
    <w:rsid w:val="00A71495"/>
    <w:rsid w:val="00A7176E"/>
    <w:rsid w:val="00A71AEC"/>
    <w:rsid w:val="00A71BAD"/>
    <w:rsid w:val="00A72004"/>
    <w:rsid w:val="00A72133"/>
    <w:rsid w:val="00A72146"/>
    <w:rsid w:val="00A72348"/>
    <w:rsid w:val="00A723ED"/>
    <w:rsid w:val="00A72450"/>
    <w:rsid w:val="00A72566"/>
    <w:rsid w:val="00A725B1"/>
    <w:rsid w:val="00A726F5"/>
    <w:rsid w:val="00A72A40"/>
    <w:rsid w:val="00A72B01"/>
    <w:rsid w:val="00A72DED"/>
    <w:rsid w:val="00A73008"/>
    <w:rsid w:val="00A73140"/>
    <w:rsid w:val="00A7320C"/>
    <w:rsid w:val="00A73275"/>
    <w:rsid w:val="00A7327A"/>
    <w:rsid w:val="00A733A8"/>
    <w:rsid w:val="00A736BC"/>
    <w:rsid w:val="00A73757"/>
    <w:rsid w:val="00A73763"/>
    <w:rsid w:val="00A737D5"/>
    <w:rsid w:val="00A73A2D"/>
    <w:rsid w:val="00A742F5"/>
    <w:rsid w:val="00A74326"/>
    <w:rsid w:val="00A7448C"/>
    <w:rsid w:val="00A74535"/>
    <w:rsid w:val="00A748B7"/>
    <w:rsid w:val="00A74D01"/>
    <w:rsid w:val="00A74D98"/>
    <w:rsid w:val="00A75044"/>
    <w:rsid w:val="00A752DF"/>
    <w:rsid w:val="00A7553B"/>
    <w:rsid w:val="00A755E8"/>
    <w:rsid w:val="00A75942"/>
    <w:rsid w:val="00A7598A"/>
    <w:rsid w:val="00A759BF"/>
    <w:rsid w:val="00A75A14"/>
    <w:rsid w:val="00A75C23"/>
    <w:rsid w:val="00A75C2D"/>
    <w:rsid w:val="00A75CDC"/>
    <w:rsid w:val="00A75DDA"/>
    <w:rsid w:val="00A75EB4"/>
    <w:rsid w:val="00A7606E"/>
    <w:rsid w:val="00A7608B"/>
    <w:rsid w:val="00A7639D"/>
    <w:rsid w:val="00A76628"/>
    <w:rsid w:val="00A7675E"/>
    <w:rsid w:val="00A76864"/>
    <w:rsid w:val="00A76D9C"/>
    <w:rsid w:val="00A76DF8"/>
    <w:rsid w:val="00A76EEA"/>
    <w:rsid w:val="00A76F3F"/>
    <w:rsid w:val="00A76F6A"/>
    <w:rsid w:val="00A770CA"/>
    <w:rsid w:val="00A7722C"/>
    <w:rsid w:val="00A77265"/>
    <w:rsid w:val="00A7763B"/>
    <w:rsid w:val="00A7777E"/>
    <w:rsid w:val="00A779EF"/>
    <w:rsid w:val="00A77E9D"/>
    <w:rsid w:val="00A8036D"/>
    <w:rsid w:val="00A8045C"/>
    <w:rsid w:val="00A80470"/>
    <w:rsid w:val="00A8050D"/>
    <w:rsid w:val="00A80A9F"/>
    <w:rsid w:val="00A80BC0"/>
    <w:rsid w:val="00A81027"/>
    <w:rsid w:val="00A81057"/>
    <w:rsid w:val="00A811AF"/>
    <w:rsid w:val="00A812C7"/>
    <w:rsid w:val="00A814C3"/>
    <w:rsid w:val="00A8168F"/>
    <w:rsid w:val="00A81756"/>
    <w:rsid w:val="00A819C1"/>
    <w:rsid w:val="00A819FD"/>
    <w:rsid w:val="00A81B11"/>
    <w:rsid w:val="00A81C26"/>
    <w:rsid w:val="00A81D45"/>
    <w:rsid w:val="00A81E9B"/>
    <w:rsid w:val="00A81FC9"/>
    <w:rsid w:val="00A822AE"/>
    <w:rsid w:val="00A823EB"/>
    <w:rsid w:val="00A8260E"/>
    <w:rsid w:val="00A827D4"/>
    <w:rsid w:val="00A82826"/>
    <w:rsid w:val="00A82973"/>
    <w:rsid w:val="00A82A24"/>
    <w:rsid w:val="00A82BEE"/>
    <w:rsid w:val="00A82D01"/>
    <w:rsid w:val="00A82F23"/>
    <w:rsid w:val="00A82FE9"/>
    <w:rsid w:val="00A83005"/>
    <w:rsid w:val="00A830D5"/>
    <w:rsid w:val="00A833B1"/>
    <w:rsid w:val="00A83454"/>
    <w:rsid w:val="00A8345A"/>
    <w:rsid w:val="00A83744"/>
    <w:rsid w:val="00A83852"/>
    <w:rsid w:val="00A838BD"/>
    <w:rsid w:val="00A839CA"/>
    <w:rsid w:val="00A839E0"/>
    <w:rsid w:val="00A839F8"/>
    <w:rsid w:val="00A83A4E"/>
    <w:rsid w:val="00A83B7C"/>
    <w:rsid w:val="00A83C54"/>
    <w:rsid w:val="00A84297"/>
    <w:rsid w:val="00A84430"/>
    <w:rsid w:val="00A84693"/>
    <w:rsid w:val="00A84787"/>
    <w:rsid w:val="00A847B5"/>
    <w:rsid w:val="00A84A0E"/>
    <w:rsid w:val="00A84CCE"/>
    <w:rsid w:val="00A85133"/>
    <w:rsid w:val="00A8548B"/>
    <w:rsid w:val="00A855B4"/>
    <w:rsid w:val="00A855D8"/>
    <w:rsid w:val="00A857DD"/>
    <w:rsid w:val="00A8580A"/>
    <w:rsid w:val="00A859DB"/>
    <w:rsid w:val="00A85ACA"/>
    <w:rsid w:val="00A85BC8"/>
    <w:rsid w:val="00A85CD1"/>
    <w:rsid w:val="00A85DE6"/>
    <w:rsid w:val="00A85EDA"/>
    <w:rsid w:val="00A861DE"/>
    <w:rsid w:val="00A861F4"/>
    <w:rsid w:val="00A863E7"/>
    <w:rsid w:val="00A86523"/>
    <w:rsid w:val="00A86564"/>
    <w:rsid w:val="00A86671"/>
    <w:rsid w:val="00A866FE"/>
    <w:rsid w:val="00A8673E"/>
    <w:rsid w:val="00A867A0"/>
    <w:rsid w:val="00A86ABC"/>
    <w:rsid w:val="00A86ACA"/>
    <w:rsid w:val="00A86AE5"/>
    <w:rsid w:val="00A86B55"/>
    <w:rsid w:val="00A86C25"/>
    <w:rsid w:val="00A87014"/>
    <w:rsid w:val="00A8709E"/>
    <w:rsid w:val="00A874B0"/>
    <w:rsid w:val="00A87DE0"/>
    <w:rsid w:val="00A87E5D"/>
    <w:rsid w:val="00A900D9"/>
    <w:rsid w:val="00A903A7"/>
    <w:rsid w:val="00A90646"/>
    <w:rsid w:val="00A908EC"/>
    <w:rsid w:val="00A91211"/>
    <w:rsid w:val="00A91291"/>
    <w:rsid w:val="00A91603"/>
    <w:rsid w:val="00A91916"/>
    <w:rsid w:val="00A919F7"/>
    <w:rsid w:val="00A91D95"/>
    <w:rsid w:val="00A91DE4"/>
    <w:rsid w:val="00A91EFD"/>
    <w:rsid w:val="00A91FBC"/>
    <w:rsid w:val="00A92033"/>
    <w:rsid w:val="00A920D4"/>
    <w:rsid w:val="00A92184"/>
    <w:rsid w:val="00A9259F"/>
    <w:rsid w:val="00A9267C"/>
    <w:rsid w:val="00A926A0"/>
    <w:rsid w:val="00A92A93"/>
    <w:rsid w:val="00A92C62"/>
    <w:rsid w:val="00A92CF9"/>
    <w:rsid w:val="00A92E3D"/>
    <w:rsid w:val="00A92EF7"/>
    <w:rsid w:val="00A9322C"/>
    <w:rsid w:val="00A9327D"/>
    <w:rsid w:val="00A93623"/>
    <w:rsid w:val="00A9369B"/>
    <w:rsid w:val="00A93A60"/>
    <w:rsid w:val="00A93A62"/>
    <w:rsid w:val="00A93C08"/>
    <w:rsid w:val="00A93D8D"/>
    <w:rsid w:val="00A93DCF"/>
    <w:rsid w:val="00A94228"/>
    <w:rsid w:val="00A9456C"/>
    <w:rsid w:val="00A946E7"/>
    <w:rsid w:val="00A94837"/>
    <w:rsid w:val="00A94A84"/>
    <w:rsid w:val="00A94B6E"/>
    <w:rsid w:val="00A94C64"/>
    <w:rsid w:val="00A95176"/>
    <w:rsid w:val="00A952B1"/>
    <w:rsid w:val="00A955A9"/>
    <w:rsid w:val="00A95802"/>
    <w:rsid w:val="00A9581D"/>
    <w:rsid w:val="00A9599B"/>
    <w:rsid w:val="00A95B5C"/>
    <w:rsid w:val="00A96130"/>
    <w:rsid w:val="00A96279"/>
    <w:rsid w:val="00A96463"/>
    <w:rsid w:val="00A96811"/>
    <w:rsid w:val="00A96A7F"/>
    <w:rsid w:val="00A96ADB"/>
    <w:rsid w:val="00A96C07"/>
    <w:rsid w:val="00A96D36"/>
    <w:rsid w:val="00A96D41"/>
    <w:rsid w:val="00A96E40"/>
    <w:rsid w:val="00A96EB9"/>
    <w:rsid w:val="00A97168"/>
    <w:rsid w:val="00A9719D"/>
    <w:rsid w:val="00A97273"/>
    <w:rsid w:val="00A972E6"/>
    <w:rsid w:val="00A978F3"/>
    <w:rsid w:val="00A97B30"/>
    <w:rsid w:val="00A97CB4"/>
    <w:rsid w:val="00A97CD0"/>
    <w:rsid w:val="00A97D15"/>
    <w:rsid w:val="00A97D1D"/>
    <w:rsid w:val="00A97EA5"/>
    <w:rsid w:val="00A97FBD"/>
    <w:rsid w:val="00AA000F"/>
    <w:rsid w:val="00AA0099"/>
    <w:rsid w:val="00AA01FD"/>
    <w:rsid w:val="00AA02E7"/>
    <w:rsid w:val="00AA03F6"/>
    <w:rsid w:val="00AA051A"/>
    <w:rsid w:val="00AA051D"/>
    <w:rsid w:val="00AA071C"/>
    <w:rsid w:val="00AA079C"/>
    <w:rsid w:val="00AA0834"/>
    <w:rsid w:val="00AA0899"/>
    <w:rsid w:val="00AA08A5"/>
    <w:rsid w:val="00AA0B47"/>
    <w:rsid w:val="00AA0BAF"/>
    <w:rsid w:val="00AA0C08"/>
    <w:rsid w:val="00AA112D"/>
    <w:rsid w:val="00AA17CC"/>
    <w:rsid w:val="00AA1982"/>
    <w:rsid w:val="00AA1BD0"/>
    <w:rsid w:val="00AA1CA9"/>
    <w:rsid w:val="00AA1D5E"/>
    <w:rsid w:val="00AA1D6C"/>
    <w:rsid w:val="00AA211C"/>
    <w:rsid w:val="00AA214D"/>
    <w:rsid w:val="00AA21A9"/>
    <w:rsid w:val="00AA2296"/>
    <w:rsid w:val="00AA2421"/>
    <w:rsid w:val="00AA2492"/>
    <w:rsid w:val="00AA26AD"/>
    <w:rsid w:val="00AA283E"/>
    <w:rsid w:val="00AA29C4"/>
    <w:rsid w:val="00AA2BCB"/>
    <w:rsid w:val="00AA2C01"/>
    <w:rsid w:val="00AA2D68"/>
    <w:rsid w:val="00AA2DBE"/>
    <w:rsid w:val="00AA2E56"/>
    <w:rsid w:val="00AA2FE4"/>
    <w:rsid w:val="00AA301F"/>
    <w:rsid w:val="00AA30A6"/>
    <w:rsid w:val="00AA31AD"/>
    <w:rsid w:val="00AA3208"/>
    <w:rsid w:val="00AA34F6"/>
    <w:rsid w:val="00AA35F8"/>
    <w:rsid w:val="00AA37CF"/>
    <w:rsid w:val="00AA3827"/>
    <w:rsid w:val="00AA38DC"/>
    <w:rsid w:val="00AA3B9F"/>
    <w:rsid w:val="00AA3DC4"/>
    <w:rsid w:val="00AA4022"/>
    <w:rsid w:val="00AA40CC"/>
    <w:rsid w:val="00AA4192"/>
    <w:rsid w:val="00AA48E8"/>
    <w:rsid w:val="00AA49AF"/>
    <w:rsid w:val="00AA4A20"/>
    <w:rsid w:val="00AA4B4F"/>
    <w:rsid w:val="00AA4BE6"/>
    <w:rsid w:val="00AA4DFF"/>
    <w:rsid w:val="00AA4EB0"/>
    <w:rsid w:val="00AA514F"/>
    <w:rsid w:val="00AA53C0"/>
    <w:rsid w:val="00AA55B3"/>
    <w:rsid w:val="00AA55F7"/>
    <w:rsid w:val="00AA5902"/>
    <w:rsid w:val="00AA5903"/>
    <w:rsid w:val="00AA5A63"/>
    <w:rsid w:val="00AA5AB3"/>
    <w:rsid w:val="00AA5AC7"/>
    <w:rsid w:val="00AA5C23"/>
    <w:rsid w:val="00AA5C59"/>
    <w:rsid w:val="00AA5CD5"/>
    <w:rsid w:val="00AA5FC8"/>
    <w:rsid w:val="00AA61F2"/>
    <w:rsid w:val="00AA6417"/>
    <w:rsid w:val="00AA6473"/>
    <w:rsid w:val="00AA64DA"/>
    <w:rsid w:val="00AA6631"/>
    <w:rsid w:val="00AA68D2"/>
    <w:rsid w:val="00AA6913"/>
    <w:rsid w:val="00AA6932"/>
    <w:rsid w:val="00AA6C17"/>
    <w:rsid w:val="00AA6E27"/>
    <w:rsid w:val="00AA705C"/>
    <w:rsid w:val="00AA710F"/>
    <w:rsid w:val="00AA7188"/>
    <w:rsid w:val="00AA7192"/>
    <w:rsid w:val="00AA76F3"/>
    <w:rsid w:val="00AA777E"/>
    <w:rsid w:val="00AA78A2"/>
    <w:rsid w:val="00AA7BEC"/>
    <w:rsid w:val="00AA7C43"/>
    <w:rsid w:val="00AB0044"/>
    <w:rsid w:val="00AB0129"/>
    <w:rsid w:val="00AB0222"/>
    <w:rsid w:val="00AB0390"/>
    <w:rsid w:val="00AB03C4"/>
    <w:rsid w:val="00AB0462"/>
    <w:rsid w:val="00AB0709"/>
    <w:rsid w:val="00AB08C4"/>
    <w:rsid w:val="00AB0A1B"/>
    <w:rsid w:val="00AB0B88"/>
    <w:rsid w:val="00AB0C82"/>
    <w:rsid w:val="00AB12A2"/>
    <w:rsid w:val="00AB1452"/>
    <w:rsid w:val="00AB1510"/>
    <w:rsid w:val="00AB1570"/>
    <w:rsid w:val="00AB15E8"/>
    <w:rsid w:val="00AB1A92"/>
    <w:rsid w:val="00AB1DA5"/>
    <w:rsid w:val="00AB2032"/>
    <w:rsid w:val="00AB21C6"/>
    <w:rsid w:val="00AB21FF"/>
    <w:rsid w:val="00AB2200"/>
    <w:rsid w:val="00AB22FD"/>
    <w:rsid w:val="00AB23AC"/>
    <w:rsid w:val="00AB2433"/>
    <w:rsid w:val="00AB24DB"/>
    <w:rsid w:val="00AB25E7"/>
    <w:rsid w:val="00AB269B"/>
    <w:rsid w:val="00AB270D"/>
    <w:rsid w:val="00AB289D"/>
    <w:rsid w:val="00AB2966"/>
    <w:rsid w:val="00AB2968"/>
    <w:rsid w:val="00AB2C31"/>
    <w:rsid w:val="00AB2C8D"/>
    <w:rsid w:val="00AB2CA6"/>
    <w:rsid w:val="00AB2D07"/>
    <w:rsid w:val="00AB2F04"/>
    <w:rsid w:val="00AB2F9C"/>
    <w:rsid w:val="00AB305C"/>
    <w:rsid w:val="00AB3096"/>
    <w:rsid w:val="00AB3460"/>
    <w:rsid w:val="00AB347C"/>
    <w:rsid w:val="00AB367F"/>
    <w:rsid w:val="00AB376B"/>
    <w:rsid w:val="00AB3915"/>
    <w:rsid w:val="00AB3C20"/>
    <w:rsid w:val="00AB3C37"/>
    <w:rsid w:val="00AB3C53"/>
    <w:rsid w:val="00AB3D46"/>
    <w:rsid w:val="00AB3EA9"/>
    <w:rsid w:val="00AB3FD4"/>
    <w:rsid w:val="00AB4311"/>
    <w:rsid w:val="00AB444C"/>
    <w:rsid w:val="00AB4829"/>
    <w:rsid w:val="00AB4921"/>
    <w:rsid w:val="00AB4A45"/>
    <w:rsid w:val="00AB4AA5"/>
    <w:rsid w:val="00AB4ED4"/>
    <w:rsid w:val="00AB4F28"/>
    <w:rsid w:val="00AB5413"/>
    <w:rsid w:val="00AB558E"/>
    <w:rsid w:val="00AB55AA"/>
    <w:rsid w:val="00AB588C"/>
    <w:rsid w:val="00AB590E"/>
    <w:rsid w:val="00AB592B"/>
    <w:rsid w:val="00AB5B9D"/>
    <w:rsid w:val="00AB5CCE"/>
    <w:rsid w:val="00AB5F97"/>
    <w:rsid w:val="00AB6206"/>
    <w:rsid w:val="00AB6483"/>
    <w:rsid w:val="00AB6623"/>
    <w:rsid w:val="00AB669C"/>
    <w:rsid w:val="00AB6709"/>
    <w:rsid w:val="00AB671D"/>
    <w:rsid w:val="00AB67FE"/>
    <w:rsid w:val="00AB6A44"/>
    <w:rsid w:val="00AB6AC6"/>
    <w:rsid w:val="00AB6CB1"/>
    <w:rsid w:val="00AB6D4D"/>
    <w:rsid w:val="00AB6DD8"/>
    <w:rsid w:val="00AB6EBB"/>
    <w:rsid w:val="00AB6EEE"/>
    <w:rsid w:val="00AB7199"/>
    <w:rsid w:val="00AB7217"/>
    <w:rsid w:val="00AB7242"/>
    <w:rsid w:val="00AB77E0"/>
    <w:rsid w:val="00AB7878"/>
    <w:rsid w:val="00AB78F2"/>
    <w:rsid w:val="00AB79FE"/>
    <w:rsid w:val="00AB7A9D"/>
    <w:rsid w:val="00AB7D54"/>
    <w:rsid w:val="00AB7F74"/>
    <w:rsid w:val="00AC007C"/>
    <w:rsid w:val="00AC0097"/>
    <w:rsid w:val="00AC029C"/>
    <w:rsid w:val="00AC05F4"/>
    <w:rsid w:val="00AC06A3"/>
    <w:rsid w:val="00AC07BA"/>
    <w:rsid w:val="00AC089A"/>
    <w:rsid w:val="00AC08FF"/>
    <w:rsid w:val="00AC0997"/>
    <w:rsid w:val="00AC09F5"/>
    <w:rsid w:val="00AC0C86"/>
    <w:rsid w:val="00AC0EAB"/>
    <w:rsid w:val="00AC0F7D"/>
    <w:rsid w:val="00AC10C1"/>
    <w:rsid w:val="00AC1179"/>
    <w:rsid w:val="00AC12E1"/>
    <w:rsid w:val="00AC1817"/>
    <w:rsid w:val="00AC1A47"/>
    <w:rsid w:val="00AC2169"/>
    <w:rsid w:val="00AC2179"/>
    <w:rsid w:val="00AC227D"/>
    <w:rsid w:val="00AC22C7"/>
    <w:rsid w:val="00AC27A0"/>
    <w:rsid w:val="00AC2C67"/>
    <w:rsid w:val="00AC30DD"/>
    <w:rsid w:val="00AC311E"/>
    <w:rsid w:val="00AC3197"/>
    <w:rsid w:val="00AC3361"/>
    <w:rsid w:val="00AC33EE"/>
    <w:rsid w:val="00AC385E"/>
    <w:rsid w:val="00AC3889"/>
    <w:rsid w:val="00AC3905"/>
    <w:rsid w:val="00AC392D"/>
    <w:rsid w:val="00AC3DC2"/>
    <w:rsid w:val="00AC411F"/>
    <w:rsid w:val="00AC41A1"/>
    <w:rsid w:val="00AC41F4"/>
    <w:rsid w:val="00AC4650"/>
    <w:rsid w:val="00AC4872"/>
    <w:rsid w:val="00AC488F"/>
    <w:rsid w:val="00AC48B6"/>
    <w:rsid w:val="00AC4B5D"/>
    <w:rsid w:val="00AC4C2E"/>
    <w:rsid w:val="00AC4F9F"/>
    <w:rsid w:val="00AC4FAF"/>
    <w:rsid w:val="00AC52CA"/>
    <w:rsid w:val="00AC5347"/>
    <w:rsid w:val="00AC53D9"/>
    <w:rsid w:val="00AC542C"/>
    <w:rsid w:val="00AC5541"/>
    <w:rsid w:val="00AC57AC"/>
    <w:rsid w:val="00AC5945"/>
    <w:rsid w:val="00AC59D9"/>
    <w:rsid w:val="00AC5A74"/>
    <w:rsid w:val="00AC5D10"/>
    <w:rsid w:val="00AC5DA3"/>
    <w:rsid w:val="00AC5F14"/>
    <w:rsid w:val="00AC5FDC"/>
    <w:rsid w:val="00AC623F"/>
    <w:rsid w:val="00AC662A"/>
    <w:rsid w:val="00AC67E6"/>
    <w:rsid w:val="00AC6B2E"/>
    <w:rsid w:val="00AC6CF1"/>
    <w:rsid w:val="00AC6E0B"/>
    <w:rsid w:val="00AC770D"/>
    <w:rsid w:val="00AC77EE"/>
    <w:rsid w:val="00AC7932"/>
    <w:rsid w:val="00AC79DA"/>
    <w:rsid w:val="00AC7A51"/>
    <w:rsid w:val="00AC7B6D"/>
    <w:rsid w:val="00AC7EFC"/>
    <w:rsid w:val="00AC7F0F"/>
    <w:rsid w:val="00AD0261"/>
    <w:rsid w:val="00AD0278"/>
    <w:rsid w:val="00AD037E"/>
    <w:rsid w:val="00AD03A7"/>
    <w:rsid w:val="00AD0418"/>
    <w:rsid w:val="00AD043D"/>
    <w:rsid w:val="00AD04AC"/>
    <w:rsid w:val="00AD0D48"/>
    <w:rsid w:val="00AD0E8C"/>
    <w:rsid w:val="00AD0F0A"/>
    <w:rsid w:val="00AD1226"/>
    <w:rsid w:val="00AD1455"/>
    <w:rsid w:val="00AD15D0"/>
    <w:rsid w:val="00AD18D7"/>
    <w:rsid w:val="00AD1AA4"/>
    <w:rsid w:val="00AD1AE2"/>
    <w:rsid w:val="00AD1C22"/>
    <w:rsid w:val="00AD1D68"/>
    <w:rsid w:val="00AD2010"/>
    <w:rsid w:val="00AD21E0"/>
    <w:rsid w:val="00AD2552"/>
    <w:rsid w:val="00AD2701"/>
    <w:rsid w:val="00AD28C7"/>
    <w:rsid w:val="00AD28D4"/>
    <w:rsid w:val="00AD28E1"/>
    <w:rsid w:val="00AD2A5F"/>
    <w:rsid w:val="00AD2C4D"/>
    <w:rsid w:val="00AD2CFB"/>
    <w:rsid w:val="00AD2DA9"/>
    <w:rsid w:val="00AD31F1"/>
    <w:rsid w:val="00AD3250"/>
    <w:rsid w:val="00AD3BC3"/>
    <w:rsid w:val="00AD3C71"/>
    <w:rsid w:val="00AD3CD2"/>
    <w:rsid w:val="00AD3CE5"/>
    <w:rsid w:val="00AD42F2"/>
    <w:rsid w:val="00AD4386"/>
    <w:rsid w:val="00AD4439"/>
    <w:rsid w:val="00AD445D"/>
    <w:rsid w:val="00AD471E"/>
    <w:rsid w:val="00AD483B"/>
    <w:rsid w:val="00AD4874"/>
    <w:rsid w:val="00AD488D"/>
    <w:rsid w:val="00AD4938"/>
    <w:rsid w:val="00AD499F"/>
    <w:rsid w:val="00AD4B55"/>
    <w:rsid w:val="00AD4F3B"/>
    <w:rsid w:val="00AD4F8E"/>
    <w:rsid w:val="00AD4FB3"/>
    <w:rsid w:val="00AD509A"/>
    <w:rsid w:val="00AD50CA"/>
    <w:rsid w:val="00AD59B5"/>
    <w:rsid w:val="00AD5B04"/>
    <w:rsid w:val="00AD5D05"/>
    <w:rsid w:val="00AD5F6C"/>
    <w:rsid w:val="00AD620A"/>
    <w:rsid w:val="00AD6224"/>
    <w:rsid w:val="00AD64F4"/>
    <w:rsid w:val="00AD663A"/>
    <w:rsid w:val="00AD664B"/>
    <w:rsid w:val="00AD67BC"/>
    <w:rsid w:val="00AD67D7"/>
    <w:rsid w:val="00AD69A3"/>
    <w:rsid w:val="00AD6BB8"/>
    <w:rsid w:val="00AD6DF0"/>
    <w:rsid w:val="00AD6F12"/>
    <w:rsid w:val="00AD701B"/>
    <w:rsid w:val="00AD7278"/>
    <w:rsid w:val="00AD7335"/>
    <w:rsid w:val="00AD74D1"/>
    <w:rsid w:val="00AD7543"/>
    <w:rsid w:val="00AD7687"/>
    <w:rsid w:val="00AD7750"/>
    <w:rsid w:val="00AD7899"/>
    <w:rsid w:val="00AD7C1C"/>
    <w:rsid w:val="00AD7C39"/>
    <w:rsid w:val="00AD7DF4"/>
    <w:rsid w:val="00AE0082"/>
    <w:rsid w:val="00AE011A"/>
    <w:rsid w:val="00AE02B2"/>
    <w:rsid w:val="00AE0766"/>
    <w:rsid w:val="00AE07F0"/>
    <w:rsid w:val="00AE07FE"/>
    <w:rsid w:val="00AE0B9F"/>
    <w:rsid w:val="00AE0DAB"/>
    <w:rsid w:val="00AE0DC9"/>
    <w:rsid w:val="00AE0E58"/>
    <w:rsid w:val="00AE0FB3"/>
    <w:rsid w:val="00AE0FDF"/>
    <w:rsid w:val="00AE10C1"/>
    <w:rsid w:val="00AE1145"/>
    <w:rsid w:val="00AE11E4"/>
    <w:rsid w:val="00AE1245"/>
    <w:rsid w:val="00AE1448"/>
    <w:rsid w:val="00AE1514"/>
    <w:rsid w:val="00AE1669"/>
    <w:rsid w:val="00AE167E"/>
    <w:rsid w:val="00AE18BE"/>
    <w:rsid w:val="00AE1B58"/>
    <w:rsid w:val="00AE1B6B"/>
    <w:rsid w:val="00AE1B7C"/>
    <w:rsid w:val="00AE1BB6"/>
    <w:rsid w:val="00AE1E4D"/>
    <w:rsid w:val="00AE1F52"/>
    <w:rsid w:val="00AE21C5"/>
    <w:rsid w:val="00AE221C"/>
    <w:rsid w:val="00AE22D1"/>
    <w:rsid w:val="00AE24E4"/>
    <w:rsid w:val="00AE2587"/>
    <w:rsid w:val="00AE26D8"/>
    <w:rsid w:val="00AE2863"/>
    <w:rsid w:val="00AE28AE"/>
    <w:rsid w:val="00AE28B3"/>
    <w:rsid w:val="00AE2A53"/>
    <w:rsid w:val="00AE2D18"/>
    <w:rsid w:val="00AE2D71"/>
    <w:rsid w:val="00AE2E5F"/>
    <w:rsid w:val="00AE2F42"/>
    <w:rsid w:val="00AE30E1"/>
    <w:rsid w:val="00AE3120"/>
    <w:rsid w:val="00AE31C4"/>
    <w:rsid w:val="00AE3371"/>
    <w:rsid w:val="00AE3589"/>
    <w:rsid w:val="00AE359E"/>
    <w:rsid w:val="00AE36E5"/>
    <w:rsid w:val="00AE376C"/>
    <w:rsid w:val="00AE3866"/>
    <w:rsid w:val="00AE396E"/>
    <w:rsid w:val="00AE3A87"/>
    <w:rsid w:val="00AE3E55"/>
    <w:rsid w:val="00AE4247"/>
    <w:rsid w:val="00AE426C"/>
    <w:rsid w:val="00AE42AA"/>
    <w:rsid w:val="00AE43C3"/>
    <w:rsid w:val="00AE46D4"/>
    <w:rsid w:val="00AE47BD"/>
    <w:rsid w:val="00AE4945"/>
    <w:rsid w:val="00AE49EA"/>
    <w:rsid w:val="00AE4BF8"/>
    <w:rsid w:val="00AE4F12"/>
    <w:rsid w:val="00AE514B"/>
    <w:rsid w:val="00AE5174"/>
    <w:rsid w:val="00AE52FA"/>
    <w:rsid w:val="00AE54E5"/>
    <w:rsid w:val="00AE54E7"/>
    <w:rsid w:val="00AE5AE8"/>
    <w:rsid w:val="00AE5C7E"/>
    <w:rsid w:val="00AE5DE6"/>
    <w:rsid w:val="00AE5E30"/>
    <w:rsid w:val="00AE5FCB"/>
    <w:rsid w:val="00AE613D"/>
    <w:rsid w:val="00AE628C"/>
    <w:rsid w:val="00AE662C"/>
    <w:rsid w:val="00AE6E0B"/>
    <w:rsid w:val="00AE700C"/>
    <w:rsid w:val="00AE740B"/>
    <w:rsid w:val="00AE7589"/>
    <w:rsid w:val="00AE75B4"/>
    <w:rsid w:val="00AE763B"/>
    <w:rsid w:val="00AE764C"/>
    <w:rsid w:val="00AE767C"/>
    <w:rsid w:val="00AE76F1"/>
    <w:rsid w:val="00AE7713"/>
    <w:rsid w:val="00AE77EE"/>
    <w:rsid w:val="00AE7974"/>
    <w:rsid w:val="00AE7AB6"/>
    <w:rsid w:val="00AE7B14"/>
    <w:rsid w:val="00AE7B67"/>
    <w:rsid w:val="00AE7E6E"/>
    <w:rsid w:val="00AF014A"/>
    <w:rsid w:val="00AF014D"/>
    <w:rsid w:val="00AF023F"/>
    <w:rsid w:val="00AF02F5"/>
    <w:rsid w:val="00AF0554"/>
    <w:rsid w:val="00AF064C"/>
    <w:rsid w:val="00AF0681"/>
    <w:rsid w:val="00AF06C4"/>
    <w:rsid w:val="00AF0AE4"/>
    <w:rsid w:val="00AF0CF8"/>
    <w:rsid w:val="00AF0DD0"/>
    <w:rsid w:val="00AF0DFC"/>
    <w:rsid w:val="00AF0E60"/>
    <w:rsid w:val="00AF13DD"/>
    <w:rsid w:val="00AF1576"/>
    <w:rsid w:val="00AF17B3"/>
    <w:rsid w:val="00AF1C91"/>
    <w:rsid w:val="00AF1D50"/>
    <w:rsid w:val="00AF1DEA"/>
    <w:rsid w:val="00AF1F29"/>
    <w:rsid w:val="00AF23CA"/>
    <w:rsid w:val="00AF2410"/>
    <w:rsid w:val="00AF2945"/>
    <w:rsid w:val="00AF2A0E"/>
    <w:rsid w:val="00AF2C5A"/>
    <w:rsid w:val="00AF2F1C"/>
    <w:rsid w:val="00AF3214"/>
    <w:rsid w:val="00AF3301"/>
    <w:rsid w:val="00AF3527"/>
    <w:rsid w:val="00AF3A37"/>
    <w:rsid w:val="00AF3A9C"/>
    <w:rsid w:val="00AF3AE0"/>
    <w:rsid w:val="00AF3C7E"/>
    <w:rsid w:val="00AF3DA3"/>
    <w:rsid w:val="00AF3E54"/>
    <w:rsid w:val="00AF3F16"/>
    <w:rsid w:val="00AF4192"/>
    <w:rsid w:val="00AF42C1"/>
    <w:rsid w:val="00AF44CB"/>
    <w:rsid w:val="00AF45BD"/>
    <w:rsid w:val="00AF45D6"/>
    <w:rsid w:val="00AF484C"/>
    <w:rsid w:val="00AF48B8"/>
    <w:rsid w:val="00AF4BF0"/>
    <w:rsid w:val="00AF4C92"/>
    <w:rsid w:val="00AF4DBC"/>
    <w:rsid w:val="00AF4E25"/>
    <w:rsid w:val="00AF503C"/>
    <w:rsid w:val="00AF50D4"/>
    <w:rsid w:val="00AF52C7"/>
    <w:rsid w:val="00AF54AC"/>
    <w:rsid w:val="00AF5561"/>
    <w:rsid w:val="00AF5606"/>
    <w:rsid w:val="00AF5766"/>
    <w:rsid w:val="00AF5DA1"/>
    <w:rsid w:val="00AF5DC6"/>
    <w:rsid w:val="00AF60B1"/>
    <w:rsid w:val="00AF6170"/>
    <w:rsid w:val="00AF6488"/>
    <w:rsid w:val="00AF6570"/>
    <w:rsid w:val="00AF6734"/>
    <w:rsid w:val="00AF6792"/>
    <w:rsid w:val="00AF6948"/>
    <w:rsid w:val="00AF6A8C"/>
    <w:rsid w:val="00AF6D05"/>
    <w:rsid w:val="00AF6D64"/>
    <w:rsid w:val="00AF6F1A"/>
    <w:rsid w:val="00AF7189"/>
    <w:rsid w:val="00AF739E"/>
    <w:rsid w:val="00AF79BA"/>
    <w:rsid w:val="00AF79F8"/>
    <w:rsid w:val="00AF7C2A"/>
    <w:rsid w:val="00AF7DE3"/>
    <w:rsid w:val="00AF7F86"/>
    <w:rsid w:val="00B00205"/>
    <w:rsid w:val="00B0022C"/>
    <w:rsid w:val="00B00353"/>
    <w:rsid w:val="00B00516"/>
    <w:rsid w:val="00B0052B"/>
    <w:rsid w:val="00B0054D"/>
    <w:rsid w:val="00B00766"/>
    <w:rsid w:val="00B0077C"/>
    <w:rsid w:val="00B0078E"/>
    <w:rsid w:val="00B007B4"/>
    <w:rsid w:val="00B00A8A"/>
    <w:rsid w:val="00B00AC1"/>
    <w:rsid w:val="00B00BBA"/>
    <w:rsid w:val="00B00D81"/>
    <w:rsid w:val="00B00EEF"/>
    <w:rsid w:val="00B00FAB"/>
    <w:rsid w:val="00B00FCB"/>
    <w:rsid w:val="00B01463"/>
    <w:rsid w:val="00B0147B"/>
    <w:rsid w:val="00B0149B"/>
    <w:rsid w:val="00B01848"/>
    <w:rsid w:val="00B018B4"/>
    <w:rsid w:val="00B01950"/>
    <w:rsid w:val="00B01A5E"/>
    <w:rsid w:val="00B01C0B"/>
    <w:rsid w:val="00B01F1B"/>
    <w:rsid w:val="00B02007"/>
    <w:rsid w:val="00B0212F"/>
    <w:rsid w:val="00B021F6"/>
    <w:rsid w:val="00B02366"/>
    <w:rsid w:val="00B023B1"/>
    <w:rsid w:val="00B02478"/>
    <w:rsid w:val="00B027F8"/>
    <w:rsid w:val="00B0280A"/>
    <w:rsid w:val="00B028C1"/>
    <w:rsid w:val="00B0298D"/>
    <w:rsid w:val="00B02C88"/>
    <w:rsid w:val="00B02E46"/>
    <w:rsid w:val="00B03200"/>
    <w:rsid w:val="00B03389"/>
    <w:rsid w:val="00B035F4"/>
    <w:rsid w:val="00B036C4"/>
    <w:rsid w:val="00B037D5"/>
    <w:rsid w:val="00B03949"/>
    <w:rsid w:val="00B0395E"/>
    <w:rsid w:val="00B039C1"/>
    <w:rsid w:val="00B03EA9"/>
    <w:rsid w:val="00B04134"/>
    <w:rsid w:val="00B04138"/>
    <w:rsid w:val="00B04836"/>
    <w:rsid w:val="00B048B0"/>
    <w:rsid w:val="00B04A5E"/>
    <w:rsid w:val="00B04E9C"/>
    <w:rsid w:val="00B05019"/>
    <w:rsid w:val="00B056D2"/>
    <w:rsid w:val="00B0571E"/>
    <w:rsid w:val="00B057AE"/>
    <w:rsid w:val="00B0586C"/>
    <w:rsid w:val="00B0589E"/>
    <w:rsid w:val="00B05AFA"/>
    <w:rsid w:val="00B05C6C"/>
    <w:rsid w:val="00B05C8B"/>
    <w:rsid w:val="00B06035"/>
    <w:rsid w:val="00B0608C"/>
    <w:rsid w:val="00B061CC"/>
    <w:rsid w:val="00B064A9"/>
    <w:rsid w:val="00B06507"/>
    <w:rsid w:val="00B0660D"/>
    <w:rsid w:val="00B06C83"/>
    <w:rsid w:val="00B06E4F"/>
    <w:rsid w:val="00B070FC"/>
    <w:rsid w:val="00B0718F"/>
    <w:rsid w:val="00B07311"/>
    <w:rsid w:val="00B073D6"/>
    <w:rsid w:val="00B0756A"/>
    <w:rsid w:val="00B0758B"/>
    <w:rsid w:val="00B07917"/>
    <w:rsid w:val="00B07B2A"/>
    <w:rsid w:val="00B07BB6"/>
    <w:rsid w:val="00B07CFE"/>
    <w:rsid w:val="00B07D85"/>
    <w:rsid w:val="00B102EE"/>
    <w:rsid w:val="00B10330"/>
    <w:rsid w:val="00B10408"/>
    <w:rsid w:val="00B1055C"/>
    <w:rsid w:val="00B10609"/>
    <w:rsid w:val="00B1070D"/>
    <w:rsid w:val="00B10756"/>
    <w:rsid w:val="00B10A39"/>
    <w:rsid w:val="00B10C26"/>
    <w:rsid w:val="00B10D37"/>
    <w:rsid w:val="00B10F6D"/>
    <w:rsid w:val="00B110B4"/>
    <w:rsid w:val="00B1115B"/>
    <w:rsid w:val="00B11222"/>
    <w:rsid w:val="00B112E2"/>
    <w:rsid w:val="00B11410"/>
    <w:rsid w:val="00B1166F"/>
    <w:rsid w:val="00B11795"/>
    <w:rsid w:val="00B118DD"/>
    <w:rsid w:val="00B1192D"/>
    <w:rsid w:val="00B11BCB"/>
    <w:rsid w:val="00B11C5B"/>
    <w:rsid w:val="00B11C66"/>
    <w:rsid w:val="00B11F25"/>
    <w:rsid w:val="00B12264"/>
    <w:rsid w:val="00B12352"/>
    <w:rsid w:val="00B124A5"/>
    <w:rsid w:val="00B12635"/>
    <w:rsid w:val="00B127F0"/>
    <w:rsid w:val="00B129BA"/>
    <w:rsid w:val="00B12A5A"/>
    <w:rsid w:val="00B12C43"/>
    <w:rsid w:val="00B12D0E"/>
    <w:rsid w:val="00B12F5D"/>
    <w:rsid w:val="00B13047"/>
    <w:rsid w:val="00B1313B"/>
    <w:rsid w:val="00B1316E"/>
    <w:rsid w:val="00B132FC"/>
    <w:rsid w:val="00B1331F"/>
    <w:rsid w:val="00B1343B"/>
    <w:rsid w:val="00B13797"/>
    <w:rsid w:val="00B1395D"/>
    <w:rsid w:val="00B139F2"/>
    <w:rsid w:val="00B13BE1"/>
    <w:rsid w:val="00B13C3B"/>
    <w:rsid w:val="00B13C54"/>
    <w:rsid w:val="00B141C6"/>
    <w:rsid w:val="00B142E6"/>
    <w:rsid w:val="00B142EB"/>
    <w:rsid w:val="00B14856"/>
    <w:rsid w:val="00B14864"/>
    <w:rsid w:val="00B149AF"/>
    <w:rsid w:val="00B14BF8"/>
    <w:rsid w:val="00B14C66"/>
    <w:rsid w:val="00B14CBA"/>
    <w:rsid w:val="00B14CDB"/>
    <w:rsid w:val="00B14FCB"/>
    <w:rsid w:val="00B14FE7"/>
    <w:rsid w:val="00B1515F"/>
    <w:rsid w:val="00B151A4"/>
    <w:rsid w:val="00B15311"/>
    <w:rsid w:val="00B1533B"/>
    <w:rsid w:val="00B15707"/>
    <w:rsid w:val="00B15EB2"/>
    <w:rsid w:val="00B16233"/>
    <w:rsid w:val="00B16513"/>
    <w:rsid w:val="00B1680E"/>
    <w:rsid w:val="00B168C0"/>
    <w:rsid w:val="00B16976"/>
    <w:rsid w:val="00B1698D"/>
    <w:rsid w:val="00B16C58"/>
    <w:rsid w:val="00B16E62"/>
    <w:rsid w:val="00B16E73"/>
    <w:rsid w:val="00B16EC8"/>
    <w:rsid w:val="00B173D2"/>
    <w:rsid w:val="00B173FB"/>
    <w:rsid w:val="00B174A8"/>
    <w:rsid w:val="00B175D5"/>
    <w:rsid w:val="00B17709"/>
    <w:rsid w:val="00B1777C"/>
    <w:rsid w:val="00B1791B"/>
    <w:rsid w:val="00B1793B"/>
    <w:rsid w:val="00B1798A"/>
    <w:rsid w:val="00B17CBF"/>
    <w:rsid w:val="00B17DD1"/>
    <w:rsid w:val="00B20110"/>
    <w:rsid w:val="00B203F1"/>
    <w:rsid w:val="00B2050E"/>
    <w:rsid w:val="00B2054D"/>
    <w:rsid w:val="00B205B5"/>
    <w:rsid w:val="00B20761"/>
    <w:rsid w:val="00B20904"/>
    <w:rsid w:val="00B20B7A"/>
    <w:rsid w:val="00B20B97"/>
    <w:rsid w:val="00B20BBE"/>
    <w:rsid w:val="00B20C7F"/>
    <w:rsid w:val="00B20F1B"/>
    <w:rsid w:val="00B21022"/>
    <w:rsid w:val="00B211E7"/>
    <w:rsid w:val="00B21489"/>
    <w:rsid w:val="00B21654"/>
    <w:rsid w:val="00B21769"/>
    <w:rsid w:val="00B218F7"/>
    <w:rsid w:val="00B21B14"/>
    <w:rsid w:val="00B21B85"/>
    <w:rsid w:val="00B21D37"/>
    <w:rsid w:val="00B21E02"/>
    <w:rsid w:val="00B21E10"/>
    <w:rsid w:val="00B220E4"/>
    <w:rsid w:val="00B2229D"/>
    <w:rsid w:val="00B222A2"/>
    <w:rsid w:val="00B22520"/>
    <w:rsid w:val="00B22962"/>
    <w:rsid w:val="00B229E2"/>
    <w:rsid w:val="00B229E8"/>
    <w:rsid w:val="00B22C22"/>
    <w:rsid w:val="00B22F1C"/>
    <w:rsid w:val="00B2318A"/>
    <w:rsid w:val="00B231B2"/>
    <w:rsid w:val="00B233C7"/>
    <w:rsid w:val="00B23431"/>
    <w:rsid w:val="00B23903"/>
    <w:rsid w:val="00B23959"/>
    <w:rsid w:val="00B23E20"/>
    <w:rsid w:val="00B2400A"/>
    <w:rsid w:val="00B2406D"/>
    <w:rsid w:val="00B24338"/>
    <w:rsid w:val="00B2458D"/>
    <w:rsid w:val="00B245BC"/>
    <w:rsid w:val="00B24679"/>
    <w:rsid w:val="00B24959"/>
    <w:rsid w:val="00B24CBB"/>
    <w:rsid w:val="00B24CC5"/>
    <w:rsid w:val="00B24E2A"/>
    <w:rsid w:val="00B24FC0"/>
    <w:rsid w:val="00B25164"/>
    <w:rsid w:val="00B25165"/>
    <w:rsid w:val="00B25216"/>
    <w:rsid w:val="00B25464"/>
    <w:rsid w:val="00B254FB"/>
    <w:rsid w:val="00B2577F"/>
    <w:rsid w:val="00B25FDA"/>
    <w:rsid w:val="00B2600C"/>
    <w:rsid w:val="00B26075"/>
    <w:rsid w:val="00B26245"/>
    <w:rsid w:val="00B26285"/>
    <w:rsid w:val="00B26302"/>
    <w:rsid w:val="00B26514"/>
    <w:rsid w:val="00B265F3"/>
    <w:rsid w:val="00B266B2"/>
    <w:rsid w:val="00B26A62"/>
    <w:rsid w:val="00B26B61"/>
    <w:rsid w:val="00B26B67"/>
    <w:rsid w:val="00B26C31"/>
    <w:rsid w:val="00B27018"/>
    <w:rsid w:val="00B2707E"/>
    <w:rsid w:val="00B2734C"/>
    <w:rsid w:val="00B275EA"/>
    <w:rsid w:val="00B276CF"/>
    <w:rsid w:val="00B27832"/>
    <w:rsid w:val="00B27927"/>
    <w:rsid w:val="00B27A14"/>
    <w:rsid w:val="00B27B9F"/>
    <w:rsid w:val="00B27CE5"/>
    <w:rsid w:val="00B27DC8"/>
    <w:rsid w:val="00B3006A"/>
    <w:rsid w:val="00B30271"/>
    <w:rsid w:val="00B302B1"/>
    <w:rsid w:val="00B3052D"/>
    <w:rsid w:val="00B305FC"/>
    <w:rsid w:val="00B30671"/>
    <w:rsid w:val="00B3072F"/>
    <w:rsid w:val="00B307FB"/>
    <w:rsid w:val="00B30A23"/>
    <w:rsid w:val="00B30AB1"/>
    <w:rsid w:val="00B30C1D"/>
    <w:rsid w:val="00B30E4D"/>
    <w:rsid w:val="00B30F1A"/>
    <w:rsid w:val="00B30F70"/>
    <w:rsid w:val="00B30F7B"/>
    <w:rsid w:val="00B3118C"/>
    <w:rsid w:val="00B3188E"/>
    <w:rsid w:val="00B31899"/>
    <w:rsid w:val="00B318A9"/>
    <w:rsid w:val="00B3198B"/>
    <w:rsid w:val="00B31A15"/>
    <w:rsid w:val="00B31ABA"/>
    <w:rsid w:val="00B31B5A"/>
    <w:rsid w:val="00B31B6E"/>
    <w:rsid w:val="00B31CB3"/>
    <w:rsid w:val="00B31D8A"/>
    <w:rsid w:val="00B3218E"/>
    <w:rsid w:val="00B32212"/>
    <w:rsid w:val="00B32283"/>
    <w:rsid w:val="00B3229A"/>
    <w:rsid w:val="00B32454"/>
    <w:rsid w:val="00B324CC"/>
    <w:rsid w:val="00B32626"/>
    <w:rsid w:val="00B32786"/>
    <w:rsid w:val="00B32841"/>
    <w:rsid w:val="00B32916"/>
    <w:rsid w:val="00B32AE6"/>
    <w:rsid w:val="00B32BC0"/>
    <w:rsid w:val="00B32CC1"/>
    <w:rsid w:val="00B32DB7"/>
    <w:rsid w:val="00B32E7D"/>
    <w:rsid w:val="00B33003"/>
    <w:rsid w:val="00B33016"/>
    <w:rsid w:val="00B330AE"/>
    <w:rsid w:val="00B3313F"/>
    <w:rsid w:val="00B33156"/>
    <w:rsid w:val="00B33212"/>
    <w:rsid w:val="00B3336A"/>
    <w:rsid w:val="00B333A8"/>
    <w:rsid w:val="00B3340E"/>
    <w:rsid w:val="00B3374A"/>
    <w:rsid w:val="00B339E7"/>
    <w:rsid w:val="00B33AC6"/>
    <w:rsid w:val="00B33BD9"/>
    <w:rsid w:val="00B33F20"/>
    <w:rsid w:val="00B341F4"/>
    <w:rsid w:val="00B343D1"/>
    <w:rsid w:val="00B34785"/>
    <w:rsid w:val="00B347B1"/>
    <w:rsid w:val="00B348D2"/>
    <w:rsid w:val="00B34A28"/>
    <w:rsid w:val="00B34A3E"/>
    <w:rsid w:val="00B34A9E"/>
    <w:rsid w:val="00B34D64"/>
    <w:rsid w:val="00B34D86"/>
    <w:rsid w:val="00B34E34"/>
    <w:rsid w:val="00B350B6"/>
    <w:rsid w:val="00B35403"/>
    <w:rsid w:val="00B35421"/>
    <w:rsid w:val="00B3570A"/>
    <w:rsid w:val="00B35710"/>
    <w:rsid w:val="00B35A84"/>
    <w:rsid w:val="00B35AB4"/>
    <w:rsid w:val="00B35BB2"/>
    <w:rsid w:val="00B35BB4"/>
    <w:rsid w:val="00B35CC7"/>
    <w:rsid w:val="00B35DE8"/>
    <w:rsid w:val="00B35F9F"/>
    <w:rsid w:val="00B36346"/>
    <w:rsid w:val="00B3639D"/>
    <w:rsid w:val="00B363B9"/>
    <w:rsid w:val="00B36425"/>
    <w:rsid w:val="00B36570"/>
    <w:rsid w:val="00B365D4"/>
    <w:rsid w:val="00B366BF"/>
    <w:rsid w:val="00B367C4"/>
    <w:rsid w:val="00B369CC"/>
    <w:rsid w:val="00B36A1B"/>
    <w:rsid w:val="00B36A61"/>
    <w:rsid w:val="00B36A9A"/>
    <w:rsid w:val="00B36BCF"/>
    <w:rsid w:val="00B36DA1"/>
    <w:rsid w:val="00B37175"/>
    <w:rsid w:val="00B3722F"/>
    <w:rsid w:val="00B37482"/>
    <w:rsid w:val="00B3751A"/>
    <w:rsid w:val="00B375C9"/>
    <w:rsid w:val="00B375F7"/>
    <w:rsid w:val="00B37656"/>
    <w:rsid w:val="00B377FD"/>
    <w:rsid w:val="00B37A04"/>
    <w:rsid w:val="00B37A61"/>
    <w:rsid w:val="00B37CB4"/>
    <w:rsid w:val="00B37D82"/>
    <w:rsid w:val="00B4012F"/>
    <w:rsid w:val="00B401D8"/>
    <w:rsid w:val="00B402D8"/>
    <w:rsid w:val="00B40678"/>
    <w:rsid w:val="00B40711"/>
    <w:rsid w:val="00B40990"/>
    <w:rsid w:val="00B40A45"/>
    <w:rsid w:val="00B40E0E"/>
    <w:rsid w:val="00B40E63"/>
    <w:rsid w:val="00B40F8A"/>
    <w:rsid w:val="00B41152"/>
    <w:rsid w:val="00B412B0"/>
    <w:rsid w:val="00B412D7"/>
    <w:rsid w:val="00B4155D"/>
    <w:rsid w:val="00B415FC"/>
    <w:rsid w:val="00B4167B"/>
    <w:rsid w:val="00B416DA"/>
    <w:rsid w:val="00B418EC"/>
    <w:rsid w:val="00B41953"/>
    <w:rsid w:val="00B41E68"/>
    <w:rsid w:val="00B41EC1"/>
    <w:rsid w:val="00B41F49"/>
    <w:rsid w:val="00B42010"/>
    <w:rsid w:val="00B4210C"/>
    <w:rsid w:val="00B4227E"/>
    <w:rsid w:val="00B4231F"/>
    <w:rsid w:val="00B4268E"/>
    <w:rsid w:val="00B4280D"/>
    <w:rsid w:val="00B42B7A"/>
    <w:rsid w:val="00B43045"/>
    <w:rsid w:val="00B430DF"/>
    <w:rsid w:val="00B432D1"/>
    <w:rsid w:val="00B434D3"/>
    <w:rsid w:val="00B435DC"/>
    <w:rsid w:val="00B436ED"/>
    <w:rsid w:val="00B438B0"/>
    <w:rsid w:val="00B438F8"/>
    <w:rsid w:val="00B43A96"/>
    <w:rsid w:val="00B44027"/>
    <w:rsid w:val="00B44045"/>
    <w:rsid w:val="00B4410E"/>
    <w:rsid w:val="00B441BE"/>
    <w:rsid w:val="00B4424D"/>
    <w:rsid w:val="00B444AB"/>
    <w:rsid w:val="00B448A1"/>
    <w:rsid w:val="00B449CB"/>
    <w:rsid w:val="00B44BB3"/>
    <w:rsid w:val="00B44DE2"/>
    <w:rsid w:val="00B44F91"/>
    <w:rsid w:val="00B45015"/>
    <w:rsid w:val="00B45075"/>
    <w:rsid w:val="00B4514C"/>
    <w:rsid w:val="00B4514D"/>
    <w:rsid w:val="00B451B7"/>
    <w:rsid w:val="00B45426"/>
    <w:rsid w:val="00B456B9"/>
    <w:rsid w:val="00B45829"/>
    <w:rsid w:val="00B45884"/>
    <w:rsid w:val="00B458F8"/>
    <w:rsid w:val="00B45956"/>
    <w:rsid w:val="00B459DD"/>
    <w:rsid w:val="00B45A76"/>
    <w:rsid w:val="00B45D82"/>
    <w:rsid w:val="00B463B4"/>
    <w:rsid w:val="00B46B37"/>
    <w:rsid w:val="00B46B54"/>
    <w:rsid w:val="00B46B75"/>
    <w:rsid w:val="00B46C28"/>
    <w:rsid w:val="00B46E78"/>
    <w:rsid w:val="00B46F40"/>
    <w:rsid w:val="00B46F7E"/>
    <w:rsid w:val="00B471B5"/>
    <w:rsid w:val="00B47233"/>
    <w:rsid w:val="00B47413"/>
    <w:rsid w:val="00B4756E"/>
    <w:rsid w:val="00B475B7"/>
    <w:rsid w:val="00B47714"/>
    <w:rsid w:val="00B47741"/>
    <w:rsid w:val="00B47747"/>
    <w:rsid w:val="00B4799F"/>
    <w:rsid w:val="00B47AB5"/>
    <w:rsid w:val="00B47C6D"/>
    <w:rsid w:val="00B47DA8"/>
    <w:rsid w:val="00B47DCA"/>
    <w:rsid w:val="00B47DE6"/>
    <w:rsid w:val="00B47DEE"/>
    <w:rsid w:val="00B47E39"/>
    <w:rsid w:val="00B47E7D"/>
    <w:rsid w:val="00B47F58"/>
    <w:rsid w:val="00B50125"/>
    <w:rsid w:val="00B5026D"/>
    <w:rsid w:val="00B50351"/>
    <w:rsid w:val="00B508C0"/>
    <w:rsid w:val="00B50B00"/>
    <w:rsid w:val="00B50D7E"/>
    <w:rsid w:val="00B50D83"/>
    <w:rsid w:val="00B5127A"/>
    <w:rsid w:val="00B512E3"/>
    <w:rsid w:val="00B5176A"/>
    <w:rsid w:val="00B518EE"/>
    <w:rsid w:val="00B51AB5"/>
    <w:rsid w:val="00B52520"/>
    <w:rsid w:val="00B52684"/>
    <w:rsid w:val="00B5278A"/>
    <w:rsid w:val="00B5281D"/>
    <w:rsid w:val="00B528C6"/>
    <w:rsid w:val="00B52AAD"/>
    <w:rsid w:val="00B52B7D"/>
    <w:rsid w:val="00B52CA9"/>
    <w:rsid w:val="00B52D3D"/>
    <w:rsid w:val="00B53180"/>
    <w:rsid w:val="00B532D5"/>
    <w:rsid w:val="00B53539"/>
    <w:rsid w:val="00B536C5"/>
    <w:rsid w:val="00B53D35"/>
    <w:rsid w:val="00B53F0B"/>
    <w:rsid w:val="00B544FC"/>
    <w:rsid w:val="00B545B2"/>
    <w:rsid w:val="00B5486C"/>
    <w:rsid w:val="00B54B57"/>
    <w:rsid w:val="00B54C31"/>
    <w:rsid w:val="00B54D33"/>
    <w:rsid w:val="00B54E0A"/>
    <w:rsid w:val="00B54FE8"/>
    <w:rsid w:val="00B5505A"/>
    <w:rsid w:val="00B55190"/>
    <w:rsid w:val="00B5544E"/>
    <w:rsid w:val="00B554EA"/>
    <w:rsid w:val="00B558B1"/>
    <w:rsid w:val="00B558D0"/>
    <w:rsid w:val="00B55914"/>
    <w:rsid w:val="00B55964"/>
    <w:rsid w:val="00B559E3"/>
    <w:rsid w:val="00B55AE9"/>
    <w:rsid w:val="00B55B8E"/>
    <w:rsid w:val="00B55BED"/>
    <w:rsid w:val="00B560D4"/>
    <w:rsid w:val="00B56570"/>
    <w:rsid w:val="00B565E7"/>
    <w:rsid w:val="00B567A6"/>
    <w:rsid w:val="00B567D8"/>
    <w:rsid w:val="00B5689C"/>
    <w:rsid w:val="00B568DD"/>
    <w:rsid w:val="00B56AE4"/>
    <w:rsid w:val="00B56C02"/>
    <w:rsid w:val="00B56CBF"/>
    <w:rsid w:val="00B57089"/>
    <w:rsid w:val="00B57119"/>
    <w:rsid w:val="00B571FC"/>
    <w:rsid w:val="00B5731B"/>
    <w:rsid w:val="00B573DB"/>
    <w:rsid w:val="00B573F8"/>
    <w:rsid w:val="00B575D5"/>
    <w:rsid w:val="00B575D7"/>
    <w:rsid w:val="00B577A3"/>
    <w:rsid w:val="00B577B0"/>
    <w:rsid w:val="00B578F3"/>
    <w:rsid w:val="00B57917"/>
    <w:rsid w:val="00B579B4"/>
    <w:rsid w:val="00B57C8A"/>
    <w:rsid w:val="00B57E08"/>
    <w:rsid w:val="00B57E64"/>
    <w:rsid w:val="00B57F21"/>
    <w:rsid w:val="00B60170"/>
    <w:rsid w:val="00B602AC"/>
    <w:rsid w:val="00B60597"/>
    <w:rsid w:val="00B606EA"/>
    <w:rsid w:val="00B607D0"/>
    <w:rsid w:val="00B608E8"/>
    <w:rsid w:val="00B60DF7"/>
    <w:rsid w:val="00B60F95"/>
    <w:rsid w:val="00B61003"/>
    <w:rsid w:val="00B61163"/>
    <w:rsid w:val="00B6143D"/>
    <w:rsid w:val="00B6145D"/>
    <w:rsid w:val="00B61544"/>
    <w:rsid w:val="00B615A6"/>
    <w:rsid w:val="00B61641"/>
    <w:rsid w:val="00B61B14"/>
    <w:rsid w:val="00B61C08"/>
    <w:rsid w:val="00B61C14"/>
    <w:rsid w:val="00B61C40"/>
    <w:rsid w:val="00B61CE9"/>
    <w:rsid w:val="00B61CEA"/>
    <w:rsid w:val="00B61CEF"/>
    <w:rsid w:val="00B61CF5"/>
    <w:rsid w:val="00B61D7E"/>
    <w:rsid w:val="00B61F46"/>
    <w:rsid w:val="00B62336"/>
    <w:rsid w:val="00B6244E"/>
    <w:rsid w:val="00B62494"/>
    <w:rsid w:val="00B625A8"/>
    <w:rsid w:val="00B62626"/>
    <w:rsid w:val="00B6298F"/>
    <w:rsid w:val="00B62D14"/>
    <w:rsid w:val="00B62DA1"/>
    <w:rsid w:val="00B62E5B"/>
    <w:rsid w:val="00B62E89"/>
    <w:rsid w:val="00B6317A"/>
    <w:rsid w:val="00B635FE"/>
    <w:rsid w:val="00B636C7"/>
    <w:rsid w:val="00B6388B"/>
    <w:rsid w:val="00B63899"/>
    <w:rsid w:val="00B63BB6"/>
    <w:rsid w:val="00B63D99"/>
    <w:rsid w:val="00B63F05"/>
    <w:rsid w:val="00B63F25"/>
    <w:rsid w:val="00B64054"/>
    <w:rsid w:val="00B64093"/>
    <w:rsid w:val="00B6425B"/>
    <w:rsid w:val="00B64539"/>
    <w:rsid w:val="00B64541"/>
    <w:rsid w:val="00B645E1"/>
    <w:rsid w:val="00B64848"/>
    <w:rsid w:val="00B64C14"/>
    <w:rsid w:val="00B64C23"/>
    <w:rsid w:val="00B64FEB"/>
    <w:rsid w:val="00B65145"/>
    <w:rsid w:val="00B65342"/>
    <w:rsid w:val="00B65385"/>
    <w:rsid w:val="00B65533"/>
    <w:rsid w:val="00B657E2"/>
    <w:rsid w:val="00B659AA"/>
    <w:rsid w:val="00B65BE1"/>
    <w:rsid w:val="00B660C9"/>
    <w:rsid w:val="00B661C3"/>
    <w:rsid w:val="00B6629E"/>
    <w:rsid w:val="00B66624"/>
    <w:rsid w:val="00B6682D"/>
    <w:rsid w:val="00B668CF"/>
    <w:rsid w:val="00B66B3B"/>
    <w:rsid w:val="00B66B9D"/>
    <w:rsid w:val="00B66BEE"/>
    <w:rsid w:val="00B66C47"/>
    <w:rsid w:val="00B66D85"/>
    <w:rsid w:val="00B66E3E"/>
    <w:rsid w:val="00B670DB"/>
    <w:rsid w:val="00B671CA"/>
    <w:rsid w:val="00B67296"/>
    <w:rsid w:val="00B67772"/>
    <w:rsid w:val="00B677E7"/>
    <w:rsid w:val="00B6783A"/>
    <w:rsid w:val="00B67A7E"/>
    <w:rsid w:val="00B67AF8"/>
    <w:rsid w:val="00B67B6C"/>
    <w:rsid w:val="00B67C95"/>
    <w:rsid w:val="00B702B5"/>
    <w:rsid w:val="00B7034B"/>
    <w:rsid w:val="00B7092C"/>
    <w:rsid w:val="00B70932"/>
    <w:rsid w:val="00B70A3B"/>
    <w:rsid w:val="00B70A7F"/>
    <w:rsid w:val="00B70C3A"/>
    <w:rsid w:val="00B70CF4"/>
    <w:rsid w:val="00B7128A"/>
    <w:rsid w:val="00B715F4"/>
    <w:rsid w:val="00B71653"/>
    <w:rsid w:val="00B719D1"/>
    <w:rsid w:val="00B71D02"/>
    <w:rsid w:val="00B721EC"/>
    <w:rsid w:val="00B72575"/>
    <w:rsid w:val="00B728C8"/>
    <w:rsid w:val="00B72D50"/>
    <w:rsid w:val="00B72D5B"/>
    <w:rsid w:val="00B7308E"/>
    <w:rsid w:val="00B73097"/>
    <w:rsid w:val="00B73322"/>
    <w:rsid w:val="00B73474"/>
    <w:rsid w:val="00B735AF"/>
    <w:rsid w:val="00B737EB"/>
    <w:rsid w:val="00B73C25"/>
    <w:rsid w:val="00B73F06"/>
    <w:rsid w:val="00B7401A"/>
    <w:rsid w:val="00B7411A"/>
    <w:rsid w:val="00B7421A"/>
    <w:rsid w:val="00B742C9"/>
    <w:rsid w:val="00B7430C"/>
    <w:rsid w:val="00B7441C"/>
    <w:rsid w:val="00B744D3"/>
    <w:rsid w:val="00B7452D"/>
    <w:rsid w:val="00B74555"/>
    <w:rsid w:val="00B746D2"/>
    <w:rsid w:val="00B7473D"/>
    <w:rsid w:val="00B747C2"/>
    <w:rsid w:val="00B74A53"/>
    <w:rsid w:val="00B74C70"/>
    <w:rsid w:val="00B74E54"/>
    <w:rsid w:val="00B7522E"/>
    <w:rsid w:val="00B752A6"/>
    <w:rsid w:val="00B755D8"/>
    <w:rsid w:val="00B75773"/>
    <w:rsid w:val="00B7586D"/>
    <w:rsid w:val="00B75B4A"/>
    <w:rsid w:val="00B75B6A"/>
    <w:rsid w:val="00B75DD8"/>
    <w:rsid w:val="00B75E03"/>
    <w:rsid w:val="00B75F15"/>
    <w:rsid w:val="00B76021"/>
    <w:rsid w:val="00B763AC"/>
    <w:rsid w:val="00B763CA"/>
    <w:rsid w:val="00B76606"/>
    <w:rsid w:val="00B766BB"/>
    <w:rsid w:val="00B767C1"/>
    <w:rsid w:val="00B767F2"/>
    <w:rsid w:val="00B76B9F"/>
    <w:rsid w:val="00B76BA1"/>
    <w:rsid w:val="00B76C24"/>
    <w:rsid w:val="00B76C4A"/>
    <w:rsid w:val="00B76C60"/>
    <w:rsid w:val="00B76D82"/>
    <w:rsid w:val="00B76E54"/>
    <w:rsid w:val="00B76EDB"/>
    <w:rsid w:val="00B76FBA"/>
    <w:rsid w:val="00B77064"/>
    <w:rsid w:val="00B770A5"/>
    <w:rsid w:val="00B77348"/>
    <w:rsid w:val="00B77472"/>
    <w:rsid w:val="00B775A6"/>
    <w:rsid w:val="00B775C8"/>
    <w:rsid w:val="00B7774E"/>
    <w:rsid w:val="00B77B23"/>
    <w:rsid w:val="00B77D92"/>
    <w:rsid w:val="00B80018"/>
    <w:rsid w:val="00B800A4"/>
    <w:rsid w:val="00B802E4"/>
    <w:rsid w:val="00B8078F"/>
    <w:rsid w:val="00B80817"/>
    <w:rsid w:val="00B8083E"/>
    <w:rsid w:val="00B809C3"/>
    <w:rsid w:val="00B80B86"/>
    <w:rsid w:val="00B80D7C"/>
    <w:rsid w:val="00B810A5"/>
    <w:rsid w:val="00B810C2"/>
    <w:rsid w:val="00B813EB"/>
    <w:rsid w:val="00B81460"/>
    <w:rsid w:val="00B81468"/>
    <w:rsid w:val="00B81479"/>
    <w:rsid w:val="00B814AA"/>
    <w:rsid w:val="00B81611"/>
    <w:rsid w:val="00B8176E"/>
    <w:rsid w:val="00B8198B"/>
    <w:rsid w:val="00B81BCD"/>
    <w:rsid w:val="00B81CCF"/>
    <w:rsid w:val="00B82192"/>
    <w:rsid w:val="00B8226A"/>
    <w:rsid w:val="00B8240E"/>
    <w:rsid w:val="00B8254D"/>
    <w:rsid w:val="00B82558"/>
    <w:rsid w:val="00B82BDA"/>
    <w:rsid w:val="00B82CAA"/>
    <w:rsid w:val="00B82EE0"/>
    <w:rsid w:val="00B82FB7"/>
    <w:rsid w:val="00B830FC"/>
    <w:rsid w:val="00B8333A"/>
    <w:rsid w:val="00B83766"/>
    <w:rsid w:val="00B83776"/>
    <w:rsid w:val="00B8379B"/>
    <w:rsid w:val="00B83B6D"/>
    <w:rsid w:val="00B83DD7"/>
    <w:rsid w:val="00B84030"/>
    <w:rsid w:val="00B840F4"/>
    <w:rsid w:val="00B842EB"/>
    <w:rsid w:val="00B84607"/>
    <w:rsid w:val="00B8488B"/>
    <w:rsid w:val="00B849F5"/>
    <w:rsid w:val="00B84D25"/>
    <w:rsid w:val="00B84D99"/>
    <w:rsid w:val="00B84EA5"/>
    <w:rsid w:val="00B84FB2"/>
    <w:rsid w:val="00B8504B"/>
    <w:rsid w:val="00B85478"/>
    <w:rsid w:val="00B85610"/>
    <w:rsid w:val="00B85672"/>
    <w:rsid w:val="00B85992"/>
    <w:rsid w:val="00B85BB5"/>
    <w:rsid w:val="00B85CEB"/>
    <w:rsid w:val="00B860EA"/>
    <w:rsid w:val="00B86109"/>
    <w:rsid w:val="00B8634B"/>
    <w:rsid w:val="00B86715"/>
    <w:rsid w:val="00B868C9"/>
    <w:rsid w:val="00B86A34"/>
    <w:rsid w:val="00B86B1D"/>
    <w:rsid w:val="00B86B5C"/>
    <w:rsid w:val="00B86C46"/>
    <w:rsid w:val="00B86E31"/>
    <w:rsid w:val="00B86F32"/>
    <w:rsid w:val="00B86F3A"/>
    <w:rsid w:val="00B86FD1"/>
    <w:rsid w:val="00B87074"/>
    <w:rsid w:val="00B871EE"/>
    <w:rsid w:val="00B87286"/>
    <w:rsid w:val="00B87517"/>
    <w:rsid w:val="00B87552"/>
    <w:rsid w:val="00B87731"/>
    <w:rsid w:val="00B878D8"/>
    <w:rsid w:val="00B879B1"/>
    <w:rsid w:val="00B87D09"/>
    <w:rsid w:val="00B87D1B"/>
    <w:rsid w:val="00B87E81"/>
    <w:rsid w:val="00B87E91"/>
    <w:rsid w:val="00B90324"/>
    <w:rsid w:val="00B904FA"/>
    <w:rsid w:val="00B907E5"/>
    <w:rsid w:val="00B90E64"/>
    <w:rsid w:val="00B9107A"/>
    <w:rsid w:val="00B91175"/>
    <w:rsid w:val="00B911E6"/>
    <w:rsid w:val="00B914FF"/>
    <w:rsid w:val="00B9197D"/>
    <w:rsid w:val="00B91A44"/>
    <w:rsid w:val="00B91B4D"/>
    <w:rsid w:val="00B91C50"/>
    <w:rsid w:val="00B91CD7"/>
    <w:rsid w:val="00B91D42"/>
    <w:rsid w:val="00B91E5B"/>
    <w:rsid w:val="00B92128"/>
    <w:rsid w:val="00B9227B"/>
    <w:rsid w:val="00B928D0"/>
    <w:rsid w:val="00B92A88"/>
    <w:rsid w:val="00B92B20"/>
    <w:rsid w:val="00B92B96"/>
    <w:rsid w:val="00B92BB8"/>
    <w:rsid w:val="00B92C6D"/>
    <w:rsid w:val="00B92C91"/>
    <w:rsid w:val="00B93026"/>
    <w:rsid w:val="00B935FD"/>
    <w:rsid w:val="00B937A5"/>
    <w:rsid w:val="00B9384C"/>
    <w:rsid w:val="00B93B01"/>
    <w:rsid w:val="00B93B21"/>
    <w:rsid w:val="00B93BDA"/>
    <w:rsid w:val="00B93DA7"/>
    <w:rsid w:val="00B93E80"/>
    <w:rsid w:val="00B93FE9"/>
    <w:rsid w:val="00B94080"/>
    <w:rsid w:val="00B942B9"/>
    <w:rsid w:val="00B94427"/>
    <w:rsid w:val="00B94691"/>
    <w:rsid w:val="00B947C7"/>
    <w:rsid w:val="00B94864"/>
    <w:rsid w:val="00B948FF"/>
    <w:rsid w:val="00B9491A"/>
    <w:rsid w:val="00B94B70"/>
    <w:rsid w:val="00B94DDC"/>
    <w:rsid w:val="00B94E31"/>
    <w:rsid w:val="00B9534B"/>
    <w:rsid w:val="00B9553A"/>
    <w:rsid w:val="00B955AD"/>
    <w:rsid w:val="00B95920"/>
    <w:rsid w:val="00B9597B"/>
    <w:rsid w:val="00B95E0C"/>
    <w:rsid w:val="00B95F5D"/>
    <w:rsid w:val="00B9607E"/>
    <w:rsid w:val="00B960D1"/>
    <w:rsid w:val="00B96198"/>
    <w:rsid w:val="00B96247"/>
    <w:rsid w:val="00B96255"/>
    <w:rsid w:val="00B96498"/>
    <w:rsid w:val="00B965B6"/>
    <w:rsid w:val="00B96720"/>
    <w:rsid w:val="00B9679B"/>
    <w:rsid w:val="00B9689E"/>
    <w:rsid w:val="00B96AE9"/>
    <w:rsid w:val="00B96BA6"/>
    <w:rsid w:val="00B96C56"/>
    <w:rsid w:val="00B96DAB"/>
    <w:rsid w:val="00B96EC3"/>
    <w:rsid w:val="00B96EDD"/>
    <w:rsid w:val="00B97451"/>
    <w:rsid w:val="00B97540"/>
    <w:rsid w:val="00B975DF"/>
    <w:rsid w:val="00B97C69"/>
    <w:rsid w:val="00B97D27"/>
    <w:rsid w:val="00B97E74"/>
    <w:rsid w:val="00BA000E"/>
    <w:rsid w:val="00BA0041"/>
    <w:rsid w:val="00BA0228"/>
    <w:rsid w:val="00BA02B9"/>
    <w:rsid w:val="00BA0324"/>
    <w:rsid w:val="00BA0371"/>
    <w:rsid w:val="00BA03F2"/>
    <w:rsid w:val="00BA0444"/>
    <w:rsid w:val="00BA0502"/>
    <w:rsid w:val="00BA0619"/>
    <w:rsid w:val="00BA07CD"/>
    <w:rsid w:val="00BA0EBE"/>
    <w:rsid w:val="00BA10CF"/>
    <w:rsid w:val="00BA13A6"/>
    <w:rsid w:val="00BA1479"/>
    <w:rsid w:val="00BA18B3"/>
    <w:rsid w:val="00BA1A5F"/>
    <w:rsid w:val="00BA1BF6"/>
    <w:rsid w:val="00BA1F67"/>
    <w:rsid w:val="00BA2469"/>
    <w:rsid w:val="00BA25A4"/>
    <w:rsid w:val="00BA25C0"/>
    <w:rsid w:val="00BA2638"/>
    <w:rsid w:val="00BA26C7"/>
    <w:rsid w:val="00BA2DFB"/>
    <w:rsid w:val="00BA3010"/>
    <w:rsid w:val="00BA3200"/>
    <w:rsid w:val="00BA33FC"/>
    <w:rsid w:val="00BA341B"/>
    <w:rsid w:val="00BA3441"/>
    <w:rsid w:val="00BA3538"/>
    <w:rsid w:val="00BA3640"/>
    <w:rsid w:val="00BA3832"/>
    <w:rsid w:val="00BA3A09"/>
    <w:rsid w:val="00BA3BB8"/>
    <w:rsid w:val="00BA3D6F"/>
    <w:rsid w:val="00BA3DB6"/>
    <w:rsid w:val="00BA3EA2"/>
    <w:rsid w:val="00BA4112"/>
    <w:rsid w:val="00BA43DC"/>
    <w:rsid w:val="00BA46A4"/>
    <w:rsid w:val="00BA490F"/>
    <w:rsid w:val="00BA4A5E"/>
    <w:rsid w:val="00BA4AFE"/>
    <w:rsid w:val="00BA4E0A"/>
    <w:rsid w:val="00BA4E6A"/>
    <w:rsid w:val="00BA5185"/>
    <w:rsid w:val="00BA5397"/>
    <w:rsid w:val="00BA5593"/>
    <w:rsid w:val="00BA56B9"/>
    <w:rsid w:val="00BA5710"/>
    <w:rsid w:val="00BA573C"/>
    <w:rsid w:val="00BA575E"/>
    <w:rsid w:val="00BA583A"/>
    <w:rsid w:val="00BA58B1"/>
    <w:rsid w:val="00BA5A8E"/>
    <w:rsid w:val="00BA5AA8"/>
    <w:rsid w:val="00BA5D82"/>
    <w:rsid w:val="00BA5FB6"/>
    <w:rsid w:val="00BA6003"/>
    <w:rsid w:val="00BA602E"/>
    <w:rsid w:val="00BA61BC"/>
    <w:rsid w:val="00BA621D"/>
    <w:rsid w:val="00BA6387"/>
    <w:rsid w:val="00BA6A95"/>
    <w:rsid w:val="00BA6CB2"/>
    <w:rsid w:val="00BA6F76"/>
    <w:rsid w:val="00BA729D"/>
    <w:rsid w:val="00BA75DC"/>
    <w:rsid w:val="00BA76A6"/>
    <w:rsid w:val="00BA778C"/>
    <w:rsid w:val="00BA78BA"/>
    <w:rsid w:val="00BA7E5A"/>
    <w:rsid w:val="00BA7F14"/>
    <w:rsid w:val="00BB016B"/>
    <w:rsid w:val="00BB01AA"/>
    <w:rsid w:val="00BB01B2"/>
    <w:rsid w:val="00BB01F3"/>
    <w:rsid w:val="00BB028A"/>
    <w:rsid w:val="00BB0616"/>
    <w:rsid w:val="00BB07E4"/>
    <w:rsid w:val="00BB0AD0"/>
    <w:rsid w:val="00BB0BAB"/>
    <w:rsid w:val="00BB100B"/>
    <w:rsid w:val="00BB1034"/>
    <w:rsid w:val="00BB111C"/>
    <w:rsid w:val="00BB1493"/>
    <w:rsid w:val="00BB1961"/>
    <w:rsid w:val="00BB1BBE"/>
    <w:rsid w:val="00BB1C51"/>
    <w:rsid w:val="00BB1D9A"/>
    <w:rsid w:val="00BB1FAF"/>
    <w:rsid w:val="00BB2003"/>
    <w:rsid w:val="00BB20D3"/>
    <w:rsid w:val="00BB212D"/>
    <w:rsid w:val="00BB228D"/>
    <w:rsid w:val="00BB22D5"/>
    <w:rsid w:val="00BB2854"/>
    <w:rsid w:val="00BB2AD6"/>
    <w:rsid w:val="00BB2B60"/>
    <w:rsid w:val="00BB2B97"/>
    <w:rsid w:val="00BB2C62"/>
    <w:rsid w:val="00BB2DAF"/>
    <w:rsid w:val="00BB3271"/>
    <w:rsid w:val="00BB3431"/>
    <w:rsid w:val="00BB3489"/>
    <w:rsid w:val="00BB34BA"/>
    <w:rsid w:val="00BB3796"/>
    <w:rsid w:val="00BB37C0"/>
    <w:rsid w:val="00BB3AB0"/>
    <w:rsid w:val="00BB3B17"/>
    <w:rsid w:val="00BB3FC2"/>
    <w:rsid w:val="00BB4060"/>
    <w:rsid w:val="00BB40B3"/>
    <w:rsid w:val="00BB40CC"/>
    <w:rsid w:val="00BB41E6"/>
    <w:rsid w:val="00BB436E"/>
    <w:rsid w:val="00BB4393"/>
    <w:rsid w:val="00BB4509"/>
    <w:rsid w:val="00BB4514"/>
    <w:rsid w:val="00BB46A5"/>
    <w:rsid w:val="00BB48A8"/>
    <w:rsid w:val="00BB48D9"/>
    <w:rsid w:val="00BB4910"/>
    <w:rsid w:val="00BB4A38"/>
    <w:rsid w:val="00BB4CF0"/>
    <w:rsid w:val="00BB4D64"/>
    <w:rsid w:val="00BB4FAD"/>
    <w:rsid w:val="00BB4FB0"/>
    <w:rsid w:val="00BB50C0"/>
    <w:rsid w:val="00BB5392"/>
    <w:rsid w:val="00BB546F"/>
    <w:rsid w:val="00BB5603"/>
    <w:rsid w:val="00BB5741"/>
    <w:rsid w:val="00BB5C0D"/>
    <w:rsid w:val="00BB5EA9"/>
    <w:rsid w:val="00BB5FAC"/>
    <w:rsid w:val="00BB6364"/>
    <w:rsid w:val="00BB645B"/>
    <w:rsid w:val="00BB6524"/>
    <w:rsid w:val="00BB6532"/>
    <w:rsid w:val="00BB6634"/>
    <w:rsid w:val="00BB67F8"/>
    <w:rsid w:val="00BB680C"/>
    <w:rsid w:val="00BB6AF0"/>
    <w:rsid w:val="00BB6C36"/>
    <w:rsid w:val="00BB6DB6"/>
    <w:rsid w:val="00BB6ED9"/>
    <w:rsid w:val="00BB6EDC"/>
    <w:rsid w:val="00BB6FC4"/>
    <w:rsid w:val="00BB7315"/>
    <w:rsid w:val="00BB74EE"/>
    <w:rsid w:val="00BB7596"/>
    <w:rsid w:val="00BB75CE"/>
    <w:rsid w:val="00BB789E"/>
    <w:rsid w:val="00BB7925"/>
    <w:rsid w:val="00BB7D50"/>
    <w:rsid w:val="00BB7DC5"/>
    <w:rsid w:val="00BC01E6"/>
    <w:rsid w:val="00BC024E"/>
    <w:rsid w:val="00BC03B6"/>
    <w:rsid w:val="00BC0634"/>
    <w:rsid w:val="00BC0890"/>
    <w:rsid w:val="00BC0A69"/>
    <w:rsid w:val="00BC0B3C"/>
    <w:rsid w:val="00BC0D51"/>
    <w:rsid w:val="00BC0EC2"/>
    <w:rsid w:val="00BC0F55"/>
    <w:rsid w:val="00BC0F96"/>
    <w:rsid w:val="00BC10FB"/>
    <w:rsid w:val="00BC117C"/>
    <w:rsid w:val="00BC172E"/>
    <w:rsid w:val="00BC174A"/>
    <w:rsid w:val="00BC1766"/>
    <w:rsid w:val="00BC183B"/>
    <w:rsid w:val="00BC1896"/>
    <w:rsid w:val="00BC1BE3"/>
    <w:rsid w:val="00BC1DC1"/>
    <w:rsid w:val="00BC1F1D"/>
    <w:rsid w:val="00BC1FD0"/>
    <w:rsid w:val="00BC21B2"/>
    <w:rsid w:val="00BC2428"/>
    <w:rsid w:val="00BC26A5"/>
    <w:rsid w:val="00BC28C4"/>
    <w:rsid w:val="00BC2968"/>
    <w:rsid w:val="00BC29B2"/>
    <w:rsid w:val="00BC29BB"/>
    <w:rsid w:val="00BC2DFF"/>
    <w:rsid w:val="00BC329A"/>
    <w:rsid w:val="00BC32D9"/>
    <w:rsid w:val="00BC33D4"/>
    <w:rsid w:val="00BC3463"/>
    <w:rsid w:val="00BC356F"/>
    <w:rsid w:val="00BC35E1"/>
    <w:rsid w:val="00BC37A6"/>
    <w:rsid w:val="00BC384B"/>
    <w:rsid w:val="00BC3A9C"/>
    <w:rsid w:val="00BC3AC4"/>
    <w:rsid w:val="00BC3B5E"/>
    <w:rsid w:val="00BC3B62"/>
    <w:rsid w:val="00BC3F2B"/>
    <w:rsid w:val="00BC3FAC"/>
    <w:rsid w:val="00BC40CE"/>
    <w:rsid w:val="00BC447A"/>
    <w:rsid w:val="00BC4519"/>
    <w:rsid w:val="00BC4730"/>
    <w:rsid w:val="00BC48C8"/>
    <w:rsid w:val="00BC492A"/>
    <w:rsid w:val="00BC4962"/>
    <w:rsid w:val="00BC4A96"/>
    <w:rsid w:val="00BC4D1D"/>
    <w:rsid w:val="00BC4DF8"/>
    <w:rsid w:val="00BC535E"/>
    <w:rsid w:val="00BC599D"/>
    <w:rsid w:val="00BC5A36"/>
    <w:rsid w:val="00BC5C88"/>
    <w:rsid w:val="00BC5C92"/>
    <w:rsid w:val="00BC6276"/>
    <w:rsid w:val="00BC6436"/>
    <w:rsid w:val="00BC679D"/>
    <w:rsid w:val="00BC6C66"/>
    <w:rsid w:val="00BC6CE6"/>
    <w:rsid w:val="00BC6E27"/>
    <w:rsid w:val="00BC708B"/>
    <w:rsid w:val="00BC70B0"/>
    <w:rsid w:val="00BC7157"/>
    <w:rsid w:val="00BC7216"/>
    <w:rsid w:val="00BC7274"/>
    <w:rsid w:val="00BC778C"/>
    <w:rsid w:val="00BC787B"/>
    <w:rsid w:val="00BC7AF8"/>
    <w:rsid w:val="00BC7BB5"/>
    <w:rsid w:val="00BC7BB9"/>
    <w:rsid w:val="00BC7BFF"/>
    <w:rsid w:val="00BC7DCB"/>
    <w:rsid w:val="00BC7E34"/>
    <w:rsid w:val="00BC7EDE"/>
    <w:rsid w:val="00BC7F3E"/>
    <w:rsid w:val="00BD06F7"/>
    <w:rsid w:val="00BD0827"/>
    <w:rsid w:val="00BD0BF9"/>
    <w:rsid w:val="00BD0CB5"/>
    <w:rsid w:val="00BD0D23"/>
    <w:rsid w:val="00BD0D76"/>
    <w:rsid w:val="00BD0E6F"/>
    <w:rsid w:val="00BD10C7"/>
    <w:rsid w:val="00BD11D4"/>
    <w:rsid w:val="00BD1591"/>
    <w:rsid w:val="00BD167F"/>
    <w:rsid w:val="00BD18CE"/>
    <w:rsid w:val="00BD1925"/>
    <w:rsid w:val="00BD1E2A"/>
    <w:rsid w:val="00BD1E7B"/>
    <w:rsid w:val="00BD2068"/>
    <w:rsid w:val="00BD2278"/>
    <w:rsid w:val="00BD2415"/>
    <w:rsid w:val="00BD2634"/>
    <w:rsid w:val="00BD2759"/>
    <w:rsid w:val="00BD2988"/>
    <w:rsid w:val="00BD2BCB"/>
    <w:rsid w:val="00BD2BDB"/>
    <w:rsid w:val="00BD2FF9"/>
    <w:rsid w:val="00BD3031"/>
    <w:rsid w:val="00BD30EA"/>
    <w:rsid w:val="00BD322E"/>
    <w:rsid w:val="00BD3265"/>
    <w:rsid w:val="00BD3765"/>
    <w:rsid w:val="00BD37A4"/>
    <w:rsid w:val="00BD37E2"/>
    <w:rsid w:val="00BD37EA"/>
    <w:rsid w:val="00BD388E"/>
    <w:rsid w:val="00BD3953"/>
    <w:rsid w:val="00BD3A0E"/>
    <w:rsid w:val="00BD3D8E"/>
    <w:rsid w:val="00BD3D9D"/>
    <w:rsid w:val="00BD3DBB"/>
    <w:rsid w:val="00BD3DC5"/>
    <w:rsid w:val="00BD3DD5"/>
    <w:rsid w:val="00BD3EE7"/>
    <w:rsid w:val="00BD4253"/>
    <w:rsid w:val="00BD46C0"/>
    <w:rsid w:val="00BD46D7"/>
    <w:rsid w:val="00BD4753"/>
    <w:rsid w:val="00BD4771"/>
    <w:rsid w:val="00BD4997"/>
    <w:rsid w:val="00BD4C3E"/>
    <w:rsid w:val="00BD4CB9"/>
    <w:rsid w:val="00BD4E52"/>
    <w:rsid w:val="00BD4F8B"/>
    <w:rsid w:val="00BD4FAB"/>
    <w:rsid w:val="00BD542F"/>
    <w:rsid w:val="00BD547F"/>
    <w:rsid w:val="00BD54BE"/>
    <w:rsid w:val="00BD5613"/>
    <w:rsid w:val="00BD5796"/>
    <w:rsid w:val="00BD5819"/>
    <w:rsid w:val="00BD5D68"/>
    <w:rsid w:val="00BD5DC1"/>
    <w:rsid w:val="00BD5E33"/>
    <w:rsid w:val="00BD5F2F"/>
    <w:rsid w:val="00BD6109"/>
    <w:rsid w:val="00BD661D"/>
    <w:rsid w:val="00BD666D"/>
    <w:rsid w:val="00BD66EA"/>
    <w:rsid w:val="00BD6A8F"/>
    <w:rsid w:val="00BD6D8C"/>
    <w:rsid w:val="00BD6DC6"/>
    <w:rsid w:val="00BD6F19"/>
    <w:rsid w:val="00BD6F52"/>
    <w:rsid w:val="00BD6F76"/>
    <w:rsid w:val="00BD7103"/>
    <w:rsid w:val="00BD7108"/>
    <w:rsid w:val="00BD716A"/>
    <w:rsid w:val="00BD7B43"/>
    <w:rsid w:val="00BD7BE1"/>
    <w:rsid w:val="00BD7D62"/>
    <w:rsid w:val="00BD7FA7"/>
    <w:rsid w:val="00BE004D"/>
    <w:rsid w:val="00BE00B0"/>
    <w:rsid w:val="00BE0418"/>
    <w:rsid w:val="00BE0696"/>
    <w:rsid w:val="00BE089A"/>
    <w:rsid w:val="00BE08EB"/>
    <w:rsid w:val="00BE0A3C"/>
    <w:rsid w:val="00BE0B95"/>
    <w:rsid w:val="00BE0D78"/>
    <w:rsid w:val="00BE1AAA"/>
    <w:rsid w:val="00BE1B86"/>
    <w:rsid w:val="00BE1E15"/>
    <w:rsid w:val="00BE1EB0"/>
    <w:rsid w:val="00BE21A6"/>
    <w:rsid w:val="00BE2276"/>
    <w:rsid w:val="00BE22DE"/>
    <w:rsid w:val="00BE22E6"/>
    <w:rsid w:val="00BE22F9"/>
    <w:rsid w:val="00BE23BC"/>
    <w:rsid w:val="00BE258A"/>
    <w:rsid w:val="00BE264D"/>
    <w:rsid w:val="00BE27DD"/>
    <w:rsid w:val="00BE27DF"/>
    <w:rsid w:val="00BE2C2A"/>
    <w:rsid w:val="00BE2D24"/>
    <w:rsid w:val="00BE2F69"/>
    <w:rsid w:val="00BE2F8F"/>
    <w:rsid w:val="00BE3043"/>
    <w:rsid w:val="00BE3478"/>
    <w:rsid w:val="00BE3489"/>
    <w:rsid w:val="00BE3679"/>
    <w:rsid w:val="00BE378C"/>
    <w:rsid w:val="00BE3939"/>
    <w:rsid w:val="00BE3A00"/>
    <w:rsid w:val="00BE3AC9"/>
    <w:rsid w:val="00BE3D67"/>
    <w:rsid w:val="00BE3EB9"/>
    <w:rsid w:val="00BE40FE"/>
    <w:rsid w:val="00BE4184"/>
    <w:rsid w:val="00BE427F"/>
    <w:rsid w:val="00BE43D2"/>
    <w:rsid w:val="00BE44F2"/>
    <w:rsid w:val="00BE4509"/>
    <w:rsid w:val="00BE4575"/>
    <w:rsid w:val="00BE46A5"/>
    <w:rsid w:val="00BE46A7"/>
    <w:rsid w:val="00BE47E2"/>
    <w:rsid w:val="00BE4C48"/>
    <w:rsid w:val="00BE4D27"/>
    <w:rsid w:val="00BE511F"/>
    <w:rsid w:val="00BE539E"/>
    <w:rsid w:val="00BE5532"/>
    <w:rsid w:val="00BE56C3"/>
    <w:rsid w:val="00BE5794"/>
    <w:rsid w:val="00BE5908"/>
    <w:rsid w:val="00BE59C5"/>
    <w:rsid w:val="00BE5AAB"/>
    <w:rsid w:val="00BE5BC6"/>
    <w:rsid w:val="00BE5D3B"/>
    <w:rsid w:val="00BE5E06"/>
    <w:rsid w:val="00BE5EB6"/>
    <w:rsid w:val="00BE5EBA"/>
    <w:rsid w:val="00BE5FC4"/>
    <w:rsid w:val="00BE6156"/>
    <w:rsid w:val="00BE6283"/>
    <w:rsid w:val="00BE63E6"/>
    <w:rsid w:val="00BE68E8"/>
    <w:rsid w:val="00BE6957"/>
    <w:rsid w:val="00BE69E1"/>
    <w:rsid w:val="00BE6B06"/>
    <w:rsid w:val="00BE6B68"/>
    <w:rsid w:val="00BE6DE6"/>
    <w:rsid w:val="00BE6E4C"/>
    <w:rsid w:val="00BE6ECA"/>
    <w:rsid w:val="00BE71C3"/>
    <w:rsid w:val="00BE71ED"/>
    <w:rsid w:val="00BE72ED"/>
    <w:rsid w:val="00BE76EE"/>
    <w:rsid w:val="00BE777B"/>
    <w:rsid w:val="00BE7884"/>
    <w:rsid w:val="00BE7A09"/>
    <w:rsid w:val="00BE7DDB"/>
    <w:rsid w:val="00BEDEF0"/>
    <w:rsid w:val="00BF00D1"/>
    <w:rsid w:val="00BF01BF"/>
    <w:rsid w:val="00BF0431"/>
    <w:rsid w:val="00BF05B9"/>
    <w:rsid w:val="00BF0772"/>
    <w:rsid w:val="00BF09F6"/>
    <w:rsid w:val="00BF0CE4"/>
    <w:rsid w:val="00BF0EB6"/>
    <w:rsid w:val="00BF180F"/>
    <w:rsid w:val="00BF19B4"/>
    <w:rsid w:val="00BF19CE"/>
    <w:rsid w:val="00BF19D5"/>
    <w:rsid w:val="00BF1C32"/>
    <w:rsid w:val="00BF1D47"/>
    <w:rsid w:val="00BF1DA4"/>
    <w:rsid w:val="00BF1ED7"/>
    <w:rsid w:val="00BF1ED8"/>
    <w:rsid w:val="00BF1F1A"/>
    <w:rsid w:val="00BF2023"/>
    <w:rsid w:val="00BF204F"/>
    <w:rsid w:val="00BF20DC"/>
    <w:rsid w:val="00BF2113"/>
    <w:rsid w:val="00BF2217"/>
    <w:rsid w:val="00BF22C8"/>
    <w:rsid w:val="00BF25DD"/>
    <w:rsid w:val="00BF283A"/>
    <w:rsid w:val="00BF2D59"/>
    <w:rsid w:val="00BF2F2C"/>
    <w:rsid w:val="00BF3057"/>
    <w:rsid w:val="00BF3343"/>
    <w:rsid w:val="00BF334A"/>
    <w:rsid w:val="00BF353B"/>
    <w:rsid w:val="00BF35BF"/>
    <w:rsid w:val="00BF376F"/>
    <w:rsid w:val="00BF3A1E"/>
    <w:rsid w:val="00BF3B16"/>
    <w:rsid w:val="00BF3DF1"/>
    <w:rsid w:val="00BF3EBD"/>
    <w:rsid w:val="00BF4370"/>
    <w:rsid w:val="00BF4475"/>
    <w:rsid w:val="00BF4558"/>
    <w:rsid w:val="00BF4589"/>
    <w:rsid w:val="00BF4804"/>
    <w:rsid w:val="00BF48BE"/>
    <w:rsid w:val="00BF49A2"/>
    <w:rsid w:val="00BF4A19"/>
    <w:rsid w:val="00BF4A6A"/>
    <w:rsid w:val="00BF4A9F"/>
    <w:rsid w:val="00BF4C19"/>
    <w:rsid w:val="00BF4C52"/>
    <w:rsid w:val="00BF4EB4"/>
    <w:rsid w:val="00BF4EFA"/>
    <w:rsid w:val="00BF5068"/>
    <w:rsid w:val="00BF5145"/>
    <w:rsid w:val="00BF53BB"/>
    <w:rsid w:val="00BF53DD"/>
    <w:rsid w:val="00BF543F"/>
    <w:rsid w:val="00BF57FC"/>
    <w:rsid w:val="00BF586B"/>
    <w:rsid w:val="00BF5A76"/>
    <w:rsid w:val="00BF5E25"/>
    <w:rsid w:val="00BF5E2D"/>
    <w:rsid w:val="00BF639A"/>
    <w:rsid w:val="00BF6531"/>
    <w:rsid w:val="00BF68B9"/>
    <w:rsid w:val="00BF6C10"/>
    <w:rsid w:val="00BF6C5B"/>
    <w:rsid w:val="00BF6F82"/>
    <w:rsid w:val="00BF7026"/>
    <w:rsid w:val="00BF7112"/>
    <w:rsid w:val="00BF74D7"/>
    <w:rsid w:val="00BF775E"/>
    <w:rsid w:val="00BF781A"/>
    <w:rsid w:val="00BF78B0"/>
    <w:rsid w:val="00BF794E"/>
    <w:rsid w:val="00BF7A64"/>
    <w:rsid w:val="00BF7F75"/>
    <w:rsid w:val="00C00184"/>
    <w:rsid w:val="00C001EE"/>
    <w:rsid w:val="00C00716"/>
    <w:rsid w:val="00C009A4"/>
    <w:rsid w:val="00C00BD9"/>
    <w:rsid w:val="00C00CBA"/>
    <w:rsid w:val="00C00D62"/>
    <w:rsid w:val="00C00DE6"/>
    <w:rsid w:val="00C00F93"/>
    <w:rsid w:val="00C0124E"/>
    <w:rsid w:val="00C012A4"/>
    <w:rsid w:val="00C0136A"/>
    <w:rsid w:val="00C0143B"/>
    <w:rsid w:val="00C0175F"/>
    <w:rsid w:val="00C01B68"/>
    <w:rsid w:val="00C01B9A"/>
    <w:rsid w:val="00C01CFB"/>
    <w:rsid w:val="00C01D2C"/>
    <w:rsid w:val="00C01F38"/>
    <w:rsid w:val="00C023BB"/>
    <w:rsid w:val="00C02427"/>
    <w:rsid w:val="00C02518"/>
    <w:rsid w:val="00C027B0"/>
    <w:rsid w:val="00C02810"/>
    <w:rsid w:val="00C029B3"/>
    <w:rsid w:val="00C02B10"/>
    <w:rsid w:val="00C02EC4"/>
    <w:rsid w:val="00C03009"/>
    <w:rsid w:val="00C0337B"/>
    <w:rsid w:val="00C03583"/>
    <w:rsid w:val="00C035D4"/>
    <w:rsid w:val="00C03667"/>
    <w:rsid w:val="00C03835"/>
    <w:rsid w:val="00C038BD"/>
    <w:rsid w:val="00C03AE7"/>
    <w:rsid w:val="00C03B17"/>
    <w:rsid w:val="00C03BCA"/>
    <w:rsid w:val="00C03C17"/>
    <w:rsid w:val="00C03D76"/>
    <w:rsid w:val="00C04010"/>
    <w:rsid w:val="00C04212"/>
    <w:rsid w:val="00C04486"/>
    <w:rsid w:val="00C04590"/>
    <w:rsid w:val="00C04858"/>
    <w:rsid w:val="00C048FF"/>
    <w:rsid w:val="00C0497E"/>
    <w:rsid w:val="00C049D9"/>
    <w:rsid w:val="00C049DB"/>
    <w:rsid w:val="00C04A38"/>
    <w:rsid w:val="00C04B63"/>
    <w:rsid w:val="00C04D2C"/>
    <w:rsid w:val="00C04F49"/>
    <w:rsid w:val="00C052ED"/>
    <w:rsid w:val="00C05391"/>
    <w:rsid w:val="00C05644"/>
    <w:rsid w:val="00C057D7"/>
    <w:rsid w:val="00C0597D"/>
    <w:rsid w:val="00C059EE"/>
    <w:rsid w:val="00C05FA8"/>
    <w:rsid w:val="00C05FF8"/>
    <w:rsid w:val="00C060EC"/>
    <w:rsid w:val="00C06165"/>
    <w:rsid w:val="00C061DF"/>
    <w:rsid w:val="00C06293"/>
    <w:rsid w:val="00C062EC"/>
    <w:rsid w:val="00C064C8"/>
    <w:rsid w:val="00C06517"/>
    <w:rsid w:val="00C06523"/>
    <w:rsid w:val="00C065DB"/>
    <w:rsid w:val="00C067F2"/>
    <w:rsid w:val="00C06BED"/>
    <w:rsid w:val="00C06CB8"/>
    <w:rsid w:val="00C06D4D"/>
    <w:rsid w:val="00C06DCE"/>
    <w:rsid w:val="00C06E23"/>
    <w:rsid w:val="00C06F46"/>
    <w:rsid w:val="00C070CC"/>
    <w:rsid w:val="00C0725E"/>
    <w:rsid w:val="00C07381"/>
    <w:rsid w:val="00C0760E"/>
    <w:rsid w:val="00C07802"/>
    <w:rsid w:val="00C07CE9"/>
    <w:rsid w:val="00C07D14"/>
    <w:rsid w:val="00C07D92"/>
    <w:rsid w:val="00C07E54"/>
    <w:rsid w:val="00C07E9B"/>
    <w:rsid w:val="00C10028"/>
    <w:rsid w:val="00C1007A"/>
    <w:rsid w:val="00C100E2"/>
    <w:rsid w:val="00C1069B"/>
    <w:rsid w:val="00C106BD"/>
    <w:rsid w:val="00C10837"/>
    <w:rsid w:val="00C10A30"/>
    <w:rsid w:val="00C10D57"/>
    <w:rsid w:val="00C10D5B"/>
    <w:rsid w:val="00C10D8D"/>
    <w:rsid w:val="00C10D96"/>
    <w:rsid w:val="00C10FD2"/>
    <w:rsid w:val="00C112BF"/>
    <w:rsid w:val="00C1140D"/>
    <w:rsid w:val="00C1144B"/>
    <w:rsid w:val="00C11627"/>
    <w:rsid w:val="00C1164A"/>
    <w:rsid w:val="00C11655"/>
    <w:rsid w:val="00C11811"/>
    <w:rsid w:val="00C1193E"/>
    <w:rsid w:val="00C11B21"/>
    <w:rsid w:val="00C122A8"/>
    <w:rsid w:val="00C12477"/>
    <w:rsid w:val="00C124D9"/>
    <w:rsid w:val="00C127FF"/>
    <w:rsid w:val="00C12ACB"/>
    <w:rsid w:val="00C12B7F"/>
    <w:rsid w:val="00C12D28"/>
    <w:rsid w:val="00C13085"/>
    <w:rsid w:val="00C131A1"/>
    <w:rsid w:val="00C13597"/>
    <w:rsid w:val="00C135AF"/>
    <w:rsid w:val="00C13677"/>
    <w:rsid w:val="00C13719"/>
    <w:rsid w:val="00C13822"/>
    <w:rsid w:val="00C13D2A"/>
    <w:rsid w:val="00C13E53"/>
    <w:rsid w:val="00C13FDE"/>
    <w:rsid w:val="00C1423E"/>
    <w:rsid w:val="00C1436F"/>
    <w:rsid w:val="00C143CD"/>
    <w:rsid w:val="00C14479"/>
    <w:rsid w:val="00C14A33"/>
    <w:rsid w:val="00C14E86"/>
    <w:rsid w:val="00C14F7B"/>
    <w:rsid w:val="00C150CA"/>
    <w:rsid w:val="00C15184"/>
    <w:rsid w:val="00C152FF"/>
    <w:rsid w:val="00C15518"/>
    <w:rsid w:val="00C15552"/>
    <w:rsid w:val="00C15630"/>
    <w:rsid w:val="00C15695"/>
    <w:rsid w:val="00C1569C"/>
    <w:rsid w:val="00C157C3"/>
    <w:rsid w:val="00C15E80"/>
    <w:rsid w:val="00C1606C"/>
    <w:rsid w:val="00C160B1"/>
    <w:rsid w:val="00C1621C"/>
    <w:rsid w:val="00C16686"/>
    <w:rsid w:val="00C16712"/>
    <w:rsid w:val="00C16AA0"/>
    <w:rsid w:val="00C16C5E"/>
    <w:rsid w:val="00C16C6F"/>
    <w:rsid w:val="00C16F1A"/>
    <w:rsid w:val="00C171CD"/>
    <w:rsid w:val="00C172CE"/>
    <w:rsid w:val="00C1732B"/>
    <w:rsid w:val="00C173DC"/>
    <w:rsid w:val="00C17463"/>
    <w:rsid w:val="00C1748A"/>
    <w:rsid w:val="00C177AE"/>
    <w:rsid w:val="00C178E1"/>
    <w:rsid w:val="00C1798C"/>
    <w:rsid w:val="00C179CB"/>
    <w:rsid w:val="00C17B73"/>
    <w:rsid w:val="00C17BF1"/>
    <w:rsid w:val="00C17F29"/>
    <w:rsid w:val="00C17FDF"/>
    <w:rsid w:val="00C17FE5"/>
    <w:rsid w:val="00C201CE"/>
    <w:rsid w:val="00C20210"/>
    <w:rsid w:val="00C204C3"/>
    <w:rsid w:val="00C2073B"/>
    <w:rsid w:val="00C2097C"/>
    <w:rsid w:val="00C20B40"/>
    <w:rsid w:val="00C20B7A"/>
    <w:rsid w:val="00C20CA6"/>
    <w:rsid w:val="00C20CDD"/>
    <w:rsid w:val="00C20D8E"/>
    <w:rsid w:val="00C20DF5"/>
    <w:rsid w:val="00C20F62"/>
    <w:rsid w:val="00C210A4"/>
    <w:rsid w:val="00C21154"/>
    <w:rsid w:val="00C21298"/>
    <w:rsid w:val="00C212BB"/>
    <w:rsid w:val="00C21345"/>
    <w:rsid w:val="00C213C0"/>
    <w:rsid w:val="00C214CC"/>
    <w:rsid w:val="00C214E5"/>
    <w:rsid w:val="00C21567"/>
    <w:rsid w:val="00C21570"/>
    <w:rsid w:val="00C21584"/>
    <w:rsid w:val="00C21673"/>
    <w:rsid w:val="00C21699"/>
    <w:rsid w:val="00C217B2"/>
    <w:rsid w:val="00C21B0E"/>
    <w:rsid w:val="00C21F5E"/>
    <w:rsid w:val="00C2224F"/>
    <w:rsid w:val="00C225B5"/>
    <w:rsid w:val="00C22861"/>
    <w:rsid w:val="00C2292E"/>
    <w:rsid w:val="00C22CAF"/>
    <w:rsid w:val="00C22DD2"/>
    <w:rsid w:val="00C22EB8"/>
    <w:rsid w:val="00C22F68"/>
    <w:rsid w:val="00C230F5"/>
    <w:rsid w:val="00C23774"/>
    <w:rsid w:val="00C23DB8"/>
    <w:rsid w:val="00C23E89"/>
    <w:rsid w:val="00C23FCB"/>
    <w:rsid w:val="00C24081"/>
    <w:rsid w:val="00C24521"/>
    <w:rsid w:val="00C2476A"/>
    <w:rsid w:val="00C247AF"/>
    <w:rsid w:val="00C24913"/>
    <w:rsid w:val="00C24A23"/>
    <w:rsid w:val="00C24ABF"/>
    <w:rsid w:val="00C24AD0"/>
    <w:rsid w:val="00C24B55"/>
    <w:rsid w:val="00C24C25"/>
    <w:rsid w:val="00C24E2A"/>
    <w:rsid w:val="00C24F84"/>
    <w:rsid w:val="00C25028"/>
    <w:rsid w:val="00C2516B"/>
    <w:rsid w:val="00C251CC"/>
    <w:rsid w:val="00C251FC"/>
    <w:rsid w:val="00C2520D"/>
    <w:rsid w:val="00C25296"/>
    <w:rsid w:val="00C2536D"/>
    <w:rsid w:val="00C256E8"/>
    <w:rsid w:val="00C25993"/>
    <w:rsid w:val="00C25CDE"/>
    <w:rsid w:val="00C25E44"/>
    <w:rsid w:val="00C25EB8"/>
    <w:rsid w:val="00C25FD4"/>
    <w:rsid w:val="00C26085"/>
    <w:rsid w:val="00C260E8"/>
    <w:rsid w:val="00C26315"/>
    <w:rsid w:val="00C26329"/>
    <w:rsid w:val="00C26520"/>
    <w:rsid w:val="00C26551"/>
    <w:rsid w:val="00C26628"/>
    <w:rsid w:val="00C2674B"/>
    <w:rsid w:val="00C26ADB"/>
    <w:rsid w:val="00C26B65"/>
    <w:rsid w:val="00C26C79"/>
    <w:rsid w:val="00C26D03"/>
    <w:rsid w:val="00C26D0A"/>
    <w:rsid w:val="00C26E3B"/>
    <w:rsid w:val="00C26F3B"/>
    <w:rsid w:val="00C271AF"/>
    <w:rsid w:val="00C273CE"/>
    <w:rsid w:val="00C275B8"/>
    <w:rsid w:val="00C27696"/>
    <w:rsid w:val="00C278A9"/>
    <w:rsid w:val="00C2792D"/>
    <w:rsid w:val="00C27A20"/>
    <w:rsid w:val="00C27D65"/>
    <w:rsid w:val="00C27EF0"/>
    <w:rsid w:val="00C30157"/>
    <w:rsid w:val="00C30856"/>
    <w:rsid w:val="00C30A05"/>
    <w:rsid w:val="00C30BB7"/>
    <w:rsid w:val="00C30C63"/>
    <w:rsid w:val="00C30E5C"/>
    <w:rsid w:val="00C30F67"/>
    <w:rsid w:val="00C3130C"/>
    <w:rsid w:val="00C31388"/>
    <w:rsid w:val="00C31554"/>
    <w:rsid w:val="00C31558"/>
    <w:rsid w:val="00C316A1"/>
    <w:rsid w:val="00C31765"/>
    <w:rsid w:val="00C31818"/>
    <w:rsid w:val="00C31853"/>
    <w:rsid w:val="00C31933"/>
    <w:rsid w:val="00C31A12"/>
    <w:rsid w:val="00C31B19"/>
    <w:rsid w:val="00C31C84"/>
    <w:rsid w:val="00C31D2F"/>
    <w:rsid w:val="00C31FAE"/>
    <w:rsid w:val="00C3217D"/>
    <w:rsid w:val="00C32612"/>
    <w:rsid w:val="00C32691"/>
    <w:rsid w:val="00C327CB"/>
    <w:rsid w:val="00C32871"/>
    <w:rsid w:val="00C32A25"/>
    <w:rsid w:val="00C32A27"/>
    <w:rsid w:val="00C32A63"/>
    <w:rsid w:val="00C32C61"/>
    <w:rsid w:val="00C32E78"/>
    <w:rsid w:val="00C32EB7"/>
    <w:rsid w:val="00C331A5"/>
    <w:rsid w:val="00C33219"/>
    <w:rsid w:val="00C334CE"/>
    <w:rsid w:val="00C3364A"/>
    <w:rsid w:val="00C3387E"/>
    <w:rsid w:val="00C33D05"/>
    <w:rsid w:val="00C341C3"/>
    <w:rsid w:val="00C342F6"/>
    <w:rsid w:val="00C3436A"/>
    <w:rsid w:val="00C3440A"/>
    <w:rsid w:val="00C34463"/>
    <w:rsid w:val="00C345FB"/>
    <w:rsid w:val="00C34781"/>
    <w:rsid w:val="00C347CA"/>
    <w:rsid w:val="00C34823"/>
    <w:rsid w:val="00C348E2"/>
    <w:rsid w:val="00C34914"/>
    <w:rsid w:val="00C34989"/>
    <w:rsid w:val="00C34A03"/>
    <w:rsid w:val="00C34A0D"/>
    <w:rsid w:val="00C34F4A"/>
    <w:rsid w:val="00C350C6"/>
    <w:rsid w:val="00C3518D"/>
    <w:rsid w:val="00C35376"/>
    <w:rsid w:val="00C354B1"/>
    <w:rsid w:val="00C35510"/>
    <w:rsid w:val="00C35574"/>
    <w:rsid w:val="00C35613"/>
    <w:rsid w:val="00C356F3"/>
    <w:rsid w:val="00C35865"/>
    <w:rsid w:val="00C35A88"/>
    <w:rsid w:val="00C35B13"/>
    <w:rsid w:val="00C361D6"/>
    <w:rsid w:val="00C362FD"/>
    <w:rsid w:val="00C3638D"/>
    <w:rsid w:val="00C36477"/>
    <w:rsid w:val="00C36611"/>
    <w:rsid w:val="00C3681E"/>
    <w:rsid w:val="00C3683E"/>
    <w:rsid w:val="00C3688D"/>
    <w:rsid w:val="00C368D7"/>
    <w:rsid w:val="00C36C35"/>
    <w:rsid w:val="00C36EB1"/>
    <w:rsid w:val="00C36F0E"/>
    <w:rsid w:val="00C37034"/>
    <w:rsid w:val="00C371D2"/>
    <w:rsid w:val="00C372F6"/>
    <w:rsid w:val="00C37633"/>
    <w:rsid w:val="00C376B0"/>
    <w:rsid w:val="00C376E6"/>
    <w:rsid w:val="00C37AFC"/>
    <w:rsid w:val="00C37B13"/>
    <w:rsid w:val="00C37E68"/>
    <w:rsid w:val="00C37EB1"/>
    <w:rsid w:val="00C37EE6"/>
    <w:rsid w:val="00C37EEF"/>
    <w:rsid w:val="00C37F0C"/>
    <w:rsid w:val="00C40664"/>
    <w:rsid w:val="00C40B6E"/>
    <w:rsid w:val="00C40EDA"/>
    <w:rsid w:val="00C41065"/>
    <w:rsid w:val="00C41443"/>
    <w:rsid w:val="00C4153F"/>
    <w:rsid w:val="00C4154E"/>
    <w:rsid w:val="00C415CE"/>
    <w:rsid w:val="00C41690"/>
    <w:rsid w:val="00C417C9"/>
    <w:rsid w:val="00C41C43"/>
    <w:rsid w:val="00C41CB2"/>
    <w:rsid w:val="00C41D29"/>
    <w:rsid w:val="00C41D33"/>
    <w:rsid w:val="00C41DEF"/>
    <w:rsid w:val="00C4239D"/>
    <w:rsid w:val="00C426C2"/>
    <w:rsid w:val="00C426D7"/>
    <w:rsid w:val="00C4271C"/>
    <w:rsid w:val="00C427B8"/>
    <w:rsid w:val="00C42855"/>
    <w:rsid w:val="00C42938"/>
    <w:rsid w:val="00C42A28"/>
    <w:rsid w:val="00C42AF1"/>
    <w:rsid w:val="00C42C1D"/>
    <w:rsid w:val="00C42F27"/>
    <w:rsid w:val="00C431D8"/>
    <w:rsid w:val="00C4322C"/>
    <w:rsid w:val="00C43530"/>
    <w:rsid w:val="00C43607"/>
    <w:rsid w:val="00C4366C"/>
    <w:rsid w:val="00C436EC"/>
    <w:rsid w:val="00C437AC"/>
    <w:rsid w:val="00C43B82"/>
    <w:rsid w:val="00C43C4B"/>
    <w:rsid w:val="00C43C71"/>
    <w:rsid w:val="00C43F61"/>
    <w:rsid w:val="00C43FA2"/>
    <w:rsid w:val="00C440C3"/>
    <w:rsid w:val="00C440EA"/>
    <w:rsid w:val="00C44214"/>
    <w:rsid w:val="00C44576"/>
    <w:rsid w:val="00C44677"/>
    <w:rsid w:val="00C4474E"/>
    <w:rsid w:val="00C44794"/>
    <w:rsid w:val="00C44D30"/>
    <w:rsid w:val="00C451BB"/>
    <w:rsid w:val="00C453A7"/>
    <w:rsid w:val="00C45465"/>
    <w:rsid w:val="00C457F1"/>
    <w:rsid w:val="00C45816"/>
    <w:rsid w:val="00C458A9"/>
    <w:rsid w:val="00C458F7"/>
    <w:rsid w:val="00C45901"/>
    <w:rsid w:val="00C4591C"/>
    <w:rsid w:val="00C459A0"/>
    <w:rsid w:val="00C46006"/>
    <w:rsid w:val="00C46042"/>
    <w:rsid w:val="00C4638D"/>
    <w:rsid w:val="00C466F8"/>
    <w:rsid w:val="00C469E6"/>
    <w:rsid w:val="00C46E14"/>
    <w:rsid w:val="00C46F7D"/>
    <w:rsid w:val="00C47038"/>
    <w:rsid w:val="00C4722A"/>
    <w:rsid w:val="00C4735C"/>
    <w:rsid w:val="00C4738F"/>
    <w:rsid w:val="00C473F0"/>
    <w:rsid w:val="00C477FB"/>
    <w:rsid w:val="00C479B6"/>
    <w:rsid w:val="00C47AEC"/>
    <w:rsid w:val="00C47C7B"/>
    <w:rsid w:val="00C47C89"/>
    <w:rsid w:val="00C47CF4"/>
    <w:rsid w:val="00C47E6E"/>
    <w:rsid w:val="00C5006B"/>
    <w:rsid w:val="00C5009C"/>
    <w:rsid w:val="00C501A1"/>
    <w:rsid w:val="00C5064E"/>
    <w:rsid w:val="00C507B6"/>
    <w:rsid w:val="00C50B29"/>
    <w:rsid w:val="00C50C60"/>
    <w:rsid w:val="00C50FC0"/>
    <w:rsid w:val="00C510A9"/>
    <w:rsid w:val="00C513D4"/>
    <w:rsid w:val="00C51A56"/>
    <w:rsid w:val="00C51A9A"/>
    <w:rsid w:val="00C51B1A"/>
    <w:rsid w:val="00C51C27"/>
    <w:rsid w:val="00C51CD3"/>
    <w:rsid w:val="00C51CD7"/>
    <w:rsid w:val="00C51D46"/>
    <w:rsid w:val="00C52220"/>
    <w:rsid w:val="00C52510"/>
    <w:rsid w:val="00C5261E"/>
    <w:rsid w:val="00C52647"/>
    <w:rsid w:val="00C52B40"/>
    <w:rsid w:val="00C52B9A"/>
    <w:rsid w:val="00C52D61"/>
    <w:rsid w:val="00C52F5E"/>
    <w:rsid w:val="00C53138"/>
    <w:rsid w:val="00C53400"/>
    <w:rsid w:val="00C53404"/>
    <w:rsid w:val="00C536A5"/>
    <w:rsid w:val="00C53784"/>
    <w:rsid w:val="00C53800"/>
    <w:rsid w:val="00C538D1"/>
    <w:rsid w:val="00C5397C"/>
    <w:rsid w:val="00C53A3B"/>
    <w:rsid w:val="00C53ACE"/>
    <w:rsid w:val="00C53D85"/>
    <w:rsid w:val="00C53F66"/>
    <w:rsid w:val="00C53F81"/>
    <w:rsid w:val="00C540C2"/>
    <w:rsid w:val="00C540DF"/>
    <w:rsid w:val="00C54109"/>
    <w:rsid w:val="00C54464"/>
    <w:rsid w:val="00C5455C"/>
    <w:rsid w:val="00C54AB8"/>
    <w:rsid w:val="00C54B3B"/>
    <w:rsid w:val="00C54B4D"/>
    <w:rsid w:val="00C54C49"/>
    <w:rsid w:val="00C54C76"/>
    <w:rsid w:val="00C54DEA"/>
    <w:rsid w:val="00C5507F"/>
    <w:rsid w:val="00C55211"/>
    <w:rsid w:val="00C552F3"/>
    <w:rsid w:val="00C55375"/>
    <w:rsid w:val="00C554D4"/>
    <w:rsid w:val="00C557D1"/>
    <w:rsid w:val="00C5598C"/>
    <w:rsid w:val="00C55B01"/>
    <w:rsid w:val="00C55BBC"/>
    <w:rsid w:val="00C5618C"/>
    <w:rsid w:val="00C561E1"/>
    <w:rsid w:val="00C56257"/>
    <w:rsid w:val="00C56272"/>
    <w:rsid w:val="00C56276"/>
    <w:rsid w:val="00C562ED"/>
    <w:rsid w:val="00C56530"/>
    <w:rsid w:val="00C56574"/>
    <w:rsid w:val="00C56648"/>
    <w:rsid w:val="00C566E0"/>
    <w:rsid w:val="00C56CAA"/>
    <w:rsid w:val="00C56E12"/>
    <w:rsid w:val="00C56EA7"/>
    <w:rsid w:val="00C56EEA"/>
    <w:rsid w:val="00C573AA"/>
    <w:rsid w:val="00C57767"/>
    <w:rsid w:val="00C57865"/>
    <w:rsid w:val="00C57A98"/>
    <w:rsid w:val="00C57AE1"/>
    <w:rsid w:val="00C57BAC"/>
    <w:rsid w:val="00C57E5F"/>
    <w:rsid w:val="00C57FF8"/>
    <w:rsid w:val="00C60036"/>
    <w:rsid w:val="00C600E6"/>
    <w:rsid w:val="00C601EF"/>
    <w:rsid w:val="00C6038E"/>
    <w:rsid w:val="00C6054D"/>
    <w:rsid w:val="00C60740"/>
    <w:rsid w:val="00C6074C"/>
    <w:rsid w:val="00C607D1"/>
    <w:rsid w:val="00C60A49"/>
    <w:rsid w:val="00C60AD0"/>
    <w:rsid w:val="00C60C70"/>
    <w:rsid w:val="00C60DBB"/>
    <w:rsid w:val="00C610F9"/>
    <w:rsid w:val="00C6129A"/>
    <w:rsid w:val="00C61684"/>
    <w:rsid w:val="00C6177B"/>
    <w:rsid w:val="00C61BFA"/>
    <w:rsid w:val="00C61DC6"/>
    <w:rsid w:val="00C61EA9"/>
    <w:rsid w:val="00C6205F"/>
    <w:rsid w:val="00C62152"/>
    <w:rsid w:val="00C62212"/>
    <w:rsid w:val="00C623E5"/>
    <w:rsid w:val="00C624FF"/>
    <w:rsid w:val="00C62A46"/>
    <w:rsid w:val="00C62B86"/>
    <w:rsid w:val="00C62D79"/>
    <w:rsid w:val="00C62E97"/>
    <w:rsid w:val="00C62FA3"/>
    <w:rsid w:val="00C62FB6"/>
    <w:rsid w:val="00C631A2"/>
    <w:rsid w:val="00C6321E"/>
    <w:rsid w:val="00C632E8"/>
    <w:rsid w:val="00C638A5"/>
    <w:rsid w:val="00C63EB6"/>
    <w:rsid w:val="00C640E7"/>
    <w:rsid w:val="00C64337"/>
    <w:rsid w:val="00C643E7"/>
    <w:rsid w:val="00C6452E"/>
    <w:rsid w:val="00C645B5"/>
    <w:rsid w:val="00C646F9"/>
    <w:rsid w:val="00C64734"/>
    <w:rsid w:val="00C647AA"/>
    <w:rsid w:val="00C64888"/>
    <w:rsid w:val="00C64A70"/>
    <w:rsid w:val="00C64AA4"/>
    <w:rsid w:val="00C64BC7"/>
    <w:rsid w:val="00C64BCA"/>
    <w:rsid w:val="00C64D57"/>
    <w:rsid w:val="00C64DA6"/>
    <w:rsid w:val="00C64F52"/>
    <w:rsid w:val="00C64F8E"/>
    <w:rsid w:val="00C65060"/>
    <w:rsid w:val="00C651BB"/>
    <w:rsid w:val="00C65293"/>
    <w:rsid w:val="00C652FC"/>
    <w:rsid w:val="00C656D8"/>
    <w:rsid w:val="00C656E2"/>
    <w:rsid w:val="00C65839"/>
    <w:rsid w:val="00C658AC"/>
    <w:rsid w:val="00C6590F"/>
    <w:rsid w:val="00C65D74"/>
    <w:rsid w:val="00C65F88"/>
    <w:rsid w:val="00C660AD"/>
    <w:rsid w:val="00C660F4"/>
    <w:rsid w:val="00C66234"/>
    <w:rsid w:val="00C6625F"/>
    <w:rsid w:val="00C662D7"/>
    <w:rsid w:val="00C665EA"/>
    <w:rsid w:val="00C66662"/>
    <w:rsid w:val="00C66801"/>
    <w:rsid w:val="00C6681C"/>
    <w:rsid w:val="00C66A88"/>
    <w:rsid w:val="00C66B65"/>
    <w:rsid w:val="00C66E0F"/>
    <w:rsid w:val="00C66F05"/>
    <w:rsid w:val="00C674D9"/>
    <w:rsid w:val="00C67876"/>
    <w:rsid w:val="00C678DD"/>
    <w:rsid w:val="00C67AA3"/>
    <w:rsid w:val="00C67AE5"/>
    <w:rsid w:val="00C67C13"/>
    <w:rsid w:val="00C67F49"/>
    <w:rsid w:val="00C67FE8"/>
    <w:rsid w:val="00C70321"/>
    <w:rsid w:val="00C70A0F"/>
    <w:rsid w:val="00C70B1F"/>
    <w:rsid w:val="00C70BAF"/>
    <w:rsid w:val="00C70BDE"/>
    <w:rsid w:val="00C70C47"/>
    <w:rsid w:val="00C70DC9"/>
    <w:rsid w:val="00C71202"/>
    <w:rsid w:val="00C71209"/>
    <w:rsid w:val="00C719AD"/>
    <w:rsid w:val="00C71DB4"/>
    <w:rsid w:val="00C71E3C"/>
    <w:rsid w:val="00C7221E"/>
    <w:rsid w:val="00C728AD"/>
    <w:rsid w:val="00C72A14"/>
    <w:rsid w:val="00C72D53"/>
    <w:rsid w:val="00C73007"/>
    <w:rsid w:val="00C732B9"/>
    <w:rsid w:val="00C73404"/>
    <w:rsid w:val="00C7345B"/>
    <w:rsid w:val="00C73A6E"/>
    <w:rsid w:val="00C73DB4"/>
    <w:rsid w:val="00C73EF1"/>
    <w:rsid w:val="00C73F58"/>
    <w:rsid w:val="00C74197"/>
    <w:rsid w:val="00C742DC"/>
    <w:rsid w:val="00C74595"/>
    <w:rsid w:val="00C74603"/>
    <w:rsid w:val="00C746D8"/>
    <w:rsid w:val="00C747AA"/>
    <w:rsid w:val="00C74FC0"/>
    <w:rsid w:val="00C750FD"/>
    <w:rsid w:val="00C751B2"/>
    <w:rsid w:val="00C752C5"/>
    <w:rsid w:val="00C754AE"/>
    <w:rsid w:val="00C75577"/>
    <w:rsid w:val="00C75637"/>
    <w:rsid w:val="00C75900"/>
    <w:rsid w:val="00C75926"/>
    <w:rsid w:val="00C75B1B"/>
    <w:rsid w:val="00C75CBA"/>
    <w:rsid w:val="00C75CFD"/>
    <w:rsid w:val="00C75DB4"/>
    <w:rsid w:val="00C76116"/>
    <w:rsid w:val="00C76267"/>
    <w:rsid w:val="00C762BD"/>
    <w:rsid w:val="00C764C4"/>
    <w:rsid w:val="00C766BD"/>
    <w:rsid w:val="00C7683C"/>
    <w:rsid w:val="00C76904"/>
    <w:rsid w:val="00C7694D"/>
    <w:rsid w:val="00C76C1E"/>
    <w:rsid w:val="00C7702C"/>
    <w:rsid w:val="00C7708B"/>
    <w:rsid w:val="00C77236"/>
    <w:rsid w:val="00C772DE"/>
    <w:rsid w:val="00C772ED"/>
    <w:rsid w:val="00C773D9"/>
    <w:rsid w:val="00C774DC"/>
    <w:rsid w:val="00C77510"/>
    <w:rsid w:val="00C7774D"/>
    <w:rsid w:val="00C77D5A"/>
    <w:rsid w:val="00C77E30"/>
    <w:rsid w:val="00C77E59"/>
    <w:rsid w:val="00C77F50"/>
    <w:rsid w:val="00C80163"/>
    <w:rsid w:val="00C80178"/>
    <w:rsid w:val="00C8026C"/>
    <w:rsid w:val="00C8030D"/>
    <w:rsid w:val="00C8055C"/>
    <w:rsid w:val="00C8058F"/>
    <w:rsid w:val="00C80631"/>
    <w:rsid w:val="00C8077C"/>
    <w:rsid w:val="00C80798"/>
    <w:rsid w:val="00C8095E"/>
    <w:rsid w:val="00C809F5"/>
    <w:rsid w:val="00C80B8C"/>
    <w:rsid w:val="00C80BD6"/>
    <w:rsid w:val="00C80C07"/>
    <w:rsid w:val="00C810DA"/>
    <w:rsid w:val="00C8117A"/>
    <w:rsid w:val="00C811AB"/>
    <w:rsid w:val="00C8131E"/>
    <w:rsid w:val="00C81465"/>
    <w:rsid w:val="00C81474"/>
    <w:rsid w:val="00C814C2"/>
    <w:rsid w:val="00C814E9"/>
    <w:rsid w:val="00C81569"/>
    <w:rsid w:val="00C81620"/>
    <w:rsid w:val="00C816C9"/>
    <w:rsid w:val="00C81935"/>
    <w:rsid w:val="00C81942"/>
    <w:rsid w:val="00C819F5"/>
    <w:rsid w:val="00C81A6E"/>
    <w:rsid w:val="00C81B37"/>
    <w:rsid w:val="00C81DC1"/>
    <w:rsid w:val="00C81DCB"/>
    <w:rsid w:val="00C81FC1"/>
    <w:rsid w:val="00C8206A"/>
    <w:rsid w:val="00C820AE"/>
    <w:rsid w:val="00C821ED"/>
    <w:rsid w:val="00C82373"/>
    <w:rsid w:val="00C82402"/>
    <w:rsid w:val="00C824AD"/>
    <w:rsid w:val="00C824B2"/>
    <w:rsid w:val="00C825CD"/>
    <w:rsid w:val="00C8260C"/>
    <w:rsid w:val="00C827CA"/>
    <w:rsid w:val="00C82859"/>
    <w:rsid w:val="00C8293B"/>
    <w:rsid w:val="00C82CA9"/>
    <w:rsid w:val="00C82D71"/>
    <w:rsid w:val="00C82DB5"/>
    <w:rsid w:val="00C82EB0"/>
    <w:rsid w:val="00C831BD"/>
    <w:rsid w:val="00C83769"/>
    <w:rsid w:val="00C83A5D"/>
    <w:rsid w:val="00C83E39"/>
    <w:rsid w:val="00C83E89"/>
    <w:rsid w:val="00C83EFF"/>
    <w:rsid w:val="00C83F1A"/>
    <w:rsid w:val="00C84034"/>
    <w:rsid w:val="00C840EB"/>
    <w:rsid w:val="00C843BB"/>
    <w:rsid w:val="00C844FF"/>
    <w:rsid w:val="00C849E0"/>
    <w:rsid w:val="00C84F78"/>
    <w:rsid w:val="00C84F80"/>
    <w:rsid w:val="00C85017"/>
    <w:rsid w:val="00C85022"/>
    <w:rsid w:val="00C850AA"/>
    <w:rsid w:val="00C8510E"/>
    <w:rsid w:val="00C85416"/>
    <w:rsid w:val="00C856AD"/>
    <w:rsid w:val="00C8576B"/>
    <w:rsid w:val="00C85829"/>
    <w:rsid w:val="00C85C7C"/>
    <w:rsid w:val="00C85CD1"/>
    <w:rsid w:val="00C85F9C"/>
    <w:rsid w:val="00C86257"/>
    <w:rsid w:val="00C864B0"/>
    <w:rsid w:val="00C86518"/>
    <w:rsid w:val="00C866D7"/>
    <w:rsid w:val="00C86947"/>
    <w:rsid w:val="00C86BA6"/>
    <w:rsid w:val="00C86BE0"/>
    <w:rsid w:val="00C86BFE"/>
    <w:rsid w:val="00C86C86"/>
    <w:rsid w:val="00C86F28"/>
    <w:rsid w:val="00C86F57"/>
    <w:rsid w:val="00C87642"/>
    <w:rsid w:val="00C876A3"/>
    <w:rsid w:val="00C8776A"/>
    <w:rsid w:val="00C87796"/>
    <w:rsid w:val="00C878FA"/>
    <w:rsid w:val="00C87BC9"/>
    <w:rsid w:val="00C87CE7"/>
    <w:rsid w:val="00C87D51"/>
    <w:rsid w:val="00C900D6"/>
    <w:rsid w:val="00C9031E"/>
    <w:rsid w:val="00C9040C"/>
    <w:rsid w:val="00C905FE"/>
    <w:rsid w:val="00C907EE"/>
    <w:rsid w:val="00C908CC"/>
    <w:rsid w:val="00C909B8"/>
    <w:rsid w:val="00C909E0"/>
    <w:rsid w:val="00C90C15"/>
    <w:rsid w:val="00C90C16"/>
    <w:rsid w:val="00C90D88"/>
    <w:rsid w:val="00C90DC0"/>
    <w:rsid w:val="00C90F47"/>
    <w:rsid w:val="00C90FC8"/>
    <w:rsid w:val="00C910C1"/>
    <w:rsid w:val="00C91173"/>
    <w:rsid w:val="00C91225"/>
    <w:rsid w:val="00C91377"/>
    <w:rsid w:val="00C914AE"/>
    <w:rsid w:val="00C9160E"/>
    <w:rsid w:val="00C9170C"/>
    <w:rsid w:val="00C917E7"/>
    <w:rsid w:val="00C91E83"/>
    <w:rsid w:val="00C920F1"/>
    <w:rsid w:val="00C92375"/>
    <w:rsid w:val="00C924B1"/>
    <w:rsid w:val="00C92747"/>
    <w:rsid w:val="00C9296E"/>
    <w:rsid w:val="00C92A22"/>
    <w:rsid w:val="00C92BF4"/>
    <w:rsid w:val="00C92C3C"/>
    <w:rsid w:val="00C92CE1"/>
    <w:rsid w:val="00C92D23"/>
    <w:rsid w:val="00C92D3A"/>
    <w:rsid w:val="00C92F87"/>
    <w:rsid w:val="00C930EF"/>
    <w:rsid w:val="00C93172"/>
    <w:rsid w:val="00C93197"/>
    <w:rsid w:val="00C932D2"/>
    <w:rsid w:val="00C93333"/>
    <w:rsid w:val="00C933CE"/>
    <w:rsid w:val="00C9395B"/>
    <w:rsid w:val="00C93B49"/>
    <w:rsid w:val="00C93FDC"/>
    <w:rsid w:val="00C9421A"/>
    <w:rsid w:val="00C94244"/>
    <w:rsid w:val="00C94406"/>
    <w:rsid w:val="00C945B7"/>
    <w:rsid w:val="00C945EA"/>
    <w:rsid w:val="00C94620"/>
    <w:rsid w:val="00C946E6"/>
    <w:rsid w:val="00C948E1"/>
    <w:rsid w:val="00C94B9F"/>
    <w:rsid w:val="00C94EF8"/>
    <w:rsid w:val="00C94FD3"/>
    <w:rsid w:val="00C94FDA"/>
    <w:rsid w:val="00C9504A"/>
    <w:rsid w:val="00C95068"/>
    <w:rsid w:val="00C95533"/>
    <w:rsid w:val="00C95591"/>
    <w:rsid w:val="00C9580F"/>
    <w:rsid w:val="00C958C2"/>
    <w:rsid w:val="00C95A07"/>
    <w:rsid w:val="00C95C93"/>
    <w:rsid w:val="00C95E3F"/>
    <w:rsid w:val="00C960BC"/>
    <w:rsid w:val="00C9650B"/>
    <w:rsid w:val="00C966D7"/>
    <w:rsid w:val="00C96837"/>
    <w:rsid w:val="00C9691A"/>
    <w:rsid w:val="00C96CB0"/>
    <w:rsid w:val="00C96DAF"/>
    <w:rsid w:val="00C96DCF"/>
    <w:rsid w:val="00C96DDD"/>
    <w:rsid w:val="00C96F38"/>
    <w:rsid w:val="00C971AD"/>
    <w:rsid w:val="00C9766B"/>
    <w:rsid w:val="00C976F1"/>
    <w:rsid w:val="00C97800"/>
    <w:rsid w:val="00CA0364"/>
    <w:rsid w:val="00CA0574"/>
    <w:rsid w:val="00CA085B"/>
    <w:rsid w:val="00CA08B5"/>
    <w:rsid w:val="00CA0B38"/>
    <w:rsid w:val="00CA0E0D"/>
    <w:rsid w:val="00CA0F20"/>
    <w:rsid w:val="00CA1074"/>
    <w:rsid w:val="00CA10B1"/>
    <w:rsid w:val="00CA1144"/>
    <w:rsid w:val="00CA12CC"/>
    <w:rsid w:val="00CA12DF"/>
    <w:rsid w:val="00CA14A1"/>
    <w:rsid w:val="00CA14A8"/>
    <w:rsid w:val="00CA192B"/>
    <w:rsid w:val="00CA192E"/>
    <w:rsid w:val="00CA1A90"/>
    <w:rsid w:val="00CA1AED"/>
    <w:rsid w:val="00CA1B05"/>
    <w:rsid w:val="00CA1FD3"/>
    <w:rsid w:val="00CA2161"/>
    <w:rsid w:val="00CA21C3"/>
    <w:rsid w:val="00CA22DA"/>
    <w:rsid w:val="00CA2617"/>
    <w:rsid w:val="00CA26D0"/>
    <w:rsid w:val="00CA2875"/>
    <w:rsid w:val="00CA2A03"/>
    <w:rsid w:val="00CA2A0E"/>
    <w:rsid w:val="00CA2A49"/>
    <w:rsid w:val="00CA2B50"/>
    <w:rsid w:val="00CA2B5F"/>
    <w:rsid w:val="00CA2BEB"/>
    <w:rsid w:val="00CA2C57"/>
    <w:rsid w:val="00CA2EF5"/>
    <w:rsid w:val="00CA30D4"/>
    <w:rsid w:val="00CA3270"/>
    <w:rsid w:val="00CA32A8"/>
    <w:rsid w:val="00CA343B"/>
    <w:rsid w:val="00CA374D"/>
    <w:rsid w:val="00CA3775"/>
    <w:rsid w:val="00CA37D7"/>
    <w:rsid w:val="00CA3AD3"/>
    <w:rsid w:val="00CA4002"/>
    <w:rsid w:val="00CA401D"/>
    <w:rsid w:val="00CA4163"/>
    <w:rsid w:val="00CA41C7"/>
    <w:rsid w:val="00CA4299"/>
    <w:rsid w:val="00CA43C9"/>
    <w:rsid w:val="00CA481C"/>
    <w:rsid w:val="00CA4AE2"/>
    <w:rsid w:val="00CA5081"/>
    <w:rsid w:val="00CA531E"/>
    <w:rsid w:val="00CA53D8"/>
    <w:rsid w:val="00CA5759"/>
    <w:rsid w:val="00CA59FB"/>
    <w:rsid w:val="00CA5CE7"/>
    <w:rsid w:val="00CA6094"/>
    <w:rsid w:val="00CA65D8"/>
    <w:rsid w:val="00CA689C"/>
    <w:rsid w:val="00CA68F8"/>
    <w:rsid w:val="00CA6A2C"/>
    <w:rsid w:val="00CA6CB5"/>
    <w:rsid w:val="00CA6E05"/>
    <w:rsid w:val="00CA6ED5"/>
    <w:rsid w:val="00CA6F61"/>
    <w:rsid w:val="00CA706F"/>
    <w:rsid w:val="00CA70D6"/>
    <w:rsid w:val="00CA70E4"/>
    <w:rsid w:val="00CA724E"/>
    <w:rsid w:val="00CA73B4"/>
    <w:rsid w:val="00CA768C"/>
    <w:rsid w:val="00CA799C"/>
    <w:rsid w:val="00CA7AEA"/>
    <w:rsid w:val="00CA7BE9"/>
    <w:rsid w:val="00CA7F30"/>
    <w:rsid w:val="00CA7F87"/>
    <w:rsid w:val="00CA8C23"/>
    <w:rsid w:val="00CB0039"/>
    <w:rsid w:val="00CB00F4"/>
    <w:rsid w:val="00CB026F"/>
    <w:rsid w:val="00CB027D"/>
    <w:rsid w:val="00CB10CD"/>
    <w:rsid w:val="00CB1287"/>
    <w:rsid w:val="00CB14D0"/>
    <w:rsid w:val="00CB158F"/>
    <w:rsid w:val="00CB1620"/>
    <w:rsid w:val="00CB162F"/>
    <w:rsid w:val="00CB16AE"/>
    <w:rsid w:val="00CB1766"/>
    <w:rsid w:val="00CB180C"/>
    <w:rsid w:val="00CB1928"/>
    <w:rsid w:val="00CB1BD4"/>
    <w:rsid w:val="00CB1D62"/>
    <w:rsid w:val="00CB1F22"/>
    <w:rsid w:val="00CB2337"/>
    <w:rsid w:val="00CB23C5"/>
    <w:rsid w:val="00CB2594"/>
    <w:rsid w:val="00CB2598"/>
    <w:rsid w:val="00CB268F"/>
    <w:rsid w:val="00CB26DC"/>
    <w:rsid w:val="00CB2B45"/>
    <w:rsid w:val="00CB2D54"/>
    <w:rsid w:val="00CB3077"/>
    <w:rsid w:val="00CB30D1"/>
    <w:rsid w:val="00CB3447"/>
    <w:rsid w:val="00CB3736"/>
    <w:rsid w:val="00CB38B8"/>
    <w:rsid w:val="00CB3ADB"/>
    <w:rsid w:val="00CB3F7A"/>
    <w:rsid w:val="00CB3FD6"/>
    <w:rsid w:val="00CB413B"/>
    <w:rsid w:val="00CB41D8"/>
    <w:rsid w:val="00CB422E"/>
    <w:rsid w:val="00CB4659"/>
    <w:rsid w:val="00CB4787"/>
    <w:rsid w:val="00CB4838"/>
    <w:rsid w:val="00CB49B6"/>
    <w:rsid w:val="00CB4B7B"/>
    <w:rsid w:val="00CB4B9C"/>
    <w:rsid w:val="00CB4C48"/>
    <w:rsid w:val="00CB4C4A"/>
    <w:rsid w:val="00CB4CCD"/>
    <w:rsid w:val="00CB4D79"/>
    <w:rsid w:val="00CB4E5D"/>
    <w:rsid w:val="00CB5118"/>
    <w:rsid w:val="00CB5228"/>
    <w:rsid w:val="00CB52CE"/>
    <w:rsid w:val="00CB53C8"/>
    <w:rsid w:val="00CB54A6"/>
    <w:rsid w:val="00CB567F"/>
    <w:rsid w:val="00CB5C69"/>
    <w:rsid w:val="00CB5E62"/>
    <w:rsid w:val="00CB6336"/>
    <w:rsid w:val="00CB64E9"/>
    <w:rsid w:val="00CB65B0"/>
    <w:rsid w:val="00CB661B"/>
    <w:rsid w:val="00CB67E3"/>
    <w:rsid w:val="00CB6986"/>
    <w:rsid w:val="00CB69A0"/>
    <w:rsid w:val="00CB6AAB"/>
    <w:rsid w:val="00CB6B15"/>
    <w:rsid w:val="00CB6B40"/>
    <w:rsid w:val="00CB6B86"/>
    <w:rsid w:val="00CB6D31"/>
    <w:rsid w:val="00CB7005"/>
    <w:rsid w:val="00CB70CE"/>
    <w:rsid w:val="00CB716E"/>
    <w:rsid w:val="00CB71A5"/>
    <w:rsid w:val="00CB74FD"/>
    <w:rsid w:val="00CB755B"/>
    <w:rsid w:val="00CB7570"/>
    <w:rsid w:val="00CB78A0"/>
    <w:rsid w:val="00CB7BC2"/>
    <w:rsid w:val="00CC0160"/>
    <w:rsid w:val="00CC01B4"/>
    <w:rsid w:val="00CC03C0"/>
    <w:rsid w:val="00CC0636"/>
    <w:rsid w:val="00CC06F2"/>
    <w:rsid w:val="00CC0707"/>
    <w:rsid w:val="00CC0765"/>
    <w:rsid w:val="00CC0B25"/>
    <w:rsid w:val="00CC0D02"/>
    <w:rsid w:val="00CC0DD3"/>
    <w:rsid w:val="00CC0F52"/>
    <w:rsid w:val="00CC151D"/>
    <w:rsid w:val="00CC1561"/>
    <w:rsid w:val="00CC19A4"/>
    <w:rsid w:val="00CC1ACE"/>
    <w:rsid w:val="00CC1B7A"/>
    <w:rsid w:val="00CC1D28"/>
    <w:rsid w:val="00CC2189"/>
    <w:rsid w:val="00CC24D2"/>
    <w:rsid w:val="00CC2552"/>
    <w:rsid w:val="00CC2634"/>
    <w:rsid w:val="00CC279A"/>
    <w:rsid w:val="00CC28AB"/>
    <w:rsid w:val="00CC2A1B"/>
    <w:rsid w:val="00CC2C9E"/>
    <w:rsid w:val="00CC3366"/>
    <w:rsid w:val="00CC3396"/>
    <w:rsid w:val="00CC339D"/>
    <w:rsid w:val="00CC380A"/>
    <w:rsid w:val="00CC390C"/>
    <w:rsid w:val="00CC3B88"/>
    <w:rsid w:val="00CC3BCB"/>
    <w:rsid w:val="00CC3C0C"/>
    <w:rsid w:val="00CC3ED5"/>
    <w:rsid w:val="00CC422E"/>
    <w:rsid w:val="00CC4241"/>
    <w:rsid w:val="00CC42C7"/>
    <w:rsid w:val="00CC4481"/>
    <w:rsid w:val="00CC44A8"/>
    <w:rsid w:val="00CC451F"/>
    <w:rsid w:val="00CC4792"/>
    <w:rsid w:val="00CC482A"/>
    <w:rsid w:val="00CC48C7"/>
    <w:rsid w:val="00CC48E3"/>
    <w:rsid w:val="00CC490C"/>
    <w:rsid w:val="00CC4947"/>
    <w:rsid w:val="00CC4D97"/>
    <w:rsid w:val="00CC5161"/>
    <w:rsid w:val="00CC526B"/>
    <w:rsid w:val="00CC535A"/>
    <w:rsid w:val="00CC5383"/>
    <w:rsid w:val="00CC53A4"/>
    <w:rsid w:val="00CC5479"/>
    <w:rsid w:val="00CC54C9"/>
    <w:rsid w:val="00CC565E"/>
    <w:rsid w:val="00CC59E3"/>
    <w:rsid w:val="00CC5AC7"/>
    <w:rsid w:val="00CC5B54"/>
    <w:rsid w:val="00CC5B67"/>
    <w:rsid w:val="00CC5C91"/>
    <w:rsid w:val="00CC5E06"/>
    <w:rsid w:val="00CC5E33"/>
    <w:rsid w:val="00CC608C"/>
    <w:rsid w:val="00CC680B"/>
    <w:rsid w:val="00CC680D"/>
    <w:rsid w:val="00CC6AD1"/>
    <w:rsid w:val="00CC6C8A"/>
    <w:rsid w:val="00CC6D5C"/>
    <w:rsid w:val="00CC6E14"/>
    <w:rsid w:val="00CC6F59"/>
    <w:rsid w:val="00CC6FCD"/>
    <w:rsid w:val="00CC7061"/>
    <w:rsid w:val="00CC7270"/>
    <w:rsid w:val="00CC739A"/>
    <w:rsid w:val="00CC7417"/>
    <w:rsid w:val="00CC78F0"/>
    <w:rsid w:val="00CC7946"/>
    <w:rsid w:val="00CC795B"/>
    <w:rsid w:val="00CC79E0"/>
    <w:rsid w:val="00CC7A35"/>
    <w:rsid w:val="00CC7CDB"/>
    <w:rsid w:val="00CC7E07"/>
    <w:rsid w:val="00CC7E15"/>
    <w:rsid w:val="00CC7EAA"/>
    <w:rsid w:val="00CC7FEB"/>
    <w:rsid w:val="00CD00F8"/>
    <w:rsid w:val="00CD0665"/>
    <w:rsid w:val="00CD08D3"/>
    <w:rsid w:val="00CD0933"/>
    <w:rsid w:val="00CD09CB"/>
    <w:rsid w:val="00CD0A2B"/>
    <w:rsid w:val="00CD0A80"/>
    <w:rsid w:val="00CD0B46"/>
    <w:rsid w:val="00CD0B8E"/>
    <w:rsid w:val="00CD0BB9"/>
    <w:rsid w:val="00CD0C6A"/>
    <w:rsid w:val="00CD0E8F"/>
    <w:rsid w:val="00CD1084"/>
    <w:rsid w:val="00CD1096"/>
    <w:rsid w:val="00CD1139"/>
    <w:rsid w:val="00CD1210"/>
    <w:rsid w:val="00CD12C1"/>
    <w:rsid w:val="00CD1320"/>
    <w:rsid w:val="00CD133C"/>
    <w:rsid w:val="00CD13B3"/>
    <w:rsid w:val="00CD15D1"/>
    <w:rsid w:val="00CD1610"/>
    <w:rsid w:val="00CD1E21"/>
    <w:rsid w:val="00CD1F90"/>
    <w:rsid w:val="00CD2047"/>
    <w:rsid w:val="00CD215D"/>
    <w:rsid w:val="00CD274B"/>
    <w:rsid w:val="00CD28AA"/>
    <w:rsid w:val="00CD28CD"/>
    <w:rsid w:val="00CD2D89"/>
    <w:rsid w:val="00CD2E08"/>
    <w:rsid w:val="00CD2E96"/>
    <w:rsid w:val="00CD2F28"/>
    <w:rsid w:val="00CD322F"/>
    <w:rsid w:val="00CD32E8"/>
    <w:rsid w:val="00CD3A07"/>
    <w:rsid w:val="00CD3B02"/>
    <w:rsid w:val="00CD3CB1"/>
    <w:rsid w:val="00CD3CFC"/>
    <w:rsid w:val="00CD3D9B"/>
    <w:rsid w:val="00CD3FE6"/>
    <w:rsid w:val="00CD41AC"/>
    <w:rsid w:val="00CD44E1"/>
    <w:rsid w:val="00CD4643"/>
    <w:rsid w:val="00CD4655"/>
    <w:rsid w:val="00CD49C9"/>
    <w:rsid w:val="00CD49FC"/>
    <w:rsid w:val="00CD4A8B"/>
    <w:rsid w:val="00CD4BBF"/>
    <w:rsid w:val="00CD4BC6"/>
    <w:rsid w:val="00CD4C0A"/>
    <w:rsid w:val="00CD4CF6"/>
    <w:rsid w:val="00CD4D03"/>
    <w:rsid w:val="00CD4FCA"/>
    <w:rsid w:val="00CD50FD"/>
    <w:rsid w:val="00CD5180"/>
    <w:rsid w:val="00CD563C"/>
    <w:rsid w:val="00CD5A22"/>
    <w:rsid w:val="00CD5AB6"/>
    <w:rsid w:val="00CD5BD3"/>
    <w:rsid w:val="00CD5E4F"/>
    <w:rsid w:val="00CD5FD4"/>
    <w:rsid w:val="00CD6022"/>
    <w:rsid w:val="00CD61AD"/>
    <w:rsid w:val="00CD6606"/>
    <w:rsid w:val="00CD68EB"/>
    <w:rsid w:val="00CD6946"/>
    <w:rsid w:val="00CD72DE"/>
    <w:rsid w:val="00CD7331"/>
    <w:rsid w:val="00CD7465"/>
    <w:rsid w:val="00CD749F"/>
    <w:rsid w:val="00CD74A5"/>
    <w:rsid w:val="00CD7577"/>
    <w:rsid w:val="00CD75C6"/>
    <w:rsid w:val="00CD762A"/>
    <w:rsid w:val="00CD7810"/>
    <w:rsid w:val="00CD785C"/>
    <w:rsid w:val="00CD79A2"/>
    <w:rsid w:val="00CD79AB"/>
    <w:rsid w:val="00CD7F3C"/>
    <w:rsid w:val="00CE01FB"/>
    <w:rsid w:val="00CE0245"/>
    <w:rsid w:val="00CE03DC"/>
    <w:rsid w:val="00CE0611"/>
    <w:rsid w:val="00CE072C"/>
    <w:rsid w:val="00CE07C3"/>
    <w:rsid w:val="00CE08BF"/>
    <w:rsid w:val="00CE0B10"/>
    <w:rsid w:val="00CE0E4F"/>
    <w:rsid w:val="00CE0EC0"/>
    <w:rsid w:val="00CE11C9"/>
    <w:rsid w:val="00CE127F"/>
    <w:rsid w:val="00CE1406"/>
    <w:rsid w:val="00CE1463"/>
    <w:rsid w:val="00CE1575"/>
    <w:rsid w:val="00CE15AE"/>
    <w:rsid w:val="00CE15BD"/>
    <w:rsid w:val="00CE15F2"/>
    <w:rsid w:val="00CE1A0F"/>
    <w:rsid w:val="00CE1A7E"/>
    <w:rsid w:val="00CE1FA9"/>
    <w:rsid w:val="00CE20D9"/>
    <w:rsid w:val="00CE23BD"/>
    <w:rsid w:val="00CE26F1"/>
    <w:rsid w:val="00CE276F"/>
    <w:rsid w:val="00CE280E"/>
    <w:rsid w:val="00CE2BAB"/>
    <w:rsid w:val="00CE2BF0"/>
    <w:rsid w:val="00CE2DE4"/>
    <w:rsid w:val="00CE2E73"/>
    <w:rsid w:val="00CE2EBA"/>
    <w:rsid w:val="00CE3220"/>
    <w:rsid w:val="00CE33B6"/>
    <w:rsid w:val="00CE3486"/>
    <w:rsid w:val="00CE34BF"/>
    <w:rsid w:val="00CE355A"/>
    <w:rsid w:val="00CE3644"/>
    <w:rsid w:val="00CE3685"/>
    <w:rsid w:val="00CE373C"/>
    <w:rsid w:val="00CE3791"/>
    <w:rsid w:val="00CE389D"/>
    <w:rsid w:val="00CE3926"/>
    <w:rsid w:val="00CE3940"/>
    <w:rsid w:val="00CE39C8"/>
    <w:rsid w:val="00CE3AC4"/>
    <w:rsid w:val="00CE3C57"/>
    <w:rsid w:val="00CE3D84"/>
    <w:rsid w:val="00CE42B4"/>
    <w:rsid w:val="00CE4365"/>
    <w:rsid w:val="00CE4368"/>
    <w:rsid w:val="00CE4464"/>
    <w:rsid w:val="00CE4470"/>
    <w:rsid w:val="00CE4604"/>
    <w:rsid w:val="00CE470F"/>
    <w:rsid w:val="00CE486A"/>
    <w:rsid w:val="00CE4AF3"/>
    <w:rsid w:val="00CE4D7F"/>
    <w:rsid w:val="00CE4D9A"/>
    <w:rsid w:val="00CE503D"/>
    <w:rsid w:val="00CE5055"/>
    <w:rsid w:val="00CE52A9"/>
    <w:rsid w:val="00CE5503"/>
    <w:rsid w:val="00CE55F2"/>
    <w:rsid w:val="00CE5659"/>
    <w:rsid w:val="00CE5799"/>
    <w:rsid w:val="00CE5812"/>
    <w:rsid w:val="00CE5882"/>
    <w:rsid w:val="00CE5E01"/>
    <w:rsid w:val="00CE5FD2"/>
    <w:rsid w:val="00CE604A"/>
    <w:rsid w:val="00CE6201"/>
    <w:rsid w:val="00CE6419"/>
    <w:rsid w:val="00CE65DF"/>
    <w:rsid w:val="00CE6C0E"/>
    <w:rsid w:val="00CE6C54"/>
    <w:rsid w:val="00CE6C5F"/>
    <w:rsid w:val="00CE6D92"/>
    <w:rsid w:val="00CE6FE8"/>
    <w:rsid w:val="00CE7063"/>
    <w:rsid w:val="00CE70E4"/>
    <w:rsid w:val="00CE7137"/>
    <w:rsid w:val="00CE71AA"/>
    <w:rsid w:val="00CE724F"/>
    <w:rsid w:val="00CE729B"/>
    <w:rsid w:val="00CE72CB"/>
    <w:rsid w:val="00CE73F8"/>
    <w:rsid w:val="00CE7443"/>
    <w:rsid w:val="00CE74F8"/>
    <w:rsid w:val="00CE7660"/>
    <w:rsid w:val="00CE77E2"/>
    <w:rsid w:val="00CE781D"/>
    <w:rsid w:val="00CE7AA7"/>
    <w:rsid w:val="00CE7B20"/>
    <w:rsid w:val="00CE7C2B"/>
    <w:rsid w:val="00CE7DC8"/>
    <w:rsid w:val="00CF0017"/>
    <w:rsid w:val="00CF0337"/>
    <w:rsid w:val="00CF0482"/>
    <w:rsid w:val="00CF055A"/>
    <w:rsid w:val="00CF072C"/>
    <w:rsid w:val="00CF07C2"/>
    <w:rsid w:val="00CF082D"/>
    <w:rsid w:val="00CF0AB6"/>
    <w:rsid w:val="00CF0D3C"/>
    <w:rsid w:val="00CF0E8D"/>
    <w:rsid w:val="00CF0F8F"/>
    <w:rsid w:val="00CF1074"/>
    <w:rsid w:val="00CF133C"/>
    <w:rsid w:val="00CF14A3"/>
    <w:rsid w:val="00CF14EA"/>
    <w:rsid w:val="00CF15F7"/>
    <w:rsid w:val="00CF1605"/>
    <w:rsid w:val="00CF166F"/>
    <w:rsid w:val="00CF174B"/>
    <w:rsid w:val="00CF17B8"/>
    <w:rsid w:val="00CF183D"/>
    <w:rsid w:val="00CF1A14"/>
    <w:rsid w:val="00CF1ACD"/>
    <w:rsid w:val="00CF1BA8"/>
    <w:rsid w:val="00CF1DEB"/>
    <w:rsid w:val="00CF1EB6"/>
    <w:rsid w:val="00CF1F80"/>
    <w:rsid w:val="00CF206B"/>
    <w:rsid w:val="00CF223E"/>
    <w:rsid w:val="00CF2245"/>
    <w:rsid w:val="00CF2457"/>
    <w:rsid w:val="00CF2583"/>
    <w:rsid w:val="00CF2864"/>
    <w:rsid w:val="00CF29E3"/>
    <w:rsid w:val="00CF2B66"/>
    <w:rsid w:val="00CF2B79"/>
    <w:rsid w:val="00CF2D68"/>
    <w:rsid w:val="00CF2D84"/>
    <w:rsid w:val="00CF2E60"/>
    <w:rsid w:val="00CF3166"/>
    <w:rsid w:val="00CF3300"/>
    <w:rsid w:val="00CF38CE"/>
    <w:rsid w:val="00CF3A2F"/>
    <w:rsid w:val="00CF3A73"/>
    <w:rsid w:val="00CF3C92"/>
    <w:rsid w:val="00CF3D19"/>
    <w:rsid w:val="00CF3F0C"/>
    <w:rsid w:val="00CF407D"/>
    <w:rsid w:val="00CF424E"/>
    <w:rsid w:val="00CF4376"/>
    <w:rsid w:val="00CF488C"/>
    <w:rsid w:val="00CF4A1F"/>
    <w:rsid w:val="00CF4B0D"/>
    <w:rsid w:val="00CF5163"/>
    <w:rsid w:val="00CF516F"/>
    <w:rsid w:val="00CF51DF"/>
    <w:rsid w:val="00CF5349"/>
    <w:rsid w:val="00CF5377"/>
    <w:rsid w:val="00CF5380"/>
    <w:rsid w:val="00CF561A"/>
    <w:rsid w:val="00CF58B7"/>
    <w:rsid w:val="00CF58C8"/>
    <w:rsid w:val="00CF592E"/>
    <w:rsid w:val="00CF5986"/>
    <w:rsid w:val="00CF5C53"/>
    <w:rsid w:val="00CF5C58"/>
    <w:rsid w:val="00CF5D9E"/>
    <w:rsid w:val="00CF6173"/>
    <w:rsid w:val="00CF6193"/>
    <w:rsid w:val="00CF628A"/>
    <w:rsid w:val="00CF63CD"/>
    <w:rsid w:val="00CF667C"/>
    <w:rsid w:val="00CF68B6"/>
    <w:rsid w:val="00CF6B20"/>
    <w:rsid w:val="00CF6BEE"/>
    <w:rsid w:val="00CF6C05"/>
    <w:rsid w:val="00CF6DBC"/>
    <w:rsid w:val="00CF6E5D"/>
    <w:rsid w:val="00CF70BE"/>
    <w:rsid w:val="00CF715C"/>
    <w:rsid w:val="00CF726F"/>
    <w:rsid w:val="00CF75D5"/>
    <w:rsid w:val="00CF7616"/>
    <w:rsid w:val="00CF7827"/>
    <w:rsid w:val="00CF786E"/>
    <w:rsid w:val="00CF7AC7"/>
    <w:rsid w:val="00CF7B15"/>
    <w:rsid w:val="00CF7B41"/>
    <w:rsid w:val="00CF7BA0"/>
    <w:rsid w:val="00CF7ECB"/>
    <w:rsid w:val="00CF7FC0"/>
    <w:rsid w:val="00D0007D"/>
    <w:rsid w:val="00D000BF"/>
    <w:rsid w:val="00D0028B"/>
    <w:rsid w:val="00D002D0"/>
    <w:rsid w:val="00D00465"/>
    <w:rsid w:val="00D00494"/>
    <w:rsid w:val="00D005B0"/>
    <w:rsid w:val="00D006D1"/>
    <w:rsid w:val="00D007E6"/>
    <w:rsid w:val="00D00ABF"/>
    <w:rsid w:val="00D00BE9"/>
    <w:rsid w:val="00D00C82"/>
    <w:rsid w:val="00D00D80"/>
    <w:rsid w:val="00D00EB3"/>
    <w:rsid w:val="00D00F32"/>
    <w:rsid w:val="00D00FE7"/>
    <w:rsid w:val="00D0108B"/>
    <w:rsid w:val="00D011E9"/>
    <w:rsid w:val="00D01337"/>
    <w:rsid w:val="00D01524"/>
    <w:rsid w:val="00D01958"/>
    <w:rsid w:val="00D01BFB"/>
    <w:rsid w:val="00D01D9E"/>
    <w:rsid w:val="00D01E12"/>
    <w:rsid w:val="00D01FDB"/>
    <w:rsid w:val="00D02179"/>
    <w:rsid w:val="00D021F0"/>
    <w:rsid w:val="00D02237"/>
    <w:rsid w:val="00D02548"/>
    <w:rsid w:val="00D025EC"/>
    <w:rsid w:val="00D02A07"/>
    <w:rsid w:val="00D02DE2"/>
    <w:rsid w:val="00D031D1"/>
    <w:rsid w:val="00D031D9"/>
    <w:rsid w:val="00D032F9"/>
    <w:rsid w:val="00D033C2"/>
    <w:rsid w:val="00D03616"/>
    <w:rsid w:val="00D03645"/>
    <w:rsid w:val="00D036D2"/>
    <w:rsid w:val="00D03862"/>
    <w:rsid w:val="00D0388B"/>
    <w:rsid w:val="00D03AF8"/>
    <w:rsid w:val="00D03B53"/>
    <w:rsid w:val="00D03E0F"/>
    <w:rsid w:val="00D03FF2"/>
    <w:rsid w:val="00D040BA"/>
    <w:rsid w:val="00D0445D"/>
    <w:rsid w:val="00D04588"/>
    <w:rsid w:val="00D045E7"/>
    <w:rsid w:val="00D04830"/>
    <w:rsid w:val="00D0490B"/>
    <w:rsid w:val="00D04937"/>
    <w:rsid w:val="00D04C7B"/>
    <w:rsid w:val="00D05089"/>
    <w:rsid w:val="00D0516E"/>
    <w:rsid w:val="00D052F0"/>
    <w:rsid w:val="00D05327"/>
    <w:rsid w:val="00D05422"/>
    <w:rsid w:val="00D05573"/>
    <w:rsid w:val="00D055A7"/>
    <w:rsid w:val="00D05811"/>
    <w:rsid w:val="00D05884"/>
    <w:rsid w:val="00D05FE8"/>
    <w:rsid w:val="00D062E1"/>
    <w:rsid w:val="00D06712"/>
    <w:rsid w:val="00D06CE2"/>
    <w:rsid w:val="00D06E8B"/>
    <w:rsid w:val="00D06F6B"/>
    <w:rsid w:val="00D074E9"/>
    <w:rsid w:val="00D07559"/>
    <w:rsid w:val="00D07920"/>
    <w:rsid w:val="00D07993"/>
    <w:rsid w:val="00D07B5F"/>
    <w:rsid w:val="00D07BED"/>
    <w:rsid w:val="00D07C04"/>
    <w:rsid w:val="00D07C74"/>
    <w:rsid w:val="00D07EE9"/>
    <w:rsid w:val="00D07F80"/>
    <w:rsid w:val="00D100F4"/>
    <w:rsid w:val="00D102E2"/>
    <w:rsid w:val="00D10611"/>
    <w:rsid w:val="00D10813"/>
    <w:rsid w:val="00D10969"/>
    <w:rsid w:val="00D109E3"/>
    <w:rsid w:val="00D10B28"/>
    <w:rsid w:val="00D10C9B"/>
    <w:rsid w:val="00D10F09"/>
    <w:rsid w:val="00D10F4C"/>
    <w:rsid w:val="00D1101F"/>
    <w:rsid w:val="00D1103F"/>
    <w:rsid w:val="00D115F1"/>
    <w:rsid w:val="00D11716"/>
    <w:rsid w:val="00D11728"/>
    <w:rsid w:val="00D11738"/>
    <w:rsid w:val="00D118E0"/>
    <w:rsid w:val="00D11BB6"/>
    <w:rsid w:val="00D11CDB"/>
    <w:rsid w:val="00D11D39"/>
    <w:rsid w:val="00D11F3B"/>
    <w:rsid w:val="00D11FA7"/>
    <w:rsid w:val="00D120A2"/>
    <w:rsid w:val="00D1212E"/>
    <w:rsid w:val="00D1224C"/>
    <w:rsid w:val="00D125E2"/>
    <w:rsid w:val="00D1268F"/>
    <w:rsid w:val="00D127EF"/>
    <w:rsid w:val="00D1295B"/>
    <w:rsid w:val="00D12978"/>
    <w:rsid w:val="00D1297B"/>
    <w:rsid w:val="00D12A41"/>
    <w:rsid w:val="00D12E05"/>
    <w:rsid w:val="00D12F66"/>
    <w:rsid w:val="00D13172"/>
    <w:rsid w:val="00D13178"/>
    <w:rsid w:val="00D131A3"/>
    <w:rsid w:val="00D13223"/>
    <w:rsid w:val="00D136AF"/>
    <w:rsid w:val="00D138AB"/>
    <w:rsid w:val="00D13AF5"/>
    <w:rsid w:val="00D13DDF"/>
    <w:rsid w:val="00D13DE7"/>
    <w:rsid w:val="00D13EDB"/>
    <w:rsid w:val="00D14092"/>
    <w:rsid w:val="00D140AE"/>
    <w:rsid w:val="00D14333"/>
    <w:rsid w:val="00D145C5"/>
    <w:rsid w:val="00D14A38"/>
    <w:rsid w:val="00D14CDE"/>
    <w:rsid w:val="00D14EBF"/>
    <w:rsid w:val="00D14EF8"/>
    <w:rsid w:val="00D15320"/>
    <w:rsid w:val="00D1544A"/>
    <w:rsid w:val="00D1567D"/>
    <w:rsid w:val="00D1580A"/>
    <w:rsid w:val="00D158EF"/>
    <w:rsid w:val="00D15B6C"/>
    <w:rsid w:val="00D15CAF"/>
    <w:rsid w:val="00D15CEE"/>
    <w:rsid w:val="00D15E3B"/>
    <w:rsid w:val="00D1612E"/>
    <w:rsid w:val="00D1613A"/>
    <w:rsid w:val="00D16409"/>
    <w:rsid w:val="00D16427"/>
    <w:rsid w:val="00D16450"/>
    <w:rsid w:val="00D16C2A"/>
    <w:rsid w:val="00D16D19"/>
    <w:rsid w:val="00D16D58"/>
    <w:rsid w:val="00D16E83"/>
    <w:rsid w:val="00D1706D"/>
    <w:rsid w:val="00D17210"/>
    <w:rsid w:val="00D173C1"/>
    <w:rsid w:val="00D17528"/>
    <w:rsid w:val="00D175E0"/>
    <w:rsid w:val="00D1787D"/>
    <w:rsid w:val="00D178B3"/>
    <w:rsid w:val="00D17916"/>
    <w:rsid w:val="00D17B74"/>
    <w:rsid w:val="00D2006A"/>
    <w:rsid w:val="00D200EC"/>
    <w:rsid w:val="00D201C2"/>
    <w:rsid w:val="00D202BA"/>
    <w:rsid w:val="00D20458"/>
    <w:rsid w:val="00D204CB"/>
    <w:rsid w:val="00D2057B"/>
    <w:rsid w:val="00D2095E"/>
    <w:rsid w:val="00D20A41"/>
    <w:rsid w:val="00D20BDC"/>
    <w:rsid w:val="00D211ED"/>
    <w:rsid w:val="00D21438"/>
    <w:rsid w:val="00D214B5"/>
    <w:rsid w:val="00D2193A"/>
    <w:rsid w:val="00D21988"/>
    <w:rsid w:val="00D219AB"/>
    <w:rsid w:val="00D219DC"/>
    <w:rsid w:val="00D21CB0"/>
    <w:rsid w:val="00D21D4E"/>
    <w:rsid w:val="00D21DD9"/>
    <w:rsid w:val="00D2226C"/>
    <w:rsid w:val="00D225C5"/>
    <w:rsid w:val="00D225CD"/>
    <w:rsid w:val="00D225E3"/>
    <w:rsid w:val="00D22804"/>
    <w:rsid w:val="00D2286D"/>
    <w:rsid w:val="00D228AE"/>
    <w:rsid w:val="00D22F48"/>
    <w:rsid w:val="00D23008"/>
    <w:rsid w:val="00D2311D"/>
    <w:rsid w:val="00D23152"/>
    <w:rsid w:val="00D232EE"/>
    <w:rsid w:val="00D2338F"/>
    <w:rsid w:val="00D2344C"/>
    <w:rsid w:val="00D23543"/>
    <w:rsid w:val="00D23602"/>
    <w:rsid w:val="00D23990"/>
    <w:rsid w:val="00D23BE9"/>
    <w:rsid w:val="00D23BEF"/>
    <w:rsid w:val="00D23F6A"/>
    <w:rsid w:val="00D240DC"/>
    <w:rsid w:val="00D24471"/>
    <w:rsid w:val="00D2462B"/>
    <w:rsid w:val="00D2491C"/>
    <w:rsid w:val="00D24B17"/>
    <w:rsid w:val="00D24BD3"/>
    <w:rsid w:val="00D24CB3"/>
    <w:rsid w:val="00D24D49"/>
    <w:rsid w:val="00D24E28"/>
    <w:rsid w:val="00D251C3"/>
    <w:rsid w:val="00D2531C"/>
    <w:rsid w:val="00D25632"/>
    <w:rsid w:val="00D258AF"/>
    <w:rsid w:val="00D259C8"/>
    <w:rsid w:val="00D25B04"/>
    <w:rsid w:val="00D25BD2"/>
    <w:rsid w:val="00D25E47"/>
    <w:rsid w:val="00D25F59"/>
    <w:rsid w:val="00D260E9"/>
    <w:rsid w:val="00D26196"/>
    <w:rsid w:val="00D26437"/>
    <w:rsid w:val="00D265F3"/>
    <w:rsid w:val="00D26713"/>
    <w:rsid w:val="00D26769"/>
    <w:rsid w:val="00D26932"/>
    <w:rsid w:val="00D2693D"/>
    <w:rsid w:val="00D26A25"/>
    <w:rsid w:val="00D26C46"/>
    <w:rsid w:val="00D26DE1"/>
    <w:rsid w:val="00D26F99"/>
    <w:rsid w:val="00D2704D"/>
    <w:rsid w:val="00D271D7"/>
    <w:rsid w:val="00D273B0"/>
    <w:rsid w:val="00D27693"/>
    <w:rsid w:val="00D27797"/>
    <w:rsid w:val="00D2784D"/>
    <w:rsid w:val="00D27868"/>
    <w:rsid w:val="00D278A5"/>
    <w:rsid w:val="00D27AAA"/>
    <w:rsid w:val="00D27B7C"/>
    <w:rsid w:val="00D27D12"/>
    <w:rsid w:val="00D27D40"/>
    <w:rsid w:val="00D27F1A"/>
    <w:rsid w:val="00D3016F"/>
    <w:rsid w:val="00D3045F"/>
    <w:rsid w:val="00D30578"/>
    <w:rsid w:val="00D3063D"/>
    <w:rsid w:val="00D3086D"/>
    <w:rsid w:val="00D30A4F"/>
    <w:rsid w:val="00D30BE6"/>
    <w:rsid w:val="00D30C3D"/>
    <w:rsid w:val="00D30D4B"/>
    <w:rsid w:val="00D30E5B"/>
    <w:rsid w:val="00D31002"/>
    <w:rsid w:val="00D3122D"/>
    <w:rsid w:val="00D314D4"/>
    <w:rsid w:val="00D317C3"/>
    <w:rsid w:val="00D31818"/>
    <w:rsid w:val="00D31890"/>
    <w:rsid w:val="00D31A90"/>
    <w:rsid w:val="00D31B22"/>
    <w:rsid w:val="00D31BC2"/>
    <w:rsid w:val="00D31F80"/>
    <w:rsid w:val="00D3212C"/>
    <w:rsid w:val="00D32165"/>
    <w:rsid w:val="00D32330"/>
    <w:rsid w:val="00D323CA"/>
    <w:rsid w:val="00D323D2"/>
    <w:rsid w:val="00D32D5A"/>
    <w:rsid w:val="00D32F70"/>
    <w:rsid w:val="00D330FB"/>
    <w:rsid w:val="00D331EF"/>
    <w:rsid w:val="00D333DF"/>
    <w:rsid w:val="00D33424"/>
    <w:rsid w:val="00D334C6"/>
    <w:rsid w:val="00D335B0"/>
    <w:rsid w:val="00D33894"/>
    <w:rsid w:val="00D338CE"/>
    <w:rsid w:val="00D33908"/>
    <w:rsid w:val="00D33B2C"/>
    <w:rsid w:val="00D33BCF"/>
    <w:rsid w:val="00D33CC8"/>
    <w:rsid w:val="00D33CEE"/>
    <w:rsid w:val="00D33D25"/>
    <w:rsid w:val="00D340A4"/>
    <w:rsid w:val="00D3432D"/>
    <w:rsid w:val="00D3440E"/>
    <w:rsid w:val="00D346E3"/>
    <w:rsid w:val="00D3480E"/>
    <w:rsid w:val="00D34833"/>
    <w:rsid w:val="00D34ADE"/>
    <w:rsid w:val="00D34AF3"/>
    <w:rsid w:val="00D34BC8"/>
    <w:rsid w:val="00D35034"/>
    <w:rsid w:val="00D350EA"/>
    <w:rsid w:val="00D3510F"/>
    <w:rsid w:val="00D35150"/>
    <w:rsid w:val="00D35381"/>
    <w:rsid w:val="00D35672"/>
    <w:rsid w:val="00D35715"/>
    <w:rsid w:val="00D358EB"/>
    <w:rsid w:val="00D35A06"/>
    <w:rsid w:val="00D35DD7"/>
    <w:rsid w:val="00D35E8C"/>
    <w:rsid w:val="00D35EE3"/>
    <w:rsid w:val="00D364BC"/>
    <w:rsid w:val="00D36545"/>
    <w:rsid w:val="00D3665F"/>
    <w:rsid w:val="00D3685A"/>
    <w:rsid w:val="00D369F4"/>
    <w:rsid w:val="00D36B55"/>
    <w:rsid w:val="00D36B79"/>
    <w:rsid w:val="00D36BAD"/>
    <w:rsid w:val="00D36D25"/>
    <w:rsid w:val="00D36D33"/>
    <w:rsid w:val="00D36E62"/>
    <w:rsid w:val="00D36EDC"/>
    <w:rsid w:val="00D370DA"/>
    <w:rsid w:val="00D375D2"/>
    <w:rsid w:val="00D378B3"/>
    <w:rsid w:val="00D37919"/>
    <w:rsid w:val="00D37AF0"/>
    <w:rsid w:val="00D37B7F"/>
    <w:rsid w:val="00D37E80"/>
    <w:rsid w:val="00D37E98"/>
    <w:rsid w:val="00D40062"/>
    <w:rsid w:val="00D40228"/>
    <w:rsid w:val="00D402E2"/>
    <w:rsid w:val="00D40324"/>
    <w:rsid w:val="00D40361"/>
    <w:rsid w:val="00D4046C"/>
    <w:rsid w:val="00D404B5"/>
    <w:rsid w:val="00D404D7"/>
    <w:rsid w:val="00D405AC"/>
    <w:rsid w:val="00D40A51"/>
    <w:rsid w:val="00D40BC9"/>
    <w:rsid w:val="00D40D34"/>
    <w:rsid w:val="00D40D8C"/>
    <w:rsid w:val="00D40DB4"/>
    <w:rsid w:val="00D40DD2"/>
    <w:rsid w:val="00D40E21"/>
    <w:rsid w:val="00D40F2C"/>
    <w:rsid w:val="00D40F42"/>
    <w:rsid w:val="00D41002"/>
    <w:rsid w:val="00D41069"/>
    <w:rsid w:val="00D4114C"/>
    <w:rsid w:val="00D4126B"/>
    <w:rsid w:val="00D414BB"/>
    <w:rsid w:val="00D41A50"/>
    <w:rsid w:val="00D41B5F"/>
    <w:rsid w:val="00D41BDB"/>
    <w:rsid w:val="00D41E17"/>
    <w:rsid w:val="00D41F35"/>
    <w:rsid w:val="00D420BE"/>
    <w:rsid w:val="00D422E9"/>
    <w:rsid w:val="00D4270C"/>
    <w:rsid w:val="00D42812"/>
    <w:rsid w:val="00D42843"/>
    <w:rsid w:val="00D42E25"/>
    <w:rsid w:val="00D42F17"/>
    <w:rsid w:val="00D4333E"/>
    <w:rsid w:val="00D43390"/>
    <w:rsid w:val="00D43557"/>
    <w:rsid w:val="00D4362F"/>
    <w:rsid w:val="00D43702"/>
    <w:rsid w:val="00D43B9E"/>
    <w:rsid w:val="00D43D20"/>
    <w:rsid w:val="00D43D39"/>
    <w:rsid w:val="00D43DCF"/>
    <w:rsid w:val="00D43EEC"/>
    <w:rsid w:val="00D44001"/>
    <w:rsid w:val="00D441C9"/>
    <w:rsid w:val="00D44213"/>
    <w:rsid w:val="00D44B63"/>
    <w:rsid w:val="00D44C8F"/>
    <w:rsid w:val="00D44F99"/>
    <w:rsid w:val="00D450F2"/>
    <w:rsid w:val="00D45270"/>
    <w:rsid w:val="00D45907"/>
    <w:rsid w:val="00D45AEE"/>
    <w:rsid w:val="00D45C1B"/>
    <w:rsid w:val="00D45CD0"/>
    <w:rsid w:val="00D45D82"/>
    <w:rsid w:val="00D45E02"/>
    <w:rsid w:val="00D45E4A"/>
    <w:rsid w:val="00D45FDA"/>
    <w:rsid w:val="00D46393"/>
    <w:rsid w:val="00D464AF"/>
    <w:rsid w:val="00D464BC"/>
    <w:rsid w:val="00D4662D"/>
    <w:rsid w:val="00D466D1"/>
    <w:rsid w:val="00D46A93"/>
    <w:rsid w:val="00D46AF0"/>
    <w:rsid w:val="00D46BE5"/>
    <w:rsid w:val="00D46C85"/>
    <w:rsid w:val="00D46D47"/>
    <w:rsid w:val="00D471A8"/>
    <w:rsid w:val="00D4740D"/>
    <w:rsid w:val="00D47521"/>
    <w:rsid w:val="00D47A7C"/>
    <w:rsid w:val="00D47CF3"/>
    <w:rsid w:val="00D47D64"/>
    <w:rsid w:val="00D47DEC"/>
    <w:rsid w:val="00D47E5B"/>
    <w:rsid w:val="00D5003E"/>
    <w:rsid w:val="00D5007A"/>
    <w:rsid w:val="00D50253"/>
    <w:rsid w:val="00D5026D"/>
    <w:rsid w:val="00D50423"/>
    <w:rsid w:val="00D504DB"/>
    <w:rsid w:val="00D5057E"/>
    <w:rsid w:val="00D506CB"/>
    <w:rsid w:val="00D508D1"/>
    <w:rsid w:val="00D508F9"/>
    <w:rsid w:val="00D5093B"/>
    <w:rsid w:val="00D510B7"/>
    <w:rsid w:val="00D51125"/>
    <w:rsid w:val="00D513CB"/>
    <w:rsid w:val="00D51481"/>
    <w:rsid w:val="00D517E4"/>
    <w:rsid w:val="00D517F8"/>
    <w:rsid w:val="00D51828"/>
    <w:rsid w:val="00D518B2"/>
    <w:rsid w:val="00D51981"/>
    <w:rsid w:val="00D51B2D"/>
    <w:rsid w:val="00D51C6E"/>
    <w:rsid w:val="00D51E9E"/>
    <w:rsid w:val="00D51F1F"/>
    <w:rsid w:val="00D51FD4"/>
    <w:rsid w:val="00D52182"/>
    <w:rsid w:val="00D5218E"/>
    <w:rsid w:val="00D52211"/>
    <w:rsid w:val="00D52282"/>
    <w:rsid w:val="00D5255B"/>
    <w:rsid w:val="00D52646"/>
    <w:rsid w:val="00D5269A"/>
    <w:rsid w:val="00D52971"/>
    <w:rsid w:val="00D52CB2"/>
    <w:rsid w:val="00D52EA9"/>
    <w:rsid w:val="00D5305C"/>
    <w:rsid w:val="00D53121"/>
    <w:rsid w:val="00D5342E"/>
    <w:rsid w:val="00D53615"/>
    <w:rsid w:val="00D539A9"/>
    <w:rsid w:val="00D53D7D"/>
    <w:rsid w:val="00D53F5C"/>
    <w:rsid w:val="00D542BC"/>
    <w:rsid w:val="00D54467"/>
    <w:rsid w:val="00D54525"/>
    <w:rsid w:val="00D545C9"/>
    <w:rsid w:val="00D54738"/>
    <w:rsid w:val="00D54A53"/>
    <w:rsid w:val="00D54A87"/>
    <w:rsid w:val="00D54AAE"/>
    <w:rsid w:val="00D54AE6"/>
    <w:rsid w:val="00D5500C"/>
    <w:rsid w:val="00D5504F"/>
    <w:rsid w:val="00D55107"/>
    <w:rsid w:val="00D556F2"/>
    <w:rsid w:val="00D55706"/>
    <w:rsid w:val="00D558F2"/>
    <w:rsid w:val="00D559D7"/>
    <w:rsid w:val="00D55B40"/>
    <w:rsid w:val="00D55F61"/>
    <w:rsid w:val="00D55F9E"/>
    <w:rsid w:val="00D5631F"/>
    <w:rsid w:val="00D56979"/>
    <w:rsid w:val="00D56AFB"/>
    <w:rsid w:val="00D56B2D"/>
    <w:rsid w:val="00D56B6B"/>
    <w:rsid w:val="00D570EF"/>
    <w:rsid w:val="00D575D8"/>
    <w:rsid w:val="00D57686"/>
    <w:rsid w:val="00D57736"/>
    <w:rsid w:val="00D577D7"/>
    <w:rsid w:val="00D57833"/>
    <w:rsid w:val="00D57958"/>
    <w:rsid w:val="00D57969"/>
    <w:rsid w:val="00D579B9"/>
    <w:rsid w:val="00D60172"/>
    <w:rsid w:val="00D604B5"/>
    <w:rsid w:val="00D604EF"/>
    <w:rsid w:val="00D60519"/>
    <w:rsid w:val="00D60540"/>
    <w:rsid w:val="00D6071E"/>
    <w:rsid w:val="00D6078D"/>
    <w:rsid w:val="00D6081A"/>
    <w:rsid w:val="00D608FD"/>
    <w:rsid w:val="00D609C7"/>
    <w:rsid w:val="00D609CC"/>
    <w:rsid w:val="00D60A56"/>
    <w:rsid w:val="00D60B35"/>
    <w:rsid w:val="00D60C23"/>
    <w:rsid w:val="00D60C78"/>
    <w:rsid w:val="00D60D85"/>
    <w:rsid w:val="00D60EA4"/>
    <w:rsid w:val="00D6103C"/>
    <w:rsid w:val="00D610C7"/>
    <w:rsid w:val="00D61141"/>
    <w:rsid w:val="00D61222"/>
    <w:rsid w:val="00D6138D"/>
    <w:rsid w:val="00D613F7"/>
    <w:rsid w:val="00D6189A"/>
    <w:rsid w:val="00D618CD"/>
    <w:rsid w:val="00D618DB"/>
    <w:rsid w:val="00D61B63"/>
    <w:rsid w:val="00D61D71"/>
    <w:rsid w:val="00D61DE8"/>
    <w:rsid w:val="00D61E96"/>
    <w:rsid w:val="00D61EE8"/>
    <w:rsid w:val="00D61F73"/>
    <w:rsid w:val="00D621E6"/>
    <w:rsid w:val="00D62350"/>
    <w:rsid w:val="00D625E8"/>
    <w:rsid w:val="00D627D2"/>
    <w:rsid w:val="00D62D54"/>
    <w:rsid w:val="00D62E6A"/>
    <w:rsid w:val="00D63002"/>
    <w:rsid w:val="00D63092"/>
    <w:rsid w:val="00D631D5"/>
    <w:rsid w:val="00D6323D"/>
    <w:rsid w:val="00D632D7"/>
    <w:rsid w:val="00D6355B"/>
    <w:rsid w:val="00D6358D"/>
    <w:rsid w:val="00D635B8"/>
    <w:rsid w:val="00D63778"/>
    <w:rsid w:val="00D637B1"/>
    <w:rsid w:val="00D63818"/>
    <w:rsid w:val="00D638AD"/>
    <w:rsid w:val="00D638C6"/>
    <w:rsid w:val="00D638FF"/>
    <w:rsid w:val="00D63A9C"/>
    <w:rsid w:val="00D63B39"/>
    <w:rsid w:val="00D63E3C"/>
    <w:rsid w:val="00D63F60"/>
    <w:rsid w:val="00D63FD6"/>
    <w:rsid w:val="00D6402D"/>
    <w:rsid w:val="00D64486"/>
    <w:rsid w:val="00D64507"/>
    <w:rsid w:val="00D6450D"/>
    <w:rsid w:val="00D6452F"/>
    <w:rsid w:val="00D6457E"/>
    <w:rsid w:val="00D645F0"/>
    <w:rsid w:val="00D64973"/>
    <w:rsid w:val="00D64A6B"/>
    <w:rsid w:val="00D64D3C"/>
    <w:rsid w:val="00D64D8A"/>
    <w:rsid w:val="00D64FDB"/>
    <w:rsid w:val="00D65037"/>
    <w:rsid w:val="00D65283"/>
    <w:rsid w:val="00D65307"/>
    <w:rsid w:val="00D65515"/>
    <w:rsid w:val="00D657A1"/>
    <w:rsid w:val="00D657AD"/>
    <w:rsid w:val="00D658FE"/>
    <w:rsid w:val="00D65D2F"/>
    <w:rsid w:val="00D65D9D"/>
    <w:rsid w:val="00D65E29"/>
    <w:rsid w:val="00D65E54"/>
    <w:rsid w:val="00D65F5D"/>
    <w:rsid w:val="00D65F66"/>
    <w:rsid w:val="00D65FD8"/>
    <w:rsid w:val="00D660C2"/>
    <w:rsid w:val="00D66110"/>
    <w:rsid w:val="00D6647C"/>
    <w:rsid w:val="00D665A9"/>
    <w:rsid w:val="00D6679E"/>
    <w:rsid w:val="00D66827"/>
    <w:rsid w:val="00D668D9"/>
    <w:rsid w:val="00D668F9"/>
    <w:rsid w:val="00D66AFB"/>
    <w:rsid w:val="00D66B22"/>
    <w:rsid w:val="00D66B84"/>
    <w:rsid w:val="00D66C0E"/>
    <w:rsid w:val="00D66DDE"/>
    <w:rsid w:val="00D673BD"/>
    <w:rsid w:val="00D67420"/>
    <w:rsid w:val="00D67600"/>
    <w:rsid w:val="00D67855"/>
    <w:rsid w:val="00D679A5"/>
    <w:rsid w:val="00D679F1"/>
    <w:rsid w:val="00D67AFF"/>
    <w:rsid w:val="00D67CEA"/>
    <w:rsid w:val="00D67DFE"/>
    <w:rsid w:val="00D67EEB"/>
    <w:rsid w:val="00D701B7"/>
    <w:rsid w:val="00D7077F"/>
    <w:rsid w:val="00D70B55"/>
    <w:rsid w:val="00D70BC3"/>
    <w:rsid w:val="00D70D68"/>
    <w:rsid w:val="00D70DA4"/>
    <w:rsid w:val="00D70EF4"/>
    <w:rsid w:val="00D710BA"/>
    <w:rsid w:val="00D71186"/>
    <w:rsid w:val="00D7133C"/>
    <w:rsid w:val="00D71654"/>
    <w:rsid w:val="00D71735"/>
    <w:rsid w:val="00D717BB"/>
    <w:rsid w:val="00D718FF"/>
    <w:rsid w:val="00D72038"/>
    <w:rsid w:val="00D7219D"/>
    <w:rsid w:val="00D722AF"/>
    <w:rsid w:val="00D72333"/>
    <w:rsid w:val="00D725B0"/>
    <w:rsid w:val="00D725B3"/>
    <w:rsid w:val="00D72639"/>
    <w:rsid w:val="00D729E4"/>
    <w:rsid w:val="00D72AAB"/>
    <w:rsid w:val="00D72BAC"/>
    <w:rsid w:val="00D72E0F"/>
    <w:rsid w:val="00D72E9D"/>
    <w:rsid w:val="00D72EFB"/>
    <w:rsid w:val="00D73220"/>
    <w:rsid w:val="00D73A8B"/>
    <w:rsid w:val="00D73B30"/>
    <w:rsid w:val="00D73C95"/>
    <w:rsid w:val="00D73D3B"/>
    <w:rsid w:val="00D73D55"/>
    <w:rsid w:val="00D73FAD"/>
    <w:rsid w:val="00D740E7"/>
    <w:rsid w:val="00D7413F"/>
    <w:rsid w:val="00D74155"/>
    <w:rsid w:val="00D74336"/>
    <w:rsid w:val="00D74807"/>
    <w:rsid w:val="00D748D6"/>
    <w:rsid w:val="00D74A8B"/>
    <w:rsid w:val="00D74BA1"/>
    <w:rsid w:val="00D74E89"/>
    <w:rsid w:val="00D74EFC"/>
    <w:rsid w:val="00D74F09"/>
    <w:rsid w:val="00D74FD5"/>
    <w:rsid w:val="00D75094"/>
    <w:rsid w:val="00D752E3"/>
    <w:rsid w:val="00D7531A"/>
    <w:rsid w:val="00D75356"/>
    <w:rsid w:val="00D75498"/>
    <w:rsid w:val="00D754FC"/>
    <w:rsid w:val="00D75777"/>
    <w:rsid w:val="00D75D3B"/>
    <w:rsid w:val="00D75DB0"/>
    <w:rsid w:val="00D75E02"/>
    <w:rsid w:val="00D75E9D"/>
    <w:rsid w:val="00D76125"/>
    <w:rsid w:val="00D761ED"/>
    <w:rsid w:val="00D7639A"/>
    <w:rsid w:val="00D764F5"/>
    <w:rsid w:val="00D76575"/>
    <w:rsid w:val="00D7693F"/>
    <w:rsid w:val="00D76A93"/>
    <w:rsid w:val="00D76A98"/>
    <w:rsid w:val="00D76C2F"/>
    <w:rsid w:val="00D76EB1"/>
    <w:rsid w:val="00D76F4A"/>
    <w:rsid w:val="00D76F77"/>
    <w:rsid w:val="00D76FBB"/>
    <w:rsid w:val="00D77028"/>
    <w:rsid w:val="00D77175"/>
    <w:rsid w:val="00D771DF"/>
    <w:rsid w:val="00D776A0"/>
    <w:rsid w:val="00D776ED"/>
    <w:rsid w:val="00D77851"/>
    <w:rsid w:val="00D778B2"/>
    <w:rsid w:val="00D77937"/>
    <w:rsid w:val="00D7793A"/>
    <w:rsid w:val="00D77ACE"/>
    <w:rsid w:val="00D77B3D"/>
    <w:rsid w:val="00D77BA1"/>
    <w:rsid w:val="00D77BDD"/>
    <w:rsid w:val="00D77C04"/>
    <w:rsid w:val="00D8008F"/>
    <w:rsid w:val="00D8016A"/>
    <w:rsid w:val="00D8029F"/>
    <w:rsid w:val="00D8031D"/>
    <w:rsid w:val="00D803D2"/>
    <w:rsid w:val="00D80581"/>
    <w:rsid w:val="00D805E4"/>
    <w:rsid w:val="00D8067A"/>
    <w:rsid w:val="00D8084B"/>
    <w:rsid w:val="00D8091A"/>
    <w:rsid w:val="00D80943"/>
    <w:rsid w:val="00D809CB"/>
    <w:rsid w:val="00D80AEE"/>
    <w:rsid w:val="00D80F64"/>
    <w:rsid w:val="00D81007"/>
    <w:rsid w:val="00D81453"/>
    <w:rsid w:val="00D81459"/>
    <w:rsid w:val="00D818BB"/>
    <w:rsid w:val="00D81DC6"/>
    <w:rsid w:val="00D81E1B"/>
    <w:rsid w:val="00D81F43"/>
    <w:rsid w:val="00D81F6B"/>
    <w:rsid w:val="00D820C4"/>
    <w:rsid w:val="00D8211D"/>
    <w:rsid w:val="00D825AF"/>
    <w:rsid w:val="00D82913"/>
    <w:rsid w:val="00D82D9C"/>
    <w:rsid w:val="00D830EB"/>
    <w:rsid w:val="00D831F9"/>
    <w:rsid w:val="00D83300"/>
    <w:rsid w:val="00D834E9"/>
    <w:rsid w:val="00D83693"/>
    <w:rsid w:val="00D83B87"/>
    <w:rsid w:val="00D83D7C"/>
    <w:rsid w:val="00D83D7F"/>
    <w:rsid w:val="00D83E82"/>
    <w:rsid w:val="00D83FBB"/>
    <w:rsid w:val="00D840E2"/>
    <w:rsid w:val="00D84180"/>
    <w:rsid w:val="00D841BD"/>
    <w:rsid w:val="00D84255"/>
    <w:rsid w:val="00D842C8"/>
    <w:rsid w:val="00D842F3"/>
    <w:rsid w:val="00D84369"/>
    <w:rsid w:val="00D8446D"/>
    <w:rsid w:val="00D84516"/>
    <w:rsid w:val="00D84543"/>
    <w:rsid w:val="00D84744"/>
    <w:rsid w:val="00D84BBA"/>
    <w:rsid w:val="00D84CD7"/>
    <w:rsid w:val="00D84DF8"/>
    <w:rsid w:val="00D85109"/>
    <w:rsid w:val="00D85331"/>
    <w:rsid w:val="00D853A7"/>
    <w:rsid w:val="00D8560D"/>
    <w:rsid w:val="00D85718"/>
    <w:rsid w:val="00D85719"/>
    <w:rsid w:val="00D85889"/>
    <w:rsid w:val="00D85AA0"/>
    <w:rsid w:val="00D85BE5"/>
    <w:rsid w:val="00D85C15"/>
    <w:rsid w:val="00D85C1D"/>
    <w:rsid w:val="00D861F0"/>
    <w:rsid w:val="00D864E1"/>
    <w:rsid w:val="00D864E8"/>
    <w:rsid w:val="00D866A8"/>
    <w:rsid w:val="00D866DE"/>
    <w:rsid w:val="00D868B0"/>
    <w:rsid w:val="00D868B8"/>
    <w:rsid w:val="00D869E0"/>
    <w:rsid w:val="00D86A2E"/>
    <w:rsid w:val="00D86BB3"/>
    <w:rsid w:val="00D8712C"/>
    <w:rsid w:val="00D87191"/>
    <w:rsid w:val="00D8732B"/>
    <w:rsid w:val="00D8734C"/>
    <w:rsid w:val="00D87549"/>
    <w:rsid w:val="00D877AE"/>
    <w:rsid w:val="00D878EE"/>
    <w:rsid w:val="00D87A5B"/>
    <w:rsid w:val="00D87D83"/>
    <w:rsid w:val="00D87D93"/>
    <w:rsid w:val="00D87F4D"/>
    <w:rsid w:val="00D8B1BD"/>
    <w:rsid w:val="00D9059C"/>
    <w:rsid w:val="00D90600"/>
    <w:rsid w:val="00D90662"/>
    <w:rsid w:val="00D90772"/>
    <w:rsid w:val="00D90796"/>
    <w:rsid w:val="00D908AC"/>
    <w:rsid w:val="00D9092C"/>
    <w:rsid w:val="00D90AE0"/>
    <w:rsid w:val="00D90BC6"/>
    <w:rsid w:val="00D90CAC"/>
    <w:rsid w:val="00D90CB3"/>
    <w:rsid w:val="00D91573"/>
    <w:rsid w:val="00D915F4"/>
    <w:rsid w:val="00D91612"/>
    <w:rsid w:val="00D91899"/>
    <w:rsid w:val="00D9192A"/>
    <w:rsid w:val="00D91959"/>
    <w:rsid w:val="00D91AA3"/>
    <w:rsid w:val="00D91C14"/>
    <w:rsid w:val="00D91C68"/>
    <w:rsid w:val="00D91E58"/>
    <w:rsid w:val="00D91E72"/>
    <w:rsid w:val="00D91EEA"/>
    <w:rsid w:val="00D91F1A"/>
    <w:rsid w:val="00D9202B"/>
    <w:rsid w:val="00D921C1"/>
    <w:rsid w:val="00D921D3"/>
    <w:rsid w:val="00D9228A"/>
    <w:rsid w:val="00D923E6"/>
    <w:rsid w:val="00D92408"/>
    <w:rsid w:val="00D926FB"/>
    <w:rsid w:val="00D927C3"/>
    <w:rsid w:val="00D92966"/>
    <w:rsid w:val="00D92BFE"/>
    <w:rsid w:val="00D92D26"/>
    <w:rsid w:val="00D92D3E"/>
    <w:rsid w:val="00D92F1B"/>
    <w:rsid w:val="00D92FC5"/>
    <w:rsid w:val="00D9304B"/>
    <w:rsid w:val="00D93153"/>
    <w:rsid w:val="00D9328C"/>
    <w:rsid w:val="00D93371"/>
    <w:rsid w:val="00D9337A"/>
    <w:rsid w:val="00D9364B"/>
    <w:rsid w:val="00D937F6"/>
    <w:rsid w:val="00D938DB"/>
    <w:rsid w:val="00D93A2A"/>
    <w:rsid w:val="00D93AE4"/>
    <w:rsid w:val="00D93C06"/>
    <w:rsid w:val="00D93C57"/>
    <w:rsid w:val="00D93CDC"/>
    <w:rsid w:val="00D93CEA"/>
    <w:rsid w:val="00D93D5D"/>
    <w:rsid w:val="00D93E2D"/>
    <w:rsid w:val="00D94023"/>
    <w:rsid w:val="00D94208"/>
    <w:rsid w:val="00D943B2"/>
    <w:rsid w:val="00D94484"/>
    <w:rsid w:val="00D94553"/>
    <w:rsid w:val="00D948FC"/>
    <w:rsid w:val="00D94AF3"/>
    <w:rsid w:val="00D94E50"/>
    <w:rsid w:val="00D94ECB"/>
    <w:rsid w:val="00D953DB"/>
    <w:rsid w:val="00D95451"/>
    <w:rsid w:val="00D9549D"/>
    <w:rsid w:val="00D9552B"/>
    <w:rsid w:val="00D955D5"/>
    <w:rsid w:val="00D95602"/>
    <w:rsid w:val="00D9565E"/>
    <w:rsid w:val="00D95876"/>
    <w:rsid w:val="00D95B52"/>
    <w:rsid w:val="00D95E27"/>
    <w:rsid w:val="00D95F40"/>
    <w:rsid w:val="00D9625A"/>
    <w:rsid w:val="00D96585"/>
    <w:rsid w:val="00D9663E"/>
    <w:rsid w:val="00D9674F"/>
    <w:rsid w:val="00D96AB1"/>
    <w:rsid w:val="00D96D0B"/>
    <w:rsid w:val="00D96DFA"/>
    <w:rsid w:val="00D96E05"/>
    <w:rsid w:val="00D96EBD"/>
    <w:rsid w:val="00D96EBF"/>
    <w:rsid w:val="00D97124"/>
    <w:rsid w:val="00D9736A"/>
    <w:rsid w:val="00D9741D"/>
    <w:rsid w:val="00D9752F"/>
    <w:rsid w:val="00D975B5"/>
    <w:rsid w:val="00D975FC"/>
    <w:rsid w:val="00D976A4"/>
    <w:rsid w:val="00D977A9"/>
    <w:rsid w:val="00D97B7B"/>
    <w:rsid w:val="00D97C4E"/>
    <w:rsid w:val="00DA06FF"/>
    <w:rsid w:val="00DA072C"/>
    <w:rsid w:val="00DA07C0"/>
    <w:rsid w:val="00DA0869"/>
    <w:rsid w:val="00DA0873"/>
    <w:rsid w:val="00DA0920"/>
    <w:rsid w:val="00DA09DC"/>
    <w:rsid w:val="00DA0B14"/>
    <w:rsid w:val="00DA0D72"/>
    <w:rsid w:val="00DA1230"/>
    <w:rsid w:val="00DA1271"/>
    <w:rsid w:val="00DA13DE"/>
    <w:rsid w:val="00DA162B"/>
    <w:rsid w:val="00DA176C"/>
    <w:rsid w:val="00DA1979"/>
    <w:rsid w:val="00DA19E5"/>
    <w:rsid w:val="00DA1A72"/>
    <w:rsid w:val="00DA1CD7"/>
    <w:rsid w:val="00DA1EFE"/>
    <w:rsid w:val="00DA21BA"/>
    <w:rsid w:val="00DA2245"/>
    <w:rsid w:val="00DA236C"/>
    <w:rsid w:val="00DA2387"/>
    <w:rsid w:val="00DA241E"/>
    <w:rsid w:val="00DA2590"/>
    <w:rsid w:val="00DA25DF"/>
    <w:rsid w:val="00DA2766"/>
    <w:rsid w:val="00DA27CB"/>
    <w:rsid w:val="00DA288A"/>
    <w:rsid w:val="00DA2912"/>
    <w:rsid w:val="00DA29DD"/>
    <w:rsid w:val="00DA2D02"/>
    <w:rsid w:val="00DA30A2"/>
    <w:rsid w:val="00DA312B"/>
    <w:rsid w:val="00DA34A3"/>
    <w:rsid w:val="00DA3755"/>
    <w:rsid w:val="00DA383C"/>
    <w:rsid w:val="00DA3A11"/>
    <w:rsid w:val="00DA3AAE"/>
    <w:rsid w:val="00DA3D1B"/>
    <w:rsid w:val="00DA3E38"/>
    <w:rsid w:val="00DA3E40"/>
    <w:rsid w:val="00DA406D"/>
    <w:rsid w:val="00DA410A"/>
    <w:rsid w:val="00DA41BA"/>
    <w:rsid w:val="00DA445A"/>
    <w:rsid w:val="00DA457B"/>
    <w:rsid w:val="00DA474C"/>
    <w:rsid w:val="00DA4888"/>
    <w:rsid w:val="00DA4988"/>
    <w:rsid w:val="00DA4AD2"/>
    <w:rsid w:val="00DA4B04"/>
    <w:rsid w:val="00DA4C33"/>
    <w:rsid w:val="00DA4CC5"/>
    <w:rsid w:val="00DA4CED"/>
    <w:rsid w:val="00DA50D5"/>
    <w:rsid w:val="00DA538F"/>
    <w:rsid w:val="00DA5464"/>
    <w:rsid w:val="00DA56D5"/>
    <w:rsid w:val="00DA56ED"/>
    <w:rsid w:val="00DA592A"/>
    <w:rsid w:val="00DA5C48"/>
    <w:rsid w:val="00DA6655"/>
    <w:rsid w:val="00DA6931"/>
    <w:rsid w:val="00DA6B0A"/>
    <w:rsid w:val="00DA6C67"/>
    <w:rsid w:val="00DA6D17"/>
    <w:rsid w:val="00DA702D"/>
    <w:rsid w:val="00DA730C"/>
    <w:rsid w:val="00DA757B"/>
    <w:rsid w:val="00DA795C"/>
    <w:rsid w:val="00DA7A21"/>
    <w:rsid w:val="00DA7B3A"/>
    <w:rsid w:val="00DB0024"/>
    <w:rsid w:val="00DB0054"/>
    <w:rsid w:val="00DB0148"/>
    <w:rsid w:val="00DB044B"/>
    <w:rsid w:val="00DB063A"/>
    <w:rsid w:val="00DB0A0D"/>
    <w:rsid w:val="00DB0BC7"/>
    <w:rsid w:val="00DB0CFF"/>
    <w:rsid w:val="00DB0DD6"/>
    <w:rsid w:val="00DB0E15"/>
    <w:rsid w:val="00DB0E99"/>
    <w:rsid w:val="00DB11D7"/>
    <w:rsid w:val="00DB12AC"/>
    <w:rsid w:val="00DB13F7"/>
    <w:rsid w:val="00DB169D"/>
    <w:rsid w:val="00DB1715"/>
    <w:rsid w:val="00DB199C"/>
    <w:rsid w:val="00DB1CB0"/>
    <w:rsid w:val="00DB1CD7"/>
    <w:rsid w:val="00DB1E0A"/>
    <w:rsid w:val="00DB1F09"/>
    <w:rsid w:val="00DB1F54"/>
    <w:rsid w:val="00DB1F80"/>
    <w:rsid w:val="00DB202F"/>
    <w:rsid w:val="00DB25E4"/>
    <w:rsid w:val="00DB2860"/>
    <w:rsid w:val="00DB2B09"/>
    <w:rsid w:val="00DB2F44"/>
    <w:rsid w:val="00DB3094"/>
    <w:rsid w:val="00DB30F1"/>
    <w:rsid w:val="00DB3334"/>
    <w:rsid w:val="00DB342E"/>
    <w:rsid w:val="00DB3436"/>
    <w:rsid w:val="00DB37BD"/>
    <w:rsid w:val="00DB3A20"/>
    <w:rsid w:val="00DB3CA1"/>
    <w:rsid w:val="00DB3CDB"/>
    <w:rsid w:val="00DB3D11"/>
    <w:rsid w:val="00DB3D23"/>
    <w:rsid w:val="00DB3DEF"/>
    <w:rsid w:val="00DB3E38"/>
    <w:rsid w:val="00DB423C"/>
    <w:rsid w:val="00DB4258"/>
    <w:rsid w:val="00DB44C0"/>
    <w:rsid w:val="00DB472D"/>
    <w:rsid w:val="00DB47BF"/>
    <w:rsid w:val="00DB4854"/>
    <w:rsid w:val="00DB48FE"/>
    <w:rsid w:val="00DB493A"/>
    <w:rsid w:val="00DB4AD0"/>
    <w:rsid w:val="00DB4ADC"/>
    <w:rsid w:val="00DB5084"/>
    <w:rsid w:val="00DB50D4"/>
    <w:rsid w:val="00DB5236"/>
    <w:rsid w:val="00DB52BE"/>
    <w:rsid w:val="00DB5460"/>
    <w:rsid w:val="00DB564A"/>
    <w:rsid w:val="00DB5779"/>
    <w:rsid w:val="00DB57DF"/>
    <w:rsid w:val="00DB59FA"/>
    <w:rsid w:val="00DB5A42"/>
    <w:rsid w:val="00DB5AF5"/>
    <w:rsid w:val="00DB5AF8"/>
    <w:rsid w:val="00DB5B0F"/>
    <w:rsid w:val="00DB5B26"/>
    <w:rsid w:val="00DB5F0A"/>
    <w:rsid w:val="00DB5FB2"/>
    <w:rsid w:val="00DB6188"/>
    <w:rsid w:val="00DB6500"/>
    <w:rsid w:val="00DB6C11"/>
    <w:rsid w:val="00DB6D13"/>
    <w:rsid w:val="00DB6E58"/>
    <w:rsid w:val="00DB714D"/>
    <w:rsid w:val="00DB7349"/>
    <w:rsid w:val="00DB7443"/>
    <w:rsid w:val="00DB768F"/>
    <w:rsid w:val="00DB77FC"/>
    <w:rsid w:val="00DB7A06"/>
    <w:rsid w:val="00DB7F93"/>
    <w:rsid w:val="00DC036E"/>
    <w:rsid w:val="00DC05B4"/>
    <w:rsid w:val="00DC0657"/>
    <w:rsid w:val="00DC08A3"/>
    <w:rsid w:val="00DC0923"/>
    <w:rsid w:val="00DC0A78"/>
    <w:rsid w:val="00DC0ACF"/>
    <w:rsid w:val="00DC0C28"/>
    <w:rsid w:val="00DC0F6D"/>
    <w:rsid w:val="00DC13F9"/>
    <w:rsid w:val="00DC181D"/>
    <w:rsid w:val="00DC18DC"/>
    <w:rsid w:val="00DC18F6"/>
    <w:rsid w:val="00DC1987"/>
    <w:rsid w:val="00DC1B5A"/>
    <w:rsid w:val="00DC1BDB"/>
    <w:rsid w:val="00DC1E3D"/>
    <w:rsid w:val="00DC20BF"/>
    <w:rsid w:val="00DC24BE"/>
    <w:rsid w:val="00DC28B5"/>
    <w:rsid w:val="00DC2906"/>
    <w:rsid w:val="00DC294E"/>
    <w:rsid w:val="00DC2A2B"/>
    <w:rsid w:val="00DC2A89"/>
    <w:rsid w:val="00DC2AF1"/>
    <w:rsid w:val="00DC2F09"/>
    <w:rsid w:val="00DC306D"/>
    <w:rsid w:val="00DC3146"/>
    <w:rsid w:val="00DC335E"/>
    <w:rsid w:val="00DC349A"/>
    <w:rsid w:val="00DC38EC"/>
    <w:rsid w:val="00DC3DC1"/>
    <w:rsid w:val="00DC3FFA"/>
    <w:rsid w:val="00DC416E"/>
    <w:rsid w:val="00DC44F2"/>
    <w:rsid w:val="00DC45F0"/>
    <w:rsid w:val="00DC46FF"/>
    <w:rsid w:val="00DC4740"/>
    <w:rsid w:val="00DC4803"/>
    <w:rsid w:val="00DC48BD"/>
    <w:rsid w:val="00DC4AB2"/>
    <w:rsid w:val="00DC4F05"/>
    <w:rsid w:val="00DC5195"/>
    <w:rsid w:val="00DC52EC"/>
    <w:rsid w:val="00DC537A"/>
    <w:rsid w:val="00DC5681"/>
    <w:rsid w:val="00DC56BC"/>
    <w:rsid w:val="00DC576B"/>
    <w:rsid w:val="00DC5824"/>
    <w:rsid w:val="00DC5861"/>
    <w:rsid w:val="00DC5A10"/>
    <w:rsid w:val="00DC5B2B"/>
    <w:rsid w:val="00DC5F6A"/>
    <w:rsid w:val="00DC605F"/>
    <w:rsid w:val="00DC608F"/>
    <w:rsid w:val="00DC6130"/>
    <w:rsid w:val="00DC61A7"/>
    <w:rsid w:val="00DC633B"/>
    <w:rsid w:val="00DC63A6"/>
    <w:rsid w:val="00DC64AE"/>
    <w:rsid w:val="00DC6630"/>
    <w:rsid w:val="00DC677E"/>
    <w:rsid w:val="00DC6B4F"/>
    <w:rsid w:val="00DC6E0E"/>
    <w:rsid w:val="00DC6F2F"/>
    <w:rsid w:val="00DC6FDE"/>
    <w:rsid w:val="00DC7230"/>
    <w:rsid w:val="00DC73B6"/>
    <w:rsid w:val="00DC73DA"/>
    <w:rsid w:val="00DC73E0"/>
    <w:rsid w:val="00DC75E9"/>
    <w:rsid w:val="00DC768E"/>
    <w:rsid w:val="00DC783F"/>
    <w:rsid w:val="00DC78CE"/>
    <w:rsid w:val="00DC793C"/>
    <w:rsid w:val="00DC7A37"/>
    <w:rsid w:val="00DC7BFB"/>
    <w:rsid w:val="00DC7C61"/>
    <w:rsid w:val="00DC7E3A"/>
    <w:rsid w:val="00DD00B9"/>
    <w:rsid w:val="00DD00C5"/>
    <w:rsid w:val="00DD025F"/>
    <w:rsid w:val="00DD03A2"/>
    <w:rsid w:val="00DD04FC"/>
    <w:rsid w:val="00DD0568"/>
    <w:rsid w:val="00DD05E0"/>
    <w:rsid w:val="00DD0722"/>
    <w:rsid w:val="00DD0766"/>
    <w:rsid w:val="00DD095F"/>
    <w:rsid w:val="00DD0AC9"/>
    <w:rsid w:val="00DD0B8C"/>
    <w:rsid w:val="00DD0BF0"/>
    <w:rsid w:val="00DD0D00"/>
    <w:rsid w:val="00DD0EBE"/>
    <w:rsid w:val="00DD0FA4"/>
    <w:rsid w:val="00DD1220"/>
    <w:rsid w:val="00DD1279"/>
    <w:rsid w:val="00DD158C"/>
    <w:rsid w:val="00DD16FC"/>
    <w:rsid w:val="00DD184C"/>
    <w:rsid w:val="00DD1935"/>
    <w:rsid w:val="00DD1B0C"/>
    <w:rsid w:val="00DD1B55"/>
    <w:rsid w:val="00DD1BF2"/>
    <w:rsid w:val="00DD1C68"/>
    <w:rsid w:val="00DD1CF6"/>
    <w:rsid w:val="00DD1E46"/>
    <w:rsid w:val="00DD1F62"/>
    <w:rsid w:val="00DD1F73"/>
    <w:rsid w:val="00DD238E"/>
    <w:rsid w:val="00DD253A"/>
    <w:rsid w:val="00DD26EC"/>
    <w:rsid w:val="00DD27F8"/>
    <w:rsid w:val="00DD298C"/>
    <w:rsid w:val="00DD2AB8"/>
    <w:rsid w:val="00DD2E0C"/>
    <w:rsid w:val="00DD2F48"/>
    <w:rsid w:val="00DD2F53"/>
    <w:rsid w:val="00DD2FBF"/>
    <w:rsid w:val="00DD3222"/>
    <w:rsid w:val="00DD3291"/>
    <w:rsid w:val="00DD32C8"/>
    <w:rsid w:val="00DD32EC"/>
    <w:rsid w:val="00DD34AD"/>
    <w:rsid w:val="00DD352A"/>
    <w:rsid w:val="00DD3771"/>
    <w:rsid w:val="00DD3BFF"/>
    <w:rsid w:val="00DD3C2E"/>
    <w:rsid w:val="00DD3E10"/>
    <w:rsid w:val="00DD4006"/>
    <w:rsid w:val="00DD45AC"/>
    <w:rsid w:val="00DD45F4"/>
    <w:rsid w:val="00DD4694"/>
    <w:rsid w:val="00DD4812"/>
    <w:rsid w:val="00DD4AE0"/>
    <w:rsid w:val="00DD4D7D"/>
    <w:rsid w:val="00DD50BA"/>
    <w:rsid w:val="00DD51C5"/>
    <w:rsid w:val="00DD5286"/>
    <w:rsid w:val="00DD5296"/>
    <w:rsid w:val="00DD56DF"/>
    <w:rsid w:val="00DD579D"/>
    <w:rsid w:val="00DD5808"/>
    <w:rsid w:val="00DD587E"/>
    <w:rsid w:val="00DD59C0"/>
    <w:rsid w:val="00DD5ACC"/>
    <w:rsid w:val="00DD5B82"/>
    <w:rsid w:val="00DD5C79"/>
    <w:rsid w:val="00DD5D9B"/>
    <w:rsid w:val="00DD5EA3"/>
    <w:rsid w:val="00DD60F2"/>
    <w:rsid w:val="00DD61CF"/>
    <w:rsid w:val="00DD63FE"/>
    <w:rsid w:val="00DD67E7"/>
    <w:rsid w:val="00DD69B7"/>
    <w:rsid w:val="00DD6C9D"/>
    <w:rsid w:val="00DD72E7"/>
    <w:rsid w:val="00DD7520"/>
    <w:rsid w:val="00DD753D"/>
    <w:rsid w:val="00DD7599"/>
    <w:rsid w:val="00DD75B0"/>
    <w:rsid w:val="00DD7689"/>
    <w:rsid w:val="00DD7830"/>
    <w:rsid w:val="00DD78B5"/>
    <w:rsid w:val="00DD7984"/>
    <w:rsid w:val="00DD7A06"/>
    <w:rsid w:val="00DD7A1D"/>
    <w:rsid w:val="00DD7ED0"/>
    <w:rsid w:val="00DD7FF2"/>
    <w:rsid w:val="00DE0080"/>
    <w:rsid w:val="00DE071B"/>
    <w:rsid w:val="00DE07B4"/>
    <w:rsid w:val="00DE09AF"/>
    <w:rsid w:val="00DE0AFD"/>
    <w:rsid w:val="00DE0BC3"/>
    <w:rsid w:val="00DE0BDA"/>
    <w:rsid w:val="00DE0C15"/>
    <w:rsid w:val="00DE0C9D"/>
    <w:rsid w:val="00DE0E21"/>
    <w:rsid w:val="00DE0E44"/>
    <w:rsid w:val="00DE0E8A"/>
    <w:rsid w:val="00DE11C8"/>
    <w:rsid w:val="00DE1259"/>
    <w:rsid w:val="00DE1266"/>
    <w:rsid w:val="00DE1275"/>
    <w:rsid w:val="00DE131E"/>
    <w:rsid w:val="00DE152C"/>
    <w:rsid w:val="00DE1C91"/>
    <w:rsid w:val="00DE1CF9"/>
    <w:rsid w:val="00DE1DBC"/>
    <w:rsid w:val="00DE20AB"/>
    <w:rsid w:val="00DE20D8"/>
    <w:rsid w:val="00DE2759"/>
    <w:rsid w:val="00DE2812"/>
    <w:rsid w:val="00DE2A61"/>
    <w:rsid w:val="00DE2A80"/>
    <w:rsid w:val="00DE2A8F"/>
    <w:rsid w:val="00DE2ED4"/>
    <w:rsid w:val="00DE2FD0"/>
    <w:rsid w:val="00DE2FF9"/>
    <w:rsid w:val="00DE3075"/>
    <w:rsid w:val="00DE314F"/>
    <w:rsid w:val="00DE32D4"/>
    <w:rsid w:val="00DE3471"/>
    <w:rsid w:val="00DE3945"/>
    <w:rsid w:val="00DE394F"/>
    <w:rsid w:val="00DE3963"/>
    <w:rsid w:val="00DE39ED"/>
    <w:rsid w:val="00DE3AC8"/>
    <w:rsid w:val="00DE3BE8"/>
    <w:rsid w:val="00DE3D2E"/>
    <w:rsid w:val="00DE3E49"/>
    <w:rsid w:val="00DE3E98"/>
    <w:rsid w:val="00DE3EE3"/>
    <w:rsid w:val="00DE4130"/>
    <w:rsid w:val="00DE419C"/>
    <w:rsid w:val="00DE421C"/>
    <w:rsid w:val="00DE4380"/>
    <w:rsid w:val="00DE449D"/>
    <w:rsid w:val="00DE4696"/>
    <w:rsid w:val="00DE4724"/>
    <w:rsid w:val="00DE4856"/>
    <w:rsid w:val="00DE493A"/>
    <w:rsid w:val="00DE4A1C"/>
    <w:rsid w:val="00DE4BB8"/>
    <w:rsid w:val="00DE4D3E"/>
    <w:rsid w:val="00DE4FEE"/>
    <w:rsid w:val="00DE5308"/>
    <w:rsid w:val="00DE542A"/>
    <w:rsid w:val="00DE5536"/>
    <w:rsid w:val="00DE5598"/>
    <w:rsid w:val="00DE5635"/>
    <w:rsid w:val="00DE57FA"/>
    <w:rsid w:val="00DE58BB"/>
    <w:rsid w:val="00DE5961"/>
    <w:rsid w:val="00DE5A67"/>
    <w:rsid w:val="00DE5C44"/>
    <w:rsid w:val="00DE5C90"/>
    <w:rsid w:val="00DE5D45"/>
    <w:rsid w:val="00DE5E43"/>
    <w:rsid w:val="00DE5E4B"/>
    <w:rsid w:val="00DE5E95"/>
    <w:rsid w:val="00DE60AA"/>
    <w:rsid w:val="00DE60D7"/>
    <w:rsid w:val="00DE6252"/>
    <w:rsid w:val="00DE6333"/>
    <w:rsid w:val="00DE6973"/>
    <w:rsid w:val="00DE6BA5"/>
    <w:rsid w:val="00DE6C0A"/>
    <w:rsid w:val="00DE6FED"/>
    <w:rsid w:val="00DE71CB"/>
    <w:rsid w:val="00DE7234"/>
    <w:rsid w:val="00DE735F"/>
    <w:rsid w:val="00DE7415"/>
    <w:rsid w:val="00DE746A"/>
    <w:rsid w:val="00DE748F"/>
    <w:rsid w:val="00DE7510"/>
    <w:rsid w:val="00DE7559"/>
    <w:rsid w:val="00DE75A4"/>
    <w:rsid w:val="00DE78A9"/>
    <w:rsid w:val="00DE78D4"/>
    <w:rsid w:val="00DE79A3"/>
    <w:rsid w:val="00DE7B15"/>
    <w:rsid w:val="00DE7B86"/>
    <w:rsid w:val="00DE7B91"/>
    <w:rsid w:val="00DE7BE5"/>
    <w:rsid w:val="00DF000E"/>
    <w:rsid w:val="00DF01CA"/>
    <w:rsid w:val="00DF03E5"/>
    <w:rsid w:val="00DF044A"/>
    <w:rsid w:val="00DF06F8"/>
    <w:rsid w:val="00DF0757"/>
    <w:rsid w:val="00DF0886"/>
    <w:rsid w:val="00DF0C6D"/>
    <w:rsid w:val="00DF1242"/>
    <w:rsid w:val="00DF131C"/>
    <w:rsid w:val="00DF1664"/>
    <w:rsid w:val="00DF16AB"/>
    <w:rsid w:val="00DF1899"/>
    <w:rsid w:val="00DF19D6"/>
    <w:rsid w:val="00DF19F5"/>
    <w:rsid w:val="00DF1AA1"/>
    <w:rsid w:val="00DF1C38"/>
    <w:rsid w:val="00DF1D02"/>
    <w:rsid w:val="00DF1E83"/>
    <w:rsid w:val="00DF1F29"/>
    <w:rsid w:val="00DF1FB1"/>
    <w:rsid w:val="00DF1FF9"/>
    <w:rsid w:val="00DF2011"/>
    <w:rsid w:val="00DF203E"/>
    <w:rsid w:val="00DF223A"/>
    <w:rsid w:val="00DF25B9"/>
    <w:rsid w:val="00DF2620"/>
    <w:rsid w:val="00DF2748"/>
    <w:rsid w:val="00DF28DB"/>
    <w:rsid w:val="00DF2908"/>
    <w:rsid w:val="00DF2919"/>
    <w:rsid w:val="00DF2991"/>
    <w:rsid w:val="00DF2F02"/>
    <w:rsid w:val="00DF2F52"/>
    <w:rsid w:val="00DF307F"/>
    <w:rsid w:val="00DF3171"/>
    <w:rsid w:val="00DF3352"/>
    <w:rsid w:val="00DF351C"/>
    <w:rsid w:val="00DF3805"/>
    <w:rsid w:val="00DF3842"/>
    <w:rsid w:val="00DF3B2B"/>
    <w:rsid w:val="00DF3CD4"/>
    <w:rsid w:val="00DF4153"/>
    <w:rsid w:val="00DF448E"/>
    <w:rsid w:val="00DF459E"/>
    <w:rsid w:val="00DF45B1"/>
    <w:rsid w:val="00DF464D"/>
    <w:rsid w:val="00DF4672"/>
    <w:rsid w:val="00DF46CD"/>
    <w:rsid w:val="00DF4C63"/>
    <w:rsid w:val="00DF4DE8"/>
    <w:rsid w:val="00DF4E01"/>
    <w:rsid w:val="00DF4F32"/>
    <w:rsid w:val="00DF4F84"/>
    <w:rsid w:val="00DF4FA9"/>
    <w:rsid w:val="00DF5295"/>
    <w:rsid w:val="00DF5578"/>
    <w:rsid w:val="00DF5788"/>
    <w:rsid w:val="00DF59DE"/>
    <w:rsid w:val="00DF5CA0"/>
    <w:rsid w:val="00DF5CD6"/>
    <w:rsid w:val="00DF5CE0"/>
    <w:rsid w:val="00DF5D0F"/>
    <w:rsid w:val="00DF5DF7"/>
    <w:rsid w:val="00DF5E42"/>
    <w:rsid w:val="00DF62A4"/>
    <w:rsid w:val="00DF62C4"/>
    <w:rsid w:val="00DF67F7"/>
    <w:rsid w:val="00DF6978"/>
    <w:rsid w:val="00DF699A"/>
    <w:rsid w:val="00DF6C6E"/>
    <w:rsid w:val="00DF6E9B"/>
    <w:rsid w:val="00DF6F9E"/>
    <w:rsid w:val="00DF7208"/>
    <w:rsid w:val="00DF72A7"/>
    <w:rsid w:val="00DF7302"/>
    <w:rsid w:val="00DF7378"/>
    <w:rsid w:val="00DF78A1"/>
    <w:rsid w:val="00DF7B12"/>
    <w:rsid w:val="00DF7B70"/>
    <w:rsid w:val="00DF7BB6"/>
    <w:rsid w:val="00DF7E9C"/>
    <w:rsid w:val="00DF7EE9"/>
    <w:rsid w:val="00DF7EFC"/>
    <w:rsid w:val="00DF7F56"/>
    <w:rsid w:val="00E00195"/>
    <w:rsid w:val="00E0042B"/>
    <w:rsid w:val="00E0042F"/>
    <w:rsid w:val="00E00695"/>
    <w:rsid w:val="00E0077E"/>
    <w:rsid w:val="00E0083E"/>
    <w:rsid w:val="00E008D0"/>
    <w:rsid w:val="00E00A25"/>
    <w:rsid w:val="00E00EA4"/>
    <w:rsid w:val="00E00FEC"/>
    <w:rsid w:val="00E01258"/>
    <w:rsid w:val="00E0126A"/>
    <w:rsid w:val="00E013CA"/>
    <w:rsid w:val="00E013CC"/>
    <w:rsid w:val="00E014BA"/>
    <w:rsid w:val="00E01531"/>
    <w:rsid w:val="00E0178C"/>
    <w:rsid w:val="00E017D7"/>
    <w:rsid w:val="00E018C3"/>
    <w:rsid w:val="00E01E2A"/>
    <w:rsid w:val="00E01ECF"/>
    <w:rsid w:val="00E0222E"/>
    <w:rsid w:val="00E02621"/>
    <w:rsid w:val="00E02622"/>
    <w:rsid w:val="00E026C2"/>
    <w:rsid w:val="00E02714"/>
    <w:rsid w:val="00E027B7"/>
    <w:rsid w:val="00E02C08"/>
    <w:rsid w:val="00E02CAC"/>
    <w:rsid w:val="00E02E8B"/>
    <w:rsid w:val="00E0325B"/>
    <w:rsid w:val="00E03A9B"/>
    <w:rsid w:val="00E03C58"/>
    <w:rsid w:val="00E0401A"/>
    <w:rsid w:val="00E040C9"/>
    <w:rsid w:val="00E040F6"/>
    <w:rsid w:val="00E04153"/>
    <w:rsid w:val="00E0417D"/>
    <w:rsid w:val="00E041D6"/>
    <w:rsid w:val="00E041ED"/>
    <w:rsid w:val="00E045B2"/>
    <w:rsid w:val="00E04663"/>
    <w:rsid w:val="00E047D3"/>
    <w:rsid w:val="00E04943"/>
    <w:rsid w:val="00E04A41"/>
    <w:rsid w:val="00E04AE2"/>
    <w:rsid w:val="00E04CC6"/>
    <w:rsid w:val="00E050E2"/>
    <w:rsid w:val="00E0517F"/>
    <w:rsid w:val="00E051E3"/>
    <w:rsid w:val="00E0538F"/>
    <w:rsid w:val="00E0547C"/>
    <w:rsid w:val="00E0555C"/>
    <w:rsid w:val="00E05594"/>
    <w:rsid w:val="00E05789"/>
    <w:rsid w:val="00E05BA3"/>
    <w:rsid w:val="00E05E59"/>
    <w:rsid w:val="00E0624D"/>
    <w:rsid w:val="00E0643D"/>
    <w:rsid w:val="00E0653A"/>
    <w:rsid w:val="00E065D0"/>
    <w:rsid w:val="00E068DB"/>
    <w:rsid w:val="00E06A0F"/>
    <w:rsid w:val="00E06C6D"/>
    <w:rsid w:val="00E06DF6"/>
    <w:rsid w:val="00E07052"/>
    <w:rsid w:val="00E07100"/>
    <w:rsid w:val="00E0715F"/>
    <w:rsid w:val="00E0726C"/>
    <w:rsid w:val="00E07281"/>
    <w:rsid w:val="00E07420"/>
    <w:rsid w:val="00E0769B"/>
    <w:rsid w:val="00E079B8"/>
    <w:rsid w:val="00E07B31"/>
    <w:rsid w:val="00E07D2E"/>
    <w:rsid w:val="00E10056"/>
    <w:rsid w:val="00E10064"/>
    <w:rsid w:val="00E10164"/>
    <w:rsid w:val="00E101CF"/>
    <w:rsid w:val="00E10205"/>
    <w:rsid w:val="00E103FE"/>
    <w:rsid w:val="00E104CC"/>
    <w:rsid w:val="00E1069D"/>
    <w:rsid w:val="00E10A09"/>
    <w:rsid w:val="00E10AC8"/>
    <w:rsid w:val="00E10CCE"/>
    <w:rsid w:val="00E10E47"/>
    <w:rsid w:val="00E10EF6"/>
    <w:rsid w:val="00E1104D"/>
    <w:rsid w:val="00E11094"/>
    <w:rsid w:val="00E11164"/>
    <w:rsid w:val="00E11225"/>
    <w:rsid w:val="00E11386"/>
    <w:rsid w:val="00E113D9"/>
    <w:rsid w:val="00E11437"/>
    <w:rsid w:val="00E1148B"/>
    <w:rsid w:val="00E115E3"/>
    <w:rsid w:val="00E116C9"/>
    <w:rsid w:val="00E11AEF"/>
    <w:rsid w:val="00E11EA7"/>
    <w:rsid w:val="00E1215E"/>
    <w:rsid w:val="00E121BE"/>
    <w:rsid w:val="00E12408"/>
    <w:rsid w:val="00E125F5"/>
    <w:rsid w:val="00E1272B"/>
    <w:rsid w:val="00E12B9E"/>
    <w:rsid w:val="00E12C10"/>
    <w:rsid w:val="00E12E2D"/>
    <w:rsid w:val="00E12FA9"/>
    <w:rsid w:val="00E13055"/>
    <w:rsid w:val="00E130C8"/>
    <w:rsid w:val="00E131F6"/>
    <w:rsid w:val="00E13345"/>
    <w:rsid w:val="00E133B2"/>
    <w:rsid w:val="00E133B4"/>
    <w:rsid w:val="00E133C2"/>
    <w:rsid w:val="00E13474"/>
    <w:rsid w:val="00E134EB"/>
    <w:rsid w:val="00E13503"/>
    <w:rsid w:val="00E135E9"/>
    <w:rsid w:val="00E1362F"/>
    <w:rsid w:val="00E136B7"/>
    <w:rsid w:val="00E139F1"/>
    <w:rsid w:val="00E13B66"/>
    <w:rsid w:val="00E13E14"/>
    <w:rsid w:val="00E13E3B"/>
    <w:rsid w:val="00E13E9B"/>
    <w:rsid w:val="00E13FD2"/>
    <w:rsid w:val="00E140FD"/>
    <w:rsid w:val="00E14103"/>
    <w:rsid w:val="00E142BE"/>
    <w:rsid w:val="00E143D3"/>
    <w:rsid w:val="00E1444B"/>
    <w:rsid w:val="00E1455B"/>
    <w:rsid w:val="00E1481F"/>
    <w:rsid w:val="00E1485B"/>
    <w:rsid w:val="00E1492B"/>
    <w:rsid w:val="00E14AED"/>
    <w:rsid w:val="00E14AF9"/>
    <w:rsid w:val="00E14F15"/>
    <w:rsid w:val="00E151CA"/>
    <w:rsid w:val="00E153B1"/>
    <w:rsid w:val="00E15448"/>
    <w:rsid w:val="00E15466"/>
    <w:rsid w:val="00E15473"/>
    <w:rsid w:val="00E156F1"/>
    <w:rsid w:val="00E158EF"/>
    <w:rsid w:val="00E15A4F"/>
    <w:rsid w:val="00E15CB7"/>
    <w:rsid w:val="00E1604E"/>
    <w:rsid w:val="00E16522"/>
    <w:rsid w:val="00E16899"/>
    <w:rsid w:val="00E1699A"/>
    <w:rsid w:val="00E16C02"/>
    <w:rsid w:val="00E17149"/>
    <w:rsid w:val="00E171AF"/>
    <w:rsid w:val="00E1720C"/>
    <w:rsid w:val="00E1741A"/>
    <w:rsid w:val="00E17601"/>
    <w:rsid w:val="00E17617"/>
    <w:rsid w:val="00E178D9"/>
    <w:rsid w:val="00E17995"/>
    <w:rsid w:val="00E17DA1"/>
    <w:rsid w:val="00E17F2A"/>
    <w:rsid w:val="00E17F7E"/>
    <w:rsid w:val="00E17F98"/>
    <w:rsid w:val="00E20252"/>
    <w:rsid w:val="00E202EE"/>
    <w:rsid w:val="00E2039D"/>
    <w:rsid w:val="00E20404"/>
    <w:rsid w:val="00E204B7"/>
    <w:rsid w:val="00E20604"/>
    <w:rsid w:val="00E20731"/>
    <w:rsid w:val="00E20B2B"/>
    <w:rsid w:val="00E20C2B"/>
    <w:rsid w:val="00E20E3E"/>
    <w:rsid w:val="00E21320"/>
    <w:rsid w:val="00E2144B"/>
    <w:rsid w:val="00E214EE"/>
    <w:rsid w:val="00E2172E"/>
    <w:rsid w:val="00E218D9"/>
    <w:rsid w:val="00E21C0B"/>
    <w:rsid w:val="00E21CB2"/>
    <w:rsid w:val="00E21CD2"/>
    <w:rsid w:val="00E21D6A"/>
    <w:rsid w:val="00E21F04"/>
    <w:rsid w:val="00E21F0F"/>
    <w:rsid w:val="00E220AA"/>
    <w:rsid w:val="00E22223"/>
    <w:rsid w:val="00E2227F"/>
    <w:rsid w:val="00E222AC"/>
    <w:rsid w:val="00E223D1"/>
    <w:rsid w:val="00E227B9"/>
    <w:rsid w:val="00E22888"/>
    <w:rsid w:val="00E22AE3"/>
    <w:rsid w:val="00E22BC1"/>
    <w:rsid w:val="00E22C88"/>
    <w:rsid w:val="00E22D16"/>
    <w:rsid w:val="00E22F0F"/>
    <w:rsid w:val="00E231C7"/>
    <w:rsid w:val="00E23205"/>
    <w:rsid w:val="00E234F6"/>
    <w:rsid w:val="00E23509"/>
    <w:rsid w:val="00E23804"/>
    <w:rsid w:val="00E238ED"/>
    <w:rsid w:val="00E23EE0"/>
    <w:rsid w:val="00E23F76"/>
    <w:rsid w:val="00E2422D"/>
    <w:rsid w:val="00E242A4"/>
    <w:rsid w:val="00E2435F"/>
    <w:rsid w:val="00E248FC"/>
    <w:rsid w:val="00E24B8D"/>
    <w:rsid w:val="00E24E20"/>
    <w:rsid w:val="00E24FC5"/>
    <w:rsid w:val="00E24FEA"/>
    <w:rsid w:val="00E25049"/>
    <w:rsid w:val="00E25050"/>
    <w:rsid w:val="00E25085"/>
    <w:rsid w:val="00E251D8"/>
    <w:rsid w:val="00E25458"/>
    <w:rsid w:val="00E2551B"/>
    <w:rsid w:val="00E25708"/>
    <w:rsid w:val="00E2585A"/>
    <w:rsid w:val="00E25A17"/>
    <w:rsid w:val="00E25BA9"/>
    <w:rsid w:val="00E25C15"/>
    <w:rsid w:val="00E25E01"/>
    <w:rsid w:val="00E25FBD"/>
    <w:rsid w:val="00E261A0"/>
    <w:rsid w:val="00E2625D"/>
    <w:rsid w:val="00E262D8"/>
    <w:rsid w:val="00E262EA"/>
    <w:rsid w:val="00E2630D"/>
    <w:rsid w:val="00E2646A"/>
    <w:rsid w:val="00E265CC"/>
    <w:rsid w:val="00E266A7"/>
    <w:rsid w:val="00E2680D"/>
    <w:rsid w:val="00E26A72"/>
    <w:rsid w:val="00E26A8B"/>
    <w:rsid w:val="00E26B67"/>
    <w:rsid w:val="00E26BD6"/>
    <w:rsid w:val="00E26D2A"/>
    <w:rsid w:val="00E26DF3"/>
    <w:rsid w:val="00E26EE9"/>
    <w:rsid w:val="00E26FB2"/>
    <w:rsid w:val="00E273F8"/>
    <w:rsid w:val="00E27570"/>
    <w:rsid w:val="00E27699"/>
    <w:rsid w:val="00E277DE"/>
    <w:rsid w:val="00E27B6C"/>
    <w:rsid w:val="00E27BDD"/>
    <w:rsid w:val="00E27C14"/>
    <w:rsid w:val="00E27E2E"/>
    <w:rsid w:val="00E3028E"/>
    <w:rsid w:val="00E30453"/>
    <w:rsid w:val="00E305A5"/>
    <w:rsid w:val="00E30646"/>
    <w:rsid w:val="00E3086D"/>
    <w:rsid w:val="00E30972"/>
    <w:rsid w:val="00E309C8"/>
    <w:rsid w:val="00E309F0"/>
    <w:rsid w:val="00E30AC4"/>
    <w:rsid w:val="00E30C2A"/>
    <w:rsid w:val="00E30C59"/>
    <w:rsid w:val="00E30D0B"/>
    <w:rsid w:val="00E30E03"/>
    <w:rsid w:val="00E30F31"/>
    <w:rsid w:val="00E30F62"/>
    <w:rsid w:val="00E31082"/>
    <w:rsid w:val="00E310E7"/>
    <w:rsid w:val="00E3129F"/>
    <w:rsid w:val="00E312D4"/>
    <w:rsid w:val="00E313BB"/>
    <w:rsid w:val="00E31481"/>
    <w:rsid w:val="00E316D2"/>
    <w:rsid w:val="00E31C10"/>
    <w:rsid w:val="00E31CB6"/>
    <w:rsid w:val="00E31CC8"/>
    <w:rsid w:val="00E31E81"/>
    <w:rsid w:val="00E31FA0"/>
    <w:rsid w:val="00E321B1"/>
    <w:rsid w:val="00E323BC"/>
    <w:rsid w:val="00E325F9"/>
    <w:rsid w:val="00E32636"/>
    <w:rsid w:val="00E326D1"/>
    <w:rsid w:val="00E327BF"/>
    <w:rsid w:val="00E3281B"/>
    <w:rsid w:val="00E32ACA"/>
    <w:rsid w:val="00E32B34"/>
    <w:rsid w:val="00E32B82"/>
    <w:rsid w:val="00E32E18"/>
    <w:rsid w:val="00E32E34"/>
    <w:rsid w:val="00E32EF0"/>
    <w:rsid w:val="00E32F9C"/>
    <w:rsid w:val="00E3331D"/>
    <w:rsid w:val="00E335DD"/>
    <w:rsid w:val="00E3370A"/>
    <w:rsid w:val="00E33845"/>
    <w:rsid w:val="00E338BE"/>
    <w:rsid w:val="00E33917"/>
    <w:rsid w:val="00E3397E"/>
    <w:rsid w:val="00E33C45"/>
    <w:rsid w:val="00E33CB7"/>
    <w:rsid w:val="00E33D16"/>
    <w:rsid w:val="00E33E0A"/>
    <w:rsid w:val="00E33E14"/>
    <w:rsid w:val="00E33F28"/>
    <w:rsid w:val="00E34448"/>
    <w:rsid w:val="00E344DF"/>
    <w:rsid w:val="00E345B9"/>
    <w:rsid w:val="00E34690"/>
    <w:rsid w:val="00E34713"/>
    <w:rsid w:val="00E3473D"/>
    <w:rsid w:val="00E3491C"/>
    <w:rsid w:val="00E34AB5"/>
    <w:rsid w:val="00E34B63"/>
    <w:rsid w:val="00E34B93"/>
    <w:rsid w:val="00E34C44"/>
    <w:rsid w:val="00E34CAD"/>
    <w:rsid w:val="00E34CCB"/>
    <w:rsid w:val="00E34D12"/>
    <w:rsid w:val="00E34E88"/>
    <w:rsid w:val="00E35238"/>
    <w:rsid w:val="00E353B6"/>
    <w:rsid w:val="00E353BA"/>
    <w:rsid w:val="00E35874"/>
    <w:rsid w:val="00E35A2D"/>
    <w:rsid w:val="00E35B65"/>
    <w:rsid w:val="00E35C3C"/>
    <w:rsid w:val="00E35CAB"/>
    <w:rsid w:val="00E35D4A"/>
    <w:rsid w:val="00E361C0"/>
    <w:rsid w:val="00E365B2"/>
    <w:rsid w:val="00E365C8"/>
    <w:rsid w:val="00E36713"/>
    <w:rsid w:val="00E36730"/>
    <w:rsid w:val="00E36945"/>
    <w:rsid w:val="00E36978"/>
    <w:rsid w:val="00E3699C"/>
    <w:rsid w:val="00E36D8E"/>
    <w:rsid w:val="00E3706F"/>
    <w:rsid w:val="00E372E6"/>
    <w:rsid w:val="00E37321"/>
    <w:rsid w:val="00E3732E"/>
    <w:rsid w:val="00E37625"/>
    <w:rsid w:val="00E37838"/>
    <w:rsid w:val="00E37B37"/>
    <w:rsid w:val="00E37BB4"/>
    <w:rsid w:val="00E37CE0"/>
    <w:rsid w:val="00E37EB3"/>
    <w:rsid w:val="00E37F94"/>
    <w:rsid w:val="00E401E6"/>
    <w:rsid w:val="00E403AF"/>
    <w:rsid w:val="00E4049E"/>
    <w:rsid w:val="00E40511"/>
    <w:rsid w:val="00E4067A"/>
    <w:rsid w:val="00E4074A"/>
    <w:rsid w:val="00E4086A"/>
    <w:rsid w:val="00E40A7E"/>
    <w:rsid w:val="00E40CC0"/>
    <w:rsid w:val="00E40E0B"/>
    <w:rsid w:val="00E40F21"/>
    <w:rsid w:val="00E40F4C"/>
    <w:rsid w:val="00E40FA5"/>
    <w:rsid w:val="00E412EA"/>
    <w:rsid w:val="00E414F8"/>
    <w:rsid w:val="00E41712"/>
    <w:rsid w:val="00E41762"/>
    <w:rsid w:val="00E41864"/>
    <w:rsid w:val="00E419BD"/>
    <w:rsid w:val="00E419E4"/>
    <w:rsid w:val="00E41A5E"/>
    <w:rsid w:val="00E41B16"/>
    <w:rsid w:val="00E41B7F"/>
    <w:rsid w:val="00E41C46"/>
    <w:rsid w:val="00E41C5B"/>
    <w:rsid w:val="00E41F77"/>
    <w:rsid w:val="00E41FB5"/>
    <w:rsid w:val="00E4212B"/>
    <w:rsid w:val="00E42219"/>
    <w:rsid w:val="00E4274F"/>
    <w:rsid w:val="00E427DA"/>
    <w:rsid w:val="00E427E3"/>
    <w:rsid w:val="00E427FA"/>
    <w:rsid w:val="00E4281A"/>
    <w:rsid w:val="00E42896"/>
    <w:rsid w:val="00E42B47"/>
    <w:rsid w:val="00E42C92"/>
    <w:rsid w:val="00E42D19"/>
    <w:rsid w:val="00E42F22"/>
    <w:rsid w:val="00E4301E"/>
    <w:rsid w:val="00E4366F"/>
    <w:rsid w:val="00E43716"/>
    <w:rsid w:val="00E43F37"/>
    <w:rsid w:val="00E43FBC"/>
    <w:rsid w:val="00E44296"/>
    <w:rsid w:val="00E44B37"/>
    <w:rsid w:val="00E44BF7"/>
    <w:rsid w:val="00E44CB7"/>
    <w:rsid w:val="00E4511B"/>
    <w:rsid w:val="00E45176"/>
    <w:rsid w:val="00E455CA"/>
    <w:rsid w:val="00E45620"/>
    <w:rsid w:val="00E45681"/>
    <w:rsid w:val="00E45693"/>
    <w:rsid w:val="00E458E4"/>
    <w:rsid w:val="00E45B33"/>
    <w:rsid w:val="00E45CC0"/>
    <w:rsid w:val="00E45E46"/>
    <w:rsid w:val="00E45EE0"/>
    <w:rsid w:val="00E461B9"/>
    <w:rsid w:val="00E4664C"/>
    <w:rsid w:val="00E466C2"/>
    <w:rsid w:val="00E4692D"/>
    <w:rsid w:val="00E46B5E"/>
    <w:rsid w:val="00E46E38"/>
    <w:rsid w:val="00E47118"/>
    <w:rsid w:val="00E47154"/>
    <w:rsid w:val="00E472AA"/>
    <w:rsid w:val="00E4765A"/>
    <w:rsid w:val="00E4774B"/>
    <w:rsid w:val="00E47806"/>
    <w:rsid w:val="00E47858"/>
    <w:rsid w:val="00E47A4D"/>
    <w:rsid w:val="00E47B79"/>
    <w:rsid w:val="00E47D81"/>
    <w:rsid w:val="00E47F5C"/>
    <w:rsid w:val="00E4E825"/>
    <w:rsid w:val="00E50534"/>
    <w:rsid w:val="00E50570"/>
    <w:rsid w:val="00E506B4"/>
    <w:rsid w:val="00E506B8"/>
    <w:rsid w:val="00E506D3"/>
    <w:rsid w:val="00E5071C"/>
    <w:rsid w:val="00E5071F"/>
    <w:rsid w:val="00E50730"/>
    <w:rsid w:val="00E50928"/>
    <w:rsid w:val="00E50CEB"/>
    <w:rsid w:val="00E50E57"/>
    <w:rsid w:val="00E511D9"/>
    <w:rsid w:val="00E51507"/>
    <w:rsid w:val="00E51624"/>
    <w:rsid w:val="00E51875"/>
    <w:rsid w:val="00E519F6"/>
    <w:rsid w:val="00E51BF5"/>
    <w:rsid w:val="00E51C72"/>
    <w:rsid w:val="00E51D85"/>
    <w:rsid w:val="00E521AA"/>
    <w:rsid w:val="00E521FB"/>
    <w:rsid w:val="00E5225F"/>
    <w:rsid w:val="00E52365"/>
    <w:rsid w:val="00E5251A"/>
    <w:rsid w:val="00E52574"/>
    <w:rsid w:val="00E52891"/>
    <w:rsid w:val="00E5289E"/>
    <w:rsid w:val="00E528B7"/>
    <w:rsid w:val="00E529B3"/>
    <w:rsid w:val="00E52A5A"/>
    <w:rsid w:val="00E52EC1"/>
    <w:rsid w:val="00E52F09"/>
    <w:rsid w:val="00E52F36"/>
    <w:rsid w:val="00E53233"/>
    <w:rsid w:val="00E53460"/>
    <w:rsid w:val="00E53570"/>
    <w:rsid w:val="00E53642"/>
    <w:rsid w:val="00E53862"/>
    <w:rsid w:val="00E5396C"/>
    <w:rsid w:val="00E53C43"/>
    <w:rsid w:val="00E53CBE"/>
    <w:rsid w:val="00E53CD0"/>
    <w:rsid w:val="00E53D3E"/>
    <w:rsid w:val="00E53EE4"/>
    <w:rsid w:val="00E53FCA"/>
    <w:rsid w:val="00E53FD4"/>
    <w:rsid w:val="00E541F3"/>
    <w:rsid w:val="00E543F7"/>
    <w:rsid w:val="00E54486"/>
    <w:rsid w:val="00E5482F"/>
    <w:rsid w:val="00E54D4F"/>
    <w:rsid w:val="00E54F75"/>
    <w:rsid w:val="00E55011"/>
    <w:rsid w:val="00E55652"/>
    <w:rsid w:val="00E5565E"/>
    <w:rsid w:val="00E55969"/>
    <w:rsid w:val="00E55AF0"/>
    <w:rsid w:val="00E55B64"/>
    <w:rsid w:val="00E55C65"/>
    <w:rsid w:val="00E56158"/>
    <w:rsid w:val="00E56278"/>
    <w:rsid w:val="00E56375"/>
    <w:rsid w:val="00E563B8"/>
    <w:rsid w:val="00E56468"/>
    <w:rsid w:val="00E5671A"/>
    <w:rsid w:val="00E567C8"/>
    <w:rsid w:val="00E56CB2"/>
    <w:rsid w:val="00E56CC6"/>
    <w:rsid w:val="00E57139"/>
    <w:rsid w:val="00E5745A"/>
    <w:rsid w:val="00E57578"/>
    <w:rsid w:val="00E577B6"/>
    <w:rsid w:val="00E577C8"/>
    <w:rsid w:val="00E577FD"/>
    <w:rsid w:val="00E57944"/>
    <w:rsid w:val="00E579B5"/>
    <w:rsid w:val="00E57F0C"/>
    <w:rsid w:val="00E60005"/>
    <w:rsid w:val="00E60328"/>
    <w:rsid w:val="00E6037B"/>
    <w:rsid w:val="00E6042D"/>
    <w:rsid w:val="00E6054C"/>
    <w:rsid w:val="00E60682"/>
    <w:rsid w:val="00E60948"/>
    <w:rsid w:val="00E6099F"/>
    <w:rsid w:val="00E60A14"/>
    <w:rsid w:val="00E60E38"/>
    <w:rsid w:val="00E60FAA"/>
    <w:rsid w:val="00E61044"/>
    <w:rsid w:val="00E6112E"/>
    <w:rsid w:val="00E61348"/>
    <w:rsid w:val="00E61946"/>
    <w:rsid w:val="00E619A8"/>
    <w:rsid w:val="00E61A32"/>
    <w:rsid w:val="00E61A5A"/>
    <w:rsid w:val="00E61BEE"/>
    <w:rsid w:val="00E61C70"/>
    <w:rsid w:val="00E61F23"/>
    <w:rsid w:val="00E620BD"/>
    <w:rsid w:val="00E6225D"/>
    <w:rsid w:val="00E624D2"/>
    <w:rsid w:val="00E626CA"/>
    <w:rsid w:val="00E6282F"/>
    <w:rsid w:val="00E62B09"/>
    <w:rsid w:val="00E62CE0"/>
    <w:rsid w:val="00E62F42"/>
    <w:rsid w:val="00E62F7E"/>
    <w:rsid w:val="00E63100"/>
    <w:rsid w:val="00E631F6"/>
    <w:rsid w:val="00E63364"/>
    <w:rsid w:val="00E6338C"/>
    <w:rsid w:val="00E63414"/>
    <w:rsid w:val="00E63695"/>
    <w:rsid w:val="00E637E5"/>
    <w:rsid w:val="00E63876"/>
    <w:rsid w:val="00E63897"/>
    <w:rsid w:val="00E638D9"/>
    <w:rsid w:val="00E63991"/>
    <w:rsid w:val="00E63B1E"/>
    <w:rsid w:val="00E63CAA"/>
    <w:rsid w:val="00E64045"/>
    <w:rsid w:val="00E64218"/>
    <w:rsid w:val="00E64233"/>
    <w:rsid w:val="00E6442D"/>
    <w:rsid w:val="00E644D7"/>
    <w:rsid w:val="00E644F1"/>
    <w:rsid w:val="00E6451B"/>
    <w:rsid w:val="00E645C5"/>
    <w:rsid w:val="00E648A3"/>
    <w:rsid w:val="00E648D1"/>
    <w:rsid w:val="00E6492F"/>
    <w:rsid w:val="00E64AB4"/>
    <w:rsid w:val="00E64AF7"/>
    <w:rsid w:val="00E64BCD"/>
    <w:rsid w:val="00E64BDD"/>
    <w:rsid w:val="00E64C5C"/>
    <w:rsid w:val="00E64D69"/>
    <w:rsid w:val="00E64F76"/>
    <w:rsid w:val="00E64F81"/>
    <w:rsid w:val="00E6501A"/>
    <w:rsid w:val="00E65386"/>
    <w:rsid w:val="00E656AA"/>
    <w:rsid w:val="00E656F1"/>
    <w:rsid w:val="00E65751"/>
    <w:rsid w:val="00E658D5"/>
    <w:rsid w:val="00E65C4A"/>
    <w:rsid w:val="00E65C63"/>
    <w:rsid w:val="00E65D73"/>
    <w:rsid w:val="00E65F53"/>
    <w:rsid w:val="00E66114"/>
    <w:rsid w:val="00E66170"/>
    <w:rsid w:val="00E66735"/>
    <w:rsid w:val="00E6675C"/>
    <w:rsid w:val="00E667B2"/>
    <w:rsid w:val="00E66BEB"/>
    <w:rsid w:val="00E66DDA"/>
    <w:rsid w:val="00E67094"/>
    <w:rsid w:val="00E6717E"/>
    <w:rsid w:val="00E67431"/>
    <w:rsid w:val="00E674D9"/>
    <w:rsid w:val="00E67531"/>
    <w:rsid w:val="00E67541"/>
    <w:rsid w:val="00E67598"/>
    <w:rsid w:val="00E677B0"/>
    <w:rsid w:val="00E677ED"/>
    <w:rsid w:val="00E678BB"/>
    <w:rsid w:val="00E6791F"/>
    <w:rsid w:val="00E67A08"/>
    <w:rsid w:val="00E67AAB"/>
    <w:rsid w:val="00E67C21"/>
    <w:rsid w:val="00E70023"/>
    <w:rsid w:val="00E701C8"/>
    <w:rsid w:val="00E701DF"/>
    <w:rsid w:val="00E70272"/>
    <w:rsid w:val="00E703FC"/>
    <w:rsid w:val="00E70466"/>
    <w:rsid w:val="00E704C7"/>
    <w:rsid w:val="00E70560"/>
    <w:rsid w:val="00E7056B"/>
    <w:rsid w:val="00E705D0"/>
    <w:rsid w:val="00E707A4"/>
    <w:rsid w:val="00E70EBA"/>
    <w:rsid w:val="00E71186"/>
    <w:rsid w:val="00E711E6"/>
    <w:rsid w:val="00E71517"/>
    <w:rsid w:val="00E7152B"/>
    <w:rsid w:val="00E7167D"/>
    <w:rsid w:val="00E7187B"/>
    <w:rsid w:val="00E71B39"/>
    <w:rsid w:val="00E71C9F"/>
    <w:rsid w:val="00E71DCE"/>
    <w:rsid w:val="00E71F27"/>
    <w:rsid w:val="00E72007"/>
    <w:rsid w:val="00E72029"/>
    <w:rsid w:val="00E721D6"/>
    <w:rsid w:val="00E722EF"/>
    <w:rsid w:val="00E72553"/>
    <w:rsid w:val="00E72741"/>
    <w:rsid w:val="00E72ABB"/>
    <w:rsid w:val="00E72BC6"/>
    <w:rsid w:val="00E72C01"/>
    <w:rsid w:val="00E72D65"/>
    <w:rsid w:val="00E72DC5"/>
    <w:rsid w:val="00E72F18"/>
    <w:rsid w:val="00E72FF6"/>
    <w:rsid w:val="00E73003"/>
    <w:rsid w:val="00E734F0"/>
    <w:rsid w:val="00E736B2"/>
    <w:rsid w:val="00E736E3"/>
    <w:rsid w:val="00E738B8"/>
    <w:rsid w:val="00E73B17"/>
    <w:rsid w:val="00E73F28"/>
    <w:rsid w:val="00E74052"/>
    <w:rsid w:val="00E74108"/>
    <w:rsid w:val="00E74246"/>
    <w:rsid w:val="00E7426A"/>
    <w:rsid w:val="00E744AA"/>
    <w:rsid w:val="00E7455B"/>
    <w:rsid w:val="00E747A2"/>
    <w:rsid w:val="00E74911"/>
    <w:rsid w:val="00E74C13"/>
    <w:rsid w:val="00E74D0D"/>
    <w:rsid w:val="00E74D6F"/>
    <w:rsid w:val="00E7515C"/>
    <w:rsid w:val="00E7518E"/>
    <w:rsid w:val="00E752A1"/>
    <w:rsid w:val="00E75486"/>
    <w:rsid w:val="00E755A2"/>
    <w:rsid w:val="00E757B9"/>
    <w:rsid w:val="00E7588D"/>
    <w:rsid w:val="00E7588E"/>
    <w:rsid w:val="00E759FC"/>
    <w:rsid w:val="00E75ABE"/>
    <w:rsid w:val="00E75CEB"/>
    <w:rsid w:val="00E760DB"/>
    <w:rsid w:val="00E76962"/>
    <w:rsid w:val="00E76AA7"/>
    <w:rsid w:val="00E76BB8"/>
    <w:rsid w:val="00E76D2A"/>
    <w:rsid w:val="00E76DB0"/>
    <w:rsid w:val="00E76EF7"/>
    <w:rsid w:val="00E76F5F"/>
    <w:rsid w:val="00E77734"/>
    <w:rsid w:val="00E778F0"/>
    <w:rsid w:val="00E7791A"/>
    <w:rsid w:val="00E77993"/>
    <w:rsid w:val="00E77A66"/>
    <w:rsid w:val="00E77AA6"/>
    <w:rsid w:val="00E77DE6"/>
    <w:rsid w:val="00E77E2C"/>
    <w:rsid w:val="00E77EB2"/>
    <w:rsid w:val="00E80307"/>
    <w:rsid w:val="00E80405"/>
    <w:rsid w:val="00E8058B"/>
    <w:rsid w:val="00E80900"/>
    <w:rsid w:val="00E80955"/>
    <w:rsid w:val="00E80A94"/>
    <w:rsid w:val="00E80AF1"/>
    <w:rsid w:val="00E80B6F"/>
    <w:rsid w:val="00E80C29"/>
    <w:rsid w:val="00E80D17"/>
    <w:rsid w:val="00E80D48"/>
    <w:rsid w:val="00E80D56"/>
    <w:rsid w:val="00E80E1D"/>
    <w:rsid w:val="00E80F30"/>
    <w:rsid w:val="00E8112A"/>
    <w:rsid w:val="00E81568"/>
    <w:rsid w:val="00E81601"/>
    <w:rsid w:val="00E81762"/>
    <w:rsid w:val="00E818E9"/>
    <w:rsid w:val="00E819EA"/>
    <w:rsid w:val="00E82251"/>
    <w:rsid w:val="00E822CE"/>
    <w:rsid w:val="00E822E5"/>
    <w:rsid w:val="00E823F4"/>
    <w:rsid w:val="00E824F8"/>
    <w:rsid w:val="00E82839"/>
    <w:rsid w:val="00E82867"/>
    <w:rsid w:val="00E82E65"/>
    <w:rsid w:val="00E8312A"/>
    <w:rsid w:val="00E835A1"/>
    <w:rsid w:val="00E8379E"/>
    <w:rsid w:val="00E8383F"/>
    <w:rsid w:val="00E83B59"/>
    <w:rsid w:val="00E83CFE"/>
    <w:rsid w:val="00E83DB0"/>
    <w:rsid w:val="00E83E6E"/>
    <w:rsid w:val="00E83EF0"/>
    <w:rsid w:val="00E83F17"/>
    <w:rsid w:val="00E83FD2"/>
    <w:rsid w:val="00E84057"/>
    <w:rsid w:val="00E840CC"/>
    <w:rsid w:val="00E84181"/>
    <w:rsid w:val="00E842C8"/>
    <w:rsid w:val="00E8431C"/>
    <w:rsid w:val="00E8437E"/>
    <w:rsid w:val="00E843C1"/>
    <w:rsid w:val="00E843E8"/>
    <w:rsid w:val="00E8469B"/>
    <w:rsid w:val="00E848DD"/>
    <w:rsid w:val="00E848FC"/>
    <w:rsid w:val="00E84B01"/>
    <w:rsid w:val="00E84B0B"/>
    <w:rsid w:val="00E84B94"/>
    <w:rsid w:val="00E84CF3"/>
    <w:rsid w:val="00E84D68"/>
    <w:rsid w:val="00E84D83"/>
    <w:rsid w:val="00E84DDF"/>
    <w:rsid w:val="00E851FC"/>
    <w:rsid w:val="00E85345"/>
    <w:rsid w:val="00E8538A"/>
    <w:rsid w:val="00E853EE"/>
    <w:rsid w:val="00E85537"/>
    <w:rsid w:val="00E85548"/>
    <w:rsid w:val="00E85642"/>
    <w:rsid w:val="00E857BA"/>
    <w:rsid w:val="00E8587A"/>
    <w:rsid w:val="00E85881"/>
    <w:rsid w:val="00E858E8"/>
    <w:rsid w:val="00E85941"/>
    <w:rsid w:val="00E85992"/>
    <w:rsid w:val="00E85996"/>
    <w:rsid w:val="00E85ECB"/>
    <w:rsid w:val="00E86031"/>
    <w:rsid w:val="00E860F3"/>
    <w:rsid w:val="00E861B5"/>
    <w:rsid w:val="00E86362"/>
    <w:rsid w:val="00E863D1"/>
    <w:rsid w:val="00E86514"/>
    <w:rsid w:val="00E86689"/>
    <w:rsid w:val="00E86812"/>
    <w:rsid w:val="00E868B4"/>
    <w:rsid w:val="00E8694F"/>
    <w:rsid w:val="00E86997"/>
    <w:rsid w:val="00E86B93"/>
    <w:rsid w:val="00E86F67"/>
    <w:rsid w:val="00E86F74"/>
    <w:rsid w:val="00E87070"/>
    <w:rsid w:val="00E8714F"/>
    <w:rsid w:val="00E8718C"/>
    <w:rsid w:val="00E873C8"/>
    <w:rsid w:val="00E87A57"/>
    <w:rsid w:val="00E87BD6"/>
    <w:rsid w:val="00E87C98"/>
    <w:rsid w:val="00E87CDA"/>
    <w:rsid w:val="00E900A9"/>
    <w:rsid w:val="00E9040C"/>
    <w:rsid w:val="00E907A0"/>
    <w:rsid w:val="00E9087F"/>
    <w:rsid w:val="00E909AF"/>
    <w:rsid w:val="00E909EA"/>
    <w:rsid w:val="00E90AFB"/>
    <w:rsid w:val="00E90DED"/>
    <w:rsid w:val="00E90E34"/>
    <w:rsid w:val="00E910CC"/>
    <w:rsid w:val="00E91413"/>
    <w:rsid w:val="00E91580"/>
    <w:rsid w:val="00E91661"/>
    <w:rsid w:val="00E91678"/>
    <w:rsid w:val="00E917A5"/>
    <w:rsid w:val="00E917BA"/>
    <w:rsid w:val="00E91B62"/>
    <w:rsid w:val="00E91C41"/>
    <w:rsid w:val="00E91C72"/>
    <w:rsid w:val="00E91CBA"/>
    <w:rsid w:val="00E91DD3"/>
    <w:rsid w:val="00E91EF3"/>
    <w:rsid w:val="00E920C2"/>
    <w:rsid w:val="00E92163"/>
    <w:rsid w:val="00E923C3"/>
    <w:rsid w:val="00E923F5"/>
    <w:rsid w:val="00E9241E"/>
    <w:rsid w:val="00E92425"/>
    <w:rsid w:val="00E926EB"/>
    <w:rsid w:val="00E927D1"/>
    <w:rsid w:val="00E92C79"/>
    <w:rsid w:val="00E92E84"/>
    <w:rsid w:val="00E930B8"/>
    <w:rsid w:val="00E93ABE"/>
    <w:rsid w:val="00E93E97"/>
    <w:rsid w:val="00E93E9F"/>
    <w:rsid w:val="00E9400F"/>
    <w:rsid w:val="00E94625"/>
    <w:rsid w:val="00E9464C"/>
    <w:rsid w:val="00E94735"/>
    <w:rsid w:val="00E948E7"/>
    <w:rsid w:val="00E94919"/>
    <w:rsid w:val="00E949D4"/>
    <w:rsid w:val="00E94A51"/>
    <w:rsid w:val="00E94B11"/>
    <w:rsid w:val="00E94B4A"/>
    <w:rsid w:val="00E94DF9"/>
    <w:rsid w:val="00E950F0"/>
    <w:rsid w:val="00E95157"/>
    <w:rsid w:val="00E952BF"/>
    <w:rsid w:val="00E95343"/>
    <w:rsid w:val="00E95436"/>
    <w:rsid w:val="00E9551E"/>
    <w:rsid w:val="00E95549"/>
    <w:rsid w:val="00E95995"/>
    <w:rsid w:val="00E95ACA"/>
    <w:rsid w:val="00E95B98"/>
    <w:rsid w:val="00E95CD4"/>
    <w:rsid w:val="00E95CF1"/>
    <w:rsid w:val="00E95D53"/>
    <w:rsid w:val="00E9636C"/>
    <w:rsid w:val="00E96824"/>
    <w:rsid w:val="00E96A94"/>
    <w:rsid w:val="00E96AA2"/>
    <w:rsid w:val="00E96BBB"/>
    <w:rsid w:val="00E96D9A"/>
    <w:rsid w:val="00E96DA4"/>
    <w:rsid w:val="00E96E29"/>
    <w:rsid w:val="00E96EB5"/>
    <w:rsid w:val="00E96F6B"/>
    <w:rsid w:val="00E97242"/>
    <w:rsid w:val="00E97441"/>
    <w:rsid w:val="00E97517"/>
    <w:rsid w:val="00E97599"/>
    <w:rsid w:val="00E97618"/>
    <w:rsid w:val="00E97634"/>
    <w:rsid w:val="00E97747"/>
    <w:rsid w:val="00E979D1"/>
    <w:rsid w:val="00E97AF8"/>
    <w:rsid w:val="00E97AFE"/>
    <w:rsid w:val="00E97C6D"/>
    <w:rsid w:val="00E97D6C"/>
    <w:rsid w:val="00E97DE3"/>
    <w:rsid w:val="00E97EBD"/>
    <w:rsid w:val="00EA03BA"/>
    <w:rsid w:val="00EA0536"/>
    <w:rsid w:val="00EA0A3D"/>
    <w:rsid w:val="00EA0D58"/>
    <w:rsid w:val="00EA0E67"/>
    <w:rsid w:val="00EA0EBF"/>
    <w:rsid w:val="00EA0F5D"/>
    <w:rsid w:val="00EA0F74"/>
    <w:rsid w:val="00EA100A"/>
    <w:rsid w:val="00EA103D"/>
    <w:rsid w:val="00EA1233"/>
    <w:rsid w:val="00EA132F"/>
    <w:rsid w:val="00EA14DC"/>
    <w:rsid w:val="00EA17A1"/>
    <w:rsid w:val="00EA182A"/>
    <w:rsid w:val="00EA1AA9"/>
    <w:rsid w:val="00EA1B4C"/>
    <w:rsid w:val="00EA1D4E"/>
    <w:rsid w:val="00EA1E63"/>
    <w:rsid w:val="00EA1FD5"/>
    <w:rsid w:val="00EA21F7"/>
    <w:rsid w:val="00EA227F"/>
    <w:rsid w:val="00EA2294"/>
    <w:rsid w:val="00EA23B3"/>
    <w:rsid w:val="00EA2503"/>
    <w:rsid w:val="00EA2531"/>
    <w:rsid w:val="00EA258C"/>
    <w:rsid w:val="00EA2894"/>
    <w:rsid w:val="00EA2AA9"/>
    <w:rsid w:val="00EA2E30"/>
    <w:rsid w:val="00EA2ED8"/>
    <w:rsid w:val="00EA2F06"/>
    <w:rsid w:val="00EA3092"/>
    <w:rsid w:val="00EA3258"/>
    <w:rsid w:val="00EA35A1"/>
    <w:rsid w:val="00EA3744"/>
    <w:rsid w:val="00EA3821"/>
    <w:rsid w:val="00EA3828"/>
    <w:rsid w:val="00EA3837"/>
    <w:rsid w:val="00EA38A7"/>
    <w:rsid w:val="00EA38E7"/>
    <w:rsid w:val="00EA3938"/>
    <w:rsid w:val="00EA3D3F"/>
    <w:rsid w:val="00EA3DCB"/>
    <w:rsid w:val="00EA3E18"/>
    <w:rsid w:val="00EA3E36"/>
    <w:rsid w:val="00EA3F19"/>
    <w:rsid w:val="00EA410A"/>
    <w:rsid w:val="00EA4343"/>
    <w:rsid w:val="00EA43A4"/>
    <w:rsid w:val="00EA49DE"/>
    <w:rsid w:val="00EA4A46"/>
    <w:rsid w:val="00EA4B08"/>
    <w:rsid w:val="00EA4BF1"/>
    <w:rsid w:val="00EA4CFB"/>
    <w:rsid w:val="00EA4D20"/>
    <w:rsid w:val="00EA4D2D"/>
    <w:rsid w:val="00EA4DC9"/>
    <w:rsid w:val="00EA4F6E"/>
    <w:rsid w:val="00EA5016"/>
    <w:rsid w:val="00EA505C"/>
    <w:rsid w:val="00EA5526"/>
    <w:rsid w:val="00EA5535"/>
    <w:rsid w:val="00EA55D8"/>
    <w:rsid w:val="00EA5616"/>
    <w:rsid w:val="00EA5683"/>
    <w:rsid w:val="00EA594E"/>
    <w:rsid w:val="00EA59E2"/>
    <w:rsid w:val="00EA5B18"/>
    <w:rsid w:val="00EA5B8E"/>
    <w:rsid w:val="00EA5C5B"/>
    <w:rsid w:val="00EA6106"/>
    <w:rsid w:val="00EA6156"/>
    <w:rsid w:val="00EA6365"/>
    <w:rsid w:val="00EA6368"/>
    <w:rsid w:val="00EA6680"/>
    <w:rsid w:val="00EA66AB"/>
    <w:rsid w:val="00EA6777"/>
    <w:rsid w:val="00EA6D1B"/>
    <w:rsid w:val="00EA6D4A"/>
    <w:rsid w:val="00EA706E"/>
    <w:rsid w:val="00EA71B9"/>
    <w:rsid w:val="00EA724F"/>
    <w:rsid w:val="00EA7300"/>
    <w:rsid w:val="00EA73CC"/>
    <w:rsid w:val="00EA743B"/>
    <w:rsid w:val="00EA76F4"/>
    <w:rsid w:val="00EA7840"/>
    <w:rsid w:val="00EA7973"/>
    <w:rsid w:val="00EA7B71"/>
    <w:rsid w:val="00EA7C83"/>
    <w:rsid w:val="00EA7E5A"/>
    <w:rsid w:val="00EB0272"/>
    <w:rsid w:val="00EB0314"/>
    <w:rsid w:val="00EB0367"/>
    <w:rsid w:val="00EB03BD"/>
    <w:rsid w:val="00EB0423"/>
    <w:rsid w:val="00EB0504"/>
    <w:rsid w:val="00EB073B"/>
    <w:rsid w:val="00EB089F"/>
    <w:rsid w:val="00EB0CA0"/>
    <w:rsid w:val="00EB0D21"/>
    <w:rsid w:val="00EB0E52"/>
    <w:rsid w:val="00EB0F3B"/>
    <w:rsid w:val="00EB109F"/>
    <w:rsid w:val="00EB11C5"/>
    <w:rsid w:val="00EB17C5"/>
    <w:rsid w:val="00EB187B"/>
    <w:rsid w:val="00EB1981"/>
    <w:rsid w:val="00EB1A8D"/>
    <w:rsid w:val="00EB1AA8"/>
    <w:rsid w:val="00EB1B1E"/>
    <w:rsid w:val="00EB1BA8"/>
    <w:rsid w:val="00EB1CB7"/>
    <w:rsid w:val="00EB1D5D"/>
    <w:rsid w:val="00EB1DAD"/>
    <w:rsid w:val="00EB2061"/>
    <w:rsid w:val="00EB26B9"/>
    <w:rsid w:val="00EB282B"/>
    <w:rsid w:val="00EB28AC"/>
    <w:rsid w:val="00EB28E1"/>
    <w:rsid w:val="00EB294E"/>
    <w:rsid w:val="00EB29E0"/>
    <w:rsid w:val="00EB2F4A"/>
    <w:rsid w:val="00EB2F74"/>
    <w:rsid w:val="00EB2FDF"/>
    <w:rsid w:val="00EB3006"/>
    <w:rsid w:val="00EB324F"/>
    <w:rsid w:val="00EB3291"/>
    <w:rsid w:val="00EB359F"/>
    <w:rsid w:val="00EB35E8"/>
    <w:rsid w:val="00EB37AB"/>
    <w:rsid w:val="00EB3B0F"/>
    <w:rsid w:val="00EB3BBF"/>
    <w:rsid w:val="00EB3E64"/>
    <w:rsid w:val="00EB414F"/>
    <w:rsid w:val="00EB422E"/>
    <w:rsid w:val="00EB4282"/>
    <w:rsid w:val="00EB4587"/>
    <w:rsid w:val="00EB4668"/>
    <w:rsid w:val="00EB4895"/>
    <w:rsid w:val="00EB4973"/>
    <w:rsid w:val="00EB49DC"/>
    <w:rsid w:val="00EB4F46"/>
    <w:rsid w:val="00EB4FE7"/>
    <w:rsid w:val="00EB5087"/>
    <w:rsid w:val="00EB5192"/>
    <w:rsid w:val="00EB52C9"/>
    <w:rsid w:val="00EB5370"/>
    <w:rsid w:val="00EB549C"/>
    <w:rsid w:val="00EB551E"/>
    <w:rsid w:val="00EB5742"/>
    <w:rsid w:val="00EB57E1"/>
    <w:rsid w:val="00EB583B"/>
    <w:rsid w:val="00EB5950"/>
    <w:rsid w:val="00EB597B"/>
    <w:rsid w:val="00EB5C43"/>
    <w:rsid w:val="00EB5CE3"/>
    <w:rsid w:val="00EB5D5F"/>
    <w:rsid w:val="00EB5E05"/>
    <w:rsid w:val="00EB5ED4"/>
    <w:rsid w:val="00EB620A"/>
    <w:rsid w:val="00EB6298"/>
    <w:rsid w:val="00EB62FF"/>
    <w:rsid w:val="00EB66F4"/>
    <w:rsid w:val="00EB679B"/>
    <w:rsid w:val="00EB68D0"/>
    <w:rsid w:val="00EB6AF4"/>
    <w:rsid w:val="00EB6B6E"/>
    <w:rsid w:val="00EB6EC4"/>
    <w:rsid w:val="00EB6EEA"/>
    <w:rsid w:val="00EB70F3"/>
    <w:rsid w:val="00EB7256"/>
    <w:rsid w:val="00EB7257"/>
    <w:rsid w:val="00EB7645"/>
    <w:rsid w:val="00EB76B9"/>
    <w:rsid w:val="00EB778F"/>
    <w:rsid w:val="00EB7810"/>
    <w:rsid w:val="00EB782E"/>
    <w:rsid w:val="00EB7A97"/>
    <w:rsid w:val="00EB7CCD"/>
    <w:rsid w:val="00EB7DDF"/>
    <w:rsid w:val="00EB7E30"/>
    <w:rsid w:val="00EB7F00"/>
    <w:rsid w:val="00EC0247"/>
    <w:rsid w:val="00EC0526"/>
    <w:rsid w:val="00EC06C0"/>
    <w:rsid w:val="00EC0AB9"/>
    <w:rsid w:val="00EC0C79"/>
    <w:rsid w:val="00EC0D00"/>
    <w:rsid w:val="00EC0F0F"/>
    <w:rsid w:val="00EC0FD5"/>
    <w:rsid w:val="00EC102A"/>
    <w:rsid w:val="00EC10AE"/>
    <w:rsid w:val="00EC127B"/>
    <w:rsid w:val="00EC137C"/>
    <w:rsid w:val="00EC1531"/>
    <w:rsid w:val="00EC1772"/>
    <w:rsid w:val="00EC18CF"/>
    <w:rsid w:val="00EC19B4"/>
    <w:rsid w:val="00EC1BFE"/>
    <w:rsid w:val="00EC1C4E"/>
    <w:rsid w:val="00EC1CE6"/>
    <w:rsid w:val="00EC1CF8"/>
    <w:rsid w:val="00EC1F92"/>
    <w:rsid w:val="00EC1FC7"/>
    <w:rsid w:val="00EC203E"/>
    <w:rsid w:val="00EC215E"/>
    <w:rsid w:val="00EC245D"/>
    <w:rsid w:val="00EC25F7"/>
    <w:rsid w:val="00EC266C"/>
    <w:rsid w:val="00EC2717"/>
    <w:rsid w:val="00EC2B18"/>
    <w:rsid w:val="00EC2B24"/>
    <w:rsid w:val="00EC2B42"/>
    <w:rsid w:val="00EC2CCF"/>
    <w:rsid w:val="00EC34D9"/>
    <w:rsid w:val="00EC3538"/>
    <w:rsid w:val="00EC394D"/>
    <w:rsid w:val="00EC39AB"/>
    <w:rsid w:val="00EC3B0A"/>
    <w:rsid w:val="00EC3B10"/>
    <w:rsid w:val="00EC3D39"/>
    <w:rsid w:val="00EC404B"/>
    <w:rsid w:val="00EC41F8"/>
    <w:rsid w:val="00EC426D"/>
    <w:rsid w:val="00EC436F"/>
    <w:rsid w:val="00EC43A8"/>
    <w:rsid w:val="00EC469F"/>
    <w:rsid w:val="00EC489C"/>
    <w:rsid w:val="00EC4A61"/>
    <w:rsid w:val="00EC4A63"/>
    <w:rsid w:val="00EC4C05"/>
    <w:rsid w:val="00EC4EA0"/>
    <w:rsid w:val="00EC510A"/>
    <w:rsid w:val="00EC51FC"/>
    <w:rsid w:val="00EC52AD"/>
    <w:rsid w:val="00EC53E4"/>
    <w:rsid w:val="00EC53EF"/>
    <w:rsid w:val="00EC5414"/>
    <w:rsid w:val="00EC560E"/>
    <w:rsid w:val="00EC56CB"/>
    <w:rsid w:val="00EC5704"/>
    <w:rsid w:val="00EC58CE"/>
    <w:rsid w:val="00EC5C31"/>
    <w:rsid w:val="00EC5C9E"/>
    <w:rsid w:val="00EC5D41"/>
    <w:rsid w:val="00EC60B9"/>
    <w:rsid w:val="00EC61A9"/>
    <w:rsid w:val="00EC6204"/>
    <w:rsid w:val="00EC62A1"/>
    <w:rsid w:val="00EC657B"/>
    <w:rsid w:val="00EC6589"/>
    <w:rsid w:val="00EC678A"/>
    <w:rsid w:val="00EC67F4"/>
    <w:rsid w:val="00EC6AD7"/>
    <w:rsid w:val="00EC6B16"/>
    <w:rsid w:val="00EC6D6D"/>
    <w:rsid w:val="00EC6F43"/>
    <w:rsid w:val="00EC7352"/>
    <w:rsid w:val="00EC738C"/>
    <w:rsid w:val="00EC73F8"/>
    <w:rsid w:val="00EC74EC"/>
    <w:rsid w:val="00EC7587"/>
    <w:rsid w:val="00EC7841"/>
    <w:rsid w:val="00EC78D4"/>
    <w:rsid w:val="00EC7A34"/>
    <w:rsid w:val="00EC7AA9"/>
    <w:rsid w:val="00EC7BC4"/>
    <w:rsid w:val="00EC7CC4"/>
    <w:rsid w:val="00EC7E6D"/>
    <w:rsid w:val="00ED00D5"/>
    <w:rsid w:val="00ED02F5"/>
    <w:rsid w:val="00ED0551"/>
    <w:rsid w:val="00ED06F1"/>
    <w:rsid w:val="00ED07BD"/>
    <w:rsid w:val="00ED07D6"/>
    <w:rsid w:val="00ED07E2"/>
    <w:rsid w:val="00ED09E1"/>
    <w:rsid w:val="00ED09EB"/>
    <w:rsid w:val="00ED0B0C"/>
    <w:rsid w:val="00ED0C11"/>
    <w:rsid w:val="00ED0C9C"/>
    <w:rsid w:val="00ED0CE4"/>
    <w:rsid w:val="00ED0FEB"/>
    <w:rsid w:val="00ED1108"/>
    <w:rsid w:val="00ED1282"/>
    <w:rsid w:val="00ED1313"/>
    <w:rsid w:val="00ED142F"/>
    <w:rsid w:val="00ED1645"/>
    <w:rsid w:val="00ED16B6"/>
    <w:rsid w:val="00ED16F2"/>
    <w:rsid w:val="00ED17BA"/>
    <w:rsid w:val="00ED182E"/>
    <w:rsid w:val="00ED1987"/>
    <w:rsid w:val="00ED1D54"/>
    <w:rsid w:val="00ED1FDD"/>
    <w:rsid w:val="00ED20C2"/>
    <w:rsid w:val="00ED221E"/>
    <w:rsid w:val="00ED22F4"/>
    <w:rsid w:val="00ED237B"/>
    <w:rsid w:val="00ED26AC"/>
    <w:rsid w:val="00ED27F3"/>
    <w:rsid w:val="00ED2921"/>
    <w:rsid w:val="00ED2999"/>
    <w:rsid w:val="00ED2BCB"/>
    <w:rsid w:val="00ED2D15"/>
    <w:rsid w:val="00ED2FDD"/>
    <w:rsid w:val="00ED316D"/>
    <w:rsid w:val="00ED326E"/>
    <w:rsid w:val="00ED333D"/>
    <w:rsid w:val="00ED33BD"/>
    <w:rsid w:val="00ED3737"/>
    <w:rsid w:val="00ED3768"/>
    <w:rsid w:val="00ED386D"/>
    <w:rsid w:val="00ED395C"/>
    <w:rsid w:val="00ED395F"/>
    <w:rsid w:val="00ED3AB1"/>
    <w:rsid w:val="00ED3ACE"/>
    <w:rsid w:val="00ED3B1B"/>
    <w:rsid w:val="00ED3C12"/>
    <w:rsid w:val="00ED3C4A"/>
    <w:rsid w:val="00ED3FAE"/>
    <w:rsid w:val="00ED4139"/>
    <w:rsid w:val="00ED43B8"/>
    <w:rsid w:val="00ED484B"/>
    <w:rsid w:val="00ED4886"/>
    <w:rsid w:val="00ED4892"/>
    <w:rsid w:val="00ED4A0E"/>
    <w:rsid w:val="00ED4E07"/>
    <w:rsid w:val="00ED4F15"/>
    <w:rsid w:val="00ED50FC"/>
    <w:rsid w:val="00ED51E9"/>
    <w:rsid w:val="00ED54B9"/>
    <w:rsid w:val="00ED5637"/>
    <w:rsid w:val="00ED5718"/>
    <w:rsid w:val="00ED586C"/>
    <w:rsid w:val="00ED59FD"/>
    <w:rsid w:val="00ED5A64"/>
    <w:rsid w:val="00ED5C3A"/>
    <w:rsid w:val="00ED5CEE"/>
    <w:rsid w:val="00ED5E27"/>
    <w:rsid w:val="00ED5F50"/>
    <w:rsid w:val="00ED697D"/>
    <w:rsid w:val="00ED6E34"/>
    <w:rsid w:val="00ED707B"/>
    <w:rsid w:val="00ED70B5"/>
    <w:rsid w:val="00ED71B2"/>
    <w:rsid w:val="00ED7211"/>
    <w:rsid w:val="00ED7253"/>
    <w:rsid w:val="00ED753E"/>
    <w:rsid w:val="00ED7578"/>
    <w:rsid w:val="00ED774D"/>
    <w:rsid w:val="00ED7BFA"/>
    <w:rsid w:val="00ED7D2C"/>
    <w:rsid w:val="00EE00A3"/>
    <w:rsid w:val="00EE0913"/>
    <w:rsid w:val="00EE0A11"/>
    <w:rsid w:val="00EE0B02"/>
    <w:rsid w:val="00EE0B84"/>
    <w:rsid w:val="00EE0BEF"/>
    <w:rsid w:val="00EE0C43"/>
    <w:rsid w:val="00EE0C6F"/>
    <w:rsid w:val="00EE0DA5"/>
    <w:rsid w:val="00EE0F5E"/>
    <w:rsid w:val="00EE1092"/>
    <w:rsid w:val="00EE10E2"/>
    <w:rsid w:val="00EE110F"/>
    <w:rsid w:val="00EE14BC"/>
    <w:rsid w:val="00EE14BE"/>
    <w:rsid w:val="00EE14E4"/>
    <w:rsid w:val="00EE1799"/>
    <w:rsid w:val="00EE1842"/>
    <w:rsid w:val="00EE1969"/>
    <w:rsid w:val="00EE2415"/>
    <w:rsid w:val="00EE2460"/>
    <w:rsid w:val="00EE2690"/>
    <w:rsid w:val="00EE26E8"/>
    <w:rsid w:val="00EE2766"/>
    <w:rsid w:val="00EE278C"/>
    <w:rsid w:val="00EE28C9"/>
    <w:rsid w:val="00EE28E4"/>
    <w:rsid w:val="00EE290A"/>
    <w:rsid w:val="00EE2B61"/>
    <w:rsid w:val="00EE2C52"/>
    <w:rsid w:val="00EE2C99"/>
    <w:rsid w:val="00EE2CDB"/>
    <w:rsid w:val="00EE2DA8"/>
    <w:rsid w:val="00EE2DF4"/>
    <w:rsid w:val="00EE2E75"/>
    <w:rsid w:val="00EE2F5E"/>
    <w:rsid w:val="00EE30B1"/>
    <w:rsid w:val="00EE30B2"/>
    <w:rsid w:val="00EE320E"/>
    <w:rsid w:val="00EE3299"/>
    <w:rsid w:val="00EE32AF"/>
    <w:rsid w:val="00EE3494"/>
    <w:rsid w:val="00EE36BE"/>
    <w:rsid w:val="00EE3897"/>
    <w:rsid w:val="00EE38AE"/>
    <w:rsid w:val="00EE3A7C"/>
    <w:rsid w:val="00EE3B7E"/>
    <w:rsid w:val="00EE3D54"/>
    <w:rsid w:val="00EE3E21"/>
    <w:rsid w:val="00EE3FC9"/>
    <w:rsid w:val="00EE4062"/>
    <w:rsid w:val="00EE420F"/>
    <w:rsid w:val="00EE427D"/>
    <w:rsid w:val="00EE44B3"/>
    <w:rsid w:val="00EE4604"/>
    <w:rsid w:val="00EE47A3"/>
    <w:rsid w:val="00EE47A9"/>
    <w:rsid w:val="00EE4889"/>
    <w:rsid w:val="00EE4911"/>
    <w:rsid w:val="00EE492A"/>
    <w:rsid w:val="00EE4A48"/>
    <w:rsid w:val="00EE4C2D"/>
    <w:rsid w:val="00EE4DC4"/>
    <w:rsid w:val="00EE4F00"/>
    <w:rsid w:val="00EE5284"/>
    <w:rsid w:val="00EE5292"/>
    <w:rsid w:val="00EE549B"/>
    <w:rsid w:val="00EE5868"/>
    <w:rsid w:val="00EE5869"/>
    <w:rsid w:val="00EE5A8F"/>
    <w:rsid w:val="00EE5B0E"/>
    <w:rsid w:val="00EE6126"/>
    <w:rsid w:val="00EE6167"/>
    <w:rsid w:val="00EE61F4"/>
    <w:rsid w:val="00EE62B5"/>
    <w:rsid w:val="00EE6773"/>
    <w:rsid w:val="00EE69F1"/>
    <w:rsid w:val="00EE6DEC"/>
    <w:rsid w:val="00EE70A2"/>
    <w:rsid w:val="00EE7171"/>
    <w:rsid w:val="00EE7276"/>
    <w:rsid w:val="00EE72D4"/>
    <w:rsid w:val="00EE7334"/>
    <w:rsid w:val="00EE7773"/>
    <w:rsid w:val="00EE7AFA"/>
    <w:rsid w:val="00EE7B03"/>
    <w:rsid w:val="00EE7BFB"/>
    <w:rsid w:val="00EE7C72"/>
    <w:rsid w:val="00EE7CDA"/>
    <w:rsid w:val="00EE7FE6"/>
    <w:rsid w:val="00EF003C"/>
    <w:rsid w:val="00EF0294"/>
    <w:rsid w:val="00EF06FB"/>
    <w:rsid w:val="00EF0762"/>
    <w:rsid w:val="00EF07BE"/>
    <w:rsid w:val="00EF084B"/>
    <w:rsid w:val="00EF085C"/>
    <w:rsid w:val="00EF0A82"/>
    <w:rsid w:val="00EF0A97"/>
    <w:rsid w:val="00EF0CC4"/>
    <w:rsid w:val="00EF12B9"/>
    <w:rsid w:val="00EF16F2"/>
    <w:rsid w:val="00EF186E"/>
    <w:rsid w:val="00EF1B1B"/>
    <w:rsid w:val="00EF1C78"/>
    <w:rsid w:val="00EF1DE1"/>
    <w:rsid w:val="00EF1E62"/>
    <w:rsid w:val="00EF1E6B"/>
    <w:rsid w:val="00EF2037"/>
    <w:rsid w:val="00EF2201"/>
    <w:rsid w:val="00EF22A3"/>
    <w:rsid w:val="00EF2413"/>
    <w:rsid w:val="00EF248C"/>
    <w:rsid w:val="00EF24EC"/>
    <w:rsid w:val="00EF2595"/>
    <w:rsid w:val="00EF263B"/>
    <w:rsid w:val="00EF2871"/>
    <w:rsid w:val="00EF2A3A"/>
    <w:rsid w:val="00EF2B4A"/>
    <w:rsid w:val="00EF2D4E"/>
    <w:rsid w:val="00EF2E6C"/>
    <w:rsid w:val="00EF2EC9"/>
    <w:rsid w:val="00EF300E"/>
    <w:rsid w:val="00EF3067"/>
    <w:rsid w:val="00EF3191"/>
    <w:rsid w:val="00EF3331"/>
    <w:rsid w:val="00EF393D"/>
    <w:rsid w:val="00EF3AF7"/>
    <w:rsid w:val="00EF3B33"/>
    <w:rsid w:val="00EF3B64"/>
    <w:rsid w:val="00EF3BED"/>
    <w:rsid w:val="00EF3E17"/>
    <w:rsid w:val="00EF3E81"/>
    <w:rsid w:val="00EF3EF4"/>
    <w:rsid w:val="00EF412F"/>
    <w:rsid w:val="00EF460A"/>
    <w:rsid w:val="00EF471A"/>
    <w:rsid w:val="00EF4B59"/>
    <w:rsid w:val="00EF4BEB"/>
    <w:rsid w:val="00EF4BFB"/>
    <w:rsid w:val="00EF4CA2"/>
    <w:rsid w:val="00EF4E41"/>
    <w:rsid w:val="00EF4F08"/>
    <w:rsid w:val="00EF4F69"/>
    <w:rsid w:val="00EF4F72"/>
    <w:rsid w:val="00EF50C1"/>
    <w:rsid w:val="00EF54C1"/>
    <w:rsid w:val="00EF579C"/>
    <w:rsid w:val="00EF5A42"/>
    <w:rsid w:val="00EF5B6C"/>
    <w:rsid w:val="00EF5F3A"/>
    <w:rsid w:val="00EF5F81"/>
    <w:rsid w:val="00EF604C"/>
    <w:rsid w:val="00EF62BF"/>
    <w:rsid w:val="00EF63B6"/>
    <w:rsid w:val="00EF657D"/>
    <w:rsid w:val="00EF66E1"/>
    <w:rsid w:val="00EF67B9"/>
    <w:rsid w:val="00EF6898"/>
    <w:rsid w:val="00EF6B9D"/>
    <w:rsid w:val="00EF6DCD"/>
    <w:rsid w:val="00EF6F8B"/>
    <w:rsid w:val="00EF6FEE"/>
    <w:rsid w:val="00EF7026"/>
    <w:rsid w:val="00EF70AA"/>
    <w:rsid w:val="00EF70BB"/>
    <w:rsid w:val="00EF7429"/>
    <w:rsid w:val="00EF7548"/>
    <w:rsid w:val="00EF755A"/>
    <w:rsid w:val="00EF771C"/>
    <w:rsid w:val="00EF773B"/>
    <w:rsid w:val="00EF78EB"/>
    <w:rsid w:val="00EF7900"/>
    <w:rsid w:val="00EF7A9E"/>
    <w:rsid w:val="00EF7ABD"/>
    <w:rsid w:val="00EF7BA3"/>
    <w:rsid w:val="00EF7DC0"/>
    <w:rsid w:val="00EF7E02"/>
    <w:rsid w:val="00EF7EB8"/>
    <w:rsid w:val="00EF7F6A"/>
    <w:rsid w:val="00F002C4"/>
    <w:rsid w:val="00F0044E"/>
    <w:rsid w:val="00F00635"/>
    <w:rsid w:val="00F006B2"/>
    <w:rsid w:val="00F00768"/>
    <w:rsid w:val="00F00826"/>
    <w:rsid w:val="00F0093A"/>
    <w:rsid w:val="00F00A1F"/>
    <w:rsid w:val="00F00B81"/>
    <w:rsid w:val="00F00B9F"/>
    <w:rsid w:val="00F00C38"/>
    <w:rsid w:val="00F0122B"/>
    <w:rsid w:val="00F01645"/>
    <w:rsid w:val="00F01677"/>
    <w:rsid w:val="00F017DC"/>
    <w:rsid w:val="00F01A37"/>
    <w:rsid w:val="00F01BCA"/>
    <w:rsid w:val="00F01DA7"/>
    <w:rsid w:val="00F01E63"/>
    <w:rsid w:val="00F0201A"/>
    <w:rsid w:val="00F020E3"/>
    <w:rsid w:val="00F0212A"/>
    <w:rsid w:val="00F02249"/>
    <w:rsid w:val="00F0234A"/>
    <w:rsid w:val="00F024FC"/>
    <w:rsid w:val="00F026F1"/>
    <w:rsid w:val="00F027AF"/>
    <w:rsid w:val="00F027F1"/>
    <w:rsid w:val="00F02A8E"/>
    <w:rsid w:val="00F02BB7"/>
    <w:rsid w:val="00F02CF3"/>
    <w:rsid w:val="00F02CF9"/>
    <w:rsid w:val="00F03006"/>
    <w:rsid w:val="00F0382C"/>
    <w:rsid w:val="00F038F4"/>
    <w:rsid w:val="00F039E1"/>
    <w:rsid w:val="00F03AC6"/>
    <w:rsid w:val="00F03C99"/>
    <w:rsid w:val="00F03E25"/>
    <w:rsid w:val="00F03F2B"/>
    <w:rsid w:val="00F04265"/>
    <w:rsid w:val="00F04291"/>
    <w:rsid w:val="00F04369"/>
    <w:rsid w:val="00F04785"/>
    <w:rsid w:val="00F048AB"/>
    <w:rsid w:val="00F049E3"/>
    <w:rsid w:val="00F04D60"/>
    <w:rsid w:val="00F04FF5"/>
    <w:rsid w:val="00F05139"/>
    <w:rsid w:val="00F052B1"/>
    <w:rsid w:val="00F05468"/>
    <w:rsid w:val="00F05481"/>
    <w:rsid w:val="00F054C5"/>
    <w:rsid w:val="00F0552F"/>
    <w:rsid w:val="00F055E7"/>
    <w:rsid w:val="00F056D9"/>
    <w:rsid w:val="00F057D4"/>
    <w:rsid w:val="00F05854"/>
    <w:rsid w:val="00F05921"/>
    <w:rsid w:val="00F05AFF"/>
    <w:rsid w:val="00F05C13"/>
    <w:rsid w:val="00F05CC5"/>
    <w:rsid w:val="00F05E67"/>
    <w:rsid w:val="00F060AF"/>
    <w:rsid w:val="00F06139"/>
    <w:rsid w:val="00F061F4"/>
    <w:rsid w:val="00F06245"/>
    <w:rsid w:val="00F063FA"/>
    <w:rsid w:val="00F06530"/>
    <w:rsid w:val="00F0675C"/>
    <w:rsid w:val="00F067AD"/>
    <w:rsid w:val="00F069E9"/>
    <w:rsid w:val="00F06C96"/>
    <w:rsid w:val="00F06E6E"/>
    <w:rsid w:val="00F06F43"/>
    <w:rsid w:val="00F071DC"/>
    <w:rsid w:val="00F07253"/>
    <w:rsid w:val="00F0756C"/>
    <w:rsid w:val="00F07775"/>
    <w:rsid w:val="00F0785D"/>
    <w:rsid w:val="00F07897"/>
    <w:rsid w:val="00F07946"/>
    <w:rsid w:val="00F07967"/>
    <w:rsid w:val="00F07A4D"/>
    <w:rsid w:val="00F07AD2"/>
    <w:rsid w:val="00F102DD"/>
    <w:rsid w:val="00F10357"/>
    <w:rsid w:val="00F1036E"/>
    <w:rsid w:val="00F1037C"/>
    <w:rsid w:val="00F10510"/>
    <w:rsid w:val="00F10714"/>
    <w:rsid w:val="00F1085A"/>
    <w:rsid w:val="00F109F9"/>
    <w:rsid w:val="00F10A37"/>
    <w:rsid w:val="00F10B30"/>
    <w:rsid w:val="00F10C53"/>
    <w:rsid w:val="00F10F04"/>
    <w:rsid w:val="00F11099"/>
    <w:rsid w:val="00F1113C"/>
    <w:rsid w:val="00F11218"/>
    <w:rsid w:val="00F1134A"/>
    <w:rsid w:val="00F11390"/>
    <w:rsid w:val="00F1159C"/>
    <w:rsid w:val="00F11682"/>
    <w:rsid w:val="00F11685"/>
    <w:rsid w:val="00F117FE"/>
    <w:rsid w:val="00F11846"/>
    <w:rsid w:val="00F118A6"/>
    <w:rsid w:val="00F11995"/>
    <w:rsid w:val="00F11A6B"/>
    <w:rsid w:val="00F11BE2"/>
    <w:rsid w:val="00F11DA0"/>
    <w:rsid w:val="00F1221F"/>
    <w:rsid w:val="00F12339"/>
    <w:rsid w:val="00F12389"/>
    <w:rsid w:val="00F1241D"/>
    <w:rsid w:val="00F12494"/>
    <w:rsid w:val="00F12499"/>
    <w:rsid w:val="00F1258B"/>
    <w:rsid w:val="00F126A5"/>
    <w:rsid w:val="00F126C1"/>
    <w:rsid w:val="00F1285C"/>
    <w:rsid w:val="00F128D7"/>
    <w:rsid w:val="00F12AD9"/>
    <w:rsid w:val="00F12C33"/>
    <w:rsid w:val="00F12E56"/>
    <w:rsid w:val="00F1302D"/>
    <w:rsid w:val="00F133AE"/>
    <w:rsid w:val="00F13508"/>
    <w:rsid w:val="00F1353D"/>
    <w:rsid w:val="00F135CE"/>
    <w:rsid w:val="00F13625"/>
    <w:rsid w:val="00F136F7"/>
    <w:rsid w:val="00F1397A"/>
    <w:rsid w:val="00F1399A"/>
    <w:rsid w:val="00F13AA8"/>
    <w:rsid w:val="00F13AF2"/>
    <w:rsid w:val="00F13B27"/>
    <w:rsid w:val="00F141D6"/>
    <w:rsid w:val="00F14660"/>
    <w:rsid w:val="00F1466F"/>
    <w:rsid w:val="00F14675"/>
    <w:rsid w:val="00F146F5"/>
    <w:rsid w:val="00F146F7"/>
    <w:rsid w:val="00F14853"/>
    <w:rsid w:val="00F14888"/>
    <w:rsid w:val="00F149C7"/>
    <w:rsid w:val="00F14C5A"/>
    <w:rsid w:val="00F14EE2"/>
    <w:rsid w:val="00F1521A"/>
    <w:rsid w:val="00F154B5"/>
    <w:rsid w:val="00F15557"/>
    <w:rsid w:val="00F1567C"/>
    <w:rsid w:val="00F15775"/>
    <w:rsid w:val="00F1583C"/>
    <w:rsid w:val="00F159F2"/>
    <w:rsid w:val="00F15BC1"/>
    <w:rsid w:val="00F15BEC"/>
    <w:rsid w:val="00F15D62"/>
    <w:rsid w:val="00F15FED"/>
    <w:rsid w:val="00F1600A"/>
    <w:rsid w:val="00F161E1"/>
    <w:rsid w:val="00F162A6"/>
    <w:rsid w:val="00F162A7"/>
    <w:rsid w:val="00F1644D"/>
    <w:rsid w:val="00F1652A"/>
    <w:rsid w:val="00F165FA"/>
    <w:rsid w:val="00F16871"/>
    <w:rsid w:val="00F1691B"/>
    <w:rsid w:val="00F1698B"/>
    <w:rsid w:val="00F16B5A"/>
    <w:rsid w:val="00F16BE6"/>
    <w:rsid w:val="00F16F39"/>
    <w:rsid w:val="00F17933"/>
    <w:rsid w:val="00F17972"/>
    <w:rsid w:val="00F17B2A"/>
    <w:rsid w:val="00F17B9D"/>
    <w:rsid w:val="00F17FC8"/>
    <w:rsid w:val="00F202B3"/>
    <w:rsid w:val="00F20385"/>
    <w:rsid w:val="00F2040F"/>
    <w:rsid w:val="00F20589"/>
    <w:rsid w:val="00F20650"/>
    <w:rsid w:val="00F206FC"/>
    <w:rsid w:val="00F207F4"/>
    <w:rsid w:val="00F20BBB"/>
    <w:rsid w:val="00F21143"/>
    <w:rsid w:val="00F21154"/>
    <w:rsid w:val="00F215C4"/>
    <w:rsid w:val="00F2164A"/>
    <w:rsid w:val="00F219A6"/>
    <w:rsid w:val="00F219A7"/>
    <w:rsid w:val="00F21AFC"/>
    <w:rsid w:val="00F21BDC"/>
    <w:rsid w:val="00F21C02"/>
    <w:rsid w:val="00F21C7F"/>
    <w:rsid w:val="00F21DE5"/>
    <w:rsid w:val="00F22051"/>
    <w:rsid w:val="00F22068"/>
    <w:rsid w:val="00F220D1"/>
    <w:rsid w:val="00F220D6"/>
    <w:rsid w:val="00F2216B"/>
    <w:rsid w:val="00F22355"/>
    <w:rsid w:val="00F223F9"/>
    <w:rsid w:val="00F229B9"/>
    <w:rsid w:val="00F229E1"/>
    <w:rsid w:val="00F22B2B"/>
    <w:rsid w:val="00F22D64"/>
    <w:rsid w:val="00F22DBC"/>
    <w:rsid w:val="00F22E12"/>
    <w:rsid w:val="00F22E61"/>
    <w:rsid w:val="00F22EBD"/>
    <w:rsid w:val="00F22FD9"/>
    <w:rsid w:val="00F231D5"/>
    <w:rsid w:val="00F231E6"/>
    <w:rsid w:val="00F23271"/>
    <w:rsid w:val="00F232B5"/>
    <w:rsid w:val="00F233BF"/>
    <w:rsid w:val="00F238D4"/>
    <w:rsid w:val="00F23D8B"/>
    <w:rsid w:val="00F23E7C"/>
    <w:rsid w:val="00F23EFF"/>
    <w:rsid w:val="00F23F31"/>
    <w:rsid w:val="00F23F95"/>
    <w:rsid w:val="00F242A9"/>
    <w:rsid w:val="00F244B3"/>
    <w:rsid w:val="00F245D7"/>
    <w:rsid w:val="00F24637"/>
    <w:rsid w:val="00F2476E"/>
    <w:rsid w:val="00F24DAE"/>
    <w:rsid w:val="00F24E68"/>
    <w:rsid w:val="00F250EE"/>
    <w:rsid w:val="00F25489"/>
    <w:rsid w:val="00F25737"/>
    <w:rsid w:val="00F2583E"/>
    <w:rsid w:val="00F25848"/>
    <w:rsid w:val="00F25969"/>
    <w:rsid w:val="00F25A88"/>
    <w:rsid w:val="00F25AE3"/>
    <w:rsid w:val="00F25B9A"/>
    <w:rsid w:val="00F25E43"/>
    <w:rsid w:val="00F25E5F"/>
    <w:rsid w:val="00F26118"/>
    <w:rsid w:val="00F264A3"/>
    <w:rsid w:val="00F265AF"/>
    <w:rsid w:val="00F2661E"/>
    <w:rsid w:val="00F269D6"/>
    <w:rsid w:val="00F26A4E"/>
    <w:rsid w:val="00F26A56"/>
    <w:rsid w:val="00F26AD0"/>
    <w:rsid w:val="00F26BAD"/>
    <w:rsid w:val="00F26CD0"/>
    <w:rsid w:val="00F26EE9"/>
    <w:rsid w:val="00F26F16"/>
    <w:rsid w:val="00F26F5D"/>
    <w:rsid w:val="00F270FD"/>
    <w:rsid w:val="00F27285"/>
    <w:rsid w:val="00F27363"/>
    <w:rsid w:val="00F2747A"/>
    <w:rsid w:val="00F274B2"/>
    <w:rsid w:val="00F276AE"/>
    <w:rsid w:val="00F278B5"/>
    <w:rsid w:val="00F27953"/>
    <w:rsid w:val="00F27991"/>
    <w:rsid w:val="00F27D9B"/>
    <w:rsid w:val="00F27E77"/>
    <w:rsid w:val="00F3029D"/>
    <w:rsid w:val="00F3067C"/>
    <w:rsid w:val="00F30A2C"/>
    <w:rsid w:val="00F30AFC"/>
    <w:rsid w:val="00F30C5F"/>
    <w:rsid w:val="00F3106B"/>
    <w:rsid w:val="00F31370"/>
    <w:rsid w:val="00F31929"/>
    <w:rsid w:val="00F31AE8"/>
    <w:rsid w:val="00F31BCF"/>
    <w:rsid w:val="00F31BFD"/>
    <w:rsid w:val="00F31D2A"/>
    <w:rsid w:val="00F31D32"/>
    <w:rsid w:val="00F31E26"/>
    <w:rsid w:val="00F31F46"/>
    <w:rsid w:val="00F31F52"/>
    <w:rsid w:val="00F321F3"/>
    <w:rsid w:val="00F322AA"/>
    <w:rsid w:val="00F32489"/>
    <w:rsid w:val="00F32559"/>
    <w:rsid w:val="00F32669"/>
    <w:rsid w:val="00F326C6"/>
    <w:rsid w:val="00F32A7E"/>
    <w:rsid w:val="00F32C5C"/>
    <w:rsid w:val="00F32D76"/>
    <w:rsid w:val="00F330FF"/>
    <w:rsid w:val="00F33342"/>
    <w:rsid w:val="00F33394"/>
    <w:rsid w:val="00F33479"/>
    <w:rsid w:val="00F334B6"/>
    <w:rsid w:val="00F335DC"/>
    <w:rsid w:val="00F3366A"/>
    <w:rsid w:val="00F33C57"/>
    <w:rsid w:val="00F33DC9"/>
    <w:rsid w:val="00F33FFA"/>
    <w:rsid w:val="00F343A6"/>
    <w:rsid w:val="00F343F8"/>
    <w:rsid w:val="00F34461"/>
    <w:rsid w:val="00F34494"/>
    <w:rsid w:val="00F34673"/>
    <w:rsid w:val="00F348D2"/>
    <w:rsid w:val="00F3498D"/>
    <w:rsid w:val="00F34AB9"/>
    <w:rsid w:val="00F34B0E"/>
    <w:rsid w:val="00F34B28"/>
    <w:rsid w:val="00F35002"/>
    <w:rsid w:val="00F3542F"/>
    <w:rsid w:val="00F354D3"/>
    <w:rsid w:val="00F3552F"/>
    <w:rsid w:val="00F35620"/>
    <w:rsid w:val="00F35852"/>
    <w:rsid w:val="00F35890"/>
    <w:rsid w:val="00F359C0"/>
    <w:rsid w:val="00F35B45"/>
    <w:rsid w:val="00F35B91"/>
    <w:rsid w:val="00F35CCA"/>
    <w:rsid w:val="00F35FBD"/>
    <w:rsid w:val="00F3605D"/>
    <w:rsid w:val="00F360E9"/>
    <w:rsid w:val="00F36298"/>
    <w:rsid w:val="00F3632F"/>
    <w:rsid w:val="00F36408"/>
    <w:rsid w:val="00F36515"/>
    <w:rsid w:val="00F3653A"/>
    <w:rsid w:val="00F365F2"/>
    <w:rsid w:val="00F3690B"/>
    <w:rsid w:val="00F36A4D"/>
    <w:rsid w:val="00F36B61"/>
    <w:rsid w:val="00F36B81"/>
    <w:rsid w:val="00F36B89"/>
    <w:rsid w:val="00F36C1E"/>
    <w:rsid w:val="00F36DF6"/>
    <w:rsid w:val="00F37218"/>
    <w:rsid w:val="00F37409"/>
    <w:rsid w:val="00F37499"/>
    <w:rsid w:val="00F374C5"/>
    <w:rsid w:val="00F3796D"/>
    <w:rsid w:val="00F379BB"/>
    <w:rsid w:val="00F37AD6"/>
    <w:rsid w:val="00F37C60"/>
    <w:rsid w:val="00F37CF1"/>
    <w:rsid w:val="00F37EC4"/>
    <w:rsid w:val="00F40057"/>
    <w:rsid w:val="00F4005E"/>
    <w:rsid w:val="00F40083"/>
    <w:rsid w:val="00F402E0"/>
    <w:rsid w:val="00F40368"/>
    <w:rsid w:val="00F4036E"/>
    <w:rsid w:val="00F4039B"/>
    <w:rsid w:val="00F403FD"/>
    <w:rsid w:val="00F40579"/>
    <w:rsid w:val="00F40862"/>
    <w:rsid w:val="00F40AE2"/>
    <w:rsid w:val="00F40B91"/>
    <w:rsid w:val="00F40BBE"/>
    <w:rsid w:val="00F40BCA"/>
    <w:rsid w:val="00F40C93"/>
    <w:rsid w:val="00F40F7D"/>
    <w:rsid w:val="00F4120E"/>
    <w:rsid w:val="00F41608"/>
    <w:rsid w:val="00F416B2"/>
    <w:rsid w:val="00F418A4"/>
    <w:rsid w:val="00F41936"/>
    <w:rsid w:val="00F41A59"/>
    <w:rsid w:val="00F41A64"/>
    <w:rsid w:val="00F41AA8"/>
    <w:rsid w:val="00F41AF9"/>
    <w:rsid w:val="00F41E46"/>
    <w:rsid w:val="00F41EE1"/>
    <w:rsid w:val="00F41F98"/>
    <w:rsid w:val="00F4233E"/>
    <w:rsid w:val="00F4254E"/>
    <w:rsid w:val="00F425A2"/>
    <w:rsid w:val="00F425F5"/>
    <w:rsid w:val="00F4281A"/>
    <w:rsid w:val="00F42840"/>
    <w:rsid w:val="00F4292A"/>
    <w:rsid w:val="00F429C8"/>
    <w:rsid w:val="00F42B1E"/>
    <w:rsid w:val="00F42BBA"/>
    <w:rsid w:val="00F42F34"/>
    <w:rsid w:val="00F42FED"/>
    <w:rsid w:val="00F43252"/>
    <w:rsid w:val="00F43537"/>
    <w:rsid w:val="00F4369E"/>
    <w:rsid w:val="00F43B4C"/>
    <w:rsid w:val="00F43B75"/>
    <w:rsid w:val="00F43C5B"/>
    <w:rsid w:val="00F43D12"/>
    <w:rsid w:val="00F43D4B"/>
    <w:rsid w:val="00F43E38"/>
    <w:rsid w:val="00F43F98"/>
    <w:rsid w:val="00F441A7"/>
    <w:rsid w:val="00F44472"/>
    <w:rsid w:val="00F44571"/>
    <w:rsid w:val="00F4469E"/>
    <w:rsid w:val="00F446D7"/>
    <w:rsid w:val="00F44772"/>
    <w:rsid w:val="00F447DD"/>
    <w:rsid w:val="00F448A3"/>
    <w:rsid w:val="00F4493B"/>
    <w:rsid w:val="00F44D95"/>
    <w:rsid w:val="00F44F74"/>
    <w:rsid w:val="00F44FA7"/>
    <w:rsid w:val="00F45113"/>
    <w:rsid w:val="00F451BD"/>
    <w:rsid w:val="00F45493"/>
    <w:rsid w:val="00F454E6"/>
    <w:rsid w:val="00F45607"/>
    <w:rsid w:val="00F4567D"/>
    <w:rsid w:val="00F456C8"/>
    <w:rsid w:val="00F458AE"/>
    <w:rsid w:val="00F45C48"/>
    <w:rsid w:val="00F45CF6"/>
    <w:rsid w:val="00F45CFC"/>
    <w:rsid w:val="00F45D4F"/>
    <w:rsid w:val="00F45DF1"/>
    <w:rsid w:val="00F45F19"/>
    <w:rsid w:val="00F45FE4"/>
    <w:rsid w:val="00F4613C"/>
    <w:rsid w:val="00F468FE"/>
    <w:rsid w:val="00F46CA7"/>
    <w:rsid w:val="00F46CBA"/>
    <w:rsid w:val="00F46D12"/>
    <w:rsid w:val="00F46E74"/>
    <w:rsid w:val="00F46F04"/>
    <w:rsid w:val="00F4721B"/>
    <w:rsid w:val="00F472D1"/>
    <w:rsid w:val="00F47604"/>
    <w:rsid w:val="00F47645"/>
    <w:rsid w:val="00F479DF"/>
    <w:rsid w:val="00F47A51"/>
    <w:rsid w:val="00F47BE2"/>
    <w:rsid w:val="00F47DB6"/>
    <w:rsid w:val="00F47F8A"/>
    <w:rsid w:val="00F47FAD"/>
    <w:rsid w:val="00F500BA"/>
    <w:rsid w:val="00F5061B"/>
    <w:rsid w:val="00F5089F"/>
    <w:rsid w:val="00F50C30"/>
    <w:rsid w:val="00F50E2E"/>
    <w:rsid w:val="00F50E58"/>
    <w:rsid w:val="00F50F31"/>
    <w:rsid w:val="00F5128F"/>
    <w:rsid w:val="00F5139F"/>
    <w:rsid w:val="00F513D8"/>
    <w:rsid w:val="00F514A1"/>
    <w:rsid w:val="00F514A2"/>
    <w:rsid w:val="00F519C3"/>
    <w:rsid w:val="00F51A3D"/>
    <w:rsid w:val="00F51D33"/>
    <w:rsid w:val="00F51F43"/>
    <w:rsid w:val="00F51FC9"/>
    <w:rsid w:val="00F520B2"/>
    <w:rsid w:val="00F5256E"/>
    <w:rsid w:val="00F5275F"/>
    <w:rsid w:val="00F52773"/>
    <w:rsid w:val="00F527A3"/>
    <w:rsid w:val="00F52BE9"/>
    <w:rsid w:val="00F52C98"/>
    <w:rsid w:val="00F52F4B"/>
    <w:rsid w:val="00F53190"/>
    <w:rsid w:val="00F53408"/>
    <w:rsid w:val="00F53423"/>
    <w:rsid w:val="00F53673"/>
    <w:rsid w:val="00F5381D"/>
    <w:rsid w:val="00F538AF"/>
    <w:rsid w:val="00F53932"/>
    <w:rsid w:val="00F53CE2"/>
    <w:rsid w:val="00F53D95"/>
    <w:rsid w:val="00F5405B"/>
    <w:rsid w:val="00F540E3"/>
    <w:rsid w:val="00F541B1"/>
    <w:rsid w:val="00F54491"/>
    <w:rsid w:val="00F544DB"/>
    <w:rsid w:val="00F544F5"/>
    <w:rsid w:val="00F544FC"/>
    <w:rsid w:val="00F54866"/>
    <w:rsid w:val="00F54D73"/>
    <w:rsid w:val="00F54E21"/>
    <w:rsid w:val="00F5527E"/>
    <w:rsid w:val="00F55637"/>
    <w:rsid w:val="00F557D2"/>
    <w:rsid w:val="00F55802"/>
    <w:rsid w:val="00F55BAA"/>
    <w:rsid w:val="00F55D57"/>
    <w:rsid w:val="00F55F6D"/>
    <w:rsid w:val="00F55FEA"/>
    <w:rsid w:val="00F560B7"/>
    <w:rsid w:val="00F56532"/>
    <w:rsid w:val="00F5671B"/>
    <w:rsid w:val="00F56723"/>
    <w:rsid w:val="00F56A96"/>
    <w:rsid w:val="00F56AFB"/>
    <w:rsid w:val="00F56F0A"/>
    <w:rsid w:val="00F5701A"/>
    <w:rsid w:val="00F57099"/>
    <w:rsid w:val="00F571C9"/>
    <w:rsid w:val="00F571D4"/>
    <w:rsid w:val="00F571DC"/>
    <w:rsid w:val="00F5740A"/>
    <w:rsid w:val="00F575E5"/>
    <w:rsid w:val="00F5760B"/>
    <w:rsid w:val="00F5767C"/>
    <w:rsid w:val="00F5782E"/>
    <w:rsid w:val="00F57884"/>
    <w:rsid w:val="00F57932"/>
    <w:rsid w:val="00F57991"/>
    <w:rsid w:val="00F579D2"/>
    <w:rsid w:val="00F57AF5"/>
    <w:rsid w:val="00F57BB4"/>
    <w:rsid w:val="00F57CD3"/>
    <w:rsid w:val="00F60144"/>
    <w:rsid w:val="00F60275"/>
    <w:rsid w:val="00F60332"/>
    <w:rsid w:val="00F606B8"/>
    <w:rsid w:val="00F607AE"/>
    <w:rsid w:val="00F607D8"/>
    <w:rsid w:val="00F6083A"/>
    <w:rsid w:val="00F60A86"/>
    <w:rsid w:val="00F60B28"/>
    <w:rsid w:val="00F60D6E"/>
    <w:rsid w:val="00F61083"/>
    <w:rsid w:val="00F6112F"/>
    <w:rsid w:val="00F61272"/>
    <w:rsid w:val="00F61275"/>
    <w:rsid w:val="00F613CA"/>
    <w:rsid w:val="00F61423"/>
    <w:rsid w:val="00F616DD"/>
    <w:rsid w:val="00F61766"/>
    <w:rsid w:val="00F61CAC"/>
    <w:rsid w:val="00F61EE9"/>
    <w:rsid w:val="00F61F0B"/>
    <w:rsid w:val="00F6227D"/>
    <w:rsid w:val="00F623E4"/>
    <w:rsid w:val="00F62474"/>
    <w:rsid w:val="00F62517"/>
    <w:rsid w:val="00F625DF"/>
    <w:rsid w:val="00F62779"/>
    <w:rsid w:val="00F62A0E"/>
    <w:rsid w:val="00F62AD6"/>
    <w:rsid w:val="00F62B91"/>
    <w:rsid w:val="00F62BBE"/>
    <w:rsid w:val="00F62CA1"/>
    <w:rsid w:val="00F62D5B"/>
    <w:rsid w:val="00F62D9C"/>
    <w:rsid w:val="00F62E74"/>
    <w:rsid w:val="00F630F6"/>
    <w:rsid w:val="00F63306"/>
    <w:rsid w:val="00F63427"/>
    <w:rsid w:val="00F634A9"/>
    <w:rsid w:val="00F6356A"/>
    <w:rsid w:val="00F6364C"/>
    <w:rsid w:val="00F6377E"/>
    <w:rsid w:val="00F63899"/>
    <w:rsid w:val="00F639CF"/>
    <w:rsid w:val="00F63B2E"/>
    <w:rsid w:val="00F63C5A"/>
    <w:rsid w:val="00F63CDA"/>
    <w:rsid w:val="00F63E0F"/>
    <w:rsid w:val="00F63EE0"/>
    <w:rsid w:val="00F641F4"/>
    <w:rsid w:val="00F642D7"/>
    <w:rsid w:val="00F64556"/>
    <w:rsid w:val="00F645D6"/>
    <w:rsid w:val="00F64AA7"/>
    <w:rsid w:val="00F64B0B"/>
    <w:rsid w:val="00F64BE3"/>
    <w:rsid w:val="00F64CFF"/>
    <w:rsid w:val="00F64DAF"/>
    <w:rsid w:val="00F64DE6"/>
    <w:rsid w:val="00F64EBC"/>
    <w:rsid w:val="00F651DD"/>
    <w:rsid w:val="00F65419"/>
    <w:rsid w:val="00F6576C"/>
    <w:rsid w:val="00F65858"/>
    <w:rsid w:val="00F65CB0"/>
    <w:rsid w:val="00F661AA"/>
    <w:rsid w:val="00F66479"/>
    <w:rsid w:val="00F6672F"/>
    <w:rsid w:val="00F667F3"/>
    <w:rsid w:val="00F6689C"/>
    <w:rsid w:val="00F668AF"/>
    <w:rsid w:val="00F66961"/>
    <w:rsid w:val="00F669DF"/>
    <w:rsid w:val="00F66A4C"/>
    <w:rsid w:val="00F66AB9"/>
    <w:rsid w:val="00F66B94"/>
    <w:rsid w:val="00F66FEF"/>
    <w:rsid w:val="00F6728F"/>
    <w:rsid w:val="00F672A8"/>
    <w:rsid w:val="00F67332"/>
    <w:rsid w:val="00F673E7"/>
    <w:rsid w:val="00F6741C"/>
    <w:rsid w:val="00F6759B"/>
    <w:rsid w:val="00F677D3"/>
    <w:rsid w:val="00F67C06"/>
    <w:rsid w:val="00F67DD6"/>
    <w:rsid w:val="00F700FF"/>
    <w:rsid w:val="00F70242"/>
    <w:rsid w:val="00F70438"/>
    <w:rsid w:val="00F7065F"/>
    <w:rsid w:val="00F70797"/>
    <w:rsid w:val="00F707BB"/>
    <w:rsid w:val="00F70834"/>
    <w:rsid w:val="00F709E9"/>
    <w:rsid w:val="00F70B33"/>
    <w:rsid w:val="00F70C82"/>
    <w:rsid w:val="00F70CB9"/>
    <w:rsid w:val="00F70CDC"/>
    <w:rsid w:val="00F70CF9"/>
    <w:rsid w:val="00F70D8D"/>
    <w:rsid w:val="00F70EF5"/>
    <w:rsid w:val="00F70FF4"/>
    <w:rsid w:val="00F7111E"/>
    <w:rsid w:val="00F71747"/>
    <w:rsid w:val="00F71884"/>
    <w:rsid w:val="00F72169"/>
    <w:rsid w:val="00F721ED"/>
    <w:rsid w:val="00F723E0"/>
    <w:rsid w:val="00F72757"/>
    <w:rsid w:val="00F727CF"/>
    <w:rsid w:val="00F72884"/>
    <w:rsid w:val="00F728CF"/>
    <w:rsid w:val="00F72956"/>
    <w:rsid w:val="00F72A48"/>
    <w:rsid w:val="00F72B7A"/>
    <w:rsid w:val="00F72CD2"/>
    <w:rsid w:val="00F72E27"/>
    <w:rsid w:val="00F73359"/>
    <w:rsid w:val="00F73364"/>
    <w:rsid w:val="00F73752"/>
    <w:rsid w:val="00F73790"/>
    <w:rsid w:val="00F738C8"/>
    <w:rsid w:val="00F73B37"/>
    <w:rsid w:val="00F73BB1"/>
    <w:rsid w:val="00F73C93"/>
    <w:rsid w:val="00F73E3E"/>
    <w:rsid w:val="00F73F84"/>
    <w:rsid w:val="00F73FC4"/>
    <w:rsid w:val="00F740D9"/>
    <w:rsid w:val="00F74272"/>
    <w:rsid w:val="00F74273"/>
    <w:rsid w:val="00F742A2"/>
    <w:rsid w:val="00F7437A"/>
    <w:rsid w:val="00F74522"/>
    <w:rsid w:val="00F74588"/>
    <w:rsid w:val="00F7493D"/>
    <w:rsid w:val="00F74AFB"/>
    <w:rsid w:val="00F74C6D"/>
    <w:rsid w:val="00F74D33"/>
    <w:rsid w:val="00F74E31"/>
    <w:rsid w:val="00F74EC7"/>
    <w:rsid w:val="00F752EA"/>
    <w:rsid w:val="00F75358"/>
    <w:rsid w:val="00F75414"/>
    <w:rsid w:val="00F75492"/>
    <w:rsid w:val="00F75529"/>
    <w:rsid w:val="00F7559F"/>
    <w:rsid w:val="00F7581B"/>
    <w:rsid w:val="00F759BD"/>
    <w:rsid w:val="00F75BE9"/>
    <w:rsid w:val="00F75C83"/>
    <w:rsid w:val="00F75EB0"/>
    <w:rsid w:val="00F76053"/>
    <w:rsid w:val="00F7647D"/>
    <w:rsid w:val="00F76695"/>
    <w:rsid w:val="00F76BFF"/>
    <w:rsid w:val="00F76CFC"/>
    <w:rsid w:val="00F77044"/>
    <w:rsid w:val="00F771BB"/>
    <w:rsid w:val="00F77226"/>
    <w:rsid w:val="00F77391"/>
    <w:rsid w:val="00F774CB"/>
    <w:rsid w:val="00F77779"/>
    <w:rsid w:val="00F778F4"/>
    <w:rsid w:val="00F77B91"/>
    <w:rsid w:val="00F77F80"/>
    <w:rsid w:val="00F77FDB"/>
    <w:rsid w:val="00F8008D"/>
    <w:rsid w:val="00F8014C"/>
    <w:rsid w:val="00F80280"/>
    <w:rsid w:val="00F804B7"/>
    <w:rsid w:val="00F80732"/>
    <w:rsid w:val="00F80761"/>
    <w:rsid w:val="00F80B64"/>
    <w:rsid w:val="00F81018"/>
    <w:rsid w:val="00F81347"/>
    <w:rsid w:val="00F8135E"/>
    <w:rsid w:val="00F81CA7"/>
    <w:rsid w:val="00F81CC3"/>
    <w:rsid w:val="00F81D82"/>
    <w:rsid w:val="00F81F55"/>
    <w:rsid w:val="00F8225B"/>
    <w:rsid w:val="00F822ED"/>
    <w:rsid w:val="00F823B8"/>
    <w:rsid w:val="00F823EE"/>
    <w:rsid w:val="00F82671"/>
    <w:rsid w:val="00F82780"/>
    <w:rsid w:val="00F827BC"/>
    <w:rsid w:val="00F829C9"/>
    <w:rsid w:val="00F82ADD"/>
    <w:rsid w:val="00F82B37"/>
    <w:rsid w:val="00F82C6C"/>
    <w:rsid w:val="00F82F32"/>
    <w:rsid w:val="00F83175"/>
    <w:rsid w:val="00F832E6"/>
    <w:rsid w:val="00F836CD"/>
    <w:rsid w:val="00F8371B"/>
    <w:rsid w:val="00F83A16"/>
    <w:rsid w:val="00F83AAB"/>
    <w:rsid w:val="00F83B18"/>
    <w:rsid w:val="00F83C20"/>
    <w:rsid w:val="00F84028"/>
    <w:rsid w:val="00F841C7"/>
    <w:rsid w:val="00F84A66"/>
    <w:rsid w:val="00F84BC8"/>
    <w:rsid w:val="00F84C89"/>
    <w:rsid w:val="00F84EA9"/>
    <w:rsid w:val="00F84EFA"/>
    <w:rsid w:val="00F84FED"/>
    <w:rsid w:val="00F8500B"/>
    <w:rsid w:val="00F851A6"/>
    <w:rsid w:val="00F854EA"/>
    <w:rsid w:val="00F85508"/>
    <w:rsid w:val="00F85568"/>
    <w:rsid w:val="00F859C8"/>
    <w:rsid w:val="00F85BF8"/>
    <w:rsid w:val="00F85D7B"/>
    <w:rsid w:val="00F8612B"/>
    <w:rsid w:val="00F86260"/>
    <w:rsid w:val="00F86579"/>
    <w:rsid w:val="00F8667C"/>
    <w:rsid w:val="00F86886"/>
    <w:rsid w:val="00F868AF"/>
    <w:rsid w:val="00F868E0"/>
    <w:rsid w:val="00F86AC3"/>
    <w:rsid w:val="00F86BF3"/>
    <w:rsid w:val="00F86EEE"/>
    <w:rsid w:val="00F8739E"/>
    <w:rsid w:val="00F87632"/>
    <w:rsid w:val="00F87649"/>
    <w:rsid w:val="00F876F3"/>
    <w:rsid w:val="00F87A71"/>
    <w:rsid w:val="00F87A7D"/>
    <w:rsid w:val="00F87E23"/>
    <w:rsid w:val="00F87E48"/>
    <w:rsid w:val="00F90117"/>
    <w:rsid w:val="00F90192"/>
    <w:rsid w:val="00F901EA"/>
    <w:rsid w:val="00F902F1"/>
    <w:rsid w:val="00F9053E"/>
    <w:rsid w:val="00F90611"/>
    <w:rsid w:val="00F9070C"/>
    <w:rsid w:val="00F90AAE"/>
    <w:rsid w:val="00F90B3E"/>
    <w:rsid w:val="00F90B7C"/>
    <w:rsid w:val="00F90CC2"/>
    <w:rsid w:val="00F90FB5"/>
    <w:rsid w:val="00F90FF6"/>
    <w:rsid w:val="00F91107"/>
    <w:rsid w:val="00F9130D"/>
    <w:rsid w:val="00F914F9"/>
    <w:rsid w:val="00F91626"/>
    <w:rsid w:val="00F917E4"/>
    <w:rsid w:val="00F9182A"/>
    <w:rsid w:val="00F91859"/>
    <w:rsid w:val="00F9193F"/>
    <w:rsid w:val="00F91983"/>
    <w:rsid w:val="00F91AC6"/>
    <w:rsid w:val="00F91B9B"/>
    <w:rsid w:val="00F91D11"/>
    <w:rsid w:val="00F91E4A"/>
    <w:rsid w:val="00F91EC1"/>
    <w:rsid w:val="00F91FAA"/>
    <w:rsid w:val="00F92072"/>
    <w:rsid w:val="00F920C0"/>
    <w:rsid w:val="00F920CB"/>
    <w:rsid w:val="00F92164"/>
    <w:rsid w:val="00F92231"/>
    <w:rsid w:val="00F92389"/>
    <w:rsid w:val="00F9239A"/>
    <w:rsid w:val="00F9249C"/>
    <w:rsid w:val="00F9253E"/>
    <w:rsid w:val="00F92673"/>
    <w:rsid w:val="00F92686"/>
    <w:rsid w:val="00F92797"/>
    <w:rsid w:val="00F92D3C"/>
    <w:rsid w:val="00F92DB6"/>
    <w:rsid w:val="00F9303C"/>
    <w:rsid w:val="00F93053"/>
    <w:rsid w:val="00F932A7"/>
    <w:rsid w:val="00F93426"/>
    <w:rsid w:val="00F93598"/>
    <w:rsid w:val="00F937DC"/>
    <w:rsid w:val="00F939EC"/>
    <w:rsid w:val="00F93B2F"/>
    <w:rsid w:val="00F93B85"/>
    <w:rsid w:val="00F940B0"/>
    <w:rsid w:val="00F94283"/>
    <w:rsid w:val="00F945B3"/>
    <w:rsid w:val="00F94723"/>
    <w:rsid w:val="00F9477E"/>
    <w:rsid w:val="00F9489E"/>
    <w:rsid w:val="00F94923"/>
    <w:rsid w:val="00F9492C"/>
    <w:rsid w:val="00F9497B"/>
    <w:rsid w:val="00F94998"/>
    <w:rsid w:val="00F94A3B"/>
    <w:rsid w:val="00F94D02"/>
    <w:rsid w:val="00F94F79"/>
    <w:rsid w:val="00F950DF"/>
    <w:rsid w:val="00F95295"/>
    <w:rsid w:val="00F95455"/>
    <w:rsid w:val="00F958DE"/>
    <w:rsid w:val="00F9596A"/>
    <w:rsid w:val="00F95A1C"/>
    <w:rsid w:val="00F95B20"/>
    <w:rsid w:val="00F95B4B"/>
    <w:rsid w:val="00F95E0F"/>
    <w:rsid w:val="00F95E7E"/>
    <w:rsid w:val="00F95F37"/>
    <w:rsid w:val="00F960FC"/>
    <w:rsid w:val="00F961ED"/>
    <w:rsid w:val="00F965BB"/>
    <w:rsid w:val="00F96607"/>
    <w:rsid w:val="00F9663E"/>
    <w:rsid w:val="00F96807"/>
    <w:rsid w:val="00F968A1"/>
    <w:rsid w:val="00F96914"/>
    <w:rsid w:val="00F969CD"/>
    <w:rsid w:val="00F96A17"/>
    <w:rsid w:val="00F96B7E"/>
    <w:rsid w:val="00F96D7E"/>
    <w:rsid w:val="00F96F31"/>
    <w:rsid w:val="00F9735A"/>
    <w:rsid w:val="00F973A1"/>
    <w:rsid w:val="00F977D6"/>
    <w:rsid w:val="00F9792F"/>
    <w:rsid w:val="00F979FA"/>
    <w:rsid w:val="00F97C12"/>
    <w:rsid w:val="00F97EA4"/>
    <w:rsid w:val="00F97EE6"/>
    <w:rsid w:val="00FA0042"/>
    <w:rsid w:val="00FA03F7"/>
    <w:rsid w:val="00FA0819"/>
    <w:rsid w:val="00FA11E6"/>
    <w:rsid w:val="00FA127E"/>
    <w:rsid w:val="00FA12F1"/>
    <w:rsid w:val="00FA1307"/>
    <w:rsid w:val="00FA13FB"/>
    <w:rsid w:val="00FA1469"/>
    <w:rsid w:val="00FA150A"/>
    <w:rsid w:val="00FA1779"/>
    <w:rsid w:val="00FA19DC"/>
    <w:rsid w:val="00FA19F5"/>
    <w:rsid w:val="00FA1C48"/>
    <w:rsid w:val="00FA1DA3"/>
    <w:rsid w:val="00FA1DA4"/>
    <w:rsid w:val="00FA1DB6"/>
    <w:rsid w:val="00FA1E96"/>
    <w:rsid w:val="00FA1E99"/>
    <w:rsid w:val="00FA1EDF"/>
    <w:rsid w:val="00FA1FE1"/>
    <w:rsid w:val="00FA21E7"/>
    <w:rsid w:val="00FA22FB"/>
    <w:rsid w:val="00FA23DB"/>
    <w:rsid w:val="00FA2502"/>
    <w:rsid w:val="00FA2508"/>
    <w:rsid w:val="00FA29A4"/>
    <w:rsid w:val="00FA29CF"/>
    <w:rsid w:val="00FA2A64"/>
    <w:rsid w:val="00FA2A90"/>
    <w:rsid w:val="00FA2C2A"/>
    <w:rsid w:val="00FA2C2D"/>
    <w:rsid w:val="00FA2EEE"/>
    <w:rsid w:val="00FA2F51"/>
    <w:rsid w:val="00FA2FC6"/>
    <w:rsid w:val="00FA30B6"/>
    <w:rsid w:val="00FA3159"/>
    <w:rsid w:val="00FA335E"/>
    <w:rsid w:val="00FA3726"/>
    <w:rsid w:val="00FA39AA"/>
    <w:rsid w:val="00FA3AEE"/>
    <w:rsid w:val="00FA3DE9"/>
    <w:rsid w:val="00FA3E9F"/>
    <w:rsid w:val="00FA41AD"/>
    <w:rsid w:val="00FA4299"/>
    <w:rsid w:val="00FA436C"/>
    <w:rsid w:val="00FA43CE"/>
    <w:rsid w:val="00FA4D9A"/>
    <w:rsid w:val="00FA4EFB"/>
    <w:rsid w:val="00FA5591"/>
    <w:rsid w:val="00FA5598"/>
    <w:rsid w:val="00FA58C9"/>
    <w:rsid w:val="00FA5B30"/>
    <w:rsid w:val="00FA5C06"/>
    <w:rsid w:val="00FA5CF9"/>
    <w:rsid w:val="00FA5D1C"/>
    <w:rsid w:val="00FA5E00"/>
    <w:rsid w:val="00FA603F"/>
    <w:rsid w:val="00FA6202"/>
    <w:rsid w:val="00FA6332"/>
    <w:rsid w:val="00FA6967"/>
    <w:rsid w:val="00FA6A40"/>
    <w:rsid w:val="00FA6B36"/>
    <w:rsid w:val="00FA6B77"/>
    <w:rsid w:val="00FA6E5E"/>
    <w:rsid w:val="00FA6F75"/>
    <w:rsid w:val="00FA6FB1"/>
    <w:rsid w:val="00FA70A4"/>
    <w:rsid w:val="00FA7243"/>
    <w:rsid w:val="00FA7397"/>
    <w:rsid w:val="00FA73F2"/>
    <w:rsid w:val="00FA7563"/>
    <w:rsid w:val="00FA760E"/>
    <w:rsid w:val="00FA7769"/>
    <w:rsid w:val="00FA77A6"/>
    <w:rsid w:val="00FA7B77"/>
    <w:rsid w:val="00FA7FAB"/>
    <w:rsid w:val="00FB0034"/>
    <w:rsid w:val="00FB0093"/>
    <w:rsid w:val="00FB0178"/>
    <w:rsid w:val="00FB0405"/>
    <w:rsid w:val="00FB0466"/>
    <w:rsid w:val="00FB0942"/>
    <w:rsid w:val="00FB0AA2"/>
    <w:rsid w:val="00FB0CDF"/>
    <w:rsid w:val="00FB1284"/>
    <w:rsid w:val="00FB1372"/>
    <w:rsid w:val="00FB1379"/>
    <w:rsid w:val="00FB1527"/>
    <w:rsid w:val="00FB1677"/>
    <w:rsid w:val="00FB18EB"/>
    <w:rsid w:val="00FB1BC1"/>
    <w:rsid w:val="00FB1C16"/>
    <w:rsid w:val="00FB1D01"/>
    <w:rsid w:val="00FB1F71"/>
    <w:rsid w:val="00FB2080"/>
    <w:rsid w:val="00FB208A"/>
    <w:rsid w:val="00FB221C"/>
    <w:rsid w:val="00FB22EF"/>
    <w:rsid w:val="00FB2313"/>
    <w:rsid w:val="00FB2646"/>
    <w:rsid w:val="00FB29B7"/>
    <w:rsid w:val="00FB2B70"/>
    <w:rsid w:val="00FB2D59"/>
    <w:rsid w:val="00FB2DBF"/>
    <w:rsid w:val="00FB2E11"/>
    <w:rsid w:val="00FB2E21"/>
    <w:rsid w:val="00FB3017"/>
    <w:rsid w:val="00FB31A7"/>
    <w:rsid w:val="00FB3202"/>
    <w:rsid w:val="00FB335A"/>
    <w:rsid w:val="00FB36BA"/>
    <w:rsid w:val="00FB36BB"/>
    <w:rsid w:val="00FB3892"/>
    <w:rsid w:val="00FB392E"/>
    <w:rsid w:val="00FB3B1B"/>
    <w:rsid w:val="00FB3B4E"/>
    <w:rsid w:val="00FB3DBB"/>
    <w:rsid w:val="00FB4149"/>
    <w:rsid w:val="00FB42CA"/>
    <w:rsid w:val="00FB4380"/>
    <w:rsid w:val="00FB448F"/>
    <w:rsid w:val="00FB44AB"/>
    <w:rsid w:val="00FB4516"/>
    <w:rsid w:val="00FB4634"/>
    <w:rsid w:val="00FB4751"/>
    <w:rsid w:val="00FB47DF"/>
    <w:rsid w:val="00FB48FF"/>
    <w:rsid w:val="00FB4B44"/>
    <w:rsid w:val="00FB4C4E"/>
    <w:rsid w:val="00FB4C92"/>
    <w:rsid w:val="00FB4DB9"/>
    <w:rsid w:val="00FB4F04"/>
    <w:rsid w:val="00FB5124"/>
    <w:rsid w:val="00FB51AB"/>
    <w:rsid w:val="00FB5349"/>
    <w:rsid w:val="00FB551A"/>
    <w:rsid w:val="00FB593F"/>
    <w:rsid w:val="00FB5AB0"/>
    <w:rsid w:val="00FB5C0E"/>
    <w:rsid w:val="00FB5D89"/>
    <w:rsid w:val="00FB5FD5"/>
    <w:rsid w:val="00FB6149"/>
    <w:rsid w:val="00FB6949"/>
    <w:rsid w:val="00FB6951"/>
    <w:rsid w:val="00FB69AD"/>
    <w:rsid w:val="00FB6F6E"/>
    <w:rsid w:val="00FB73B5"/>
    <w:rsid w:val="00FB74F0"/>
    <w:rsid w:val="00FB7586"/>
    <w:rsid w:val="00FB75A0"/>
    <w:rsid w:val="00FB765E"/>
    <w:rsid w:val="00FB7669"/>
    <w:rsid w:val="00FB7746"/>
    <w:rsid w:val="00FB7869"/>
    <w:rsid w:val="00FB7BB1"/>
    <w:rsid w:val="00FB7C2A"/>
    <w:rsid w:val="00FC03CF"/>
    <w:rsid w:val="00FC0566"/>
    <w:rsid w:val="00FC079B"/>
    <w:rsid w:val="00FC0842"/>
    <w:rsid w:val="00FC0896"/>
    <w:rsid w:val="00FC0ACE"/>
    <w:rsid w:val="00FC0E83"/>
    <w:rsid w:val="00FC0F9E"/>
    <w:rsid w:val="00FC0FD2"/>
    <w:rsid w:val="00FC10DF"/>
    <w:rsid w:val="00FC118E"/>
    <w:rsid w:val="00FC14E7"/>
    <w:rsid w:val="00FC1880"/>
    <w:rsid w:val="00FC18D3"/>
    <w:rsid w:val="00FC1933"/>
    <w:rsid w:val="00FC1EBB"/>
    <w:rsid w:val="00FC1FE7"/>
    <w:rsid w:val="00FC1FF5"/>
    <w:rsid w:val="00FC21D9"/>
    <w:rsid w:val="00FC21F0"/>
    <w:rsid w:val="00FC2699"/>
    <w:rsid w:val="00FC27A1"/>
    <w:rsid w:val="00FC290A"/>
    <w:rsid w:val="00FC2B75"/>
    <w:rsid w:val="00FC2BFF"/>
    <w:rsid w:val="00FC2E13"/>
    <w:rsid w:val="00FC2F1F"/>
    <w:rsid w:val="00FC30D5"/>
    <w:rsid w:val="00FC3249"/>
    <w:rsid w:val="00FC33FC"/>
    <w:rsid w:val="00FC388E"/>
    <w:rsid w:val="00FC395F"/>
    <w:rsid w:val="00FC3A0F"/>
    <w:rsid w:val="00FC3A67"/>
    <w:rsid w:val="00FC3F06"/>
    <w:rsid w:val="00FC3F28"/>
    <w:rsid w:val="00FC4060"/>
    <w:rsid w:val="00FC440D"/>
    <w:rsid w:val="00FC4428"/>
    <w:rsid w:val="00FC4722"/>
    <w:rsid w:val="00FC49C2"/>
    <w:rsid w:val="00FC511B"/>
    <w:rsid w:val="00FC5164"/>
    <w:rsid w:val="00FC51FA"/>
    <w:rsid w:val="00FC5409"/>
    <w:rsid w:val="00FC54F4"/>
    <w:rsid w:val="00FC54F6"/>
    <w:rsid w:val="00FC55A4"/>
    <w:rsid w:val="00FC55C3"/>
    <w:rsid w:val="00FC572C"/>
    <w:rsid w:val="00FC5737"/>
    <w:rsid w:val="00FC58D2"/>
    <w:rsid w:val="00FC5908"/>
    <w:rsid w:val="00FC5BF1"/>
    <w:rsid w:val="00FC5C18"/>
    <w:rsid w:val="00FC5E31"/>
    <w:rsid w:val="00FC5E45"/>
    <w:rsid w:val="00FC5F8A"/>
    <w:rsid w:val="00FC60A4"/>
    <w:rsid w:val="00FC6143"/>
    <w:rsid w:val="00FC6242"/>
    <w:rsid w:val="00FC63EE"/>
    <w:rsid w:val="00FC65D7"/>
    <w:rsid w:val="00FC6620"/>
    <w:rsid w:val="00FC663B"/>
    <w:rsid w:val="00FC68A5"/>
    <w:rsid w:val="00FC6C48"/>
    <w:rsid w:val="00FC70E7"/>
    <w:rsid w:val="00FC719D"/>
    <w:rsid w:val="00FC7241"/>
    <w:rsid w:val="00FC77B0"/>
    <w:rsid w:val="00FC786C"/>
    <w:rsid w:val="00FC78A7"/>
    <w:rsid w:val="00FC7B87"/>
    <w:rsid w:val="00FD0127"/>
    <w:rsid w:val="00FD022F"/>
    <w:rsid w:val="00FD0550"/>
    <w:rsid w:val="00FD0553"/>
    <w:rsid w:val="00FD0810"/>
    <w:rsid w:val="00FD0A2C"/>
    <w:rsid w:val="00FD0D6F"/>
    <w:rsid w:val="00FD0DD7"/>
    <w:rsid w:val="00FD0E5B"/>
    <w:rsid w:val="00FD0E6C"/>
    <w:rsid w:val="00FD127D"/>
    <w:rsid w:val="00FD1344"/>
    <w:rsid w:val="00FD175C"/>
    <w:rsid w:val="00FD1812"/>
    <w:rsid w:val="00FD18DB"/>
    <w:rsid w:val="00FD1AEF"/>
    <w:rsid w:val="00FD1B6D"/>
    <w:rsid w:val="00FD1C0D"/>
    <w:rsid w:val="00FD1E15"/>
    <w:rsid w:val="00FD20DA"/>
    <w:rsid w:val="00FD22AB"/>
    <w:rsid w:val="00FD2389"/>
    <w:rsid w:val="00FD2470"/>
    <w:rsid w:val="00FD25AB"/>
    <w:rsid w:val="00FD2638"/>
    <w:rsid w:val="00FD2703"/>
    <w:rsid w:val="00FD2738"/>
    <w:rsid w:val="00FD27DD"/>
    <w:rsid w:val="00FD27FA"/>
    <w:rsid w:val="00FD2814"/>
    <w:rsid w:val="00FD2831"/>
    <w:rsid w:val="00FD2CBE"/>
    <w:rsid w:val="00FD2DD0"/>
    <w:rsid w:val="00FD2EB6"/>
    <w:rsid w:val="00FD318D"/>
    <w:rsid w:val="00FD31A0"/>
    <w:rsid w:val="00FD31AA"/>
    <w:rsid w:val="00FD31B9"/>
    <w:rsid w:val="00FD3273"/>
    <w:rsid w:val="00FD329D"/>
    <w:rsid w:val="00FD34B0"/>
    <w:rsid w:val="00FD3714"/>
    <w:rsid w:val="00FD3A7D"/>
    <w:rsid w:val="00FD3BBF"/>
    <w:rsid w:val="00FD3C0B"/>
    <w:rsid w:val="00FD3D01"/>
    <w:rsid w:val="00FD3DF9"/>
    <w:rsid w:val="00FD3E9D"/>
    <w:rsid w:val="00FD3F9E"/>
    <w:rsid w:val="00FD418B"/>
    <w:rsid w:val="00FD43E9"/>
    <w:rsid w:val="00FD450E"/>
    <w:rsid w:val="00FD4591"/>
    <w:rsid w:val="00FD48E1"/>
    <w:rsid w:val="00FD48E4"/>
    <w:rsid w:val="00FD4AB1"/>
    <w:rsid w:val="00FD5070"/>
    <w:rsid w:val="00FD53D9"/>
    <w:rsid w:val="00FD5B9B"/>
    <w:rsid w:val="00FD62EB"/>
    <w:rsid w:val="00FD6578"/>
    <w:rsid w:val="00FD6621"/>
    <w:rsid w:val="00FD679C"/>
    <w:rsid w:val="00FD680B"/>
    <w:rsid w:val="00FD6988"/>
    <w:rsid w:val="00FD6A14"/>
    <w:rsid w:val="00FD6A61"/>
    <w:rsid w:val="00FD6A81"/>
    <w:rsid w:val="00FD6B45"/>
    <w:rsid w:val="00FD6BC6"/>
    <w:rsid w:val="00FD6C84"/>
    <w:rsid w:val="00FD6E0E"/>
    <w:rsid w:val="00FD700C"/>
    <w:rsid w:val="00FD7022"/>
    <w:rsid w:val="00FD71DF"/>
    <w:rsid w:val="00FD7235"/>
    <w:rsid w:val="00FD7262"/>
    <w:rsid w:val="00FD73BC"/>
    <w:rsid w:val="00FD75F6"/>
    <w:rsid w:val="00FD7BD2"/>
    <w:rsid w:val="00FD7F04"/>
    <w:rsid w:val="00FE0013"/>
    <w:rsid w:val="00FE004A"/>
    <w:rsid w:val="00FE01BF"/>
    <w:rsid w:val="00FE04F3"/>
    <w:rsid w:val="00FE0615"/>
    <w:rsid w:val="00FE0656"/>
    <w:rsid w:val="00FE0B88"/>
    <w:rsid w:val="00FE0C3B"/>
    <w:rsid w:val="00FE0C67"/>
    <w:rsid w:val="00FE0D55"/>
    <w:rsid w:val="00FE12A8"/>
    <w:rsid w:val="00FE12C7"/>
    <w:rsid w:val="00FE1460"/>
    <w:rsid w:val="00FE146B"/>
    <w:rsid w:val="00FE14D0"/>
    <w:rsid w:val="00FE14FF"/>
    <w:rsid w:val="00FE1650"/>
    <w:rsid w:val="00FE16B4"/>
    <w:rsid w:val="00FE192C"/>
    <w:rsid w:val="00FE19A3"/>
    <w:rsid w:val="00FE1AB0"/>
    <w:rsid w:val="00FE1B56"/>
    <w:rsid w:val="00FE207A"/>
    <w:rsid w:val="00FE21D1"/>
    <w:rsid w:val="00FE235D"/>
    <w:rsid w:val="00FE2700"/>
    <w:rsid w:val="00FE28F4"/>
    <w:rsid w:val="00FE28FB"/>
    <w:rsid w:val="00FE29FE"/>
    <w:rsid w:val="00FE2A93"/>
    <w:rsid w:val="00FE2FB8"/>
    <w:rsid w:val="00FE30F0"/>
    <w:rsid w:val="00FE310E"/>
    <w:rsid w:val="00FE371A"/>
    <w:rsid w:val="00FE3787"/>
    <w:rsid w:val="00FE39D9"/>
    <w:rsid w:val="00FE3A04"/>
    <w:rsid w:val="00FE3A33"/>
    <w:rsid w:val="00FE3B8F"/>
    <w:rsid w:val="00FE3FA4"/>
    <w:rsid w:val="00FE4018"/>
    <w:rsid w:val="00FE401D"/>
    <w:rsid w:val="00FE4074"/>
    <w:rsid w:val="00FE43AA"/>
    <w:rsid w:val="00FE450D"/>
    <w:rsid w:val="00FE4525"/>
    <w:rsid w:val="00FE45A2"/>
    <w:rsid w:val="00FE4723"/>
    <w:rsid w:val="00FE4751"/>
    <w:rsid w:val="00FE47E0"/>
    <w:rsid w:val="00FE480F"/>
    <w:rsid w:val="00FE4874"/>
    <w:rsid w:val="00FE4D2B"/>
    <w:rsid w:val="00FE5019"/>
    <w:rsid w:val="00FE506A"/>
    <w:rsid w:val="00FE5603"/>
    <w:rsid w:val="00FE56BD"/>
    <w:rsid w:val="00FE5999"/>
    <w:rsid w:val="00FE5C06"/>
    <w:rsid w:val="00FE5D43"/>
    <w:rsid w:val="00FE6004"/>
    <w:rsid w:val="00FE60D2"/>
    <w:rsid w:val="00FE61CA"/>
    <w:rsid w:val="00FE61E4"/>
    <w:rsid w:val="00FE633A"/>
    <w:rsid w:val="00FE64EB"/>
    <w:rsid w:val="00FE66EC"/>
    <w:rsid w:val="00FE6841"/>
    <w:rsid w:val="00FE6AC8"/>
    <w:rsid w:val="00FE6BE4"/>
    <w:rsid w:val="00FE6D56"/>
    <w:rsid w:val="00FE6D66"/>
    <w:rsid w:val="00FE6ED9"/>
    <w:rsid w:val="00FE718A"/>
    <w:rsid w:val="00FE750F"/>
    <w:rsid w:val="00FE7DA4"/>
    <w:rsid w:val="00FE7E09"/>
    <w:rsid w:val="00FE7E27"/>
    <w:rsid w:val="00FF00F3"/>
    <w:rsid w:val="00FF0488"/>
    <w:rsid w:val="00FF08B7"/>
    <w:rsid w:val="00FF08C7"/>
    <w:rsid w:val="00FF0AAF"/>
    <w:rsid w:val="00FF0BBB"/>
    <w:rsid w:val="00FF0BFD"/>
    <w:rsid w:val="00FF0F32"/>
    <w:rsid w:val="00FF1103"/>
    <w:rsid w:val="00FF148D"/>
    <w:rsid w:val="00FF16B0"/>
    <w:rsid w:val="00FF17C8"/>
    <w:rsid w:val="00FF189A"/>
    <w:rsid w:val="00FF1979"/>
    <w:rsid w:val="00FF1A1B"/>
    <w:rsid w:val="00FF1ADF"/>
    <w:rsid w:val="00FF1B32"/>
    <w:rsid w:val="00FF1C20"/>
    <w:rsid w:val="00FF1E15"/>
    <w:rsid w:val="00FF1EA4"/>
    <w:rsid w:val="00FF2062"/>
    <w:rsid w:val="00FF2278"/>
    <w:rsid w:val="00FF22E9"/>
    <w:rsid w:val="00FF2303"/>
    <w:rsid w:val="00FF2330"/>
    <w:rsid w:val="00FF235D"/>
    <w:rsid w:val="00FF244A"/>
    <w:rsid w:val="00FF25D3"/>
    <w:rsid w:val="00FF2732"/>
    <w:rsid w:val="00FF2764"/>
    <w:rsid w:val="00FF2786"/>
    <w:rsid w:val="00FF2EF5"/>
    <w:rsid w:val="00FF30E4"/>
    <w:rsid w:val="00FF31C5"/>
    <w:rsid w:val="00FF320A"/>
    <w:rsid w:val="00FF3378"/>
    <w:rsid w:val="00FF338C"/>
    <w:rsid w:val="00FF3B71"/>
    <w:rsid w:val="00FF3C38"/>
    <w:rsid w:val="00FF3E67"/>
    <w:rsid w:val="00FF3EA5"/>
    <w:rsid w:val="00FF3EC8"/>
    <w:rsid w:val="00FF403A"/>
    <w:rsid w:val="00FF4277"/>
    <w:rsid w:val="00FF46B0"/>
    <w:rsid w:val="00FF4707"/>
    <w:rsid w:val="00FF490D"/>
    <w:rsid w:val="00FF4A53"/>
    <w:rsid w:val="00FF4A87"/>
    <w:rsid w:val="00FF4AE2"/>
    <w:rsid w:val="00FF4C68"/>
    <w:rsid w:val="00FF5074"/>
    <w:rsid w:val="00FF51A5"/>
    <w:rsid w:val="00FF5276"/>
    <w:rsid w:val="00FF5283"/>
    <w:rsid w:val="00FF52E3"/>
    <w:rsid w:val="00FF580B"/>
    <w:rsid w:val="00FF58E1"/>
    <w:rsid w:val="00FF59C5"/>
    <w:rsid w:val="00FF5B5C"/>
    <w:rsid w:val="00FF6375"/>
    <w:rsid w:val="00FF6408"/>
    <w:rsid w:val="00FF65C2"/>
    <w:rsid w:val="00FF66B0"/>
    <w:rsid w:val="00FF68D4"/>
    <w:rsid w:val="00FF6A8A"/>
    <w:rsid w:val="00FF6A9E"/>
    <w:rsid w:val="00FF6AB0"/>
    <w:rsid w:val="00FF73F6"/>
    <w:rsid w:val="00FF77B1"/>
    <w:rsid w:val="00FF79DB"/>
    <w:rsid w:val="00FF79E3"/>
    <w:rsid w:val="00FF7BA4"/>
    <w:rsid w:val="00FF7DCF"/>
    <w:rsid w:val="00FF7E7B"/>
    <w:rsid w:val="00FF7EC9"/>
    <w:rsid w:val="011E1923"/>
    <w:rsid w:val="01247607"/>
    <w:rsid w:val="012802DA"/>
    <w:rsid w:val="01288555"/>
    <w:rsid w:val="0136672B"/>
    <w:rsid w:val="013BD40B"/>
    <w:rsid w:val="014052AF"/>
    <w:rsid w:val="01424B48"/>
    <w:rsid w:val="014F75D4"/>
    <w:rsid w:val="0155560A"/>
    <w:rsid w:val="0155DA00"/>
    <w:rsid w:val="015D16E3"/>
    <w:rsid w:val="016FEA8D"/>
    <w:rsid w:val="01740ED8"/>
    <w:rsid w:val="018E3485"/>
    <w:rsid w:val="01969ABC"/>
    <w:rsid w:val="0198A6B5"/>
    <w:rsid w:val="01A1A148"/>
    <w:rsid w:val="01B159AF"/>
    <w:rsid w:val="01B1B8C6"/>
    <w:rsid w:val="01B46771"/>
    <w:rsid w:val="01B53E68"/>
    <w:rsid w:val="01C7AE5E"/>
    <w:rsid w:val="01C87AFF"/>
    <w:rsid w:val="01D230BB"/>
    <w:rsid w:val="01DA1FCC"/>
    <w:rsid w:val="01E017E5"/>
    <w:rsid w:val="01F0A183"/>
    <w:rsid w:val="0207C60C"/>
    <w:rsid w:val="0211B5CE"/>
    <w:rsid w:val="0214E2C5"/>
    <w:rsid w:val="0215EE22"/>
    <w:rsid w:val="0216256F"/>
    <w:rsid w:val="022C1EAF"/>
    <w:rsid w:val="02332921"/>
    <w:rsid w:val="02392B30"/>
    <w:rsid w:val="0249C719"/>
    <w:rsid w:val="024F0BDC"/>
    <w:rsid w:val="0254B43A"/>
    <w:rsid w:val="025F1AD8"/>
    <w:rsid w:val="026A78B4"/>
    <w:rsid w:val="0274C423"/>
    <w:rsid w:val="027D97B1"/>
    <w:rsid w:val="027FA9B4"/>
    <w:rsid w:val="028A9B81"/>
    <w:rsid w:val="028D523F"/>
    <w:rsid w:val="029865EE"/>
    <w:rsid w:val="029B6A1D"/>
    <w:rsid w:val="02AD7C2B"/>
    <w:rsid w:val="02B0F8D5"/>
    <w:rsid w:val="02EBAB7E"/>
    <w:rsid w:val="02F5D5A9"/>
    <w:rsid w:val="03017C71"/>
    <w:rsid w:val="0315F8EC"/>
    <w:rsid w:val="0334235D"/>
    <w:rsid w:val="033ED26F"/>
    <w:rsid w:val="03432433"/>
    <w:rsid w:val="03459105"/>
    <w:rsid w:val="034A8F95"/>
    <w:rsid w:val="034BA17E"/>
    <w:rsid w:val="034E8D12"/>
    <w:rsid w:val="0374C7A3"/>
    <w:rsid w:val="03A3B73D"/>
    <w:rsid w:val="03ACB5E5"/>
    <w:rsid w:val="03BD144A"/>
    <w:rsid w:val="03EFC67F"/>
    <w:rsid w:val="03FBCD34"/>
    <w:rsid w:val="03FF7953"/>
    <w:rsid w:val="041B5F02"/>
    <w:rsid w:val="041BF817"/>
    <w:rsid w:val="04357C9A"/>
    <w:rsid w:val="04475F0C"/>
    <w:rsid w:val="044FEE5E"/>
    <w:rsid w:val="045C24C8"/>
    <w:rsid w:val="045D48C9"/>
    <w:rsid w:val="047128A9"/>
    <w:rsid w:val="047A3B66"/>
    <w:rsid w:val="047F13B7"/>
    <w:rsid w:val="047FAE80"/>
    <w:rsid w:val="0480753A"/>
    <w:rsid w:val="048A6881"/>
    <w:rsid w:val="048D85DA"/>
    <w:rsid w:val="0492AFFF"/>
    <w:rsid w:val="04957A0B"/>
    <w:rsid w:val="049E0CD8"/>
    <w:rsid w:val="04A148A3"/>
    <w:rsid w:val="04AD3CBE"/>
    <w:rsid w:val="04B757F0"/>
    <w:rsid w:val="04BC2C69"/>
    <w:rsid w:val="04BCD785"/>
    <w:rsid w:val="04C11916"/>
    <w:rsid w:val="04D75AF4"/>
    <w:rsid w:val="04D7CEA9"/>
    <w:rsid w:val="04D94204"/>
    <w:rsid w:val="04E63143"/>
    <w:rsid w:val="04E8DD43"/>
    <w:rsid w:val="04FDBB9F"/>
    <w:rsid w:val="05089235"/>
    <w:rsid w:val="05150AF9"/>
    <w:rsid w:val="0518ED37"/>
    <w:rsid w:val="051D7282"/>
    <w:rsid w:val="051D85E6"/>
    <w:rsid w:val="0521665A"/>
    <w:rsid w:val="052F26B1"/>
    <w:rsid w:val="0541835B"/>
    <w:rsid w:val="055E5B91"/>
    <w:rsid w:val="056890C7"/>
    <w:rsid w:val="057CE861"/>
    <w:rsid w:val="058BD093"/>
    <w:rsid w:val="058D5FB4"/>
    <w:rsid w:val="05953D68"/>
    <w:rsid w:val="05C74286"/>
    <w:rsid w:val="05D19B17"/>
    <w:rsid w:val="05EFA256"/>
    <w:rsid w:val="0624E883"/>
    <w:rsid w:val="0626FE11"/>
    <w:rsid w:val="06320D23"/>
    <w:rsid w:val="06462061"/>
    <w:rsid w:val="0654A4EE"/>
    <w:rsid w:val="0657C529"/>
    <w:rsid w:val="065CFCDB"/>
    <w:rsid w:val="06741A05"/>
    <w:rsid w:val="067B6AD3"/>
    <w:rsid w:val="067C4FCB"/>
    <w:rsid w:val="067D08F0"/>
    <w:rsid w:val="06A0CAA4"/>
    <w:rsid w:val="06B68739"/>
    <w:rsid w:val="06B96870"/>
    <w:rsid w:val="06BD39C3"/>
    <w:rsid w:val="06FFC997"/>
    <w:rsid w:val="070215DC"/>
    <w:rsid w:val="071F768F"/>
    <w:rsid w:val="07341D27"/>
    <w:rsid w:val="07450596"/>
    <w:rsid w:val="07636328"/>
    <w:rsid w:val="078CE79A"/>
    <w:rsid w:val="079360AF"/>
    <w:rsid w:val="07A6F7D0"/>
    <w:rsid w:val="07A806DB"/>
    <w:rsid w:val="07B5B569"/>
    <w:rsid w:val="07CF7F04"/>
    <w:rsid w:val="07D1739C"/>
    <w:rsid w:val="07DBF7C4"/>
    <w:rsid w:val="07EC093C"/>
    <w:rsid w:val="07FA8719"/>
    <w:rsid w:val="07FB8AF3"/>
    <w:rsid w:val="07FFCF1B"/>
    <w:rsid w:val="0807E407"/>
    <w:rsid w:val="0809A3D8"/>
    <w:rsid w:val="0812429E"/>
    <w:rsid w:val="08272B91"/>
    <w:rsid w:val="082CA3CC"/>
    <w:rsid w:val="083738BE"/>
    <w:rsid w:val="0838CEF0"/>
    <w:rsid w:val="08427A78"/>
    <w:rsid w:val="08601FC3"/>
    <w:rsid w:val="08620FEC"/>
    <w:rsid w:val="08674257"/>
    <w:rsid w:val="08A71473"/>
    <w:rsid w:val="08B662E2"/>
    <w:rsid w:val="08CBC683"/>
    <w:rsid w:val="08CCA195"/>
    <w:rsid w:val="08D1D892"/>
    <w:rsid w:val="08D36CBE"/>
    <w:rsid w:val="08D70151"/>
    <w:rsid w:val="08E5E342"/>
    <w:rsid w:val="08EA8358"/>
    <w:rsid w:val="08F611AC"/>
    <w:rsid w:val="0915A11A"/>
    <w:rsid w:val="09180AF8"/>
    <w:rsid w:val="091A938F"/>
    <w:rsid w:val="091B87E2"/>
    <w:rsid w:val="0920302A"/>
    <w:rsid w:val="0929E88C"/>
    <w:rsid w:val="093A38A9"/>
    <w:rsid w:val="093F8A50"/>
    <w:rsid w:val="0955F652"/>
    <w:rsid w:val="095C4FAD"/>
    <w:rsid w:val="097F826D"/>
    <w:rsid w:val="0980DDDD"/>
    <w:rsid w:val="09995DFD"/>
    <w:rsid w:val="09C1D89D"/>
    <w:rsid w:val="09C85F48"/>
    <w:rsid w:val="09C90F1D"/>
    <w:rsid w:val="09CDECF6"/>
    <w:rsid w:val="09F9D71C"/>
    <w:rsid w:val="0A1A15AF"/>
    <w:rsid w:val="0A3B8B4C"/>
    <w:rsid w:val="0A44DEE1"/>
    <w:rsid w:val="0A608211"/>
    <w:rsid w:val="0A64C616"/>
    <w:rsid w:val="0A6B4DB0"/>
    <w:rsid w:val="0A6FDCCA"/>
    <w:rsid w:val="0A8D45C9"/>
    <w:rsid w:val="0A909DDB"/>
    <w:rsid w:val="0A90C254"/>
    <w:rsid w:val="0A95B8F4"/>
    <w:rsid w:val="0AB22B5C"/>
    <w:rsid w:val="0ABDFA76"/>
    <w:rsid w:val="0AC0BAC0"/>
    <w:rsid w:val="0AC6E114"/>
    <w:rsid w:val="0ACA3066"/>
    <w:rsid w:val="0ACA949D"/>
    <w:rsid w:val="0AD5B5E4"/>
    <w:rsid w:val="0AD763A2"/>
    <w:rsid w:val="0AD96107"/>
    <w:rsid w:val="0ADB6532"/>
    <w:rsid w:val="0AE9FB5B"/>
    <w:rsid w:val="0AF794ED"/>
    <w:rsid w:val="0B0A7D0B"/>
    <w:rsid w:val="0B20CE1E"/>
    <w:rsid w:val="0B44CCD7"/>
    <w:rsid w:val="0B612A2F"/>
    <w:rsid w:val="0B663E5D"/>
    <w:rsid w:val="0B6B2647"/>
    <w:rsid w:val="0B7BDA04"/>
    <w:rsid w:val="0BA9702B"/>
    <w:rsid w:val="0BACD1AC"/>
    <w:rsid w:val="0BAE35CA"/>
    <w:rsid w:val="0BB9F069"/>
    <w:rsid w:val="0BC237F6"/>
    <w:rsid w:val="0BCE7A99"/>
    <w:rsid w:val="0BD0B7A0"/>
    <w:rsid w:val="0BD925EC"/>
    <w:rsid w:val="0BD95BD2"/>
    <w:rsid w:val="0BDB04AC"/>
    <w:rsid w:val="0BE290C2"/>
    <w:rsid w:val="0BEAC013"/>
    <w:rsid w:val="0BF71CC1"/>
    <w:rsid w:val="0C05030E"/>
    <w:rsid w:val="0C0668BC"/>
    <w:rsid w:val="0C06F6D2"/>
    <w:rsid w:val="0C32A005"/>
    <w:rsid w:val="0C36792C"/>
    <w:rsid w:val="0C3BED5B"/>
    <w:rsid w:val="0C3C2549"/>
    <w:rsid w:val="0C495137"/>
    <w:rsid w:val="0C498E23"/>
    <w:rsid w:val="0C4A433F"/>
    <w:rsid w:val="0C547268"/>
    <w:rsid w:val="0C5800A1"/>
    <w:rsid w:val="0C6728AB"/>
    <w:rsid w:val="0C7599E4"/>
    <w:rsid w:val="0C7B948A"/>
    <w:rsid w:val="0C816BAC"/>
    <w:rsid w:val="0C8634A3"/>
    <w:rsid w:val="0C87401D"/>
    <w:rsid w:val="0C87E0FD"/>
    <w:rsid w:val="0C907B1A"/>
    <w:rsid w:val="0CA2AEE0"/>
    <w:rsid w:val="0CA5E337"/>
    <w:rsid w:val="0CAB48A7"/>
    <w:rsid w:val="0CAD8B5C"/>
    <w:rsid w:val="0CB5E20B"/>
    <w:rsid w:val="0CBA756D"/>
    <w:rsid w:val="0CC37A76"/>
    <w:rsid w:val="0CC50474"/>
    <w:rsid w:val="0CC7695A"/>
    <w:rsid w:val="0CCB657C"/>
    <w:rsid w:val="0CCC8D53"/>
    <w:rsid w:val="0CDCF7E8"/>
    <w:rsid w:val="0CDD3038"/>
    <w:rsid w:val="0CDD91C2"/>
    <w:rsid w:val="0CDD92C7"/>
    <w:rsid w:val="0CE816D0"/>
    <w:rsid w:val="0CEB7E4F"/>
    <w:rsid w:val="0CEFF158"/>
    <w:rsid w:val="0CF29BEF"/>
    <w:rsid w:val="0D0F15EA"/>
    <w:rsid w:val="0D19AFFC"/>
    <w:rsid w:val="0D25B7D1"/>
    <w:rsid w:val="0D363E11"/>
    <w:rsid w:val="0D480FD3"/>
    <w:rsid w:val="0D485572"/>
    <w:rsid w:val="0D6AB6E7"/>
    <w:rsid w:val="0D7B740F"/>
    <w:rsid w:val="0D806988"/>
    <w:rsid w:val="0D90C213"/>
    <w:rsid w:val="0DBB8F24"/>
    <w:rsid w:val="0DBBFBFB"/>
    <w:rsid w:val="0DC9B121"/>
    <w:rsid w:val="0DCA2A60"/>
    <w:rsid w:val="0DD71200"/>
    <w:rsid w:val="0DDED47D"/>
    <w:rsid w:val="0DE5608B"/>
    <w:rsid w:val="0DEC3929"/>
    <w:rsid w:val="0DFA2679"/>
    <w:rsid w:val="0E1B606F"/>
    <w:rsid w:val="0E312AA3"/>
    <w:rsid w:val="0E4CEB7A"/>
    <w:rsid w:val="0E4EC90F"/>
    <w:rsid w:val="0E500E97"/>
    <w:rsid w:val="0E574D75"/>
    <w:rsid w:val="0E578860"/>
    <w:rsid w:val="0E5DCA62"/>
    <w:rsid w:val="0E5FCA49"/>
    <w:rsid w:val="0E677A74"/>
    <w:rsid w:val="0E73EDF7"/>
    <w:rsid w:val="0E8FEFD8"/>
    <w:rsid w:val="0EA67081"/>
    <w:rsid w:val="0EA82238"/>
    <w:rsid w:val="0EB54198"/>
    <w:rsid w:val="0EC1E67A"/>
    <w:rsid w:val="0EDC0A0E"/>
    <w:rsid w:val="0EE02E93"/>
    <w:rsid w:val="0EF47EFB"/>
    <w:rsid w:val="0F0B7FB2"/>
    <w:rsid w:val="0F0B95DC"/>
    <w:rsid w:val="0F211669"/>
    <w:rsid w:val="0F240AF0"/>
    <w:rsid w:val="0F33DA49"/>
    <w:rsid w:val="0F3EA9AF"/>
    <w:rsid w:val="0F58A7CE"/>
    <w:rsid w:val="0F686BF0"/>
    <w:rsid w:val="0F695991"/>
    <w:rsid w:val="0F80F33A"/>
    <w:rsid w:val="0F855E46"/>
    <w:rsid w:val="0F86213F"/>
    <w:rsid w:val="0F99F62B"/>
    <w:rsid w:val="0FA6DC10"/>
    <w:rsid w:val="0FB61F67"/>
    <w:rsid w:val="0FB6F3D9"/>
    <w:rsid w:val="0FC235E5"/>
    <w:rsid w:val="0FD2094F"/>
    <w:rsid w:val="0FFDD8BC"/>
    <w:rsid w:val="100B3338"/>
    <w:rsid w:val="101A1DF9"/>
    <w:rsid w:val="10245F25"/>
    <w:rsid w:val="10540ED4"/>
    <w:rsid w:val="1059205B"/>
    <w:rsid w:val="1059871C"/>
    <w:rsid w:val="106E97BF"/>
    <w:rsid w:val="1070B60C"/>
    <w:rsid w:val="10826E7C"/>
    <w:rsid w:val="109AF140"/>
    <w:rsid w:val="10A38192"/>
    <w:rsid w:val="10C57974"/>
    <w:rsid w:val="10C57ED2"/>
    <w:rsid w:val="10CD941D"/>
    <w:rsid w:val="10D5F8AC"/>
    <w:rsid w:val="10D7B3BA"/>
    <w:rsid w:val="10E32D65"/>
    <w:rsid w:val="10E4392F"/>
    <w:rsid w:val="10EBEBF2"/>
    <w:rsid w:val="1115A9CA"/>
    <w:rsid w:val="1133E21C"/>
    <w:rsid w:val="1136B285"/>
    <w:rsid w:val="115CA58E"/>
    <w:rsid w:val="115EE25F"/>
    <w:rsid w:val="1167DDE7"/>
    <w:rsid w:val="117C3197"/>
    <w:rsid w:val="11816B01"/>
    <w:rsid w:val="119B5994"/>
    <w:rsid w:val="11A94FED"/>
    <w:rsid w:val="11A9FAA9"/>
    <w:rsid w:val="11AE406E"/>
    <w:rsid w:val="11B957D8"/>
    <w:rsid w:val="11CE1091"/>
    <w:rsid w:val="11CE30F4"/>
    <w:rsid w:val="11DE56B6"/>
    <w:rsid w:val="11E9EC98"/>
    <w:rsid w:val="11F9EFE2"/>
    <w:rsid w:val="11FEF7D6"/>
    <w:rsid w:val="1209754F"/>
    <w:rsid w:val="121F4B96"/>
    <w:rsid w:val="1226464A"/>
    <w:rsid w:val="122B0B2A"/>
    <w:rsid w:val="1236254F"/>
    <w:rsid w:val="1245ACCC"/>
    <w:rsid w:val="1258EF38"/>
    <w:rsid w:val="128587B6"/>
    <w:rsid w:val="1291D26E"/>
    <w:rsid w:val="1291E170"/>
    <w:rsid w:val="1293B757"/>
    <w:rsid w:val="129A9595"/>
    <w:rsid w:val="129B6107"/>
    <w:rsid w:val="12A83F6D"/>
    <w:rsid w:val="12B3FA81"/>
    <w:rsid w:val="12B69951"/>
    <w:rsid w:val="12CA8210"/>
    <w:rsid w:val="12DDBD6F"/>
    <w:rsid w:val="12F17AA9"/>
    <w:rsid w:val="12F1D534"/>
    <w:rsid w:val="1308AA37"/>
    <w:rsid w:val="1318C0B8"/>
    <w:rsid w:val="13251A01"/>
    <w:rsid w:val="1325880A"/>
    <w:rsid w:val="13265171"/>
    <w:rsid w:val="13285F4C"/>
    <w:rsid w:val="132932A6"/>
    <w:rsid w:val="1334BF70"/>
    <w:rsid w:val="1339EEF6"/>
    <w:rsid w:val="13689DA0"/>
    <w:rsid w:val="136D8A8A"/>
    <w:rsid w:val="136EAC4E"/>
    <w:rsid w:val="137118FB"/>
    <w:rsid w:val="13736640"/>
    <w:rsid w:val="137E1EA0"/>
    <w:rsid w:val="137E2691"/>
    <w:rsid w:val="137EF760"/>
    <w:rsid w:val="13971656"/>
    <w:rsid w:val="13A468AA"/>
    <w:rsid w:val="13ABC17E"/>
    <w:rsid w:val="13AC3892"/>
    <w:rsid w:val="13B102E8"/>
    <w:rsid w:val="13B33297"/>
    <w:rsid w:val="1416F1AF"/>
    <w:rsid w:val="142900AF"/>
    <w:rsid w:val="142E4BB8"/>
    <w:rsid w:val="143685DE"/>
    <w:rsid w:val="143C23E4"/>
    <w:rsid w:val="143C94C8"/>
    <w:rsid w:val="143CDADA"/>
    <w:rsid w:val="143DC39C"/>
    <w:rsid w:val="143EA5E1"/>
    <w:rsid w:val="1449A29A"/>
    <w:rsid w:val="144CE711"/>
    <w:rsid w:val="1459F0F3"/>
    <w:rsid w:val="146AE6AE"/>
    <w:rsid w:val="1470D68A"/>
    <w:rsid w:val="148BE51A"/>
    <w:rsid w:val="14B99E82"/>
    <w:rsid w:val="14BC0783"/>
    <w:rsid w:val="14CE7467"/>
    <w:rsid w:val="14DA4422"/>
    <w:rsid w:val="14EFE1D6"/>
    <w:rsid w:val="14F45532"/>
    <w:rsid w:val="14FFF5DC"/>
    <w:rsid w:val="1520F23F"/>
    <w:rsid w:val="1521632D"/>
    <w:rsid w:val="154655C8"/>
    <w:rsid w:val="15534672"/>
    <w:rsid w:val="155379B4"/>
    <w:rsid w:val="1557C7DB"/>
    <w:rsid w:val="158A28A2"/>
    <w:rsid w:val="158FCCD2"/>
    <w:rsid w:val="15987854"/>
    <w:rsid w:val="15A13E40"/>
    <w:rsid w:val="15A811B6"/>
    <w:rsid w:val="15B7CD42"/>
    <w:rsid w:val="15C1F28F"/>
    <w:rsid w:val="15D3B603"/>
    <w:rsid w:val="15EF802C"/>
    <w:rsid w:val="15F4DA60"/>
    <w:rsid w:val="15FA951B"/>
    <w:rsid w:val="15FE85D0"/>
    <w:rsid w:val="16113329"/>
    <w:rsid w:val="161453D7"/>
    <w:rsid w:val="161708AF"/>
    <w:rsid w:val="16242ABC"/>
    <w:rsid w:val="1632AEE0"/>
    <w:rsid w:val="16330B36"/>
    <w:rsid w:val="16355DF8"/>
    <w:rsid w:val="164287DF"/>
    <w:rsid w:val="164DEF11"/>
    <w:rsid w:val="165AEE47"/>
    <w:rsid w:val="1660CA98"/>
    <w:rsid w:val="1662CD27"/>
    <w:rsid w:val="167AB471"/>
    <w:rsid w:val="16877B6A"/>
    <w:rsid w:val="16919FB5"/>
    <w:rsid w:val="16A0A1A3"/>
    <w:rsid w:val="16A4844B"/>
    <w:rsid w:val="16B285F2"/>
    <w:rsid w:val="16D78FD9"/>
    <w:rsid w:val="16DAA699"/>
    <w:rsid w:val="16E1C745"/>
    <w:rsid w:val="16ECB9A1"/>
    <w:rsid w:val="16F87912"/>
    <w:rsid w:val="170EE302"/>
    <w:rsid w:val="172930A0"/>
    <w:rsid w:val="172A2828"/>
    <w:rsid w:val="172B7B30"/>
    <w:rsid w:val="174256A7"/>
    <w:rsid w:val="174CF9AE"/>
    <w:rsid w:val="176029C4"/>
    <w:rsid w:val="176CAD6F"/>
    <w:rsid w:val="1771E256"/>
    <w:rsid w:val="17876B6C"/>
    <w:rsid w:val="178AFBFB"/>
    <w:rsid w:val="178C1F42"/>
    <w:rsid w:val="1797AB94"/>
    <w:rsid w:val="179BA1A7"/>
    <w:rsid w:val="17C3186D"/>
    <w:rsid w:val="17D1D917"/>
    <w:rsid w:val="17DF3D7B"/>
    <w:rsid w:val="17E9C1F7"/>
    <w:rsid w:val="180854C5"/>
    <w:rsid w:val="180C2861"/>
    <w:rsid w:val="181CA6DD"/>
    <w:rsid w:val="1822CA48"/>
    <w:rsid w:val="183190A4"/>
    <w:rsid w:val="1834ADE7"/>
    <w:rsid w:val="1837365D"/>
    <w:rsid w:val="1840830C"/>
    <w:rsid w:val="184A90FE"/>
    <w:rsid w:val="184EE6FA"/>
    <w:rsid w:val="184F088E"/>
    <w:rsid w:val="18583D2A"/>
    <w:rsid w:val="185A2E15"/>
    <w:rsid w:val="18621FEB"/>
    <w:rsid w:val="186BF057"/>
    <w:rsid w:val="1888586B"/>
    <w:rsid w:val="189383A8"/>
    <w:rsid w:val="18AB10CB"/>
    <w:rsid w:val="18B02499"/>
    <w:rsid w:val="18B9FD5A"/>
    <w:rsid w:val="18C1DD6B"/>
    <w:rsid w:val="18CCD361"/>
    <w:rsid w:val="18DA1CC5"/>
    <w:rsid w:val="18E07187"/>
    <w:rsid w:val="190A3E3A"/>
    <w:rsid w:val="190E1D35"/>
    <w:rsid w:val="191BD316"/>
    <w:rsid w:val="1926CC50"/>
    <w:rsid w:val="19348FEB"/>
    <w:rsid w:val="1936FC01"/>
    <w:rsid w:val="197CBAEE"/>
    <w:rsid w:val="19826E3B"/>
    <w:rsid w:val="198BF86C"/>
    <w:rsid w:val="199C58C1"/>
    <w:rsid w:val="199F2F0C"/>
    <w:rsid w:val="19A10D2D"/>
    <w:rsid w:val="19A4E4EF"/>
    <w:rsid w:val="19A8B27B"/>
    <w:rsid w:val="19AC5A2B"/>
    <w:rsid w:val="19C12FCE"/>
    <w:rsid w:val="19D1AE70"/>
    <w:rsid w:val="19E0B028"/>
    <w:rsid w:val="19E8E06E"/>
    <w:rsid w:val="19F248D6"/>
    <w:rsid w:val="19F692A5"/>
    <w:rsid w:val="19FCEC03"/>
    <w:rsid w:val="1A01B7F1"/>
    <w:rsid w:val="1A0CC614"/>
    <w:rsid w:val="1A3C60CC"/>
    <w:rsid w:val="1A535347"/>
    <w:rsid w:val="1A57A34A"/>
    <w:rsid w:val="1A636B6C"/>
    <w:rsid w:val="1A655524"/>
    <w:rsid w:val="1A66FA5A"/>
    <w:rsid w:val="1A6F9B77"/>
    <w:rsid w:val="1A734CC5"/>
    <w:rsid w:val="1A85896D"/>
    <w:rsid w:val="1A92A046"/>
    <w:rsid w:val="1A933581"/>
    <w:rsid w:val="1A97E4FA"/>
    <w:rsid w:val="1A9CF69A"/>
    <w:rsid w:val="1A9D8199"/>
    <w:rsid w:val="1AA48314"/>
    <w:rsid w:val="1AA87899"/>
    <w:rsid w:val="1AB783FC"/>
    <w:rsid w:val="1AB9713A"/>
    <w:rsid w:val="1ABBE740"/>
    <w:rsid w:val="1AC0984B"/>
    <w:rsid w:val="1ADC3DCB"/>
    <w:rsid w:val="1AE2A652"/>
    <w:rsid w:val="1AE75EEC"/>
    <w:rsid w:val="1AEB02C2"/>
    <w:rsid w:val="1AEBFFBC"/>
    <w:rsid w:val="1B00AAA5"/>
    <w:rsid w:val="1B037742"/>
    <w:rsid w:val="1B0981F5"/>
    <w:rsid w:val="1B166A3B"/>
    <w:rsid w:val="1B1A8583"/>
    <w:rsid w:val="1B208C6D"/>
    <w:rsid w:val="1B2FB8A8"/>
    <w:rsid w:val="1B39ED17"/>
    <w:rsid w:val="1B678098"/>
    <w:rsid w:val="1B6849CB"/>
    <w:rsid w:val="1B6BBEE2"/>
    <w:rsid w:val="1B6E2A1A"/>
    <w:rsid w:val="1B87C6D1"/>
    <w:rsid w:val="1B8AA7AA"/>
    <w:rsid w:val="1B99D441"/>
    <w:rsid w:val="1BC5F41C"/>
    <w:rsid w:val="1BD34D9F"/>
    <w:rsid w:val="1BE30556"/>
    <w:rsid w:val="1BE59FDE"/>
    <w:rsid w:val="1BE6EA72"/>
    <w:rsid w:val="1BEF941A"/>
    <w:rsid w:val="1BF0FED8"/>
    <w:rsid w:val="1BF42048"/>
    <w:rsid w:val="1C0D98B0"/>
    <w:rsid w:val="1C144C82"/>
    <w:rsid w:val="1C1AE188"/>
    <w:rsid w:val="1C1EC47F"/>
    <w:rsid w:val="1C487B55"/>
    <w:rsid w:val="1C553D37"/>
    <w:rsid w:val="1C75FA17"/>
    <w:rsid w:val="1C893B0E"/>
    <w:rsid w:val="1C91749B"/>
    <w:rsid w:val="1CAE0391"/>
    <w:rsid w:val="1CD2C4D3"/>
    <w:rsid w:val="1CD35EA2"/>
    <w:rsid w:val="1CD68F78"/>
    <w:rsid w:val="1CDFA2A0"/>
    <w:rsid w:val="1CE2D1D8"/>
    <w:rsid w:val="1D01AB13"/>
    <w:rsid w:val="1D0EB2EB"/>
    <w:rsid w:val="1D1A1EF0"/>
    <w:rsid w:val="1D25A5AF"/>
    <w:rsid w:val="1D35F066"/>
    <w:rsid w:val="1D384712"/>
    <w:rsid w:val="1D4B176D"/>
    <w:rsid w:val="1D4DD087"/>
    <w:rsid w:val="1D4DE7EB"/>
    <w:rsid w:val="1D5151D9"/>
    <w:rsid w:val="1D72D580"/>
    <w:rsid w:val="1DA0A736"/>
    <w:rsid w:val="1DA90911"/>
    <w:rsid w:val="1DAE0D07"/>
    <w:rsid w:val="1DB04F2C"/>
    <w:rsid w:val="1DBDDFE4"/>
    <w:rsid w:val="1DE22939"/>
    <w:rsid w:val="1DE99820"/>
    <w:rsid w:val="1DEBFB32"/>
    <w:rsid w:val="1DF55862"/>
    <w:rsid w:val="1DF718CF"/>
    <w:rsid w:val="1E0BDA4B"/>
    <w:rsid w:val="1E0FA0B7"/>
    <w:rsid w:val="1E19BC59"/>
    <w:rsid w:val="1E249260"/>
    <w:rsid w:val="1E318475"/>
    <w:rsid w:val="1E32967A"/>
    <w:rsid w:val="1E3C0682"/>
    <w:rsid w:val="1E48A7FB"/>
    <w:rsid w:val="1E63EDC7"/>
    <w:rsid w:val="1E6983C1"/>
    <w:rsid w:val="1E71EBE5"/>
    <w:rsid w:val="1E866301"/>
    <w:rsid w:val="1E8E5650"/>
    <w:rsid w:val="1EA62580"/>
    <w:rsid w:val="1EAFD1DB"/>
    <w:rsid w:val="1EBB9586"/>
    <w:rsid w:val="1EC5FC02"/>
    <w:rsid w:val="1EE45B51"/>
    <w:rsid w:val="1EE6608E"/>
    <w:rsid w:val="1F01CC16"/>
    <w:rsid w:val="1F3E2CF4"/>
    <w:rsid w:val="1F4A5C8C"/>
    <w:rsid w:val="1F5856EC"/>
    <w:rsid w:val="1F63F9EE"/>
    <w:rsid w:val="1F6529EB"/>
    <w:rsid w:val="1F6F3416"/>
    <w:rsid w:val="1F702343"/>
    <w:rsid w:val="1F7B65D1"/>
    <w:rsid w:val="1F815BDD"/>
    <w:rsid w:val="1F8A6D1E"/>
    <w:rsid w:val="1F914624"/>
    <w:rsid w:val="1F94A1A2"/>
    <w:rsid w:val="1FB0EF13"/>
    <w:rsid w:val="1FB44803"/>
    <w:rsid w:val="1FB81D34"/>
    <w:rsid w:val="1FEF5A91"/>
    <w:rsid w:val="1FEFB6A0"/>
    <w:rsid w:val="1FF5E549"/>
    <w:rsid w:val="2004BB20"/>
    <w:rsid w:val="20098D6B"/>
    <w:rsid w:val="20141389"/>
    <w:rsid w:val="201BADB4"/>
    <w:rsid w:val="2024621F"/>
    <w:rsid w:val="20266C4F"/>
    <w:rsid w:val="202850FC"/>
    <w:rsid w:val="204DABA0"/>
    <w:rsid w:val="207D17E5"/>
    <w:rsid w:val="209D23D0"/>
    <w:rsid w:val="20A22B76"/>
    <w:rsid w:val="20A29123"/>
    <w:rsid w:val="20B88510"/>
    <w:rsid w:val="20BD1872"/>
    <w:rsid w:val="20D32F27"/>
    <w:rsid w:val="20D54ABE"/>
    <w:rsid w:val="20D97E28"/>
    <w:rsid w:val="20E2F913"/>
    <w:rsid w:val="20F61B65"/>
    <w:rsid w:val="20FCE9E5"/>
    <w:rsid w:val="2100FC85"/>
    <w:rsid w:val="210170F1"/>
    <w:rsid w:val="211A2F42"/>
    <w:rsid w:val="212C0769"/>
    <w:rsid w:val="213F00A9"/>
    <w:rsid w:val="21639A49"/>
    <w:rsid w:val="21740163"/>
    <w:rsid w:val="2190AE16"/>
    <w:rsid w:val="21A1DDCD"/>
    <w:rsid w:val="21B69C26"/>
    <w:rsid w:val="21BC79A7"/>
    <w:rsid w:val="21BDAC90"/>
    <w:rsid w:val="21C09BA2"/>
    <w:rsid w:val="21CFB99E"/>
    <w:rsid w:val="21DC48D1"/>
    <w:rsid w:val="21E440AD"/>
    <w:rsid w:val="21E96358"/>
    <w:rsid w:val="21E9A5C1"/>
    <w:rsid w:val="21F37DB9"/>
    <w:rsid w:val="220024BA"/>
    <w:rsid w:val="22324914"/>
    <w:rsid w:val="2239DB9E"/>
    <w:rsid w:val="22441988"/>
    <w:rsid w:val="2267CC3E"/>
    <w:rsid w:val="226C6F6C"/>
    <w:rsid w:val="22705DB9"/>
    <w:rsid w:val="2276733A"/>
    <w:rsid w:val="227DD01C"/>
    <w:rsid w:val="228A7AFD"/>
    <w:rsid w:val="22A55ED7"/>
    <w:rsid w:val="22AEB7FF"/>
    <w:rsid w:val="22B42890"/>
    <w:rsid w:val="22BF6D4D"/>
    <w:rsid w:val="22C4AF63"/>
    <w:rsid w:val="22E1456D"/>
    <w:rsid w:val="2301F36E"/>
    <w:rsid w:val="2314AE3F"/>
    <w:rsid w:val="2325179C"/>
    <w:rsid w:val="23320AF2"/>
    <w:rsid w:val="2333DF42"/>
    <w:rsid w:val="233AFBEF"/>
    <w:rsid w:val="233D3AC5"/>
    <w:rsid w:val="234FEA4C"/>
    <w:rsid w:val="2361ABC2"/>
    <w:rsid w:val="236E86CA"/>
    <w:rsid w:val="23807DE4"/>
    <w:rsid w:val="23910BF1"/>
    <w:rsid w:val="23928010"/>
    <w:rsid w:val="239D74A9"/>
    <w:rsid w:val="239D968A"/>
    <w:rsid w:val="23B8DB26"/>
    <w:rsid w:val="23B98A8F"/>
    <w:rsid w:val="23BBC7B6"/>
    <w:rsid w:val="23BC7DEF"/>
    <w:rsid w:val="23C23781"/>
    <w:rsid w:val="23D00CCA"/>
    <w:rsid w:val="23E8ACED"/>
    <w:rsid w:val="23EC2248"/>
    <w:rsid w:val="23F47964"/>
    <w:rsid w:val="240EBBE2"/>
    <w:rsid w:val="241014E1"/>
    <w:rsid w:val="2414F5FA"/>
    <w:rsid w:val="241C5E84"/>
    <w:rsid w:val="2452C528"/>
    <w:rsid w:val="245472C2"/>
    <w:rsid w:val="246C504A"/>
    <w:rsid w:val="247103E7"/>
    <w:rsid w:val="24894198"/>
    <w:rsid w:val="24929596"/>
    <w:rsid w:val="2497293E"/>
    <w:rsid w:val="24BB9CD9"/>
    <w:rsid w:val="24CE29CE"/>
    <w:rsid w:val="24E1E8F5"/>
    <w:rsid w:val="24E26490"/>
    <w:rsid w:val="24FB8334"/>
    <w:rsid w:val="250A9EA5"/>
    <w:rsid w:val="250F8CFE"/>
    <w:rsid w:val="2531C0C8"/>
    <w:rsid w:val="2531E961"/>
    <w:rsid w:val="2535F400"/>
    <w:rsid w:val="2536B505"/>
    <w:rsid w:val="253DD0BC"/>
    <w:rsid w:val="253FD874"/>
    <w:rsid w:val="255E45A9"/>
    <w:rsid w:val="256813A2"/>
    <w:rsid w:val="256BF1FF"/>
    <w:rsid w:val="256D6400"/>
    <w:rsid w:val="257C5D36"/>
    <w:rsid w:val="2583B18D"/>
    <w:rsid w:val="2599803E"/>
    <w:rsid w:val="25A11E0B"/>
    <w:rsid w:val="25D2B2D4"/>
    <w:rsid w:val="25DAC9D4"/>
    <w:rsid w:val="25EB7B4E"/>
    <w:rsid w:val="25F3B430"/>
    <w:rsid w:val="25F917F8"/>
    <w:rsid w:val="25FAAA7D"/>
    <w:rsid w:val="25FFFFB5"/>
    <w:rsid w:val="26141222"/>
    <w:rsid w:val="261F75A1"/>
    <w:rsid w:val="26202495"/>
    <w:rsid w:val="264CC9DF"/>
    <w:rsid w:val="267F1CF6"/>
    <w:rsid w:val="268E1AF7"/>
    <w:rsid w:val="268E43FD"/>
    <w:rsid w:val="269ADC8C"/>
    <w:rsid w:val="269C6740"/>
    <w:rsid w:val="26B63375"/>
    <w:rsid w:val="26C43AB8"/>
    <w:rsid w:val="26D46A49"/>
    <w:rsid w:val="26F28246"/>
    <w:rsid w:val="272C4E8A"/>
    <w:rsid w:val="27385F46"/>
    <w:rsid w:val="2739D694"/>
    <w:rsid w:val="273B6D99"/>
    <w:rsid w:val="274C2C37"/>
    <w:rsid w:val="274FF572"/>
    <w:rsid w:val="27590C06"/>
    <w:rsid w:val="275F2802"/>
    <w:rsid w:val="27619C2C"/>
    <w:rsid w:val="277332FB"/>
    <w:rsid w:val="27785AC3"/>
    <w:rsid w:val="278402BD"/>
    <w:rsid w:val="278A61C2"/>
    <w:rsid w:val="279346ED"/>
    <w:rsid w:val="27986749"/>
    <w:rsid w:val="27A54A81"/>
    <w:rsid w:val="27AE5C7B"/>
    <w:rsid w:val="27B7E8B6"/>
    <w:rsid w:val="27BCF223"/>
    <w:rsid w:val="27C33672"/>
    <w:rsid w:val="27E3BADE"/>
    <w:rsid w:val="27ECDBF0"/>
    <w:rsid w:val="2803226F"/>
    <w:rsid w:val="280347D2"/>
    <w:rsid w:val="280BD5F6"/>
    <w:rsid w:val="280D37C3"/>
    <w:rsid w:val="28373807"/>
    <w:rsid w:val="2838A505"/>
    <w:rsid w:val="283B45A5"/>
    <w:rsid w:val="283C6F58"/>
    <w:rsid w:val="283FF497"/>
    <w:rsid w:val="2840DB0B"/>
    <w:rsid w:val="28498B4D"/>
    <w:rsid w:val="28692062"/>
    <w:rsid w:val="287B18E4"/>
    <w:rsid w:val="289059A6"/>
    <w:rsid w:val="28A12E22"/>
    <w:rsid w:val="28A491DF"/>
    <w:rsid w:val="28C0ADEA"/>
    <w:rsid w:val="28D0440A"/>
    <w:rsid w:val="28DF058E"/>
    <w:rsid w:val="28E2C4BB"/>
    <w:rsid w:val="28E67874"/>
    <w:rsid w:val="290A33F5"/>
    <w:rsid w:val="291E27F1"/>
    <w:rsid w:val="29446CD0"/>
    <w:rsid w:val="2969A94D"/>
    <w:rsid w:val="296A2522"/>
    <w:rsid w:val="2976A57E"/>
    <w:rsid w:val="297A9A1B"/>
    <w:rsid w:val="298155DA"/>
    <w:rsid w:val="2996A75E"/>
    <w:rsid w:val="29FB7714"/>
    <w:rsid w:val="29FD1304"/>
    <w:rsid w:val="2A0F77CB"/>
    <w:rsid w:val="2A1C2EB8"/>
    <w:rsid w:val="2A2F4E75"/>
    <w:rsid w:val="2A32B2C8"/>
    <w:rsid w:val="2A38AF02"/>
    <w:rsid w:val="2A3F31DB"/>
    <w:rsid w:val="2A470191"/>
    <w:rsid w:val="2A491712"/>
    <w:rsid w:val="2A512DF7"/>
    <w:rsid w:val="2A63BA3C"/>
    <w:rsid w:val="2A64FC82"/>
    <w:rsid w:val="2A662526"/>
    <w:rsid w:val="2A68C360"/>
    <w:rsid w:val="2A69A6BF"/>
    <w:rsid w:val="2A722FD5"/>
    <w:rsid w:val="2A79621A"/>
    <w:rsid w:val="2A82D83F"/>
    <w:rsid w:val="2A988043"/>
    <w:rsid w:val="2ABB167B"/>
    <w:rsid w:val="2ABE8965"/>
    <w:rsid w:val="2AC3E3B3"/>
    <w:rsid w:val="2AE138B8"/>
    <w:rsid w:val="2AE5BA8A"/>
    <w:rsid w:val="2AEC00D2"/>
    <w:rsid w:val="2AF06C60"/>
    <w:rsid w:val="2AFB6ADA"/>
    <w:rsid w:val="2B0E27D3"/>
    <w:rsid w:val="2B103962"/>
    <w:rsid w:val="2B1FEEC4"/>
    <w:rsid w:val="2B27C87F"/>
    <w:rsid w:val="2B32FDDA"/>
    <w:rsid w:val="2B339D71"/>
    <w:rsid w:val="2B3B1BC9"/>
    <w:rsid w:val="2B41518B"/>
    <w:rsid w:val="2B44BA23"/>
    <w:rsid w:val="2B518B2B"/>
    <w:rsid w:val="2B54D69B"/>
    <w:rsid w:val="2B5EED48"/>
    <w:rsid w:val="2B63E924"/>
    <w:rsid w:val="2B8D9875"/>
    <w:rsid w:val="2B9438D4"/>
    <w:rsid w:val="2BB0DFF4"/>
    <w:rsid w:val="2BB81676"/>
    <w:rsid w:val="2BB8803C"/>
    <w:rsid w:val="2BB91296"/>
    <w:rsid w:val="2BBA150C"/>
    <w:rsid w:val="2BEC0A54"/>
    <w:rsid w:val="2BF1B37B"/>
    <w:rsid w:val="2BF24CFA"/>
    <w:rsid w:val="2BFCF35C"/>
    <w:rsid w:val="2BFD06D9"/>
    <w:rsid w:val="2C08D4C2"/>
    <w:rsid w:val="2C1BED92"/>
    <w:rsid w:val="2C5BEAB3"/>
    <w:rsid w:val="2C8E6127"/>
    <w:rsid w:val="2CBE0641"/>
    <w:rsid w:val="2CC1F044"/>
    <w:rsid w:val="2CC2A8FF"/>
    <w:rsid w:val="2CDFEE70"/>
    <w:rsid w:val="2CE85C85"/>
    <w:rsid w:val="2CF0B909"/>
    <w:rsid w:val="2D129E59"/>
    <w:rsid w:val="2D355E1B"/>
    <w:rsid w:val="2D3BA713"/>
    <w:rsid w:val="2D3EC63E"/>
    <w:rsid w:val="2D3EEF5F"/>
    <w:rsid w:val="2D4749EF"/>
    <w:rsid w:val="2D68C1FC"/>
    <w:rsid w:val="2D69C0AC"/>
    <w:rsid w:val="2D7B4E06"/>
    <w:rsid w:val="2D7FFDF3"/>
    <w:rsid w:val="2D836450"/>
    <w:rsid w:val="2D9C8E99"/>
    <w:rsid w:val="2DA14F7A"/>
    <w:rsid w:val="2DA43D7B"/>
    <w:rsid w:val="2DB1B542"/>
    <w:rsid w:val="2DD4DC73"/>
    <w:rsid w:val="2DD7ECDE"/>
    <w:rsid w:val="2DE2B216"/>
    <w:rsid w:val="2DF00C17"/>
    <w:rsid w:val="2DF1A4FC"/>
    <w:rsid w:val="2DF7DD90"/>
    <w:rsid w:val="2DFF14B8"/>
    <w:rsid w:val="2E0409B5"/>
    <w:rsid w:val="2E0DD161"/>
    <w:rsid w:val="2E17CFE5"/>
    <w:rsid w:val="2E1CDC7D"/>
    <w:rsid w:val="2E1EF0BA"/>
    <w:rsid w:val="2E277298"/>
    <w:rsid w:val="2E2E40E0"/>
    <w:rsid w:val="2E349AA9"/>
    <w:rsid w:val="2E7B2C40"/>
    <w:rsid w:val="2E869AAC"/>
    <w:rsid w:val="2E8836B0"/>
    <w:rsid w:val="2E8AAF2A"/>
    <w:rsid w:val="2E95B1EF"/>
    <w:rsid w:val="2EA04553"/>
    <w:rsid w:val="2EA8C837"/>
    <w:rsid w:val="2EB16447"/>
    <w:rsid w:val="2EDC0946"/>
    <w:rsid w:val="2EEF1326"/>
    <w:rsid w:val="2F10DF18"/>
    <w:rsid w:val="2F2055B4"/>
    <w:rsid w:val="2F30A1E3"/>
    <w:rsid w:val="2F343092"/>
    <w:rsid w:val="2F69B064"/>
    <w:rsid w:val="2F6F4699"/>
    <w:rsid w:val="2F832228"/>
    <w:rsid w:val="2F8DE7D4"/>
    <w:rsid w:val="2F9D7683"/>
    <w:rsid w:val="2FA8D1CD"/>
    <w:rsid w:val="2FB29010"/>
    <w:rsid w:val="2FC0F6C6"/>
    <w:rsid w:val="2FC1B2FE"/>
    <w:rsid w:val="2FC8FBAF"/>
    <w:rsid w:val="2FCC6A0F"/>
    <w:rsid w:val="2FCFA45A"/>
    <w:rsid w:val="2FE6E0DC"/>
    <w:rsid w:val="2FF9A418"/>
    <w:rsid w:val="30004DF4"/>
    <w:rsid w:val="30034335"/>
    <w:rsid w:val="300821FB"/>
    <w:rsid w:val="3017F163"/>
    <w:rsid w:val="30180F76"/>
    <w:rsid w:val="301A66AD"/>
    <w:rsid w:val="301B6039"/>
    <w:rsid w:val="3034D842"/>
    <w:rsid w:val="3041EEC4"/>
    <w:rsid w:val="304CD8F6"/>
    <w:rsid w:val="306D2F86"/>
    <w:rsid w:val="307129A0"/>
    <w:rsid w:val="308137C6"/>
    <w:rsid w:val="309D546F"/>
    <w:rsid w:val="30C67A16"/>
    <w:rsid w:val="30C89A2F"/>
    <w:rsid w:val="30D01C50"/>
    <w:rsid w:val="30E61094"/>
    <w:rsid w:val="30ED6560"/>
    <w:rsid w:val="31105D85"/>
    <w:rsid w:val="31113D3C"/>
    <w:rsid w:val="311BAF77"/>
    <w:rsid w:val="311D6143"/>
    <w:rsid w:val="314E6949"/>
    <w:rsid w:val="316762FD"/>
    <w:rsid w:val="31676E9B"/>
    <w:rsid w:val="316E9F6E"/>
    <w:rsid w:val="3177B0D5"/>
    <w:rsid w:val="31785A7D"/>
    <w:rsid w:val="3178B6D5"/>
    <w:rsid w:val="31A8D342"/>
    <w:rsid w:val="31BAD862"/>
    <w:rsid w:val="31D1FCE0"/>
    <w:rsid w:val="31DBBF26"/>
    <w:rsid w:val="31E673C8"/>
    <w:rsid w:val="31E885CE"/>
    <w:rsid w:val="31FCE4E2"/>
    <w:rsid w:val="31FE36F1"/>
    <w:rsid w:val="32097428"/>
    <w:rsid w:val="321F8F0B"/>
    <w:rsid w:val="3230F7BF"/>
    <w:rsid w:val="32359B5D"/>
    <w:rsid w:val="3239478C"/>
    <w:rsid w:val="323A16E0"/>
    <w:rsid w:val="323F2BF6"/>
    <w:rsid w:val="3242B589"/>
    <w:rsid w:val="3249560F"/>
    <w:rsid w:val="325DC920"/>
    <w:rsid w:val="326C84E9"/>
    <w:rsid w:val="326D78C7"/>
    <w:rsid w:val="3276B047"/>
    <w:rsid w:val="3276E5F9"/>
    <w:rsid w:val="3284E30B"/>
    <w:rsid w:val="3285CE7D"/>
    <w:rsid w:val="328C7E16"/>
    <w:rsid w:val="32955D7B"/>
    <w:rsid w:val="32A06BB2"/>
    <w:rsid w:val="32A35EE7"/>
    <w:rsid w:val="32BC1067"/>
    <w:rsid w:val="32BFDBB6"/>
    <w:rsid w:val="32C58244"/>
    <w:rsid w:val="32D85FD9"/>
    <w:rsid w:val="32DEF987"/>
    <w:rsid w:val="32DF580B"/>
    <w:rsid w:val="32E3D54D"/>
    <w:rsid w:val="32E3E0C1"/>
    <w:rsid w:val="32E405BE"/>
    <w:rsid w:val="32E9FF67"/>
    <w:rsid w:val="32EE36D3"/>
    <w:rsid w:val="33326232"/>
    <w:rsid w:val="3340C0AE"/>
    <w:rsid w:val="33486D89"/>
    <w:rsid w:val="334D16E7"/>
    <w:rsid w:val="33583C5A"/>
    <w:rsid w:val="335B498F"/>
    <w:rsid w:val="33731613"/>
    <w:rsid w:val="33782740"/>
    <w:rsid w:val="338B7A1E"/>
    <w:rsid w:val="3399AFA7"/>
    <w:rsid w:val="339BA522"/>
    <w:rsid w:val="339E2AAC"/>
    <w:rsid w:val="33A382C1"/>
    <w:rsid w:val="33A7E491"/>
    <w:rsid w:val="33ACCE66"/>
    <w:rsid w:val="33B72F8C"/>
    <w:rsid w:val="33E096A1"/>
    <w:rsid w:val="33E141A6"/>
    <w:rsid w:val="33FB51BC"/>
    <w:rsid w:val="340448F1"/>
    <w:rsid w:val="34120ECB"/>
    <w:rsid w:val="34202413"/>
    <w:rsid w:val="342449F5"/>
    <w:rsid w:val="342CCFD4"/>
    <w:rsid w:val="342E021F"/>
    <w:rsid w:val="343205B4"/>
    <w:rsid w:val="34370268"/>
    <w:rsid w:val="3486DDA7"/>
    <w:rsid w:val="34899ECD"/>
    <w:rsid w:val="348BB62E"/>
    <w:rsid w:val="34915734"/>
    <w:rsid w:val="3498F30A"/>
    <w:rsid w:val="34A1BF29"/>
    <w:rsid w:val="34D44C24"/>
    <w:rsid w:val="34D774DA"/>
    <w:rsid w:val="34DEF8EA"/>
    <w:rsid w:val="34E19378"/>
    <w:rsid w:val="34E31B8C"/>
    <w:rsid w:val="34F1E1F6"/>
    <w:rsid w:val="34F8F026"/>
    <w:rsid w:val="35097898"/>
    <w:rsid w:val="350BCCC3"/>
    <w:rsid w:val="352D56FB"/>
    <w:rsid w:val="3531E6C7"/>
    <w:rsid w:val="35391192"/>
    <w:rsid w:val="3551AF14"/>
    <w:rsid w:val="3555D02E"/>
    <w:rsid w:val="3562808C"/>
    <w:rsid w:val="3564265A"/>
    <w:rsid w:val="35661C99"/>
    <w:rsid w:val="3566FAD6"/>
    <w:rsid w:val="3571016F"/>
    <w:rsid w:val="357B6039"/>
    <w:rsid w:val="35812C5F"/>
    <w:rsid w:val="35882D1D"/>
    <w:rsid w:val="3590CA8B"/>
    <w:rsid w:val="359D4057"/>
    <w:rsid w:val="35A4C57D"/>
    <w:rsid w:val="35A7157A"/>
    <w:rsid w:val="35AF9548"/>
    <w:rsid w:val="35B2011D"/>
    <w:rsid w:val="35B52A69"/>
    <w:rsid w:val="35B7D38C"/>
    <w:rsid w:val="35C02F01"/>
    <w:rsid w:val="35C1EB00"/>
    <w:rsid w:val="35D58BB6"/>
    <w:rsid w:val="35EFD841"/>
    <w:rsid w:val="35F4852E"/>
    <w:rsid w:val="36052656"/>
    <w:rsid w:val="361FA774"/>
    <w:rsid w:val="36218FDA"/>
    <w:rsid w:val="363047EC"/>
    <w:rsid w:val="3634E8B2"/>
    <w:rsid w:val="363AD7FD"/>
    <w:rsid w:val="36479674"/>
    <w:rsid w:val="364CD8A1"/>
    <w:rsid w:val="365956C1"/>
    <w:rsid w:val="36635CEF"/>
    <w:rsid w:val="366B79A7"/>
    <w:rsid w:val="36764899"/>
    <w:rsid w:val="368C443D"/>
    <w:rsid w:val="36A8474F"/>
    <w:rsid w:val="36B0D2EA"/>
    <w:rsid w:val="36BBABF5"/>
    <w:rsid w:val="36C0B007"/>
    <w:rsid w:val="36D0A2BB"/>
    <w:rsid w:val="36D31D16"/>
    <w:rsid w:val="36E50A41"/>
    <w:rsid w:val="36EE560B"/>
    <w:rsid w:val="37038DDE"/>
    <w:rsid w:val="3703F93D"/>
    <w:rsid w:val="370E519F"/>
    <w:rsid w:val="37167F5C"/>
    <w:rsid w:val="371C8F44"/>
    <w:rsid w:val="3720F45B"/>
    <w:rsid w:val="373072B6"/>
    <w:rsid w:val="377AAEE2"/>
    <w:rsid w:val="3782864A"/>
    <w:rsid w:val="378A4FED"/>
    <w:rsid w:val="3794A25F"/>
    <w:rsid w:val="379551BC"/>
    <w:rsid w:val="37A058B6"/>
    <w:rsid w:val="37A9E00C"/>
    <w:rsid w:val="37AC956C"/>
    <w:rsid w:val="37AF0514"/>
    <w:rsid w:val="37B7ED5D"/>
    <w:rsid w:val="37D01B7B"/>
    <w:rsid w:val="37E39160"/>
    <w:rsid w:val="37ED6436"/>
    <w:rsid w:val="37F2BA76"/>
    <w:rsid w:val="37FB827F"/>
    <w:rsid w:val="381214FD"/>
    <w:rsid w:val="381EA7BB"/>
    <w:rsid w:val="382C0F5E"/>
    <w:rsid w:val="382C1C56"/>
    <w:rsid w:val="383BDA4A"/>
    <w:rsid w:val="386B1A83"/>
    <w:rsid w:val="386FDF7C"/>
    <w:rsid w:val="3870307D"/>
    <w:rsid w:val="387715F4"/>
    <w:rsid w:val="3890866D"/>
    <w:rsid w:val="3892F2DC"/>
    <w:rsid w:val="38A30C07"/>
    <w:rsid w:val="38AB6B4E"/>
    <w:rsid w:val="38B2716C"/>
    <w:rsid w:val="38BE2503"/>
    <w:rsid w:val="38C2E2A2"/>
    <w:rsid w:val="38C37718"/>
    <w:rsid w:val="38D1296F"/>
    <w:rsid w:val="38D4A396"/>
    <w:rsid w:val="38E6CD81"/>
    <w:rsid w:val="38F959BC"/>
    <w:rsid w:val="38FBD9FD"/>
    <w:rsid w:val="3912DB15"/>
    <w:rsid w:val="3914523E"/>
    <w:rsid w:val="39234CEE"/>
    <w:rsid w:val="393BF84A"/>
    <w:rsid w:val="39438BC1"/>
    <w:rsid w:val="395263FC"/>
    <w:rsid w:val="395657BB"/>
    <w:rsid w:val="39566196"/>
    <w:rsid w:val="3968FC7C"/>
    <w:rsid w:val="397AB182"/>
    <w:rsid w:val="398F4DD8"/>
    <w:rsid w:val="39AA6303"/>
    <w:rsid w:val="39B2841C"/>
    <w:rsid w:val="39B939E8"/>
    <w:rsid w:val="39C167D5"/>
    <w:rsid w:val="39F1C4DC"/>
    <w:rsid w:val="39FB0007"/>
    <w:rsid w:val="3A2A78C1"/>
    <w:rsid w:val="3A407CC3"/>
    <w:rsid w:val="3A608658"/>
    <w:rsid w:val="3A670E01"/>
    <w:rsid w:val="3A688A5A"/>
    <w:rsid w:val="3A707DD3"/>
    <w:rsid w:val="3A7ADAD2"/>
    <w:rsid w:val="3A805F37"/>
    <w:rsid w:val="3A8566A6"/>
    <w:rsid w:val="3A914244"/>
    <w:rsid w:val="3A93D9D6"/>
    <w:rsid w:val="3AA2DDB3"/>
    <w:rsid w:val="3AA3F7FD"/>
    <w:rsid w:val="3AA6C7D6"/>
    <w:rsid w:val="3AA93209"/>
    <w:rsid w:val="3AAF2242"/>
    <w:rsid w:val="3AB11362"/>
    <w:rsid w:val="3AB475B2"/>
    <w:rsid w:val="3AC4E008"/>
    <w:rsid w:val="3ACA60E2"/>
    <w:rsid w:val="3AE0F1C5"/>
    <w:rsid w:val="3AE579AA"/>
    <w:rsid w:val="3AE6E4C8"/>
    <w:rsid w:val="3AECD0DF"/>
    <w:rsid w:val="3AED8121"/>
    <w:rsid w:val="3AF49412"/>
    <w:rsid w:val="3AF896D4"/>
    <w:rsid w:val="3AF9A979"/>
    <w:rsid w:val="3AF9D9A2"/>
    <w:rsid w:val="3B084813"/>
    <w:rsid w:val="3B1AC27C"/>
    <w:rsid w:val="3B27CD47"/>
    <w:rsid w:val="3B29A7E7"/>
    <w:rsid w:val="3B524FA3"/>
    <w:rsid w:val="3B547BB9"/>
    <w:rsid w:val="3B58A2EF"/>
    <w:rsid w:val="3B5DB490"/>
    <w:rsid w:val="3B6D317E"/>
    <w:rsid w:val="3B754F50"/>
    <w:rsid w:val="3BACC90E"/>
    <w:rsid w:val="3BB9940A"/>
    <w:rsid w:val="3BBEE6E5"/>
    <w:rsid w:val="3BC0E6EC"/>
    <w:rsid w:val="3BC7F4C2"/>
    <w:rsid w:val="3BCFE528"/>
    <w:rsid w:val="3BDFE4A6"/>
    <w:rsid w:val="3BF90ACA"/>
    <w:rsid w:val="3C1855DF"/>
    <w:rsid w:val="3C190F0E"/>
    <w:rsid w:val="3C193816"/>
    <w:rsid w:val="3C343F9D"/>
    <w:rsid w:val="3C3C553E"/>
    <w:rsid w:val="3C49E3EE"/>
    <w:rsid w:val="3C569130"/>
    <w:rsid w:val="3C635E73"/>
    <w:rsid w:val="3C6A814D"/>
    <w:rsid w:val="3C7217E9"/>
    <w:rsid w:val="3C93C49D"/>
    <w:rsid w:val="3C94B562"/>
    <w:rsid w:val="3CA72672"/>
    <w:rsid w:val="3CA9D09A"/>
    <w:rsid w:val="3CB931F7"/>
    <w:rsid w:val="3CD922F4"/>
    <w:rsid w:val="3CDA501A"/>
    <w:rsid w:val="3CDFE047"/>
    <w:rsid w:val="3CEB8A8C"/>
    <w:rsid w:val="3D0B073A"/>
    <w:rsid w:val="3D17C8FA"/>
    <w:rsid w:val="3D1D278D"/>
    <w:rsid w:val="3D2BC410"/>
    <w:rsid w:val="3D2F8ECF"/>
    <w:rsid w:val="3D469805"/>
    <w:rsid w:val="3D56854C"/>
    <w:rsid w:val="3D66CEDC"/>
    <w:rsid w:val="3DA12982"/>
    <w:rsid w:val="3DB03D5E"/>
    <w:rsid w:val="3DD1A7F9"/>
    <w:rsid w:val="3DE3C742"/>
    <w:rsid w:val="3DE7E6E2"/>
    <w:rsid w:val="3DE841B8"/>
    <w:rsid w:val="3DF74A4F"/>
    <w:rsid w:val="3DFDFFE4"/>
    <w:rsid w:val="3E045F5A"/>
    <w:rsid w:val="3E060357"/>
    <w:rsid w:val="3E094170"/>
    <w:rsid w:val="3E0C8629"/>
    <w:rsid w:val="3E1046DB"/>
    <w:rsid w:val="3E106B9C"/>
    <w:rsid w:val="3E338E50"/>
    <w:rsid w:val="3E3F7AD8"/>
    <w:rsid w:val="3E552B74"/>
    <w:rsid w:val="3E60FA08"/>
    <w:rsid w:val="3E63FDCA"/>
    <w:rsid w:val="3E74CCE0"/>
    <w:rsid w:val="3E7F9924"/>
    <w:rsid w:val="3E800C86"/>
    <w:rsid w:val="3E982DCE"/>
    <w:rsid w:val="3EC2B1F8"/>
    <w:rsid w:val="3ECE0C61"/>
    <w:rsid w:val="3ED2F7EA"/>
    <w:rsid w:val="3EEC48CD"/>
    <w:rsid w:val="3EF3025A"/>
    <w:rsid w:val="3EF7753A"/>
    <w:rsid w:val="3EFB2F3D"/>
    <w:rsid w:val="3EFF0B6B"/>
    <w:rsid w:val="3F44D3E2"/>
    <w:rsid w:val="3F49C197"/>
    <w:rsid w:val="3F4E4709"/>
    <w:rsid w:val="3F4F1922"/>
    <w:rsid w:val="3F551861"/>
    <w:rsid w:val="3F7555AF"/>
    <w:rsid w:val="3F868588"/>
    <w:rsid w:val="3F8DABB2"/>
    <w:rsid w:val="3F9C79E3"/>
    <w:rsid w:val="3FAE8BD4"/>
    <w:rsid w:val="3FAE9134"/>
    <w:rsid w:val="3FD23D52"/>
    <w:rsid w:val="3FDE2FBC"/>
    <w:rsid w:val="3FE6E60B"/>
    <w:rsid w:val="3FEE79F9"/>
    <w:rsid w:val="3FF29244"/>
    <w:rsid w:val="401FEEF8"/>
    <w:rsid w:val="402E3904"/>
    <w:rsid w:val="4055F8A0"/>
    <w:rsid w:val="4056E132"/>
    <w:rsid w:val="4061382F"/>
    <w:rsid w:val="407F5668"/>
    <w:rsid w:val="408A262C"/>
    <w:rsid w:val="408B2A96"/>
    <w:rsid w:val="4092FDD3"/>
    <w:rsid w:val="40981074"/>
    <w:rsid w:val="40989ACC"/>
    <w:rsid w:val="4098E63E"/>
    <w:rsid w:val="40A7BA96"/>
    <w:rsid w:val="40CA6E10"/>
    <w:rsid w:val="40CAF6CF"/>
    <w:rsid w:val="40CB3DDB"/>
    <w:rsid w:val="40D1EB1A"/>
    <w:rsid w:val="40D2E1D4"/>
    <w:rsid w:val="40D8720B"/>
    <w:rsid w:val="40DE5C2C"/>
    <w:rsid w:val="40EEB726"/>
    <w:rsid w:val="410CB692"/>
    <w:rsid w:val="411A7348"/>
    <w:rsid w:val="411AA795"/>
    <w:rsid w:val="413135F5"/>
    <w:rsid w:val="41363717"/>
    <w:rsid w:val="413BAAC5"/>
    <w:rsid w:val="413F86C7"/>
    <w:rsid w:val="414873D5"/>
    <w:rsid w:val="414B50B6"/>
    <w:rsid w:val="414E6365"/>
    <w:rsid w:val="4153799D"/>
    <w:rsid w:val="415F8555"/>
    <w:rsid w:val="4164C726"/>
    <w:rsid w:val="4199972E"/>
    <w:rsid w:val="41A06479"/>
    <w:rsid w:val="41A1523C"/>
    <w:rsid w:val="41A72F4C"/>
    <w:rsid w:val="41B002C8"/>
    <w:rsid w:val="41B49A3A"/>
    <w:rsid w:val="41B94A94"/>
    <w:rsid w:val="41BB5320"/>
    <w:rsid w:val="41CE9A86"/>
    <w:rsid w:val="41DF6A33"/>
    <w:rsid w:val="41E397F2"/>
    <w:rsid w:val="41EC9A35"/>
    <w:rsid w:val="41EFBF64"/>
    <w:rsid w:val="42022793"/>
    <w:rsid w:val="4224079F"/>
    <w:rsid w:val="4230C5C0"/>
    <w:rsid w:val="4231B5C6"/>
    <w:rsid w:val="424AF3A2"/>
    <w:rsid w:val="424C4D33"/>
    <w:rsid w:val="42588B5E"/>
    <w:rsid w:val="425B835E"/>
    <w:rsid w:val="425B87A8"/>
    <w:rsid w:val="425DD38C"/>
    <w:rsid w:val="42759CCF"/>
    <w:rsid w:val="429F4830"/>
    <w:rsid w:val="42A30CCD"/>
    <w:rsid w:val="42D48AE8"/>
    <w:rsid w:val="42D99BA5"/>
    <w:rsid w:val="42EB1C7F"/>
    <w:rsid w:val="42F7B0EE"/>
    <w:rsid w:val="4314237C"/>
    <w:rsid w:val="4325AA8F"/>
    <w:rsid w:val="43265DB0"/>
    <w:rsid w:val="43336986"/>
    <w:rsid w:val="433919B9"/>
    <w:rsid w:val="4344D6D4"/>
    <w:rsid w:val="43463016"/>
    <w:rsid w:val="4350BDE9"/>
    <w:rsid w:val="436D943B"/>
    <w:rsid w:val="43862D1C"/>
    <w:rsid w:val="439FB59A"/>
    <w:rsid w:val="43A8E3E8"/>
    <w:rsid w:val="43DCEBC5"/>
    <w:rsid w:val="43F0336E"/>
    <w:rsid w:val="43FF926F"/>
    <w:rsid w:val="4402CC8C"/>
    <w:rsid w:val="441E6F4C"/>
    <w:rsid w:val="44266262"/>
    <w:rsid w:val="442B1D19"/>
    <w:rsid w:val="44447DE6"/>
    <w:rsid w:val="44489088"/>
    <w:rsid w:val="444E4AAF"/>
    <w:rsid w:val="44516378"/>
    <w:rsid w:val="4463385D"/>
    <w:rsid w:val="448064DE"/>
    <w:rsid w:val="448E75C1"/>
    <w:rsid w:val="4490373E"/>
    <w:rsid w:val="44967FE3"/>
    <w:rsid w:val="44AB9336"/>
    <w:rsid w:val="44B0AB25"/>
    <w:rsid w:val="44B12281"/>
    <w:rsid w:val="44C23718"/>
    <w:rsid w:val="44CBDD22"/>
    <w:rsid w:val="44D5F045"/>
    <w:rsid w:val="44DCFD12"/>
    <w:rsid w:val="44E57235"/>
    <w:rsid w:val="44E8577D"/>
    <w:rsid w:val="44F26E25"/>
    <w:rsid w:val="44F87EEC"/>
    <w:rsid w:val="450CA417"/>
    <w:rsid w:val="4516330A"/>
    <w:rsid w:val="4526F550"/>
    <w:rsid w:val="45356B2E"/>
    <w:rsid w:val="4544AC2B"/>
    <w:rsid w:val="45683D1B"/>
    <w:rsid w:val="45743A8E"/>
    <w:rsid w:val="45773266"/>
    <w:rsid w:val="457F6E1D"/>
    <w:rsid w:val="4582F679"/>
    <w:rsid w:val="45975029"/>
    <w:rsid w:val="459871F5"/>
    <w:rsid w:val="459EBD5D"/>
    <w:rsid w:val="45A16534"/>
    <w:rsid w:val="45A3AEF0"/>
    <w:rsid w:val="45B3E8B0"/>
    <w:rsid w:val="45BA846A"/>
    <w:rsid w:val="45CC4E6B"/>
    <w:rsid w:val="45D76065"/>
    <w:rsid w:val="45E38B17"/>
    <w:rsid w:val="45E9EBBD"/>
    <w:rsid w:val="45EC0CA6"/>
    <w:rsid w:val="45F2680A"/>
    <w:rsid w:val="45F5B9B5"/>
    <w:rsid w:val="45F65FC7"/>
    <w:rsid w:val="45FD5BC4"/>
    <w:rsid w:val="460EAEE2"/>
    <w:rsid w:val="4617D9EA"/>
    <w:rsid w:val="46183595"/>
    <w:rsid w:val="46241F27"/>
    <w:rsid w:val="46278A40"/>
    <w:rsid w:val="46431C3C"/>
    <w:rsid w:val="46564CA9"/>
    <w:rsid w:val="466666CC"/>
    <w:rsid w:val="4682C0EF"/>
    <w:rsid w:val="468AFD82"/>
    <w:rsid w:val="468F9C92"/>
    <w:rsid w:val="46968159"/>
    <w:rsid w:val="46A5CD19"/>
    <w:rsid w:val="46ADD774"/>
    <w:rsid w:val="46B0E3E5"/>
    <w:rsid w:val="46BE54A5"/>
    <w:rsid w:val="46C0C353"/>
    <w:rsid w:val="46C4C39F"/>
    <w:rsid w:val="46CCCA70"/>
    <w:rsid w:val="46CF0A56"/>
    <w:rsid w:val="46D99BA1"/>
    <w:rsid w:val="46DBFDD5"/>
    <w:rsid w:val="46F61626"/>
    <w:rsid w:val="46FA75D3"/>
    <w:rsid w:val="47032376"/>
    <w:rsid w:val="470BEFE9"/>
    <w:rsid w:val="471969FE"/>
    <w:rsid w:val="47438FB9"/>
    <w:rsid w:val="4754AAA0"/>
    <w:rsid w:val="4766A2DB"/>
    <w:rsid w:val="4798C286"/>
    <w:rsid w:val="47A2993E"/>
    <w:rsid w:val="47C39BC3"/>
    <w:rsid w:val="47C87C9D"/>
    <w:rsid w:val="47CE036E"/>
    <w:rsid w:val="47DC28FA"/>
    <w:rsid w:val="47F46CEE"/>
    <w:rsid w:val="47FDF313"/>
    <w:rsid w:val="480A31BB"/>
    <w:rsid w:val="48214C71"/>
    <w:rsid w:val="48287BFE"/>
    <w:rsid w:val="482B6F33"/>
    <w:rsid w:val="482D8A69"/>
    <w:rsid w:val="48362DA1"/>
    <w:rsid w:val="48377EE0"/>
    <w:rsid w:val="484A76A8"/>
    <w:rsid w:val="48568A02"/>
    <w:rsid w:val="486B9F16"/>
    <w:rsid w:val="487A30CB"/>
    <w:rsid w:val="487FD5AB"/>
    <w:rsid w:val="48815901"/>
    <w:rsid w:val="48892A33"/>
    <w:rsid w:val="489B1133"/>
    <w:rsid w:val="48A248EF"/>
    <w:rsid w:val="48A5429A"/>
    <w:rsid w:val="48A7A85E"/>
    <w:rsid w:val="48AD66DC"/>
    <w:rsid w:val="48B6D04D"/>
    <w:rsid w:val="48C701C9"/>
    <w:rsid w:val="48CC26D8"/>
    <w:rsid w:val="48D30836"/>
    <w:rsid w:val="48D3F7F2"/>
    <w:rsid w:val="48D6B5F5"/>
    <w:rsid w:val="48DEA6DC"/>
    <w:rsid w:val="48F4DD96"/>
    <w:rsid w:val="48F7767F"/>
    <w:rsid w:val="49084010"/>
    <w:rsid w:val="490BE0AD"/>
    <w:rsid w:val="491145D9"/>
    <w:rsid w:val="4912D154"/>
    <w:rsid w:val="4921ACEB"/>
    <w:rsid w:val="492CDD97"/>
    <w:rsid w:val="492F4983"/>
    <w:rsid w:val="493406A0"/>
    <w:rsid w:val="4936E977"/>
    <w:rsid w:val="49404AE3"/>
    <w:rsid w:val="494995A9"/>
    <w:rsid w:val="4950AD41"/>
    <w:rsid w:val="495C9B78"/>
    <w:rsid w:val="496EF959"/>
    <w:rsid w:val="49789A1E"/>
    <w:rsid w:val="497E2491"/>
    <w:rsid w:val="498E74CB"/>
    <w:rsid w:val="4991C77E"/>
    <w:rsid w:val="49932469"/>
    <w:rsid w:val="499CB068"/>
    <w:rsid w:val="49A54852"/>
    <w:rsid w:val="49B2FA7C"/>
    <w:rsid w:val="49B328E3"/>
    <w:rsid w:val="49C0F633"/>
    <w:rsid w:val="49DDC777"/>
    <w:rsid w:val="49DFA323"/>
    <w:rsid w:val="49FB5BFA"/>
    <w:rsid w:val="49FDA268"/>
    <w:rsid w:val="49FF5E33"/>
    <w:rsid w:val="4A14BADA"/>
    <w:rsid w:val="4A1D304B"/>
    <w:rsid w:val="4A3176F4"/>
    <w:rsid w:val="4A449BD1"/>
    <w:rsid w:val="4A4713E6"/>
    <w:rsid w:val="4A5DDA0A"/>
    <w:rsid w:val="4A6F3843"/>
    <w:rsid w:val="4A811993"/>
    <w:rsid w:val="4A88223B"/>
    <w:rsid w:val="4A9D0616"/>
    <w:rsid w:val="4AAEBC1C"/>
    <w:rsid w:val="4AB1C4C7"/>
    <w:rsid w:val="4ABC1A16"/>
    <w:rsid w:val="4AC1BF52"/>
    <w:rsid w:val="4AD34F75"/>
    <w:rsid w:val="4AD990B8"/>
    <w:rsid w:val="4AE27ACA"/>
    <w:rsid w:val="4AE86F53"/>
    <w:rsid w:val="4AEF3BC3"/>
    <w:rsid w:val="4B0C7BBA"/>
    <w:rsid w:val="4B361949"/>
    <w:rsid w:val="4B3C8ABC"/>
    <w:rsid w:val="4B4CC7A0"/>
    <w:rsid w:val="4B4FF23B"/>
    <w:rsid w:val="4B58C1A7"/>
    <w:rsid w:val="4B6DC6D8"/>
    <w:rsid w:val="4B858D74"/>
    <w:rsid w:val="4BA822F3"/>
    <w:rsid w:val="4BC57925"/>
    <w:rsid w:val="4BEBBE9B"/>
    <w:rsid w:val="4BEDC9C2"/>
    <w:rsid w:val="4C14C4D7"/>
    <w:rsid w:val="4C15E709"/>
    <w:rsid w:val="4C163762"/>
    <w:rsid w:val="4C23C4AB"/>
    <w:rsid w:val="4C26BD05"/>
    <w:rsid w:val="4C2EAB0B"/>
    <w:rsid w:val="4C31A36E"/>
    <w:rsid w:val="4C3596F7"/>
    <w:rsid w:val="4C3D96AA"/>
    <w:rsid w:val="4C4002FC"/>
    <w:rsid w:val="4C422FBC"/>
    <w:rsid w:val="4C47B11B"/>
    <w:rsid w:val="4C52FEAF"/>
    <w:rsid w:val="4C64D5E2"/>
    <w:rsid w:val="4C6A5B44"/>
    <w:rsid w:val="4C6AAA0B"/>
    <w:rsid w:val="4C6C0BA7"/>
    <w:rsid w:val="4C82D5EE"/>
    <w:rsid w:val="4C85E0BF"/>
    <w:rsid w:val="4C883E49"/>
    <w:rsid w:val="4C8A33A7"/>
    <w:rsid w:val="4C96D28A"/>
    <w:rsid w:val="4C9C3554"/>
    <w:rsid w:val="4CA64AEB"/>
    <w:rsid w:val="4CB02C33"/>
    <w:rsid w:val="4CC453FE"/>
    <w:rsid w:val="4CC5D398"/>
    <w:rsid w:val="4CDD0DCB"/>
    <w:rsid w:val="4CE32652"/>
    <w:rsid w:val="4CE63C0D"/>
    <w:rsid w:val="4CFBBDC3"/>
    <w:rsid w:val="4CFF7EB5"/>
    <w:rsid w:val="4D0186AC"/>
    <w:rsid w:val="4D0922CD"/>
    <w:rsid w:val="4D22EF1A"/>
    <w:rsid w:val="4D287EA7"/>
    <w:rsid w:val="4D314548"/>
    <w:rsid w:val="4D3C92ED"/>
    <w:rsid w:val="4D485697"/>
    <w:rsid w:val="4D49DE37"/>
    <w:rsid w:val="4D52FAF1"/>
    <w:rsid w:val="4D55DE3D"/>
    <w:rsid w:val="4D7FADE1"/>
    <w:rsid w:val="4D8BFD3A"/>
    <w:rsid w:val="4D8D5CEF"/>
    <w:rsid w:val="4D9A81B9"/>
    <w:rsid w:val="4DC86F24"/>
    <w:rsid w:val="4DE074EB"/>
    <w:rsid w:val="4DE698D5"/>
    <w:rsid w:val="4DE8046E"/>
    <w:rsid w:val="4DEEE8F5"/>
    <w:rsid w:val="4DF7ED66"/>
    <w:rsid w:val="4E106993"/>
    <w:rsid w:val="4E1E0F1D"/>
    <w:rsid w:val="4E2DAB73"/>
    <w:rsid w:val="4E361E7B"/>
    <w:rsid w:val="4E3BA0D3"/>
    <w:rsid w:val="4E3D4667"/>
    <w:rsid w:val="4E456443"/>
    <w:rsid w:val="4E51142D"/>
    <w:rsid w:val="4E69267B"/>
    <w:rsid w:val="4E69FB37"/>
    <w:rsid w:val="4EAF66F4"/>
    <w:rsid w:val="4EC2A667"/>
    <w:rsid w:val="4EE00EE0"/>
    <w:rsid w:val="4EE7FD97"/>
    <w:rsid w:val="4EE96BB2"/>
    <w:rsid w:val="4F020416"/>
    <w:rsid w:val="4F0C005D"/>
    <w:rsid w:val="4F0F56F0"/>
    <w:rsid w:val="4F137C3D"/>
    <w:rsid w:val="4F1520F2"/>
    <w:rsid w:val="4F27EA23"/>
    <w:rsid w:val="4F330309"/>
    <w:rsid w:val="4F3732E7"/>
    <w:rsid w:val="4F3E3CE3"/>
    <w:rsid w:val="4F43E49B"/>
    <w:rsid w:val="4F568871"/>
    <w:rsid w:val="4F5ABE68"/>
    <w:rsid w:val="4F68C010"/>
    <w:rsid w:val="4F6A8C8D"/>
    <w:rsid w:val="4F6ABDAE"/>
    <w:rsid w:val="4F75473C"/>
    <w:rsid w:val="4F797137"/>
    <w:rsid w:val="4FA8D0D2"/>
    <w:rsid w:val="4FACB13D"/>
    <w:rsid w:val="4FD715DA"/>
    <w:rsid w:val="4FE022AF"/>
    <w:rsid w:val="5011DC99"/>
    <w:rsid w:val="501C4BC3"/>
    <w:rsid w:val="5026219A"/>
    <w:rsid w:val="502FA0E9"/>
    <w:rsid w:val="503152E1"/>
    <w:rsid w:val="5031FD23"/>
    <w:rsid w:val="50368E45"/>
    <w:rsid w:val="5042E71A"/>
    <w:rsid w:val="505814F4"/>
    <w:rsid w:val="50636B9F"/>
    <w:rsid w:val="50643BD6"/>
    <w:rsid w:val="5079CD21"/>
    <w:rsid w:val="507DCD4B"/>
    <w:rsid w:val="5094B7E7"/>
    <w:rsid w:val="50954882"/>
    <w:rsid w:val="509F0155"/>
    <w:rsid w:val="50AA8274"/>
    <w:rsid w:val="50BE9CCE"/>
    <w:rsid w:val="50C0AFD2"/>
    <w:rsid w:val="50CE22DB"/>
    <w:rsid w:val="50D0E3D8"/>
    <w:rsid w:val="50D631CB"/>
    <w:rsid w:val="50DC7035"/>
    <w:rsid w:val="51103FF7"/>
    <w:rsid w:val="5124AE4A"/>
    <w:rsid w:val="512A9AC5"/>
    <w:rsid w:val="512C3060"/>
    <w:rsid w:val="513E63A0"/>
    <w:rsid w:val="515BF0EB"/>
    <w:rsid w:val="516C44EF"/>
    <w:rsid w:val="5176668E"/>
    <w:rsid w:val="518F6F98"/>
    <w:rsid w:val="51E1B414"/>
    <w:rsid w:val="51F6BAC3"/>
    <w:rsid w:val="51FFBF50"/>
    <w:rsid w:val="5201B795"/>
    <w:rsid w:val="520678D6"/>
    <w:rsid w:val="52138CF2"/>
    <w:rsid w:val="5213A1F8"/>
    <w:rsid w:val="52148C07"/>
    <w:rsid w:val="5215E2CC"/>
    <w:rsid w:val="522358E9"/>
    <w:rsid w:val="523B2A50"/>
    <w:rsid w:val="523E8CA3"/>
    <w:rsid w:val="523FF08F"/>
    <w:rsid w:val="52401BEF"/>
    <w:rsid w:val="526F6812"/>
    <w:rsid w:val="527A45A9"/>
    <w:rsid w:val="527E6246"/>
    <w:rsid w:val="5285C434"/>
    <w:rsid w:val="5292C4CC"/>
    <w:rsid w:val="52951A7A"/>
    <w:rsid w:val="529FA074"/>
    <w:rsid w:val="52A17F64"/>
    <w:rsid w:val="52A6E381"/>
    <w:rsid w:val="52A8B1A8"/>
    <w:rsid w:val="52B1A5FD"/>
    <w:rsid w:val="52C09F29"/>
    <w:rsid w:val="52C34087"/>
    <w:rsid w:val="52DE5B51"/>
    <w:rsid w:val="52E609B2"/>
    <w:rsid w:val="52EF5B78"/>
    <w:rsid w:val="52FFD516"/>
    <w:rsid w:val="53022D83"/>
    <w:rsid w:val="53087F02"/>
    <w:rsid w:val="530EB901"/>
    <w:rsid w:val="53264FD6"/>
    <w:rsid w:val="5337FC14"/>
    <w:rsid w:val="53457E7B"/>
    <w:rsid w:val="53465415"/>
    <w:rsid w:val="53467C26"/>
    <w:rsid w:val="53501C2A"/>
    <w:rsid w:val="536A44E7"/>
    <w:rsid w:val="536FCD82"/>
    <w:rsid w:val="5376CF64"/>
    <w:rsid w:val="53787F68"/>
    <w:rsid w:val="537C6874"/>
    <w:rsid w:val="537E1718"/>
    <w:rsid w:val="537E3CA6"/>
    <w:rsid w:val="538300AE"/>
    <w:rsid w:val="539D7521"/>
    <w:rsid w:val="539DC15C"/>
    <w:rsid w:val="53A2FFC9"/>
    <w:rsid w:val="53B8C5D0"/>
    <w:rsid w:val="53BA1DA2"/>
    <w:rsid w:val="53BB8679"/>
    <w:rsid w:val="53ED72D0"/>
    <w:rsid w:val="53F4B155"/>
    <w:rsid w:val="53FD1807"/>
    <w:rsid w:val="540DF2D3"/>
    <w:rsid w:val="542237CE"/>
    <w:rsid w:val="5422932C"/>
    <w:rsid w:val="5433C46D"/>
    <w:rsid w:val="543408DA"/>
    <w:rsid w:val="544127FA"/>
    <w:rsid w:val="544A6796"/>
    <w:rsid w:val="545CAE18"/>
    <w:rsid w:val="5467192A"/>
    <w:rsid w:val="54887D97"/>
    <w:rsid w:val="54915E64"/>
    <w:rsid w:val="54947DFC"/>
    <w:rsid w:val="5495A19A"/>
    <w:rsid w:val="549C7634"/>
    <w:rsid w:val="54A2206B"/>
    <w:rsid w:val="54AB33E9"/>
    <w:rsid w:val="54ACBCCF"/>
    <w:rsid w:val="54AF6695"/>
    <w:rsid w:val="54BB6EF2"/>
    <w:rsid w:val="54CB93CF"/>
    <w:rsid w:val="54D78D77"/>
    <w:rsid w:val="54D7BEC4"/>
    <w:rsid w:val="54E29944"/>
    <w:rsid w:val="54F86647"/>
    <w:rsid w:val="550B645E"/>
    <w:rsid w:val="550BBCE4"/>
    <w:rsid w:val="550C0B17"/>
    <w:rsid w:val="551B6A97"/>
    <w:rsid w:val="551C6EC9"/>
    <w:rsid w:val="552A91BD"/>
    <w:rsid w:val="553C203E"/>
    <w:rsid w:val="555D9EA9"/>
    <w:rsid w:val="5566773F"/>
    <w:rsid w:val="5567A65D"/>
    <w:rsid w:val="556D3D6A"/>
    <w:rsid w:val="556F5354"/>
    <w:rsid w:val="55705375"/>
    <w:rsid w:val="558B639B"/>
    <w:rsid w:val="559ABD7C"/>
    <w:rsid w:val="55AF5B59"/>
    <w:rsid w:val="55C6FABF"/>
    <w:rsid w:val="55E4D477"/>
    <w:rsid w:val="55F3F4FA"/>
    <w:rsid w:val="55FBA261"/>
    <w:rsid w:val="560E5F63"/>
    <w:rsid w:val="561164CC"/>
    <w:rsid w:val="5618443D"/>
    <w:rsid w:val="561CFFB5"/>
    <w:rsid w:val="562E4656"/>
    <w:rsid w:val="5632E827"/>
    <w:rsid w:val="56342C31"/>
    <w:rsid w:val="563DE3EF"/>
    <w:rsid w:val="56442791"/>
    <w:rsid w:val="5648003B"/>
    <w:rsid w:val="564E075B"/>
    <w:rsid w:val="5654DEAF"/>
    <w:rsid w:val="56637ABE"/>
    <w:rsid w:val="566B55DC"/>
    <w:rsid w:val="56822EDF"/>
    <w:rsid w:val="56863A48"/>
    <w:rsid w:val="568A9D51"/>
    <w:rsid w:val="568D2A8E"/>
    <w:rsid w:val="56987483"/>
    <w:rsid w:val="56D1BB81"/>
    <w:rsid w:val="56D1C7A4"/>
    <w:rsid w:val="56D4910A"/>
    <w:rsid w:val="56DCE9CA"/>
    <w:rsid w:val="56EFAFA8"/>
    <w:rsid w:val="56F1EE0A"/>
    <w:rsid w:val="56FBC018"/>
    <w:rsid w:val="573ABA17"/>
    <w:rsid w:val="574B530A"/>
    <w:rsid w:val="574D24F4"/>
    <w:rsid w:val="57616508"/>
    <w:rsid w:val="5764A38D"/>
    <w:rsid w:val="576A565B"/>
    <w:rsid w:val="5777BE2D"/>
    <w:rsid w:val="5791AC91"/>
    <w:rsid w:val="5792DA4E"/>
    <w:rsid w:val="57A70630"/>
    <w:rsid w:val="57C6B8F1"/>
    <w:rsid w:val="57CCF7A1"/>
    <w:rsid w:val="57DFB4D5"/>
    <w:rsid w:val="58117A2A"/>
    <w:rsid w:val="5819984B"/>
    <w:rsid w:val="581BB3E7"/>
    <w:rsid w:val="581F0AC7"/>
    <w:rsid w:val="5825F045"/>
    <w:rsid w:val="58312701"/>
    <w:rsid w:val="5837495A"/>
    <w:rsid w:val="5842D4BB"/>
    <w:rsid w:val="585E56F1"/>
    <w:rsid w:val="585F6F1E"/>
    <w:rsid w:val="58845F61"/>
    <w:rsid w:val="589D9595"/>
    <w:rsid w:val="589E2035"/>
    <w:rsid w:val="58ACCBC0"/>
    <w:rsid w:val="58C45FB1"/>
    <w:rsid w:val="58C74949"/>
    <w:rsid w:val="58CA67D9"/>
    <w:rsid w:val="58DE2449"/>
    <w:rsid w:val="58ECA6A9"/>
    <w:rsid w:val="58FE0FEE"/>
    <w:rsid w:val="591A88ED"/>
    <w:rsid w:val="593C33BC"/>
    <w:rsid w:val="593C4D32"/>
    <w:rsid w:val="594A8BD5"/>
    <w:rsid w:val="59509DA2"/>
    <w:rsid w:val="5965247C"/>
    <w:rsid w:val="597692FA"/>
    <w:rsid w:val="59780B16"/>
    <w:rsid w:val="59856BED"/>
    <w:rsid w:val="598C5EDF"/>
    <w:rsid w:val="599EB475"/>
    <w:rsid w:val="59BD7910"/>
    <w:rsid w:val="59CD884B"/>
    <w:rsid w:val="59D02AB1"/>
    <w:rsid w:val="59D40AC8"/>
    <w:rsid w:val="59DFB22E"/>
    <w:rsid w:val="59DFE14C"/>
    <w:rsid w:val="59E34461"/>
    <w:rsid w:val="59EBA7FB"/>
    <w:rsid w:val="59F38990"/>
    <w:rsid w:val="59FF4727"/>
    <w:rsid w:val="5A300492"/>
    <w:rsid w:val="5A4856C8"/>
    <w:rsid w:val="5A487623"/>
    <w:rsid w:val="5A5C4593"/>
    <w:rsid w:val="5A61D12D"/>
    <w:rsid w:val="5A6CCEEF"/>
    <w:rsid w:val="5A99A0B6"/>
    <w:rsid w:val="5A9D7672"/>
    <w:rsid w:val="5AAB9C31"/>
    <w:rsid w:val="5AB00DC7"/>
    <w:rsid w:val="5AB6FBA1"/>
    <w:rsid w:val="5AB93321"/>
    <w:rsid w:val="5ABCCB48"/>
    <w:rsid w:val="5B00F6C0"/>
    <w:rsid w:val="5B2ADF20"/>
    <w:rsid w:val="5B3611AC"/>
    <w:rsid w:val="5B46A65C"/>
    <w:rsid w:val="5B4C2622"/>
    <w:rsid w:val="5B57C376"/>
    <w:rsid w:val="5B8F2AD1"/>
    <w:rsid w:val="5B90C09B"/>
    <w:rsid w:val="5BA524FD"/>
    <w:rsid w:val="5BB387F0"/>
    <w:rsid w:val="5BB4CA44"/>
    <w:rsid w:val="5BB99A11"/>
    <w:rsid w:val="5BBEFBCD"/>
    <w:rsid w:val="5BC401F1"/>
    <w:rsid w:val="5BC4B405"/>
    <w:rsid w:val="5BC5D776"/>
    <w:rsid w:val="5BC5F103"/>
    <w:rsid w:val="5BD55556"/>
    <w:rsid w:val="5BEA8FBF"/>
    <w:rsid w:val="5BED8B6A"/>
    <w:rsid w:val="5C0EC8F9"/>
    <w:rsid w:val="5C181ABC"/>
    <w:rsid w:val="5C36CDCD"/>
    <w:rsid w:val="5C46BC15"/>
    <w:rsid w:val="5C49287F"/>
    <w:rsid w:val="5C4F1492"/>
    <w:rsid w:val="5C7264A7"/>
    <w:rsid w:val="5C74385C"/>
    <w:rsid w:val="5C84E302"/>
    <w:rsid w:val="5C952E18"/>
    <w:rsid w:val="5C9D8332"/>
    <w:rsid w:val="5CA565BA"/>
    <w:rsid w:val="5CA57EC7"/>
    <w:rsid w:val="5CC8B310"/>
    <w:rsid w:val="5CC9011F"/>
    <w:rsid w:val="5CD548BD"/>
    <w:rsid w:val="5CE00172"/>
    <w:rsid w:val="5CFAE55D"/>
    <w:rsid w:val="5D025090"/>
    <w:rsid w:val="5D040AE8"/>
    <w:rsid w:val="5D21F15C"/>
    <w:rsid w:val="5D236B99"/>
    <w:rsid w:val="5D2F5EF5"/>
    <w:rsid w:val="5D2FCCE1"/>
    <w:rsid w:val="5D37D796"/>
    <w:rsid w:val="5D40D7DE"/>
    <w:rsid w:val="5D4982FC"/>
    <w:rsid w:val="5D500490"/>
    <w:rsid w:val="5D598454"/>
    <w:rsid w:val="5D5CD19C"/>
    <w:rsid w:val="5D68AD06"/>
    <w:rsid w:val="5D6FC465"/>
    <w:rsid w:val="5D72FC6A"/>
    <w:rsid w:val="5D795254"/>
    <w:rsid w:val="5D8F934B"/>
    <w:rsid w:val="5D946151"/>
    <w:rsid w:val="5D984E12"/>
    <w:rsid w:val="5D9A2616"/>
    <w:rsid w:val="5DB2B687"/>
    <w:rsid w:val="5DBC8FA5"/>
    <w:rsid w:val="5DC4025F"/>
    <w:rsid w:val="5DC634DA"/>
    <w:rsid w:val="5DC6C330"/>
    <w:rsid w:val="5DE0D4E4"/>
    <w:rsid w:val="5DF2F264"/>
    <w:rsid w:val="5E0BADDD"/>
    <w:rsid w:val="5E10D1F5"/>
    <w:rsid w:val="5E21C66A"/>
    <w:rsid w:val="5E47FA69"/>
    <w:rsid w:val="5E53E590"/>
    <w:rsid w:val="5E666F16"/>
    <w:rsid w:val="5E788D6B"/>
    <w:rsid w:val="5E828C46"/>
    <w:rsid w:val="5E882A94"/>
    <w:rsid w:val="5E88C2C0"/>
    <w:rsid w:val="5EA798C7"/>
    <w:rsid w:val="5EB26168"/>
    <w:rsid w:val="5EB32D1E"/>
    <w:rsid w:val="5EBEC683"/>
    <w:rsid w:val="5EC25DE1"/>
    <w:rsid w:val="5EF06CB6"/>
    <w:rsid w:val="5EF07B6C"/>
    <w:rsid w:val="5EF9EF8F"/>
    <w:rsid w:val="5EFA99F8"/>
    <w:rsid w:val="5F0AD679"/>
    <w:rsid w:val="5F1069E8"/>
    <w:rsid w:val="5F239A11"/>
    <w:rsid w:val="5F32BAF0"/>
    <w:rsid w:val="5F3DBC1F"/>
    <w:rsid w:val="5F428419"/>
    <w:rsid w:val="5F4E45AE"/>
    <w:rsid w:val="5F552826"/>
    <w:rsid w:val="5F633927"/>
    <w:rsid w:val="5F6AA70F"/>
    <w:rsid w:val="5F6B409D"/>
    <w:rsid w:val="5F856E57"/>
    <w:rsid w:val="5FBD0CEF"/>
    <w:rsid w:val="5FC8CD9D"/>
    <w:rsid w:val="5FCC4108"/>
    <w:rsid w:val="5FD0F22D"/>
    <w:rsid w:val="5FD6C2E9"/>
    <w:rsid w:val="5FDC4983"/>
    <w:rsid w:val="5FFDC206"/>
    <w:rsid w:val="6011C0DA"/>
    <w:rsid w:val="601CFE07"/>
    <w:rsid w:val="60201AB7"/>
    <w:rsid w:val="60226C19"/>
    <w:rsid w:val="602EF643"/>
    <w:rsid w:val="603CA5F4"/>
    <w:rsid w:val="60434CD5"/>
    <w:rsid w:val="606061F8"/>
    <w:rsid w:val="6062AC07"/>
    <w:rsid w:val="60651EE1"/>
    <w:rsid w:val="6070B025"/>
    <w:rsid w:val="608AF9FC"/>
    <w:rsid w:val="609116A2"/>
    <w:rsid w:val="60AB5B54"/>
    <w:rsid w:val="60CE4E45"/>
    <w:rsid w:val="60EBDCB1"/>
    <w:rsid w:val="60EE0103"/>
    <w:rsid w:val="60F73A48"/>
    <w:rsid w:val="6107D7B9"/>
    <w:rsid w:val="6108E2E8"/>
    <w:rsid w:val="610E510F"/>
    <w:rsid w:val="6118C646"/>
    <w:rsid w:val="61232831"/>
    <w:rsid w:val="612CDAB8"/>
    <w:rsid w:val="61310CAC"/>
    <w:rsid w:val="61320EBA"/>
    <w:rsid w:val="61547C7E"/>
    <w:rsid w:val="6158E2FB"/>
    <w:rsid w:val="618F7CF3"/>
    <w:rsid w:val="61BE7C0B"/>
    <w:rsid w:val="61D26533"/>
    <w:rsid w:val="61E78921"/>
    <w:rsid w:val="61ED182E"/>
    <w:rsid w:val="61F1DC72"/>
    <w:rsid w:val="61F685E5"/>
    <w:rsid w:val="620AE3DF"/>
    <w:rsid w:val="622016A5"/>
    <w:rsid w:val="622FA260"/>
    <w:rsid w:val="62453D57"/>
    <w:rsid w:val="62710721"/>
    <w:rsid w:val="6297CAD2"/>
    <w:rsid w:val="629CC4E7"/>
    <w:rsid w:val="62A2CDBE"/>
    <w:rsid w:val="62A4D2D4"/>
    <w:rsid w:val="62AA7C76"/>
    <w:rsid w:val="62CB4814"/>
    <w:rsid w:val="62CF9676"/>
    <w:rsid w:val="62E14815"/>
    <w:rsid w:val="62EC045A"/>
    <w:rsid w:val="62F793BD"/>
    <w:rsid w:val="63070669"/>
    <w:rsid w:val="630EE134"/>
    <w:rsid w:val="632D0CB8"/>
    <w:rsid w:val="633A770A"/>
    <w:rsid w:val="63577755"/>
    <w:rsid w:val="63662408"/>
    <w:rsid w:val="636E880F"/>
    <w:rsid w:val="63709DF7"/>
    <w:rsid w:val="6383A36F"/>
    <w:rsid w:val="639F9E80"/>
    <w:rsid w:val="63AF5E4D"/>
    <w:rsid w:val="63B3A613"/>
    <w:rsid w:val="63C394FA"/>
    <w:rsid w:val="63CB64D7"/>
    <w:rsid w:val="63CBEC82"/>
    <w:rsid w:val="63DA5B95"/>
    <w:rsid w:val="63E13E90"/>
    <w:rsid w:val="63FF3153"/>
    <w:rsid w:val="6419F83D"/>
    <w:rsid w:val="642D6C3A"/>
    <w:rsid w:val="643A46FE"/>
    <w:rsid w:val="643F3C4B"/>
    <w:rsid w:val="64474E80"/>
    <w:rsid w:val="645D40E4"/>
    <w:rsid w:val="645F2D72"/>
    <w:rsid w:val="6460430B"/>
    <w:rsid w:val="64685FD5"/>
    <w:rsid w:val="64692568"/>
    <w:rsid w:val="6482535E"/>
    <w:rsid w:val="648B34F5"/>
    <w:rsid w:val="6499F61C"/>
    <w:rsid w:val="64CF4C78"/>
    <w:rsid w:val="64DAAD7C"/>
    <w:rsid w:val="64E8A443"/>
    <w:rsid w:val="64FF2012"/>
    <w:rsid w:val="650A1A00"/>
    <w:rsid w:val="65179243"/>
    <w:rsid w:val="651F6562"/>
    <w:rsid w:val="653F3B6A"/>
    <w:rsid w:val="653FBDF7"/>
    <w:rsid w:val="65569015"/>
    <w:rsid w:val="6556CE4B"/>
    <w:rsid w:val="65608BFB"/>
    <w:rsid w:val="65616548"/>
    <w:rsid w:val="657A2CB9"/>
    <w:rsid w:val="65B120C3"/>
    <w:rsid w:val="65B2A371"/>
    <w:rsid w:val="65B3F07D"/>
    <w:rsid w:val="65B77C4F"/>
    <w:rsid w:val="65C8EF7F"/>
    <w:rsid w:val="65CFEEA5"/>
    <w:rsid w:val="65DC25F6"/>
    <w:rsid w:val="65DE49EC"/>
    <w:rsid w:val="65EEB2E1"/>
    <w:rsid w:val="65F81D23"/>
    <w:rsid w:val="66183949"/>
    <w:rsid w:val="6622DB1C"/>
    <w:rsid w:val="662CA289"/>
    <w:rsid w:val="663E5388"/>
    <w:rsid w:val="664D2ABD"/>
    <w:rsid w:val="667919EF"/>
    <w:rsid w:val="66876AC2"/>
    <w:rsid w:val="668C5159"/>
    <w:rsid w:val="668F87A7"/>
    <w:rsid w:val="669666A0"/>
    <w:rsid w:val="66A42709"/>
    <w:rsid w:val="66A9A700"/>
    <w:rsid w:val="66C7ADBC"/>
    <w:rsid w:val="66CDF25C"/>
    <w:rsid w:val="66DF9306"/>
    <w:rsid w:val="66E5E745"/>
    <w:rsid w:val="66F58D27"/>
    <w:rsid w:val="671B8D45"/>
    <w:rsid w:val="67202EC7"/>
    <w:rsid w:val="6758AD27"/>
    <w:rsid w:val="6758DAE3"/>
    <w:rsid w:val="675D5429"/>
    <w:rsid w:val="6779BB46"/>
    <w:rsid w:val="677A9351"/>
    <w:rsid w:val="6781CB9C"/>
    <w:rsid w:val="678BE2A2"/>
    <w:rsid w:val="67A34CD3"/>
    <w:rsid w:val="67A37EB2"/>
    <w:rsid w:val="67ABAD87"/>
    <w:rsid w:val="67AE690B"/>
    <w:rsid w:val="67B5114D"/>
    <w:rsid w:val="67BD6DF7"/>
    <w:rsid w:val="67BDDDC1"/>
    <w:rsid w:val="67C4FA72"/>
    <w:rsid w:val="67C6C4E3"/>
    <w:rsid w:val="67CD2A69"/>
    <w:rsid w:val="67CF3723"/>
    <w:rsid w:val="67D0EBCB"/>
    <w:rsid w:val="67EB75FE"/>
    <w:rsid w:val="67EE01B1"/>
    <w:rsid w:val="67F6EEA7"/>
    <w:rsid w:val="67FD90C3"/>
    <w:rsid w:val="680ECFEE"/>
    <w:rsid w:val="68102C08"/>
    <w:rsid w:val="68130622"/>
    <w:rsid w:val="68185A34"/>
    <w:rsid w:val="681BAE8A"/>
    <w:rsid w:val="6820ECC3"/>
    <w:rsid w:val="683597C5"/>
    <w:rsid w:val="683DF977"/>
    <w:rsid w:val="683F3DE0"/>
    <w:rsid w:val="687087E1"/>
    <w:rsid w:val="68828C79"/>
    <w:rsid w:val="6884EDF0"/>
    <w:rsid w:val="68853399"/>
    <w:rsid w:val="6886AD87"/>
    <w:rsid w:val="688D08E5"/>
    <w:rsid w:val="6898069F"/>
    <w:rsid w:val="68A23866"/>
    <w:rsid w:val="68BA4D25"/>
    <w:rsid w:val="68BB4E78"/>
    <w:rsid w:val="68BD4EC1"/>
    <w:rsid w:val="68E7D3F6"/>
    <w:rsid w:val="68F1B85D"/>
    <w:rsid w:val="68FA7291"/>
    <w:rsid w:val="690ACB34"/>
    <w:rsid w:val="690E32C8"/>
    <w:rsid w:val="691C5B4A"/>
    <w:rsid w:val="6925089A"/>
    <w:rsid w:val="69275CF1"/>
    <w:rsid w:val="69396453"/>
    <w:rsid w:val="6939E593"/>
    <w:rsid w:val="6939F226"/>
    <w:rsid w:val="695A38D9"/>
    <w:rsid w:val="695E7DBE"/>
    <w:rsid w:val="695FAA56"/>
    <w:rsid w:val="696562CC"/>
    <w:rsid w:val="697187C2"/>
    <w:rsid w:val="6977D0B4"/>
    <w:rsid w:val="698E2419"/>
    <w:rsid w:val="699ED9CC"/>
    <w:rsid w:val="69A21A5D"/>
    <w:rsid w:val="69A22053"/>
    <w:rsid w:val="69A88778"/>
    <w:rsid w:val="69CF587E"/>
    <w:rsid w:val="69D56E6E"/>
    <w:rsid w:val="69DE951D"/>
    <w:rsid w:val="69E97E9E"/>
    <w:rsid w:val="69F13177"/>
    <w:rsid w:val="6A04642E"/>
    <w:rsid w:val="6A063E71"/>
    <w:rsid w:val="6A12313E"/>
    <w:rsid w:val="6A2F42F6"/>
    <w:rsid w:val="6A3BFEDA"/>
    <w:rsid w:val="6A3D233D"/>
    <w:rsid w:val="6A496C29"/>
    <w:rsid w:val="6A50FDFE"/>
    <w:rsid w:val="6A510472"/>
    <w:rsid w:val="6A6F39D6"/>
    <w:rsid w:val="6A8517E5"/>
    <w:rsid w:val="6A920C3E"/>
    <w:rsid w:val="6A96917E"/>
    <w:rsid w:val="6AAE1CA5"/>
    <w:rsid w:val="6AAED2C4"/>
    <w:rsid w:val="6AB6FBE0"/>
    <w:rsid w:val="6ABA2596"/>
    <w:rsid w:val="6AC5D505"/>
    <w:rsid w:val="6AD426A2"/>
    <w:rsid w:val="6AE75D5F"/>
    <w:rsid w:val="6AE8D0F1"/>
    <w:rsid w:val="6AF374D9"/>
    <w:rsid w:val="6B05AEC1"/>
    <w:rsid w:val="6B2434D4"/>
    <w:rsid w:val="6B2C3314"/>
    <w:rsid w:val="6B425B4E"/>
    <w:rsid w:val="6B49BE19"/>
    <w:rsid w:val="6B8118C9"/>
    <w:rsid w:val="6BA9EC67"/>
    <w:rsid w:val="6BAD7EEA"/>
    <w:rsid w:val="6BB9E8EE"/>
    <w:rsid w:val="6BBADA6D"/>
    <w:rsid w:val="6BC7BF8D"/>
    <w:rsid w:val="6BE999E1"/>
    <w:rsid w:val="6BEA5717"/>
    <w:rsid w:val="6BEC21CC"/>
    <w:rsid w:val="6BF55E8F"/>
    <w:rsid w:val="6C061E64"/>
    <w:rsid w:val="6C10BA3A"/>
    <w:rsid w:val="6C129203"/>
    <w:rsid w:val="6C33E854"/>
    <w:rsid w:val="6C35F149"/>
    <w:rsid w:val="6C3882A5"/>
    <w:rsid w:val="6C40B423"/>
    <w:rsid w:val="6C832383"/>
    <w:rsid w:val="6C836510"/>
    <w:rsid w:val="6C8AB6A8"/>
    <w:rsid w:val="6C90A394"/>
    <w:rsid w:val="6C930221"/>
    <w:rsid w:val="6CA10DC5"/>
    <w:rsid w:val="6CB71C92"/>
    <w:rsid w:val="6CC2A2F5"/>
    <w:rsid w:val="6CC8DA7A"/>
    <w:rsid w:val="6CCE462B"/>
    <w:rsid w:val="6CD2C96C"/>
    <w:rsid w:val="6CD7CA87"/>
    <w:rsid w:val="6CDC0443"/>
    <w:rsid w:val="6CE2677C"/>
    <w:rsid w:val="6CE757BA"/>
    <w:rsid w:val="6CE7EB24"/>
    <w:rsid w:val="6CECF798"/>
    <w:rsid w:val="6D234B19"/>
    <w:rsid w:val="6D27193D"/>
    <w:rsid w:val="6D50A77F"/>
    <w:rsid w:val="6D60D0A7"/>
    <w:rsid w:val="6D684DA8"/>
    <w:rsid w:val="6D79E576"/>
    <w:rsid w:val="6D8F6DF2"/>
    <w:rsid w:val="6D951BBE"/>
    <w:rsid w:val="6D9DB8E4"/>
    <w:rsid w:val="6DBAE32F"/>
    <w:rsid w:val="6DBD8EE6"/>
    <w:rsid w:val="6DC50183"/>
    <w:rsid w:val="6DC5E7F7"/>
    <w:rsid w:val="6DDF0AE9"/>
    <w:rsid w:val="6DF60575"/>
    <w:rsid w:val="6E013174"/>
    <w:rsid w:val="6E07FF15"/>
    <w:rsid w:val="6E0AC295"/>
    <w:rsid w:val="6E15CEAB"/>
    <w:rsid w:val="6E4EE64C"/>
    <w:rsid w:val="6E682ECC"/>
    <w:rsid w:val="6E6A7B0F"/>
    <w:rsid w:val="6E6B9E6E"/>
    <w:rsid w:val="6E901BCC"/>
    <w:rsid w:val="6E9496D1"/>
    <w:rsid w:val="6ECAFF80"/>
    <w:rsid w:val="6ECB12E2"/>
    <w:rsid w:val="6EDC3607"/>
    <w:rsid w:val="6EE2095E"/>
    <w:rsid w:val="6EF1C75E"/>
    <w:rsid w:val="6EF39011"/>
    <w:rsid w:val="6EF5A19B"/>
    <w:rsid w:val="6EFDEFF5"/>
    <w:rsid w:val="6F1B8706"/>
    <w:rsid w:val="6F273EE9"/>
    <w:rsid w:val="6F298E82"/>
    <w:rsid w:val="6F32E375"/>
    <w:rsid w:val="6F38DED7"/>
    <w:rsid w:val="6F58A7B4"/>
    <w:rsid w:val="6F5E6D83"/>
    <w:rsid w:val="6F640A28"/>
    <w:rsid w:val="6F792FF8"/>
    <w:rsid w:val="6F7B0EBE"/>
    <w:rsid w:val="6F833293"/>
    <w:rsid w:val="6FB49DC4"/>
    <w:rsid w:val="6FBBFDA6"/>
    <w:rsid w:val="6FBEAD75"/>
    <w:rsid w:val="6FBFB570"/>
    <w:rsid w:val="6FC8F2EB"/>
    <w:rsid w:val="6FD0805E"/>
    <w:rsid w:val="6FD80232"/>
    <w:rsid w:val="6FEA5E3E"/>
    <w:rsid w:val="6FFDBEDF"/>
    <w:rsid w:val="70146AB7"/>
    <w:rsid w:val="70191A53"/>
    <w:rsid w:val="7022530C"/>
    <w:rsid w:val="702632CE"/>
    <w:rsid w:val="7036C0DB"/>
    <w:rsid w:val="704BAB68"/>
    <w:rsid w:val="705218A7"/>
    <w:rsid w:val="70584E00"/>
    <w:rsid w:val="7062B2C0"/>
    <w:rsid w:val="708E6E41"/>
    <w:rsid w:val="70914549"/>
    <w:rsid w:val="70AE7208"/>
    <w:rsid w:val="70C66190"/>
    <w:rsid w:val="70C94C48"/>
    <w:rsid w:val="70D59E8D"/>
    <w:rsid w:val="70D8C418"/>
    <w:rsid w:val="70DDCC3A"/>
    <w:rsid w:val="70DE1CD3"/>
    <w:rsid w:val="70E85647"/>
    <w:rsid w:val="70E9FDFB"/>
    <w:rsid w:val="70FEFCB0"/>
    <w:rsid w:val="70FF0DAB"/>
    <w:rsid w:val="710EB19F"/>
    <w:rsid w:val="7121BDE5"/>
    <w:rsid w:val="712EA18E"/>
    <w:rsid w:val="712F089F"/>
    <w:rsid w:val="71428833"/>
    <w:rsid w:val="7144EE57"/>
    <w:rsid w:val="71453B57"/>
    <w:rsid w:val="7147ACE9"/>
    <w:rsid w:val="714A707E"/>
    <w:rsid w:val="714C40BF"/>
    <w:rsid w:val="714F6292"/>
    <w:rsid w:val="7154FB0B"/>
    <w:rsid w:val="715B6BDE"/>
    <w:rsid w:val="715DDC8D"/>
    <w:rsid w:val="715EE4A2"/>
    <w:rsid w:val="71682D57"/>
    <w:rsid w:val="716B91AE"/>
    <w:rsid w:val="7176F721"/>
    <w:rsid w:val="717FAB75"/>
    <w:rsid w:val="718873D7"/>
    <w:rsid w:val="719B4A34"/>
    <w:rsid w:val="71A147AD"/>
    <w:rsid w:val="71A75A5B"/>
    <w:rsid w:val="71B0FBE1"/>
    <w:rsid w:val="71B433C8"/>
    <w:rsid w:val="71B6B129"/>
    <w:rsid w:val="71BEF4D7"/>
    <w:rsid w:val="71DBC918"/>
    <w:rsid w:val="7205D7A6"/>
    <w:rsid w:val="7219F898"/>
    <w:rsid w:val="722DCC10"/>
    <w:rsid w:val="7246DDD0"/>
    <w:rsid w:val="72544371"/>
    <w:rsid w:val="72766D56"/>
    <w:rsid w:val="728E9E1E"/>
    <w:rsid w:val="729E61EE"/>
    <w:rsid w:val="72AD70D0"/>
    <w:rsid w:val="72B13EB0"/>
    <w:rsid w:val="72E2241E"/>
    <w:rsid w:val="72E4C6AE"/>
    <w:rsid w:val="7304F762"/>
    <w:rsid w:val="73066411"/>
    <w:rsid w:val="731B3273"/>
    <w:rsid w:val="734F195E"/>
    <w:rsid w:val="7352CE24"/>
    <w:rsid w:val="7361FDBC"/>
    <w:rsid w:val="736854E7"/>
    <w:rsid w:val="7369FB43"/>
    <w:rsid w:val="73778CA2"/>
    <w:rsid w:val="739C85E2"/>
    <w:rsid w:val="73AB152C"/>
    <w:rsid w:val="73ACA562"/>
    <w:rsid w:val="73AEDD64"/>
    <w:rsid w:val="73BDF778"/>
    <w:rsid w:val="73C1EFD3"/>
    <w:rsid w:val="73C671A7"/>
    <w:rsid w:val="73DBD600"/>
    <w:rsid w:val="73E7AC6A"/>
    <w:rsid w:val="73F1413A"/>
    <w:rsid w:val="73FEAE5D"/>
    <w:rsid w:val="740BE44C"/>
    <w:rsid w:val="7414CCC7"/>
    <w:rsid w:val="742E09C8"/>
    <w:rsid w:val="742E73F8"/>
    <w:rsid w:val="74301ED9"/>
    <w:rsid w:val="7437D49C"/>
    <w:rsid w:val="74439B8E"/>
    <w:rsid w:val="74579716"/>
    <w:rsid w:val="745935E7"/>
    <w:rsid w:val="745C4DDA"/>
    <w:rsid w:val="7467EA28"/>
    <w:rsid w:val="747DD484"/>
    <w:rsid w:val="74960949"/>
    <w:rsid w:val="74999E78"/>
    <w:rsid w:val="74A9ABDB"/>
    <w:rsid w:val="74B2ADAE"/>
    <w:rsid w:val="74CC6CD1"/>
    <w:rsid w:val="74CED66F"/>
    <w:rsid w:val="74E46E28"/>
    <w:rsid w:val="74EC6FA8"/>
    <w:rsid w:val="74FB80C6"/>
    <w:rsid w:val="74FED92F"/>
    <w:rsid w:val="7502720F"/>
    <w:rsid w:val="750D1D51"/>
    <w:rsid w:val="750FD49C"/>
    <w:rsid w:val="7512F053"/>
    <w:rsid w:val="75387D23"/>
    <w:rsid w:val="753AFD96"/>
    <w:rsid w:val="75414F27"/>
    <w:rsid w:val="75417A62"/>
    <w:rsid w:val="75434269"/>
    <w:rsid w:val="754E39C6"/>
    <w:rsid w:val="7565DA8A"/>
    <w:rsid w:val="75701E82"/>
    <w:rsid w:val="75735C67"/>
    <w:rsid w:val="7574F0DB"/>
    <w:rsid w:val="7585683E"/>
    <w:rsid w:val="7587A431"/>
    <w:rsid w:val="75880024"/>
    <w:rsid w:val="7588323D"/>
    <w:rsid w:val="7588BBFD"/>
    <w:rsid w:val="75A1A6D5"/>
    <w:rsid w:val="75ACEE56"/>
    <w:rsid w:val="75B62422"/>
    <w:rsid w:val="75B8AB24"/>
    <w:rsid w:val="75CB7471"/>
    <w:rsid w:val="75D770BE"/>
    <w:rsid w:val="75ED26DA"/>
    <w:rsid w:val="75F0D602"/>
    <w:rsid w:val="75F13672"/>
    <w:rsid w:val="7609EACF"/>
    <w:rsid w:val="76166CB4"/>
    <w:rsid w:val="763CD76F"/>
    <w:rsid w:val="763FAD9B"/>
    <w:rsid w:val="765A9FE8"/>
    <w:rsid w:val="765E0FB6"/>
    <w:rsid w:val="76655FC4"/>
    <w:rsid w:val="766FAB16"/>
    <w:rsid w:val="766FD8BD"/>
    <w:rsid w:val="7692A390"/>
    <w:rsid w:val="7699A854"/>
    <w:rsid w:val="76A8551F"/>
    <w:rsid w:val="76AB0A5F"/>
    <w:rsid w:val="76BE7C6F"/>
    <w:rsid w:val="770805C4"/>
    <w:rsid w:val="770E4B01"/>
    <w:rsid w:val="770FC076"/>
    <w:rsid w:val="77144D4E"/>
    <w:rsid w:val="771ECEB6"/>
    <w:rsid w:val="7729BFAC"/>
    <w:rsid w:val="77436F14"/>
    <w:rsid w:val="77563ECF"/>
    <w:rsid w:val="7758D932"/>
    <w:rsid w:val="775AA400"/>
    <w:rsid w:val="775E4336"/>
    <w:rsid w:val="7763B9F2"/>
    <w:rsid w:val="77883B2F"/>
    <w:rsid w:val="779490B6"/>
    <w:rsid w:val="77987EE3"/>
    <w:rsid w:val="779D56B3"/>
    <w:rsid w:val="77B8DFC2"/>
    <w:rsid w:val="77BB0E55"/>
    <w:rsid w:val="77D775C1"/>
    <w:rsid w:val="77E906BF"/>
    <w:rsid w:val="77EABA78"/>
    <w:rsid w:val="77EC4B21"/>
    <w:rsid w:val="77F175D7"/>
    <w:rsid w:val="77FCC738"/>
    <w:rsid w:val="780BD5A0"/>
    <w:rsid w:val="78120E3D"/>
    <w:rsid w:val="7815A1A1"/>
    <w:rsid w:val="7828EB6A"/>
    <w:rsid w:val="78612987"/>
    <w:rsid w:val="786AE7A9"/>
    <w:rsid w:val="7870C32F"/>
    <w:rsid w:val="787319C1"/>
    <w:rsid w:val="7882FE94"/>
    <w:rsid w:val="78878925"/>
    <w:rsid w:val="78960897"/>
    <w:rsid w:val="78A38043"/>
    <w:rsid w:val="78A795DE"/>
    <w:rsid w:val="78B8D596"/>
    <w:rsid w:val="78BEE58D"/>
    <w:rsid w:val="78C3810B"/>
    <w:rsid w:val="78C85264"/>
    <w:rsid w:val="78CA0875"/>
    <w:rsid w:val="78D0F5E3"/>
    <w:rsid w:val="78D42403"/>
    <w:rsid w:val="78EDCBCF"/>
    <w:rsid w:val="78F7F7BA"/>
    <w:rsid w:val="78FE0AD9"/>
    <w:rsid w:val="7912758E"/>
    <w:rsid w:val="791670B2"/>
    <w:rsid w:val="791CDBB5"/>
    <w:rsid w:val="791D4B56"/>
    <w:rsid w:val="79292243"/>
    <w:rsid w:val="7946BA7B"/>
    <w:rsid w:val="797A2EC9"/>
    <w:rsid w:val="797B8629"/>
    <w:rsid w:val="7983CFC8"/>
    <w:rsid w:val="79977DA0"/>
    <w:rsid w:val="7999034D"/>
    <w:rsid w:val="799B397E"/>
    <w:rsid w:val="79C0F490"/>
    <w:rsid w:val="79C475FC"/>
    <w:rsid w:val="79C89B7B"/>
    <w:rsid w:val="79D8A105"/>
    <w:rsid w:val="79E17CCE"/>
    <w:rsid w:val="79ED30AD"/>
    <w:rsid w:val="79F2C2F8"/>
    <w:rsid w:val="79FC8F72"/>
    <w:rsid w:val="79FE93BF"/>
    <w:rsid w:val="7A01AC59"/>
    <w:rsid w:val="7A03FF19"/>
    <w:rsid w:val="7A10A683"/>
    <w:rsid w:val="7A138FE8"/>
    <w:rsid w:val="7A2247F4"/>
    <w:rsid w:val="7A2D504D"/>
    <w:rsid w:val="7A3B6E5D"/>
    <w:rsid w:val="7A3C55FA"/>
    <w:rsid w:val="7A585FD3"/>
    <w:rsid w:val="7A72B61B"/>
    <w:rsid w:val="7A891F59"/>
    <w:rsid w:val="7A8A842B"/>
    <w:rsid w:val="7A8CDBD1"/>
    <w:rsid w:val="7A924BC1"/>
    <w:rsid w:val="7A969F5B"/>
    <w:rsid w:val="7AA85D22"/>
    <w:rsid w:val="7ABA2C30"/>
    <w:rsid w:val="7AC5812A"/>
    <w:rsid w:val="7AD0DEA4"/>
    <w:rsid w:val="7ADBE81A"/>
    <w:rsid w:val="7ADF8F15"/>
    <w:rsid w:val="7AEAC360"/>
    <w:rsid w:val="7AEB0F1B"/>
    <w:rsid w:val="7AF4B519"/>
    <w:rsid w:val="7AF6F1EC"/>
    <w:rsid w:val="7B02AD34"/>
    <w:rsid w:val="7B20A0C2"/>
    <w:rsid w:val="7B266923"/>
    <w:rsid w:val="7B2A2A9D"/>
    <w:rsid w:val="7B3937E3"/>
    <w:rsid w:val="7B570F9E"/>
    <w:rsid w:val="7B5B2938"/>
    <w:rsid w:val="7B5C3B74"/>
    <w:rsid w:val="7B62EDF9"/>
    <w:rsid w:val="7B648143"/>
    <w:rsid w:val="7B6CC00E"/>
    <w:rsid w:val="7B7634EB"/>
    <w:rsid w:val="7B889BFF"/>
    <w:rsid w:val="7BAA729F"/>
    <w:rsid w:val="7BB7DA91"/>
    <w:rsid w:val="7BC66178"/>
    <w:rsid w:val="7BCF6C28"/>
    <w:rsid w:val="7BD784C0"/>
    <w:rsid w:val="7BDD9471"/>
    <w:rsid w:val="7BE4A7AC"/>
    <w:rsid w:val="7BF2E89C"/>
    <w:rsid w:val="7C01A937"/>
    <w:rsid w:val="7C0D7519"/>
    <w:rsid w:val="7C163A50"/>
    <w:rsid w:val="7C1873B4"/>
    <w:rsid w:val="7C2D71F4"/>
    <w:rsid w:val="7C32114E"/>
    <w:rsid w:val="7C359725"/>
    <w:rsid w:val="7C6D05C4"/>
    <w:rsid w:val="7C7A9272"/>
    <w:rsid w:val="7C836465"/>
    <w:rsid w:val="7C90AC56"/>
    <w:rsid w:val="7CA6078F"/>
    <w:rsid w:val="7CA69272"/>
    <w:rsid w:val="7CB557AB"/>
    <w:rsid w:val="7CC5467F"/>
    <w:rsid w:val="7CCB3D94"/>
    <w:rsid w:val="7CD9AB3C"/>
    <w:rsid w:val="7CE38F40"/>
    <w:rsid w:val="7CF2632A"/>
    <w:rsid w:val="7D083C3F"/>
    <w:rsid w:val="7D3D9FD4"/>
    <w:rsid w:val="7D49CE54"/>
    <w:rsid w:val="7D5FC4F1"/>
    <w:rsid w:val="7D6BABA3"/>
    <w:rsid w:val="7D756A8D"/>
    <w:rsid w:val="7D847845"/>
    <w:rsid w:val="7D8A8F84"/>
    <w:rsid w:val="7D8BA216"/>
    <w:rsid w:val="7D9D3DBD"/>
    <w:rsid w:val="7DA8B0C1"/>
    <w:rsid w:val="7DCCC4E0"/>
    <w:rsid w:val="7DCF4A10"/>
    <w:rsid w:val="7DEFB37B"/>
    <w:rsid w:val="7DF2F90F"/>
    <w:rsid w:val="7E1860E1"/>
    <w:rsid w:val="7E20C790"/>
    <w:rsid w:val="7E30CFCB"/>
    <w:rsid w:val="7E31D0C5"/>
    <w:rsid w:val="7E3D6323"/>
    <w:rsid w:val="7E4B4485"/>
    <w:rsid w:val="7E688682"/>
    <w:rsid w:val="7E6EA1BB"/>
    <w:rsid w:val="7E71E1B6"/>
    <w:rsid w:val="7E7B33DF"/>
    <w:rsid w:val="7E9D5409"/>
    <w:rsid w:val="7EADB5B7"/>
    <w:rsid w:val="7EB203B0"/>
    <w:rsid w:val="7EBE797C"/>
    <w:rsid w:val="7ECB3A5D"/>
    <w:rsid w:val="7EEB378F"/>
    <w:rsid w:val="7EF3CD56"/>
    <w:rsid w:val="7F02D220"/>
    <w:rsid w:val="7F096849"/>
    <w:rsid w:val="7F105CB1"/>
    <w:rsid w:val="7F2AAB14"/>
    <w:rsid w:val="7F2F48F8"/>
    <w:rsid w:val="7F3309C3"/>
    <w:rsid w:val="7F5C0825"/>
    <w:rsid w:val="7F5F522B"/>
    <w:rsid w:val="7F74ABD3"/>
    <w:rsid w:val="7F771806"/>
    <w:rsid w:val="7F8BD0E0"/>
    <w:rsid w:val="7FA7CB38"/>
    <w:rsid w:val="7FB921FC"/>
    <w:rsid w:val="7FBD2E06"/>
    <w:rsid w:val="7FC53FD6"/>
    <w:rsid w:val="7FCA2241"/>
    <w:rsid w:val="7FCC1B13"/>
    <w:rsid w:val="7FDC2B91"/>
    <w:rsid w:val="7FE77E85"/>
    <w:rsid w:val="7FF751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8262"/>
  <w15:docId w15:val="{3F4CEACD-6CAE-4994-8F7C-0969C4F0E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068"/>
    <w:pPr>
      <w:spacing w:after="120" w:line="240" w:lineRule="auto"/>
    </w:pPr>
    <w:rPr>
      <w:rFonts w:ascii="Segoe UI" w:hAnsi="Segoe UI"/>
      <w:sz w:val="19"/>
    </w:rPr>
  </w:style>
  <w:style w:type="paragraph" w:styleId="Heading1">
    <w:name w:val="heading 1"/>
    <w:basedOn w:val="Normal"/>
    <w:next w:val="Normal"/>
    <w:link w:val="Heading1Char"/>
    <w:uiPriority w:val="1"/>
    <w:qFormat/>
    <w:rsid w:val="00301B7E"/>
    <w:pPr>
      <w:keepNext/>
      <w:numPr>
        <w:numId w:val="23"/>
      </w:numPr>
      <w:spacing w:after="360"/>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
    <w:qFormat/>
    <w:rsid w:val="00301B7E"/>
    <w:pPr>
      <w:keepNext/>
      <w:numPr>
        <w:ilvl w:val="1"/>
        <w:numId w:val="23"/>
      </w:numPr>
      <w:spacing w:before="360" w:after="180"/>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Normal"/>
    <w:next w:val="Normal"/>
    <w:link w:val="Heading3Char"/>
    <w:uiPriority w:val="1"/>
    <w:qFormat/>
    <w:rsid w:val="00301B7E"/>
    <w:pPr>
      <w:keepNext/>
      <w:numPr>
        <w:ilvl w:val="2"/>
        <w:numId w:val="23"/>
      </w:numPr>
      <w:spacing w:before="360"/>
      <w:outlineLvl w:val="2"/>
    </w:pPr>
    <w:rPr>
      <w:rFonts w:ascii="Segoe UI Semibold" w:eastAsia="Times New Roman" w:hAnsi="Segoe UI Semibold" w:cs="Times New Roman"/>
      <w:color w:val="00264D"/>
      <w:sz w:val="26"/>
      <w:szCs w:val="19"/>
      <w:lang w:val="en-AU" w:eastAsia="en-AU"/>
    </w:rPr>
  </w:style>
  <w:style w:type="paragraph" w:styleId="Heading4">
    <w:name w:val="heading 4"/>
    <w:aliases w:val="GT"/>
    <w:basedOn w:val="Normal"/>
    <w:next w:val="Normal"/>
    <w:link w:val="Heading4Char"/>
    <w:uiPriority w:val="19"/>
    <w:qFormat/>
    <w:rsid w:val="00CD08D3"/>
    <w:pPr>
      <w:keepNext/>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
    <w:qFormat/>
    <w:rsid w:val="00857803"/>
    <w:pPr>
      <w:keepNext/>
      <w:numPr>
        <w:ilvl w:val="4"/>
        <w:numId w:val="23"/>
      </w:numPr>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qFormat/>
    <w:rsid w:val="00BA3DB6"/>
    <w:pPr>
      <w:keepNext/>
      <w:keepLines/>
      <w:numPr>
        <w:ilvl w:val="5"/>
        <w:numId w:val="23"/>
      </w:numPr>
      <w:spacing w:before="200" w:after="60"/>
      <w:ind w:hanging="3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301B7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301B7E"/>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301B7E"/>
    <w:rPr>
      <w:rFonts w:ascii="Segoe UI Semibold" w:eastAsia="Times New Roman" w:hAnsi="Segoe UI Semibold" w:cs="Times New Roman"/>
      <w:color w:val="00264D"/>
      <w:sz w:val="26"/>
      <w:szCs w:val="19"/>
      <w:lang w:val="en-AU" w:eastAsia="en-AU"/>
    </w:rPr>
  </w:style>
  <w:style w:type="character" w:customStyle="1" w:styleId="Heading4Char">
    <w:name w:val="Heading 4 Char"/>
    <w:aliases w:val="GT Char"/>
    <w:basedOn w:val="DefaultParagraphFont"/>
    <w:link w:val="Heading4"/>
    <w:uiPriority w:val="19"/>
    <w:rsid w:val="00CD08D3"/>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E20B2B"/>
    <w:pPr>
      <w:numPr>
        <w:numId w:val="3"/>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294C7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Nirmala UI Semilight" w:hAnsi="Nirmala UI Semiligh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Nirmala UI Semilight" w:hAnsi="Nirmala UI Semilight"/>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link w:val="CaptionChar"/>
    <w:uiPriority w:val="35"/>
    <w:qFormat/>
    <w:rsid w:val="00865A27"/>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2"/>
    <w:qFormat/>
    <w:rsid w:val="0073030E"/>
    <w:pPr>
      <w:numPr>
        <w:numId w:val="5"/>
      </w:numPr>
      <w:spacing w:before="40" w:after="40"/>
    </w:pPr>
    <w:rPr>
      <w:sz w:val="17"/>
    </w:rPr>
  </w:style>
  <w:style w:type="paragraph" w:customStyle="1" w:styleId="TableNListnumbered">
    <w:name w:val="Table N List (numbered)"/>
    <w:basedOn w:val="TableNBullet"/>
    <w:uiPriority w:val="2"/>
    <w:qFormat/>
    <w:rsid w:val="00865A27"/>
    <w:pPr>
      <w:numPr>
        <w:numId w:val="6"/>
      </w:numPr>
    </w:pPr>
  </w:style>
  <w:style w:type="paragraph" w:customStyle="1" w:styleId="xAppendixLevel1">
    <w:name w:val="xAppendix Level 1"/>
    <w:basedOn w:val="Heading1"/>
    <w:next w:val="Normal"/>
    <w:uiPriority w:val="98"/>
    <w:qFormat/>
    <w:rsid w:val="0011201A"/>
    <w:pPr>
      <w:pageBreakBefore/>
      <w:numPr>
        <w:numId w:val="1"/>
      </w:numPr>
      <w:ind w:left="2268"/>
    </w:pPr>
    <w:rPr>
      <w:rFonts w:cs="Segoe UI"/>
      <w:bCs/>
      <w:color w:val="00264D" w:themeColor="background2"/>
      <w:szCs w:val="36"/>
    </w:rPr>
  </w:style>
  <w:style w:type="paragraph" w:customStyle="1" w:styleId="xAppendixLevel2">
    <w:name w:val="xAppendix Level 2"/>
    <w:basedOn w:val="Heading2"/>
    <w:next w:val="Normal"/>
    <w:uiPriority w:val="98"/>
    <w:qFormat/>
    <w:rsid w:val="0011201A"/>
    <w:pPr>
      <w:numPr>
        <w:numId w:val="2"/>
      </w:numPr>
      <w:ind w:left="709" w:hanging="709"/>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294C7F"/>
    <w:pPr>
      <w:numPr>
        <w:numId w:val="4"/>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9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Nirmala UI Semilight" w:hAnsi="Nirmala UI Semiligh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Nirmala UI Semilight" w:hAnsi="Nirmala UI Semiligh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table" w:customStyle="1" w:styleId="NOUSSideHeader1">
    <w:name w:val="NOUS Side Header1"/>
    <w:basedOn w:val="TableNormal"/>
    <w:next w:val="TableGrid"/>
    <w:uiPriority w:val="39"/>
    <w:rsid w:val="00632C4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S Gothic" w:hAnsi="@MS Gothic"/>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Gothic" w:hAnsi="@MS Gothic"/>
        <w:sz w:val="17"/>
      </w:rPr>
    </w:tblStylePr>
    <w:tblStylePr w:type="band2Horz">
      <w:rPr>
        <w:rFonts w:ascii="@MS Gothic" w:hAnsi="@MS Gothic"/>
        <w:sz w:val="17"/>
      </w:rPr>
    </w:tblStylePr>
  </w:style>
  <w:style w:type="character" w:customStyle="1" w:styleId="TableNTextChar">
    <w:name w:val="Table N Text Char"/>
    <w:basedOn w:val="DefaultParagraphFont"/>
    <w:link w:val="TableNText"/>
    <w:uiPriority w:val="2"/>
    <w:rsid w:val="00632C4A"/>
    <w:rPr>
      <w:rFonts w:ascii="Segoe UI" w:eastAsia="Times New Roman" w:hAnsi="Segoe UI" w:cs="Times New Roman"/>
      <w:sz w:val="17"/>
      <w:szCs w:val="24"/>
      <w:lang w:val="en-AU" w:eastAsia="en-AU"/>
    </w:rPr>
  </w:style>
  <w:style w:type="character" w:customStyle="1" w:styleId="CaptionChar">
    <w:name w:val="Caption Char"/>
    <w:link w:val="Caption"/>
    <w:uiPriority w:val="35"/>
    <w:rsid w:val="00347925"/>
    <w:rPr>
      <w:rFonts w:ascii="Segoe UI Semibold" w:hAnsi="Segoe UI Semibold"/>
      <w:bCs/>
      <w:color w:val="00264D" w:themeColor="background2"/>
      <w:sz w:val="19"/>
      <w:szCs w:val="18"/>
      <w:lang w:val="en-AU"/>
    </w:rPr>
  </w:style>
  <w:style w:type="character" w:customStyle="1" w:styleId="normaltextrun">
    <w:name w:val="normaltextrun"/>
    <w:basedOn w:val="DefaultParagraphFont"/>
    <w:rsid w:val="0095468D"/>
  </w:style>
  <w:style w:type="character" w:customStyle="1" w:styleId="eop">
    <w:name w:val="eop"/>
    <w:basedOn w:val="DefaultParagraphFont"/>
    <w:rsid w:val="0095468D"/>
  </w:style>
  <w:style w:type="paragraph" w:styleId="ListParagraph">
    <w:name w:val="List Paragraph"/>
    <w:basedOn w:val="Normal"/>
    <w:uiPriority w:val="34"/>
    <w:qFormat/>
    <w:rsid w:val="00385DE5"/>
    <w:pPr>
      <w:ind w:left="720"/>
      <w:contextualSpacing/>
    </w:pPr>
  </w:style>
  <w:style w:type="character" w:styleId="CommentReference">
    <w:name w:val="annotation reference"/>
    <w:basedOn w:val="DefaultParagraphFont"/>
    <w:uiPriority w:val="99"/>
    <w:semiHidden/>
    <w:unhideWhenUsed/>
    <w:rsid w:val="00DE7510"/>
    <w:rPr>
      <w:sz w:val="16"/>
      <w:szCs w:val="16"/>
    </w:rPr>
  </w:style>
  <w:style w:type="paragraph" w:styleId="CommentText">
    <w:name w:val="annotation text"/>
    <w:basedOn w:val="Normal"/>
    <w:link w:val="CommentTextChar"/>
    <w:uiPriority w:val="99"/>
    <w:unhideWhenUsed/>
    <w:rsid w:val="00DE7510"/>
    <w:rPr>
      <w:sz w:val="20"/>
      <w:szCs w:val="20"/>
    </w:rPr>
  </w:style>
  <w:style w:type="character" w:customStyle="1" w:styleId="CommentTextChar">
    <w:name w:val="Comment Text Char"/>
    <w:basedOn w:val="DefaultParagraphFont"/>
    <w:link w:val="CommentText"/>
    <w:uiPriority w:val="99"/>
    <w:rsid w:val="00DE751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DE7510"/>
    <w:rPr>
      <w:b/>
      <w:bCs/>
    </w:rPr>
  </w:style>
  <w:style w:type="character" w:customStyle="1" w:styleId="CommentSubjectChar">
    <w:name w:val="Comment Subject Char"/>
    <w:basedOn w:val="CommentTextChar"/>
    <w:link w:val="CommentSubject"/>
    <w:uiPriority w:val="99"/>
    <w:semiHidden/>
    <w:rsid w:val="00DE7510"/>
    <w:rPr>
      <w:rFonts w:ascii="Segoe UI" w:hAnsi="Segoe UI"/>
      <w:b/>
      <w:bCs/>
      <w:sz w:val="20"/>
      <w:szCs w:val="20"/>
    </w:rPr>
  </w:style>
  <w:style w:type="character" w:styleId="Mention">
    <w:name w:val="Mention"/>
    <w:basedOn w:val="DefaultParagraphFont"/>
    <w:uiPriority w:val="99"/>
    <w:unhideWhenUsed/>
    <w:rsid w:val="00DE7510"/>
    <w:rPr>
      <w:color w:val="2B579A"/>
      <w:shd w:val="clear" w:color="auto" w:fill="E1DFDD"/>
    </w:rPr>
  </w:style>
  <w:style w:type="paragraph" w:styleId="TOC3">
    <w:name w:val="toc 3"/>
    <w:basedOn w:val="Normal"/>
    <w:next w:val="Normal"/>
    <w:autoRedefine/>
    <w:uiPriority w:val="39"/>
    <w:unhideWhenUsed/>
    <w:rsid w:val="00E577FD"/>
    <w:pPr>
      <w:tabs>
        <w:tab w:val="left" w:pos="1200"/>
        <w:tab w:val="right" w:leader="dot" w:pos="9061"/>
      </w:tabs>
      <w:spacing w:after="100"/>
      <w:ind w:left="380"/>
    </w:pPr>
    <w:rPr>
      <w:rFonts w:asciiTheme="minorHAnsi" w:hAnsiTheme="minorHAnsi" w:cstheme="minorHAnsi"/>
      <w:noProof/>
    </w:rPr>
  </w:style>
  <w:style w:type="paragraph" w:styleId="FootnoteText">
    <w:name w:val="footnote text"/>
    <w:aliases w:val="Footnote Text N"/>
    <w:basedOn w:val="Normal"/>
    <w:link w:val="FootnoteTextChar"/>
    <w:autoRedefine/>
    <w:uiPriority w:val="99"/>
    <w:unhideWhenUsed/>
    <w:qFormat/>
    <w:rsid w:val="00F04FF5"/>
    <w:pPr>
      <w:spacing w:after="0"/>
    </w:pPr>
    <w:rPr>
      <w:rFonts w:asciiTheme="minorHAnsi" w:eastAsia="Times New Roman" w:hAnsiTheme="minorHAnsi" w:cs="Times New Roman"/>
      <w:sz w:val="14"/>
      <w:szCs w:val="20"/>
      <w:lang w:val="en-AU"/>
    </w:rPr>
  </w:style>
  <w:style w:type="character" w:customStyle="1" w:styleId="FootnoteTextChar">
    <w:name w:val="Footnote Text Char"/>
    <w:aliases w:val="Footnote Text N Char"/>
    <w:basedOn w:val="DefaultParagraphFont"/>
    <w:link w:val="FootnoteText"/>
    <w:uiPriority w:val="99"/>
    <w:rsid w:val="00F04FF5"/>
    <w:rPr>
      <w:rFonts w:eastAsia="Times New Roman" w:cs="Times New Roman"/>
      <w:sz w:val="14"/>
      <w:szCs w:val="20"/>
      <w:lang w:val="en-AU"/>
    </w:rPr>
  </w:style>
  <w:style w:type="character" w:styleId="FootnoteReference">
    <w:name w:val="footnote reference"/>
    <w:basedOn w:val="DefaultParagraphFont"/>
    <w:uiPriority w:val="99"/>
    <w:unhideWhenUsed/>
    <w:rsid w:val="00683B82"/>
    <w:rPr>
      <w:rFonts w:cstheme="minorHAnsi"/>
      <w:szCs w:val="14"/>
      <w:vertAlign w:val="superscript"/>
    </w:rPr>
  </w:style>
  <w:style w:type="character" w:styleId="UnresolvedMention">
    <w:name w:val="Unresolved Mention"/>
    <w:basedOn w:val="DefaultParagraphFont"/>
    <w:uiPriority w:val="99"/>
    <w:semiHidden/>
    <w:unhideWhenUsed/>
    <w:rsid w:val="00A2580B"/>
    <w:rPr>
      <w:color w:val="605E5C"/>
      <w:shd w:val="clear" w:color="auto" w:fill="E1DFDD"/>
    </w:rPr>
  </w:style>
  <w:style w:type="character" w:customStyle="1" w:styleId="superscript">
    <w:name w:val="superscript"/>
    <w:basedOn w:val="DefaultParagraphFont"/>
    <w:rsid w:val="00CD0B46"/>
  </w:style>
  <w:style w:type="paragraph" w:styleId="NormalWeb">
    <w:name w:val="Normal (Web)"/>
    <w:basedOn w:val="Normal"/>
    <w:uiPriority w:val="99"/>
    <w:semiHidden/>
    <w:unhideWhenUsed/>
    <w:rsid w:val="005A20CA"/>
    <w:pPr>
      <w:spacing w:before="100" w:beforeAutospacing="1" w:after="100" w:afterAutospacing="1"/>
    </w:pPr>
    <w:rPr>
      <w:rFonts w:ascii="Times New Roman" w:eastAsia="Times New Roman" w:hAnsi="Times New Roman" w:cs="Times New Roman"/>
      <w:sz w:val="24"/>
      <w:szCs w:val="24"/>
      <w:lang w:val="en-AU" w:eastAsia="en-AU"/>
    </w:rPr>
  </w:style>
  <w:style w:type="paragraph" w:styleId="EndnoteText">
    <w:name w:val="endnote text"/>
    <w:basedOn w:val="Normal"/>
    <w:link w:val="EndnoteTextChar"/>
    <w:uiPriority w:val="99"/>
    <w:semiHidden/>
    <w:unhideWhenUsed/>
    <w:rsid w:val="00AB21C6"/>
    <w:pPr>
      <w:spacing w:after="0"/>
    </w:pPr>
    <w:rPr>
      <w:sz w:val="20"/>
      <w:szCs w:val="20"/>
    </w:rPr>
  </w:style>
  <w:style w:type="character" w:customStyle="1" w:styleId="EndnoteTextChar">
    <w:name w:val="Endnote Text Char"/>
    <w:basedOn w:val="DefaultParagraphFont"/>
    <w:link w:val="EndnoteText"/>
    <w:uiPriority w:val="99"/>
    <w:semiHidden/>
    <w:rsid w:val="00AB21C6"/>
    <w:rPr>
      <w:rFonts w:ascii="Segoe UI" w:hAnsi="Segoe UI"/>
      <w:sz w:val="20"/>
      <w:szCs w:val="20"/>
    </w:rPr>
  </w:style>
  <w:style w:type="character" w:styleId="EndnoteReference">
    <w:name w:val="endnote reference"/>
    <w:basedOn w:val="DefaultParagraphFont"/>
    <w:uiPriority w:val="99"/>
    <w:semiHidden/>
    <w:unhideWhenUsed/>
    <w:rsid w:val="00AB21C6"/>
    <w:rPr>
      <w:vertAlign w:val="superscript"/>
    </w:rPr>
  </w:style>
  <w:style w:type="paragraph" w:customStyle="1" w:styleId="TableNbiophoto">
    <w:name w:val="Table N bio photo"/>
    <w:basedOn w:val="Normal"/>
    <w:qFormat/>
    <w:rsid w:val="00872864"/>
    <w:pPr>
      <w:spacing w:before="60" w:after="0" w:line="256" w:lineRule="auto"/>
    </w:pPr>
    <w:rPr>
      <w:sz w:val="17"/>
      <w:lang w:val="en-AU"/>
    </w:rPr>
  </w:style>
  <w:style w:type="paragraph" w:styleId="Revision">
    <w:name w:val="Revision"/>
    <w:hidden/>
    <w:uiPriority w:val="99"/>
    <w:semiHidden/>
    <w:rsid w:val="000F0535"/>
    <w:pPr>
      <w:spacing w:after="0" w:line="240" w:lineRule="auto"/>
    </w:pPr>
    <w:rPr>
      <w:rFonts w:ascii="Segoe UI" w:hAnsi="Segoe UI"/>
      <w:sz w:val="19"/>
    </w:rPr>
  </w:style>
  <w:style w:type="table" w:customStyle="1" w:styleId="NOUSSideHeader2">
    <w:name w:val="NOUS Side Header2"/>
    <w:basedOn w:val="TableNormal"/>
    <w:next w:val="TableGrid"/>
    <w:uiPriority w:val="39"/>
    <w:rsid w:val="002A67B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Black" w:hAnsi="Segoe UI Black"/>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irmala UI Semilight" w:hAnsi="Nirmala UI Semilight"/>
        <w:sz w:val="17"/>
      </w:rPr>
    </w:tblStylePr>
    <w:tblStylePr w:type="band2Horz">
      <w:rPr>
        <w:rFonts w:ascii="Nirmala UI Semilight" w:hAnsi="Nirmala UI Semilight"/>
        <w:sz w:val="17"/>
      </w:rPr>
    </w:tblStylePr>
  </w:style>
  <w:style w:type="table" w:customStyle="1" w:styleId="NousTableSide">
    <w:name w:val="Nous Table_Side"/>
    <w:basedOn w:val="TableNormal"/>
    <w:uiPriority w:val="99"/>
    <w:rsid w:val="00B7128A"/>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Black" w:hAnsi="Segoe UI Black"/>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SideHeader3">
    <w:name w:val="NOUS Side Header3"/>
    <w:basedOn w:val="TableNormal"/>
    <w:next w:val="TableGrid"/>
    <w:uiPriority w:val="99"/>
    <w:rsid w:val="00BF1ED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Black" w:hAnsi="Segoe UI Black"/>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irmala UI Semilight" w:hAnsi="Nirmala UI Semilight"/>
        <w:sz w:val="17"/>
      </w:rPr>
    </w:tblStylePr>
    <w:tblStylePr w:type="band2Horz">
      <w:rPr>
        <w:rFonts w:ascii="Nirmala UI Semilight" w:hAnsi="Nirmala UI Semilight"/>
        <w:sz w:val="17"/>
      </w:rPr>
    </w:tblStylePr>
  </w:style>
  <w:style w:type="paragraph" w:customStyle="1" w:styleId="longformcalloutbullet">
    <w:name w:val="long form call out bullet"/>
    <w:basedOn w:val="Normal"/>
    <w:uiPriority w:val="20"/>
    <w:qFormat/>
    <w:rsid w:val="00EA38E7"/>
    <w:pPr>
      <w:numPr>
        <w:numId w:val="7"/>
      </w:numPr>
      <w:spacing w:before="60" w:after="60"/>
      <w:ind w:left="340" w:hanging="340"/>
    </w:pPr>
    <w:rPr>
      <w:color w:val="00264D" w:themeColor="background2"/>
      <w:szCs w:val="19"/>
      <w:lang w:val="en-AU" w:eastAsia="en-AU"/>
    </w:rPr>
  </w:style>
  <w:style w:type="table" w:customStyle="1" w:styleId="Table2">
    <w:name w:val="Table2"/>
    <w:basedOn w:val="TableNormal"/>
    <w:next w:val="TableGrid"/>
    <w:uiPriority w:val="39"/>
    <w:rsid w:val="00EA3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D84CD7"/>
    <w:rPr>
      <w:rFonts w:ascii="Segoe UI" w:hAnsi="Segoe UI" w:cs="Segoe UI" w:hint="default"/>
      <w:sz w:val="18"/>
      <w:szCs w:val="18"/>
    </w:rPr>
  </w:style>
  <w:style w:type="paragraph" w:customStyle="1" w:styleId="paragraph">
    <w:name w:val="paragraph"/>
    <w:basedOn w:val="Normal"/>
    <w:rsid w:val="008E41FC"/>
    <w:pPr>
      <w:spacing w:before="100" w:beforeAutospacing="1" w:after="100" w:afterAutospacing="1"/>
    </w:pPr>
    <w:rPr>
      <w:rFonts w:ascii="Times New Roman" w:eastAsia="Times New Roman" w:hAnsi="Times New Roman" w:cs="Times New Roman"/>
      <w:sz w:val="24"/>
      <w:szCs w:val="24"/>
      <w:lang w:val="en-AU" w:eastAsia="en-AU"/>
    </w:rPr>
  </w:style>
  <w:style w:type="table" w:customStyle="1" w:styleId="NOUSSideHeader4">
    <w:name w:val="NOUS Side Header4"/>
    <w:basedOn w:val="TableNormal"/>
    <w:next w:val="TableGrid"/>
    <w:uiPriority w:val="39"/>
    <w:rsid w:val="00F10F0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Black" w:hAnsi="Segoe UI Black"/>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irmala UI Semilight" w:hAnsi="Nirmala UI Semilight"/>
        <w:sz w:val="17"/>
      </w:rPr>
    </w:tblStylePr>
    <w:tblStylePr w:type="band2Horz">
      <w:rPr>
        <w:rFonts w:ascii="Nirmala UI Semilight" w:hAnsi="Nirmala UI Semilight"/>
        <w:sz w:val="17"/>
      </w:rPr>
    </w:tblStylePr>
  </w:style>
  <w:style w:type="paragraph" w:customStyle="1" w:styleId="TableExpbullet">
    <w:name w:val="Table Exp bullet"/>
    <w:basedOn w:val="Normal"/>
    <w:uiPriority w:val="3"/>
    <w:qFormat/>
    <w:rsid w:val="00C557D1"/>
    <w:pPr>
      <w:numPr>
        <w:numId w:val="12"/>
      </w:numPr>
      <w:spacing w:before="60" w:after="60"/>
      <w:ind w:left="227" w:hanging="227"/>
    </w:pPr>
    <w:rPr>
      <w:sz w:val="16"/>
    </w:rPr>
  </w:style>
  <w:style w:type="character" w:styleId="FollowedHyperlink">
    <w:name w:val="FollowedHyperlink"/>
    <w:basedOn w:val="DefaultParagraphFont"/>
    <w:uiPriority w:val="99"/>
    <w:semiHidden/>
    <w:unhideWhenUsed/>
    <w:rsid w:val="00630A90"/>
    <w:rPr>
      <w:color w:val="0048C7" w:themeColor="followedHyperlink"/>
      <w:u w:val="single"/>
    </w:rPr>
  </w:style>
  <w:style w:type="table" w:customStyle="1" w:styleId="NousLongformcallout">
    <w:name w:val="Nous_Long form call out"/>
    <w:basedOn w:val="TableNormal"/>
    <w:uiPriority w:val="99"/>
    <w:rsid w:val="001A4D0C"/>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customStyle="1" w:styleId="ui-provider">
    <w:name w:val="ui-provider"/>
    <w:basedOn w:val="DefaultParagraphFont"/>
    <w:rsid w:val="00334048"/>
  </w:style>
  <w:style w:type="character" w:styleId="Strong">
    <w:name w:val="Strong"/>
    <w:basedOn w:val="DefaultParagraphFont"/>
    <w:uiPriority w:val="22"/>
    <w:rsid w:val="000E4068"/>
    <w:rPr>
      <w:b/>
      <w:bCs/>
      <w:color w:val="00264D"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3792">
      <w:bodyDiv w:val="1"/>
      <w:marLeft w:val="0"/>
      <w:marRight w:val="0"/>
      <w:marTop w:val="0"/>
      <w:marBottom w:val="0"/>
      <w:divBdr>
        <w:top w:val="none" w:sz="0" w:space="0" w:color="auto"/>
        <w:left w:val="none" w:sz="0" w:space="0" w:color="auto"/>
        <w:bottom w:val="none" w:sz="0" w:space="0" w:color="auto"/>
        <w:right w:val="none" w:sz="0" w:space="0" w:color="auto"/>
      </w:divBdr>
    </w:div>
    <w:div w:id="6182077">
      <w:bodyDiv w:val="1"/>
      <w:marLeft w:val="0"/>
      <w:marRight w:val="0"/>
      <w:marTop w:val="0"/>
      <w:marBottom w:val="0"/>
      <w:divBdr>
        <w:top w:val="none" w:sz="0" w:space="0" w:color="auto"/>
        <w:left w:val="none" w:sz="0" w:space="0" w:color="auto"/>
        <w:bottom w:val="none" w:sz="0" w:space="0" w:color="auto"/>
        <w:right w:val="none" w:sz="0" w:space="0" w:color="auto"/>
      </w:divBdr>
    </w:div>
    <w:div w:id="193470742">
      <w:bodyDiv w:val="1"/>
      <w:marLeft w:val="0"/>
      <w:marRight w:val="0"/>
      <w:marTop w:val="0"/>
      <w:marBottom w:val="0"/>
      <w:divBdr>
        <w:top w:val="none" w:sz="0" w:space="0" w:color="auto"/>
        <w:left w:val="none" w:sz="0" w:space="0" w:color="auto"/>
        <w:bottom w:val="none" w:sz="0" w:space="0" w:color="auto"/>
        <w:right w:val="none" w:sz="0" w:space="0" w:color="auto"/>
      </w:divBdr>
      <w:divsChild>
        <w:div w:id="548297086">
          <w:marLeft w:val="0"/>
          <w:marRight w:val="0"/>
          <w:marTop w:val="0"/>
          <w:marBottom w:val="0"/>
          <w:divBdr>
            <w:top w:val="none" w:sz="0" w:space="0" w:color="auto"/>
            <w:left w:val="none" w:sz="0" w:space="0" w:color="auto"/>
            <w:bottom w:val="none" w:sz="0" w:space="0" w:color="auto"/>
            <w:right w:val="none" w:sz="0" w:space="0" w:color="auto"/>
          </w:divBdr>
          <w:divsChild>
            <w:div w:id="37121681">
              <w:marLeft w:val="0"/>
              <w:marRight w:val="0"/>
              <w:marTop w:val="0"/>
              <w:marBottom w:val="0"/>
              <w:divBdr>
                <w:top w:val="none" w:sz="0" w:space="0" w:color="auto"/>
                <w:left w:val="none" w:sz="0" w:space="0" w:color="auto"/>
                <w:bottom w:val="none" w:sz="0" w:space="0" w:color="auto"/>
                <w:right w:val="none" w:sz="0" w:space="0" w:color="auto"/>
              </w:divBdr>
            </w:div>
            <w:div w:id="1685522200">
              <w:marLeft w:val="0"/>
              <w:marRight w:val="0"/>
              <w:marTop w:val="0"/>
              <w:marBottom w:val="0"/>
              <w:divBdr>
                <w:top w:val="none" w:sz="0" w:space="0" w:color="auto"/>
                <w:left w:val="none" w:sz="0" w:space="0" w:color="auto"/>
                <w:bottom w:val="none" w:sz="0" w:space="0" w:color="auto"/>
                <w:right w:val="none" w:sz="0" w:space="0" w:color="auto"/>
              </w:divBdr>
            </w:div>
            <w:div w:id="1838689505">
              <w:marLeft w:val="0"/>
              <w:marRight w:val="0"/>
              <w:marTop w:val="0"/>
              <w:marBottom w:val="0"/>
              <w:divBdr>
                <w:top w:val="none" w:sz="0" w:space="0" w:color="auto"/>
                <w:left w:val="none" w:sz="0" w:space="0" w:color="auto"/>
                <w:bottom w:val="none" w:sz="0" w:space="0" w:color="auto"/>
                <w:right w:val="none" w:sz="0" w:space="0" w:color="auto"/>
              </w:divBdr>
            </w:div>
          </w:divsChild>
        </w:div>
        <w:div w:id="1221479119">
          <w:marLeft w:val="0"/>
          <w:marRight w:val="0"/>
          <w:marTop w:val="0"/>
          <w:marBottom w:val="0"/>
          <w:divBdr>
            <w:top w:val="none" w:sz="0" w:space="0" w:color="auto"/>
            <w:left w:val="none" w:sz="0" w:space="0" w:color="auto"/>
            <w:bottom w:val="none" w:sz="0" w:space="0" w:color="auto"/>
            <w:right w:val="none" w:sz="0" w:space="0" w:color="auto"/>
          </w:divBdr>
          <w:divsChild>
            <w:div w:id="473110246">
              <w:marLeft w:val="0"/>
              <w:marRight w:val="0"/>
              <w:marTop w:val="0"/>
              <w:marBottom w:val="0"/>
              <w:divBdr>
                <w:top w:val="none" w:sz="0" w:space="0" w:color="auto"/>
                <w:left w:val="none" w:sz="0" w:space="0" w:color="auto"/>
                <w:bottom w:val="none" w:sz="0" w:space="0" w:color="auto"/>
                <w:right w:val="none" w:sz="0" w:space="0" w:color="auto"/>
              </w:divBdr>
            </w:div>
            <w:div w:id="767502250">
              <w:marLeft w:val="0"/>
              <w:marRight w:val="0"/>
              <w:marTop w:val="0"/>
              <w:marBottom w:val="0"/>
              <w:divBdr>
                <w:top w:val="none" w:sz="0" w:space="0" w:color="auto"/>
                <w:left w:val="none" w:sz="0" w:space="0" w:color="auto"/>
                <w:bottom w:val="none" w:sz="0" w:space="0" w:color="auto"/>
                <w:right w:val="none" w:sz="0" w:space="0" w:color="auto"/>
              </w:divBdr>
            </w:div>
            <w:div w:id="1004554543">
              <w:marLeft w:val="0"/>
              <w:marRight w:val="0"/>
              <w:marTop w:val="0"/>
              <w:marBottom w:val="0"/>
              <w:divBdr>
                <w:top w:val="none" w:sz="0" w:space="0" w:color="auto"/>
                <w:left w:val="none" w:sz="0" w:space="0" w:color="auto"/>
                <w:bottom w:val="none" w:sz="0" w:space="0" w:color="auto"/>
                <w:right w:val="none" w:sz="0" w:space="0" w:color="auto"/>
              </w:divBdr>
            </w:div>
            <w:div w:id="11362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0122">
      <w:bodyDiv w:val="1"/>
      <w:marLeft w:val="0"/>
      <w:marRight w:val="0"/>
      <w:marTop w:val="0"/>
      <w:marBottom w:val="0"/>
      <w:divBdr>
        <w:top w:val="none" w:sz="0" w:space="0" w:color="auto"/>
        <w:left w:val="none" w:sz="0" w:space="0" w:color="auto"/>
        <w:bottom w:val="none" w:sz="0" w:space="0" w:color="auto"/>
        <w:right w:val="none" w:sz="0" w:space="0" w:color="auto"/>
      </w:divBdr>
    </w:div>
    <w:div w:id="287665151">
      <w:bodyDiv w:val="1"/>
      <w:marLeft w:val="0"/>
      <w:marRight w:val="0"/>
      <w:marTop w:val="0"/>
      <w:marBottom w:val="0"/>
      <w:divBdr>
        <w:top w:val="none" w:sz="0" w:space="0" w:color="auto"/>
        <w:left w:val="none" w:sz="0" w:space="0" w:color="auto"/>
        <w:bottom w:val="none" w:sz="0" w:space="0" w:color="auto"/>
        <w:right w:val="none" w:sz="0" w:space="0" w:color="auto"/>
      </w:divBdr>
    </w:div>
    <w:div w:id="456917399">
      <w:bodyDiv w:val="1"/>
      <w:marLeft w:val="0"/>
      <w:marRight w:val="0"/>
      <w:marTop w:val="0"/>
      <w:marBottom w:val="0"/>
      <w:divBdr>
        <w:top w:val="none" w:sz="0" w:space="0" w:color="auto"/>
        <w:left w:val="none" w:sz="0" w:space="0" w:color="auto"/>
        <w:bottom w:val="none" w:sz="0" w:space="0" w:color="auto"/>
        <w:right w:val="none" w:sz="0" w:space="0" w:color="auto"/>
      </w:divBdr>
      <w:divsChild>
        <w:div w:id="261691448">
          <w:marLeft w:val="0"/>
          <w:marRight w:val="0"/>
          <w:marTop w:val="0"/>
          <w:marBottom w:val="0"/>
          <w:divBdr>
            <w:top w:val="none" w:sz="0" w:space="0" w:color="auto"/>
            <w:left w:val="none" w:sz="0" w:space="0" w:color="auto"/>
            <w:bottom w:val="none" w:sz="0" w:space="0" w:color="auto"/>
            <w:right w:val="none" w:sz="0" w:space="0" w:color="auto"/>
          </w:divBdr>
        </w:div>
      </w:divsChild>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90028754">
      <w:bodyDiv w:val="1"/>
      <w:marLeft w:val="0"/>
      <w:marRight w:val="0"/>
      <w:marTop w:val="0"/>
      <w:marBottom w:val="0"/>
      <w:divBdr>
        <w:top w:val="none" w:sz="0" w:space="0" w:color="auto"/>
        <w:left w:val="none" w:sz="0" w:space="0" w:color="auto"/>
        <w:bottom w:val="none" w:sz="0" w:space="0" w:color="auto"/>
        <w:right w:val="none" w:sz="0" w:space="0" w:color="auto"/>
      </w:divBdr>
    </w:div>
    <w:div w:id="569853380">
      <w:bodyDiv w:val="1"/>
      <w:marLeft w:val="0"/>
      <w:marRight w:val="0"/>
      <w:marTop w:val="0"/>
      <w:marBottom w:val="0"/>
      <w:divBdr>
        <w:top w:val="none" w:sz="0" w:space="0" w:color="auto"/>
        <w:left w:val="none" w:sz="0" w:space="0" w:color="auto"/>
        <w:bottom w:val="none" w:sz="0" w:space="0" w:color="auto"/>
        <w:right w:val="none" w:sz="0" w:space="0" w:color="auto"/>
      </w:divBdr>
    </w:div>
    <w:div w:id="579216080">
      <w:bodyDiv w:val="1"/>
      <w:marLeft w:val="0"/>
      <w:marRight w:val="0"/>
      <w:marTop w:val="0"/>
      <w:marBottom w:val="0"/>
      <w:divBdr>
        <w:top w:val="none" w:sz="0" w:space="0" w:color="auto"/>
        <w:left w:val="none" w:sz="0" w:space="0" w:color="auto"/>
        <w:bottom w:val="none" w:sz="0" w:space="0" w:color="auto"/>
        <w:right w:val="none" w:sz="0" w:space="0" w:color="auto"/>
      </w:divBdr>
    </w:div>
    <w:div w:id="594676926">
      <w:bodyDiv w:val="1"/>
      <w:marLeft w:val="0"/>
      <w:marRight w:val="0"/>
      <w:marTop w:val="0"/>
      <w:marBottom w:val="0"/>
      <w:divBdr>
        <w:top w:val="none" w:sz="0" w:space="0" w:color="auto"/>
        <w:left w:val="none" w:sz="0" w:space="0" w:color="auto"/>
        <w:bottom w:val="none" w:sz="0" w:space="0" w:color="auto"/>
        <w:right w:val="none" w:sz="0" w:space="0" w:color="auto"/>
      </w:divBdr>
    </w:div>
    <w:div w:id="694578907">
      <w:bodyDiv w:val="1"/>
      <w:marLeft w:val="0"/>
      <w:marRight w:val="0"/>
      <w:marTop w:val="0"/>
      <w:marBottom w:val="0"/>
      <w:divBdr>
        <w:top w:val="none" w:sz="0" w:space="0" w:color="auto"/>
        <w:left w:val="none" w:sz="0" w:space="0" w:color="auto"/>
        <w:bottom w:val="none" w:sz="0" w:space="0" w:color="auto"/>
        <w:right w:val="none" w:sz="0" w:space="0" w:color="auto"/>
      </w:divBdr>
    </w:div>
    <w:div w:id="798109076">
      <w:bodyDiv w:val="1"/>
      <w:marLeft w:val="0"/>
      <w:marRight w:val="0"/>
      <w:marTop w:val="0"/>
      <w:marBottom w:val="0"/>
      <w:divBdr>
        <w:top w:val="none" w:sz="0" w:space="0" w:color="auto"/>
        <w:left w:val="none" w:sz="0" w:space="0" w:color="auto"/>
        <w:bottom w:val="none" w:sz="0" w:space="0" w:color="auto"/>
        <w:right w:val="none" w:sz="0" w:space="0" w:color="auto"/>
      </w:divBdr>
    </w:div>
    <w:div w:id="825123968">
      <w:bodyDiv w:val="1"/>
      <w:marLeft w:val="0"/>
      <w:marRight w:val="0"/>
      <w:marTop w:val="0"/>
      <w:marBottom w:val="0"/>
      <w:divBdr>
        <w:top w:val="none" w:sz="0" w:space="0" w:color="auto"/>
        <w:left w:val="none" w:sz="0" w:space="0" w:color="auto"/>
        <w:bottom w:val="none" w:sz="0" w:space="0" w:color="auto"/>
        <w:right w:val="none" w:sz="0" w:space="0" w:color="auto"/>
      </w:divBdr>
    </w:div>
    <w:div w:id="829710410">
      <w:bodyDiv w:val="1"/>
      <w:marLeft w:val="0"/>
      <w:marRight w:val="0"/>
      <w:marTop w:val="0"/>
      <w:marBottom w:val="0"/>
      <w:divBdr>
        <w:top w:val="none" w:sz="0" w:space="0" w:color="auto"/>
        <w:left w:val="none" w:sz="0" w:space="0" w:color="auto"/>
        <w:bottom w:val="none" w:sz="0" w:space="0" w:color="auto"/>
        <w:right w:val="none" w:sz="0" w:space="0" w:color="auto"/>
      </w:divBdr>
    </w:div>
    <w:div w:id="875317922">
      <w:bodyDiv w:val="1"/>
      <w:marLeft w:val="0"/>
      <w:marRight w:val="0"/>
      <w:marTop w:val="0"/>
      <w:marBottom w:val="0"/>
      <w:divBdr>
        <w:top w:val="none" w:sz="0" w:space="0" w:color="auto"/>
        <w:left w:val="none" w:sz="0" w:space="0" w:color="auto"/>
        <w:bottom w:val="none" w:sz="0" w:space="0" w:color="auto"/>
        <w:right w:val="none" w:sz="0" w:space="0" w:color="auto"/>
      </w:divBdr>
    </w:div>
    <w:div w:id="880290501">
      <w:bodyDiv w:val="1"/>
      <w:marLeft w:val="0"/>
      <w:marRight w:val="0"/>
      <w:marTop w:val="0"/>
      <w:marBottom w:val="0"/>
      <w:divBdr>
        <w:top w:val="none" w:sz="0" w:space="0" w:color="auto"/>
        <w:left w:val="none" w:sz="0" w:space="0" w:color="auto"/>
        <w:bottom w:val="none" w:sz="0" w:space="0" w:color="auto"/>
        <w:right w:val="none" w:sz="0" w:space="0" w:color="auto"/>
      </w:divBdr>
    </w:div>
    <w:div w:id="898395242">
      <w:bodyDiv w:val="1"/>
      <w:marLeft w:val="0"/>
      <w:marRight w:val="0"/>
      <w:marTop w:val="0"/>
      <w:marBottom w:val="0"/>
      <w:divBdr>
        <w:top w:val="none" w:sz="0" w:space="0" w:color="auto"/>
        <w:left w:val="none" w:sz="0" w:space="0" w:color="auto"/>
        <w:bottom w:val="none" w:sz="0" w:space="0" w:color="auto"/>
        <w:right w:val="none" w:sz="0" w:space="0" w:color="auto"/>
      </w:divBdr>
    </w:div>
    <w:div w:id="936911100">
      <w:bodyDiv w:val="1"/>
      <w:marLeft w:val="0"/>
      <w:marRight w:val="0"/>
      <w:marTop w:val="0"/>
      <w:marBottom w:val="0"/>
      <w:divBdr>
        <w:top w:val="none" w:sz="0" w:space="0" w:color="auto"/>
        <w:left w:val="none" w:sz="0" w:space="0" w:color="auto"/>
        <w:bottom w:val="none" w:sz="0" w:space="0" w:color="auto"/>
        <w:right w:val="none" w:sz="0" w:space="0" w:color="auto"/>
      </w:divBdr>
    </w:div>
    <w:div w:id="956527966">
      <w:bodyDiv w:val="1"/>
      <w:marLeft w:val="0"/>
      <w:marRight w:val="0"/>
      <w:marTop w:val="0"/>
      <w:marBottom w:val="0"/>
      <w:divBdr>
        <w:top w:val="none" w:sz="0" w:space="0" w:color="auto"/>
        <w:left w:val="none" w:sz="0" w:space="0" w:color="auto"/>
        <w:bottom w:val="none" w:sz="0" w:space="0" w:color="auto"/>
        <w:right w:val="none" w:sz="0" w:space="0" w:color="auto"/>
      </w:divBdr>
    </w:div>
    <w:div w:id="1020090179">
      <w:bodyDiv w:val="1"/>
      <w:marLeft w:val="0"/>
      <w:marRight w:val="0"/>
      <w:marTop w:val="0"/>
      <w:marBottom w:val="0"/>
      <w:divBdr>
        <w:top w:val="none" w:sz="0" w:space="0" w:color="auto"/>
        <w:left w:val="none" w:sz="0" w:space="0" w:color="auto"/>
        <w:bottom w:val="none" w:sz="0" w:space="0" w:color="auto"/>
        <w:right w:val="none" w:sz="0" w:space="0" w:color="auto"/>
      </w:divBdr>
    </w:div>
    <w:div w:id="1020593650">
      <w:bodyDiv w:val="1"/>
      <w:marLeft w:val="0"/>
      <w:marRight w:val="0"/>
      <w:marTop w:val="0"/>
      <w:marBottom w:val="0"/>
      <w:divBdr>
        <w:top w:val="none" w:sz="0" w:space="0" w:color="auto"/>
        <w:left w:val="none" w:sz="0" w:space="0" w:color="auto"/>
        <w:bottom w:val="none" w:sz="0" w:space="0" w:color="auto"/>
        <w:right w:val="none" w:sz="0" w:space="0" w:color="auto"/>
      </w:divBdr>
    </w:div>
    <w:div w:id="1058944216">
      <w:bodyDiv w:val="1"/>
      <w:marLeft w:val="0"/>
      <w:marRight w:val="0"/>
      <w:marTop w:val="0"/>
      <w:marBottom w:val="0"/>
      <w:divBdr>
        <w:top w:val="none" w:sz="0" w:space="0" w:color="auto"/>
        <w:left w:val="none" w:sz="0" w:space="0" w:color="auto"/>
        <w:bottom w:val="none" w:sz="0" w:space="0" w:color="auto"/>
        <w:right w:val="none" w:sz="0" w:space="0" w:color="auto"/>
      </w:divBdr>
    </w:div>
    <w:div w:id="1136726340">
      <w:bodyDiv w:val="1"/>
      <w:marLeft w:val="0"/>
      <w:marRight w:val="0"/>
      <w:marTop w:val="0"/>
      <w:marBottom w:val="0"/>
      <w:divBdr>
        <w:top w:val="none" w:sz="0" w:space="0" w:color="auto"/>
        <w:left w:val="none" w:sz="0" w:space="0" w:color="auto"/>
        <w:bottom w:val="none" w:sz="0" w:space="0" w:color="auto"/>
        <w:right w:val="none" w:sz="0" w:space="0" w:color="auto"/>
      </w:divBdr>
    </w:div>
    <w:div w:id="1218585704">
      <w:bodyDiv w:val="1"/>
      <w:marLeft w:val="0"/>
      <w:marRight w:val="0"/>
      <w:marTop w:val="0"/>
      <w:marBottom w:val="0"/>
      <w:divBdr>
        <w:top w:val="none" w:sz="0" w:space="0" w:color="auto"/>
        <w:left w:val="none" w:sz="0" w:space="0" w:color="auto"/>
        <w:bottom w:val="none" w:sz="0" w:space="0" w:color="auto"/>
        <w:right w:val="none" w:sz="0" w:space="0" w:color="auto"/>
      </w:divBdr>
    </w:div>
    <w:div w:id="1250962269">
      <w:bodyDiv w:val="1"/>
      <w:marLeft w:val="0"/>
      <w:marRight w:val="0"/>
      <w:marTop w:val="0"/>
      <w:marBottom w:val="0"/>
      <w:divBdr>
        <w:top w:val="none" w:sz="0" w:space="0" w:color="auto"/>
        <w:left w:val="none" w:sz="0" w:space="0" w:color="auto"/>
        <w:bottom w:val="none" w:sz="0" w:space="0" w:color="auto"/>
        <w:right w:val="none" w:sz="0" w:space="0" w:color="auto"/>
      </w:divBdr>
    </w:div>
    <w:div w:id="1251114572">
      <w:bodyDiv w:val="1"/>
      <w:marLeft w:val="0"/>
      <w:marRight w:val="0"/>
      <w:marTop w:val="0"/>
      <w:marBottom w:val="0"/>
      <w:divBdr>
        <w:top w:val="none" w:sz="0" w:space="0" w:color="auto"/>
        <w:left w:val="none" w:sz="0" w:space="0" w:color="auto"/>
        <w:bottom w:val="none" w:sz="0" w:space="0" w:color="auto"/>
        <w:right w:val="none" w:sz="0" w:space="0" w:color="auto"/>
      </w:divBdr>
      <w:divsChild>
        <w:div w:id="691036973">
          <w:marLeft w:val="0"/>
          <w:marRight w:val="0"/>
          <w:marTop w:val="0"/>
          <w:marBottom w:val="0"/>
          <w:divBdr>
            <w:top w:val="none" w:sz="0" w:space="0" w:color="auto"/>
            <w:left w:val="none" w:sz="0" w:space="0" w:color="auto"/>
            <w:bottom w:val="none" w:sz="0" w:space="0" w:color="auto"/>
            <w:right w:val="none" w:sz="0" w:space="0" w:color="auto"/>
          </w:divBdr>
          <w:divsChild>
            <w:div w:id="44378396">
              <w:marLeft w:val="0"/>
              <w:marRight w:val="0"/>
              <w:marTop w:val="0"/>
              <w:marBottom w:val="0"/>
              <w:divBdr>
                <w:top w:val="none" w:sz="0" w:space="0" w:color="auto"/>
                <w:left w:val="none" w:sz="0" w:space="0" w:color="auto"/>
                <w:bottom w:val="none" w:sz="0" w:space="0" w:color="auto"/>
                <w:right w:val="none" w:sz="0" w:space="0" w:color="auto"/>
              </w:divBdr>
            </w:div>
            <w:div w:id="228342518">
              <w:marLeft w:val="0"/>
              <w:marRight w:val="0"/>
              <w:marTop w:val="0"/>
              <w:marBottom w:val="0"/>
              <w:divBdr>
                <w:top w:val="none" w:sz="0" w:space="0" w:color="auto"/>
                <w:left w:val="none" w:sz="0" w:space="0" w:color="auto"/>
                <w:bottom w:val="none" w:sz="0" w:space="0" w:color="auto"/>
                <w:right w:val="none" w:sz="0" w:space="0" w:color="auto"/>
              </w:divBdr>
            </w:div>
            <w:div w:id="1867448840">
              <w:marLeft w:val="0"/>
              <w:marRight w:val="0"/>
              <w:marTop w:val="0"/>
              <w:marBottom w:val="0"/>
              <w:divBdr>
                <w:top w:val="none" w:sz="0" w:space="0" w:color="auto"/>
                <w:left w:val="none" w:sz="0" w:space="0" w:color="auto"/>
                <w:bottom w:val="none" w:sz="0" w:space="0" w:color="auto"/>
                <w:right w:val="none" w:sz="0" w:space="0" w:color="auto"/>
              </w:divBdr>
            </w:div>
            <w:div w:id="2125924270">
              <w:marLeft w:val="0"/>
              <w:marRight w:val="0"/>
              <w:marTop w:val="0"/>
              <w:marBottom w:val="0"/>
              <w:divBdr>
                <w:top w:val="none" w:sz="0" w:space="0" w:color="auto"/>
                <w:left w:val="none" w:sz="0" w:space="0" w:color="auto"/>
                <w:bottom w:val="none" w:sz="0" w:space="0" w:color="auto"/>
                <w:right w:val="none" w:sz="0" w:space="0" w:color="auto"/>
              </w:divBdr>
            </w:div>
          </w:divsChild>
        </w:div>
        <w:div w:id="2077967695">
          <w:marLeft w:val="0"/>
          <w:marRight w:val="0"/>
          <w:marTop w:val="0"/>
          <w:marBottom w:val="0"/>
          <w:divBdr>
            <w:top w:val="none" w:sz="0" w:space="0" w:color="auto"/>
            <w:left w:val="none" w:sz="0" w:space="0" w:color="auto"/>
            <w:bottom w:val="none" w:sz="0" w:space="0" w:color="auto"/>
            <w:right w:val="none" w:sz="0" w:space="0" w:color="auto"/>
          </w:divBdr>
          <w:divsChild>
            <w:div w:id="192380245">
              <w:marLeft w:val="0"/>
              <w:marRight w:val="0"/>
              <w:marTop w:val="0"/>
              <w:marBottom w:val="0"/>
              <w:divBdr>
                <w:top w:val="none" w:sz="0" w:space="0" w:color="auto"/>
                <w:left w:val="none" w:sz="0" w:space="0" w:color="auto"/>
                <w:bottom w:val="none" w:sz="0" w:space="0" w:color="auto"/>
                <w:right w:val="none" w:sz="0" w:space="0" w:color="auto"/>
              </w:divBdr>
            </w:div>
            <w:div w:id="457602560">
              <w:marLeft w:val="0"/>
              <w:marRight w:val="0"/>
              <w:marTop w:val="0"/>
              <w:marBottom w:val="0"/>
              <w:divBdr>
                <w:top w:val="none" w:sz="0" w:space="0" w:color="auto"/>
                <w:left w:val="none" w:sz="0" w:space="0" w:color="auto"/>
                <w:bottom w:val="none" w:sz="0" w:space="0" w:color="auto"/>
                <w:right w:val="none" w:sz="0" w:space="0" w:color="auto"/>
              </w:divBdr>
            </w:div>
            <w:div w:id="15278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5963">
      <w:bodyDiv w:val="1"/>
      <w:marLeft w:val="0"/>
      <w:marRight w:val="0"/>
      <w:marTop w:val="0"/>
      <w:marBottom w:val="0"/>
      <w:divBdr>
        <w:top w:val="none" w:sz="0" w:space="0" w:color="auto"/>
        <w:left w:val="none" w:sz="0" w:space="0" w:color="auto"/>
        <w:bottom w:val="none" w:sz="0" w:space="0" w:color="auto"/>
        <w:right w:val="none" w:sz="0" w:space="0" w:color="auto"/>
      </w:divBdr>
    </w:div>
    <w:div w:id="1393456639">
      <w:bodyDiv w:val="1"/>
      <w:marLeft w:val="0"/>
      <w:marRight w:val="0"/>
      <w:marTop w:val="0"/>
      <w:marBottom w:val="0"/>
      <w:divBdr>
        <w:top w:val="none" w:sz="0" w:space="0" w:color="auto"/>
        <w:left w:val="none" w:sz="0" w:space="0" w:color="auto"/>
        <w:bottom w:val="none" w:sz="0" w:space="0" w:color="auto"/>
        <w:right w:val="none" w:sz="0" w:space="0" w:color="auto"/>
      </w:divBdr>
    </w:div>
    <w:div w:id="1436439327">
      <w:bodyDiv w:val="1"/>
      <w:marLeft w:val="0"/>
      <w:marRight w:val="0"/>
      <w:marTop w:val="0"/>
      <w:marBottom w:val="0"/>
      <w:divBdr>
        <w:top w:val="none" w:sz="0" w:space="0" w:color="auto"/>
        <w:left w:val="none" w:sz="0" w:space="0" w:color="auto"/>
        <w:bottom w:val="none" w:sz="0" w:space="0" w:color="auto"/>
        <w:right w:val="none" w:sz="0" w:space="0" w:color="auto"/>
      </w:divBdr>
      <w:divsChild>
        <w:div w:id="136848188">
          <w:marLeft w:val="0"/>
          <w:marRight w:val="0"/>
          <w:marTop w:val="0"/>
          <w:marBottom w:val="0"/>
          <w:divBdr>
            <w:top w:val="none" w:sz="0" w:space="0" w:color="auto"/>
            <w:left w:val="none" w:sz="0" w:space="0" w:color="auto"/>
            <w:bottom w:val="none" w:sz="0" w:space="0" w:color="auto"/>
            <w:right w:val="none" w:sz="0" w:space="0" w:color="auto"/>
          </w:divBdr>
          <w:divsChild>
            <w:div w:id="1151096071">
              <w:marLeft w:val="0"/>
              <w:marRight w:val="0"/>
              <w:marTop w:val="0"/>
              <w:marBottom w:val="0"/>
              <w:divBdr>
                <w:top w:val="none" w:sz="0" w:space="0" w:color="auto"/>
                <w:left w:val="none" w:sz="0" w:space="0" w:color="auto"/>
                <w:bottom w:val="none" w:sz="0" w:space="0" w:color="auto"/>
                <w:right w:val="none" w:sz="0" w:space="0" w:color="auto"/>
              </w:divBdr>
            </w:div>
          </w:divsChild>
        </w:div>
        <w:div w:id="481432882">
          <w:marLeft w:val="0"/>
          <w:marRight w:val="0"/>
          <w:marTop w:val="0"/>
          <w:marBottom w:val="0"/>
          <w:divBdr>
            <w:top w:val="none" w:sz="0" w:space="0" w:color="auto"/>
            <w:left w:val="none" w:sz="0" w:space="0" w:color="auto"/>
            <w:bottom w:val="none" w:sz="0" w:space="0" w:color="auto"/>
            <w:right w:val="none" w:sz="0" w:space="0" w:color="auto"/>
          </w:divBdr>
          <w:divsChild>
            <w:div w:id="1040519036">
              <w:marLeft w:val="0"/>
              <w:marRight w:val="0"/>
              <w:marTop w:val="0"/>
              <w:marBottom w:val="0"/>
              <w:divBdr>
                <w:top w:val="none" w:sz="0" w:space="0" w:color="auto"/>
                <w:left w:val="none" w:sz="0" w:space="0" w:color="auto"/>
                <w:bottom w:val="none" w:sz="0" w:space="0" w:color="auto"/>
                <w:right w:val="none" w:sz="0" w:space="0" w:color="auto"/>
              </w:divBdr>
            </w:div>
          </w:divsChild>
        </w:div>
        <w:div w:id="981155200">
          <w:marLeft w:val="0"/>
          <w:marRight w:val="0"/>
          <w:marTop w:val="0"/>
          <w:marBottom w:val="0"/>
          <w:divBdr>
            <w:top w:val="none" w:sz="0" w:space="0" w:color="auto"/>
            <w:left w:val="none" w:sz="0" w:space="0" w:color="auto"/>
            <w:bottom w:val="none" w:sz="0" w:space="0" w:color="auto"/>
            <w:right w:val="none" w:sz="0" w:space="0" w:color="auto"/>
          </w:divBdr>
          <w:divsChild>
            <w:div w:id="900362496">
              <w:marLeft w:val="0"/>
              <w:marRight w:val="0"/>
              <w:marTop w:val="0"/>
              <w:marBottom w:val="0"/>
              <w:divBdr>
                <w:top w:val="none" w:sz="0" w:space="0" w:color="auto"/>
                <w:left w:val="none" w:sz="0" w:space="0" w:color="auto"/>
                <w:bottom w:val="none" w:sz="0" w:space="0" w:color="auto"/>
                <w:right w:val="none" w:sz="0" w:space="0" w:color="auto"/>
              </w:divBdr>
            </w:div>
          </w:divsChild>
        </w:div>
        <w:div w:id="1450666627">
          <w:marLeft w:val="0"/>
          <w:marRight w:val="0"/>
          <w:marTop w:val="0"/>
          <w:marBottom w:val="0"/>
          <w:divBdr>
            <w:top w:val="none" w:sz="0" w:space="0" w:color="auto"/>
            <w:left w:val="none" w:sz="0" w:space="0" w:color="auto"/>
            <w:bottom w:val="none" w:sz="0" w:space="0" w:color="auto"/>
            <w:right w:val="none" w:sz="0" w:space="0" w:color="auto"/>
          </w:divBdr>
          <w:divsChild>
            <w:div w:id="7194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3169">
      <w:bodyDiv w:val="1"/>
      <w:marLeft w:val="0"/>
      <w:marRight w:val="0"/>
      <w:marTop w:val="0"/>
      <w:marBottom w:val="0"/>
      <w:divBdr>
        <w:top w:val="none" w:sz="0" w:space="0" w:color="auto"/>
        <w:left w:val="none" w:sz="0" w:space="0" w:color="auto"/>
        <w:bottom w:val="none" w:sz="0" w:space="0" w:color="auto"/>
        <w:right w:val="none" w:sz="0" w:space="0" w:color="auto"/>
      </w:divBdr>
    </w:div>
    <w:div w:id="1584535534">
      <w:bodyDiv w:val="1"/>
      <w:marLeft w:val="0"/>
      <w:marRight w:val="0"/>
      <w:marTop w:val="0"/>
      <w:marBottom w:val="0"/>
      <w:divBdr>
        <w:top w:val="none" w:sz="0" w:space="0" w:color="auto"/>
        <w:left w:val="none" w:sz="0" w:space="0" w:color="auto"/>
        <w:bottom w:val="none" w:sz="0" w:space="0" w:color="auto"/>
        <w:right w:val="none" w:sz="0" w:space="0" w:color="auto"/>
      </w:divBdr>
    </w:div>
    <w:div w:id="1643539379">
      <w:bodyDiv w:val="1"/>
      <w:marLeft w:val="0"/>
      <w:marRight w:val="0"/>
      <w:marTop w:val="0"/>
      <w:marBottom w:val="0"/>
      <w:divBdr>
        <w:top w:val="none" w:sz="0" w:space="0" w:color="auto"/>
        <w:left w:val="none" w:sz="0" w:space="0" w:color="auto"/>
        <w:bottom w:val="none" w:sz="0" w:space="0" w:color="auto"/>
        <w:right w:val="none" w:sz="0" w:space="0" w:color="auto"/>
      </w:divBdr>
      <w:divsChild>
        <w:div w:id="207688079">
          <w:marLeft w:val="0"/>
          <w:marRight w:val="0"/>
          <w:marTop w:val="0"/>
          <w:marBottom w:val="0"/>
          <w:divBdr>
            <w:top w:val="none" w:sz="0" w:space="0" w:color="auto"/>
            <w:left w:val="none" w:sz="0" w:space="0" w:color="auto"/>
            <w:bottom w:val="none" w:sz="0" w:space="0" w:color="auto"/>
            <w:right w:val="none" w:sz="0" w:space="0" w:color="auto"/>
          </w:divBdr>
          <w:divsChild>
            <w:div w:id="1545367493">
              <w:marLeft w:val="0"/>
              <w:marRight w:val="0"/>
              <w:marTop w:val="0"/>
              <w:marBottom w:val="0"/>
              <w:divBdr>
                <w:top w:val="none" w:sz="0" w:space="0" w:color="auto"/>
                <w:left w:val="none" w:sz="0" w:space="0" w:color="auto"/>
                <w:bottom w:val="none" w:sz="0" w:space="0" w:color="auto"/>
                <w:right w:val="none" w:sz="0" w:space="0" w:color="auto"/>
              </w:divBdr>
            </w:div>
          </w:divsChild>
        </w:div>
        <w:div w:id="270862020">
          <w:marLeft w:val="0"/>
          <w:marRight w:val="0"/>
          <w:marTop w:val="0"/>
          <w:marBottom w:val="0"/>
          <w:divBdr>
            <w:top w:val="none" w:sz="0" w:space="0" w:color="auto"/>
            <w:left w:val="none" w:sz="0" w:space="0" w:color="auto"/>
            <w:bottom w:val="none" w:sz="0" w:space="0" w:color="auto"/>
            <w:right w:val="none" w:sz="0" w:space="0" w:color="auto"/>
          </w:divBdr>
          <w:divsChild>
            <w:div w:id="1686784696">
              <w:marLeft w:val="0"/>
              <w:marRight w:val="0"/>
              <w:marTop w:val="0"/>
              <w:marBottom w:val="0"/>
              <w:divBdr>
                <w:top w:val="none" w:sz="0" w:space="0" w:color="auto"/>
                <w:left w:val="none" w:sz="0" w:space="0" w:color="auto"/>
                <w:bottom w:val="none" w:sz="0" w:space="0" w:color="auto"/>
                <w:right w:val="none" w:sz="0" w:space="0" w:color="auto"/>
              </w:divBdr>
            </w:div>
          </w:divsChild>
        </w:div>
        <w:div w:id="996616902">
          <w:marLeft w:val="0"/>
          <w:marRight w:val="0"/>
          <w:marTop w:val="0"/>
          <w:marBottom w:val="0"/>
          <w:divBdr>
            <w:top w:val="none" w:sz="0" w:space="0" w:color="auto"/>
            <w:left w:val="none" w:sz="0" w:space="0" w:color="auto"/>
            <w:bottom w:val="none" w:sz="0" w:space="0" w:color="auto"/>
            <w:right w:val="none" w:sz="0" w:space="0" w:color="auto"/>
          </w:divBdr>
          <w:divsChild>
            <w:div w:id="1019700329">
              <w:marLeft w:val="0"/>
              <w:marRight w:val="0"/>
              <w:marTop w:val="0"/>
              <w:marBottom w:val="0"/>
              <w:divBdr>
                <w:top w:val="none" w:sz="0" w:space="0" w:color="auto"/>
                <w:left w:val="none" w:sz="0" w:space="0" w:color="auto"/>
                <w:bottom w:val="none" w:sz="0" w:space="0" w:color="auto"/>
                <w:right w:val="none" w:sz="0" w:space="0" w:color="auto"/>
              </w:divBdr>
            </w:div>
          </w:divsChild>
        </w:div>
        <w:div w:id="1317805481">
          <w:marLeft w:val="0"/>
          <w:marRight w:val="0"/>
          <w:marTop w:val="0"/>
          <w:marBottom w:val="0"/>
          <w:divBdr>
            <w:top w:val="none" w:sz="0" w:space="0" w:color="auto"/>
            <w:left w:val="none" w:sz="0" w:space="0" w:color="auto"/>
            <w:bottom w:val="none" w:sz="0" w:space="0" w:color="auto"/>
            <w:right w:val="none" w:sz="0" w:space="0" w:color="auto"/>
          </w:divBdr>
          <w:divsChild>
            <w:div w:id="9873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04635">
      <w:bodyDiv w:val="1"/>
      <w:marLeft w:val="0"/>
      <w:marRight w:val="0"/>
      <w:marTop w:val="0"/>
      <w:marBottom w:val="0"/>
      <w:divBdr>
        <w:top w:val="none" w:sz="0" w:space="0" w:color="auto"/>
        <w:left w:val="none" w:sz="0" w:space="0" w:color="auto"/>
        <w:bottom w:val="none" w:sz="0" w:space="0" w:color="auto"/>
        <w:right w:val="none" w:sz="0" w:space="0" w:color="auto"/>
      </w:divBdr>
    </w:div>
    <w:div w:id="1744570217">
      <w:bodyDiv w:val="1"/>
      <w:marLeft w:val="0"/>
      <w:marRight w:val="0"/>
      <w:marTop w:val="0"/>
      <w:marBottom w:val="0"/>
      <w:divBdr>
        <w:top w:val="none" w:sz="0" w:space="0" w:color="auto"/>
        <w:left w:val="none" w:sz="0" w:space="0" w:color="auto"/>
        <w:bottom w:val="none" w:sz="0" w:space="0" w:color="auto"/>
        <w:right w:val="none" w:sz="0" w:space="0" w:color="auto"/>
      </w:divBdr>
    </w:div>
    <w:div w:id="1763263457">
      <w:bodyDiv w:val="1"/>
      <w:marLeft w:val="0"/>
      <w:marRight w:val="0"/>
      <w:marTop w:val="0"/>
      <w:marBottom w:val="0"/>
      <w:divBdr>
        <w:top w:val="none" w:sz="0" w:space="0" w:color="auto"/>
        <w:left w:val="none" w:sz="0" w:space="0" w:color="auto"/>
        <w:bottom w:val="none" w:sz="0" w:space="0" w:color="auto"/>
        <w:right w:val="none" w:sz="0" w:space="0" w:color="auto"/>
      </w:divBdr>
    </w:div>
    <w:div w:id="1772772060">
      <w:bodyDiv w:val="1"/>
      <w:marLeft w:val="0"/>
      <w:marRight w:val="0"/>
      <w:marTop w:val="0"/>
      <w:marBottom w:val="0"/>
      <w:divBdr>
        <w:top w:val="none" w:sz="0" w:space="0" w:color="auto"/>
        <w:left w:val="none" w:sz="0" w:space="0" w:color="auto"/>
        <w:bottom w:val="none" w:sz="0" w:space="0" w:color="auto"/>
        <w:right w:val="none" w:sz="0" w:space="0" w:color="auto"/>
      </w:divBdr>
      <w:divsChild>
        <w:div w:id="529997420">
          <w:marLeft w:val="0"/>
          <w:marRight w:val="0"/>
          <w:marTop w:val="0"/>
          <w:marBottom w:val="0"/>
          <w:divBdr>
            <w:top w:val="none" w:sz="0" w:space="0" w:color="auto"/>
            <w:left w:val="none" w:sz="0" w:space="0" w:color="auto"/>
            <w:bottom w:val="none" w:sz="0" w:space="0" w:color="auto"/>
            <w:right w:val="none" w:sz="0" w:space="0" w:color="auto"/>
          </w:divBdr>
        </w:div>
        <w:div w:id="1345088822">
          <w:marLeft w:val="0"/>
          <w:marRight w:val="0"/>
          <w:marTop w:val="0"/>
          <w:marBottom w:val="0"/>
          <w:divBdr>
            <w:top w:val="none" w:sz="0" w:space="0" w:color="auto"/>
            <w:left w:val="none" w:sz="0" w:space="0" w:color="auto"/>
            <w:bottom w:val="none" w:sz="0" w:space="0" w:color="auto"/>
            <w:right w:val="none" w:sz="0" w:space="0" w:color="auto"/>
          </w:divBdr>
        </w:div>
        <w:div w:id="1569263905">
          <w:marLeft w:val="0"/>
          <w:marRight w:val="0"/>
          <w:marTop w:val="0"/>
          <w:marBottom w:val="0"/>
          <w:divBdr>
            <w:top w:val="none" w:sz="0" w:space="0" w:color="auto"/>
            <w:left w:val="none" w:sz="0" w:space="0" w:color="auto"/>
            <w:bottom w:val="none" w:sz="0" w:space="0" w:color="auto"/>
            <w:right w:val="none" w:sz="0" w:space="0" w:color="auto"/>
          </w:divBdr>
        </w:div>
        <w:div w:id="1715500683">
          <w:marLeft w:val="0"/>
          <w:marRight w:val="0"/>
          <w:marTop w:val="0"/>
          <w:marBottom w:val="0"/>
          <w:divBdr>
            <w:top w:val="none" w:sz="0" w:space="0" w:color="auto"/>
            <w:left w:val="none" w:sz="0" w:space="0" w:color="auto"/>
            <w:bottom w:val="none" w:sz="0" w:space="0" w:color="auto"/>
            <w:right w:val="none" w:sz="0" w:space="0" w:color="auto"/>
          </w:divBdr>
        </w:div>
        <w:div w:id="1932002424">
          <w:marLeft w:val="0"/>
          <w:marRight w:val="0"/>
          <w:marTop w:val="0"/>
          <w:marBottom w:val="0"/>
          <w:divBdr>
            <w:top w:val="none" w:sz="0" w:space="0" w:color="auto"/>
            <w:left w:val="none" w:sz="0" w:space="0" w:color="auto"/>
            <w:bottom w:val="none" w:sz="0" w:space="0" w:color="auto"/>
            <w:right w:val="none" w:sz="0" w:space="0" w:color="auto"/>
          </w:divBdr>
        </w:div>
      </w:divsChild>
    </w:div>
    <w:div w:id="1822772193">
      <w:bodyDiv w:val="1"/>
      <w:marLeft w:val="0"/>
      <w:marRight w:val="0"/>
      <w:marTop w:val="0"/>
      <w:marBottom w:val="0"/>
      <w:divBdr>
        <w:top w:val="none" w:sz="0" w:space="0" w:color="auto"/>
        <w:left w:val="none" w:sz="0" w:space="0" w:color="auto"/>
        <w:bottom w:val="none" w:sz="0" w:space="0" w:color="auto"/>
        <w:right w:val="none" w:sz="0" w:space="0" w:color="auto"/>
      </w:divBdr>
    </w:div>
    <w:div w:id="1838035115">
      <w:bodyDiv w:val="1"/>
      <w:marLeft w:val="0"/>
      <w:marRight w:val="0"/>
      <w:marTop w:val="0"/>
      <w:marBottom w:val="0"/>
      <w:divBdr>
        <w:top w:val="none" w:sz="0" w:space="0" w:color="auto"/>
        <w:left w:val="none" w:sz="0" w:space="0" w:color="auto"/>
        <w:bottom w:val="none" w:sz="0" w:space="0" w:color="auto"/>
        <w:right w:val="none" w:sz="0" w:space="0" w:color="auto"/>
      </w:divBdr>
    </w:div>
    <w:div w:id="1861359228">
      <w:bodyDiv w:val="1"/>
      <w:marLeft w:val="0"/>
      <w:marRight w:val="0"/>
      <w:marTop w:val="0"/>
      <w:marBottom w:val="0"/>
      <w:divBdr>
        <w:top w:val="none" w:sz="0" w:space="0" w:color="auto"/>
        <w:left w:val="none" w:sz="0" w:space="0" w:color="auto"/>
        <w:bottom w:val="none" w:sz="0" w:space="0" w:color="auto"/>
        <w:right w:val="none" w:sz="0" w:space="0" w:color="auto"/>
      </w:divBdr>
    </w:div>
    <w:div w:id="1882547385">
      <w:bodyDiv w:val="1"/>
      <w:marLeft w:val="0"/>
      <w:marRight w:val="0"/>
      <w:marTop w:val="0"/>
      <w:marBottom w:val="0"/>
      <w:divBdr>
        <w:top w:val="none" w:sz="0" w:space="0" w:color="auto"/>
        <w:left w:val="none" w:sz="0" w:space="0" w:color="auto"/>
        <w:bottom w:val="none" w:sz="0" w:space="0" w:color="auto"/>
        <w:right w:val="none" w:sz="0" w:space="0" w:color="auto"/>
      </w:divBdr>
    </w:div>
    <w:div w:id="1898857130">
      <w:bodyDiv w:val="1"/>
      <w:marLeft w:val="0"/>
      <w:marRight w:val="0"/>
      <w:marTop w:val="0"/>
      <w:marBottom w:val="0"/>
      <w:divBdr>
        <w:top w:val="none" w:sz="0" w:space="0" w:color="auto"/>
        <w:left w:val="none" w:sz="0" w:space="0" w:color="auto"/>
        <w:bottom w:val="none" w:sz="0" w:space="0" w:color="auto"/>
        <w:right w:val="none" w:sz="0" w:space="0" w:color="auto"/>
      </w:divBdr>
    </w:div>
    <w:div w:id="1936859198">
      <w:bodyDiv w:val="1"/>
      <w:marLeft w:val="0"/>
      <w:marRight w:val="0"/>
      <w:marTop w:val="0"/>
      <w:marBottom w:val="0"/>
      <w:divBdr>
        <w:top w:val="none" w:sz="0" w:space="0" w:color="auto"/>
        <w:left w:val="none" w:sz="0" w:space="0" w:color="auto"/>
        <w:bottom w:val="none" w:sz="0" w:space="0" w:color="auto"/>
        <w:right w:val="none" w:sz="0" w:space="0" w:color="auto"/>
      </w:divBdr>
    </w:div>
    <w:div w:id="1942642754">
      <w:bodyDiv w:val="1"/>
      <w:marLeft w:val="0"/>
      <w:marRight w:val="0"/>
      <w:marTop w:val="0"/>
      <w:marBottom w:val="0"/>
      <w:divBdr>
        <w:top w:val="none" w:sz="0" w:space="0" w:color="auto"/>
        <w:left w:val="none" w:sz="0" w:space="0" w:color="auto"/>
        <w:bottom w:val="none" w:sz="0" w:space="0" w:color="auto"/>
        <w:right w:val="none" w:sz="0" w:space="0" w:color="auto"/>
      </w:divBdr>
    </w:div>
    <w:div w:id="2020308598">
      <w:bodyDiv w:val="1"/>
      <w:marLeft w:val="0"/>
      <w:marRight w:val="0"/>
      <w:marTop w:val="0"/>
      <w:marBottom w:val="0"/>
      <w:divBdr>
        <w:top w:val="none" w:sz="0" w:space="0" w:color="auto"/>
        <w:left w:val="none" w:sz="0" w:space="0" w:color="auto"/>
        <w:bottom w:val="none" w:sz="0" w:space="0" w:color="auto"/>
        <w:right w:val="none" w:sz="0" w:space="0" w:color="auto"/>
      </w:divBdr>
    </w:div>
    <w:div w:id="2045135078">
      <w:bodyDiv w:val="1"/>
      <w:marLeft w:val="0"/>
      <w:marRight w:val="0"/>
      <w:marTop w:val="0"/>
      <w:marBottom w:val="0"/>
      <w:divBdr>
        <w:top w:val="none" w:sz="0" w:space="0" w:color="auto"/>
        <w:left w:val="none" w:sz="0" w:space="0" w:color="auto"/>
        <w:bottom w:val="none" w:sz="0" w:space="0" w:color="auto"/>
        <w:right w:val="none" w:sz="0" w:space="0" w:color="auto"/>
      </w:divBdr>
    </w:div>
    <w:div w:id="2071804956">
      <w:bodyDiv w:val="1"/>
      <w:marLeft w:val="0"/>
      <w:marRight w:val="0"/>
      <w:marTop w:val="0"/>
      <w:marBottom w:val="0"/>
      <w:divBdr>
        <w:top w:val="none" w:sz="0" w:space="0" w:color="auto"/>
        <w:left w:val="none" w:sz="0" w:space="0" w:color="auto"/>
        <w:bottom w:val="none" w:sz="0" w:space="0" w:color="auto"/>
        <w:right w:val="none" w:sz="0" w:space="0" w:color="auto"/>
      </w:divBdr>
      <w:divsChild>
        <w:div w:id="268899980">
          <w:marLeft w:val="0"/>
          <w:marRight w:val="0"/>
          <w:marTop w:val="0"/>
          <w:marBottom w:val="0"/>
          <w:divBdr>
            <w:top w:val="none" w:sz="0" w:space="0" w:color="auto"/>
            <w:left w:val="none" w:sz="0" w:space="0" w:color="auto"/>
            <w:bottom w:val="none" w:sz="0" w:space="0" w:color="auto"/>
            <w:right w:val="none" w:sz="0" w:space="0" w:color="auto"/>
          </w:divBdr>
        </w:div>
        <w:div w:id="395973032">
          <w:marLeft w:val="0"/>
          <w:marRight w:val="0"/>
          <w:marTop w:val="0"/>
          <w:marBottom w:val="0"/>
          <w:divBdr>
            <w:top w:val="none" w:sz="0" w:space="0" w:color="auto"/>
            <w:left w:val="none" w:sz="0" w:space="0" w:color="auto"/>
            <w:bottom w:val="none" w:sz="0" w:space="0" w:color="auto"/>
            <w:right w:val="none" w:sz="0" w:space="0" w:color="auto"/>
          </w:divBdr>
        </w:div>
        <w:div w:id="433521245">
          <w:marLeft w:val="0"/>
          <w:marRight w:val="0"/>
          <w:marTop w:val="0"/>
          <w:marBottom w:val="0"/>
          <w:divBdr>
            <w:top w:val="none" w:sz="0" w:space="0" w:color="auto"/>
            <w:left w:val="none" w:sz="0" w:space="0" w:color="auto"/>
            <w:bottom w:val="none" w:sz="0" w:space="0" w:color="auto"/>
            <w:right w:val="none" w:sz="0" w:space="0" w:color="auto"/>
          </w:divBdr>
        </w:div>
        <w:div w:id="565725473">
          <w:marLeft w:val="0"/>
          <w:marRight w:val="0"/>
          <w:marTop w:val="0"/>
          <w:marBottom w:val="0"/>
          <w:divBdr>
            <w:top w:val="none" w:sz="0" w:space="0" w:color="auto"/>
            <w:left w:val="none" w:sz="0" w:space="0" w:color="auto"/>
            <w:bottom w:val="none" w:sz="0" w:space="0" w:color="auto"/>
            <w:right w:val="none" w:sz="0" w:space="0" w:color="auto"/>
          </w:divBdr>
        </w:div>
        <w:div w:id="1253587723">
          <w:marLeft w:val="0"/>
          <w:marRight w:val="0"/>
          <w:marTop w:val="0"/>
          <w:marBottom w:val="0"/>
          <w:divBdr>
            <w:top w:val="none" w:sz="0" w:space="0" w:color="auto"/>
            <w:left w:val="none" w:sz="0" w:space="0" w:color="auto"/>
            <w:bottom w:val="none" w:sz="0" w:space="0" w:color="auto"/>
            <w:right w:val="none" w:sz="0" w:space="0" w:color="auto"/>
          </w:divBdr>
        </w:div>
      </w:divsChild>
    </w:div>
    <w:div w:id="2087148255">
      <w:bodyDiv w:val="1"/>
      <w:marLeft w:val="0"/>
      <w:marRight w:val="0"/>
      <w:marTop w:val="0"/>
      <w:marBottom w:val="0"/>
      <w:divBdr>
        <w:top w:val="none" w:sz="0" w:space="0" w:color="auto"/>
        <w:left w:val="none" w:sz="0" w:space="0" w:color="auto"/>
        <w:bottom w:val="none" w:sz="0" w:space="0" w:color="auto"/>
        <w:right w:val="none" w:sz="0" w:space="0" w:color="auto"/>
      </w:divBdr>
    </w:div>
    <w:div w:id="2138141430">
      <w:bodyDiv w:val="1"/>
      <w:marLeft w:val="0"/>
      <w:marRight w:val="0"/>
      <w:marTop w:val="0"/>
      <w:marBottom w:val="0"/>
      <w:divBdr>
        <w:top w:val="none" w:sz="0" w:space="0" w:color="auto"/>
        <w:left w:val="none" w:sz="0" w:space="0" w:color="auto"/>
        <w:bottom w:val="none" w:sz="0" w:space="0" w:color="auto"/>
        <w:right w:val="none" w:sz="0" w:space="0" w:color="auto"/>
      </w:divBdr>
    </w:div>
    <w:div w:id="214022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14.png"/><Relationship Id="rId21" Type="http://schemas.openxmlformats.org/officeDocument/2006/relationships/header" Target="header6.xml"/><Relationship Id="rId34" Type="http://schemas.openxmlformats.org/officeDocument/2006/relationships/image" Target="media/image9.sv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image" Target="media/image7.sv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4.xml"/><Relationship Id="rId30" Type="http://schemas.openxmlformats.org/officeDocument/2006/relationships/image" Target="media/image5.sv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5.xml"/><Relationship Id="rId41" Type="http://schemas.openxmlformats.org/officeDocument/2006/relationships/image" Target="media/image16.sv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news/phi-circulars/phi-2122-prostheses-list-reform-schedule-of-prostheses-list-price-reductions?language=en" TargetMode="External"/><Relationship Id="rId2" Type="http://schemas.openxmlformats.org/officeDocument/2006/relationships/hyperlink" Target="https://www.health.gov.au/news/phi-circulars/phi-2122-prostheses-list-reform-schedule-of-prostheses-list-price-reductions?language=en" TargetMode="External"/><Relationship Id="rId1" Type="http://schemas.openxmlformats.org/officeDocument/2006/relationships/hyperlink" Target="https://www.health.gov.au/news/phi-circulars/phi-2122-prostheses-list-reform-schedule-of-prostheses-list-price-reductions?language=en" TargetMode="External"/><Relationship Id="rId4" Type="http://schemas.openxmlformats.org/officeDocument/2006/relationships/hyperlink" Target="https://www.health.gov.au/news/phi-circulars/phi-2122-prostheses-list-reform-schedule-of-prostheses-list-price-reductions?languag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Holman\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2024-11-02T00:00:00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46E8C8D4FAD34BBB1CAF9A5132AE35" ma:contentTypeVersion="13" ma:contentTypeDescription="Create a new document." ma:contentTypeScope="" ma:versionID="bc30b3390435fdd8f277405b1c0a067f">
  <xsd:schema xmlns:xsd="http://www.w3.org/2001/XMLSchema" xmlns:xs="http://www.w3.org/2001/XMLSchema" xmlns:p="http://schemas.microsoft.com/office/2006/metadata/properties" xmlns:ns2="83abac70-1bb9-407d-b0e5-3398b1636e10" xmlns:ns3="06d10f8f-972e-482d-ba3d-e39124a93290" targetNamespace="http://schemas.microsoft.com/office/2006/metadata/properties" ma:root="true" ma:fieldsID="58c019fb980d73069176a5601f525828" ns2:_="" ns3:_="">
    <xsd:import namespace="83abac70-1bb9-407d-b0e5-3398b1636e10"/>
    <xsd:import namespace="06d10f8f-972e-482d-ba3d-e39124a932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bac70-1bb9-407d-b0e5-3398b1636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d10f8f-972e-482d-ba3d-e39124a932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4edece1-497e-4349-beed-cb207436f1a6}" ma:internalName="TaxCatchAll" ma:showField="CatchAllData" ma:web="06d10f8f-972e-482d-ba3d-e39124a93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abac70-1bb9-407d-b0e5-3398b1636e10">
      <Terms xmlns="http://schemas.microsoft.com/office/infopath/2007/PartnerControls"/>
    </lcf76f155ced4ddcb4097134ff3c332f>
    <TaxCatchAll xmlns="06d10f8f-972e-482d-ba3d-e39124a9329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E65940-CBC0-4510-B4EC-A0E40F593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bac70-1bb9-407d-b0e5-3398b1636e10"/>
    <ds:schemaRef ds:uri="06d10f8f-972e-482d-ba3d-e39124a93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83abac70-1bb9-407d-b0e5-3398b1636e10"/>
    <ds:schemaRef ds:uri="06d10f8f-972e-482d-ba3d-e39124a93290"/>
  </ds:schemaRefs>
</ds:datastoreItem>
</file>

<file path=customXml/itemProps5.xml><?xml version="1.0" encoding="utf-8"?>
<ds:datastoreItem xmlns:ds="http://schemas.openxmlformats.org/officeDocument/2006/customXml" ds:itemID="{D51B4A30-4335-4615-B531-124E82602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0</TotalTime>
  <Pages>85</Pages>
  <Words>27401</Words>
  <Characters>156190</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Interim Evaluation #1 of the Prescribed List Reforms</vt:lpstr>
    </vt:vector>
  </TitlesOfParts>
  <Company>The Nous Group</Company>
  <LinksUpToDate>false</LinksUpToDate>
  <CharactersWithSpaces>183225</CharactersWithSpaces>
  <SharedDoc>false</SharedDoc>
  <HLinks>
    <vt:vector size="348" baseType="variant">
      <vt:variant>
        <vt:i4>1245238</vt:i4>
      </vt:variant>
      <vt:variant>
        <vt:i4>296</vt:i4>
      </vt:variant>
      <vt:variant>
        <vt:i4>0</vt:i4>
      </vt:variant>
      <vt:variant>
        <vt:i4>5</vt:i4>
      </vt:variant>
      <vt:variant>
        <vt:lpwstr/>
      </vt:variant>
      <vt:variant>
        <vt:lpwstr>_Toc176952481</vt:lpwstr>
      </vt:variant>
      <vt:variant>
        <vt:i4>1245238</vt:i4>
      </vt:variant>
      <vt:variant>
        <vt:i4>290</vt:i4>
      </vt:variant>
      <vt:variant>
        <vt:i4>0</vt:i4>
      </vt:variant>
      <vt:variant>
        <vt:i4>5</vt:i4>
      </vt:variant>
      <vt:variant>
        <vt:lpwstr/>
      </vt:variant>
      <vt:variant>
        <vt:lpwstr>_Toc176952480</vt:lpwstr>
      </vt:variant>
      <vt:variant>
        <vt:i4>1835062</vt:i4>
      </vt:variant>
      <vt:variant>
        <vt:i4>284</vt:i4>
      </vt:variant>
      <vt:variant>
        <vt:i4>0</vt:i4>
      </vt:variant>
      <vt:variant>
        <vt:i4>5</vt:i4>
      </vt:variant>
      <vt:variant>
        <vt:lpwstr/>
      </vt:variant>
      <vt:variant>
        <vt:lpwstr>_Toc176952479</vt:lpwstr>
      </vt:variant>
      <vt:variant>
        <vt:i4>1835062</vt:i4>
      </vt:variant>
      <vt:variant>
        <vt:i4>278</vt:i4>
      </vt:variant>
      <vt:variant>
        <vt:i4>0</vt:i4>
      </vt:variant>
      <vt:variant>
        <vt:i4>5</vt:i4>
      </vt:variant>
      <vt:variant>
        <vt:lpwstr/>
      </vt:variant>
      <vt:variant>
        <vt:lpwstr>_Toc176952478</vt:lpwstr>
      </vt:variant>
      <vt:variant>
        <vt:i4>1835062</vt:i4>
      </vt:variant>
      <vt:variant>
        <vt:i4>272</vt:i4>
      </vt:variant>
      <vt:variant>
        <vt:i4>0</vt:i4>
      </vt:variant>
      <vt:variant>
        <vt:i4>5</vt:i4>
      </vt:variant>
      <vt:variant>
        <vt:lpwstr/>
      </vt:variant>
      <vt:variant>
        <vt:lpwstr>_Toc176952477</vt:lpwstr>
      </vt:variant>
      <vt:variant>
        <vt:i4>1835062</vt:i4>
      </vt:variant>
      <vt:variant>
        <vt:i4>266</vt:i4>
      </vt:variant>
      <vt:variant>
        <vt:i4>0</vt:i4>
      </vt:variant>
      <vt:variant>
        <vt:i4>5</vt:i4>
      </vt:variant>
      <vt:variant>
        <vt:lpwstr/>
      </vt:variant>
      <vt:variant>
        <vt:lpwstr>_Toc176952476</vt:lpwstr>
      </vt:variant>
      <vt:variant>
        <vt:i4>1835062</vt:i4>
      </vt:variant>
      <vt:variant>
        <vt:i4>260</vt:i4>
      </vt:variant>
      <vt:variant>
        <vt:i4>0</vt:i4>
      </vt:variant>
      <vt:variant>
        <vt:i4>5</vt:i4>
      </vt:variant>
      <vt:variant>
        <vt:lpwstr/>
      </vt:variant>
      <vt:variant>
        <vt:lpwstr>_Toc176952475</vt:lpwstr>
      </vt:variant>
      <vt:variant>
        <vt:i4>1835062</vt:i4>
      </vt:variant>
      <vt:variant>
        <vt:i4>254</vt:i4>
      </vt:variant>
      <vt:variant>
        <vt:i4>0</vt:i4>
      </vt:variant>
      <vt:variant>
        <vt:i4>5</vt:i4>
      </vt:variant>
      <vt:variant>
        <vt:lpwstr/>
      </vt:variant>
      <vt:variant>
        <vt:lpwstr>_Toc176952474</vt:lpwstr>
      </vt:variant>
      <vt:variant>
        <vt:i4>1835062</vt:i4>
      </vt:variant>
      <vt:variant>
        <vt:i4>248</vt:i4>
      </vt:variant>
      <vt:variant>
        <vt:i4>0</vt:i4>
      </vt:variant>
      <vt:variant>
        <vt:i4>5</vt:i4>
      </vt:variant>
      <vt:variant>
        <vt:lpwstr/>
      </vt:variant>
      <vt:variant>
        <vt:lpwstr>_Toc176952473</vt:lpwstr>
      </vt:variant>
      <vt:variant>
        <vt:i4>1835062</vt:i4>
      </vt:variant>
      <vt:variant>
        <vt:i4>242</vt:i4>
      </vt:variant>
      <vt:variant>
        <vt:i4>0</vt:i4>
      </vt:variant>
      <vt:variant>
        <vt:i4>5</vt:i4>
      </vt:variant>
      <vt:variant>
        <vt:lpwstr/>
      </vt:variant>
      <vt:variant>
        <vt:lpwstr>_Toc176952472</vt:lpwstr>
      </vt:variant>
      <vt:variant>
        <vt:i4>1835062</vt:i4>
      </vt:variant>
      <vt:variant>
        <vt:i4>236</vt:i4>
      </vt:variant>
      <vt:variant>
        <vt:i4>0</vt:i4>
      </vt:variant>
      <vt:variant>
        <vt:i4>5</vt:i4>
      </vt:variant>
      <vt:variant>
        <vt:lpwstr/>
      </vt:variant>
      <vt:variant>
        <vt:lpwstr>_Toc176952471</vt:lpwstr>
      </vt:variant>
      <vt:variant>
        <vt:i4>1835062</vt:i4>
      </vt:variant>
      <vt:variant>
        <vt:i4>230</vt:i4>
      </vt:variant>
      <vt:variant>
        <vt:i4>0</vt:i4>
      </vt:variant>
      <vt:variant>
        <vt:i4>5</vt:i4>
      </vt:variant>
      <vt:variant>
        <vt:lpwstr/>
      </vt:variant>
      <vt:variant>
        <vt:lpwstr>_Toc176952470</vt:lpwstr>
      </vt:variant>
      <vt:variant>
        <vt:i4>1900598</vt:i4>
      </vt:variant>
      <vt:variant>
        <vt:i4>224</vt:i4>
      </vt:variant>
      <vt:variant>
        <vt:i4>0</vt:i4>
      </vt:variant>
      <vt:variant>
        <vt:i4>5</vt:i4>
      </vt:variant>
      <vt:variant>
        <vt:lpwstr/>
      </vt:variant>
      <vt:variant>
        <vt:lpwstr>_Toc176952469</vt:lpwstr>
      </vt:variant>
      <vt:variant>
        <vt:i4>1900598</vt:i4>
      </vt:variant>
      <vt:variant>
        <vt:i4>218</vt:i4>
      </vt:variant>
      <vt:variant>
        <vt:i4>0</vt:i4>
      </vt:variant>
      <vt:variant>
        <vt:i4>5</vt:i4>
      </vt:variant>
      <vt:variant>
        <vt:lpwstr/>
      </vt:variant>
      <vt:variant>
        <vt:lpwstr>_Toc176952468</vt:lpwstr>
      </vt:variant>
      <vt:variant>
        <vt:i4>1900598</vt:i4>
      </vt:variant>
      <vt:variant>
        <vt:i4>212</vt:i4>
      </vt:variant>
      <vt:variant>
        <vt:i4>0</vt:i4>
      </vt:variant>
      <vt:variant>
        <vt:i4>5</vt:i4>
      </vt:variant>
      <vt:variant>
        <vt:lpwstr/>
      </vt:variant>
      <vt:variant>
        <vt:lpwstr>_Toc176952467</vt:lpwstr>
      </vt:variant>
      <vt:variant>
        <vt:i4>1900598</vt:i4>
      </vt:variant>
      <vt:variant>
        <vt:i4>206</vt:i4>
      </vt:variant>
      <vt:variant>
        <vt:i4>0</vt:i4>
      </vt:variant>
      <vt:variant>
        <vt:i4>5</vt:i4>
      </vt:variant>
      <vt:variant>
        <vt:lpwstr/>
      </vt:variant>
      <vt:variant>
        <vt:lpwstr>_Toc176952466</vt:lpwstr>
      </vt:variant>
      <vt:variant>
        <vt:i4>1900598</vt:i4>
      </vt:variant>
      <vt:variant>
        <vt:i4>200</vt:i4>
      </vt:variant>
      <vt:variant>
        <vt:i4>0</vt:i4>
      </vt:variant>
      <vt:variant>
        <vt:i4>5</vt:i4>
      </vt:variant>
      <vt:variant>
        <vt:lpwstr/>
      </vt:variant>
      <vt:variant>
        <vt:lpwstr>_Toc176952465</vt:lpwstr>
      </vt:variant>
      <vt:variant>
        <vt:i4>1900598</vt:i4>
      </vt:variant>
      <vt:variant>
        <vt:i4>194</vt:i4>
      </vt:variant>
      <vt:variant>
        <vt:i4>0</vt:i4>
      </vt:variant>
      <vt:variant>
        <vt:i4>5</vt:i4>
      </vt:variant>
      <vt:variant>
        <vt:lpwstr/>
      </vt:variant>
      <vt:variant>
        <vt:lpwstr>_Toc176952464</vt:lpwstr>
      </vt:variant>
      <vt:variant>
        <vt:i4>1900598</vt:i4>
      </vt:variant>
      <vt:variant>
        <vt:i4>188</vt:i4>
      </vt:variant>
      <vt:variant>
        <vt:i4>0</vt:i4>
      </vt:variant>
      <vt:variant>
        <vt:i4>5</vt:i4>
      </vt:variant>
      <vt:variant>
        <vt:lpwstr/>
      </vt:variant>
      <vt:variant>
        <vt:lpwstr>_Toc176952463</vt:lpwstr>
      </vt:variant>
      <vt:variant>
        <vt:i4>1900598</vt:i4>
      </vt:variant>
      <vt:variant>
        <vt:i4>182</vt:i4>
      </vt:variant>
      <vt:variant>
        <vt:i4>0</vt:i4>
      </vt:variant>
      <vt:variant>
        <vt:i4>5</vt:i4>
      </vt:variant>
      <vt:variant>
        <vt:lpwstr/>
      </vt:variant>
      <vt:variant>
        <vt:lpwstr>_Toc176952462</vt:lpwstr>
      </vt:variant>
      <vt:variant>
        <vt:i4>1900598</vt:i4>
      </vt:variant>
      <vt:variant>
        <vt:i4>176</vt:i4>
      </vt:variant>
      <vt:variant>
        <vt:i4>0</vt:i4>
      </vt:variant>
      <vt:variant>
        <vt:i4>5</vt:i4>
      </vt:variant>
      <vt:variant>
        <vt:lpwstr/>
      </vt:variant>
      <vt:variant>
        <vt:lpwstr>_Toc176952461</vt:lpwstr>
      </vt:variant>
      <vt:variant>
        <vt:i4>1900598</vt:i4>
      </vt:variant>
      <vt:variant>
        <vt:i4>170</vt:i4>
      </vt:variant>
      <vt:variant>
        <vt:i4>0</vt:i4>
      </vt:variant>
      <vt:variant>
        <vt:i4>5</vt:i4>
      </vt:variant>
      <vt:variant>
        <vt:lpwstr/>
      </vt:variant>
      <vt:variant>
        <vt:lpwstr>_Toc176952460</vt:lpwstr>
      </vt:variant>
      <vt:variant>
        <vt:i4>1966134</vt:i4>
      </vt:variant>
      <vt:variant>
        <vt:i4>164</vt:i4>
      </vt:variant>
      <vt:variant>
        <vt:i4>0</vt:i4>
      </vt:variant>
      <vt:variant>
        <vt:i4>5</vt:i4>
      </vt:variant>
      <vt:variant>
        <vt:lpwstr/>
      </vt:variant>
      <vt:variant>
        <vt:lpwstr>_Toc176952459</vt:lpwstr>
      </vt:variant>
      <vt:variant>
        <vt:i4>1966134</vt:i4>
      </vt:variant>
      <vt:variant>
        <vt:i4>158</vt:i4>
      </vt:variant>
      <vt:variant>
        <vt:i4>0</vt:i4>
      </vt:variant>
      <vt:variant>
        <vt:i4>5</vt:i4>
      </vt:variant>
      <vt:variant>
        <vt:lpwstr/>
      </vt:variant>
      <vt:variant>
        <vt:lpwstr>_Toc176952458</vt:lpwstr>
      </vt:variant>
      <vt:variant>
        <vt:i4>1966134</vt:i4>
      </vt:variant>
      <vt:variant>
        <vt:i4>152</vt:i4>
      </vt:variant>
      <vt:variant>
        <vt:i4>0</vt:i4>
      </vt:variant>
      <vt:variant>
        <vt:i4>5</vt:i4>
      </vt:variant>
      <vt:variant>
        <vt:lpwstr/>
      </vt:variant>
      <vt:variant>
        <vt:lpwstr>_Toc176952457</vt:lpwstr>
      </vt:variant>
      <vt:variant>
        <vt:i4>1966134</vt:i4>
      </vt:variant>
      <vt:variant>
        <vt:i4>146</vt:i4>
      </vt:variant>
      <vt:variant>
        <vt:i4>0</vt:i4>
      </vt:variant>
      <vt:variant>
        <vt:i4>5</vt:i4>
      </vt:variant>
      <vt:variant>
        <vt:lpwstr/>
      </vt:variant>
      <vt:variant>
        <vt:lpwstr>_Toc176952456</vt:lpwstr>
      </vt:variant>
      <vt:variant>
        <vt:i4>1966134</vt:i4>
      </vt:variant>
      <vt:variant>
        <vt:i4>140</vt:i4>
      </vt:variant>
      <vt:variant>
        <vt:i4>0</vt:i4>
      </vt:variant>
      <vt:variant>
        <vt:i4>5</vt:i4>
      </vt:variant>
      <vt:variant>
        <vt:lpwstr/>
      </vt:variant>
      <vt:variant>
        <vt:lpwstr>_Toc176952455</vt:lpwstr>
      </vt:variant>
      <vt:variant>
        <vt:i4>1966134</vt:i4>
      </vt:variant>
      <vt:variant>
        <vt:i4>134</vt:i4>
      </vt:variant>
      <vt:variant>
        <vt:i4>0</vt:i4>
      </vt:variant>
      <vt:variant>
        <vt:i4>5</vt:i4>
      </vt:variant>
      <vt:variant>
        <vt:lpwstr/>
      </vt:variant>
      <vt:variant>
        <vt:lpwstr>_Toc176952454</vt:lpwstr>
      </vt:variant>
      <vt:variant>
        <vt:i4>1966134</vt:i4>
      </vt:variant>
      <vt:variant>
        <vt:i4>128</vt:i4>
      </vt:variant>
      <vt:variant>
        <vt:i4>0</vt:i4>
      </vt:variant>
      <vt:variant>
        <vt:i4>5</vt:i4>
      </vt:variant>
      <vt:variant>
        <vt:lpwstr/>
      </vt:variant>
      <vt:variant>
        <vt:lpwstr>_Toc176952453</vt:lpwstr>
      </vt:variant>
      <vt:variant>
        <vt:i4>1966134</vt:i4>
      </vt:variant>
      <vt:variant>
        <vt:i4>122</vt:i4>
      </vt:variant>
      <vt:variant>
        <vt:i4>0</vt:i4>
      </vt:variant>
      <vt:variant>
        <vt:i4>5</vt:i4>
      </vt:variant>
      <vt:variant>
        <vt:lpwstr/>
      </vt:variant>
      <vt:variant>
        <vt:lpwstr>_Toc176952452</vt:lpwstr>
      </vt:variant>
      <vt:variant>
        <vt:i4>1966134</vt:i4>
      </vt:variant>
      <vt:variant>
        <vt:i4>116</vt:i4>
      </vt:variant>
      <vt:variant>
        <vt:i4>0</vt:i4>
      </vt:variant>
      <vt:variant>
        <vt:i4>5</vt:i4>
      </vt:variant>
      <vt:variant>
        <vt:lpwstr/>
      </vt:variant>
      <vt:variant>
        <vt:lpwstr>_Toc176952451</vt:lpwstr>
      </vt:variant>
      <vt:variant>
        <vt:i4>1966134</vt:i4>
      </vt:variant>
      <vt:variant>
        <vt:i4>110</vt:i4>
      </vt:variant>
      <vt:variant>
        <vt:i4>0</vt:i4>
      </vt:variant>
      <vt:variant>
        <vt:i4>5</vt:i4>
      </vt:variant>
      <vt:variant>
        <vt:lpwstr/>
      </vt:variant>
      <vt:variant>
        <vt:lpwstr>_Toc176952450</vt:lpwstr>
      </vt:variant>
      <vt:variant>
        <vt:i4>2031670</vt:i4>
      </vt:variant>
      <vt:variant>
        <vt:i4>104</vt:i4>
      </vt:variant>
      <vt:variant>
        <vt:i4>0</vt:i4>
      </vt:variant>
      <vt:variant>
        <vt:i4>5</vt:i4>
      </vt:variant>
      <vt:variant>
        <vt:lpwstr/>
      </vt:variant>
      <vt:variant>
        <vt:lpwstr>_Toc176952449</vt:lpwstr>
      </vt:variant>
      <vt:variant>
        <vt:i4>2031670</vt:i4>
      </vt:variant>
      <vt:variant>
        <vt:i4>98</vt:i4>
      </vt:variant>
      <vt:variant>
        <vt:i4>0</vt:i4>
      </vt:variant>
      <vt:variant>
        <vt:i4>5</vt:i4>
      </vt:variant>
      <vt:variant>
        <vt:lpwstr/>
      </vt:variant>
      <vt:variant>
        <vt:lpwstr>_Toc176952448</vt:lpwstr>
      </vt:variant>
      <vt:variant>
        <vt:i4>2031670</vt:i4>
      </vt:variant>
      <vt:variant>
        <vt:i4>92</vt:i4>
      </vt:variant>
      <vt:variant>
        <vt:i4>0</vt:i4>
      </vt:variant>
      <vt:variant>
        <vt:i4>5</vt:i4>
      </vt:variant>
      <vt:variant>
        <vt:lpwstr/>
      </vt:variant>
      <vt:variant>
        <vt:lpwstr>_Toc176952447</vt:lpwstr>
      </vt:variant>
      <vt:variant>
        <vt:i4>2031670</vt:i4>
      </vt:variant>
      <vt:variant>
        <vt:i4>86</vt:i4>
      </vt:variant>
      <vt:variant>
        <vt:i4>0</vt:i4>
      </vt:variant>
      <vt:variant>
        <vt:i4>5</vt:i4>
      </vt:variant>
      <vt:variant>
        <vt:lpwstr/>
      </vt:variant>
      <vt:variant>
        <vt:lpwstr>_Toc176952446</vt:lpwstr>
      </vt:variant>
      <vt:variant>
        <vt:i4>2031670</vt:i4>
      </vt:variant>
      <vt:variant>
        <vt:i4>80</vt:i4>
      </vt:variant>
      <vt:variant>
        <vt:i4>0</vt:i4>
      </vt:variant>
      <vt:variant>
        <vt:i4>5</vt:i4>
      </vt:variant>
      <vt:variant>
        <vt:lpwstr/>
      </vt:variant>
      <vt:variant>
        <vt:lpwstr>_Toc176952445</vt:lpwstr>
      </vt:variant>
      <vt:variant>
        <vt:i4>2031670</vt:i4>
      </vt:variant>
      <vt:variant>
        <vt:i4>74</vt:i4>
      </vt:variant>
      <vt:variant>
        <vt:i4>0</vt:i4>
      </vt:variant>
      <vt:variant>
        <vt:i4>5</vt:i4>
      </vt:variant>
      <vt:variant>
        <vt:lpwstr/>
      </vt:variant>
      <vt:variant>
        <vt:lpwstr>_Toc176952444</vt:lpwstr>
      </vt:variant>
      <vt:variant>
        <vt:i4>2031670</vt:i4>
      </vt:variant>
      <vt:variant>
        <vt:i4>68</vt:i4>
      </vt:variant>
      <vt:variant>
        <vt:i4>0</vt:i4>
      </vt:variant>
      <vt:variant>
        <vt:i4>5</vt:i4>
      </vt:variant>
      <vt:variant>
        <vt:lpwstr/>
      </vt:variant>
      <vt:variant>
        <vt:lpwstr>_Toc176952443</vt:lpwstr>
      </vt:variant>
      <vt:variant>
        <vt:i4>2031670</vt:i4>
      </vt:variant>
      <vt:variant>
        <vt:i4>62</vt:i4>
      </vt:variant>
      <vt:variant>
        <vt:i4>0</vt:i4>
      </vt:variant>
      <vt:variant>
        <vt:i4>5</vt:i4>
      </vt:variant>
      <vt:variant>
        <vt:lpwstr/>
      </vt:variant>
      <vt:variant>
        <vt:lpwstr>_Toc176952442</vt:lpwstr>
      </vt:variant>
      <vt:variant>
        <vt:i4>2031670</vt:i4>
      </vt:variant>
      <vt:variant>
        <vt:i4>56</vt:i4>
      </vt:variant>
      <vt:variant>
        <vt:i4>0</vt:i4>
      </vt:variant>
      <vt:variant>
        <vt:i4>5</vt:i4>
      </vt:variant>
      <vt:variant>
        <vt:lpwstr/>
      </vt:variant>
      <vt:variant>
        <vt:lpwstr>_Toc176952441</vt:lpwstr>
      </vt:variant>
      <vt:variant>
        <vt:i4>2031670</vt:i4>
      </vt:variant>
      <vt:variant>
        <vt:i4>50</vt:i4>
      </vt:variant>
      <vt:variant>
        <vt:i4>0</vt:i4>
      </vt:variant>
      <vt:variant>
        <vt:i4>5</vt:i4>
      </vt:variant>
      <vt:variant>
        <vt:lpwstr/>
      </vt:variant>
      <vt:variant>
        <vt:lpwstr>_Toc176952440</vt:lpwstr>
      </vt:variant>
      <vt:variant>
        <vt:i4>1572918</vt:i4>
      </vt:variant>
      <vt:variant>
        <vt:i4>44</vt:i4>
      </vt:variant>
      <vt:variant>
        <vt:i4>0</vt:i4>
      </vt:variant>
      <vt:variant>
        <vt:i4>5</vt:i4>
      </vt:variant>
      <vt:variant>
        <vt:lpwstr/>
      </vt:variant>
      <vt:variant>
        <vt:lpwstr>_Toc176952439</vt:lpwstr>
      </vt:variant>
      <vt:variant>
        <vt:i4>1572918</vt:i4>
      </vt:variant>
      <vt:variant>
        <vt:i4>38</vt:i4>
      </vt:variant>
      <vt:variant>
        <vt:i4>0</vt:i4>
      </vt:variant>
      <vt:variant>
        <vt:i4>5</vt:i4>
      </vt:variant>
      <vt:variant>
        <vt:lpwstr/>
      </vt:variant>
      <vt:variant>
        <vt:lpwstr>_Toc176952438</vt:lpwstr>
      </vt:variant>
      <vt:variant>
        <vt:i4>1572918</vt:i4>
      </vt:variant>
      <vt:variant>
        <vt:i4>32</vt:i4>
      </vt:variant>
      <vt:variant>
        <vt:i4>0</vt:i4>
      </vt:variant>
      <vt:variant>
        <vt:i4>5</vt:i4>
      </vt:variant>
      <vt:variant>
        <vt:lpwstr/>
      </vt:variant>
      <vt:variant>
        <vt:lpwstr>_Toc176952437</vt:lpwstr>
      </vt:variant>
      <vt:variant>
        <vt:i4>1572918</vt:i4>
      </vt:variant>
      <vt:variant>
        <vt:i4>26</vt:i4>
      </vt:variant>
      <vt:variant>
        <vt:i4>0</vt:i4>
      </vt:variant>
      <vt:variant>
        <vt:i4>5</vt:i4>
      </vt:variant>
      <vt:variant>
        <vt:lpwstr/>
      </vt:variant>
      <vt:variant>
        <vt:lpwstr>_Toc176952436</vt:lpwstr>
      </vt:variant>
      <vt:variant>
        <vt:i4>1572918</vt:i4>
      </vt:variant>
      <vt:variant>
        <vt:i4>20</vt:i4>
      </vt:variant>
      <vt:variant>
        <vt:i4>0</vt:i4>
      </vt:variant>
      <vt:variant>
        <vt:i4>5</vt:i4>
      </vt:variant>
      <vt:variant>
        <vt:lpwstr/>
      </vt:variant>
      <vt:variant>
        <vt:lpwstr>_Toc176952435</vt:lpwstr>
      </vt:variant>
      <vt:variant>
        <vt:i4>1572918</vt:i4>
      </vt:variant>
      <vt:variant>
        <vt:i4>14</vt:i4>
      </vt:variant>
      <vt:variant>
        <vt:i4>0</vt:i4>
      </vt:variant>
      <vt:variant>
        <vt:i4>5</vt:i4>
      </vt:variant>
      <vt:variant>
        <vt:lpwstr/>
      </vt:variant>
      <vt:variant>
        <vt:lpwstr>_Toc176952434</vt:lpwstr>
      </vt:variant>
      <vt:variant>
        <vt:i4>1572918</vt:i4>
      </vt:variant>
      <vt:variant>
        <vt:i4>8</vt:i4>
      </vt:variant>
      <vt:variant>
        <vt:i4>0</vt:i4>
      </vt:variant>
      <vt:variant>
        <vt:i4>5</vt:i4>
      </vt:variant>
      <vt:variant>
        <vt:lpwstr/>
      </vt:variant>
      <vt:variant>
        <vt:lpwstr>_Toc176952433</vt:lpwstr>
      </vt:variant>
      <vt:variant>
        <vt:i4>1572918</vt:i4>
      </vt:variant>
      <vt:variant>
        <vt:i4>2</vt:i4>
      </vt:variant>
      <vt:variant>
        <vt:i4>0</vt:i4>
      </vt:variant>
      <vt:variant>
        <vt:i4>5</vt:i4>
      </vt:variant>
      <vt:variant>
        <vt:lpwstr/>
      </vt:variant>
      <vt:variant>
        <vt:lpwstr>_Toc176952432</vt:lpwstr>
      </vt:variant>
      <vt:variant>
        <vt:i4>4128887</vt:i4>
      </vt:variant>
      <vt:variant>
        <vt:i4>18</vt:i4>
      </vt:variant>
      <vt:variant>
        <vt:i4>0</vt:i4>
      </vt:variant>
      <vt:variant>
        <vt:i4>5</vt:i4>
      </vt:variant>
      <vt:variant>
        <vt:lpwstr>https://www.health.gov.au/our-work/general-use-items-on-the-prescribed-list</vt:lpwstr>
      </vt:variant>
      <vt:variant>
        <vt:lpwstr/>
      </vt:variant>
      <vt:variant>
        <vt:i4>5374047</vt:i4>
      </vt:variant>
      <vt:variant>
        <vt:i4>15</vt:i4>
      </vt:variant>
      <vt:variant>
        <vt:i4>0</vt:i4>
      </vt:variant>
      <vt:variant>
        <vt:i4>5</vt:i4>
      </vt:variant>
      <vt:variant>
        <vt:lpwstr>https://www.health.gov.au/news/phi-circulars/phi-2122-prostheses-list-reform-schedule-of-prostheses-list-price-reductions?language=en</vt:lpwstr>
      </vt:variant>
      <vt:variant>
        <vt:lpwstr/>
      </vt:variant>
      <vt:variant>
        <vt:i4>5374047</vt:i4>
      </vt:variant>
      <vt:variant>
        <vt:i4>12</vt:i4>
      </vt:variant>
      <vt:variant>
        <vt:i4>0</vt:i4>
      </vt:variant>
      <vt:variant>
        <vt:i4>5</vt:i4>
      </vt:variant>
      <vt:variant>
        <vt:lpwstr>https://www.health.gov.au/news/phi-circulars/phi-2122-prostheses-list-reform-schedule-of-prostheses-list-price-reductions?language=en</vt:lpwstr>
      </vt:variant>
      <vt:variant>
        <vt:lpwstr/>
      </vt:variant>
      <vt:variant>
        <vt:i4>5374047</vt:i4>
      </vt:variant>
      <vt:variant>
        <vt:i4>9</vt:i4>
      </vt:variant>
      <vt:variant>
        <vt:i4>0</vt:i4>
      </vt:variant>
      <vt:variant>
        <vt:i4>5</vt:i4>
      </vt:variant>
      <vt:variant>
        <vt:lpwstr>https://www.health.gov.au/news/phi-circulars/phi-2122-prostheses-list-reform-schedule-of-prostheses-list-price-reductions?language=en</vt:lpwstr>
      </vt:variant>
      <vt:variant>
        <vt:lpwstr/>
      </vt:variant>
      <vt:variant>
        <vt:i4>5374047</vt:i4>
      </vt:variant>
      <vt:variant>
        <vt:i4>6</vt:i4>
      </vt:variant>
      <vt:variant>
        <vt:i4>0</vt:i4>
      </vt:variant>
      <vt:variant>
        <vt:i4>5</vt:i4>
      </vt:variant>
      <vt:variant>
        <vt:lpwstr>https://www.health.gov.au/news/phi-circulars/phi-2122-prostheses-list-reform-schedule-of-prostheses-list-price-reductions?language=en</vt:lpwstr>
      </vt:variant>
      <vt:variant>
        <vt:lpwstr/>
      </vt:variant>
      <vt:variant>
        <vt:i4>3604547</vt:i4>
      </vt:variant>
      <vt:variant>
        <vt:i4>6</vt:i4>
      </vt:variant>
      <vt:variant>
        <vt:i4>0</vt:i4>
      </vt:variant>
      <vt:variant>
        <vt:i4>5</vt:i4>
      </vt:variant>
      <vt:variant>
        <vt:lpwstr>mailto:Thomas.Holman@nousgroup.com</vt:lpwstr>
      </vt:variant>
      <vt:variant>
        <vt:lpwstr/>
      </vt:variant>
      <vt:variant>
        <vt:i4>3604547</vt:i4>
      </vt:variant>
      <vt:variant>
        <vt:i4>3</vt:i4>
      </vt:variant>
      <vt:variant>
        <vt:i4>0</vt:i4>
      </vt:variant>
      <vt:variant>
        <vt:i4>5</vt:i4>
      </vt:variant>
      <vt:variant>
        <vt:lpwstr>mailto:Thomas.Holman@nousgroup.com</vt:lpwstr>
      </vt:variant>
      <vt:variant>
        <vt:lpwstr/>
      </vt:variant>
      <vt:variant>
        <vt:i4>3604547</vt:i4>
      </vt:variant>
      <vt:variant>
        <vt:i4>0</vt:i4>
      </vt:variant>
      <vt:variant>
        <vt:i4>0</vt:i4>
      </vt:variant>
      <vt:variant>
        <vt:i4>5</vt:i4>
      </vt:variant>
      <vt:variant>
        <vt:lpwstr>mailto:Thomas.Holman@nousgroup.com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Evaluation #1 of the Prescribed List Reforms</dc:title>
  <dc:subject>Department of Health and Aged Care</dc:subject>
  <dc:creator>Australian Governement Department of Health and Aged Care</dc:creator>
  <cp:keywords>Private health insurance;Prescribed list reforms</cp:keywords>
  <cp:lastModifiedBy>MASCHKE, Elvia</cp:lastModifiedBy>
  <cp:revision>2</cp:revision>
  <cp:lastPrinted>2017-07-07T06:51:00Z</cp:lastPrinted>
  <dcterms:created xsi:type="dcterms:W3CDTF">2024-12-11T00:43:00Z</dcterms:created>
  <dcterms:modified xsi:type="dcterms:W3CDTF">2024-12-11T00:43:00Z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0x0101007246E8C8D4FAD34BBB1CAF9A5132AE35</vt:lpwstr>
  </property>
  <property fmtid="{D5CDD505-2E9C-101B-9397-08002B2CF9AE}" pid="3" name="MediaServiceImageTags">
    <vt:lpwstr/>
  </property>
</Properties>
</file>