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19577" w14:textId="77777777" w:rsidR="003B1432" w:rsidRPr="00B72647" w:rsidRDefault="003B1432" w:rsidP="003B1432">
      <w:pPr>
        <w:pStyle w:val="Title"/>
      </w:pPr>
      <w:bookmarkStart w:id="0" w:name="HSO_Portal_–_Training_Environment"/>
      <w:bookmarkEnd w:id="0"/>
      <w:r>
        <w:t xml:space="preserve">Portal user guide – </w:t>
      </w:r>
      <w:r w:rsidRPr="00B72647">
        <w:t xml:space="preserve">Accessing the </w:t>
      </w:r>
      <w:r>
        <w:t>t</w:t>
      </w:r>
      <w:r w:rsidRPr="00B72647">
        <w:t xml:space="preserve">raining </w:t>
      </w:r>
      <w:r>
        <w:t>e</w:t>
      </w:r>
      <w:r w:rsidRPr="00B72647">
        <w:t>nvironment</w:t>
      </w:r>
    </w:p>
    <w:p w14:paraId="4AAFD311" w14:textId="77777777" w:rsidR="003B1432" w:rsidRDefault="003B1432" w:rsidP="003B1432">
      <w:r w:rsidRPr="00B72647">
        <w:t>The HSO training environment allows providers to practice existing portal processes, test new features, and train staff to use the HSO portal. Data in the Training portal are test data.  All records can be accessed and edited without affecting sensitive business or client information, as test data is not connected to information in the live portal environment.</w:t>
      </w:r>
      <w:r w:rsidRPr="008B1CDF">
        <w:t xml:space="preserve"> </w:t>
      </w:r>
      <w:r w:rsidRPr="00B72647">
        <w:t xml:space="preserve">The Training Environment is visually identifiable by the yellow/black colour schematic and the banner </w:t>
      </w:r>
      <w:r w:rsidRPr="008B1CDF">
        <w:t>Training Environment</w:t>
      </w:r>
      <w:r w:rsidRPr="004738DF">
        <w:rPr>
          <w:color w:val="FFFF00"/>
        </w:rPr>
        <w:t xml:space="preserve"> </w:t>
      </w:r>
      <w:r w:rsidRPr="00B72647">
        <w:t>at the top of each portal webpage</w:t>
      </w:r>
      <w:r>
        <w:t>.</w:t>
      </w:r>
    </w:p>
    <w:p w14:paraId="56410F09" w14:textId="77777777" w:rsidR="003B1432" w:rsidRDefault="003B1432" w:rsidP="003B1432">
      <w:pPr>
        <w:pStyle w:val="Heading1"/>
      </w:pPr>
      <w:r>
        <w:t>Access</w:t>
      </w:r>
    </w:p>
    <w:p w14:paraId="18EAC0A3" w14:textId="77777777" w:rsidR="003B1432" w:rsidRPr="008B1CDF" w:rsidRDefault="003B1432" w:rsidP="003B1432">
      <w:pPr>
        <w:pStyle w:val="Heading2"/>
      </w:pPr>
      <w:r>
        <w:t>What access do I need?</w:t>
      </w:r>
    </w:p>
    <w:p w14:paraId="00ECE411" w14:textId="633D427C" w:rsidR="003B1432" w:rsidRPr="00B72647" w:rsidRDefault="003B1432" w:rsidP="003B1432">
      <w:pPr>
        <w:rPr>
          <w:b/>
          <w:bCs/>
        </w:rPr>
      </w:pPr>
      <w:r>
        <w:t>A specific training environment account and a</w:t>
      </w:r>
      <w:r w:rsidRPr="00B72647">
        <w:t xml:space="preserve"> current </w:t>
      </w:r>
      <w:proofErr w:type="spellStart"/>
      <w:r w:rsidR="009C0B7B">
        <w:t>myID</w:t>
      </w:r>
      <w:proofErr w:type="spellEnd"/>
      <w:r w:rsidRPr="00B72647">
        <w:t xml:space="preserve"> account and Relationship Authorisation Manager (RAM) authorisation.</w:t>
      </w:r>
    </w:p>
    <w:p w14:paraId="1AF61228" w14:textId="77777777" w:rsidR="003B1432" w:rsidRPr="008B1CDF" w:rsidRDefault="003B1432" w:rsidP="003B1432">
      <w:pPr>
        <w:pStyle w:val="Heading1"/>
      </w:pPr>
      <w:r w:rsidRPr="008B1CDF">
        <w:t>Creating an Admin User Account</w:t>
      </w:r>
    </w:p>
    <w:p w14:paraId="6D2341ED" w14:textId="77777777" w:rsidR="003B1432" w:rsidRDefault="003B1432" w:rsidP="003B1432">
      <w:r>
        <w:t>To</w:t>
      </w:r>
      <w:r>
        <w:rPr>
          <w:spacing w:val="-3"/>
        </w:rPr>
        <w:t xml:space="preserve"> </w:t>
      </w:r>
      <w:r>
        <w:t>access</w:t>
      </w:r>
      <w:r>
        <w:rPr>
          <w:spacing w:val="-4"/>
        </w:rPr>
        <w:t xml:space="preserve"> </w:t>
      </w:r>
      <w:r>
        <w:t>the</w:t>
      </w:r>
      <w:r>
        <w:rPr>
          <w:spacing w:val="-3"/>
        </w:rPr>
        <w:t xml:space="preserve"> </w:t>
      </w:r>
      <w:r>
        <w:t>HSO</w:t>
      </w:r>
      <w:r>
        <w:rPr>
          <w:spacing w:val="-1"/>
        </w:rPr>
        <w:t xml:space="preserve"> </w:t>
      </w:r>
      <w:r>
        <w:t>training</w:t>
      </w:r>
      <w:r>
        <w:rPr>
          <w:spacing w:val="-3"/>
        </w:rPr>
        <w:t xml:space="preserve"> </w:t>
      </w:r>
      <w:r>
        <w:t>environment,</w:t>
      </w:r>
      <w:r>
        <w:rPr>
          <w:spacing w:val="-1"/>
        </w:rPr>
        <w:t xml:space="preserve"> </w:t>
      </w:r>
      <w:r>
        <w:t>an</w:t>
      </w:r>
      <w:r>
        <w:rPr>
          <w:spacing w:val="-3"/>
        </w:rPr>
        <w:t xml:space="preserve"> </w:t>
      </w:r>
      <w:r>
        <w:t>SP</w:t>
      </w:r>
      <w:r>
        <w:rPr>
          <w:spacing w:val="-1"/>
        </w:rPr>
        <w:t xml:space="preserve"> </w:t>
      </w:r>
      <w:r>
        <w:t>Admin</w:t>
      </w:r>
      <w:r>
        <w:rPr>
          <w:spacing w:val="-1"/>
        </w:rPr>
        <w:t xml:space="preserve"> </w:t>
      </w:r>
      <w:r>
        <w:t>User</w:t>
      </w:r>
      <w:r>
        <w:rPr>
          <w:spacing w:val="-5"/>
        </w:rPr>
        <w:t xml:space="preserve"> </w:t>
      </w:r>
      <w:r>
        <w:t>must</w:t>
      </w:r>
      <w:r>
        <w:rPr>
          <w:spacing w:val="-4"/>
        </w:rPr>
        <w:t xml:space="preserve"> </w:t>
      </w:r>
      <w:r>
        <w:t>create</w:t>
      </w:r>
      <w:r>
        <w:rPr>
          <w:spacing w:val="-3"/>
        </w:rPr>
        <w:t xml:space="preserve"> </w:t>
      </w:r>
      <w:r>
        <w:t>a</w:t>
      </w:r>
      <w:r>
        <w:rPr>
          <w:spacing w:val="-1"/>
        </w:rPr>
        <w:t xml:space="preserve"> </w:t>
      </w:r>
      <w:r>
        <w:t>user account specifically for the Training Environment.</w:t>
      </w:r>
    </w:p>
    <w:p w14:paraId="7CA50BAE" w14:textId="77777777" w:rsidR="003B1432" w:rsidRDefault="003B1432" w:rsidP="003B1432">
      <w:r>
        <w:t>If</w:t>
      </w:r>
      <w:r>
        <w:rPr>
          <w:spacing w:val="-1"/>
        </w:rPr>
        <w:t xml:space="preserve"> </w:t>
      </w:r>
      <w:r>
        <w:t>the</w:t>
      </w:r>
      <w:r>
        <w:rPr>
          <w:spacing w:val="-1"/>
        </w:rPr>
        <w:t xml:space="preserve"> </w:t>
      </w:r>
      <w:r>
        <w:t>SP</w:t>
      </w:r>
      <w:r>
        <w:rPr>
          <w:spacing w:val="-4"/>
        </w:rPr>
        <w:t xml:space="preserve"> </w:t>
      </w:r>
      <w:r>
        <w:t>Admin</w:t>
      </w:r>
      <w:r>
        <w:rPr>
          <w:spacing w:val="-1"/>
        </w:rPr>
        <w:t xml:space="preserve"> </w:t>
      </w:r>
      <w:r>
        <w:t>User</w:t>
      </w:r>
      <w:r>
        <w:rPr>
          <w:spacing w:val="-5"/>
        </w:rPr>
        <w:t xml:space="preserve"> </w:t>
      </w:r>
      <w:r>
        <w:t>for</w:t>
      </w:r>
      <w:r>
        <w:rPr>
          <w:spacing w:val="-3"/>
        </w:rPr>
        <w:t xml:space="preserve"> </w:t>
      </w:r>
      <w:r>
        <w:t>your</w:t>
      </w:r>
      <w:r>
        <w:rPr>
          <w:spacing w:val="-3"/>
        </w:rPr>
        <w:t xml:space="preserve"> </w:t>
      </w:r>
      <w:r>
        <w:t>business</w:t>
      </w:r>
      <w:r>
        <w:rPr>
          <w:spacing w:val="-2"/>
        </w:rPr>
        <w:t xml:space="preserve"> </w:t>
      </w:r>
      <w:r>
        <w:t>does</w:t>
      </w:r>
      <w:r>
        <w:rPr>
          <w:spacing w:val="-2"/>
        </w:rPr>
        <w:t xml:space="preserve"> </w:t>
      </w:r>
      <w:r>
        <w:t>not</w:t>
      </w:r>
      <w:r>
        <w:rPr>
          <w:spacing w:val="-4"/>
        </w:rPr>
        <w:t xml:space="preserve"> </w:t>
      </w:r>
      <w:r>
        <w:t>have</w:t>
      </w:r>
      <w:r>
        <w:rPr>
          <w:spacing w:val="-1"/>
        </w:rPr>
        <w:t xml:space="preserve"> </w:t>
      </w:r>
      <w:r>
        <w:t>a</w:t>
      </w:r>
      <w:r>
        <w:rPr>
          <w:spacing w:val="-1"/>
        </w:rPr>
        <w:t xml:space="preserve"> </w:t>
      </w:r>
      <w:r>
        <w:t>current</w:t>
      </w:r>
      <w:r>
        <w:rPr>
          <w:spacing w:val="-4"/>
        </w:rPr>
        <w:t xml:space="preserve"> </w:t>
      </w:r>
      <w:r>
        <w:t>Training</w:t>
      </w:r>
      <w:r>
        <w:rPr>
          <w:spacing w:val="-3"/>
        </w:rPr>
        <w:t xml:space="preserve"> </w:t>
      </w:r>
      <w:r>
        <w:t xml:space="preserve">Environment account, please request one to be set up for you by emailing </w:t>
      </w:r>
      <w:hyperlink r:id="rId11">
        <w:r>
          <w:rPr>
            <w:color w:val="0000FF"/>
            <w:u w:val="single" w:color="0000FF"/>
          </w:rPr>
          <w:t>hearing@health.gov.au</w:t>
        </w:r>
      </w:hyperlink>
    </w:p>
    <w:p w14:paraId="62BE0E11" w14:textId="77777777" w:rsidR="003B1432" w:rsidRDefault="003B1432" w:rsidP="003B1432">
      <w:r>
        <w:t>Once an account has been set up for the training portal the SP Admin User will be sent an</w:t>
      </w:r>
      <w:r>
        <w:rPr>
          <w:spacing w:val="-1"/>
        </w:rPr>
        <w:t xml:space="preserve"> </w:t>
      </w:r>
      <w:r>
        <w:t>invitation</w:t>
      </w:r>
      <w:r>
        <w:rPr>
          <w:spacing w:val="-1"/>
        </w:rPr>
        <w:t xml:space="preserve"> </w:t>
      </w:r>
      <w:r>
        <w:t>which</w:t>
      </w:r>
      <w:r>
        <w:rPr>
          <w:spacing w:val="-1"/>
        </w:rPr>
        <w:t xml:space="preserve"> </w:t>
      </w:r>
      <w:r>
        <w:t>they</w:t>
      </w:r>
      <w:r>
        <w:rPr>
          <w:spacing w:val="-4"/>
        </w:rPr>
        <w:t xml:space="preserve"> </w:t>
      </w:r>
      <w:r>
        <w:t>need</w:t>
      </w:r>
      <w:r>
        <w:rPr>
          <w:spacing w:val="-1"/>
        </w:rPr>
        <w:t xml:space="preserve"> </w:t>
      </w:r>
      <w:r>
        <w:t>to</w:t>
      </w:r>
      <w:r>
        <w:rPr>
          <w:spacing w:val="-1"/>
        </w:rPr>
        <w:t xml:space="preserve"> </w:t>
      </w:r>
      <w:r>
        <w:t>accept.</w:t>
      </w:r>
      <w:r>
        <w:rPr>
          <w:spacing w:val="40"/>
        </w:rPr>
        <w:t xml:space="preserve"> </w:t>
      </w:r>
      <w:r>
        <w:t>This</w:t>
      </w:r>
      <w:r>
        <w:rPr>
          <w:spacing w:val="-4"/>
        </w:rPr>
        <w:t xml:space="preserve"> </w:t>
      </w:r>
      <w:r>
        <w:t>process</w:t>
      </w:r>
      <w:r>
        <w:rPr>
          <w:spacing w:val="-2"/>
        </w:rPr>
        <w:t xml:space="preserve"> </w:t>
      </w:r>
      <w:r>
        <w:t>is</w:t>
      </w:r>
      <w:r>
        <w:rPr>
          <w:spacing w:val="-4"/>
        </w:rPr>
        <w:t xml:space="preserve"> </w:t>
      </w:r>
      <w:r>
        <w:t>the same</w:t>
      </w:r>
      <w:r>
        <w:rPr>
          <w:spacing w:val="-3"/>
        </w:rPr>
        <w:t xml:space="preserve"> </w:t>
      </w:r>
      <w:r>
        <w:t>as</w:t>
      </w:r>
      <w:r>
        <w:rPr>
          <w:spacing w:val="-4"/>
        </w:rPr>
        <w:t xml:space="preserve"> </w:t>
      </w:r>
      <w:r>
        <w:t>accepting</w:t>
      </w:r>
      <w:r>
        <w:rPr>
          <w:spacing w:val="-3"/>
        </w:rPr>
        <w:t xml:space="preserve"> </w:t>
      </w:r>
      <w:r>
        <w:t>an invitation to the Live Portal.</w:t>
      </w:r>
    </w:p>
    <w:p w14:paraId="302E85C2" w14:textId="77777777" w:rsidR="003B1432" w:rsidRDefault="003B1432" w:rsidP="003B1432">
      <w:pPr>
        <w:pStyle w:val="Heading1"/>
      </w:pPr>
      <w:r>
        <w:t>How</w:t>
      </w:r>
      <w:r>
        <w:rPr>
          <w:spacing w:val="-1"/>
        </w:rPr>
        <w:t xml:space="preserve"> </w:t>
      </w:r>
      <w:r>
        <w:t>to</w:t>
      </w:r>
      <w:r>
        <w:rPr>
          <w:spacing w:val="-9"/>
        </w:rPr>
        <w:t xml:space="preserve"> </w:t>
      </w:r>
      <w:r>
        <w:t>invite</w:t>
      </w:r>
      <w:r>
        <w:rPr>
          <w:spacing w:val="-9"/>
        </w:rPr>
        <w:t xml:space="preserve"> </w:t>
      </w:r>
      <w:r>
        <w:t>users</w:t>
      </w:r>
      <w:r>
        <w:rPr>
          <w:spacing w:val="-9"/>
        </w:rPr>
        <w:t xml:space="preserve"> </w:t>
      </w:r>
      <w:r>
        <w:t>to</w:t>
      </w:r>
      <w:r>
        <w:rPr>
          <w:spacing w:val="-7"/>
        </w:rPr>
        <w:t xml:space="preserve"> </w:t>
      </w:r>
      <w:r>
        <w:t>the</w:t>
      </w:r>
      <w:r>
        <w:rPr>
          <w:spacing w:val="-7"/>
        </w:rPr>
        <w:t xml:space="preserve"> </w:t>
      </w:r>
      <w:r>
        <w:t>training</w:t>
      </w:r>
      <w:r>
        <w:rPr>
          <w:spacing w:val="-9"/>
        </w:rPr>
        <w:t xml:space="preserve"> </w:t>
      </w:r>
      <w:r>
        <w:rPr>
          <w:spacing w:val="-2"/>
        </w:rPr>
        <w:t>environment</w:t>
      </w:r>
    </w:p>
    <w:p w14:paraId="03CE2651" w14:textId="77777777" w:rsidR="003B1432" w:rsidRDefault="003B1432" w:rsidP="003B1432">
      <w:r>
        <w:t>Only</w:t>
      </w:r>
      <w:r>
        <w:rPr>
          <w:spacing w:val="-4"/>
        </w:rPr>
        <w:t xml:space="preserve"> </w:t>
      </w:r>
      <w:r>
        <w:t>users</w:t>
      </w:r>
      <w:r>
        <w:rPr>
          <w:spacing w:val="-2"/>
        </w:rPr>
        <w:t xml:space="preserve"> </w:t>
      </w:r>
      <w:r>
        <w:t>with</w:t>
      </w:r>
      <w:r>
        <w:rPr>
          <w:spacing w:val="-1"/>
        </w:rPr>
        <w:t xml:space="preserve"> </w:t>
      </w:r>
      <w:r>
        <w:t>SP</w:t>
      </w:r>
      <w:r>
        <w:rPr>
          <w:spacing w:val="-1"/>
        </w:rPr>
        <w:t xml:space="preserve"> </w:t>
      </w:r>
      <w:r>
        <w:t>Admin</w:t>
      </w:r>
      <w:r>
        <w:rPr>
          <w:spacing w:val="-1"/>
        </w:rPr>
        <w:t xml:space="preserve"> </w:t>
      </w:r>
      <w:r>
        <w:t>portal</w:t>
      </w:r>
      <w:r>
        <w:rPr>
          <w:spacing w:val="-2"/>
        </w:rPr>
        <w:t xml:space="preserve"> </w:t>
      </w:r>
      <w:r>
        <w:t>access</w:t>
      </w:r>
      <w:r>
        <w:rPr>
          <w:spacing w:val="-2"/>
        </w:rPr>
        <w:t xml:space="preserve"> </w:t>
      </w:r>
      <w:r>
        <w:t>can</w:t>
      </w:r>
      <w:r>
        <w:rPr>
          <w:spacing w:val="-3"/>
        </w:rPr>
        <w:t xml:space="preserve"> </w:t>
      </w:r>
      <w:r>
        <w:t>add</w:t>
      </w:r>
      <w:r>
        <w:rPr>
          <w:spacing w:val="-3"/>
        </w:rPr>
        <w:t xml:space="preserve"> </w:t>
      </w:r>
      <w:r>
        <w:t>new</w:t>
      </w:r>
      <w:r>
        <w:rPr>
          <w:spacing w:val="-5"/>
        </w:rPr>
        <w:t xml:space="preserve"> </w:t>
      </w:r>
      <w:r>
        <w:t>users</w:t>
      </w:r>
      <w:r>
        <w:rPr>
          <w:spacing w:val="-2"/>
        </w:rPr>
        <w:t xml:space="preserve"> </w:t>
      </w:r>
      <w:r>
        <w:t>to</w:t>
      </w:r>
      <w:r>
        <w:rPr>
          <w:spacing w:val="-3"/>
        </w:rPr>
        <w:t xml:space="preserve"> </w:t>
      </w:r>
      <w:r>
        <w:t>the</w:t>
      </w:r>
      <w:r>
        <w:rPr>
          <w:spacing w:val="-1"/>
        </w:rPr>
        <w:t xml:space="preserve"> </w:t>
      </w:r>
      <w:r>
        <w:t>training</w:t>
      </w:r>
      <w:r>
        <w:rPr>
          <w:spacing w:val="-3"/>
        </w:rPr>
        <w:t xml:space="preserve"> </w:t>
      </w:r>
      <w:r>
        <w:t>environment. The user you are trying to invite should already have a portal user account. See the ‘</w:t>
      </w:r>
      <w:hyperlink r:id="rId12" w:history="1">
        <w:r w:rsidRPr="00B36151">
          <w:rPr>
            <w:rStyle w:val="Hyperlink"/>
          </w:rPr>
          <w:t>Portal user roles</w:t>
        </w:r>
      </w:hyperlink>
      <w:r>
        <w:t>’ guide if they do not have access already.</w:t>
      </w:r>
    </w:p>
    <w:p w14:paraId="16A0A5CE" w14:textId="77777777" w:rsidR="003B1432" w:rsidRPr="00B72647" w:rsidRDefault="003B1432" w:rsidP="003B1432">
      <w:pPr>
        <w:pStyle w:val="Heading2"/>
      </w:pPr>
      <w:r w:rsidRPr="00B72647">
        <w:lastRenderedPageBreak/>
        <w:t>Step 1</w:t>
      </w:r>
    </w:p>
    <w:p w14:paraId="2C05820A" w14:textId="77777777" w:rsidR="003B1432" w:rsidRPr="0097208D" w:rsidRDefault="003B1432" w:rsidP="003B1432">
      <w:r w:rsidRPr="0097208D">
        <w:t>Visit</w:t>
      </w:r>
      <w:r w:rsidRPr="0097208D">
        <w:rPr>
          <w:spacing w:val="-4"/>
        </w:rPr>
        <w:t xml:space="preserve"> </w:t>
      </w:r>
      <w:r w:rsidRPr="0097208D">
        <w:t>the</w:t>
      </w:r>
      <w:r w:rsidRPr="00ED08AE">
        <w:rPr>
          <w:spacing w:val="-3"/>
        </w:rPr>
        <w:t xml:space="preserve"> </w:t>
      </w:r>
      <w:hyperlink r:id="rId13">
        <w:r w:rsidRPr="0097208D">
          <w:rPr>
            <w:color w:val="0000FF"/>
            <w:u w:val="single" w:color="0000FF"/>
          </w:rPr>
          <w:t>training</w:t>
        </w:r>
        <w:r w:rsidRPr="0097208D">
          <w:rPr>
            <w:color w:val="0000FF"/>
            <w:spacing w:val="-4"/>
            <w:u w:val="single" w:color="0000FF"/>
          </w:rPr>
          <w:t xml:space="preserve"> </w:t>
        </w:r>
        <w:r w:rsidRPr="0097208D">
          <w:rPr>
            <w:color w:val="0000FF"/>
            <w:u w:val="single" w:color="0000FF"/>
          </w:rPr>
          <w:t>environment</w:t>
        </w:r>
      </w:hyperlink>
      <w:r w:rsidRPr="0097208D">
        <w:rPr>
          <w:color w:val="0000FF"/>
          <w:spacing w:val="-3"/>
        </w:rPr>
        <w:t xml:space="preserve"> </w:t>
      </w:r>
      <w:r w:rsidRPr="0097208D">
        <w:rPr>
          <w:spacing w:val="-2"/>
        </w:rPr>
        <w:t>webpage.</w:t>
      </w:r>
    </w:p>
    <w:p w14:paraId="6A5A87EE" w14:textId="402C7CAB" w:rsidR="003B1432" w:rsidRDefault="003B1432" w:rsidP="003B1432">
      <w:r w:rsidRPr="00ED08AE">
        <w:t>Select</w:t>
      </w:r>
      <w:r w:rsidRPr="00ED08AE">
        <w:rPr>
          <w:spacing w:val="-2"/>
        </w:rPr>
        <w:t xml:space="preserve"> </w:t>
      </w:r>
      <w:r w:rsidRPr="00ED08AE">
        <w:t>the</w:t>
      </w:r>
      <w:r w:rsidRPr="00ED08AE">
        <w:rPr>
          <w:spacing w:val="-4"/>
        </w:rPr>
        <w:t xml:space="preserve"> </w:t>
      </w:r>
      <w:r w:rsidRPr="008B1CDF">
        <w:rPr>
          <w:rStyle w:val="Bluebuttonstyle"/>
        </w:rPr>
        <w:t>Portal Login</w:t>
      </w:r>
      <w:r w:rsidRPr="00ED08AE">
        <w:rPr>
          <w:color w:val="FFFFFF"/>
          <w:spacing w:val="-4"/>
        </w:rPr>
        <w:t xml:space="preserve"> </w:t>
      </w:r>
      <w:r>
        <w:t>button</w:t>
      </w:r>
      <w:r w:rsidRPr="00ED08AE">
        <w:rPr>
          <w:spacing w:val="-2"/>
        </w:rPr>
        <w:t xml:space="preserve"> </w:t>
      </w:r>
      <w:r w:rsidRPr="00ED08AE">
        <w:t>on</w:t>
      </w:r>
      <w:r w:rsidRPr="00ED08AE">
        <w:rPr>
          <w:spacing w:val="-2"/>
        </w:rPr>
        <w:t xml:space="preserve"> </w:t>
      </w:r>
      <w:r w:rsidRPr="00ED08AE">
        <w:t>the</w:t>
      </w:r>
      <w:r w:rsidRPr="00ED08AE">
        <w:rPr>
          <w:spacing w:val="-2"/>
        </w:rPr>
        <w:t xml:space="preserve"> </w:t>
      </w:r>
      <w:r w:rsidRPr="00ED08AE">
        <w:t>top</w:t>
      </w:r>
      <w:r w:rsidRPr="00ED08AE">
        <w:rPr>
          <w:spacing w:val="-2"/>
        </w:rPr>
        <w:t xml:space="preserve"> </w:t>
      </w:r>
      <w:r w:rsidRPr="00ED08AE">
        <w:t>right</w:t>
      </w:r>
      <w:r w:rsidRPr="00ED08AE">
        <w:rPr>
          <w:spacing w:val="-3"/>
        </w:rPr>
        <w:t xml:space="preserve"> </w:t>
      </w:r>
      <w:r w:rsidRPr="00ED08AE">
        <w:t>corner</w:t>
      </w:r>
      <w:r w:rsidRPr="00ED08AE">
        <w:rPr>
          <w:spacing w:val="-4"/>
        </w:rPr>
        <w:t xml:space="preserve"> </w:t>
      </w:r>
      <w:r w:rsidRPr="00ED08AE">
        <w:t>of</w:t>
      </w:r>
      <w:r w:rsidRPr="00ED08AE">
        <w:rPr>
          <w:spacing w:val="-2"/>
        </w:rPr>
        <w:t xml:space="preserve"> </w:t>
      </w:r>
      <w:r w:rsidRPr="00ED08AE">
        <w:t>the</w:t>
      </w:r>
      <w:r w:rsidRPr="00ED08AE">
        <w:rPr>
          <w:spacing w:val="-2"/>
        </w:rPr>
        <w:t xml:space="preserve"> </w:t>
      </w:r>
      <w:r w:rsidRPr="00ED08AE">
        <w:t>webpage.</w:t>
      </w:r>
      <w:r w:rsidRPr="00ED08AE">
        <w:rPr>
          <w:spacing w:val="-5"/>
        </w:rPr>
        <w:t xml:space="preserve"> </w:t>
      </w:r>
      <w:r w:rsidRPr="00ED08AE">
        <w:t>This</w:t>
      </w:r>
      <w:r w:rsidRPr="00ED08AE">
        <w:rPr>
          <w:spacing w:val="-3"/>
        </w:rPr>
        <w:t xml:space="preserve"> </w:t>
      </w:r>
      <w:r w:rsidRPr="00ED08AE">
        <w:t xml:space="preserve">will enable you to log in using </w:t>
      </w:r>
      <w:proofErr w:type="spellStart"/>
      <w:r w:rsidR="009C0B7B">
        <w:t>myID</w:t>
      </w:r>
      <w:proofErr w:type="spellEnd"/>
      <w:r w:rsidRPr="00ED08AE">
        <w:t>.</w:t>
      </w:r>
    </w:p>
    <w:p w14:paraId="2E1DAE8C" w14:textId="77777777" w:rsidR="003B1432" w:rsidRDefault="003B1432" w:rsidP="003B1432">
      <w:r>
        <w:rPr>
          <w:noProof/>
        </w:rPr>
        <w:drawing>
          <wp:inline distT="0" distB="0" distL="0" distR="0" wp14:anchorId="59194580" wp14:editId="398C18F7">
            <wp:extent cx="5760000" cy="888000"/>
            <wp:effectExtent l="152400" t="152400" r="355600" b="369570"/>
            <wp:docPr id="4" name="Picture 4" descr="Screenshot of the Training Environment banner at the top of the Hearing Services Online portal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Training Environment banner at the top of the Hearing Services Online portal webpage. "/>
                    <pic:cNvPicPr/>
                  </pic:nvPicPr>
                  <pic:blipFill>
                    <a:blip r:embed="rId14">
                      <a:extLst>
                        <a:ext uri="{28A0092B-C50C-407E-A947-70E740481C1C}">
                          <a14:useLocalDpi xmlns:a14="http://schemas.microsoft.com/office/drawing/2010/main" val="0"/>
                        </a:ext>
                      </a:extLst>
                    </a:blip>
                    <a:stretch>
                      <a:fillRect/>
                    </a:stretch>
                  </pic:blipFill>
                  <pic:spPr>
                    <a:xfrm>
                      <a:off x="0" y="0"/>
                      <a:ext cx="5760000" cy="888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43BDF8B7" w14:textId="77777777" w:rsidR="003B1432" w:rsidRPr="00B72647" w:rsidRDefault="003B1432" w:rsidP="003B1432">
      <w:pPr>
        <w:pStyle w:val="Heading2"/>
      </w:pPr>
      <w:r w:rsidRPr="00B72647">
        <w:t>Step 2</w:t>
      </w:r>
    </w:p>
    <w:p w14:paraId="69FB65BC" w14:textId="77777777" w:rsidR="003B1432" w:rsidRDefault="003B1432" w:rsidP="003B1432">
      <w:pPr>
        <w:rPr>
          <w:color w:val="000000"/>
          <w:spacing w:val="-2"/>
        </w:rPr>
      </w:pPr>
      <w:r w:rsidRPr="1218573C">
        <w:t>Select</w:t>
      </w:r>
      <w:r w:rsidRPr="1218573C">
        <w:rPr>
          <w:spacing w:val="-6"/>
        </w:rPr>
        <w:t xml:space="preserve"> </w:t>
      </w:r>
      <w:r w:rsidRPr="1218573C">
        <w:t>a</w:t>
      </w:r>
      <w:r w:rsidRPr="1218573C">
        <w:rPr>
          <w:spacing w:val="-1"/>
        </w:rPr>
        <w:t xml:space="preserve"> </w:t>
      </w:r>
      <w:r w:rsidRPr="1218573C">
        <w:t>site,</w:t>
      </w:r>
      <w:r w:rsidRPr="1218573C">
        <w:rPr>
          <w:spacing w:val="-4"/>
        </w:rPr>
        <w:t xml:space="preserve"> </w:t>
      </w:r>
      <w:r w:rsidRPr="1218573C">
        <w:t>tick</w:t>
      </w:r>
      <w:r w:rsidRPr="1218573C">
        <w:rPr>
          <w:spacing w:val="-2"/>
        </w:rPr>
        <w:t xml:space="preserve"> </w:t>
      </w:r>
      <w:r w:rsidRPr="1218573C">
        <w:t>the</w:t>
      </w:r>
      <w:r w:rsidRPr="1218573C">
        <w:rPr>
          <w:spacing w:val="-1"/>
        </w:rPr>
        <w:t xml:space="preserve"> </w:t>
      </w:r>
      <w:r w:rsidRPr="1218573C">
        <w:t>certification</w:t>
      </w:r>
      <w:r w:rsidRPr="1218573C">
        <w:rPr>
          <w:spacing w:val="-3"/>
        </w:rPr>
        <w:t xml:space="preserve"> </w:t>
      </w:r>
      <w:r w:rsidRPr="1218573C">
        <w:t>box</w:t>
      </w:r>
      <w:r w:rsidRPr="1218573C">
        <w:rPr>
          <w:spacing w:val="-4"/>
        </w:rPr>
        <w:t xml:space="preserve"> </w:t>
      </w:r>
      <w:r w:rsidRPr="1218573C">
        <w:t>and</w:t>
      </w:r>
      <w:r w:rsidRPr="1218573C">
        <w:rPr>
          <w:spacing w:val="-1"/>
        </w:rPr>
        <w:t xml:space="preserve"> </w:t>
      </w:r>
      <w:r w:rsidRPr="1218573C">
        <w:t>select</w:t>
      </w:r>
      <w:r w:rsidRPr="1218573C">
        <w:rPr>
          <w:spacing w:val="-1"/>
        </w:rPr>
        <w:t xml:space="preserve"> </w:t>
      </w:r>
      <w:r w:rsidRPr="008B1CDF">
        <w:rPr>
          <w:rStyle w:val="Bluebuttonstyle"/>
        </w:rPr>
        <w:t>Agree</w:t>
      </w:r>
      <w:r w:rsidRPr="1218573C">
        <w:rPr>
          <w:color w:val="000000"/>
          <w:spacing w:val="-2"/>
        </w:rPr>
        <w:t>.</w:t>
      </w:r>
    </w:p>
    <w:p w14:paraId="6C7AD4A8" w14:textId="77777777" w:rsidR="003B1432" w:rsidRDefault="003B1432" w:rsidP="003B1432">
      <w:r>
        <w:rPr>
          <w:noProof/>
          <w:color w:val="000000"/>
          <w:spacing w:val="-2"/>
        </w:rPr>
        <w:drawing>
          <wp:inline distT="0" distB="0" distL="0" distR="0" wp14:anchorId="4EA690EC" wp14:editId="02069AEB">
            <wp:extent cx="3600000" cy="2447543"/>
            <wp:effectExtent l="152400" t="152400" r="362585" b="353060"/>
            <wp:docPr id="2" name="Picture 2" descr="Screenshot of the HSO Terms and Conditions screen showing the Current Site and a certification box showing acknowledgement of  use of the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HSO Terms and Conditions screen showing the Current Site and a certification box showing acknowledgement of  use of the port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0" cy="2447543"/>
                    </a:xfrm>
                    <a:prstGeom prst="rect">
                      <a:avLst/>
                    </a:prstGeom>
                    <a:ln>
                      <a:noFill/>
                    </a:ln>
                    <a:effectLst>
                      <a:outerShdw blurRad="292100" dist="139700" dir="2700000" algn="tl" rotWithShape="0">
                        <a:srgbClr val="333333">
                          <a:alpha val="65000"/>
                        </a:srgbClr>
                      </a:outerShdw>
                    </a:effectLst>
                  </pic:spPr>
                </pic:pic>
              </a:graphicData>
            </a:graphic>
          </wp:inline>
        </w:drawing>
      </w:r>
    </w:p>
    <w:p w14:paraId="3F3D186F" w14:textId="77777777" w:rsidR="003B1432" w:rsidRDefault="003B1432" w:rsidP="003B1432">
      <w:pPr>
        <w:pStyle w:val="Heading2"/>
      </w:pPr>
      <w:r w:rsidRPr="00886126">
        <w:t xml:space="preserve">Step </w:t>
      </w:r>
      <w:r>
        <w:t>3</w:t>
      </w:r>
    </w:p>
    <w:p w14:paraId="25DF2747" w14:textId="77777777" w:rsidR="003B1432" w:rsidRDefault="003B1432" w:rsidP="003B1432">
      <w:r w:rsidRPr="0097208D">
        <w:t>Select</w:t>
      </w:r>
      <w:r w:rsidRPr="0097208D">
        <w:rPr>
          <w:spacing w:val="-3"/>
        </w:rPr>
        <w:t xml:space="preserve"> </w:t>
      </w:r>
      <w:r w:rsidRPr="0097208D">
        <w:t>the</w:t>
      </w:r>
      <w:r w:rsidRPr="00ED08AE">
        <w:t xml:space="preserve"> </w:t>
      </w:r>
      <w:r w:rsidRPr="00B13603">
        <w:t xml:space="preserve">User </w:t>
      </w:r>
      <w:r>
        <w:t>A</w:t>
      </w:r>
      <w:r w:rsidRPr="00B13603">
        <w:t>ccounts</w:t>
      </w:r>
      <w:r w:rsidRPr="00ED08AE">
        <w:rPr>
          <w:color w:val="FFFFFF"/>
          <w:spacing w:val="-3"/>
        </w:rPr>
        <w:t xml:space="preserve"> </w:t>
      </w:r>
      <w:r w:rsidRPr="00ED08AE">
        <w:t xml:space="preserve">accordion and click </w:t>
      </w:r>
      <w:r w:rsidRPr="00B13603">
        <w:rPr>
          <w:rStyle w:val="Bluebuttonstyle"/>
        </w:rPr>
        <w:t>Add New User</w:t>
      </w:r>
    </w:p>
    <w:p w14:paraId="7CF2972C" w14:textId="77777777" w:rsidR="003B1432" w:rsidRDefault="003B1432" w:rsidP="003B1432">
      <w:r>
        <w:rPr>
          <w:noProof/>
        </w:rPr>
        <w:lastRenderedPageBreak/>
        <w:drawing>
          <wp:inline distT="0" distB="0" distL="0" distR="0" wp14:anchorId="4FED2149" wp14:editId="5722CAE1">
            <wp:extent cx="3600000" cy="537313"/>
            <wp:effectExtent l="152400" t="152400" r="362585" b="358140"/>
            <wp:docPr id="702754793" name="Picture 702754793" descr="Screenshot of the Add new User button under the User Accounts accord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54793" name="Picture 702754793" descr="Screenshot of the Add new User button under the User Accounts accordion."/>
                    <pic:cNvPicPr/>
                  </pic:nvPicPr>
                  <pic:blipFill>
                    <a:blip r:embed="rId16">
                      <a:extLst>
                        <a:ext uri="{28A0092B-C50C-407E-A947-70E740481C1C}">
                          <a14:useLocalDpi xmlns:a14="http://schemas.microsoft.com/office/drawing/2010/main" val="0"/>
                        </a:ext>
                      </a:extLst>
                    </a:blip>
                    <a:stretch>
                      <a:fillRect/>
                    </a:stretch>
                  </pic:blipFill>
                  <pic:spPr>
                    <a:xfrm>
                      <a:off x="0" y="0"/>
                      <a:ext cx="3600000" cy="537313"/>
                    </a:xfrm>
                    <a:prstGeom prst="rect">
                      <a:avLst/>
                    </a:prstGeom>
                    <a:ln>
                      <a:noFill/>
                    </a:ln>
                    <a:effectLst>
                      <a:outerShdw blurRad="292100" dist="139700" dir="2700000" algn="tl" rotWithShape="0">
                        <a:srgbClr val="333333">
                          <a:alpha val="65000"/>
                        </a:srgbClr>
                      </a:outerShdw>
                    </a:effectLst>
                  </pic:spPr>
                </pic:pic>
              </a:graphicData>
            </a:graphic>
          </wp:inline>
        </w:drawing>
      </w:r>
    </w:p>
    <w:p w14:paraId="019E5EA9" w14:textId="77777777" w:rsidR="003B1432" w:rsidRDefault="003B1432" w:rsidP="003B1432">
      <w:r>
        <w:t>A</w:t>
      </w:r>
      <w:r w:rsidRPr="00ED08AE">
        <w:t>ssign them one or more user roles</w:t>
      </w:r>
      <w:r>
        <w:t xml:space="preserve"> and enter the user</w:t>
      </w:r>
      <w:r w:rsidRPr="00ED08AE">
        <w:t>’s detail</w:t>
      </w:r>
      <w:r>
        <w:t>s.</w:t>
      </w:r>
    </w:p>
    <w:p w14:paraId="33A22D9F" w14:textId="77777777" w:rsidR="003B1432" w:rsidRPr="0097208D" w:rsidRDefault="003B1432" w:rsidP="003B1432">
      <w:r>
        <w:t xml:space="preserve">Note – if you are a device manufacturer, you only have one user role ‘DM Admin’. </w:t>
      </w:r>
    </w:p>
    <w:p w14:paraId="6FBCF764" w14:textId="77777777" w:rsidR="003B1432" w:rsidRDefault="003B1432" w:rsidP="003B1432">
      <w:pPr>
        <w:rPr>
          <w:color w:val="000000"/>
          <w:spacing w:val="-2"/>
        </w:rPr>
      </w:pPr>
      <w:r w:rsidRPr="1218573C">
        <w:t>Select</w:t>
      </w:r>
      <w:r w:rsidRPr="1218573C">
        <w:rPr>
          <w:color w:val="000000"/>
          <w:spacing w:val="-2"/>
        </w:rPr>
        <w:t xml:space="preserve"> </w:t>
      </w:r>
      <w:r w:rsidRPr="00B13603">
        <w:rPr>
          <w:rStyle w:val="Bluebuttonstyle"/>
        </w:rPr>
        <w:t>Save and Invite</w:t>
      </w:r>
      <w:r>
        <w:rPr>
          <w:color w:val="000000"/>
          <w:spacing w:val="-2"/>
        </w:rPr>
        <w:t>.</w:t>
      </w:r>
    </w:p>
    <w:p w14:paraId="3F6B995F" w14:textId="77777777" w:rsidR="003B1432" w:rsidRDefault="003B1432" w:rsidP="003B1432">
      <w:r>
        <w:rPr>
          <w:noProof/>
        </w:rPr>
        <w:drawing>
          <wp:inline distT="0" distB="0" distL="0" distR="0" wp14:anchorId="6CCE0003" wp14:editId="35E370F8">
            <wp:extent cx="3600000" cy="2384239"/>
            <wp:effectExtent l="152400" t="152400" r="362585" b="359410"/>
            <wp:docPr id="1" name="Picture 1" descr="Screenshot of the Add User screen on the Hearing Services Online portal. Data fields: User Type, User Roles, Service Provider, Given Name, Family Name, Email Address and Confirm Email Address. There are 'Save And Invite', 'Save And Invite Another' and 'Cancel'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dd User screen on the Hearing Services Online portal. Data fields: User Type, User Roles, Service Provider, Given Name, Family Name, Email Address and Confirm Email Address. There are 'Save And Invite', 'Save And Invite Another' and 'Cancel' buttons."/>
                    <pic:cNvPicPr/>
                  </pic:nvPicPr>
                  <pic:blipFill>
                    <a:blip r:embed="rId17"/>
                    <a:stretch>
                      <a:fillRect/>
                    </a:stretch>
                  </pic:blipFill>
                  <pic:spPr>
                    <a:xfrm>
                      <a:off x="0" y="0"/>
                      <a:ext cx="3600000" cy="2384239"/>
                    </a:xfrm>
                    <a:prstGeom prst="rect">
                      <a:avLst/>
                    </a:prstGeom>
                    <a:ln>
                      <a:noFill/>
                    </a:ln>
                    <a:effectLst>
                      <a:outerShdw blurRad="292100" dist="139700" dir="2700000" algn="tl" rotWithShape="0">
                        <a:srgbClr val="333333">
                          <a:alpha val="65000"/>
                        </a:srgbClr>
                      </a:outerShdw>
                    </a:effectLst>
                  </pic:spPr>
                </pic:pic>
              </a:graphicData>
            </a:graphic>
          </wp:inline>
        </w:drawing>
      </w:r>
    </w:p>
    <w:p w14:paraId="1DE7B23F" w14:textId="77777777" w:rsidR="003B1432" w:rsidRDefault="003B1432" w:rsidP="003B1432">
      <w:pPr>
        <w:pStyle w:val="Heading2"/>
      </w:pPr>
      <w:r w:rsidRPr="00886126">
        <w:t xml:space="preserve">Step </w:t>
      </w:r>
      <w:r>
        <w:t>4</w:t>
      </w:r>
    </w:p>
    <w:p w14:paraId="5CADE178" w14:textId="77777777" w:rsidR="003B1432" w:rsidRDefault="003B1432" w:rsidP="003B1432">
      <w:r w:rsidRPr="0097208D">
        <w:t xml:space="preserve">Re-open the User Accounts accordion and search for the user you have just added. </w:t>
      </w:r>
    </w:p>
    <w:p w14:paraId="15AF967B" w14:textId="77777777" w:rsidR="003B1432" w:rsidRDefault="003B1432" w:rsidP="003B1432">
      <w:r>
        <w:rPr>
          <w:noProof/>
        </w:rPr>
        <w:drawing>
          <wp:inline distT="0" distB="0" distL="0" distR="0" wp14:anchorId="7171B9ED" wp14:editId="32F69F27">
            <wp:extent cx="3600000" cy="1508060"/>
            <wp:effectExtent l="152400" t="152400" r="362585" b="359410"/>
            <wp:docPr id="8" name="Picture 8" descr="Screenshot of Find a User, under the User Accounts accordion. There is a field to enter the User name, and a Find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of Find a User, under the User Accounts accordion. There is a field to enter the User name, and a Find button. "/>
                    <pic:cNvPicPr/>
                  </pic:nvPicPr>
                  <pic:blipFill>
                    <a:blip r:embed="rId18"/>
                    <a:stretch>
                      <a:fillRect/>
                    </a:stretch>
                  </pic:blipFill>
                  <pic:spPr>
                    <a:xfrm>
                      <a:off x="0" y="0"/>
                      <a:ext cx="3600000" cy="1508060"/>
                    </a:xfrm>
                    <a:prstGeom prst="rect">
                      <a:avLst/>
                    </a:prstGeom>
                    <a:ln>
                      <a:noFill/>
                    </a:ln>
                    <a:effectLst>
                      <a:outerShdw blurRad="292100" dist="139700" dir="2700000" algn="tl" rotWithShape="0">
                        <a:srgbClr val="333333">
                          <a:alpha val="65000"/>
                        </a:srgbClr>
                      </a:outerShdw>
                    </a:effectLst>
                  </pic:spPr>
                </pic:pic>
              </a:graphicData>
            </a:graphic>
          </wp:inline>
        </w:drawing>
      </w:r>
    </w:p>
    <w:p w14:paraId="0C2CB704" w14:textId="77777777" w:rsidR="003B1432" w:rsidRDefault="003B1432" w:rsidP="003B1432">
      <w:r>
        <w:lastRenderedPageBreak/>
        <w:t>Because the training environment is not a live environment, the invitation email will not be sent. You will need to copy the email text in the Invite User email and forward it to the new user yourself.</w:t>
      </w:r>
    </w:p>
    <w:p w14:paraId="2A75CF20" w14:textId="77777777" w:rsidR="003B1432" w:rsidRDefault="003B1432" w:rsidP="003B1432">
      <w:r w:rsidRPr="0097208D">
        <w:t xml:space="preserve">Under the </w:t>
      </w:r>
      <w:r w:rsidRPr="00B13603">
        <w:t>Correspondence Issued</w:t>
      </w:r>
      <w:r w:rsidRPr="0097208D">
        <w:t xml:space="preserve"> accordion, click </w:t>
      </w:r>
      <w:r>
        <w:t xml:space="preserve">the </w:t>
      </w:r>
      <w:proofErr w:type="spellStart"/>
      <w:r w:rsidRPr="00B13603">
        <w:rPr>
          <w:rStyle w:val="Bluebuttonstyle"/>
        </w:rPr>
        <w:t>InviteUser</w:t>
      </w:r>
      <w:proofErr w:type="spellEnd"/>
      <w:r w:rsidRPr="00B72647">
        <w:rPr>
          <w:b/>
          <w:bCs/>
        </w:rPr>
        <w:t xml:space="preserve"> </w:t>
      </w:r>
      <w:r>
        <w:t xml:space="preserve">link </w:t>
      </w:r>
      <w:r w:rsidRPr="0097208D">
        <w:t xml:space="preserve">to open the invitation </w:t>
      </w:r>
      <w:r>
        <w:t>email</w:t>
      </w:r>
      <w:r w:rsidRPr="0097208D">
        <w:t>.</w:t>
      </w:r>
    </w:p>
    <w:p w14:paraId="0497BAB9" w14:textId="77777777" w:rsidR="003B1432" w:rsidRDefault="003B1432" w:rsidP="003B1432">
      <w:r>
        <w:rPr>
          <w:noProof/>
        </w:rPr>
        <w:drawing>
          <wp:inline distT="0" distB="0" distL="0" distR="0" wp14:anchorId="3A445DEE" wp14:editId="6BD4473A">
            <wp:extent cx="3600000" cy="1862070"/>
            <wp:effectExtent l="152400" t="152400" r="362585" b="367030"/>
            <wp:docPr id="477529515" name="Picture 477529515" descr="Screenshot of the InviteUser link under the Correspondence Issued accordion. Headings (left to right): Name, Date Sent and Recipient Ad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29515" name="Picture 477529515" descr="Screenshot of the InviteUser link under the Correspondence Issued accordion. Headings (left to right): Name, Date Sent and Recipient Address. "/>
                    <pic:cNvPicPr/>
                  </pic:nvPicPr>
                  <pic:blipFill>
                    <a:blip r:embed="rId19">
                      <a:extLst>
                        <a:ext uri="{28A0092B-C50C-407E-A947-70E740481C1C}">
                          <a14:useLocalDpi xmlns:a14="http://schemas.microsoft.com/office/drawing/2010/main" val="0"/>
                        </a:ext>
                      </a:extLst>
                    </a:blip>
                    <a:stretch>
                      <a:fillRect/>
                    </a:stretch>
                  </pic:blipFill>
                  <pic:spPr>
                    <a:xfrm>
                      <a:off x="0" y="0"/>
                      <a:ext cx="3600000" cy="1862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4BE2F23F" w14:textId="77777777" w:rsidR="003B1432" w:rsidRPr="0097208D" w:rsidRDefault="003B1432" w:rsidP="003B1432">
      <w:r>
        <w:t xml:space="preserve">Copy and send the link to the new user from your business email account. They can then follow the steps below to accept the user invitation. </w:t>
      </w:r>
    </w:p>
    <w:p w14:paraId="5C7426B6" w14:textId="77777777" w:rsidR="003B1432" w:rsidRPr="00E42A66" w:rsidRDefault="003B1432" w:rsidP="003B1432">
      <w:pPr>
        <w:pStyle w:val="Heading1"/>
      </w:pPr>
      <w:r w:rsidRPr="00E42A66">
        <w:t>Receiving and accepting an invitation</w:t>
      </w:r>
    </w:p>
    <w:p w14:paraId="6EFE0D6C" w14:textId="77777777" w:rsidR="003B1432" w:rsidRPr="00B72647" w:rsidRDefault="003B1432" w:rsidP="003B1432">
      <w:r w:rsidRPr="00B72647">
        <w:t>An SP Admin from your company will add you as a new user in the portal and send you an invitation link. The invitation will be active for 10 days. If you have not accepted your invitation within this time, your SP Admin user will need to send you a new invitation</w:t>
      </w:r>
      <w:r>
        <w:t>.</w:t>
      </w:r>
    </w:p>
    <w:p w14:paraId="2355EB5C" w14:textId="77777777" w:rsidR="003B1432" w:rsidRPr="00B72647" w:rsidRDefault="003B1432" w:rsidP="003B1432">
      <w:pPr>
        <w:pStyle w:val="Heading2"/>
      </w:pPr>
      <w:r w:rsidRPr="00B72647">
        <w:t>Step 1</w:t>
      </w:r>
    </w:p>
    <w:p w14:paraId="3232FD77" w14:textId="05B77C00" w:rsidR="003B1432" w:rsidRDefault="003B1432" w:rsidP="003B1432">
      <w:r w:rsidRPr="00B72647">
        <w:t xml:space="preserve">Ensure you have set up your </w:t>
      </w:r>
      <w:proofErr w:type="spellStart"/>
      <w:r w:rsidR="009C0B7B">
        <w:t>myID</w:t>
      </w:r>
      <w:proofErr w:type="spellEnd"/>
      <w:r w:rsidRPr="00B72647">
        <w:t xml:space="preserve"> and finalised your RAM authorisation. Then, select the link in the email.</w:t>
      </w:r>
    </w:p>
    <w:p w14:paraId="69329E49" w14:textId="77777777" w:rsidR="003B1432" w:rsidRDefault="003B1432" w:rsidP="003B1432">
      <w:r>
        <w:rPr>
          <w:noProof/>
        </w:rPr>
        <w:lastRenderedPageBreak/>
        <w:drawing>
          <wp:inline distT="0" distB="0" distL="0" distR="0" wp14:anchorId="49BD7F1F" wp14:editId="05C29644">
            <wp:extent cx="3600000" cy="1907027"/>
            <wp:effectExtent l="152400" t="152400" r="362585" b="360045"/>
            <wp:docPr id="9" name="Picture 9" descr="Screenshot of an example email containing the link required to complete the reg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an example email containing the link required to complete the registration.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0" cy="1907027"/>
                    </a:xfrm>
                    <a:prstGeom prst="rect">
                      <a:avLst/>
                    </a:prstGeom>
                    <a:ln>
                      <a:noFill/>
                    </a:ln>
                    <a:effectLst>
                      <a:outerShdw blurRad="292100" dist="139700" dir="2700000" algn="tl" rotWithShape="0">
                        <a:srgbClr val="333333">
                          <a:alpha val="65000"/>
                        </a:srgbClr>
                      </a:outerShdw>
                    </a:effectLst>
                  </pic:spPr>
                </pic:pic>
              </a:graphicData>
            </a:graphic>
          </wp:inline>
        </w:drawing>
      </w:r>
    </w:p>
    <w:p w14:paraId="55EF517A" w14:textId="77777777" w:rsidR="003B1432" w:rsidRPr="00B72647" w:rsidRDefault="003B1432" w:rsidP="003B1432">
      <w:pPr>
        <w:pStyle w:val="Heading2"/>
      </w:pPr>
      <w:r w:rsidRPr="00B72647">
        <w:t>Step 2</w:t>
      </w:r>
    </w:p>
    <w:p w14:paraId="591591EE" w14:textId="77777777" w:rsidR="003B1432" w:rsidRDefault="003B1432" w:rsidP="003B1432">
      <w:r>
        <w:t>Do not go directly to the provider login</w:t>
      </w:r>
      <w:r>
        <w:rPr>
          <w:spacing w:val="-1"/>
        </w:rPr>
        <w:t xml:space="preserve"> </w:t>
      </w:r>
      <w:r>
        <w:t>link on</w:t>
      </w:r>
      <w:r>
        <w:rPr>
          <w:spacing w:val="-1"/>
        </w:rPr>
        <w:t xml:space="preserve"> </w:t>
      </w:r>
      <w:r>
        <w:t>the</w:t>
      </w:r>
      <w:r>
        <w:rPr>
          <w:spacing w:val="-1"/>
        </w:rPr>
        <w:t xml:space="preserve"> </w:t>
      </w:r>
      <w:r>
        <w:t>top right of the screen at this stage.</w:t>
      </w:r>
    </w:p>
    <w:p w14:paraId="2B8C44C8" w14:textId="77777777" w:rsidR="003B1432" w:rsidRDefault="003B1432" w:rsidP="003B1432">
      <w:pPr>
        <w:rPr>
          <w:spacing w:val="-2"/>
        </w:rPr>
      </w:pPr>
      <w:r>
        <w:t>Click</w:t>
      </w:r>
      <w:r>
        <w:rPr>
          <w:spacing w:val="-7"/>
        </w:rPr>
        <w:t xml:space="preserve"> </w:t>
      </w:r>
      <w:r>
        <w:t>the</w:t>
      </w:r>
      <w:r>
        <w:rPr>
          <w:spacing w:val="-5"/>
        </w:rPr>
        <w:t xml:space="preserve"> </w:t>
      </w:r>
      <w:r w:rsidRPr="00E42A66">
        <w:rPr>
          <w:rStyle w:val="Bluebuttonstyle"/>
        </w:rPr>
        <w:t>Continue</w:t>
      </w:r>
      <w:r>
        <w:rPr>
          <w:b/>
          <w:spacing w:val="-4"/>
          <w:sz w:val="28"/>
        </w:rPr>
        <w:t xml:space="preserve"> </w:t>
      </w:r>
      <w:r>
        <w:rPr>
          <w:spacing w:val="-2"/>
        </w:rPr>
        <w:t>button.</w:t>
      </w:r>
    </w:p>
    <w:p w14:paraId="3F378705" w14:textId="77777777" w:rsidR="003B1432" w:rsidRDefault="003B1432" w:rsidP="003B1432">
      <w:r>
        <w:rPr>
          <w:noProof/>
        </w:rPr>
        <w:drawing>
          <wp:inline distT="0" distB="0" distL="0" distR="0" wp14:anchorId="150B658E" wp14:editId="7143AA8F">
            <wp:extent cx="5759450" cy="905466"/>
            <wp:effectExtent l="152400" t="152400" r="355600" b="371475"/>
            <wp:docPr id="10" name="Picture 10" descr="Screenshot of the Welcome to Register screen and the continue but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the Welcome to Register screen and the continue button. "/>
                    <pic:cNvPicPr/>
                  </pic:nvPicPr>
                  <pic:blipFill>
                    <a:blip r:embed="rId21"/>
                    <a:stretch>
                      <a:fillRect/>
                    </a:stretch>
                  </pic:blipFill>
                  <pic:spPr>
                    <a:xfrm>
                      <a:off x="0" y="0"/>
                      <a:ext cx="5759450" cy="905466"/>
                    </a:xfrm>
                    <a:prstGeom prst="rect">
                      <a:avLst/>
                    </a:prstGeom>
                    <a:ln>
                      <a:noFill/>
                    </a:ln>
                    <a:effectLst>
                      <a:outerShdw blurRad="292100" dist="139700" dir="2700000" algn="tl" rotWithShape="0">
                        <a:srgbClr val="333333">
                          <a:alpha val="65000"/>
                        </a:srgbClr>
                      </a:outerShdw>
                    </a:effectLst>
                  </pic:spPr>
                </pic:pic>
              </a:graphicData>
            </a:graphic>
          </wp:inline>
        </w:drawing>
      </w:r>
    </w:p>
    <w:p w14:paraId="5043A6E7" w14:textId="6B1CB13D" w:rsidR="003B1432" w:rsidRPr="0097208D" w:rsidRDefault="003B1432" w:rsidP="003B1432">
      <w:r w:rsidRPr="0097208D">
        <w:t xml:space="preserve">You will be taken to the </w:t>
      </w:r>
      <w:proofErr w:type="spellStart"/>
      <w:r w:rsidR="009C0B7B">
        <w:t>myID</w:t>
      </w:r>
      <w:proofErr w:type="spellEnd"/>
      <w:r w:rsidRPr="0097208D">
        <w:t xml:space="preserve"> </w:t>
      </w:r>
      <w:r w:rsidRPr="00243197">
        <w:t>login</w:t>
      </w:r>
      <w:r w:rsidRPr="00B72647">
        <w:t xml:space="preserve"> </w:t>
      </w:r>
      <w:r w:rsidRPr="0097208D">
        <w:t>screen and can</w:t>
      </w:r>
      <w:r w:rsidRPr="00243197">
        <w:t xml:space="preserve"> proceed through the authentication steps.</w:t>
      </w:r>
      <w:r w:rsidRPr="00B72647">
        <w:t xml:space="preserve"> </w:t>
      </w:r>
    </w:p>
    <w:p w14:paraId="6B066D95" w14:textId="7D551593" w:rsidR="009040E9" w:rsidRPr="003B1432" w:rsidRDefault="003B1432" w:rsidP="003B1432">
      <w:r w:rsidRPr="0097208D">
        <w:t>You</w:t>
      </w:r>
      <w:r w:rsidRPr="00B72647">
        <w:t xml:space="preserve"> </w:t>
      </w:r>
      <w:r w:rsidRPr="0097208D">
        <w:t>will</w:t>
      </w:r>
      <w:r w:rsidRPr="00B72647">
        <w:t xml:space="preserve"> then </w:t>
      </w:r>
      <w:r w:rsidRPr="0097208D">
        <w:t>be</w:t>
      </w:r>
      <w:r w:rsidRPr="00B72647">
        <w:t xml:space="preserve"> </w:t>
      </w:r>
      <w:r w:rsidRPr="0097208D">
        <w:t>taken</w:t>
      </w:r>
      <w:r w:rsidRPr="00B72647">
        <w:t xml:space="preserve"> </w:t>
      </w:r>
      <w:r w:rsidRPr="0097208D">
        <w:t>to</w:t>
      </w:r>
      <w:r w:rsidRPr="00B72647">
        <w:t xml:space="preserve"> </w:t>
      </w:r>
      <w:r w:rsidRPr="0097208D">
        <w:t>the</w:t>
      </w:r>
      <w:r w:rsidRPr="00B72647">
        <w:t xml:space="preserve"> </w:t>
      </w:r>
      <w:r w:rsidRPr="0097208D">
        <w:t>Training Portal landing pa</w:t>
      </w:r>
      <w:r>
        <w:t>ge.</w:t>
      </w:r>
    </w:p>
    <w:sectPr w:rsidR="009040E9" w:rsidRPr="003B1432" w:rsidSect="00B53987">
      <w:headerReference w:type="default"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5C31C" w14:textId="77777777" w:rsidR="00593A5D" w:rsidRDefault="00593A5D" w:rsidP="006B56BB">
      <w:r>
        <w:separator/>
      </w:r>
    </w:p>
    <w:p w14:paraId="7BEAEA33" w14:textId="77777777" w:rsidR="00593A5D" w:rsidRDefault="00593A5D"/>
  </w:endnote>
  <w:endnote w:type="continuationSeparator" w:id="0">
    <w:p w14:paraId="537EB6E2" w14:textId="77777777" w:rsidR="00593A5D" w:rsidRDefault="00593A5D" w:rsidP="006B56BB">
      <w:r>
        <w:continuationSeparator/>
      </w:r>
    </w:p>
    <w:p w14:paraId="3F3AD5F1" w14:textId="77777777" w:rsidR="00593A5D" w:rsidRDefault="00593A5D"/>
  </w:endnote>
  <w:endnote w:type="continuationNotice" w:id="1">
    <w:p w14:paraId="3EC87419" w14:textId="77777777" w:rsidR="00593A5D" w:rsidRDefault="00593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BB7" w14:textId="537BB98E" w:rsidR="00B53987" w:rsidRDefault="003B1432" w:rsidP="00B53987">
    <w:pPr>
      <w:pStyle w:val="Footer"/>
    </w:pPr>
    <w:r>
      <w:t>Hearing Services Program – Portal user guide – Accessing the training environment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2655" w14:textId="4757CD7C" w:rsidR="00B53987" w:rsidRDefault="00FD2C4D" w:rsidP="00B53987">
    <w:pPr>
      <w:pStyle w:val="Footer"/>
    </w:pPr>
    <w:r>
      <w:t xml:space="preserve">Hearing Services Program – Portal user guide – Accessing the training environment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F3FD" w14:textId="77777777" w:rsidR="00593A5D" w:rsidRDefault="00593A5D" w:rsidP="006B56BB">
      <w:r>
        <w:separator/>
      </w:r>
    </w:p>
    <w:p w14:paraId="5FD10A73" w14:textId="77777777" w:rsidR="00593A5D" w:rsidRDefault="00593A5D"/>
  </w:footnote>
  <w:footnote w:type="continuationSeparator" w:id="0">
    <w:p w14:paraId="720C160F" w14:textId="77777777" w:rsidR="00593A5D" w:rsidRDefault="00593A5D" w:rsidP="006B56BB">
      <w:r>
        <w:continuationSeparator/>
      </w:r>
    </w:p>
    <w:p w14:paraId="54B7309D" w14:textId="77777777" w:rsidR="00593A5D" w:rsidRDefault="00593A5D"/>
  </w:footnote>
  <w:footnote w:type="continuationNotice" w:id="1">
    <w:p w14:paraId="70F826E3" w14:textId="77777777" w:rsidR="00593A5D" w:rsidRDefault="00593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5369173E">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59780242">
    <w:abstractNumId w:val="7"/>
  </w:num>
  <w:num w:numId="2" w16cid:durableId="410935402">
    <w:abstractNumId w:val="15"/>
  </w:num>
  <w:num w:numId="3" w16cid:durableId="1109131502">
    <w:abstractNumId w:val="17"/>
  </w:num>
  <w:num w:numId="4" w16cid:durableId="1051538697">
    <w:abstractNumId w:val="8"/>
  </w:num>
  <w:num w:numId="5" w16cid:durableId="1595632394">
    <w:abstractNumId w:val="8"/>
    <w:lvlOverride w:ilvl="0">
      <w:startOverride w:val="1"/>
    </w:lvlOverride>
  </w:num>
  <w:num w:numId="6" w16cid:durableId="1527215269">
    <w:abstractNumId w:val="9"/>
  </w:num>
  <w:num w:numId="7" w16cid:durableId="1011688060">
    <w:abstractNumId w:val="13"/>
  </w:num>
  <w:num w:numId="8" w16cid:durableId="701591140">
    <w:abstractNumId w:val="16"/>
  </w:num>
  <w:num w:numId="9" w16cid:durableId="948126032">
    <w:abstractNumId w:val="5"/>
  </w:num>
  <w:num w:numId="10" w16cid:durableId="1495755408">
    <w:abstractNumId w:val="4"/>
  </w:num>
  <w:num w:numId="11" w16cid:durableId="1808163855">
    <w:abstractNumId w:val="3"/>
  </w:num>
  <w:num w:numId="12" w16cid:durableId="96025457">
    <w:abstractNumId w:val="2"/>
  </w:num>
  <w:num w:numId="13" w16cid:durableId="148790748">
    <w:abstractNumId w:val="6"/>
  </w:num>
  <w:num w:numId="14" w16cid:durableId="902642664">
    <w:abstractNumId w:val="1"/>
  </w:num>
  <w:num w:numId="15" w16cid:durableId="1630866315">
    <w:abstractNumId w:val="0"/>
  </w:num>
  <w:num w:numId="16" w16cid:durableId="1849059511">
    <w:abstractNumId w:val="18"/>
  </w:num>
  <w:num w:numId="17" w16cid:durableId="1806435285">
    <w:abstractNumId w:val="10"/>
  </w:num>
  <w:num w:numId="18" w16cid:durableId="705058087">
    <w:abstractNumId w:val="11"/>
  </w:num>
  <w:num w:numId="19" w16cid:durableId="1969385907">
    <w:abstractNumId w:val="12"/>
  </w:num>
  <w:num w:numId="20" w16cid:durableId="887376000">
    <w:abstractNumId w:val="10"/>
  </w:num>
  <w:num w:numId="21" w16cid:durableId="296109078">
    <w:abstractNumId w:val="12"/>
  </w:num>
  <w:num w:numId="22" w16cid:durableId="304316167">
    <w:abstractNumId w:val="18"/>
  </w:num>
  <w:num w:numId="23" w16cid:durableId="398136199">
    <w:abstractNumId w:val="15"/>
  </w:num>
  <w:num w:numId="24" w16cid:durableId="934441116">
    <w:abstractNumId w:val="17"/>
  </w:num>
  <w:num w:numId="25" w16cid:durableId="53548690">
    <w:abstractNumId w:val="8"/>
  </w:num>
  <w:num w:numId="26" w16cid:durableId="19815763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1432"/>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3A5D"/>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3852"/>
    <w:rsid w:val="00634175"/>
    <w:rsid w:val="006408AC"/>
    <w:rsid w:val="006511B6"/>
    <w:rsid w:val="00657FF8"/>
    <w:rsid w:val="00670D99"/>
    <w:rsid w:val="00670E2B"/>
    <w:rsid w:val="006734BB"/>
    <w:rsid w:val="0067697A"/>
    <w:rsid w:val="006821EB"/>
    <w:rsid w:val="006B1B4C"/>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0B7B"/>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3275"/>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2C4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1432"/>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Bluebuttonstyle">
    <w:name w:val="Blue button style"/>
    <w:basedOn w:val="DefaultParagraphFont"/>
    <w:uiPriority w:val="1"/>
    <w:qFormat/>
    <w:rsid w:val="003B1432"/>
    <w:rPr>
      <w:b/>
      <w:bCs/>
      <w:color w:val="FFFFFF" w:themeColor="background1"/>
      <w:shd w:val="clear" w:color="auto" w:fill="0070C0"/>
      <w:lang w:val="en-AU"/>
    </w:rPr>
  </w:style>
  <w:style w:type="paragraph" w:styleId="Revision">
    <w:name w:val="Revision"/>
    <w:hidden/>
    <w:uiPriority w:val="99"/>
    <w:semiHidden/>
    <w:rsid w:val="009C0B7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c.hearingservices.gov.au/wps/portal/hso/site/HSOHome/"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health.gov.au/resources/publications/hearing-services-program-portal-user-guide-portal-user-roles"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ring@health.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66b98d56-25b7-479b-bf58-c8a0702ccf2c"/>
    <ds:schemaRef ds:uri="http://schemas.microsoft.com/office/2006/metadata/properties"/>
    <ds:schemaRef ds:uri="http://purl.org/dc/elements/1.1/"/>
    <ds:schemaRef ds:uri="3e9090f6-0245-48e3-bd19-46cc0b4d31f0"/>
    <ds:schemaRef ds:uri="http://purl.org/dc/dcmitype/"/>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2668</Characters>
  <Application>Microsoft Office Word</Application>
  <DocSecurity>4</DocSecurity>
  <Lines>65</Lines>
  <Paragraphs>35</Paragraphs>
  <ScaleCrop>false</ScaleCrop>
  <HeadingPairs>
    <vt:vector size="2" baseType="variant">
      <vt:variant>
        <vt:lpstr>Title</vt:lpstr>
      </vt:variant>
      <vt:variant>
        <vt:i4>1</vt:i4>
      </vt:variant>
    </vt:vector>
  </HeadingPairs>
  <TitlesOfParts>
    <vt:vector size="1" baseType="lpstr">
      <vt:lpstr>Hearing Services Program portal user guide – Access the training environment</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portal user guide – Access the training environment</dc:title>
  <dc:subject>Hearing Services Program</dc:subject>
  <dc:creator>Australian Government Department of Health and Aged Care</dc:creator>
  <cp:keywords>Ear health and hearing</cp:keywords>
  <cp:revision>2</cp:revision>
  <dcterms:created xsi:type="dcterms:W3CDTF">2024-12-02T04:05:00Z</dcterms:created>
  <dcterms:modified xsi:type="dcterms:W3CDTF">2024-12-02T04:05:00Z</dcterms:modified>
</cp:coreProperties>
</file>