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0817130"/>
    <w:p w14:paraId="448D97F8" w14:textId="53F192F1" w:rsidR="009E30CD" w:rsidRPr="003748EA" w:rsidRDefault="00000000" w:rsidP="003748EA">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4837684C">
            <w:t>General Practice in Aged Care Incentive Guidelines</w:t>
          </w:r>
        </w:sdtContent>
      </w:sdt>
      <w:bookmarkEnd w:id="0"/>
    </w:p>
    <w:p w14:paraId="52464F49" w14:textId="05B25523" w:rsidR="009E30CD" w:rsidRPr="009E30CD" w:rsidRDefault="28237367" w:rsidP="009E30CD">
      <w:pPr>
        <w:sectPr w:rsidR="009E30CD" w:rsidRPr="009E30CD"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pPr>
      <w:r>
        <w:t xml:space="preserve">Effective – </w:t>
      </w:r>
      <w:r w:rsidR="0064371C">
        <w:t xml:space="preserve">11 </w:t>
      </w:r>
      <w:r w:rsidR="61027E77">
        <w:t>Dec</w:t>
      </w:r>
      <w:r w:rsidR="0C2C0D73">
        <w:t>ember</w:t>
      </w:r>
      <w:r w:rsidR="29ABB0FB">
        <w:t xml:space="preserve"> </w:t>
      </w:r>
      <w:r>
        <w:t>2024</w:t>
      </w:r>
    </w:p>
    <w:sdt>
      <w:sdtPr>
        <w:rPr>
          <w:rFonts w:eastAsiaTheme="minorEastAsia" w:cstheme="minorBidi"/>
          <w:b w:val="0"/>
          <w:sz w:val="22"/>
          <w:szCs w:val="22"/>
        </w:rPr>
        <w:id w:val="209769370"/>
        <w:docPartObj>
          <w:docPartGallery w:val="Table of Contents"/>
          <w:docPartUnique/>
        </w:docPartObj>
      </w:sdtPr>
      <w:sdtEndPr>
        <w:rPr>
          <w:szCs w:val="20"/>
        </w:rPr>
      </w:sdtEndPr>
      <w:sdtContent>
        <w:p w14:paraId="5E6C315E" w14:textId="7563F143" w:rsidR="009E30CD" w:rsidRDefault="28237367" w:rsidP="004E6190">
          <w:pPr>
            <w:pStyle w:val="TOCHeading"/>
            <w:spacing w:before="0"/>
          </w:pPr>
          <w:r>
            <w:t>Contents</w:t>
          </w:r>
        </w:p>
        <w:p w14:paraId="3740C52C" w14:textId="58991A87" w:rsidR="00A63DC2" w:rsidRDefault="00275D36">
          <w:pPr>
            <w:pStyle w:val="TOC1"/>
            <w:tabs>
              <w:tab w:val="left" w:pos="480"/>
            </w:tabs>
            <w:rPr>
              <w:rFonts w:asciiTheme="minorHAnsi" w:hAnsiTheme="minorHAnsi"/>
              <w:b w:val="0"/>
              <w:noProof/>
              <w:color w:val="auto"/>
              <w:kern w:val="2"/>
              <w:sz w:val="24"/>
              <w:szCs w:val="24"/>
              <w:u w:val="none"/>
              <w:lang w:eastAsia="en-AU"/>
              <w14:ligatures w14:val="standardContextual"/>
            </w:rPr>
          </w:pPr>
          <w:r>
            <w:fldChar w:fldCharType="begin"/>
          </w:r>
          <w:r w:rsidR="00E32A38">
            <w:instrText>TOC \o "1-2" \z \u \h</w:instrText>
          </w:r>
          <w:r>
            <w:fldChar w:fldCharType="separate"/>
          </w:r>
          <w:hyperlink w:anchor="_Toc182311151" w:history="1">
            <w:r w:rsidR="00A63DC2" w:rsidRPr="00D8501C">
              <w:rPr>
                <w:rStyle w:val="Hyperlink"/>
                <w:noProof/>
              </w:rPr>
              <w:t>1</w:t>
            </w:r>
            <w:r w:rsidR="00A63DC2">
              <w:rPr>
                <w:rFonts w:asciiTheme="minorHAnsi" w:hAnsiTheme="minorHAnsi"/>
                <w:b w:val="0"/>
                <w:noProof/>
                <w:color w:val="auto"/>
                <w:kern w:val="2"/>
                <w:sz w:val="24"/>
                <w:szCs w:val="24"/>
                <w:u w:val="none"/>
                <w:lang w:eastAsia="en-AU"/>
                <w14:ligatures w14:val="standardContextual"/>
              </w:rPr>
              <w:tab/>
            </w:r>
            <w:r w:rsidR="00A63DC2" w:rsidRPr="00D8501C">
              <w:rPr>
                <w:rStyle w:val="Hyperlink"/>
                <w:noProof/>
              </w:rPr>
              <w:t>Introduction</w:t>
            </w:r>
            <w:r w:rsidR="00A63DC2">
              <w:rPr>
                <w:noProof/>
                <w:webHidden/>
              </w:rPr>
              <w:tab/>
            </w:r>
            <w:r w:rsidR="00A63DC2">
              <w:rPr>
                <w:noProof/>
                <w:webHidden/>
              </w:rPr>
              <w:fldChar w:fldCharType="begin"/>
            </w:r>
            <w:r w:rsidR="00A63DC2">
              <w:rPr>
                <w:noProof/>
                <w:webHidden/>
              </w:rPr>
              <w:instrText xml:space="preserve"> PAGEREF _Toc182311151 \h </w:instrText>
            </w:r>
            <w:r w:rsidR="00A63DC2">
              <w:rPr>
                <w:noProof/>
                <w:webHidden/>
              </w:rPr>
            </w:r>
            <w:r w:rsidR="00A63DC2">
              <w:rPr>
                <w:noProof/>
                <w:webHidden/>
              </w:rPr>
              <w:fldChar w:fldCharType="separate"/>
            </w:r>
            <w:r w:rsidR="00A63DC2">
              <w:rPr>
                <w:noProof/>
                <w:webHidden/>
              </w:rPr>
              <w:t>5</w:t>
            </w:r>
            <w:r w:rsidR="00A63DC2">
              <w:rPr>
                <w:noProof/>
                <w:webHidden/>
              </w:rPr>
              <w:fldChar w:fldCharType="end"/>
            </w:r>
          </w:hyperlink>
        </w:p>
        <w:p w14:paraId="4AD8F3D6" w14:textId="763A2337"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52" w:history="1">
            <w:r w:rsidRPr="00D8501C">
              <w:rPr>
                <w:rStyle w:val="Hyperlink"/>
                <w:noProof/>
              </w:rPr>
              <w:t>1.1</w:t>
            </w:r>
            <w:r>
              <w:rPr>
                <w:rFonts w:asciiTheme="minorHAnsi" w:hAnsiTheme="minorHAnsi"/>
                <w:noProof/>
                <w:color w:val="auto"/>
                <w:kern w:val="2"/>
                <w:sz w:val="24"/>
                <w:szCs w:val="24"/>
                <w:lang w:eastAsia="en-AU"/>
                <w14:ligatures w14:val="standardContextual"/>
              </w:rPr>
              <w:tab/>
            </w:r>
            <w:r w:rsidRPr="00D8501C">
              <w:rPr>
                <w:rStyle w:val="Hyperlink"/>
                <w:noProof/>
              </w:rPr>
              <w:t>Purpose</w:t>
            </w:r>
            <w:r>
              <w:rPr>
                <w:noProof/>
                <w:webHidden/>
              </w:rPr>
              <w:tab/>
            </w:r>
            <w:r>
              <w:rPr>
                <w:noProof/>
                <w:webHidden/>
              </w:rPr>
              <w:fldChar w:fldCharType="begin"/>
            </w:r>
            <w:r>
              <w:rPr>
                <w:noProof/>
                <w:webHidden/>
              </w:rPr>
              <w:instrText xml:space="preserve"> PAGEREF _Toc182311152 \h </w:instrText>
            </w:r>
            <w:r>
              <w:rPr>
                <w:noProof/>
                <w:webHidden/>
              </w:rPr>
            </w:r>
            <w:r>
              <w:rPr>
                <w:noProof/>
                <w:webHidden/>
              </w:rPr>
              <w:fldChar w:fldCharType="separate"/>
            </w:r>
            <w:r>
              <w:rPr>
                <w:noProof/>
                <w:webHidden/>
              </w:rPr>
              <w:t>5</w:t>
            </w:r>
            <w:r>
              <w:rPr>
                <w:noProof/>
                <w:webHidden/>
              </w:rPr>
              <w:fldChar w:fldCharType="end"/>
            </w:r>
          </w:hyperlink>
        </w:p>
        <w:p w14:paraId="000F4432" w14:textId="7D1D1D0B"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53" w:history="1">
            <w:r w:rsidRPr="00D8501C">
              <w:rPr>
                <w:rStyle w:val="Hyperlink"/>
                <w:noProof/>
              </w:rPr>
              <w:t>1.2</w:t>
            </w:r>
            <w:r>
              <w:rPr>
                <w:rFonts w:asciiTheme="minorHAnsi" w:hAnsiTheme="minorHAnsi"/>
                <w:noProof/>
                <w:color w:val="auto"/>
                <w:kern w:val="2"/>
                <w:sz w:val="24"/>
                <w:szCs w:val="24"/>
                <w:lang w:eastAsia="en-AU"/>
                <w14:ligatures w14:val="standardContextual"/>
              </w:rPr>
              <w:tab/>
            </w:r>
            <w:r w:rsidRPr="00D8501C">
              <w:rPr>
                <w:rStyle w:val="Hyperlink"/>
                <w:noProof/>
              </w:rPr>
              <w:t>Need for reform</w:t>
            </w:r>
            <w:r>
              <w:rPr>
                <w:noProof/>
                <w:webHidden/>
              </w:rPr>
              <w:tab/>
            </w:r>
            <w:r>
              <w:rPr>
                <w:noProof/>
                <w:webHidden/>
              </w:rPr>
              <w:fldChar w:fldCharType="begin"/>
            </w:r>
            <w:r>
              <w:rPr>
                <w:noProof/>
                <w:webHidden/>
              </w:rPr>
              <w:instrText xml:space="preserve"> PAGEREF _Toc182311153 \h </w:instrText>
            </w:r>
            <w:r>
              <w:rPr>
                <w:noProof/>
                <w:webHidden/>
              </w:rPr>
            </w:r>
            <w:r>
              <w:rPr>
                <w:noProof/>
                <w:webHidden/>
              </w:rPr>
              <w:fldChar w:fldCharType="separate"/>
            </w:r>
            <w:r>
              <w:rPr>
                <w:noProof/>
                <w:webHidden/>
              </w:rPr>
              <w:t>5</w:t>
            </w:r>
            <w:r>
              <w:rPr>
                <w:noProof/>
                <w:webHidden/>
              </w:rPr>
              <w:fldChar w:fldCharType="end"/>
            </w:r>
          </w:hyperlink>
        </w:p>
        <w:p w14:paraId="64B7D168" w14:textId="34E83EC7"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54" w:history="1">
            <w:r w:rsidRPr="00D8501C">
              <w:rPr>
                <w:rStyle w:val="Hyperlink"/>
                <w:noProof/>
              </w:rPr>
              <w:t>1.3</w:t>
            </w:r>
            <w:r>
              <w:rPr>
                <w:rFonts w:asciiTheme="minorHAnsi" w:hAnsiTheme="minorHAnsi"/>
                <w:noProof/>
                <w:color w:val="auto"/>
                <w:kern w:val="2"/>
                <w:sz w:val="24"/>
                <w:szCs w:val="24"/>
                <w:lang w:eastAsia="en-AU"/>
                <w14:ligatures w14:val="standardContextual"/>
              </w:rPr>
              <w:tab/>
            </w:r>
            <w:r w:rsidRPr="00D8501C">
              <w:rPr>
                <w:rStyle w:val="Hyperlink"/>
                <w:noProof/>
              </w:rPr>
              <w:t>MyMedicare</w:t>
            </w:r>
            <w:r>
              <w:rPr>
                <w:noProof/>
                <w:webHidden/>
              </w:rPr>
              <w:tab/>
            </w:r>
            <w:r>
              <w:rPr>
                <w:noProof/>
                <w:webHidden/>
              </w:rPr>
              <w:fldChar w:fldCharType="begin"/>
            </w:r>
            <w:r>
              <w:rPr>
                <w:noProof/>
                <w:webHidden/>
              </w:rPr>
              <w:instrText xml:space="preserve"> PAGEREF _Toc182311154 \h </w:instrText>
            </w:r>
            <w:r>
              <w:rPr>
                <w:noProof/>
                <w:webHidden/>
              </w:rPr>
            </w:r>
            <w:r>
              <w:rPr>
                <w:noProof/>
                <w:webHidden/>
              </w:rPr>
              <w:fldChar w:fldCharType="separate"/>
            </w:r>
            <w:r>
              <w:rPr>
                <w:noProof/>
                <w:webHidden/>
              </w:rPr>
              <w:t>5</w:t>
            </w:r>
            <w:r>
              <w:rPr>
                <w:noProof/>
                <w:webHidden/>
              </w:rPr>
              <w:fldChar w:fldCharType="end"/>
            </w:r>
          </w:hyperlink>
        </w:p>
        <w:p w14:paraId="7AE9792B" w14:textId="02F5DE53"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55" w:history="1">
            <w:r w:rsidRPr="00D8501C">
              <w:rPr>
                <w:rStyle w:val="Hyperlink"/>
                <w:noProof/>
              </w:rPr>
              <w:t>1.4</w:t>
            </w:r>
            <w:r>
              <w:rPr>
                <w:rFonts w:asciiTheme="minorHAnsi" w:hAnsiTheme="minorHAnsi"/>
                <w:noProof/>
                <w:color w:val="auto"/>
                <w:kern w:val="2"/>
                <w:sz w:val="24"/>
                <w:szCs w:val="24"/>
                <w:lang w:eastAsia="en-AU"/>
                <w14:ligatures w14:val="standardContextual"/>
              </w:rPr>
              <w:tab/>
            </w:r>
            <w:r w:rsidRPr="00D8501C">
              <w:rPr>
                <w:rStyle w:val="Hyperlink"/>
                <w:noProof/>
              </w:rPr>
              <w:t>The General Practice in Aged Care Incentive</w:t>
            </w:r>
            <w:r>
              <w:rPr>
                <w:noProof/>
                <w:webHidden/>
              </w:rPr>
              <w:tab/>
            </w:r>
            <w:r>
              <w:rPr>
                <w:noProof/>
                <w:webHidden/>
              </w:rPr>
              <w:fldChar w:fldCharType="begin"/>
            </w:r>
            <w:r>
              <w:rPr>
                <w:noProof/>
                <w:webHidden/>
              </w:rPr>
              <w:instrText xml:space="preserve"> PAGEREF _Toc182311155 \h </w:instrText>
            </w:r>
            <w:r>
              <w:rPr>
                <w:noProof/>
                <w:webHidden/>
              </w:rPr>
            </w:r>
            <w:r>
              <w:rPr>
                <w:noProof/>
                <w:webHidden/>
              </w:rPr>
              <w:fldChar w:fldCharType="separate"/>
            </w:r>
            <w:r>
              <w:rPr>
                <w:noProof/>
                <w:webHidden/>
              </w:rPr>
              <w:t>6</w:t>
            </w:r>
            <w:r>
              <w:rPr>
                <w:noProof/>
                <w:webHidden/>
              </w:rPr>
              <w:fldChar w:fldCharType="end"/>
            </w:r>
          </w:hyperlink>
        </w:p>
        <w:p w14:paraId="69DA4DCC" w14:textId="219CF8FF"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56" w:history="1">
            <w:r w:rsidRPr="00D8501C">
              <w:rPr>
                <w:rStyle w:val="Hyperlink"/>
                <w:noProof/>
              </w:rPr>
              <w:t>2</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Eligibility to participate in the General Practice in Aged Care Incentive</w:t>
            </w:r>
            <w:r>
              <w:rPr>
                <w:noProof/>
                <w:webHidden/>
              </w:rPr>
              <w:tab/>
            </w:r>
            <w:r>
              <w:rPr>
                <w:noProof/>
                <w:webHidden/>
              </w:rPr>
              <w:fldChar w:fldCharType="begin"/>
            </w:r>
            <w:r>
              <w:rPr>
                <w:noProof/>
                <w:webHidden/>
              </w:rPr>
              <w:instrText xml:space="preserve"> PAGEREF _Toc182311156 \h </w:instrText>
            </w:r>
            <w:r>
              <w:rPr>
                <w:noProof/>
                <w:webHidden/>
              </w:rPr>
            </w:r>
            <w:r>
              <w:rPr>
                <w:noProof/>
                <w:webHidden/>
              </w:rPr>
              <w:fldChar w:fldCharType="separate"/>
            </w:r>
            <w:r>
              <w:rPr>
                <w:noProof/>
                <w:webHidden/>
              </w:rPr>
              <w:t>7</w:t>
            </w:r>
            <w:r>
              <w:rPr>
                <w:noProof/>
                <w:webHidden/>
              </w:rPr>
              <w:fldChar w:fldCharType="end"/>
            </w:r>
          </w:hyperlink>
        </w:p>
        <w:p w14:paraId="76E76997" w14:textId="6515405A"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57" w:history="1">
            <w:r w:rsidRPr="00D8501C">
              <w:rPr>
                <w:rStyle w:val="Hyperlink"/>
                <w:noProof/>
              </w:rPr>
              <w:t>2.1</w:t>
            </w:r>
            <w:r>
              <w:rPr>
                <w:rFonts w:asciiTheme="minorHAnsi" w:hAnsiTheme="minorHAnsi"/>
                <w:noProof/>
                <w:color w:val="auto"/>
                <w:kern w:val="2"/>
                <w:sz w:val="24"/>
                <w:szCs w:val="24"/>
                <w:lang w:eastAsia="en-AU"/>
                <w14:ligatures w14:val="standardContextual"/>
              </w:rPr>
              <w:tab/>
            </w:r>
            <w:r w:rsidRPr="00D8501C">
              <w:rPr>
                <w:rStyle w:val="Hyperlink"/>
                <w:noProof/>
              </w:rPr>
              <w:t>Practice registration requirements</w:t>
            </w:r>
            <w:r>
              <w:rPr>
                <w:noProof/>
                <w:webHidden/>
              </w:rPr>
              <w:tab/>
            </w:r>
            <w:r>
              <w:rPr>
                <w:noProof/>
                <w:webHidden/>
              </w:rPr>
              <w:fldChar w:fldCharType="begin"/>
            </w:r>
            <w:r>
              <w:rPr>
                <w:noProof/>
                <w:webHidden/>
              </w:rPr>
              <w:instrText xml:space="preserve"> PAGEREF _Toc182311157 \h </w:instrText>
            </w:r>
            <w:r>
              <w:rPr>
                <w:noProof/>
                <w:webHidden/>
              </w:rPr>
            </w:r>
            <w:r>
              <w:rPr>
                <w:noProof/>
                <w:webHidden/>
              </w:rPr>
              <w:fldChar w:fldCharType="separate"/>
            </w:r>
            <w:r>
              <w:rPr>
                <w:noProof/>
                <w:webHidden/>
              </w:rPr>
              <w:t>7</w:t>
            </w:r>
            <w:r>
              <w:rPr>
                <w:noProof/>
                <w:webHidden/>
              </w:rPr>
              <w:fldChar w:fldCharType="end"/>
            </w:r>
          </w:hyperlink>
        </w:p>
        <w:p w14:paraId="26CAC7EF" w14:textId="397B26EA"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58" w:history="1">
            <w:r w:rsidRPr="00D8501C">
              <w:rPr>
                <w:rStyle w:val="Hyperlink"/>
                <w:noProof/>
              </w:rPr>
              <w:t>2.2</w:t>
            </w:r>
            <w:r>
              <w:rPr>
                <w:rFonts w:asciiTheme="minorHAnsi" w:hAnsiTheme="minorHAnsi"/>
                <w:noProof/>
                <w:color w:val="auto"/>
                <w:kern w:val="2"/>
                <w:sz w:val="24"/>
                <w:szCs w:val="24"/>
                <w:lang w:eastAsia="en-AU"/>
                <w14:ligatures w14:val="standardContextual"/>
              </w:rPr>
              <w:tab/>
            </w:r>
            <w:r w:rsidRPr="00D8501C">
              <w:rPr>
                <w:rStyle w:val="Hyperlink"/>
                <w:noProof/>
              </w:rPr>
              <w:t>Responsible Provider registration requirements</w:t>
            </w:r>
            <w:r>
              <w:rPr>
                <w:noProof/>
                <w:webHidden/>
              </w:rPr>
              <w:tab/>
            </w:r>
            <w:r>
              <w:rPr>
                <w:noProof/>
                <w:webHidden/>
              </w:rPr>
              <w:fldChar w:fldCharType="begin"/>
            </w:r>
            <w:r>
              <w:rPr>
                <w:noProof/>
                <w:webHidden/>
              </w:rPr>
              <w:instrText xml:space="preserve"> PAGEREF _Toc182311158 \h </w:instrText>
            </w:r>
            <w:r>
              <w:rPr>
                <w:noProof/>
                <w:webHidden/>
              </w:rPr>
            </w:r>
            <w:r>
              <w:rPr>
                <w:noProof/>
                <w:webHidden/>
              </w:rPr>
              <w:fldChar w:fldCharType="separate"/>
            </w:r>
            <w:r>
              <w:rPr>
                <w:noProof/>
                <w:webHidden/>
              </w:rPr>
              <w:t>7</w:t>
            </w:r>
            <w:r>
              <w:rPr>
                <w:noProof/>
                <w:webHidden/>
              </w:rPr>
              <w:fldChar w:fldCharType="end"/>
            </w:r>
          </w:hyperlink>
        </w:p>
        <w:p w14:paraId="4C64DBE3" w14:textId="58A4508A"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59" w:history="1">
            <w:r w:rsidRPr="00D8501C">
              <w:rPr>
                <w:rStyle w:val="Hyperlink"/>
                <w:noProof/>
              </w:rPr>
              <w:t>2.3</w:t>
            </w:r>
            <w:r>
              <w:rPr>
                <w:rFonts w:asciiTheme="minorHAnsi" w:hAnsiTheme="minorHAnsi"/>
                <w:noProof/>
                <w:color w:val="auto"/>
                <w:kern w:val="2"/>
                <w:sz w:val="24"/>
                <w:szCs w:val="24"/>
                <w:lang w:eastAsia="en-AU"/>
                <w14:ligatures w14:val="standardContextual"/>
              </w:rPr>
              <w:tab/>
            </w:r>
            <w:r w:rsidRPr="00D8501C">
              <w:rPr>
                <w:rStyle w:val="Hyperlink"/>
                <w:noProof/>
              </w:rPr>
              <w:t>Care team registration requirements</w:t>
            </w:r>
            <w:r>
              <w:rPr>
                <w:noProof/>
                <w:webHidden/>
              </w:rPr>
              <w:tab/>
            </w:r>
            <w:r>
              <w:rPr>
                <w:noProof/>
                <w:webHidden/>
              </w:rPr>
              <w:fldChar w:fldCharType="begin"/>
            </w:r>
            <w:r>
              <w:rPr>
                <w:noProof/>
                <w:webHidden/>
              </w:rPr>
              <w:instrText xml:space="preserve"> PAGEREF _Toc182311159 \h </w:instrText>
            </w:r>
            <w:r>
              <w:rPr>
                <w:noProof/>
                <w:webHidden/>
              </w:rPr>
            </w:r>
            <w:r>
              <w:rPr>
                <w:noProof/>
                <w:webHidden/>
              </w:rPr>
              <w:fldChar w:fldCharType="separate"/>
            </w:r>
            <w:r>
              <w:rPr>
                <w:noProof/>
                <w:webHidden/>
              </w:rPr>
              <w:t>8</w:t>
            </w:r>
            <w:r>
              <w:rPr>
                <w:noProof/>
                <w:webHidden/>
              </w:rPr>
              <w:fldChar w:fldCharType="end"/>
            </w:r>
          </w:hyperlink>
        </w:p>
        <w:p w14:paraId="545478EB" w14:textId="04EE0CD2"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60" w:history="1">
            <w:r w:rsidRPr="00D8501C">
              <w:rPr>
                <w:rStyle w:val="Hyperlink"/>
                <w:noProof/>
              </w:rPr>
              <w:t>2.4</w:t>
            </w:r>
            <w:r>
              <w:rPr>
                <w:rFonts w:asciiTheme="minorHAnsi" w:hAnsiTheme="minorHAnsi"/>
                <w:noProof/>
                <w:color w:val="auto"/>
                <w:kern w:val="2"/>
                <w:sz w:val="24"/>
                <w:szCs w:val="24"/>
                <w:lang w:eastAsia="en-AU"/>
                <w14:ligatures w14:val="standardContextual"/>
              </w:rPr>
              <w:tab/>
            </w:r>
            <w:r w:rsidRPr="00D8501C">
              <w:rPr>
                <w:rStyle w:val="Hyperlink"/>
                <w:noProof/>
              </w:rPr>
              <w:t>Patient eligibility</w:t>
            </w:r>
            <w:r>
              <w:rPr>
                <w:noProof/>
                <w:webHidden/>
              </w:rPr>
              <w:tab/>
            </w:r>
            <w:r>
              <w:rPr>
                <w:noProof/>
                <w:webHidden/>
              </w:rPr>
              <w:fldChar w:fldCharType="begin"/>
            </w:r>
            <w:r>
              <w:rPr>
                <w:noProof/>
                <w:webHidden/>
              </w:rPr>
              <w:instrText xml:space="preserve"> PAGEREF _Toc182311160 \h </w:instrText>
            </w:r>
            <w:r>
              <w:rPr>
                <w:noProof/>
                <w:webHidden/>
              </w:rPr>
            </w:r>
            <w:r>
              <w:rPr>
                <w:noProof/>
                <w:webHidden/>
              </w:rPr>
              <w:fldChar w:fldCharType="separate"/>
            </w:r>
            <w:r>
              <w:rPr>
                <w:noProof/>
                <w:webHidden/>
              </w:rPr>
              <w:t>8</w:t>
            </w:r>
            <w:r>
              <w:rPr>
                <w:noProof/>
                <w:webHidden/>
              </w:rPr>
              <w:fldChar w:fldCharType="end"/>
            </w:r>
          </w:hyperlink>
        </w:p>
        <w:p w14:paraId="47AFA6F6" w14:textId="56F276E6"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61" w:history="1">
            <w:r w:rsidRPr="00D8501C">
              <w:rPr>
                <w:rStyle w:val="Hyperlink"/>
                <w:noProof/>
              </w:rPr>
              <w:t>3</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Opt-out processes</w:t>
            </w:r>
            <w:r>
              <w:rPr>
                <w:noProof/>
                <w:webHidden/>
              </w:rPr>
              <w:tab/>
            </w:r>
            <w:r>
              <w:rPr>
                <w:noProof/>
                <w:webHidden/>
              </w:rPr>
              <w:fldChar w:fldCharType="begin"/>
            </w:r>
            <w:r>
              <w:rPr>
                <w:noProof/>
                <w:webHidden/>
              </w:rPr>
              <w:instrText xml:space="preserve"> PAGEREF _Toc182311161 \h </w:instrText>
            </w:r>
            <w:r>
              <w:rPr>
                <w:noProof/>
                <w:webHidden/>
              </w:rPr>
            </w:r>
            <w:r>
              <w:rPr>
                <w:noProof/>
                <w:webHidden/>
              </w:rPr>
              <w:fldChar w:fldCharType="separate"/>
            </w:r>
            <w:r>
              <w:rPr>
                <w:noProof/>
                <w:webHidden/>
              </w:rPr>
              <w:t>9</w:t>
            </w:r>
            <w:r>
              <w:rPr>
                <w:noProof/>
                <w:webHidden/>
              </w:rPr>
              <w:fldChar w:fldCharType="end"/>
            </w:r>
          </w:hyperlink>
        </w:p>
        <w:p w14:paraId="38A5122B" w14:textId="1BB3D8D5"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62" w:history="1">
            <w:r w:rsidRPr="00D8501C">
              <w:rPr>
                <w:rStyle w:val="Hyperlink"/>
                <w:noProof/>
              </w:rPr>
              <w:t>3.1</w:t>
            </w:r>
            <w:r>
              <w:rPr>
                <w:rFonts w:asciiTheme="minorHAnsi" w:hAnsiTheme="minorHAnsi"/>
                <w:noProof/>
                <w:color w:val="auto"/>
                <w:kern w:val="2"/>
                <w:sz w:val="24"/>
                <w:szCs w:val="24"/>
                <w:lang w:eastAsia="en-AU"/>
                <w14:ligatures w14:val="standardContextual"/>
              </w:rPr>
              <w:tab/>
            </w:r>
            <w:r w:rsidRPr="00D8501C">
              <w:rPr>
                <w:rStyle w:val="Hyperlink"/>
                <w:noProof/>
              </w:rPr>
              <w:t>Practice opt-out</w:t>
            </w:r>
            <w:r>
              <w:rPr>
                <w:noProof/>
                <w:webHidden/>
              </w:rPr>
              <w:tab/>
            </w:r>
            <w:r>
              <w:rPr>
                <w:noProof/>
                <w:webHidden/>
              </w:rPr>
              <w:fldChar w:fldCharType="begin"/>
            </w:r>
            <w:r>
              <w:rPr>
                <w:noProof/>
                <w:webHidden/>
              </w:rPr>
              <w:instrText xml:space="preserve"> PAGEREF _Toc182311162 \h </w:instrText>
            </w:r>
            <w:r>
              <w:rPr>
                <w:noProof/>
                <w:webHidden/>
              </w:rPr>
            </w:r>
            <w:r>
              <w:rPr>
                <w:noProof/>
                <w:webHidden/>
              </w:rPr>
              <w:fldChar w:fldCharType="separate"/>
            </w:r>
            <w:r>
              <w:rPr>
                <w:noProof/>
                <w:webHidden/>
              </w:rPr>
              <w:t>9</w:t>
            </w:r>
            <w:r>
              <w:rPr>
                <w:noProof/>
                <w:webHidden/>
              </w:rPr>
              <w:fldChar w:fldCharType="end"/>
            </w:r>
          </w:hyperlink>
        </w:p>
        <w:p w14:paraId="2FB6DD8E" w14:textId="58BE7012"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63" w:history="1">
            <w:r w:rsidRPr="00D8501C">
              <w:rPr>
                <w:rStyle w:val="Hyperlink"/>
                <w:noProof/>
              </w:rPr>
              <w:t>3.2</w:t>
            </w:r>
            <w:r>
              <w:rPr>
                <w:rFonts w:asciiTheme="minorHAnsi" w:hAnsiTheme="minorHAnsi"/>
                <w:noProof/>
                <w:color w:val="auto"/>
                <w:kern w:val="2"/>
                <w:sz w:val="24"/>
                <w:szCs w:val="24"/>
                <w:lang w:eastAsia="en-AU"/>
                <w14:ligatures w14:val="standardContextual"/>
              </w:rPr>
              <w:tab/>
            </w:r>
            <w:r w:rsidRPr="00D8501C">
              <w:rPr>
                <w:rStyle w:val="Hyperlink"/>
                <w:noProof/>
              </w:rPr>
              <w:t>Patient withdrawal</w:t>
            </w:r>
            <w:r>
              <w:rPr>
                <w:noProof/>
                <w:webHidden/>
              </w:rPr>
              <w:tab/>
            </w:r>
            <w:r>
              <w:rPr>
                <w:noProof/>
                <w:webHidden/>
              </w:rPr>
              <w:fldChar w:fldCharType="begin"/>
            </w:r>
            <w:r>
              <w:rPr>
                <w:noProof/>
                <w:webHidden/>
              </w:rPr>
              <w:instrText xml:space="preserve"> PAGEREF _Toc182311163 \h </w:instrText>
            </w:r>
            <w:r>
              <w:rPr>
                <w:noProof/>
                <w:webHidden/>
              </w:rPr>
            </w:r>
            <w:r>
              <w:rPr>
                <w:noProof/>
                <w:webHidden/>
              </w:rPr>
              <w:fldChar w:fldCharType="separate"/>
            </w:r>
            <w:r>
              <w:rPr>
                <w:noProof/>
                <w:webHidden/>
              </w:rPr>
              <w:t>9</w:t>
            </w:r>
            <w:r>
              <w:rPr>
                <w:noProof/>
                <w:webHidden/>
              </w:rPr>
              <w:fldChar w:fldCharType="end"/>
            </w:r>
          </w:hyperlink>
        </w:p>
        <w:p w14:paraId="155E5393" w14:textId="64DD6828"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64" w:history="1">
            <w:r w:rsidRPr="00D8501C">
              <w:rPr>
                <w:rStyle w:val="Hyperlink"/>
                <w:noProof/>
              </w:rPr>
              <w:t>4</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Servicing requirements</w:t>
            </w:r>
            <w:r>
              <w:rPr>
                <w:noProof/>
                <w:webHidden/>
              </w:rPr>
              <w:tab/>
            </w:r>
            <w:r>
              <w:rPr>
                <w:noProof/>
                <w:webHidden/>
              </w:rPr>
              <w:fldChar w:fldCharType="begin"/>
            </w:r>
            <w:r>
              <w:rPr>
                <w:noProof/>
                <w:webHidden/>
              </w:rPr>
              <w:instrText xml:space="preserve"> PAGEREF _Toc182311164 \h </w:instrText>
            </w:r>
            <w:r>
              <w:rPr>
                <w:noProof/>
                <w:webHidden/>
              </w:rPr>
            </w:r>
            <w:r>
              <w:rPr>
                <w:noProof/>
                <w:webHidden/>
              </w:rPr>
              <w:fldChar w:fldCharType="separate"/>
            </w:r>
            <w:r>
              <w:rPr>
                <w:noProof/>
                <w:webHidden/>
              </w:rPr>
              <w:t>10</w:t>
            </w:r>
            <w:r>
              <w:rPr>
                <w:noProof/>
                <w:webHidden/>
              </w:rPr>
              <w:fldChar w:fldCharType="end"/>
            </w:r>
          </w:hyperlink>
        </w:p>
        <w:p w14:paraId="5EB8F0B6" w14:textId="2000740C"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65" w:history="1">
            <w:r w:rsidRPr="00D8501C">
              <w:rPr>
                <w:rStyle w:val="Hyperlink"/>
                <w:noProof/>
              </w:rPr>
              <w:t>4.1</w:t>
            </w:r>
            <w:r>
              <w:rPr>
                <w:rFonts w:asciiTheme="minorHAnsi" w:hAnsiTheme="minorHAnsi"/>
                <w:noProof/>
                <w:color w:val="auto"/>
                <w:kern w:val="2"/>
                <w:sz w:val="24"/>
                <w:szCs w:val="24"/>
                <w:lang w:eastAsia="en-AU"/>
                <w14:ligatures w14:val="standardContextual"/>
              </w:rPr>
              <w:tab/>
            </w:r>
            <w:r w:rsidRPr="00D8501C">
              <w:rPr>
                <w:rStyle w:val="Hyperlink"/>
                <w:noProof/>
              </w:rPr>
              <w:t>Quarterly servicing requirements</w:t>
            </w:r>
            <w:r>
              <w:rPr>
                <w:noProof/>
                <w:webHidden/>
              </w:rPr>
              <w:tab/>
            </w:r>
            <w:r>
              <w:rPr>
                <w:noProof/>
                <w:webHidden/>
              </w:rPr>
              <w:fldChar w:fldCharType="begin"/>
            </w:r>
            <w:r>
              <w:rPr>
                <w:noProof/>
                <w:webHidden/>
              </w:rPr>
              <w:instrText xml:space="preserve"> PAGEREF _Toc182311165 \h </w:instrText>
            </w:r>
            <w:r>
              <w:rPr>
                <w:noProof/>
                <w:webHidden/>
              </w:rPr>
            </w:r>
            <w:r>
              <w:rPr>
                <w:noProof/>
                <w:webHidden/>
              </w:rPr>
              <w:fldChar w:fldCharType="separate"/>
            </w:r>
            <w:r>
              <w:rPr>
                <w:noProof/>
                <w:webHidden/>
              </w:rPr>
              <w:t>10</w:t>
            </w:r>
            <w:r>
              <w:rPr>
                <w:noProof/>
                <w:webHidden/>
              </w:rPr>
              <w:fldChar w:fldCharType="end"/>
            </w:r>
          </w:hyperlink>
        </w:p>
        <w:p w14:paraId="77F76CCD" w14:textId="5DB42488"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66" w:history="1">
            <w:r w:rsidRPr="00D8501C">
              <w:rPr>
                <w:rStyle w:val="Hyperlink"/>
                <w:noProof/>
              </w:rPr>
              <w:t>4.2</w:t>
            </w:r>
            <w:r>
              <w:rPr>
                <w:rFonts w:asciiTheme="minorHAnsi" w:hAnsiTheme="minorHAnsi"/>
                <w:noProof/>
                <w:color w:val="auto"/>
                <w:kern w:val="2"/>
                <w:sz w:val="24"/>
                <w:szCs w:val="24"/>
                <w:lang w:eastAsia="en-AU"/>
                <w14:ligatures w14:val="standardContextual"/>
              </w:rPr>
              <w:tab/>
            </w:r>
            <w:r w:rsidRPr="00D8501C">
              <w:rPr>
                <w:rStyle w:val="Hyperlink"/>
                <w:noProof/>
              </w:rPr>
              <w:t>12-month servicing requirements</w:t>
            </w:r>
            <w:r>
              <w:rPr>
                <w:noProof/>
                <w:webHidden/>
              </w:rPr>
              <w:tab/>
            </w:r>
            <w:r>
              <w:rPr>
                <w:noProof/>
                <w:webHidden/>
              </w:rPr>
              <w:fldChar w:fldCharType="begin"/>
            </w:r>
            <w:r>
              <w:rPr>
                <w:noProof/>
                <w:webHidden/>
              </w:rPr>
              <w:instrText xml:space="preserve"> PAGEREF _Toc182311166 \h </w:instrText>
            </w:r>
            <w:r>
              <w:rPr>
                <w:noProof/>
                <w:webHidden/>
              </w:rPr>
            </w:r>
            <w:r>
              <w:rPr>
                <w:noProof/>
                <w:webHidden/>
              </w:rPr>
              <w:fldChar w:fldCharType="separate"/>
            </w:r>
            <w:r>
              <w:rPr>
                <w:noProof/>
                <w:webHidden/>
              </w:rPr>
              <w:t>10</w:t>
            </w:r>
            <w:r>
              <w:rPr>
                <w:noProof/>
                <w:webHidden/>
              </w:rPr>
              <w:fldChar w:fldCharType="end"/>
            </w:r>
          </w:hyperlink>
        </w:p>
        <w:p w14:paraId="6A15E9E2" w14:textId="28156C6B"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67" w:history="1">
            <w:r w:rsidRPr="00D8501C">
              <w:rPr>
                <w:rStyle w:val="Hyperlink"/>
                <w:noProof/>
              </w:rPr>
              <w:t>5</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Additional delivery requirements</w:t>
            </w:r>
            <w:r>
              <w:rPr>
                <w:noProof/>
                <w:webHidden/>
              </w:rPr>
              <w:tab/>
            </w:r>
            <w:r>
              <w:rPr>
                <w:noProof/>
                <w:webHidden/>
              </w:rPr>
              <w:fldChar w:fldCharType="begin"/>
            </w:r>
            <w:r>
              <w:rPr>
                <w:noProof/>
                <w:webHidden/>
              </w:rPr>
              <w:instrText xml:space="preserve"> PAGEREF _Toc182311167 \h </w:instrText>
            </w:r>
            <w:r>
              <w:rPr>
                <w:noProof/>
                <w:webHidden/>
              </w:rPr>
            </w:r>
            <w:r>
              <w:rPr>
                <w:noProof/>
                <w:webHidden/>
              </w:rPr>
              <w:fldChar w:fldCharType="separate"/>
            </w:r>
            <w:r>
              <w:rPr>
                <w:noProof/>
                <w:webHidden/>
              </w:rPr>
              <w:t>11</w:t>
            </w:r>
            <w:r>
              <w:rPr>
                <w:noProof/>
                <w:webHidden/>
              </w:rPr>
              <w:fldChar w:fldCharType="end"/>
            </w:r>
          </w:hyperlink>
        </w:p>
        <w:p w14:paraId="65BA7537" w14:textId="7EB49F1A"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68" w:history="1">
            <w:r w:rsidRPr="00D8501C">
              <w:rPr>
                <w:rStyle w:val="Hyperlink"/>
                <w:noProof/>
              </w:rPr>
              <w:t>5.1</w:t>
            </w:r>
            <w:r>
              <w:rPr>
                <w:rFonts w:asciiTheme="minorHAnsi" w:hAnsiTheme="minorHAnsi"/>
                <w:noProof/>
                <w:color w:val="auto"/>
                <w:kern w:val="2"/>
                <w:sz w:val="24"/>
                <w:szCs w:val="24"/>
                <w:lang w:eastAsia="en-AU"/>
                <w14:ligatures w14:val="standardContextual"/>
              </w:rPr>
              <w:tab/>
            </w:r>
            <w:r w:rsidRPr="00D8501C">
              <w:rPr>
                <w:rStyle w:val="Hyperlink"/>
                <w:noProof/>
              </w:rPr>
              <w:t>Medicare Benefit Schedule and Department of Veterans’ Affairs requirements</w:t>
            </w:r>
            <w:r>
              <w:rPr>
                <w:noProof/>
                <w:webHidden/>
              </w:rPr>
              <w:tab/>
            </w:r>
            <w:r>
              <w:rPr>
                <w:noProof/>
                <w:webHidden/>
              </w:rPr>
              <w:fldChar w:fldCharType="begin"/>
            </w:r>
            <w:r>
              <w:rPr>
                <w:noProof/>
                <w:webHidden/>
              </w:rPr>
              <w:instrText xml:space="preserve"> PAGEREF _Toc182311168 \h </w:instrText>
            </w:r>
            <w:r>
              <w:rPr>
                <w:noProof/>
                <w:webHidden/>
              </w:rPr>
            </w:r>
            <w:r>
              <w:rPr>
                <w:noProof/>
                <w:webHidden/>
              </w:rPr>
              <w:fldChar w:fldCharType="separate"/>
            </w:r>
            <w:r>
              <w:rPr>
                <w:noProof/>
                <w:webHidden/>
              </w:rPr>
              <w:t>11</w:t>
            </w:r>
            <w:r>
              <w:rPr>
                <w:noProof/>
                <w:webHidden/>
              </w:rPr>
              <w:fldChar w:fldCharType="end"/>
            </w:r>
          </w:hyperlink>
        </w:p>
        <w:p w14:paraId="3D2FB152" w14:textId="354B74B4"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69" w:history="1">
            <w:r w:rsidRPr="00D8501C">
              <w:rPr>
                <w:rStyle w:val="Hyperlink"/>
                <w:noProof/>
              </w:rPr>
              <w:t>5.2</w:t>
            </w:r>
            <w:r>
              <w:rPr>
                <w:rFonts w:asciiTheme="minorHAnsi" w:hAnsiTheme="minorHAnsi"/>
                <w:noProof/>
                <w:color w:val="auto"/>
                <w:kern w:val="2"/>
                <w:sz w:val="24"/>
                <w:szCs w:val="24"/>
                <w:lang w:eastAsia="en-AU"/>
                <w14:ligatures w14:val="standardContextual"/>
              </w:rPr>
              <w:tab/>
            </w:r>
            <w:r w:rsidRPr="00D8501C">
              <w:rPr>
                <w:rStyle w:val="Hyperlink"/>
                <w:noProof/>
              </w:rPr>
              <w:t>Legislative requirements</w:t>
            </w:r>
            <w:r>
              <w:rPr>
                <w:noProof/>
                <w:webHidden/>
              </w:rPr>
              <w:tab/>
            </w:r>
            <w:r>
              <w:rPr>
                <w:noProof/>
                <w:webHidden/>
              </w:rPr>
              <w:fldChar w:fldCharType="begin"/>
            </w:r>
            <w:r>
              <w:rPr>
                <w:noProof/>
                <w:webHidden/>
              </w:rPr>
              <w:instrText xml:space="preserve"> PAGEREF _Toc182311169 \h </w:instrText>
            </w:r>
            <w:r>
              <w:rPr>
                <w:noProof/>
                <w:webHidden/>
              </w:rPr>
            </w:r>
            <w:r>
              <w:rPr>
                <w:noProof/>
                <w:webHidden/>
              </w:rPr>
              <w:fldChar w:fldCharType="separate"/>
            </w:r>
            <w:r>
              <w:rPr>
                <w:noProof/>
                <w:webHidden/>
              </w:rPr>
              <w:t>11</w:t>
            </w:r>
            <w:r>
              <w:rPr>
                <w:noProof/>
                <w:webHidden/>
              </w:rPr>
              <w:fldChar w:fldCharType="end"/>
            </w:r>
          </w:hyperlink>
        </w:p>
        <w:p w14:paraId="69B277AB" w14:textId="6A303A5E"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70" w:history="1">
            <w:r w:rsidRPr="00D8501C">
              <w:rPr>
                <w:rStyle w:val="Hyperlink"/>
                <w:noProof/>
              </w:rPr>
              <w:t>6</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Incentive Payments</w:t>
            </w:r>
            <w:r>
              <w:rPr>
                <w:noProof/>
                <w:webHidden/>
              </w:rPr>
              <w:tab/>
            </w:r>
            <w:r>
              <w:rPr>
                <w:noProof/>
                <w:webHidden/>
              </w:rPr>
              <w:fldChar w:fldCharType="begin"/>
            </w:r>
            <w:r>
              <w:rPr>
                <w:noProof/>
                <w:webHidden/>
              </w:rPr>
              <w:instrText xml:space="preserve"> PAGEREF _Toc182311170 \h </w:instrText>
            </w:r>
            <w:r>
              <w:rPr>
                <w:noProof/>
                <w:webHidden/>
              </w:rPr>
            </w:r>
            <w:r>
              <w:rPr>
                <w:noProof/>
                <w:webHidden/>
              </w:rPr>
              <w:fldChar w:fldCharType="separate"/>
            </w:r>
            <w:r>
              <w:rPr>
                <w:noProof/>
                <w:webHidden/>
              </w:rPr>
              <w:t>11</w:t>
            </w:r>
            <w:r>
              <w:rPr>
                <w:noProof/>
                <w:webHidden/>
              </w:rPr>
              <w:fldChar w:fldCharType="end"/>
            </w:r>
          </w:hyperlink>
        </w:p>
        <w:p w14:paraId="7EA5D600" w14:textId="607C9656"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71" w:history="1">
            <w:r w:rsidRPr="00D8501C">
              <w:rPr>
                <w:rStyle w:val="Hyperlink"/>
                <w:noProof/>
              </w:rPr>
              <w:t>6.1</w:t>
            </w:r>
            <w:r>
              <w:rPr>
                <w:rFonts w:asciiTheme="minorHAnsi" w:hAnsiTheme="minorHAnsi"/>
                <w:noProof/>
                <w:color w:val="auto"/>
                <w:kern w:val="2"/>
                <w:sz w:val="24"/>
                <w:szCs w:val="24"/>
                <w:lang w:eastAsia="en-AU"/>
                <w14:ligatures w14:val="standardContextual"/>
              </w:rPr>
              <w:tab/>
            </w:r>
            <w:r w:rsidRPr="00D8501C">
              <w:rPr>
                <w:rStyle w:val="Hyperlink"/>
                <w:noProof/>
              </w:rPr>
              <w:t>Payment eligibility</w:t>
            </w:r>
            <w:r>
              <w:rPr>
                <w:noProof/>
                <w:webHidden/>
              </w:rPr>
              <w:tab/>
            </w:r>
            <w:r>
              <w:rPr>
                <w:noProof/>
                <w:webHidden/>
              </w:rPr>
              <w:fldChar w:fldCharType="begin"/>
            </w:r>
            <w:r>
              <w:rPr>
                <w:noProof/>
                <w:webHidden/>
              </w:rPr>
              <w:instrText xml:space="preserve"> PAGEREF _Toc182311171 \h </w:instrText>
            </w:r>
            <w:r>
              <w:rPr>
                <w:noProof/>
                <w:webHidden/>
              </w:rPr>
            </w:r>
            <w:r>
              <w:rPr>
                <w:noProof/>
                <w:webHidden/>
              </w:rPr>
              <w:fldChar w:fldCharType="separate"/>
            </w:r>
            <w:r>
              <w:rPr>
                <w:noProof/>
                <w:webHidden/>
              </w:rPr>
              <w:t>11</w:t>
            </w:r>
            <w:r>
              <w:rPr>
                <w:noProof/>
                <w:webHidden/>
              </w:rPr>
              <w:fldChar w:fldCharType="end"/>
            </w:r>
          </w:hyperlink>
        </w:p>
        <w:p w14:paraId="3B0FBA02" w14:textId="3D050065"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72" w:history="1">
            <w:r w:rsidRPr="00D8501C">
              <w:rPr>
                <w:rStyle w:val="Hyperlink"/>
                <w:noProof/>
              </w:rPr>
              <w:t>6.2</w:t>
            </w:r>
            <w:r>
              <w:rPr>
                <w:rFonts w:asciiTheme="minorHAnsi" w:hAnsiTheme="minorHAnsi"/>
                <w:noProof/>
                <w:color w:val="auto"/>
                <w:kern w:val="2"/>
                <w:sz w:val="24"/>
                <w:szCs w:val="24"/>
                <w:lang w:eastAsia="en-AU"/>
                <w14:ligatures w14:val="standardContextual"/>
              </w:rPr>
              <w:tab/>
            </w:r>
            <w:r w:rsidRPr="00D8501C">
              <w:rPr>
                <w:rStyle w:val="Hyperlink"/>
                <w:noProof/>
              </w:rPr>
              <w:t>Payment amounts</w:t>
            </w:r>
            <w:r>
              <w:rPr>
                <w:noProof/>
                <w:webHidden/>
              </w:rPr>
              <w:tab/>
            </w:r>
            <w:r>
              <w:rPr>
                <w:noProof/>
                <w:webHidden/>
              </w:rPr>
              <w:fldChar w:fldCharType="begin"/>
            </w:r>
            <w:r>
              <w:rPr>
                <w:noProof/>
                <w:webHidden/>
              </w:rPr>
              <w:instrText xml:space="preserve"> PAGEREF _Toc182311172 \h </w:instrText>
            </w:r>
            <w:r>
              <w:rPr>
                <w:noProof/>
                <w:webHidden/>
              </w:rPr>
            </w:r>
            <w:r>
              <w:rPr>
                <w:noProof/>
                <w:webHidden/>
              </w:rPr>
              <w:fldChar w:fldCharType="separate"/>
            </w:r>
            <w:r>
              <w:rPr>
                <w:noProof/>
                <w:webHidden/>
              </w:rPr>
              <w:t>12</w:t>
            </w:r>
            <w:r>
              <w:rPr>
                <w:noProof/>
                <w:webHidden/>
              </w:rPr>
              <w:fldChar w:fldCharType="end"/>
            </w:r>
          </w:hyperlink>
        </w:p>
        <w:p w14:paraId="655FA9E1" w14:textId="49E59D75"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73" w:history="1">
            <w:r w:rsidRPr="00D8501C">
              <w:rPr>
                <w:rStyle w:val="Hyperlink"/>
                <w:noProof/>
              </w:rPr>
              <w:t>6.3</w:t>
            </w:r>
            <w:r>
              <w:rPr>
                <w:rFonts w:asciiTheme="minorHAnsi" w:hAnsiTheme="minorHAnsi"/>
                <w:noProof/>
                <w:color w:val="auto"/>
                <w:kern w:val="2"/>
                <w:sz w:val="24"/>
                <w:szCs w:val="24"/>
                <w:lang w:eastAsia="en-AU"/>
                <w14:ligatures w14:val="standardContextual"/>
              </w:rPr>
              <w:tab/>
            </w:r>
            <w:r w:rsidRPr="00D8501C">
              <w:rPr>
                <w:rStyle w:val="Hyperlink"/>
                <w:noProof/>
              </w:rPr>
              <w:t>Rural loadings</w:t>
            </w:r>
            <w:r>
              <w:rPr>
                <w:noProof/>
                <w:webHidden/>
              </w:rPr>
              <w:tab/>
            </w:r>
            <w:r>
              <w:rPr>
                <w:noProof/>
                <w:webHidden/>
              </w:rPr>
              <w:fldChar w:fldCharType="begin"/>
            </w:r>
            <w:r>
              <w:rPr>
                <w:noProof/>
                <w:webHidden/>
              </w:rPr>
              <w:instrText xml:space="preserve"> PAGEREF _Toc182311173 \h </w:instrText>
            </w:r>
            <w:r>
              <w:rPr>
                <w:noProof/>
                <w:webHidden/>
              </w:rPr>
            </w:r>
            <w:r>
              <w:rPr>
                <w:noProof/>
                <w:webHidden/>
              </w:rPr>
              <w:fldChar w:fldCharType="separate"/>
            </w:r>
            <w:r>
              <w:rPr>
                <w:noProof/>
                <w:webHidden/>
              </w:rPr>
              <w:t>12</w:t>
            </w:r>
            <w:r>
              <w:rPr>
                <w:noProof/>
                <w:webHidden/>
              </w:rPr>
              <w:fldChar w:fldCharType="end"/>
            </w:r>
          </w:hyperlink>
        </w:p>
        <w:p w14:paraId="2204FDB3" w14:textId="775FF0FD"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74" w:history="1">
            <w:r w:rsidRPr="00D8501C">
              <w:rPr>
                <w:rStyle w:val="Hyperlink"/>
                <w:noProof/>
              </w:rPr>
              <w:t>6.4</w:t>
            </w:r>
            <w:r>
              <w:rPr>
                <w:rFonts w:asciiTheme="minorHAnsi" w:hAnsiTheme="minorHAnsi"/>
                <w:noProof/>
                <w:color w:val="auto"/>
                <w:kern w:val="2"/>
                <w:sz w:val="24"/>
                <w:szCs w:val="24"/>
                <w:lang w:eastAsia="en-AU"/>
                <w14:ligatures w14:val="standardContextual"/>
              </w:rPr>
              <w:tab/>
            </w:r>
            <w:r w:rsidRPr="00D8501C">
              <w:rPr>
                <w:rStyle w:val="Hyperlink"/>
                <w:noProof/>
              </w:rPr>
              <w:t>Payment assessments</w:t>
            </w:r>
            <w:r>
              <w:rPr>
                <w:noProof/>
                <w:webHidden/>
              </w:rPr>
              <w:tab/>
            </w:r>
            <w:r>
              <w:rPr>
                <w:noProof/>
                <w:webHidden/>
              </w:rPr>
              <w:fldChar w:fldCharType="begin"/>
            </w:r>
            <w:r>
              <w:rPr>
                <w:noProof/>
                <w:webHidden/>
              </w:rPr>
              <w:instrText xml:space="preserve"> PAGEREF _Toc182311174 \h </w:instrText>
            </w:r>
            <w:r>
              <w:rPr>
                <w:noProof/>
                <w:webHidden/>
              </w:rPr>
            </w:r>
            <w:r>
              <w:rPr>
                <w:noProof/>
                <w:webHidden/>
              </w:rPr>
              <w:fldChar w:fldCharType="separate"/>
            </w:r>
            <w:r>
              <w:rPr>
                <w:noProof/>
                <w:webHidden/>
              </w:rPr>
              <w:t>12</w:t>
            </w:r>
            <w:r>
              <w:rPr>
                <w:noProof/>
                <w:webHidden/>
              </w:rPr>
              <w:fldChar w:fldCharType="end"/>
            </w:r>
          </w:hyperlink>
        </w:p>
        <w:p w14:paraId="34857127" w14:textId="28CF5D8A"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75" w:history="1">
            <w:r w:rsidRPr="00D8501C">
              <w:rPr>
                <w:rStyle w:val="Hyperlink"/>
                <w:noProof/>
              </w:rPr>
              <w:t>6.5</w:t>
            </w:r>
            <w:r>
              <w:rPr>
                <w:rFonts w:asciiTheme="minorHAnsi" w:hAnsiTheme="minorHAnsi"/>
                <w:noProof/>
                <w:color w:val="auto"/>
                <w:kern w:val="2"/>
                <w:sz w:val="24"/>
                <w:szCs w:val="24"/>
                <w:lang w:eastAsia="en-AU"/>
                <w14:ligatures w14:val="standardContextual"/>
              </w:rPr>
              <w:tab/>
            </w:r>
            <w:r w:rsidRPr="00D8501C">
              <w:rPr>
                <w:rStyle w:val="Hyperlink"/>
                <w:noProof/>
              </w:rPr>
              <w:t>Payment periods</w:t>
            </w:r>
            <w:r>
              <w:rPr>
                <w:noProof/>
                <w:webHidden/>
              </w:rPr>
              <w:tab/>
            </w:r>
            <w:r>
              <w:rPr>
                <w:noProof/>
                <w:webHidden/>
              </w:rPr>
              <w:fldChar w:fldCharType="begin"/>
            </w:r>
            <w:r>
              <w:rPr>
                <w:noProof/>
                <w:webHidden/>
              </w:rPr>
              <w:instrText xml:space="preserve"> PAGEREF _Toc182311175 \h </w:instrText>
            </w:r>
            <w:r>
              <w:rPr>
                <w:noProof/>
                <w:webHidden/>
              </w:rPr>
            </w:r>
            <w:r>
              <w:rPr>
                <w:noProof/>
                <w:webHidden/>
              </w:rPr>
              <w:fldChar w:fldCharType="separate"/>
            </w:r>
            <w:r>
              <w:rPr>
                <w:noProof/>
                <w:webHidden/>
              </w:rPr>
              <w:t>13</w:t>
            </w:r>
            <w:r>
              <w:rPr>
                <w:noProof/>
                <w:webHidden/>
              </w:rPr>
              <w:fldChar w:fldCharType="end"/>
            </w:r>
          </w:hyperlink>
        </w:p>
        <w:p w14:paraId="7E52B6B0" w14:textId="089FCB81"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76" w:history="1">
            <w:r w:rsidRPr="00D8501C">
              <w:rPr>
                <w:rStyle w:val="Hyperlink"/>
                <w:noProof/>
              </w:rPr>
              <w:t>6.6</w:t>
            </w:r>
            <w:r>
              <w:rPr>
                <w:rFonts w:asciiTheme="minorHAnsi" w:hAnsiTheme="minorHAnsi"/>
                <w:noProof/>
                <w:color w:val="auto"/>
                <w:kern w:val="2"/>
                <w:sz w:val="24"/>
                <w:szCs w:val="24"/>
                <w:lang w:eastAsia="en-AU"/>
                <w14:ligatures w14:val="standardContextual"/>
              </w:rPr>
              <w:tab/>
            </w:r>
            <w:r w:rsidRPr="00D8501C">
              <w:rPr>
                <w:rStyle w:val="Hyperlink"/>
                <w:noProof/>
              </w:rPr>
              <w:t>Payment delivery</w:t>
            </w:r>
            <w:r>
              <w:rPr>
                <w:noProof/>
                <w:webHidden/>
              </w:rPr>
              <w:tab/>
            </w:r>
            <w:r>
              <w:rPr>
                <w:noProof/>
                <w:webHidden/>
              </w:rPr>
              <w:fldChar w:fldCharType="begin"/>
            </w:r>
            <w:r>
              <w:rPr>
                <w:noProof/>
                <w:webHidden/>
              </w:rPr>
              <w:instrText xml:space="preserve"> PAGEREF _Toc182311176 \h </w:instrText>
            </w:r>
            <w:r>
              <w:rPr>
                <w:noProof/>
                <w:webHidden/>
              </w:rPr>
            </w:r>
            <w:r>
              <w:rPr>
                <w:noProof/>
                <w:webHidden/>
              </w:rPr>
              <w:fldChar w:fldCharType="separate"/>
            </w:r>
            <w:r>
              <w:rPr>
                <w:noProof/>
                <w:webHidden/>
              </w:rPr>
              <w:t>14</w:t>
            </w:r>
            <w:r>
              <w:rPr>
                <w:noProof/>
                <w:webHidden/>
              </w:rPr>
              <w:fldChar w:fldCharType="end"/>
            </w:r>
          </w:hyperlink>
        </w:p>
        <w:p w14:paraId="46376FC1" w14:textId="20378EA8"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77" w:history="1">
            <w:r w:rsidRPr="00D8501C">
              <w:rPr>
                <w:rStyle w:val="Hyperlink"/>
                <w:noProof/>
              </w:rPr>
              <w:t>7</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Review of Decision</w:t>
            </w:r>
            <w:r>
              <w:rPr>
                <w:noProof/>
                <w:webHidden/>
              </w:rPr>
              <w:tab/>
            </w:r>
            <w:r>
              <w:rPr>
                <w:noProof/>
                <w:webHidden/>
              </w:rPr>
              <w:fldChar w:fldCharType="begin"/>
            </w:r>
            <w:r>
              <w:rPr>
                <w:noProof/>
                <w:webHidden/>
              </w:rPr>
              <w:instrText xml:space="preserve"> PAGEREF _Toc182311177 \h </w:instrText>
            </w:r>
            <w:r>
              <w:rPr>
                <w:noProof/>
                <w:webHidden/>
              </w:rPr>
            </w:r>
            <w:r>
              <w:rPr>
                <w:noProof/>
                <w:webHidden/>
              </w:rPr>
              <w:fldChar w:fldCharType="separate"/>
            </w:r>
            <w:r>
              <w:rPr>
                <w:noProof/>
                <w:webHidden/>
              </w:rPr>
              <w:t>14</w:t>
            </w:r>
            <w:r>
              <w:rPr>
                <w:noProof/>
                <w:webHidden/>
              </w:rPr>
              <w:fldChar w:fldCharType="end"/>
            </w:r>
          </w:hyperlink>
        </w:p>
        <w:p w14:paraId="57C715A8" w14:textId="633F3124"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78" w:history="1">
            <w:r w:rsidRPr="00D8501C">
              <w:rPr>
                <w:rStyle w:val="Hyperlink"/>
                <w:noProof/>
              </w:rPr>
              <w:t>8</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Further information</w:t>
            </w:r>
            <w:r>
              <w:rPr>
                <w:noProof/>
                <w:webHidden/>
              </w:rPr>
              <w:tab/>
            </w:r>
            <w:r>
              <w:rPr>
                <w:noProof/>
                <w:webHidden/>
              </w:rPr>
              <w:fldChar w:fldCharType="begin"/>
            </w:r>
            <w:r>
              <w:rPr>
                <w:noProof/>
                <w:webHidden/>
              </w:rPr>
              <w:instrText xml:space="preserve"> PAGEREF _Toc182311178 \h </w:instrText>
            </w:r>
            <w:r>
              <w:rPr>
                <w:noProof/>
                <w:webHidden/>
              </w:rPr>
            </w:r>
            <w:r>
              <w:rPr>
                <w:noProof/>
                <w:webHidden/>
              </w:rPr>
              <w:fldChar w:fldCharType="separate"/>
            </w:r>
            <w:r>
              <w:rPr>
                <w:noProof/>
                <w:webHidden/>
              </w:rPr>
              <w:t>14</w:t>
            </w:r>
            <w:r>
              <w:rPr>
                <w:noProof/>
                <w:webHidden/>
              </w:rPr>
              <w:fldChar w:fldCharType="end"/>
            </w:r>
          </w:hyperlink>
        </w:p>
        <w:p w14:paraId="0B96A002" w14:textId="37BAD147"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79" w:history="1">
            <w:r w:rsidRPr="00D8501C">
              <w:rPr>
                <w:rStyle w:val="Hyperlink"/>
                <w:noProof/>
              </w:rPr>
              <w:t>8.1</w:t>
            </w:r>
            <w:r>
              <w:rPr>
                <w:rFonts w:asciiTheme="minorHAnsi" w:hAnsiTheme="minorHAnsi"/>
                <w:noProof/>
                <w:color w:val="auto"/>
                <w:kern w:val="2"/>
                <w:sz w:val="24"/>
                <w:szCs w:val="24"/>
                <w:lang w:eastAsia="en-AU"/>
                <w14:ligatures w14:val="standardContextual"/>
              </w:rPr>
              <w:tab/>
            </w:r>
            <w:r w:rsidRPr="00D8501C">
              <w:rPr>
                <w:rStyle w:val="Hyperlink"/>
                <w:noProof/>
              </w:rPr>
              <w:t>Privacy and data collection</w:t>
            </w:r>
            <w:r>
              <w:rPr>
                <w:noProof/>
                <w:webHidden/>
              </w:rPr>
              <w:tab/>
            </w:r>
            <w:r>
              <w:rPr>
                <w:noProof/>
                <w:webHidden/>
              </w:rPr>
              <w:fldChar w:fldCharType="begin"/>
            </w:r>
            <w:r>
              <w:rPr>
                <w:noProof/>
                <w:webHidden/>
              </w:rPr>
              <w:instrText xml:space="preserve"> PAGEREF _Toc182311179 \h </w:instrText>
            </w:r>
            <w:r>
              <w:rPr>
                <w:noProof/>
                <w:webHidden/>
              </w:rPr>
            </w:r>
            <w:r>
              <w:rPr>
                <w:noProof/>
                <w:webHidden/>
              </w:rPr>
              <w:fldChar w:fldCharType="separate"/>
            </w:r>
            <w:r>
              <w:rPr>
                <w:noProof/>
                <w:webHidden/>
              </w:rPr>
              <w:t>15</w:t>
            </w:r>
            <w:r>
              <w:rPr>
                <w:noProof/>
                <w:webHidden/>
              </w:rPr>
              <w:fldChar w:fldCharType="end"/>
            </w:r>
          </w:hyperlink>
        </w:p>
        <w:p w14:paraId="2C851544" w14:textId="0890D479" w:rsidR="00A63DC2" w:rsidRDefault="00A63DC2">
          <w:pPr>
            <w:pStyle w:val="TOC1"/>
            <w:tabs>
              <w:tab w:val="left" w:pos="480"/>
            </w:tabs>
            <w:rPr>
              <w:rFonts w:asciiTheme="minorHAnsi" w:hAnsiTheme="minorHAnsi"/>
              <w:b w:val="0"/>
              <w:noProof/>
              <w:color w:val="auto"/>
              <w:kern w:val="2"/>
              <w:sz w:val="24"/>
              <w:szCs w:val="24"/>
              <w:u w:val="none"/>
              <w:lang w:eastAsia="en-AU"/>
              <w14:ligatures w14:val="standardContextual"/>
            </w:rPr>
          </w:pPr>
          <w:hyperlink w:anchor="_Toc182311180" w:history="1">
            <w:r w:rsidRPr="00D8501C">
              <w:rPr>
                <w:rStyle w:val="Hyperlink"/>
                <w:noProof/>
              </w:rPr>
              <w:t>9</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Disclaimer</w:t>
            </w:r>
            <w:r>
              <w:rPr>
                <w:noProof/>
                <w:webHidden/>
              </w:rPr>
              <w:tab/>
            </w:r>
            <w:r>
              <w:rPr>
                <w:noProof/>
                <w:webHidden/>
              </w:rPr>
              <w:fldChar w:fldCharType="begin"/>
            </w:r>
            <w:r>
              <w:rPr>
                <w:noProof/>
                <w:webHidden/>
              </w:rPr>
              <w:instrText xml:space="preserve"> PAGEREF _Toc182311180 \h </w:instrText>
            </w:r>
            <w:r>
              <w:rPr>
                <w:noProof/>
                <w:webHidden/>
              </w:rPr>
            </w:r>
            <w:r>
              <w:rPr>
                <w:noProof/>
                <w:webHidden/>
              </w:rPr>
              <w:fldChar w:fldCharType="separate"/>
            </w:r>
            <w:r>
              <w:rPr>
                <w:noProof/>
                <w:webHidden/>
              </w:rPr>
              <w:t>16</w:t>
            </w:r>
            <w:r>
              <w:rPr>
                <w:noProof/>
                <w:webHidden/>
              </w:rPr>
              <w:fldChar w:fldCharType="end"/>
            </w:r>
          </w:hyperlink>
        </w:p>
        <w:p w14:paraId="088D8F73" w14:textId="1C9D7104" w:rsidR="00A63DC2" w:rsidRDefault="00A63DC2">
          <w:pPr>
            <w:pStyle w:val="TOC1"/>
            <w:tabs>
              <w:tab w:val="left" w:pos="720"/>
            </w:tabs>
            <w:rPr>
              <w:rFonts w:asciiTheme="minorHAnsi" w:hAnsiTheme="minorHAnsi"/>
              <w:b w:val="0"/>
              <w:noProof/>
              <w:color w:val="auto"/>
              <w:kern w:val="2"/>
              <w:sz w:val="24"/>
              <w:szCs w:val="24"/>
              <w:u w:val="none"/>
              <w:lang w:eastAsia="en-AU"/>
              <w14:ligatures w14:val="standardContextual"/>
            </w:rPr>
          </w:pPr>
          <w:hyperlink w:anchor="_Toc182311181" w:history="1">
            <w:r w:rsidRPr="00D8501C">
              <w:rPr>
                <w:rStyle w:val="Hyperlink"/>
                <w:noProof/>
              </w:rPr>
              <w:t>10</w:t>
            </w:r>
            <w:r>
              <w:rPr>
                <w:rFonts w:asciiTheme="minorHAnsi" w:hAnsiTheme="minorHAnsi"/>
                <w:b w:val="0"/>
                <w:noProof/>
                <w:color w:val="auto"/>
                <w:kern w:val="2"/>
                <w:sz w:val="24"/>
                <w:szCs w:val="24"/>
                <w:u w:val="none"/>
                <w:lang w:eastAsia="en-AU"/>
                <w14:ligatures w14:val="standardContextual"/>
              </w:rPr>
              <w:tab/>
            </w:r>
            <w:r w:rsidRPr="00D8501C">
              <w:rPr>
                <w:rStyle w:val="Hyperlink"/>
                <w:noProof/>
              </w:rPr>
              <w:t>Appendix</w:t>
            </w:r>
            <w:r>
              <w:rPr>
                <w:noProof/>
                <w:webHidden/>
              </w:rPr>
              <w:tab/>
            </w:r>
            <w:r>
              <w:rPr>
                <w:noProof/>
                <w:webHidden/>
              </w:rPr>
              <w:fldChar w:fldCharType="begin"/>
            </w:r>
            <w:r>
              <w:rPr>
                <w:noProof/>
                <w:webHidden/>
              </w:rPr>
              <w:instrText xml:space="preserve"> PAGEREF _Toc182311181 \h </w:instrText>
            </w:r>
            <w:r>
              <w:rPr>
                <w:noProof/>
                <w:webHidden/>
              </w:rPr>
            </w:r>
            <w:r>
              <w:rPr>
                <w:noProof/>
                <w:webHidden/>
              </w:rPr>
              <w:fldChar w:fldCharType="separate"/>
            </w:r>
            <w:r>
              <w:rPr>
                <w:noProof/>
                <w:webHidden/>
              </w:rPr>
              <w:t>17</w:t>
            </w:r>
            <w:r>
              <w:rPr>
                <w:noProof/>
                <w:webHidden/>
              </w:rPr>
              <w:fldChar w:fldCharType="end"/>
            </w:r>
          </w:hyperlink>
        </w:p>
        <w:p w14:paraId="39C4D5AA" w14:textId="2C04DEA2"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82" w:history="1">
            <w:r w:rsidRPr="00D8501C">
              <w:rPr>
                <w:rStyle w:val="Hyperlink"/>
                <w:noProof/>
              </w:rPr>
              <w:t>10.1</w:t>
            </w:r>
            <w:r>
              <w:rPr>
                <w:rFonts w:asciiTheme="minorHAnsi" w:hAnsiTheme="minorHAnsi"/>
                <w:noProof/>
                <w:color w:val="auto"/>
                <w:kern w:val="2"/>
                <w:sz w:val="24"/>
                <w:szCs w:val="24"/>
                <w:lang w:eastAsia="en-AU"/>
                <w14:ligatures w14:val="standardContextual"/>
              </w:rPr>
              <w:tab/>
            </w:r>
            <w:r w:rsidRPr="00D8501C">
              <w:rPr>
                <w:rStyle w:val="Hyperlink"/>
                <w:noProof/>
              </w:rPr>
              <w:t>Glossary of terms</w:t>
            </w:r>
            <w:r>
              <w:rPr>
                <w:noProof/>
                <w:webHidden/>
              </w:rPr>
              <w:tab/>
            </w:r>
            <w:r>
              <w:rPr>
                <w:noProof/>
                <w:webHidden/>
              </w:rPr>
              <w:fldChar w:fldCharType="begin"/>
            </w:r>
            <w:r>
              <w:rPr>
                <w:noProof/>
                <w:webHidden/>
              </w:rPr>
              <w:instrText xml:space="preserve"> PAGEREF _Toc182311182 \h </w:instrText>
            </w:r>
            <w:r>
              <w:rPr>
                <w:noProof/>
                <w:webHidden/>
              </w:rPr>
            </w:r>
            <w:r>
              <w:rPr>
                <w:noProof/>
                <w:webHidden/>
              </w:rPr>
              <w:fldChar w:fldCharType="separate"/>
            </w:r>
            <w:r>
              <w:rPr>
                <w:noProof/>
                <w:webHidden/>
              </w:rPr>
              <w:t>17</w:t>
            </w:r>
            <w:r>
              <w:rPr>
                <w:noProof/>
                <w:webHidden/>
              </w:rPr>
              <w:fldChar w:fldCharType="end"/>
            </w:r>
          </w:hyperlink>
        </w:p>
        <w:p w14:paraId="4F45BF03" w14:textId="2F286711"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83" w:history="1">
            <w:r w:rsidRPr="00D8501C">
              <w:rPr>
                <w:rStyle w:val="Hyperlink"/>
                <w:noProof/>
              </w:rPr>
              <w:t>10.2</w:t>
            </w:r>
            <w:r>
              <w:rPr>
                <w:rFonts w:asciiTheme="minorHAnsi" w:hAnsiTheme="minorHAnsi"/>
                <w:noProof/>
                <w:color w:val="auto"/>
                <w:kern w:val="2"/>
                <w:sz w:val="24"/>
                <w:szCs w:val="24"/>
                <w:lang w:eastAsia="en-AU"/>
                <w14:ligatures w14:val="standardContextual"/>
              </w:rPr>
              <w:tab/>
            </w:r>
            <w:r w:rsidRPr="00D8501C">
              <w:rPr>
                <w:rStyle w:val="Hyperlink"/>
                <w:noProof/>
              </w:rPr>
              <w:t>General Practice in Aged Care Incentive eligible specialty codes</w:t>
            </w:r>
            <w:r>
              <w:rPr>
                <w:noProof/>
                <w:webHidden/>
              </w:rPr>
              <w:tab/>
            </w:r>
            <w:r>
              <w:rPr>
                <w:noProof/>
                <w:webHidden/>
              </w:rPr>
              <w:fldChar w:fldCharType="begin"/>
            </w:r>
            <w:r>
              <w:rPr>
                <w:noProof/>
                <w:webHidden/>
              </w:rPr>
              <w:instrText xml:space="preserve"> PAGEREF _Toc182311183 \h </w:instrText>
            </w:r>
            <w:r>
              <w:rPr>
                <w:noProof/>
                <w:webHidden/>
              </w:rPr>
            </w:r>
            <w:r>
              <w:rPr>
                <w:noProof/>
                <w:webHidden/>
              </w:rPr>
              <w:fldChar w:fldCharType="separate"/>
            </w:r>
            <w:r>
              <w:rPr>
                <w:noProof/>
                <w:webHidden/>
              </w:rPr>
              <w:t>20</w:t>
            </w:r>
            <w:r>
              <w:rPr>
                <w:noProof/>
                <w:webHidden/>
              </w:rPr>
              <w:fldChar w:fldCharType="end"/>
            </w:r>
          </w:hyperlink>
        </w:p>
        <w:p w14:paraId="41BDB147" w14:textId="72185D0D"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84" w:history="1">
            <w:r w:rsidRPr="00D8501C">
              <w:rPr>
                <w:rStyle w:val="Hyperlink"/>
                <w:noProof/>
              </w:rPr>
              <w:t>10.3</w:t>
            </w:r>
            <w:r>
              <w:rPr>
                <w:rFonts w:asciiTheme="minorHAnsi" w:hAnsiTheme="minorHAnsi"/>
                <w:noProof/>
                <w:color w:val="auto"/>
                <w:kern w:val="2"/>
                <w:sz w:val="24"/>
                <w:szCs w:val="24"/>
                <w:lang w:eastAsia="en-AU"/>
                <w14:ligatures w14:val="standardContextual"/>
              </w:rPr>
              <w:tab/>
            </w:r>
            <w:r w:rsidRPr="00D8501C">
              <w:rPr>
                <w:rStyle w:val="Hyperlink"/>
                <w:noProof/>
              </w:rPr>
              <w:t>General Practice in Aged Care Incentive eligible services</w:t>
            </w:r>
            <w:r>
              <w:rPr>
                <w:noProof/>
                <w:webHidden/>
              </w:rPr>
              <w:tab/>
            </w:r>
            <w:r>
              <w:rPr>
                <w:noProof/>
                <w:webHidden/>
              </w:rPr>
              <w:fldChar w:fldCharType="begin"/>
            </w:r>
            <w:r>
              <w:rPr>
                <w:noProof/>
                <w:webHidden/>
              </w:rPr>
              <w:instrText xml:space="preserve"> PAGEREF _Toc182311184 \h </w:instrText>
            </w:r>
            <w:r>
              <w:rPr>
                <w:noProof/>
                <w:webHidden/>
              </w:rPr>
            </w:r>
            <w:r>
              <w:rPr>
                <w:noProof/>
                <w:webHidden/>
              </w:rPr>
              <w:fldChar w:fldCharType="separate"/>
            </w:r>
            <w:r>
              <w:rPr>
                <w:noProof/>
                <w:webHidden/>
              </w:rPr>
              <w:t>22</w:t>
            </w:r>
            <w:r>
              <w:rPr>
                <w:noProof/>
                <w:webHidden/>
              </w:rPr>
              <w:fldChar w:fldCharType="end"/>
            </w:r>
          </w:hyperlink>
        </w:p>
        <w:p w14:paraId="2546CCCF" w14:textId="5BFC2604"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85" w:history="1">
            <w:r w:rsidRPr="00D8501C">
              <w:rPr>
                <w:rStyle w:val="Hyperlink"/>
                <w:noProof/>
              </w:rPr>
              <w:t>10.4</w:t>
            </w:r>
            <w:r>
              <w:rPr>
                <w:rFonts w:asciiTheme="minorHAnsi" w:hAnsiTheme="minorHAnsi"/>
                <w:noProof/>
                <w:color w:val="auto"/>
                <w:kern w:val="2"/>
                <w:sz w:val="24"/>
                <w:szCs w:val="24"/>
                <w:lang w:eastAsia="en-AU"/>
                <w14:ligatures w14:val="standardContextual"/>
              </w:rPr>
              <w:tab/>
            </w:r>
            <w:r w:rsidRPr="00D8501C">
              <w:rPr>
                <w:rStyle w:val="Hyperlink"/>
                <w:noProof/>
              </w:rPr>
              <w:t>Rural loading</w:t>
            </w:r>
            <w:r>
              <w:rPr>
                <w:noProof/>
                <w:webHidden/>
              </w:rPr>
              <w:tab/>
            </w:r>
            <w:r>
              <w:rPr>
                <w:noProof/>
                <w:webHidden/>
              </w:rPr>
              <w:fldChar w:fldCharType="begin"/>
            </w:r>
            <w:r>
              <w:rPr>
                <w:noProof/>
                <w:webHidden/>
              </w:rPr>
              <w:instrText xml:space="preserve"> PAGEREF _Toc182311185 \h </w:instrText>
            </w:r>
            <w:r>
              <w:rPr>
                <w:noProof/>
                <w:webHidden/>
              </w:rPr>
            </w:r>
            <w:r>
              <w:rPr>
                <w:noProof/>
                <w:webHidden/>
              </w:rPr>
              <w:fldChar w:fldCharType="separate"/>
            </w:r>
            <w:r>
              <w:rPr>
                <w:noProof/>
                <w:webHidden/>
              </w:rPr>
              <w:t>25</w:t>
            </w:r>
            <w:r>
              <w:rPr>
                <w:noProof/>
                <w:webHidden/>
              </w:rPr>
              <w:fldChar w:fldCharType="end"/>
            </w:r>
          </w:hyperlink>
        </w:p>
        <w:p w14:paraId="282BD6C6" w14:textId="67D452AA" w:rsidR="00A63DC2" w:rsidRDefault="00A63DC2">
          <w:pPr>
            <w:pStyle w:val="TOC2"/>
            <w:tabs>
              <w:tab w:val="left" w:pos="720"/>
              <w:tab w:val="right" w:pos="9854"/>
            </w:tabs>
            <w:rPr>
              <w:rFonts w:asciiTheme="minorHAnsi" w:hAnsiTheme="minorHAnsi"/>
              <w:noProof/>
              <w:color w:val="auto"/>
              <w:kern w:val="2"/>
              <w:sz w:val="24"/>
              <w:szCs w:val="24"/>
              <w:lang w:eastAsia="en-AU"/>
              <w14:ligatures w14:val="standardContextual"/>
            </w:rPr>
          </w:pPr>
          <w:hyperlink w:anchor="_Toc182311186" w:history="1">
            <w:r w:rsidRPr="00D8501C">
              <w:rPr>
                <w:rStyle w:val="Hyperlink"/>
                <w:noProof/>
              </w:rPr>
              <w:t>10.5</w:t>
            </w:r>
            <w:r>
              <w:rPr>
                <w:rFonts w:asciiTheme="minorHAnsi" w:hAnsiTheme="minorHAnsi"/>
                <w:noProof/>
                <w:color w:val="auto"/>
                <w:kern w:val="2"/>
                <w:sz w:val="24"/>
                <w:szCs w:val="24"/>
                <w:lang w:eastAsia="en-AU"/>
                <w14:ligatures w14:val="standardContextual"/>
              </w:rPr>
              <w:tab/>
            </w:r>
            <w:r w:rsidRPr="00D8501C">
              <w:rPr>
                <w:rStyle w:val="Hyperlink"/>
                <w:noProof/>
              </w:rPr>
              <w:t>Payment eligibility requirements per assessment period</w:t>
            </w:r>
            <w:r>
              <w:rPr>
                <w:noProof/>
                <w:webHidden/>
              </w:rPr>
              <w:tab/>
            </w:r>
            <w:r>
              <w:rPr>
                <w:noProof/>
                <w:webHidden/>
              </w:rPr>
              <w:fldChar w:fldCharType="begin"/>
            </w:r>
            <w:r>
              <w:rPr>
                <w:noProof/>
                <w:webHidden/>
              </w:rPr>
              <w:instrText xml:space="preserve"> PAGEREF _Toc182311186 \h </w:instrText>
            </w:r>
            <w:r>
              <w:rPr>
                <w:noProof/>
                <w:webHidden/>
              </w:rPr>
            </w:r>
            <w:r>
              <w:rPr>
                <w:noProof/>
                <w:webHidden/>
              </w:rPr>
              <w:fldChar w:fldCharType="separate"/>
            </w:r>
            <w:r>
              <w:rPr>
                <w:noProof/>
                <w:webHidden/>
              </w:rPr>
              <w:t>26</w:t>
            </w:r>
            <w:r>
              <w:rPr>
                <w:noProof/>
                <w:webHidden/>
              </w:rPr>
              <w:fldChar w:fldCharType="end"/>
            </w:r>
          </w:hyperlink>
        </w:p>
        <w:p w14:paraId="63EC50E7" w14:textId="15FE0EA1" w:rsidR="00FB2642" w:rsidRPr="00DA5604" w:rsidRDefault="00275D36" w:rsidP="00DA5604">
          <w:pPr>
            <w:rPr>
              <w:lang w:eastAsia="en-AU"/>
            </w:rPr>
          </w:pPr>
          <w:r>
            <w:fldChar w:fldCharType="end"/>
          </w:r>
        </w:p>
      </w:sdtContent>
    </w:sdt>
    <w:p w14:paraId="136E55E9" w14:textId="5EB1BEA9" w:rsidR="009E30CD" w:rsidRPr="0004758E" w:rsidRDefault="009E30CD" w:rsidP="00FB2642">
      <w:r>
        <w:br w:type="page"/>
      </w:r>
    </w:p>
    <w:p w14:paraId="286FF2CC" w14:textId="7D3C7556" w:rsidR="00817CB4" w:rsidRPr="001F7637" w:rsidRDefault="758819B6" w:rsidP="00407AD1">
      <w:pPr>
        <w:pStyle w:val="Heading1"/>
      </w:pPr>
      <w:bookmarkStart w:id="1" w:name="_Toc170817131"/>
      <w:bookmarkStart w:id="2" w:name="_Toc182311151"/>
      <w:r>
        <w:lastRenderedPageBreak/>
        <w:t>Introduction</w:t>
      </w:r>
      <w:bookmarkEnd w:id="1"/>
      <w:bookmarkEnd w:id="2"/>
    </w:p>
    <w:p w14:paraId="7D8F7480" w14:textId="52E66B1B" w:rsidR="00817CB4" w:rsidRPr="001F7637" w:rsidRDefault="758819B6" w:rsidP="001F7637">
      <w:pPr>
        <w:pStyle w:val="Heading2"/>
      </w:pPr>
      <w:bookmarkStart w:id="3" w:name="_Toc167109426"/>
      <w:bookmarkStart w:id="4" w:name="_Toc170119990"/>
      <w:bookmarkStart w:id="5" w:name="_Toc170817132"/>
      <w:bookmarkStart w:id="6" w:name="_Toc182311152"/>
      <w:r>
        <w:t>Purpose</w:t>
      </w:r>
      <w:bookmarkEnd w:id="3"/>
      <w:bookmarkEnd w:id="4"/>
      <w:bookmarkEnd w:id="5"/>
      <w:bookmarkEnd w:id="6"/>
    </w:p>
    <w:p w14:paraId="5CD2E231" w14:textId="52FE92CD" w:rsidR="00817CB4" w:rsidRPr="00E72B1F" w:rsidRDefault="758819B6" w:rsidP="00817CB4">
      <w:pPr>
        <w:spacing w:before="120" w:after="120" w:line="276" w:lineRule="auto"/>
        <w:rPr>
          <w:rFonts w:eastAsia="Times New Roman"/>
        </w:rPr>
      </w:pPr>
      <w:r w:rsidRPr="18D229B5">
        <w:rPr>
          <w:rFonts w:eastAsia="Times New Roman"/>
        </w:rPr>
        <w:t xml:space="preserve">The General Practice in Aged Care Incentive </w:t>
      </w:r>
      <w:r w:rsidR="47C6F409" w:rsidRPr="18D229B5">
        <w:rPr>
          <w:rFonts w:eastAsia="Times New Roman"/>
        </w:rPr>
        <w:t xml:space="preserve">Program </w:t>
      </w:r>
      <w:r w:rsidRPr="18D229B5">
        <w:rPr>
          <w:rFonts w:eastAsia="Times New Roman"/>
        </w:rPr>
        <w:t>Guidelines (the guidelines) provide clear guidance to general practices and primary care providers that voluntarily register in MyMedicare to access the General Practice in Aged Care Incentive. The guidelines also provide advice on the service requirements, payments and assessments, and appeals process.</w:t>
      </w:r>
    </w:p>
    <w:p w14:paraId="213C4E7D" w14:textId="77777777" w:rsidR="00817CB4" w:rsidRPr="001F7637" w:rsidRDefault="758819B6" w:rsidP="001F7637">
      <w:pPr>
        <w:pStyle w:val="Heading2"/>
      </w:pPr>
      <w:bookmarkStart w:id="7" w:name="_Toc167109427"/>
      <w:bookmarkStart w:id="8" w:name="_Toc170119991"/>
      <w:bookmarkStart w:id="9" w:name="_Toc170817133"/>
      <w:bookmarkStart w:id="10" w:name="_Toc182311153"/>
      <w:r>
        <w:t>Need for reform</w:t>
      </w:r>
      <w:bookmarkEnd w:id="7"/>
      <w:bookmarkEnd w:id="8"/>
      <w:bookmarkEnd w:id="9"/>
      <w:bookmarkEnd w:id="10"/>
    </w:p>
    <w:p w14:paraId="219BDF56" w14:textId="77777777" w:rsidR="00817CB4" w:rsidRPr="00E72B1F" w:rsidRDefault="00817CB4" w:rsidP="00817CB4">
      <w:pPr>
        <w:spacing w:before="120" w:after="120" w:line="276" w:lineRule="auto"/>
        <w:rPr>
          <w:rFonts w:eastAsia="Times New Roman"/>
        </w:rPr>
      </w:pPr>
      <w:r w:rsidRPr="00E72B1F">
        <w:rPr>
          <w:rFonts w:eastAsia="Times New Roman"/>
        </w:rPr>
        <w:t>In Australia, a</w:t>
      </w:r>
      <w:r>
        <w:rPr>
          <w:rFonts w:eastAsia="Times New Roman"/>
        </w:rPr>
        <w:t>pproximately 200</w:t>
      </w:r>
      <w:r w:rsidRPr="00E72B1F">
        <w:rPr>
          <w:rFonts w:eastAsia="Times New Roman"/>
        </w:rPr>
        <w:t>,000 older people live in a residential aged care home who are typically over 8</w:t>
      </w:r>
      <w:r>
        <w:rPr>
          <w:rFonts w:eastAsia="Times New Roman"/>
        </w:rPr>
        <w:t>0</w:t>
      </w:r>
      <w:r w:rsidRPr="00E72B1F">
        <w:rPr>
          <w:rFonts w:eastAsia="Times New Roman"/>
        </w:rPr>
        <w:t xml:space="preserve"> years old and experience higher rates of complex medical comorbidities, frailty, and cognitive impairment than older people living in the community. They also experience higher rates of hospital emergency department presentations, including more repeat visits, are more prone to hospital-acquired complications and higher in-patient mortality.</w:t>
      </w:r>
      <w:r w:rsidRPr="007F4BC4">
        <w:rPr>
          <w:rFonts w:eastAsia="Times New Roman"/>
          <w:vertAlign w:val="superscript"/>
        </w:rPr>
        <w:footnoteReference w:id="2"/>
      </w:r>
    </w:p>
    <w:p w14:paraId="73D3BC7B" w14:textId="4136B304" w:rsidR="00817CB4" w:rsidRPr="00E72B1F" w:rsidRDefault="758819B6" w:rsidP="00817CB4">
      <w:pPr>
        <w:spacing w:before="120" w:after="120" w:line="276" w:lineRule="auto"/>
        <w:rPr>
          <w:rFonts w:eastAsia="Times New Roman"/>
        </w:rPr>
      </w:pPr>
      <w:r w:rsidRPr="00E72B1F">
        <w:rPr>
          <w:rFonts w:eastAsia="Times New Roman"/>
        </w:rPr>
        <w:t xml:space="preserve">Currently, older people living in </w:t>
      </w:r>
      <w:r>
        <w:rPr>
          <w:rFonts w:eastAsia="Times New Roman"/>
        </w:rPr>
        <w:t xml:space="preserve">residential </w:t>
      </w:r>
      <w:r w:rsidRPr="00E72B1F">
        <w:rPr>
          <w:rFonts w:eastAsia="Times New Roman"/>
        </w:rPr>
        <w:t>aged care homes predominantly receive time</w:t>
      </w:r>
      <w:r w:rsidR="107F1291" w:rsidRPr="00E72B1F">
        <w:rPr>
          <w:rFonts w:eastAsia="Times New Roman"/>
        </w:rPr>
        <w:t>-</w:t>
      </w:r>
      <w:r w:rsidRPr="00E72B1F">
        <w:rPr>
          <w:rFonts w:eastAsia="Times New Roman"/>
        </w:rPr>
        <w:t>based</w:t>
      </w:r>
      <w:r w:rsidRPr="00E72B1F">
        <w:rPr>
          <w:rFonts w:eastAsia="Times New Roman"/>
        </w:rPr>
        <w:noBreakHyphen/>
        <w:t xml:space="preserve">, reactive primary care services rather than preventative and proactive care. People living in aged care homes may experience poor continuity of care, and many do not have a regular </w:t>
      </w:r>
      <w:r w:rsidRPr="001A2D69">
        <w:rPr>
          <w:rFonts w:eastAsia="Times New Roman"/>
        </w:rPr>
        <w:t>General Practitioner</w:t>
      </w:r>
      <w:r>
        <w:rPr>
          <w:rFonts w:eastAsia="Times New Roman"/>
        </w:rPr>
        <w:t xml:space="preserve"> (</w:t>
      </w:r>
      <w:r w:rsidRPr="00E72B1F">
        <w:rPr>
          <w:rFonts w:eastAsia="Times New Roman"/>
        </w:rPr>
        <w:t>GP</w:t>
      </w:r>
      <w:r>
        <w:rPr>
          <w:rFonts w:eastAsia="Times New Roman"/>
        </w:rPr>
        <w:t>)</w:t>
      </w:r>
      <w:r w:rsidRPr="00E72B1F">
        <w:rPr>
          <w:rFonts w:eastAsia="Times New Roman"/>
        </w:rPr>
        <w:t>, especially if they live in rural and remote areas. Poor continuity of primary care, meaning the ongoing therapeutic relationship between a patient and their GP, in aged care settings is associated with a higher risk of mortality</w:t>
      </w:r>
      <w:r>
        <w:rPr>
          <w:rFonts w:eastAsia="Times New Roman"/>
        </w:rPr>
        <w:t>.</w:t>
      </w:r>
      <w:r w:rsidR="00817CB4" w:rsidRPr="007F4BC4">
        <w:rPr>
          <w:rFonts w:eastAsia="Times New Roman"/>
          <w:vertAlign w:val="superscript"/>
        </w:rPr>
        <w:footnoteReference w:id="3"/>
      </w:r>
    </w:p>
    <w:p w14:paraId="1CF2BD83" w14:textId="6023E65D" w:rsidR="00817CB4" w:rsidRPr="00E72B1F" w:rsidRDefault="00817CB4" w:rsidP="00817CB4">
      <w:pPr>
        <w:spacing w:before="120" w:after="120" w:line="276" w:lineRule="auto"/>
        <w:rPr>
          <w:rFonts w:eastAsia="Times New Roman"/>
        </w:rPr>
      </w:pPr>
      <w:r w:rsidRPr="00E72B1F">
        <w:rPr>
          <w:rFonts w:eastAsia="Times New Roman"/>
        </w:rPr>
        <w:t xml:space="preserve">Poor access to primary care can affect an older person’s health and wellbeing and puts pressure on the acute health care system. The current remuneration structure and the inconvenience of delivering services within the aged care home </w:t>
      </w:r>
      <w:r w:rsidR="00E259CC">
        <w:rPr>
          <w:rFonts w:eastAsia="Times New Roman"/>
        </w:rPr>
        <w:t>have</w:t>
      </w:r>
      <w:r w:rsidR="00E259CC" w:rsidRPr="00E72B1F">
        <w:rPr>
          <w:rFonts w:eastAsia="Times New Roman"/>
        </w:rPr>
        <w:t xml:space="preserve"> </w:t>
      </w:r>
      <w:r w:rsidRPr="00E72B1F">
        <w:rPr>
          <w:rFonts w:eastAsia="Times New Roman"/>
        </w:rPr>
        <w:t>been indicated as barrier</w:t>
      </w:r>
      <w:r w:rsidR="00E259CC">
        <w:rPr>
          <w:rFonts w:eastAsia="Times New Roman"/>
        </w:rPr>
        <w:t>s</w:t>
      </w:r>
      <w:r w:rsidRPr="00E72B1F">
        <w:rPr>
          <w:rFonts w:eastAsia="Times New Roman"/>
        </w:rPr>
        <w:t xml:space="preserve"> to providing care by general practices. </w:t>
      </w:r>
    </w:p>
    <w:p w14:paraId="275D03C3" w14:textId="77777777" w:rsidR="00817CB4" w:rsidRPr="00E72B1F" w:rsidRDefault="00817CB4" w:rsidP="00817CB4">
      <w:pPr>
        <w:spacing w:before="120" w:after="120" w:line="276" w:lineRule="auto"/>
        <w:rPr>
          <w:rFonts w:eastAsia="Times New Roman"/>
        </w:rPr>
      </w:pPr>
      <w:r w:rsidRPr="00E72B1F">
        <w:rPr>
          <w:rFonts w:eastAsia="Times New Roman"/>
        </w:rPr>
        <w:t>The Royal Commission into Aged Care Quality and Safety recommended the development of a new model of primary care to 'encourage the provision of holistic, coordinated and proactive health care for the growing complexity of the needs of people receiving aged care' (Recommendation 56).</w:t>
      </w:r>
    </w:p>
    <w:p w14:paraId="36661A05" w14:textId="77777777" w:rsidR="00817CB4" w:rsidRPr="001F7637" w:rsidRDefault="758819B6" w:rsidP="001F7637">
      <w:pPr>
        <w:pStyle w:val="Heading2"/>
      </w:pPr>
      <w:bookmarkStart w:id="11" w:name="_Toc167109428"/>
      <w:bookmarkStart w:id="12" w:name="_Toc170119992"/>
      <w:bookmarkStart w:id="13" w:name="_Toc170817134"/>
      <w:bookmarkStart w:id="14" w:name="_Toc182311154"/>
      <w:r>
        <w:t>MyMedicare</w:t>
      </w:r>
      <w:bookmarkEnd w:id="11"/>
      <w:bookmarkEnd w:id="12"/>
      <w:bookmarkEnd w:id="13"/>
      <w:bookmarkEnd w:id="14"/>
    </w:p>
    <w:p w14:paraId="060104EA" w14:textId="77777777" w:rsidR="00817CB4" w:rsidRPr="00E72B1F" w:rsidRDefault="00817CB4" w:rsidP="00817CB4">
      <w:pPr>
        <w:spacing w:before="120" w:after="120" w:line="276" w:lineRule="auto"/>
        <w:rPr>
          <w:rFonts w:eastAsia="Times New Roman"/>
        </w:rPr>
      </w:pPr>
      <w:r w:rsidRPr="00E72B1F">
        <w:rPr>
          <w:rFonts w:eastAsia="Times New Roman"/>
        </w:rPr>
        <w:t xml:space="preserve">MyMedicare is a voluntary patient registration scheme available to all patients, practices and primary care providers who meet eligibility requirements. </w:t>
      </w:r>
    </w:p>
    <w:p w14:paraId="70264957" w14:textId="77777777" w:rsidR="00817CB4" w:rsidRPr="00E72B1F" w:rsidRDefault="00817CB4" w:rsidP="00817CB4">
      <w:pPr>
        <w:spacing w:before="120" w:after="120" w:line="276" w:lineRule="auto"/>
        <w:rPr>
          <w:rFonts w:eastAsia="Times New Roman"/>
        </w:rPr>
      </w:pPr>
      <w:r w:rsidRPr="00E72B1F">
        <w:rPr>
          <w:rFonts w:eastAsia="Times New Roman"/>
        </w:rPr>
        <w:t>It is the government’s response to the Strengthening Medicare Taskforce’s (the Taskforce) recommendation to support better continuity of care, a strengthened relationship between the patient and their care team, and more integrated, person-centred care through introduction of voluntary patient registration.</w:t>
      </w:r>
    </w:p>
    <w:p w14:paraId="07D881A0" w14:textId="5C495FA4" w:rsidR="00817CB4" w:rsidRPr="00E72B1F" w:rsidRDefault="00817CB4" w:rsidP="00817CB4">
      <w:pPr>
        <w:spacing w:before="120" w:after="120" w:line="276" w:lineRule="auto"/>
        <w:rPr>
          <w:rFonts w:eastAsia="Times New Roman"/>
        </w:rPr>
      </w:pPr>
      <w:r w:rsidRPr="00E72B1F">
        <w:rPr>
          <w:rFonts w:eastAsia="Times New Roman"/>
        </w:rPr>
        <w:lastRenderedPageBreak/>
        <w:t xml:space="preserve">MyMedicare is the foundation upon which a stronger, more personalised Medicare </w:t>
      </w:r>
      <w:r w:rsidR="00262DE2">
        <w:rPr>
          <w:rFonts w:eastAsia="Times New Roman"/>
        </w:rPr>
        <w:t>is being</w:t>
      </w:r>
      <w:r w:rsidRPr="00E72B1F">
        <w:rPr>
          <w:rFonts w:eastAsia="Times New Roman"/>
        </w:rPr>
        <w:t xml:space="preserve"> built. Patients will receive more tailored quality care from their regular general practice and primary care team.</w:t>
      </w:r>
    </w:p>
    <w:p w14:paraId="17F183B6" w14:textId="03B03CCF" w:rsidR="00817CB4" w:rsidRPr="00E72B1F" w:rsidRDefault="7DB152FA" w:rsidP="00817CB4">
      <w:pPr>
        <w:spacing w:before="120" w:after="120" w:line="276" w:lineRule="auto"/>
        <w:rPr>
          <w:rFonts w:eastAsia="Times New Roman"/>
        </w:rPr>
      </w:pPr>
      <w:r w:rsidRPr="690F3BC6">
        <w:rPr>
          <w:rFonts w:eastAsia="Times New Roman"/>
        </w:rPr>
        <w:t xml:space="preserve">The Organisation Register is a streamlined practice registration tool connecting a general practice, GPs, patients, Medicare Benefits </w:t>
      </w:r>
      <w:r w:rsidR="0E651148" w:rsidRPr="690F3BC6">
        <w:rPr>
          <w:rFonts w:eastAsia="Times New Roman"/>
        </w:rPr>
        <w:t>Schedule</w:t>
      </w:r>
      <w:r w:rsidRPr="690F3BC6">
        <w:rPr>
          <w:rFonts w:eastAsia="Times New Roman"/>
        </w:rPr>
        <w:t xml:space="preserve"> (MBS) claiming and incentives in the one central system. In future, the Organisation Register will be expanded to include other health organisations. General Practice in Aged Care Incentive payments </w:t>
      </w:r>
      <w:r w:rsidR="7C419F4F" w:rsidRPr="690F3BC6">
        <w:rPr>
          <w:rFonts w:eastAsia="Times New Roman"/>
        </w:rPr>
        <w:t>are</w:t>
      </w:r>
      <w:r w:rsidRPr="690F3BC6">
        <w:rPr>
          <w:rFonts w:eastAsia="Times New Roman"/>
        </w:rPr>
        <w:t xml:space="preserve"> </w:t>
      </w:r>
      <w:r w:rsidR="021FB859" w:rsidRPr="690F3BC6">
        <w:rPr>
          <w:rFonts w:eastAsia="Times New Roman"/>
        </w:rPr>
        <w:t xml:space="preserve">assessed and </w:t>
      </w:r>
      <w:r w:rsidR="7C419F4F" w:rsidRPr="690F3BC6">
        <w:rPr>
          <w:rFonts w:eastAsia="Times New Roman"/>
        </w:rPr>
        <w:t xml:space="preserve">calculated </w:t>
      </w:r>
      <w:r w:rsidRPr="690F3BC6">
        <w:rPr>
          <w:rFonts w:eastAsia="Times New Roman"/>
        </w:rPr>
        <w:t>via the Organisation Payment Capability system using information from the Organisation Register and MBS claiming.</w:t>
      </w:r>
    </w:p>
    <w:p w14:paraId="27569384" w14:textId="77777777" w:rsidR="00817CB4" w:rsidRPr="00E72B1F" w:rsidRDefault="00817CB4" w:rsidP="00817CB4">
      <w:pPr>
        <w:spacing w:before="120" w:after="120" w:line="276" w:lineRule="auto"/>
        <w:rPr>
          <w:rFonts w:eastAsia="Times New Roman"/>
        </w:rPr>
      </w:pPr>
      <w:r w:rsidRPr="00E72B1F">
        <w:rPr>
          <w:rFonts w:eastAsia="Times New Roman"/>
        </w:rPr>
        <w:t>The Organisation Register and MyMedicare program has been developed to enable a simple and streamlined registration process for general practices and providers who choose to register in new health programs. Implementation of the General Practice in Aged Care Incentive</w:t>
      </w:r>
      <w:r w:rsidRPr="007F4BC4">
        <w:rPr>
          <w:rFonts w:eastAsia="Times New Roman"/>
          <w:vertAlign w:val="superscript"/>
        </w:rPr>
        <w:footnoteReference w:id="4"/>
      </w:r>
      <w:r w:rsidRPr="00E72B1F">
        <w:rPr>
          <w:rFonts w:eastAsia="Times New Roman"/>
        </w:rPr>
        <w:t xml:space="preserve"> has enabled development</w:t>
      </w:r>
      <w:r>
        <w:rPr>
          <w:rFonts w:eastAsia="Times New Roman"/>
        </w:rPr>
        <w:t xml:space="preserve"> of incentive registration, assessment, and payment capability across new and existing Services Australia systems.</w:t>
      </w:r>
      <w:r w:rsidRPr="00E72B1F">
        <w:rPr>
          <w:rFonts w:eastAsia="Times New Roman"/>
        </w:rPr>
        <w:t xml:space="preserve"> Over time it is expected that new and existing health programs will continue to utilise the Organisation Register and MyMedicare which will transition into a single source of truth for practice data to support existing, new, revised, and future incentives and payments. </w:t>
      </w:r>
    </w:p>
    <w:p w14:paraId="47AE6DF4" w14:textId="60A63DF0" w:rsidR="00817CB4" w:rsidRPr="001F7637" w:rsidRDefault="758819B6" w:rsidP="001F7637">
      <w:pPr>
        <w:pStyle w:val="Heading2"/>
      </w:pPr>
      <w:bookmarkStart w:id="15" w:name="_Toc167109429"/>
      <w:bookmarkStart w:id="16" w:name="_Toc170119993"/>
      <w:bookmarkStart w:id="17" w:name="_Toc170817135"/>
      <w:bookmarkStart w:id="18" w:name="_Toc182311155"/>
      <w:r>
        <w:t>The General Practice in Aged Care Incentive</w:t>
      </w:r>
      <w:bookmarkEnd w:id="15"/>
      <w:bookmarkEnd w:id="16"/>
      <w:bookmarkEnd w:id="17"/>
      <w:bookmarkEnd w:id="18"/>
    </w:p>
    <w:p w14:paraId="09BD067B" w14:textId="77777777" w:rsidR="00817CB4" w:rsidRDefault="00817CB4" w:rsidP="00817CB4">
      <w:pPr>
        <w:spacing w:before="120" w:after="120" w:line="276" w:lineRule="auto"/>
        <w:rPr>
          <w:rFonts w:eastAsia="Times New Roman"/>
          <w:szCs w:val="22"/>
        </w:rPr>
      </w:pPr>
      <w:r w:rsidRPr="3A8C5468">
        <w:rPr>
          <w:rFonts w:eastAsia="Times New Roman"/>
          <w:szCs w:val="22"/>
        </w:rPr>
        <w:t>The General Practice in Aged Care Incentive</w:t>
      </w:r>
      <w:r w:rsidRPr="3A8C5468" w:rsidDel="00174732">
        <w:rPr>
          <w:rFonts w:eastAsia="Times New Roman"/>
          <w:szCs w:val="22"/>
        </w:rPr>
        <w:t xml:space="preserve"> </w:t>
      </w:r>
      <w:r w:rsidRPr="3A8C5468">
        <w:rPr>
          <w:rFonts w:eastAsia="Times New Roman"/>
          <w:szCs w:val="22"/>
        </w:rPr>
        <w:t>aims to improve access to quality, proactive general practice care for older people who live in aged care homes by incentivising proactive visits, regular, planned reviews and coordinated care planning.</w:t>
      </w:r>
    </w:p>
    <w:p w14:paraId="33AE522F" w14:textId="15E8A897" w:rsidR="00817CB4" w:rsidRPr="00E72B1F" w:rsidRDefault="7DB152FA" w:rsidP="00817CB4">
      <w:pPr>
        <w:spacing w:before="120" w:after="120" w:line="276" w:lineRule="auto"/>
        <w:rPr>
          <w:rFonts w:eastAsia="Times New Roman"/>
        </w:rPr>
      </w:pPr>
      <w:r w:rsidRPr="690F3BC6">
        <w:rPr>
          <w:rFonts w:eastAsia="Times New Roman"/>
        </w:rPr>
        <w:t>Primary care providers and practices registered in MyMedicare will receive incentive payments for providing their MyMedicare registered patients who</w:t>
      </w:r>
      <w:r w:rsidR="3C89BA62" w:rsidRPr="690F3BC6">
        <w:rPr>
          <w:rFonts w:eastAsia="Times New Roman"/>
        </w:rPr>
        <w:t xml:space="preserve"> permanently</w:t>
      </w:r>
      <w:r w:rsidRPr="690F3BC6">
        <w:rPr>
          <w:rFonts w:eastAsia="Times New Roman"/>
        </w:rPr>
        <w:t xml:space="preserve"> live in </w:t>
      </w:r>
      <w:r w:rsidR="1C5D9688" w:rsidRPr="690F3BC6">
        <w:rPr>
          <w:rFonts w:eastAsia="Times New Roman"/>
        </w:rPr>
        <w:t xml:space="preserve">residential </w:t>
      </w:r>
      <w:r w:rsidRPr="690F3BC6">
        <w:rPr>
          <w:rFonts w:eastAsia="Times New Roman"/>
        </w:rPr>
        <w:t>aged care homes with care planning services and regular visits.</w:t>
      </w:r>
    </w:p>
    <w:p w14:paraId="4193A313" w14:textId="77777777" w:rsidR="00817CB4" w:rsidRPr="00E72B1F" w:rsidRDefault="00817CB4" w:rsidP="00817CB4">
      <w:pPr>
        <w:spacing w:before="120" w:after="120" w:line="276" w:lineRule="auto"/>
        <w:rPr>
          <w:rFonts w:eastAsia="Times New Roman"/>
        </w:rPr>
      </w:pPr>
      <w:r w:rsidRPr="00E72B1F">
        <w:rPr>
          <w:rFonts w:eastAsia="Times New Roman"/>
        </w:rPr>
        <w:t xml:space="preserve">The General Practice in Aged Care Incentive also forms part of the Australian Government's Strengthening Medicare Reforms. These reforms respond to the recommendations of the Taskforce and aim to meet the healthcare needs of today while building a stronger Medicare </w:t>
      </w:r>
      <w:r>
        <w:rPr>
          <w:rFonts w:eastAsia="Times New Roman"/>
        </w:rPr>
        <w:t xml:space="preserve">system </w:t>
      </w:r>
      <w:r w:rsidRPr="00E72B1F">
        <w:rPr>
          <w:rFonts w:eastAsia="Times New Roman"/>
        </w:rPr>
        <w:t>for future generations.</w:t>
      </w:r>
    </w:p>
    <w:p w14:paraId="57E3ED1D" w14:textId="77777777" w:rsidR="00817CB4" w:rsidRPr="00E72B1F" w:rsidRDefault="00817CB4" w:rsidP="00817CB4">
      <w:pPr>
        <w:spacing w:before="120" w:after="120" w:line="276" w:lineRule="auto"/>
        <w:rPr>
          <w:rFonts w:eastAsia="Times New Roman"/>
        </w:rPr>
      </w:pPr>
      <w:r w:rsidRPr="00E72B1F">
        <w:rPr>
          <w:rFonts w:eastAsia="Times New Roman"/>
        </w:rPr>
        <w:t>The implementation of the General Practice in Aged Care Incentive</w:t>
      </w:r>
      <w:r w:rsidRPr="00E72B1F" w:rsidDel="00174732">
        <w:rPr>
          <w:rFonts w:eastAsia="Times New Roman"/>
        </w:rPr>
        <w:t xml:space="preserve"> </w:t>
      </w:r>
      <w:r w:rsidRPr="00E72B1F">
        <w:rPr>
          <w:rFonts w:eastAsia="Times New Roman"/>
        </w:rPr>
        <w:t>also includes:</w:t>
      </w:r>
    </w:p>
    <w:p w14:paraId="5E0C49E0"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Primary Health Networks (PHNs) will engage and collaborate with GPs and general practices, Aboriginal Community Controlled Health Services, and residential aged care homes to support older people to receive quality care as part of the General Practice in Aged Care Incentive. </w:t>
      </w:r>
    </w:p>
    <w:p w14:paraId="187AF623"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Selected PHNs will design a locally tailored solution to address thin market service gaps where older people living in aged care homes may not have access to regular services from a GP and/or practice.</w:t>
      </w:r>
    </w:p>
    <w:p w14:paraId="40415570" w14:textId="1B198B1F" w:rsidR="00817CB4" w:rsidRPr="002D330A" w:rsidRDefault="00591C1B" w:rsidP="18D229B5">
      <w:pPr>
        <w:pStyle w:val="ListBullet"/>
        <w:tabs>
          <w:tab w:val="clear" w:pos="360"/>
          <w:tab w:val="left" w:pos="340"/>
          <w:tab w:val="left" w:pos="680"/>
        </w:tabs>
        <w:spacing w:before="60" w:after="60" w:line="276" w:lineRule="auto"/>
      </w:pPr>
      <w:r>
        <w:t>Information kits and resources</w:t>
      </w:r>
      <w:r w:rsidR="00817CB4" w:rsidRPr="002D330A">
        <w:rPr>
          <w:vertAlign w:val="superscript"/>
        </w:rPr>
        <w:footnoteReference w:id="5"/>
      </w:r>
      <w:r w:rsidR="758819B6" w:rsidRPr="002D330A">
        <w:t xml:space="preserve"> to support GPs to deliver the most appropriate care in aged care homes and to support GPs' contribution to care plans; and</w:t>
      </w:r>
    </w:p>
    <w:p w14:paraId="2577706C"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lastRenderedPageBreak/>
        <w:t>monitoring and evaluation to ensure incentive payments and supporting activities are achieving their policy objectives.</w:t>
      </w:r>
    </w:p>
    <w:p w14:paraId="7220A4B1" w14:textId="21D593DD" w:rsidR="00817CB4" w:rsidRPr="00407AD1" w:rsidRDefault="6F20E253" w:rsidP="00407AD1">
      <w:pPr>
        <w:pStyle w:val="Heading3"/>
      </w:pPr>
      <w:bookmarkStart w:id="19" w:name="_Toc170119994"/>
      <w:bookmarkStart w:id="20" w:name="_Toc172899552"/>
      <w:bookmarkStart w:id="21" w:name="_Toc170817136"/>
      <w:r>
        <w:t>Benefits for older people</w:t>
      </w:r>
      <w:bookmarkEnd w:id="19"/>
      <w:bookmarkEnd w:id="20"/>
      <w:bookmarkEnd w:id="21"/>
    </w:p>
    <w:p w14:paraId="695B02C0" w14:textId="77777777" w:rsidR="00817CB4" w:rsidRPr="004F722F" w:rsidRDefault="00817CB4" w:rsidP="00817CB4">
      <w:pPr>
        <w:spacing w:before="120" w:after="120" w:line="276" w:lineRule="auto"/>
        <w:rPr>
          <w:rFonts w:eastAsia="Times New Roman"/>
        </w:rPr>
      </w:pPr>
      <w:r w:rsidRPr="004F722F">
        <w:rPr>
          <w:rFonts w:eastAsia="Times New Roman"/>
        </w:rPr>
        <w:t>Benefits to older people include:</w:t>
      </w:r>
    </w:p>
    <w:p w14:paraId="638561AE"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greater access to primary care services delivered in aged care homes.</w:t>
      </w:r>
    </w:p>
    <w:p w14:paraId="0F013990"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greater access to care planning services, including health assessments and development of care plans.</w:t>
      </w:r>
    </w:p>
    <w:p w14:paraId="3D0A0BA0"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greater regularity of primary care services delivered to older people living in aged care homes.</w:t>
      </w:r>
    </w:p>
    <w:p w14:paraId="456CC973"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formalising relationships between patient, GP, practice, and other healthcare professionals</w:t>
      </w:r>
    </w:p>
    <w:p w14:paraId="79790FD3"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increased continuity of care provided to older people living in aged care homes.</w:t>
      </w:r>
    </w:p>
    <w:p w14:paraId="346103B2" w14:textId="77777777" w:rsidR="00817CB4" w:rsidRPr="00407AD1" w:rsidRDefault="00817CB4" w:rsidP="00407AD1">
      <w:pPr>
        <w:pStyle w:val="Heading3"/>
      </w:pPr>
      <w:bookmarkStart w:id="22" w:name="_Toc170119995"/>
      <w:bookmarkStart w:id="23" w:name="_Toc172899553"/>
      <w:bookmarkStart w:id="24" w:name="_Toc170817137"/>
      <w:r w:rsidRPr="00407AD1">
        <w:t>Benefits for providers and practices</w:t>
      </w:r>
      <w:bookmarkEnd w:id="22"/>
      <w:bookmarkEnd w:id="23"/>
      <w:bookmarkEnd w:id="24"/>
    </w:p>
    <w:p w14:paraId="08D788D4" w14:textId="77777777" w:rsidR="00817CB4" w:rsidRPr="004F722F" w:rsidRDefault="00817CB4" w:rsidP="00817CB4">
      <w:pPr>
        <w:spacing w:before="120" w:after="120" w:line="276" w:lineRule="auto"/>
        <w:rPr>
          <w:rFonts w:eastAsia="Times New Roman"/>
        </w:rPr>
      </w:pPr>
      <w:r w:rsidRPr="004F722F">
        <w:rPr>
          <w:rFonts w:eastAsia="Times New Roman"/>
        </w:rPr>
        <w:t>Benefits to practices and providers include:</w:t>
      </w:r>
    </w:p>
    <w:p w14:paraId="4FA8D33A"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payments for visiting their patients in an aged care home, rather than at their practice.</w:t>
      </w:r>
    </w:p>
    <w:p w14:paraId="1ABC4A57"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funding to manage the care for registered patients living in an aged care home.</w:t>
      </w:r>
    </w:p>
    <w:p w14:paraId="447C9F28"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strengthening and formalising relationships between patient, GP, practice, and other members of a patient’s care team.</w:t>
      </w:r>
    </w:p>
    <w:p w14:paraId="7BF29A2B" w14:textId="77777777" w:rsidR="00817CB4" w:rsidRPr="001F7637" w:rsidRDefault="758819B6" w:rsidP="00407AD1">
      <w:pPr>
        <w:pStyle w:val="Heading1"/>
      </w:pPr>
      <w:bookmarkStart w:id="25" w:name="_Toc166066928"/>
      <w:bookmarkStart w:id="26" w:name="_Toc166068344"/>
      <w:bookmarkStart w:id="27" w:name="_Toc166068556"/>
      <w:bookmarkStart w:id="28" w:name="_Toc166069515"/>
      <w:bookmarkStart w:id="29" w:name="_Toc166069562"/>
      <w:bookmarkStart w:id="30" w:name="_Toc166136578"/>
      <w:bookmarkStart w:id="31" w:name="_Toc167109430"/>
      <w:bookmarkStart w:id="32" w:name="_Toc170119996"/>
      <w:bookmarkStart w:id="33" w:name="_Toc170817138"/>
      <w:bookmarkStart w:id="34" w:name="_Toc182311156"/>
      <w:r>
        <w:t>Eligibility to participate in the General Practice in Aged Care Incentive</w:t>
      </w:r>
      <w:bookmarkEnd w:id="25"/>
      <w:bookmarkEnd w:id="26"/>
      <w:bookmarkEnd w:id="27"/>
      <w:bookmarkEnd w:id="28"/>
      <w:bookmarkEnd w:id="29"/>
      <w:bookmarkEnd w:id="30"/>
      <w:bookmarkEnd w:id="31"/>
      <w:bookmarkEnd w:id="32"/>
      <w:bookmarkEnd w:id="33"/>
      <w:bookmarkEnd w:id="34"/>
    </w:p>
    <w:p w14:paraId="25115F41" w14:textId="77777777" w:rsidR="00817CB4" w:rsidRPr="004F722F" w:rsidRDefault="00817CB4" w:rsidP="00817CB4">
      <w:pPr>
        <w:spacing w:before="120" w:after="120" w:line="276" w:lineRule="auto"/>
        <w:rPr>
          <w:rFonts w:eastAsia="Times New Roman"/>
          <w:szCs w:val="22"/>
        </w:rPr>
      </w:pPr>
      <w:r w:rsidRPr="7FFEA137">
        <w:rPr>
          <w:rFonts w:eastAsia="Times New Roman"/>
          <w:szCs w:val="22"/>
        </w:rPr>
        <w:t>This section sets out eligibility requirements for practices, providers and patients participating in the MyMedicare General Practice in Aged Care Incentive. All eligibility requirements must be met concurrently within an incentive period for the practice or practitioner to be eligible for payment.</w:t>
      </w:r>
    </w:p>
    <w:p w14:paraId="7CBCFE52" w14:textId="5D40F728" w:rsidR="00817CB4" w:rsidRPr="001F7637" w:rsidRDefault="7DB152FA" w:rsidP="001F7637">
      <w:pPr>
        <w:pStyle w:val="Heading2"/>
      </w:pPr>
      <w:bookmarkStart w:id="35" w:name="_Toc166066929"/>
      <w:bookmarkStart w:id="36" w:name="_Toc166068345"/>
      <w:bookmarkStart w:id="37" w:name="_Toc166068557"/>
      <w:bookmarkStart w:id="38" w:name="_Toc166069516"/>
      <w:bookmarkStart w:id="39" w:name="_Toc166069563"/>
      <w:bookmarkStart w:id="40" w:name="_Toc166136579"/>
      <w:bookmarkStart w:id="41" w:name="_Toc167109431"/>
      <w:bookmarkStart w:id="42" w:name="_Toc170119997"/>
      <w:bookmarkStart w:id="43" w:name="_Toc170817139"/>
      <w:bookmarkStart w:id="44" w:name="_Toc182311157"/>
      <w:r>
        <w:t>Practice registration requirements</w:t>
      </w:r>
      <w:bookmarkEnd w:id="35"/>
      <w:bookmarkEnd w:id="36"/>
      <w:bookmarkEnd w:id="37"/>
      <w:bookmarkEnd w:id="38"/>
      <w:bookmarkEnd w:id="39"/>
      <w:bookmarkEnd w:id="40"/>
      <w:bookmarkEnd w:id="41"/>
      <w:bookmarkEnd w:id="42"/>
      <w:bookmarkEnd w:id="43"/>
      <w:bookmarkEnd w:id="44"/>
    </w:p>
    <w:p w14:paraId="19DA38F5" w14:textId="77777777" w:rsidR="00817CB4" w:rsidRPr="004F722F" w:rsidRDefault="00817CB4" w:rsidP="00817CB4">
      <w:pPr>
        <w:spacing w:before="120" w:after="120" w:line="276" w:lineRule="auto"/>
        <w:rPr>
          <w:rFonts w:eastAsia="Times New Roman"/>
        </w:rPr>
      </w:pPr>
      <w:r w:rsidRPr="004F722F">
        <w:rPr>
          <w:rFonts w:eastAsia="Times New Roman"/>
        </w:rPr>
        <w:t>To be eligible to receive the incentive, practices must</w:t>
      </w:r>
      <w:r>
        <w:rPr>
          <w:rFonts w:eastAsia="Times New Roman"/>
        </w:rPr>
        <w:t xml:space="preserve"> </w:t>
      </w:r>
      <w:r w:rsidRPr="004F722F">
        <w:rPr>
          <w:rFonts w:eastAsia="Times New Roman"/>
        </w:rPr>
        <w:t>be:</w:t>
      </w:r>
    </w:p>
    <w:p w14:paraId="63C7BE22"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a general practice or practice eligible for an exemption under MyMedicare – </w:t>
      </w:r>
      <w:hyperlink r:id="rId15" w:anchor="eligibility" w:history="1">
        <w:r w:rsidRPr="002D330A">
          <w:rPr>
            <w:rStyle w:val="Hyperlink"/>
          </w:rPr>
          <w:t>see MyMedicare eligibility criteria</w:t>
        </w:r>
      </w:hyperlink>
    </w:p>
    <w:p w14:paraId="00D601DC"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registered in the Organisation Register</w:t>
      </w:r>
    </w:p>
    <w:p w14:paraId="2D1210CB"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registered in the MyMedicare program (with banking details added)</w:t>
      </w:r>
    </w:p>
    <w:p w14:paraId="291AF43F" w14:textId="3DFAE766" w:rsidR="00817CB4" w:rsidRPr="004F722F" w:rsidRDefault="6F20E253" w:rsidP="690F3BC6">
      <w:pPr>
        <w:pStyle w:val="ListBullet"/>
        <w:tabs>
          <w:tab w:val="clear" w:pos="360"/>
          <w:tab w:val="left" w:pos="340"/>
          <w:tab w:val="left" w:pos="680"/>
        </w:tabs>
        <w:spacing w:before="60" w:after="60" w:line="276" w:lineRule="auto"/>
      </w:pPr>
      <w:r>
        <w:t>registered in the General Practice in Aged Care Incentive.</w:t>
      </w:r>
    </w:p>
    <w:p w14:paraId="0A18D238" w14:textId="77777777" w:rsidR="00817CB4" w:rsidRPr="001F7637" w:rsidRDefault="7DB152FA" w:rsidP="001F7637">
      <w:pPr>
        <w:pStyle w:val="Heading2"/>
      </w:pPr>
      <w:bookmarkStart w:id="45" w:name="_Toc163389998"/>
      <w:bookmarkStart w:id="46" w:name="_Toc166066930"/>
      <w:bookmarkStart w:id="47" w:name="_Toc166068346"/>
      <w:bookmarkStart w:id="48" w:name="_Toc166068558"/>
      <w:bookmarkStart w:id="49" w:name="_Toc166069517"/>
      <w:bookmarkStart w:id="50" w:name="_Toc166069564"/>
      <w:bookmarkStart w:id="51" w:name="_Toc166136580"/>
      <w:bookmarkStart w:id="52" w:name="_Toc167109432"/>
      <w:bookmarkStart w:id="53" w:name="_Toc170119998"/>
      <w:bookmarkStart w:id="54" w:name="_Toc170817140"/>
      <w:bookmarkStart w:id="55" w:name="_Toc182311158"/>
      <w:bookmarkEnd w:id="45"/>
      <w:r>
        <w:t>Responsible Provider registration requirements</w:t>
      </w:r>
      <w:bookmarkEnd w:id="46"/>
      <w:bookmarkEnd w:id="47"/>
      <w:bookmarkEnd w:id="48"/>
      <w:bookmarkEnd w:id="49"/>
      <w:bookmarkEnd w:id="50"/>
      <w:bookmarkEnd w:id="51"/>
      <w:bookmarkEnd w:id="52"/>
      <w:bookmarkEnd w:id="53"/>
      <w:bookmarkEnd w:id="54"/>
      <w:bookmarkEnd w:id="55"/>
    </w:p>
    <w:p w14:paraId="75456873" w14:textId="77777777" w:rsidR="00817CB4" w:rsidRPr="004F722F" w:rsidRDefault="00817CB4" w:rsidP="00817CB4">
      <w:pPr>
        <w:spacing w:before="120" w:after="120" w:line="276" w:lineRule="auto"/>
        <w:rPr>
          <w:rFonts w:eastAsia="Times New Roman"/>
        </w:rPr>
      </w:pPr>
      <w:r w:rsidRPr="004F722F">
        <w:rPr>
          <w:rFonts w:eastAsia="Times New Roman"/>
        </w:rPr>
        <w:t>A ‘</w:t>
      </w:r>
      <w:r>
        <w:rPr>
          <w:rFonts w:eastAsia="Times New Roman"/>
        </w:rPr>
        <w:t>R</w:t>
      </w:r>
      <w:r w:rsidRPr="004F722F">
        <w:rPr>
          <w:rFonts w:eastAsia="Times New Roman"/>
        </w:rPr>
        <w:t xml:space="preserve">esponsible </w:t>
      </w:r>
      <w:r>
        <w:rPr>
          <w:rFonts w:eastAsia="Times New Roman"/>
        </w:rPr>
        <w:t>P</w:t>
      </w:r>
      <w:r w:rsidRPr="004F722F">
        <w:rPr>
          <w:rFonts w:eastAsia="Times New Roman"/>
        </w:rPr>
        <w:t xml:space="preserve">rovider’ is a provider who is responsible for </w:t>
      </w:r>
      <w:r>
        <w:rPr>
          <w:rFonts w:eastAsia="Times New Roman"/>
        </w:rPr>
        <w:t xml:space="preserve">coordinating the </w:t>
      </w:r>
      <w:r w:rsidRPr="004F722F">
        <w:rPr>
          <w:rFonts w:eastAsia="Times New Roman"/>
        </w:rPr>
        <w:t>deliver</w:t>
      </w:r>
      <w:r>
        <w:rPr>
          <w:rFonts w:eastAsia="Times New Roman"/>
        </w:rPr>
        <w:t>y of</w:t>
      </w:r>
      <w:r w:rsidRPr="004F722F">
        <w:rPr>
          <w:rFonts w:eastAsia="Times New Roman"/>
        </w:rPr>
        <w:t xml:space="preserve"> eligible services to the registered patient</w:t>
      </w:r>
      <w:r>
        <w:rPr>
          <w:rFonts w:eastAsia="Times New Roman"/>
        </w:rPr>
        <w:t xml:space="preserve"> as part of the General Practice in Aged Care Incentive</w:t>
      </w:r>
      <w:r w:rsidRPr="004F722F">
        <w:rPr>
          <w:rFonts w:eastAsia="Times New Roman"/>
        </w:rPr>
        <w:t xml:space="preserve">. This </w:t>
      </w:r>
      <w:r w:rsidRPr="004F722F">
        <w:rPr>
          <w:rFonts w:eastAsia="Times New Roman"/>
        </w:rPr>
        <w:lastRenderedPageBreak/>
        <w:t xml:space="preserve">includes services provided by other health professionals at the practice as part of the servicing requirements of the </w:t>
      </w:r>
      <w:r>
        <w:rPr>
          <w:rFonts w:eastAsia="Times New Roman"/>
        </w:rPr>
        <w:t>i</w:t>
      </w:r>
      <w:r w:rsidRPr="004F722F">
        <w:rPr>
          <w:rFonts w:eastAsia="Times New Roman"/>
        </w:rPr>
        <w:t xml:space="preserve">ncentive. </w:t>
      </w:r>
    </w:p>
    <w:p w14:paraId="02C4EB85" w14:textId="5D8C044D" w:rsidR="00817CB4" w:rsidRPr="004F722F" w:rsidRDefault="00817CB4" w:rsidP="00817CB4">
      <w:pPr>
        <w:spacing w:before="120" w:after="120" w:line="276" w:lineRule="auto"/>
        <w:rPr>
          <w:rFonts w:eastAsia="Times New Roman"/>
          <w:szCs w:val="22"/>
        </w:rPr>
      </w:pPr>
      <w:r w:rsidRPr="62B96E9F">
        <w:rPr>
          <w:rFonts w:eastAsia="Times New Roman"/>
          <w:szCs w:val="22"/>
        </w:rPr>
        <w:t xml:space="preserve">Responsible </w:t>
      </w:r>
      <w:r>
        <w:rPr>
          <w:rFonts w:eastAsia="Times New Roman"/>
          <w:szCs w:val="22"/>
        </w:rPr>
        <w:t>P</w:t>
      </w:r>
      <w:r w:rsidRPr="62B96E9F">
        <w:rPr>
          <w:rFonts w:eastAsia="Times New Roman"/>
          <w:szCs w:val="22"/>
        </w:rPr>
        <w:t xml:space="preserve">roviders </w:t>
      </w:r>
      <w:r w:rsidR="00E259CC">
        <w:rPr>
          <w:rFonts w:eastAsia="Times New Roman"/>
          <w:szCs w:val="22"/>
        </w:rPr>
        <w:t>are</w:t>
      </w:r>
      <w:r w:rsidRPr="62B96E9F">
        <w:rPr>
          <w:rFonts w:eastAsia="Times New Roman"/>
          <w:szCs w:val="22"/>
        </w:rPr>
        <w:t xml:space="preserve"> required to be linked to an eligible patient who is registered in the General Practice in Aged Care Incentive in MyMedicare. </w:t>
      </w:r>
    </w:p>
    <w:p w14:paraId="578C0031" w14:textId="704B6A92" w:rsidR="00817CB4" w:rsidRPr="00407AD1" w:rsidRDefault="00817CB4" w:rsidP="00407AD1">
      <w:pPr>
        <w:pStyle w:val="Heading3"/>
      </w:pPr>
      <w:bookmarkStart w:id="56" w:name="_Toc170119999"/>
      <w:bookmarkStart w:id="57" w:name="_Toc172899484"/>
      <w:bookmarkStart w:id="58" w:name="_Toc172899557"/>
      <w:bookmarkStart w:id="59" w:name="_Toc170817141"/>
      <w:bookmarkStart w:id="60" w:name="_Hlk167962003"/>
      <w:r w:rsidRPr="00407AD1">
        <w:t>Responsible Providers eligibility</w:t>
      </w:r>
      <w:bookmarkEnd w:id="56"/>
      <w:bookmarkEnd w:id="57"/>
      <w:bookmarkEnd w:id="58"/>
      <w:bookmarkEnd w:id="59"/>
    </w:p>
    <w:bookmarkEnd w:id="60"/>
    <w:p w14:paraId="30F03E75" w14:textId="77777777" w:rsidR="00817CB4" w:rsidRPr="004F722F" w:rsidRDefault="00817CB4" w:rsidP="00817CB4">
      <w:pPr>
        <w:spacing w:before="120" w:after="120" w:line="276" w:lineRule="auto"/>
        <w:rPr>
          <w:rFonts w:eastAsia="Times New Roman"/>
        </w:rPr>
      </w:pPr>
      <w:r w:rsidRPr="004F722F">
        <w:rPr>
          <w:rFonts w:eastAsia="Times New Roman"/>
        </w:rPr>
        <w:t xml:space="preserve">To be eligible for payment, </w:t>
      </w:r>
      <w:r>
        <w:rPr>
          <w:rFonts w:eastAsia="Times New Roman"/>
        </w:rPr>
        <w:t>R</w:t>
      </w:r>
      <w:r w:rsidRPr="004F722F">
        <w:rPr>
          <w:rFonts w:eastAsia="Times New Roman"/>
        </w:rPr>
        <w:t xml:space="preserve">esponsible </w:t>
      </w:r>
      <w:r>
        <w:rPr>
          <w:rFonts w:eastAsia="Times New Roman"/>
        </w:rPr>
        <w:t>P</w:t>
      </w:r>
      <w:r w:rsidRPr="004F722F">
        <w:rPr>
          <w:rFonts w:eastAsia="Times New Roman"/>
        </w:rPr>
        <w:t>roviders must:</w:t>
      </w:r>
    </w:p>
    <w:p w14:paraId="0B98D324" w14:textId="62B394AB"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be linked in the Organisation Register</w:t>
      </w:r>
      <w:r w:rsidR="00505CD0">
        <w:t xml:space="preserve"> to the same registered practice as the patient receiving the services.</w:t>
      </w:r>
    </w:p>
    <w:p w14:paraId="00E8CE3E"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be declared as the Responsible Provider of eligible services to the registered patient, including coordinating services provided by the care team. </w:t>
      </w:r>
    </w:p>
    <w:p w14:paraId="7E3CE2E8" w14:textId="77777777" w:rsidR="00817CB4" w:rsidRPr="001F7637" w:rsidRDefault="758819B6" w:rsidP="001F7637">
      <w:pPr>
        <w:pStyle w:val="Heading2"/>
      </w:pPr>
      <w:bookmarkStart w:id="61" w:name="_Toc166066931"/>
      <w:bookmarkStart w:id="62" w:name="_Toc166068347"/>
      <w:bookmarkStart w:id="63" w:name="_Toc166068559"/>
      <w:bookmarkStart w:id="64" w:name="_Toc166069518"/>
      <w:bookmarkStart w:id="65" w:name="_Toc166069565"/>
      <w:bookmarkStart w:id="66" w:name="_Toc166136581"/>
      <w:bookmarkStart w:id="67" w:name="_Toc167109433"/>
      <w:bookmarkStart w:id="68" w:name="_Toc170120000"/>
      <w:bookmarkStart w:id="69" w:name="_Toc170817142"/>
      <w:bookmarkStart w:id="70" w:name="_Toc182311159"/>
      <w:bookmarkStart w:id="71" w:name="_Hlk167962101"/>
      <w:bookmarkStart w:id="72" w:name="_Hlk167962391"/>
      <w:r>
        <w:t xml:space="preserve">Care team </w:t>
      </w:r>
      <w:bookmarkEnd w:id="61"/>
      <w:bookmarkEnd w:id="62"/>
      <w:bookmarkEnd w:id="63"/>
      <w:bookmarkEnd w:id="64"/>
      <w:bookmarkEnd w:id="65"/>
      <w:bookmarkEnd w:id="66"/>
      <w:r>
        <w:t>registration requirements</w:t>
      </w:r>
      <w:bookmarkEnd w:id="67"/>
      <w:bookmarkEnd w:id="68"/>
      <w:bookmarkEnd w:id="69"/>
      <w:bookmarkEnd w:id="70"/>
    </w:p>
    <w:p w14:paraId="00D9DBF1" w14:textId="1D29C6FB" w:rsidR="00817CB4" w:rsidRPr="004F722F" w:rsidRDefault="00817CB4" w:rsidP="00817CB4">
      <w:pPr>
        <w:spacing w:before="120" w:after="120" w:line="276" w:lineRule="auto"/>
        <w:rPr>
          <w:rFonts w:eastAsia="Times New Roman"/>
        </w:rPr>
      </w:pPr>
      <w:bookmarkStart w:id="73" w:name="_Hlk167962145"/>
      <w:r w:rsidRPr="004F722F">
        <w:rPr>
          <w:rFonts w:eastAsia="Times New Roman"/>
        </w:rPr>
        <w:t>Other members of a patient</w:t>
      </w:r>
      <w:r w:rsidR="00075A63">
        <w:rPr>
          <w:rFonts w:eastAsia="Times New Roman"/>
        </w:rPr>
        <w:t>’</w:t>
      </w:r>
      <w:r w:rsidRPr="004F722F">
        <w:rPr>
          <w:rFonts w:eastAsia="Times New Roman"/>
        </w:rPr>
        <w:t xml:space="preserve">s care team </w:t>
      </w:r>
      <w:bookmarkEnd w:id="71"/>
      <w:r w:rsidRPr="004F722F">
        <w:rPr>
          <w:rFonts w:eastAsia="Times New Roman"/>
        </w:rPr>
        <w:t xml:space="preserve">can deliver services that contribute to the patients' eligible services. </w:t>
      </w:r>
      <w:bookmarkEnd w:id="73"/>
      <w:r w:rsidRPr="004F722F">
        <w:rPr>
          <w:rFonts w:eastAsia="Times New Roman"/>
        </w:rPr>
        <w:t xml:space="preserve">These services must be delivered under the direction of the </w:t>
      </w:r>
      <w:r>
        <w:rPr>
          <w:rFonts w:eastAsia="Times New Roman"/>
        </w:rPr>
        <w:t>R</w:t>
      </w:r>
      <w:r w:rsidRPr="004F722F">
        <w:rPr>
          <w:rFonts w:eastAsia="Times New Roman"/>
        </w:rPr>
        <w:t xml:space="preserve">esponsible </w:t>
      </w:r>
      <w:r>
        <w:rPr>
          <w:rFonts w:eastAsia="Times New Roman"/>
        </w:rPr>
        <w:t>P</w:t>
      </w:r>
      <w:r w:rsidRPr="004F722F">
        <w:rPr>
          <w:rFonts w:eastAsia="Times New Roman"/>
        </w:rPr>
        <w:t xml:space="preserve">rovider and be in line with the quarterly servicing requirements for the patient’s care team. </w:t>
      </w:r>
    </w:p>
    <w:p w14:paraId="40D75CBB" w14:textId="77777777" w:rsidR="00817CB4" w:rsidRPr="004F722F" w:rsidRDefault="00817CB4" w:rsidP="00817CB4">
      <w:pPr>
        <w:spacing w:before="120" w:after="120" w:line="276" w:lineRule="auto"/>
        <w:rPr>
          <w:rFonts w:eastAsia="Times New Roman"/>
        </w:rPr>
      </w:pPr>
      <w:bookmarkStart w:id="74" w:name="_Hlk165564193"/>
      <w:r w:rsidRPr="004F722F">
        <w:rPr>
          <w:rFonts w:eastAsia="Times New Roman"/>
        </w:rPr>
        <w:t>Eligible care team members include an alternative provider within the same practice</w:t>
      </w:r>
      <w:r>
        <w:rPr>
          <w:rFonts w:eastAsia="Times New Roman"/>
        </w:rPr>
        <w:t>,</w:t>
      </w:r>
      <w:r w:rsidRPr="004F722F">
        <w:rPr>
          <w:rFonts w:eastAsia="Times New Roman"/>
        </w:rPr>
        <w:t xml:space="preserve"> including:</w:t>
      </w:r>
    </w:p>
    <w:p w14:paraId="210D43E9" w14:textId="7BA2A15D"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another GP or GP registrar</w:t>
      </w:r>
      <w:r w:rsidR="009E3426">
        <w:t>,</w:t>
      </w:r>
      <w:r w:rsidRPr="002D330A">
        <w:t xml:space="preserve"> </w:t>
      </w:r>
    </w:p>
    <w:p w14:paraId="14F2F5A6" w14:textId="1E5B4F1F"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a nurse practitioner, </w:t>
      </w:r>
    </w:p>
    <w:p w14:paraId="3BD0937C" w14:textId="2FF71A6D" w:rsidR="00902018" w:rsidRDefault="009E3426" w:rsidP="06F539DF">
      <w:pPr>
        <w:pStyle w:val="ListBullet"/>
        <w:tabs>
          <w:tab w:val="clear" w:pos="360"/>
          <w:tab w:val="left" w:pos="340"/>
          <w:tab w:val="left" w:pos="680"/>
        </w:tabs>
        <w:spacing w:before="60" w:after="60" w:line="276" w:lineRule="auto"/>
      </w:pPr>
      <w:r>
        <w:t xml:space="preserve">a </w:t>
      </w:r>
      <w:r w:rsidR="00817CB4" w:rsidRPr="002D330A">
        <w:t>practice nurse</w:t>
      </w:r>
      <w:r w:rsidR="72BBB057" w:rsidRPr="002D330A">
        <w:t xml:space="preserve"> </w:t>
      </w:r>
      <w:r w:rsidR="3E27C393" w:rsidRPr="002D330A">
        <w:t>and</w:t>
      </w:r>
      <w:r w:rsidR="00817CB4" w:rsidRPr="002D330A">
        <w:t xml:space="preserve"> </w:t>
      </w:r>
    </w:p>
    <w:p w14:paraId="47C69707" w14:textId="43635FD7" w:rsidR="00817CB4" w:rsidRPr="002D330A" w:rsidRDefault="009E3426" w:rsidP="06F539DF">
      <w:pPr>
        <w:pStyle w:val="ListBullet"/>
        <w:tabs>
          <w:tab w:val="clear" w:pos="360"/>
          <w:tab w:val="left" w:pos="340"/>
          <w:tab w:val="left" w:pos="680"/>
        </w:tabs>
        <w:spacing w:before="60" w:after="60" w:line="276" w:lineRule="auto"/>
      </w:pPr>
      <w:r>
        <w:t xml:space="preserve">an </w:t>
      </w:r>
      <w:r w:rsidR="00817CB4" w:rsidRPr="002D330A">
        <w:t>Aboriginal and Torres Strait Islander health practitioner.</w:t>
      </w:r>
      <w:r w:rsidR="00817CB4" w:rsidRPr="002D330A">
        <w:rPr>
          <w:vertAlign w:val="superscript"/>
        </w:rPr>
        <w:footnoteReference w:id="6"/>
      </w:r>
    </w:p>
    <w:p w14:paraId="289CCA73" w14:textId="77777777" w:rsidR="00817CB4" w:rsidRPr="00407AD1" w:rsidRDefault="00817CB4" w:rsidP="00407AD1">
      <w:pPr>
        <w:pStyle w:val="Heading3"/>
      </w:pPr>
      <w:bookmarkStart w:id="75" w:name="_Toc166066932"/>
      <w:bookmarkStart w:id="76" w:name="_Toc166068348"/>
      <w:bookmarkStart w:id="77" w:name="_Toc166068560"/>
      <w:bookmarkStart w:id="78" w:name="_Toc166069519"/>
      <w:bookmarkStart w:id="79" w:name="_Toc166069566"/>
      <w:bookmarkStart w:id="80" w:name="_Toc166136582"/>
      <w:bookmarkStart w:id="81" w:name="_Toc170120001"/>
      <w:bookmarkStart w:id="82" w:name="_Toc172899486"/>
      <w:bookmarkStart w:id="83" w:name="_Toc172899559"/>
      <w:bookmarkStart w:id="84" w:name="_Toc170817143"/>
      <w:bookmarkEnd w:id="74"/>
      <w:r w:rsidRPr="00407AD1">
        <w:t>Alternative provider eligibility</w:t>
      </w:r>
      <w:bookmarkEnd w:id="75"/>
      <w:bookmarkEnd w:id="76"/>
      <w:bookmarkEnd w:id="77"/>
      <w:bookmarkEnd w:id="78"/>
      <w:bookmarkEnd w:id="79"/>
      <w:bookmarkEnd w:id="80"/>
      <w:bookmarkEnd w:id="81"/>
      <w:bookmarkEnd w:id="82"/>
      <w:bookmarkEnd w:id="83"/>
      <w:bookmarkEnd w:id="84"/>
    </w:p>
    <w:p w14:paraId="220F6EA1" w14:textId="77777777" w:rsidR="00817CB4" w:rsidRPr="004F722F" w:rsidRDefault="00817CB4" w:rsidP="00817CB4">
      <w:pPr>
        <w:spacing w:before="120" w:after="120" w:line="276" w:lineRule="auto"/>
        <w:rPr>
          <w:rFonts w:eastAsia="Times New Roman"/>
        </w:rPr>
      </w:pPr>
      <w:bookmarkStart w:id="85" w:name="_Hlk165564216"/>
      <w:r w:rsidRPr="004F722F">
        <w:rPr>
          <w:rFonts w:eastAsia="Times New Roman"/>
        </w:rPr>
        <w:t>To be eligible to participate in the General Practice in Aged Care Incentive, an alternative provider must:</w:t>
      </w:r>
    </w:p>
    <w:p w14:paraId="4513C997" w14:textId="5002D352"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be linked </w:t>
      </w:r>
      <w:r w:rsidR="00A11E4B" w:rsidRPr="002D330A">
        <w:t>in the Organisation Register</w:t>
      </w:r>
      <w:r w:rsidR="00A11E4B">
        <w:t xml:space="preserve"> </w:t>
      </w:r>
      <w:r w:rsidRPr="002D330A">
        <w:t xml:space="preserve">to the same </w:t>
      </w:r>
      <w:r w:rsidR="00A11E4B">
        <w:t xml:space="preserve">registered </w:t>
      </w:r>
      <w:r w:rsidRPr="002D330A">
        <w:t>practice as the patient’s Responsible Provider.</w:t>
      </w:r>
    </w:p>
    <w:p w14:paraId="23297B0D"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deliver eligible services under the direction of the patient’s Responsible Provider</w:t>
      </w:r>
      <w:bookmarkEnd w:id="85"/>
      <w:r w:rsidRPr="002D330A">
        <w:t xml:space="preserve">. </w:t>
      </w:r>
    </w:p>
    <w:p w14:paraId="0962695C" w14:textId="0590DBFB" w:rsidR="00817CB4" w:rsidRPr="00407AD1" w:rsidRDefault="00817CB4" w:rsidP="00407AD1">
      <w:pPr>
        <w:pStyle w:val="Heading3"/>
      </w:pPr>
      <w:bookmarkStart w:id="86" w:name="_Toc166066933"/>
      <w:bookmarkStart w:id="87" w:name="_Toc166068349"/>
      <w:bookmarkStart w:id="88" w:name="_Toc166068561"/>
      <w:bookmarkStart w:id="89" w:name="_Toc166069520"/>
      <w:bookmarkStart w:id="90" w:name="_Toc166069567"/>
      <w:bookmarkStart w:id="91" w:name="_Toc166136583"/>
      <w:bookmarkStart w:id="92" w:name="_Toc170120002"/>
      <w:bookmarkStart w:id="93" w:name="_Toc172899487"/>
      <w:bookmarkStart w:id="94" w:name="_Toc172899560"/>
      <w:bookmarkStart w:id="95" w:name="_Toc170817144"/>
      <w:bookmarkStart w:id="96" w:name="_Hlk167962459"/>
      <w:bookmarkEnd w:id="72"/>
      <w:r w:rsidRPr="00407AD1">
        <w:t>Practice nurse</w:t>
      </w:r>
      <w:r w:rsidR="500B93C8">
        <w:t xml:space="preserve"> </w:t>
      </w:r>
      <w:r w:rsidR="2F6FDE8A">
        <w:t>and</w:t>
      </w:r>
      <w:r w:rsidRPr="00407AD1">
        <w:t xml:space="preserve"> </w:t>
      </w:r>
      <w:bookmarkStart w:id="97" w:name="_Hlk166051886"/>
      <w:r w:rsidRPr="00407AD1">
        <w:t>Aboriginal and Torres Strait Islander health practitioner eligibility</w:t>
      </w:r>
      <w:bookmarkEnd w:id="86"/>
      <w:bookmarkEnd w:id="87"/>
      <w:bookmarkEnd w:id="88"/>
      <w:bookmarkEnd w:id="89"/>
      <w:bookmarkEnd w:id="90"/>
      <w:bookmarkEnd w:id="91"/>
      <w:bookmarkEnd w:id="92"/>
      <w:bookmarkEnd w:id="93"/>
      <w:bookmarkEnd w:id="94"/>
      <w:bookmarkEnd w:id="95"/>
    </w:p>
    <w:p w14:paraId="1F70946A" w14:textId="29258EAA" w:rsidR="00817CB4" w:rsidRPr="004F722F" w:rsidRDefault="00817CB4" w:rsidP="00817CB4">
      <w:pPr>
        <w:spacing w:before="120" w:after="120" w:line="276" w:lineRule="auto"/>
        <w:rPr>
          <w:rFonts w:eastAsia="Times New Roman"/>
        </w:rPr>
      </w:pPr>
      <w:bookmarkStart w:id="98" w:name="_Hlk165564275"/>
      <w:bookmarkEnd w:id="96"/>
      <w:bookmarkEnd w:id="97"/>
      <w:r w:rsidRPr="004F722F">
        <w:rPr>
          <w:rFonts w:eastAsia="Times New Roman"/>
        </w:rPr>
        <w:t>A practice nurse</w:t>
      </w:r>
      <w:r w:rsidR="7538CE27" w:rsidRPr="06F539DF">
        <w:rPr>
          <w:rFonts w:eastAsia="Times New Roman"/>
        </w:rPr>
        <w:t xml:space="preserve"> and</w:t>
      </w:r>
      <w:r w:rsidRPr="004F722F">
        <w:rPr>
          <w:rFonts w:eastAsia="Times New Roman"/>
        </w:rPr>
        <w:t xml:space="preserve"> Aboriginal and Torres Strait Islander health practitioner can also contribute to the patient’s servicing requirements under the direction of the Responsible Provider. Any services delivered by these care team members must be billed through the eligible practice.</w:t>
      </w:r>
      <w:bookmarkEnd w:id="98"/>
    </w:p>
    <w:p w14:paraId="3CFA5D81" w14:textId="77777777" w:rsidR="00817CB4" w:rsidRPr="001F7637" w:rsidRDefault="758819B6" w:rsidP="001F7637">
      <w:pPr>
        <w:pStyle w:val="Heading2"/>
      </w:pPr>
      <w:bookmarkStart w:id="99" w:name="_Toc166066934"/>
      <w:bookmarkStart w:id="100" w:name="_Toc166068350"/>
      <w:bookmarkStart w:id="101" w:name="_Toc166068562"/>
      <w:bookmarkStart w:id="102" w:name="_Toc166069521"/>
      <w:bookmarkStart w:id="103" w:name="_Toc166069568"/>
      <w:bookmarkStart w:id="104" w:name="_Toc166136584"/>
      <w:bookmarkStart w:id="105" w:name="_Toc167109434"/>
      <w:bookmarkStart w:id="106" w:name="_Toc170120003"/>
      <w:bookmarkStart w:id="107" w:name="_Toc170817145"/>
      <w:bookmarkStart w:id="108" w:name="_Toc182311160"/>
      <w:r>
        <w:lastRenderedPageBreak/>
        <w:t>Patient eligibility</w:t>
      </w:r>
      <w:bookmarkEnd w:id="99"/>
      <w:bookmarkEnd w:id="100"/>
      <w:bookmarkEnd w:id="101"/>
      <w:bookmarkEnd w:id="102"/>
      <w:bookmarkEnd w:id="103"/>
      <w:bookmarkEnd w:id="104"/>
      <w:bookmarkEnd w:id="105"/>
      <w:bookmarkEnd w:id="106"/>
      <w:bookmarkEnd w:id="107"/>
      <w:bookmarkEnd w:id="108"/>
    </w:p>
    <w:p w14:paraId="6BE20423" w14:textId="77777777" w:rsidR="00817CB4" w:rsidRPr="004F722F" w:rsidRDefault="00817CB4" w:rsidP="00817CB4">
      <w:pPr>
        <w:spacing w:before="120" w:after="120" w:line="276" w:lineRule="auto"/>
        <w:rPr>
          <w:rFonts w:eastAsia="Times New Roman"/>
        </w:rPr>
      </w:pPr>
      <w:r w:rsidRPr="004F722F">
        <w:rPr>
          <w:rFonts w:eastAsia="Times New Roman"/>
        </w:rPr>
        <w:t>To enable practices and providers to be eligible to receive payments, patients must:</w:t>
      </w:r>
    </w:p>
    <w:p w14:paraId="58C5B098"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permanently live in an aged care home</w:t>
      </w:r>
      <w:r w:rsidRPr="002D330A">
        <w:rPr>
          <w:vertAlign w:val="superscript"/>
        </w:rPr>
        <w:footnoteReference w:id="7"/>
      </w:r>
      <w:r w:rsidRPr="002D330A">
        <w:t>, not including respite care.</w:t>
      </w:r>
    </w:p>
    <w:p w14:paraId="3314970E" w14:textId="77777777" w:rsidR="00817CB4"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be registered in MyMedicare with the eligible registered practice. </w:t>
      </w:r>
    </w:p>
    <w:p w14:paraId="5E7AEAE2" w14:textId="72FAA88A" w:rsidR="002F5B29" w:rsidRPr="00787D87" w:rsidRDefault="002F5B29" w:rsidP="00787D87">
      <w:pPr>
        <w:pStyle w:val="ListBullet"/>
        <w:numPr>
          <w:ilvl w:val="0"/>
          <w:numId w:val="0"/>
        </w:numPr>
        <w:tabs>
          <w:tab w:val="left" w:pos="340"/>
          <w:tab w:val="left" w:pos="680"/>
        </w:tabs>
        <w:spacing w:before="60" w:after="60" w:line="276" w:lineRule="auto"/>
        <w:ind w:left="360"/>
        <w:contextualSpacing w:val="0"/>
      </w:pPr>
      <w:r w:rsidRPr="008F1E78">
        <w:rPr>
          <w:b/>
          <w:bCs/>
        </w:rPr>
        <w:t>Note:</w:t>
      </w:r>
      <w:r w:rsidRPr="008F1E78">
        <w:t xml:space="preserve"> </w:t>
      </w:r>
      <w:r w:rsidR="00787D87" w:rsidRPr="008F1E78">
        <w:t>People who live in a residential aged care home are exempt from the MyMedicare eligibility requirement for one face-to-face visit for practices in remote locations, or two face-to-face visits for practices in other locations in the previous 24 months recorded with the same practice.</w:t>
      </w:r>
    </w:p>
    <w:p w14:paraId="37F3B3C7"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have the General Practice in Aged Care Incentive indicator selected on their MyMedicare profile by their practice.</w:t>
      </w:r>
    </w:p>
    <w:p w14:paraId="1B449BE8" w14:textId="77777777" w:rsidR="00817CB4" w:rsidRPr="002D330A" w:rsidRDefault="758819B6" w:rsidP="18D229B5">
      <w:pPr>
        <w:pStyle w:val="ListBullet"/>
        <w:tabs>
          <w:tab w:val="clear" w:pos="360"/>
          <w:tab w:val="left" w:pos="340"/>
          <w:tab w:val="left" w:pos="680"/>
        </w:tabs>
        <w:spacing w:before="60" w:after="60" w:line="276" w:lineRule="auto"/>
      </w:pPr>
      <w:r w:rsidRPr="002D330A">
        <w:t>have a Responsible Provider identified by the practice when a General Practice in Aged Care Incentive</w:t>
      </w:r>
      <w:r w:rsidRPr="002D330A" w:rsidDel="00174732">
        <w:t xml:space="preserve"> </w:t>
      </w:r>
      <w:r w:rsidRPr="002D330A">
        <w:t>indicator has been selected in the Organisation Register.</w:t>
      </w:r>
      <w:r w:rsidR="00817CB4" w:rsidRPr="002D330A">
        <w:rPr>
          <w:vertAlign w:val="superscript"/>
        </w:rPr>
        <w:footnoteReference w:id="8"/>
      </w:r>
    </w:p>
    <w:p w14:paraId="607FBE2A" w14:textId="14506F87" w:rsidR="25D496A4" w:rsidRPr="00ED1EBA" w:rsidRDefault="25D496A4" w:rsidP="00ED1EBA">
      <w:pPr>
        <w:tabs>
          <w:tab w:val="left" w:pos="340"/>
          <w:tab w:val="left" w:pos="680"/>
        </w:tabs>
        <w:spacing w:before="120" w:after="120" w:line="276" w:lineRule="auto"/>
        <w:rPr>
          <w:rFonts w:eastAsia="Times New Roman"/>
        </w:rPr>
      </w:pPr>
      <w:r w:rsidRPr="00ED1EBA">
        <w:rPr>
          <w:rFonts w:eastAsia="Times New Roman"/>
        </w:rPr>
        <w:t xml:space="preserve">Younger people in residential aged care are eligible to participate in the incentive. There is no lower age limit </w:t>
      </w:r>
      <w:proofErr w:type="gramStart"/>
      <w:r w:rsidRPr="00ED1EBA">
        <w:rPr>
          <w:rFonts w:eastAsia="Times New Roman"/>
        </w:rPr>
        <w:t>as long as</w:t>
      </w:r>
      <w:proofErr w:type="gramEnd"/>
      <w:r w:rsidRPr="00ED1EBA">
        <w:rPr>
          <w:rFonts w:eastAsia="Times New Roman"/>
        </w:rPr>
        <w:t xml:space="preserve"> they are a permanent </w:t>
      </w:r>
      <w:r w:rsidR="11D61358" w:rsidRPr="18D229B5">
        <w:rPr>
          <w:rFonts w:eastAsia="Times New Roman"/>
        </w:rPr>
        <w:t xml:space="preserve">residential aged care home </w:t>
      </w:r>
      <w:r w:rsidRPr="00ED1EBA">
        <w:rPr>
          <w:rFonts w:eastAsia="Times New Roman"/>
        </w:rPr>
        <w:t>resident.</w:t>
      </w:r>
    </w:p>
    <w:p w14:paraId="1FC32BD3" w14:textId="77777777" w:rsidR="003357EC" w:rsidRDefault="00817CB4" w:rsidP="00817CB4">
      <w:pPr>
        <w:spacing w:before="120" w:after="120" w:line="276" w:lineRule="auto"/>
        <w:rPr>
          <w:rFonts w:eastAsia="Times New Roman"/>
        </w:rPr>
      </w:pPr>
      <w:r w:rsidRPr="007F4BC4">
        <w:rPr>
          <w:rFonts w:eastAsia="Times New Roman"/>
        </w:rPr>
        <w:t>It is the responsibility of both the provider and practice to ensure a patient is eligible for the General Practice in Aged Care Incentive. The provider and practice must declare their patient meets the eligibility criteria as part of the patient registration process.</w:t>
      </w:r>
      <w:bookmarkStart w:id="109" w:name="_Hlk164087430"/>
      <w:r>
        <w:rPr>
          <w:rFonts w:eastAsia="Times New Roman"/>
        </w:rPr>
        <w:t xml:space="preserve"> </w:t>
      </w:r>
    </w:p>
    <w:p w14:paraId="321DD91E" w14:textId="14C68AB0" w:rsidR="00817CB4" w:rsidRPr="007F4BC4" w:rsidRDefault="00817CB4" w:rsidP="00817CB4">
      <w:pPr>
        <w:spacing w:before="120" w:after="120" w:line="276" w:lineRule="auto"/>
        <w:rPr>
          <w:rFonts w:eastAsia="Times New Roman"/>
        </w:rPr>
      </w:pPr>
      <w:r w:rsidRPr="007F4BC4">
        <w:rPr>
          <w:rFonts w:eastAsia="Times New Roman"/>
        </w:rPr>
        <w:t>Practices need to:</w:t>
      </w:r>
    </w:p>
    <w:p w14:paraId="3E1F1277" w14:textId="3A47971F" w:rsidR="00817CB4" w:rsidRPr="002D330A" w:rsidRDefault="00817CB4" w:rsidP="48E88A4B">
      <w:pPr>
        <w:pStyle w:val="ListBullet"/>
        <w:tabs>
          <w:tab w:val="clear" w:pos="360"/>
          <w:tab w:val="left" w:pos="340"/>
          <w:tab w:val="left" w:pos="680"/>
        </w:tabs>
        <w:spacing w:before="60" w:after="60" w:line="276" w:lineRule="auto"/>
      </w:pPr>
      <w:r>
        <w:t>link providers and their MyMedicare-registered patients to their practice</w:t>
      </w:r>
      <w:r w:rsidR="3DCC3A59">
        <w:t>.</w:t>
      </w:r>
      <w:r>
        <w:t xml:space="preserve"> </w:t>
      </w:r>
    </w:p>
    <w:p w14:paraId="49142C68"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select the General Practice in Aged Care Incentive indicator on their patients’ MyMedicare profiles.</w:t>
      </w:r>
    </w:p>
    <w:p w14:paraId="045D80E4" w14:textId="3FD9BAC3" w:rsidR="00806DE7" w:rsidRDefault="758819B6" w:rsidP="00DA5604">
      <w:pPr>
        <w:pStyle w:val="ListBullet"/>
        <w:tabs>
          <w:tab w:val="clear" w:pos="360"/>
          <w:tab w:val="left" w:pos="340"/>
          <w:tab w:val="left" w:pos="680"/>
        </w:tabs>
        <w:spacing w:before="60" w:after="60" w:line="276" w:lineRule="auto"/>
      </w:pPr>
      <w:r>
        <w:t>link patients to the Responsible Provider at the practice.</w:t>
      </w:r>
      <w:bookmarkEnd w:id="109"/>
    </w:p>
    <w:p w14:paraId="0FE1D933" w14:textId="76F357A5" w:rsidR="00806DE7" w:rsidRDefault="34B78B37" w:rsidP="00DA5604">
      <w:r>
        <w:t xml:space="preserve">A patient can only be registered for MyMedicare </w:t>
      </w:r>
      <w:r w:rsidR="2ED24941">
        <w:t>and</w:t>
      </w:r>
      <w:r>
        <w:t xml:space="preserve"> MyMedicare Incentive</w:t>
      </w:r>
      <w:r w:rsidR="2ED24941">
        <w:t>s</w:t>
      </w:r>
      <w:r>
        <w:t xml:space="preserve"> with one practice. </w:t>
      </w:r>
      <w:r w:rsidR="057BE849">
        <w:t xml:space="preserve">If a </w:t>
      </w:r>
      <w:r w:rsidR="057BE849" w:rsidRPr="00DA5604">
        <w:t>patient</w:t>
      </w:r>
      <w:r w:rsidR="057BE849">
        <w:t xml:space="preserve"> moves to a new practice, </w:t>
      </w:r>
      <w:r w:rsidR="2FB90E03">
        <w:t>even</w:t>
      </w:r>
      <w:r w:rsidR="057BE849">
        <w:t xml:space="preserve"> if the existing responsible provider also moves to the new practice, they must register with the new practice and be linked to a responsible provider at that practice to continue to be eligible for</w:t>
      </w:r>
      <w:r w:rsidR="57DC1BDE">
        <w:t xml:space="preserve"> the </w:t>
      </w:r>
      <w:r w:rsidR="00D65171">
        <w:t xml:space="preserve">General Practice in Aged Care </w:t>
      </w:r>
      <w:r w:rsidR="00922830">
        <w:t>Incentive.</w:t>
      </w:r>
    </w:p>
    <w:p w14:paraId="46C9BE7C" w14:textId="77777777" w:rsidR="00817CB4" w:rsidRPr="001F7637" w:rsidRDefault="758819B6" w:rsidP="00407AD1">
      <w:pPr>
        <w:pStyle w:val="Heading1"/>
      </w:pPr>
      <w:bookmarkStart w:id="110" w:name="_Toc166066935"/>
      <w:bookmarkStart w:id="111" w:name="_Toc166068351"/>
      <w:bookmarkStart w:id="112" w:name="_Toc166068563"/>
      <w:bookmarkStart w:id="113" w:name="_Toc166069522"/>
      <w:bookmarkStart w:id="114" w:name="_Toc166069569"/>
      <w:bookmarkStart w:id="115" w:name="_Toc166136585"/>
      <w:bookmarkStart w:id="116" w:name="_Toc167109435"/>
      <w:bookmarkStart w:id="117" w:name="_Toc170120004"/>
      <w:bookmarkStart w:id="118" w:name="_Toc170817146"/>
      <w:bookmarkStart w:id="119" w:name="_Toc182311161"/>
      <w:r>
        <w:t xml:space="preserve">Opt-out </w:t>
      </w:r>
      <w:bookmarkEnd w:id="110"/>
      <w:bookmarkEnd w:id="111"/>
      <w:bookmarkEnd w:id="112"/>
      <w:bookmarkEnd w:id="113"/>
      <w:bookmarkEnd w:id="114"/>
      <w:bookmarkEnd w:id="115"/>
      <w:bookmarkEnd w:id="116"/>
      <w:bookmarkEnd w:id="117"/>
      <w:r>
        <w:t>processes</w:t>
      </w:r>
      <w:bookmarkEnd w:id="118"/>
      <w:bookmarkEnd w:id="119"/>
    </w:p>
    <w:p w14:paraId="449D76AF" w14:textId="77777777" w:rsidR="00817CB4" w:rsidRPr="001F7637" w:rsidRDefault="758819B6" w:rsidP="001F7637">
      <w:pPr>
        <w:pStyle w:val="Heading2"/>
      </w:pPr>
      <w:bookmarkStart w:id="120" w:name="_Toc167109436"/>
      <w:bookmarkStart w:id="121" w:name="_Toc166066936"/>
      <w:bookmarkStart w:id="122" w:name="_Toc166068352"/>
      <w:bookmarkStart w:id="123" w:name="_Toc166068564"/>
      <w:bookmarkStart w:id="124" w:name="_Toc166069523"/>
      <w:bookmarkStart w:id="125" w:name="_Toc166069570"/>
      <w:bookmarkStart w:id="126" w:name="_Toc166136586"/>
      <w:bookmarkStart w:id="127" w:name="_Toc170120005"/>
      <w:bookmarkStart w:id="128" w:name="_Toc170817147"/>
      <w:bookmarkStart w:id="129" w:name="_Toc182311162"/>
      <w:bookmarkStart w:id="130" w:name="_Hlk165568318"/>
      <w:r>
        <w:t>Practice opt-out</w:t>
      </w:r>
      <w:bookmarkEnd w:id="120"/>
      <w:bookmarkEnd w:id="121"/>
      <w:bookmarkEnd w:id="122"/>
      <w:bookmarkEnd w:id="123"/>
      <w:bookmarkEnd w:id="124"/>
      <w:bookmarkEnd w:id="125"/>
      <w:bookmarkEnd w:id="126"/>
      <w:bookmarkEnd w:id="127"/>
      <w:bookmarkEnd w:id="128"/>
      <w:bookmarkEnd w:id="129"/>
    </w:p>
    <w:p w14:paraId="67DEF708" w14:textId="77777777" w:rsidR="00817CB4" w:rsidRPr="007F4BC4" w:rsidRDefault="00817CB4" w:rsidP="00817CB4">
      <w:pPr>
        <w:spacing w:before="120" w:after="120" w:line="276" w:lineRule="auto"/>
        <w:rPr>
          <w:rFonts w:eastAsia="Times New Roman"/>
        </w:rPr>
      </w:pPr>
      <w:bookmarkStart w:id="131" w:name="_Hlk167962835"/>
      <w:r w:rsidRPr="007F4BC4">
        <w:rPr>
          <w:rFonts w:eastAsia="Times New Roman"/>
        </w:rPr>
        <w:t>Participation in the General Practice in Aged Care Incentive</w:t>
      </w:r>
      <w:r w:rsidRPr="007F4BC4" w:rsidDel="00174732">
        <w:rPr>
          <w:rFonts w:eastAsia="Times New Roman"/>
        </w:rPr>
        <w:t xml:space="preserve"> </w:t>
      </w:r>
      <w:r w:rsidRPr="007F4BC4">
        <w:rPr>
          <w:rFonts w:eastAsia="Times New Roman"/>
        </w:rPr>
        <w:t xml:space="preserve">is voluntary; providers and practices can opt-out at any time. </w:t>
      </w:r>
      <w:bookmarkEnd w:id="131"/>
      <w:r w:rsidRPr="007F4BC4">
        <w:rPr>
          <w:rFonts w:eastAsia="Times New Roman"/>
        </w:rPr>
        <w:t xml:space="preserve">Opting out may affect future payments to the practice and provider. Practices and providers can opt back in should they choose to recommence participating in the General Practice in Aged Care Incentive in the future. </w:t>
      </w:r>
    </w:p>
    <w:p w14:paraId="6FB7D77A" w14:textId="425FCF2E" w:rsidR="00817CB4" w:rsidRPr="007F4BC4" w:rsidRDefault="6F20E253" w:rsidP="00817CB4">
      <w:pPr>
        <w:spacing w:before="120" w:after="120" w:line="276" w:lineRule="auto"/>
        <w:rPr>
          <w:rFonts w:eastAsia="Times New Roman"/>
        </w:rPr>
      </w:pPr>
      <w:r w:rsidRPr="2F031D07">
        <w:rPr>
          <w:rFonts w:eastAsia="Times New Roman"/>
        </w:rPr>
        <w:lastRenderedPageBreak/>
        <w:t xml:space="preserve">If practices or providers withdraw from MyMedicare, they </w:t>
      </w:r>
      <w:r w:rsidR="34B78B37" w:rsidRPr="2F031D07">
        <w:rPr>
          <w:rFonts w:eastAsia="Times New Roman"/>
        </w:rPr>
        <w:t xml:space="preserve">are </w:t>
      </w:r>
      <w:r w:rsidRPr="2F031D07">
        <w:rPr>
          <w:rFonts w:eastAsia="Times New Roman"/>
        </w:rPr>
        <w:t>no longer eligible for MyMedicare Incentive</w:t>
      </w:r>
      <w:r w:rsidR="34B78B37" w:rsidRPr="2F031D07">
        <w:rPr>
          <w:rFonts w:eastAsia="Times New Roman"/>
        </w:rPr>
        <w:t xml:space="preserve"> payments</w:t>
      </w:r>
      <w:r w:rsidRPr="2F031D07">
        <w:rPr>
          <w:rFonts w:eastAsia="Times New Roman"/>
        </w:rPr>
        <w:t xml:space="preserve">, and their registered patients </w:t>
      </w:r>
      <w:r w:rsidR="0D758223" w:rsidRPr="2F031D07">
        <w:rPr>
          <w:rFonts w:eastAsia="Times New Roman"/>
        </w:rPr>
        <w:t>are</w:t>
      </w:r>
      <w:r w:rsidRPr="2F031D07">
        <w:rPr>
          <w:rFonts w:eastAsia="Times New Roman"/>
        </w:rPr>
        <w:t xml:space="preserve"> withdrawn from the MyMedicare General Practice in Aged Care Incentive program.</w:t>
      </w:r>
      <w:r w:rsidR="0D2F62E7" w:rsidRPr="2F031D07">
        <w:rPr>
          <w:rFonts w:eastAsia="Times New Roman"/>
        </w:rPr>
        <w:t xml:space="preserve"> Linking a patient to a new Responsible Provider maintains their participation in the General Practice in Aged Care Incentive.</w:t>
      </w:r>
    </w:p>
    <w:p w14:paraId="7AD260E6" w14:textId="77777777" w:rsidR="00817CB4" w:rsidRPr="001F7637" w:rsidRDefault="758819B6" w:rsidP="001F7637">
      <w:pPr>
        <w:pStyle w:val="Heading2"/>
      </w:pPr>
      <w:bookmarkStart w:id="132" w:name="_Toc166066937"/>
      <w:bookmarkStart w:id="133" w:name="_Toc166068353"/>
      <w:bookmarkStart w:id="134" w:name="_Toc166068565"/>
      <w:bookmarkStart w:id="135" w:name="_Toc166069524"/>
      <w:bookmarkStart w:id="136" w:name="_Toc166069571"/>
      <w:bookmarkStart w:id="137" w:name="_Toc166136587"/>
      <w:bookmarkStart w:id="138" w:name="_Toc167109437"/>
      <w:bookmarkStart w:id="139" w:name="_Toc170120006"/>
      <w:bookmarkStart w:id="140" w:name="_Toc170817148"/>
      <w:bookmarkStart w:id="141" w:name="_Toc182311163"/>
      <w:bookmarkStart w:id="142" w:name="_Hlk183094695"/>
      <w:r>
        <w:t>Patient withdrawal</w:t>
      </w:r>
      <w:bookmarkEnd w:id="132"/>
      <w:bookmarkEnd w:id="133"/>
      <w:bookmarkEnd w:id="134"/>
      <w:bookmarkEnd w:id="135"/>
      <w:bookmarkEnd w:id="136"/>
      <w:bookmarkEnd w:id="137"/>
      <w:bookmarkEnd w:id="138"/>
      <w:bookmarkEnd w:id="139"/>
      <w:bookmarkEnd w:id="140"/>
      <w:bookmarkEnd w:id="141"/>
    </w:p>
    <w:p w14:paraId="73DC41E0" w14:textId="28103119" w:rsidR="00817CB4" w:rsidRPr="007F4BC4" w:rsidRDefault="758819B6" w:rsidP="00817CB4">
      <w:pPr>
        <w:spacing w:before="120" w:after="120" w:line="276" w:lineRule="auto"/>
        <w:rPr>
          <w:rFonts w:eastAsia="Times New Roman"/>
        </w:rPr>
      </w:pPr>
      <w:r w:rsidRPr="18D229B5">
        <w:rPr>
          <w:rFonts w:eastAsia="Times New Roman"/>
        </w:rPr>
        <w:t xml:space="preserve">A patient can withdraw from the General Practice in Aged Care Incentive at any time. To withdraw, </w:t>
      </w:r>
      <w:r w:rsidR="0045183E">
        <w:rPr>
          <w:rFonts w:eastAsia="Times New Roman"/>
        </w:rPr>
        <w:t xml:space="preserve">a </w:t>
      </w:r>
      <w:r w:rsidRPr="18D229B5">
        <w:rPr>
          <w:rFonts w:eastAsia="Times New Roman"/>
        </w:rPr>
        <w:t xml:space="preserve">patient or a legally responsible person </w:t>
      </w:r>
      <w:r w:rsidR="002137BC">
        <w:rPr>
          <w:rFonts w:eastAsia="Times New Roman"/>
        </w:rPr>
        <w:t>is</w:t>
      </w:r>
      <w:r w:rsidRPr="18D229B5">
        <w:rPr>
          <w:rFonts w:eastAsia="Times New Roman"/>
        </w:rPr>
        <w:t xml:space="preserve"> required to request their practice to withdraw them from the program. Practices are required to withdraw a patient at their earliest opportunity after receiving a withdrawal request</w:t>
      </w:r>
      <w:r w:rsidR="07467B6B" w:rsidRPr="18D229B5">
        <w:rPr>
          <w:rFonts w:eastAsia="Times New Roman"/>
        </w:rPr>
        <w:t xml:space="preserve"> or notification of the death of a patient</w:t>
      </w:r>
      <w:r w:rsidRPr="18D229B5">
        <w:rPr>
          <w:rFonts w:eastAsia="Times New Roman"/>
        </w:rPr>
        <w:t>.</w:t>
      </w:r>
    </w:p>
    <w:bookmarkEnd w:id="142"/>
    <w:p w14:paraId="63D824FC" w14:textId="7AAAC39F" w:rsidR="00817CB4" w:rsidRPr="007F4BC4" w:rsidRDefault="6F20E253" w:rsidP="00817CB4">
      <w:pPr>
        <w:spacing w:before="120" w:after="120" w:line="276" w:lineRule="auto"/>
        <w:rPr>
          <w:rFonts w:eastAsia="Times New Roman"/>
        </w:rPr>
      </w:pPr>
      <w:r w:rsidRPr="690F3BC6">
        <w:rPr>
          <w:rFonts w:eastAsia="Times New Roman"/>
        </w:rPr>
        <w:t xml:space="preserve">Patient withdrawal from MyMedicare will also result in the withdrawal of a patient from the General Practice in Aged Care Incentive. </w:t>
      </w:r>
      <w:r w:rsidR="0025374D">
        <w:rPr>
          <w:rFonts w:eastAsia="Times New Roman"/>
        </w:rPr>
        <w:t>Re-registering in MyMedicare and l</w:t>
      </w:r>
      <w:r w:rsidR="74D6E314" w:rsidRPr="690F3BC6">
        <w:rPr>
          <w:rFonts w:eastAsia="Times New Roman"/>
        </w:rPr>
        <w:t xml:space="preserve">inking a patient to a new Responsible Provider will </w:t>
      </w:r>
      <w:r w:rsidR="00E6738F">
        <w:rPr>
          <w:rFonts w:eastAsia="Times New Roman"/>
        </w:rPr>
        <w:t>enable the restoration of</w:t>
      </w:r>
      <w:r w:rsidR="74D6E314" w:rsidRPr="690F3BC6">
        <w:rPr>
          <w:rFonts w:eastAsia="Times New Roman"/>
        </w:rPr>
        <w:t xml:space="preserve"> their participation in the General Practice in Aged Care Incentive.</w:t>
      </w:r>
      <w:bookmarkEnd w:id="130"/>
    </w:p>
    <w:p w14:paraId="760FC610" w14:textId="77777777" w:rsidR="00817CB4" w:rsidRPr="001F7637" w:rsidRDefault="758819B6" w:rsidP="00407AD1">
      <w:pPr>
        <w:pStyle w:val="Heading1"/>
      </w:pPr>
      <w:bookmarkStart w:id="143" w:name="_Toc166066938"/>
      <w:bookmarkStart w:id="144" w:name="_Toc166068354"/>
      <w:bookmarkStart w:id="145" w:name="_Toc166068566"/>
      <w:bookmarkStart w:id="146" w:name="_Toc166069525"/>
      <w:bookmarkStart w:id="147" w:name="_Toc166069572"/>
      <w:bookmarkStart w:id="148" w:name="_Toc166136588"/>
      <w:bookmarkStart w:id="149" w:name="_Toc167109438"/>
      <w:bookmarkStart w:id="150" w:name="_Toc170120007"/>
      <w:bookmarkStart w:id="151" w:name="_Toc170817149"/>
      <w:bookmarkStart w:id="152" w:name="_Toc182311164"/>
      <w:r>
        <w:t>Servicing requirements</w:t>
      </w:r>
      <w:bookmarkEnd w:id="143"/>
      <w:bookmarkEnd w:id="144"/>
      <w:bookmarkEnd w:id="145"/>
      <w:bookmarkEnd w:id="146"/>
      <w:bookmarkEnd w:id="147"/>
      <w:bookmarkEnd w:id="148"/>
      <w:bookmarkEnd w:id="149"/>
      <w:bookmarkEnd w:id="150"/>
      <w:bookmarkEnd w:id="151"/>
      <w:bookmarkEnd w:id="152"/>
    </w:p>
    <w:p w14:paraId="562E50F1" w14:textId="77777777" w:rsidR="00817CB4" w:rsidRPr="007F4BC4" w:rsidRDefault="00817CB4" w:rsidP="00817CB4">
      <w:pPr>
        <w:spacing w:before="120" w:after="120" w:line="276" w:lineRule="auto"/>
        <w:rPr>
          <w:rFonts w:eastAsia="Times New Roman"/>
        </w:rPr>
      </w:pPr>
      <w:r w:rsidRPr="007F4BC4">
        <w:rPr>
          <w:rFonts w:eastAsia="Times New Roman"/>
        </w:rPr>
        <w:t>To meet the servicing requirements of the General Practice in Aged Care Incentive, providers and practices must deliver at least 10 eligible services, from eligible MBS and Department of Veterans</w:t>
      </w:r>
      <w:r>
        <w:rPr>
          <w:rFonts w:eastAsia="Times New Roman"/>
        </w:rPr>
        <w:t>’</w:t>
      </w:r>
      <w:r w:rsidRPr="007F4BC4">
        <w:rPr>
          <w:rFonts w:eastAsia="Times New Roman"/>
        </w:rPr>
        <w:t xml:space="preserve"> Affairs (DVA) funded services, over a 12-month period including: </w:t>
      </w:r>
    </w:p>
    <w:p w14:paraId="49E41494" w14:textId="4E277598"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2 eligible care planning services</w:t>
      </w:r>
      <w:r w:rsidR="00943F11">
        <w:t>, both</w:t>
      </w:r>
      <w:r w:rsidRPr="002D330A">
        <w:t xml:space="preserve"> delivered by the Responsible Provider. </w:t>
      </w:r>
    </w:p>
    <w:p w14:paraId="4DF6423D" w14:textId="7B0069C5"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8 eligible regular services comprising of at least 2 per quarter, each in a separate calendar month.</w:t>
      </w:r>
    </w:p>
    <w:p w14:paraId="7B57FB25" w14:textId="7BA6F2C6" w:rsidR="00817CB4" w:rsidRPr="007F4BC4" w:rsidRDefault="00817CB4" w:rsidP="00817CB4">
      <w:pPr>
        <w:spacing w:before="120" w:after="120" w:line="276" w:lineRule="auto"/>
        <w:rPr>
          <w:rFonts w:eastAsia="Times New Roman"/>
        </w:rPr>
      </w:pPr>
      <w:bookmarkStart w:id="153" w:name="_Hlk165570547"/>
      <w:r w:rsidRPr="007F4BC4">
        <w:rPr>
          <w:rFonts w:eastAsia="Times New Roman"/>
        </w:rPr>
        <w:t xml:space="preserve">Eligible services must be claimed using the Medicare Provider Number linked to the </w:t>
      </w:r>
      <w:r w:rsidR="00505CD0">
        <w:rPr>
          <w:rFonts w:eastAsia="Times New Roman"/>
        </w:rPr>
        <w:t xml:space="preserve">same </w:t>
      </w:r>
      <w:r w:rsidRPr="007F4BC4">
        <w:rPr>
          <w:rFonts w:eastAsia="Times New Roman"/>
        </w:rPr>
        <w:t>registered practice</w:t>
      </w:r>
      <w:r w:rsidR="00505CD0">
        <w:rPr>
          <w:rFonts w:eastAsia="Times New Roman"/>
        </w:rPr>
        <w:t xml:space="preserve"> as the patient receiving the services</w:t>
      </w:r>
      <w:r w:rsidRPr="007F4BC4">
        <w:rPr>
          <w:rFonts w:eastAsia="Times New Roman"/>
        </w:rPr>
        <w:t>.</w:t>
      </w:r>
    </w:p>
    <w:p w14:paraId="794AA43D" w14:textId="77777777" w:rsidR="00817CB4" w:rsidRPr="007F4BC4" w:rsidRDefault="00817CB4" w:rsidP="00817CB4">
      <w:pPr>
        <w:spacing w:before="120" w:after="120" w:line="276" w:lineRule="auto"/>
        <w:rPr>
          <w:rFonts w:eastAsia="Times New Roman"/>
        </w:rPr>
      </w:pPr>
      <w:r w:rsidRPr="007F4BC4">
        <w:rPr>
          <w:rFonts w:eastAsia="Times New Roman"/>
        </w:rPr>
        <w:t xml:space="preserve">Eligible MBS and DVA items are outlined at </w:t>
      </w:r>
      <w:r w:rsidRPr="007F4BC4">
        <w:rPr>
          <w:rFonts w:eastAsia="Times New Roman"/>
          <w:b/>
          <w:bCs/>
        </w:rPr>
        <w:t xml:space="preserve">Appendix </w:t>
      </w:r>
      <w:bookmarkEnd w:id="153"/>
      <w:r w:rsidRPr="007F4BC4">
        <w:rPr>
          <w:rFonts w:eastAsia="Times New Roman"/>
          <w:b/>
          <w:bCs/>
        </w:rPr>
        <w:t>10.3</w:t>
      </w:r>
      <w:r w:rsidRPr="007F4BC4">
        <w:rPr>
          <w:rFonts w:eastAsia="Times New Roman"/>
        </w:rPr>
        <w:t>.</w:t>
      </w:r>
    </w:p>
    <w:p w14:paraId="3F8BA448" w14:textId="77777777" w:rsidR="00817CB4" w:rsidRDefault="00817CB4" w:rsidP="00817CB4">
      <w:pPr>
        <w:spacing w:before="120" w:after="120" w:line="276" w:lineRule="auto"/>
        <w:rPr>
          <w:rFonts w:eastAsia="Times New Roman"/>
          <w:b/>
          <w:bCs/>
        </w:rPr>
      </w:pPr>
      <w:r>
        <w:rPr>
          <w:rFonts w:eastAsia="Times New Roman"/>
        </w:rPr>
        <w:t xml:space="preserve">An overview of the servicing requirements per quarter is outlined at </w:t>
      </w:r>
      <w:r>
        <w:rPr>
          <w:rFonts w:eastAsia="Times New Roman"/>
          <w:b/>
          <w:bCs/>
        </w:rPr>
        <w:t>Appendix 10.5.</w:t>
      </w:r>
    </w:p>
    <w:p w14:paraId="6B2A3C30" w14:textId="772FEC95" w:rsidR="00817CB4" w:rsidRPr="001F7637" w:rsidRDefault="758819B6" w:rsidP="00922830">
      <w:pPr>
        <w:pStyle w:val="Heading2"/>
        <w:ind w:left="432" w:hanging="432"/>
      </w:pPr>
      <w:bookmarkStart w:id="154" w:name="_Toc166066939"/>
      <w:bookmarkStart w:id="155" w:name="_Toc166068355"/>
      <w:bookmarkStart w:id="156" w:name="_Toc166068567"/>
      <w:bookmarkStart w:id="157" w:name="_Toc166069526"/>
      <w:bookmarkStart w:id="158" w:name="_Toc166069573"/>
      <w:bookmarkStart w:id="159" w:name="_Toc166136589"/>
      <w:bookmarkStart w:id="160" w:name="_Toc167109439"/>
      <w:bookmarkStart w:id="161" w:name="_Toc170120008"/>
      <w:bookmarkStart w:id="162" w:name="_Toc170817150"/>
      <w:bookmarkStart w:id="163" w:name="_Toc182311165"/>
      <w:bookmarkStart w:id="164" w:name="_Hlk165571024"/>
      <w:r>
        <w:t>Quarterly servicing requirements</w:t>
      </w:r>
      <w:bookmarkEnd w:id="154"/>
      <w:bookmarkEnd w:id="155"/>
      <w:bookmarkEnd w:id="156"/>
      <w:bookmarkEnd w:id="157"/>
      <w:bookmarkEnd w:id="158"/>
      <w:bookmarkEnd w:id="159"/>
      <w:bookmarkEnd w:id="160"/>
      <w:bookmarkEnd w:id="161"/>
      <w:bookmarkEnd w:id="162"/>
      <w:bookmarkEnd w:id="163"/>
    </w:p>
    <w:p w14:paraId="4E53FC11" w14:textId="315D76D3" w:rsidR="00817CB4" w:rsidRPr="007F4BC4" w:rsidRDefault="00817CB4" w:rsidP="00817CB4">
      <w:pPr>
        <w:spacing w:before="120" w:after="120" w:line="276" w:lineRule="auto"/>
        <w:rPr>
          <w:rFonts w:eastAsia="Times New Roman"/>
        </w:rPr>
      </w:pPr>
      <w:r w:rsidRPr="007F4BC4">
        <w:rPr>
          <w:rFonts w:eastAsia="Times New Roman"/>
        </w:rPr>
        <w:t xml:space="preserve">Each quarter providers and practices </w:t>
      </w:r>
      <w:r w:rsidR="00262DE2">
        <w:rPr>
          <w:rFonts w:eastAsia="Times New Roman"/>
        </w:rPr>
        <w:t>are</w:t>
      </w:r>
      <w:r w:rsidRPr="007F4BC4">
        <w:rPr>
          <w:rFonts w:eastAsia="Times New Roman"/>
        </w:rPr>
        <w:t xml:space="preserve"> required to meet the following criteria: </w:t>
      </w:r>
    </w:p>
    <w:p w14:paraId="2278C778"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2 eligible regular services per quarter are delivered, each in a separate calendar month.</w:t>
      </w:r>
    </w:p>
    <w:p w14:paraId="3DA3D6AD"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at least one of the regular visits is provided by the Responsible Provider.</w:t>
      </w:r>
    </w:p>
    <w:p w14:paraId="516F8F53"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a second visit is provided by the Responsible Provider or another member of the patient’s care team. </w:t>
      </w:r>
    </w:p>
    <w:p w14:paraId="3FDA533F" w14:textId="77777777" w:rsidR="00817CB4" w:rsidRDefault="6F20E253" w:rsidP="00817CB4">
      <w:pPr>
        <w:spacing w:before="120" w:after="120" w:line="276" w:lineRule="auto"/>
        <w:rPr>
          <w:rFonts w:eastAsia="Times New Roman"/>
        </w:rPr>
      </w:pPr>
      <w:r w:rsidRPr="690F3BC6">
        <w:rPr>
          <w:rFonts w:eastAsia="Times New Roman"/>
        </w:rPr>
        <w:t>Providers and practices must complete the quarterly requirements by the end of each quarterly assessment period to be eligible for any quarterly payment</w:t>
      </w:r>
      <w:bookmarkEnd w:id="164"/>
      <w:r w:rsidRPr="690F3BC6">
        <w:rPr>
          <w:rFonts w:eastAsia="Times New Roman"/>
        </w:rPr>
        <w:t>.</w:t>
      </w:r>
    </w:p>
    <w:p w14:paraId="35B86789" w14:textId="77777777" w:rsidR="00817CB4" w:rsidRPr="001F7637" w:rsidRDefault="758819B6" w:rsidP="001F7637">
      <w:pPr>
        <w:pStyle w:val="Heading2"/>
      </w:pPr>
      <w:bookmarkStart w:id="165" w:name="_Toc166066940"/>
      <w:bookmarkStart w:id="166" w:name="_Toc166068356"/>
      <w:bookmarkStart w:id="167" w:name="_Toc166068568"/>
      <w:bookmarkStart w:id="168" w:name="_Toc166069527"/>
      <w:bookmarkStart w:id="169" w:name="_Toc166069574"/>
      <w:bookmarkStart w:id="170" w:name="_Toc166136590"/>
      <w:bookmarkStart w:id="171" w:name="_Toc167109440"/>
      <w:bookmarkStart w:id="172" w:name="_Toc170120009"/>
      <w:bookmarkStart w:id="173" w:name="_Toc170817151"/>
      <w:bookmarkStart w:id="174" w:name="_Toc182311166"/>
      <w:r>
        <w:lastRenderedPageBreak/>
        <w:t>12-month servicing requirements</w:t>
      </w:r>
      <w:bookmarkEnd w:id="165"/>
      <w:bookmarkEnd w:id="166"/>
      <w:bookmarkEnd w:id="167"/>
      <w:bookmarkEnd w:id="168"/>
      <w:bookmarkEnd w:id="169"/>
      <w:bookmarkEnd w:id="170"/>
      <w:bookmarkEnd w:id="171"/>
      <w:bookmarkEnd w:id="172"/>
      <w:bookmarkEnd w:id="173"/>
      <w:bookmarkEnd w:id="174"/>
    </w:p>
    <w:p w14:paraId="7E68CFD4" w14:textId="18CE9FEF" w:rsidR="00817CB4" w:rsidRPr="007F4BC4" w:rsidRDefault="6F20E253" w:rsidP="00817CB4">
      <w:pPr>
        <w:spacing w:before="120" w:after="120" w:line="276" w:lineRule="auto"/>
        <w:rPr>
          <w:rFonts w:eastAsia="Times New Roman"/>
        </w:rPr>
      </w:pPr>
      <w:r w:rsidRPr="690F3BC6">
        <w:rPr>
          <w:rFonts w:eastAsia="Times New Roman"/>
        </w:rPr>
        <w:t xml:space="preserve">To ensure patients have received regular care over a 12-month period, providers and practices must complete the 12-monthly requirements by the end of the 12-month assessment period. </w:t>
      </w:r>
      <w:r w:rsidR="00D22BC3">
        <w:rPr>
          <w:rFonts w:eastAsia="Times New Roman"/>
        </w:rPr>
        <w:t>To be eligible for the 4</w:t>
      </w:r>
      <w:r w:rsidR="00D22BC3" w:rsidRPr="00922830">
        <w:rPr>
          <w:rFonts w:eastAsia="Times New Roman"/>
          <w:vertAlign w:val="superscript"/>
        </w:rPr>
        <w:t>th</w:t>
      </w:r>
      <w:r w:rsidR="00D22BC3">
        <w:rPr>
          <w:rFonts w:eastAsia="Times New Roman"/>
        </w:rPr>
        <w:t xml:space="preserve"> quarter payment, both the quarterly servicing requirements and the 12-month servicing requirements must be met. </w:t>
      </w:r>
    </w:p>
    <w:p w14:paraId="15F9E8C9" w14:textId="49DA4A5F" w:rsidR="00817CB4" w:rsidRPr="007F4BC4" w:rsidRDefault="6F20E253" w:rsidP="00817CB4">
      <w:pPr>
        <w:spacing w:before="120" w:after="120" w:line="276" w:lineRule="auto"/>
        <w:rPr>
          <w:rFonts w:eastAsia="Times New Roman"/>
        </w:rPr>
      </w:pPr>
      <w:r w:rsidRPr="690F3BC6">
        <w:rPr>
          <w:rFonts w:eastAsia="Times New Roman"/>
        </w:rPr>
        <w:t>The 12-month requirements consist of</w:t>
      </w:r>
      <w:r w:rsidR="66AD7F8B" w:rsidRPr="690F3BC6">
        <w:rPr>
          <w:rFonts w:eastAsia="Times New Roman"/>
        </w:rPr>
        <w:t xml:space="preserve"> at least</w:t>
      </w:r>
      <w:r w:rsidRPr="690F3BC6">
        <w:rPr>
          <w:rFonts w:eastAsia="Times New Roman"/>
        </w:rPr>
        <w:t>:</w:t>
      </w:r>
    </w:p>
    <w:p w14:paraId="2F6428BC" w14:textId="559456D9" w:rsidR="00817CB4" w:rsidRPr="002D330A" w:rsidRDefault="6F20E253" w:rsidP="690F3BC6">
      <w:pPr>
        <w:pStyle w:val="ListBullet"/>
        <w:tabs>
          <w:tab w:val="clear" w:pos="360"/>
          <w:tab w:val="left" w:pos="340"/>
          <w:tab w:val="left" w:pos="680"/>
        </w:tabs>
        <w:spacing w:before="60" w:after="60" w:line="276" w:lineRule="auto"/>
        <w:contextualSpacing w:val="0"/>
      </w:pPr>
      <w:r>
        <w:t>2 eligible care planning services</w:t>
      </w:r>
      <w:r w:rsidR="473B5230">
        <w:t>, both delivered by the Responsible Provider</w:t>
      </w:r>
      <w:r>
        <w:t xml:space="preserve"> </w:t>
      </w:r>
      <w:r w:rsidR="66AD7F8B">
        <w:t xml:space="preserve">at any time in </w:t>
      </w:r>
      <w:r w:rsidR="473B5230">
        <w:t xml:space="preserve">the </w:t>
      </w:r>
      <w:r>
        <w:t xml:space="preserve">12-month </w:t>
      </w:r>
      <w:r w:rsidR="473B5230">
        <w:t xml:space="preserve">care </w:t>
      </w:r>
      <w:r>
        <w:t xml:space="preserve">period, and </w:t>
      </w:r>
    </w:p>
    <w:p w14:paraId="307B733D" w14:textId="24833A75"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 xml:space="preserve">8 eligible regular </w:t>
      </w:r>
      <w:r w:rsidR="002137BC">
        <w:t>services delivered</w:t>
      </w:r>
      <w:r w:rsidR="002137BC" w:rsidRPr="002D330A">
        <w:t xml:space="preserve"> </w:t>
      </w:r>
      <w:r w:rsidRPr="002D330A">
        <w:t xml:space="preserve">in </w:t>
      </w:r>
      <w:r w:rsidR="004534C0">
        <w:t>the</w:t>
      </w:r>
      <w:r w:rsidRPr="002D330A">
        <w:t xml:space="preserve"> 12-month </w:t>
      </w:r>
      <w:r w:rsidR="004534C0">
        <w:t xml:space="preserve">care </w:t>
      </w:r>
      <w:r w:rsidRPr="002D330A">
        <w:t>period.</w:t>
      </w:r>
      <w:r w:rsidR="00D84A24" w:rsidRPr="00D84A24">
        <w:rPr>
          <w:rFonts w:ascii="Segoe UI" w:hAnsi="Segoe UI" w:cs="Segoe UI"/>
          <w:sz w:val="18"/>
          <w:szCs w:val="18"/>
        </w:rPr>
        <w:t xml:space="preserve"> </w:t>
      </w:r>
      <w:r w:rsidR="00D84A24" w:rsidRPr="00D84A24">
        <w:t>The timing of these regular visits is not considered for the purpose of the 12-month assessment.</w:t>
      </w:r>
    </w:p>
    <w:p w14:paraId="0B00B4D1" w14:textId="45DB7B92" w:rsidR="00817CB4" w:rsidRPr="007F4BC4" w:rsidRDefault="00817CB4" w:rsidP="00817CB4">
      <w:pPr>
        <w:spacing w:before="120" w:after="120" w:line="276" w:lineRule="auto"/>
        <w:rPr>
          <w:rFonts w:eastAsia="Times New Roman"/>
        </w:rPr>
      </w:pPr>
      <w:bookmarkStart w:id="175" w:name="_Hlk167963056"/>
      <w:r w:rsidRPr="007F4BC4">
        <w:rPr>
          <w:rFonts w:eastAsia="Times New Roman"/>
        </w:rPr>
        <w:t>Eligible services that contribute towards quarterly assessments contribute towards 12</w:t>
      </w:r>
      <w:r w:rsidRPr="007F4BC4">
        <w:rPr>
          <w:rFonts w:eastAsia="Times New Roman"/>
        </w:rPr>
        <w:noBreakHyphen/>
        <w:t>monthly servicing requirements.</w:t>
      </w:r>
      <w:r>
        <w:rPr>
          <w:rFonts w:eastAsia="Times New Roman"/>
        </w:rPr>
        <w:t xml:space="preserve"> </w:t>
      </w:r>
    </w:p>
    <w:p w14:paraId="35257E9B" w14:textId="10206190" w:rsidR="00817CB4" w:rsidRPr="00407AD1" w:rsidRDefault="6F20E253" w:rsidP="00407AD1">
      <w:pPr>
        <w:pStyle w:val="Heading3"/>
      </w:pPr>
      <w:bookmarkStart w:id="176" w:name="_Toc166066941"/>
      <w:bookmarkStart w:id="177" w:name="_Toc166068357"/>
      <w:bookmarkStart w:id="178" w:name="_Toc166068569"/>
      <w:bookmarkStart w:id="179" w:name="_Toc166069528"/>
      <w:bookmarkStart w:id="180" w:name="_Toc166069575"/>
      <w:bookmarkStart w:id="181" w:name="_Toc166136591"/>
      <w:bookmarkStart w:id="182" w:name="_Toc170120010"/>
      <w:bookmarkStart w:id="183" w:name="_Toc172899495"/>
      <w:bookmarkStart w:id="184" w:name="_Toc172899568"/>
      <w:bookmarkStart w:id="185" w:name="_Toc170817152"/>
      <w:bookmarkEnd w:id="175"/>
      <w:r>
        <w:t xml:space="preserve">Failure to meet </w:t>
      </w:r>
      <w:r w:rsidR="266C9583">
        <w:t>12-month servicing requirements</w:t>
      </w:r>
      <w:bookmarkEnd w:id="176"/>
      <w:bookmarkEnd w:id="177"/>
      <w:bookmarkEnd w:id="178"/>
      <w:bookmarkEnd w:id="179"/>
      <w:bookmarkEnd w:id="180"/>
      <w:bookmarkEnd w:id="181"/>
      <w:bookmarkEnd w:id="182"/>
      <w:bookmarkEnd w:id="183"/>
      <w:bookmarkEnd w:id="184"/>
      <w:bookmarkEnd w:id="185"/>
    </w:p>
    <w:p w14:paraId="7A76E17D" w14:textId="193C788C" w:rsidR="00817CB4" w:rsidRPr="007F4BC4" w:rsidRDefault="7DB152FA" w:rsidP="00817CB4">
      <w:pPr>
        <w:spacing w:before="120" w:after="120" w:line="276" w:lineRule="auto"/>
        <w:rPr>
          <w:rFonts w:eastAsia="Times New Roman"/>
        </w:rPr>
      </w:pPr>
      <w:r w:rsidRPr="690F3BC6">
        <w:rPr>
          <w:rFonts w:eastAsia="Times New Roman"/>
        </w:rPr>
        <w:t xml:space="preserve">If the </w:t>
      </w:r>
      <w:r w:rsidR="570F4736" w:rsidRPr="690F3BC6">
        <w:rPr>
          <w:rFonts w:eastAsia="Times New Roman"/>
        </w:rPr>
        <w:t xml:space="preserve">2 eligible </w:t>
      </w:r>
      <w:r w:rsidRPr="690F3BC6">
        <w:rPr>
          <w:rFonts w:eastAsia="Times New Roman"/>
        </w:rPr>
        <w:t>care planning services are not delivered by the Responsible Provider by the end of the 12-month assessment period (4th quarter assessment)</w:t>
      </w:r>
      <w:r w:rsidR="50B97B13" w:rsidRPr="690F3BC6">
        <w:rPr>
          <w:rFonts w:eastAsia="Times New Roman"/>
        </w:rPr>
        <w:t xml:space="preserve"> as well as the 8 eligible regular services</w:t>
      </w:r>
      <w:r w:rsidRPr="690F3BC6">
        <w:rPr>
          <w:rFonts w:eastAsia="Times New Roman"/>
        </w:rPr>
        <w:t xml:space="preserve">, the final quarterly incentive payment will not be made to the practice or provider. </w:t>
      </w:r>
    </w:p>
    <w:p w14:paraId="3DB568CE" w14:textId="454B9CC4" w:rsidR="00817CB4" w:rsidRPr="00407AD1" w:rsidRDefault="6F20E253" w:rsidP="00407AD1">
      <w:pPr>
        <w:pStyle w:val="Heading3"/>
      </w:pPr>
      <w:bookmarkStart w:id="186" w:name="_Toc166066942"/>
      <w:bookmarkStart w:id="187" w:name="_Toc166068358"/>
      <w:bookmarkStart w:id="188" w:name="_Toc166068570"/>
      <w:bookmarkStart w:id="189" w:name="_Toc166069529"/>
      <w:bookmarkStart w:id="190" w:name="_Toc166069576"/>
      <w:bookmarkStart w:id="191" w:name="_Toc166136592"/>
      <w:bookmarkStart w:id="192" w:name="_Toc170120011"/>
      <w:bookmarkStart w:id="193" w:name="_Toc172899496"/>
      <w:bookmarkStart w:id="194" w:name="_Toc172899569"/>
      <w:bookmarkStart w:id="195" w:name="_Toc170817153"/>
      <w:r>
        <w:t xml:space="preserve">Requirements </w:t>
      </w:r>
      <w:r w:rsidR="00527501">
        <w:t xml:space="preserve">resulting from </w:t>
      </w:r>
      <w:r>
        <w:t>failure to meet care planning services – new 12-month period</w:t>
      </w:r>
      <w:bookmarkEnd w:id="186"/>
      <w:bookmarkEnd w:id="187"/>
      <w:bookmarkEnd w:id="188"/>
      <w:bookmarkEnd w:id="189"/>
      <w:bookmarkEnd w:id="190"/>
      <w:bookmarkEnd w:id="191"/>
      <w:bookmarkEnd w:id="192"/>
      <w:bookmarkEnd w:id="193"/>
      <w:bookmarkEnd w:id="194"/>
      <w:bookmarkEnd w:id="195"/>
    </w:p>
    <w:p w14:paraId="5D8BC274" w14:textId="77777777" w:rsidR="00DA5604" w:rsidRDefault="694C9327" w:rsidP="2F031D07">
      <w:pPr>
        <w:spacing w:before="120" w:after="120" w:line="276" w:lineRule="auto"/>
        <w:rPr>
          <w:rFonts w:eastAsia="Arial" w:cs="Arial"/>
          <w:szCs w:val="22"/>
        </w:rPr>
      </w:pPr>
      <w:r w:rsidRPr="2F031D07">
        <w:rPr>
          <w:rFonts w:eastAsia="Arial" w:cs="Arial"/>
          <w:szCs w:val="22"/>
        </w:rPr>
        <w:t xml:space="preserve">Where a patient does not receive the required 2 care planning services by the end of the 12-month care period, the Responsible Provider is required to deliver at least one eligible care planning service in the 1st quarter of the next 12-month care period. If the provider has not provided the required care planning service by the end of the 1st quarter, the practice and provider will be ineligible for the General Practice in Aged Care Incentive payments for that patient for the remainder of the patient’s new 12-month care period. </w:t>
      </w:r>
    </w:p>
    <w:p w14:paraId="6D75E236" w14:textId="1EDE9F23" w:rsidR="00817CB4" w:rsidRPr="00407AD1" w:rsidRDefault="00817CB4" w:rsidP="00407AD1">
      <w:pPr>
        <w:pStyle w:val="Heading3"/>
      </w:pPr>
      <w:bookmarkStart w:id="196" w:name="_Toc163390008"/>
      <w:bookmarkStart w:id="197" w:name="_Toc163390009"/>
      <w:bookmarkStart w:id="198" w:name="_Toc163390010"/>
      <w:bookmarkStart w:id="199" w:name="_Toc163390011"/>
      <w:bookmarkStart w:id="200" w:name="_Toc163390012"/>
      <w:bookmarkStart w:id="201" w:name="_Toc166066943"/>
      <w:bookmarkStart w:id="202" w:name="_Toc166068359"/>
      <w:bookmarkStart w:id="203" w:name="_Toc166068571"/>
      <w:bookmarkStart w:id="204" w:name="_Toc166069530"/>
      <w:bookmarkStart w:id="205" w:name="_Toc166069577"/>
      <w:bookmarkStart w:id="206" w:name="_Toc166136593"/>
      <w:bookmarkStart w:id="207" w:name="_Toc170120012"/>
      <w:bookmarkStart w:id="208" w:name="_Toc172899497"/>
      <w:bookmarkStart w:id="209" w:name="_Toc172899570"/>
      <w:bookmarkStart w:id="210" w:name="_Toc170817154"/>
      <w:bookmarkEnd w:id="196"/>
      <w:bookmarkEnd w:id="197"/>
      <w:bookmarkEnd w:id="198"/>
      <w:bookmarkEnd w:id="199"/>
      <w:bookmarkEnd w:id="200"/>
      <w:r w:rsidRPr="00407AD1">
        <w:t>Telehealth services – Modified Monash Model areas 4 to 7</w:t>
      </w:r>
      <w:bookmarkEnd w:id="201"/>
      <w:bookmarkEnd w:id="202"/>
      <w:bookmarkEnd w:id="203"/>
      <w:bookmarkEnd w:id="204"/>
      <w:bookmarkEnd w:id="205"/>
      <w:bookmarkEnd w:id="206"/>
      <w:bookmarkEnd w:id="207"/>
      <w:bookmarkEnd w:id="208"/>
      <w:bookmarkEnd w:id="209"/>
      <w:bookmarkEnd w:id="210"/>
    </w:p>
    <w:p w14:paraId="5E742408" w14:textId="4C139B57" w:rsidR="00817CB4" w:rsidRPr="007F4BC4" w:rsidRDefault="6F20E253" w:rsidP="00817CB4">
      <w:pPr>
        <w:spacing w:before="120" w:after="120" w:line="276" w:lineRule="auto"/>
        <w:rPr>
          <w:rFonts w:eastAsia="Times New Roman"/>
        </w:rPr>
      </w:pPr>
      <w:r w:rsidRPr="690F3BC6">
        <w:rPr>
          <w:rFonts w:eastAsia="Times New Roman"/>
        </w:rPr>
        <w:t xml:space="preserve">Practices located in Modified Monash Model (MMM) </w:t>
      </w:r>
      <w:r w:rsidR="09A601D2" w:rsidRPr="690F3BC6">
        <w:rPr>
          <w:rFonts w:eastAsia="Times New Roman"/>
        </w:rPr>
        <w:t xml:space="preserve">regions </w:t>
      </w:r>
      <w:r w:rsidRPr="690F3BC6">
        <w:rPr>
          <w:rFonts w:eastAsia="Times New Roman"/>
        </w:rPr>
        <w:t xml:space="preserve">4 to 7 </w:t>
      </w:r>
      <w:proofErr w:type="gramStart"/>
      <w:r w:rsidR="0D758223" w:rsidRPr="690F3BC6">
        <w:rPr>
          <w:rFonts w:eastAsia="Times New Roman"/>
        </w:rPr>
        <w:t>are</w:t>
      </w:r>
      <w:r w:rsidRPr="690F3BC6">
        <w:rPr>
          <w:rFonts w:eastAsia="Times New Roman"/>
        </w:rPr>
        <w:t xml:space="preserve"> able to</w:t>
      </w:r>
      <w:proofErr w:type="gramEnd"/>
      <w:r w:rsidRPr="690F3BC6">
        <w:rPr>
          <w:rFonts w:eastAsia="Times New Roman"/>
        </w:rPr>
        <w:t xml:space="preserve"> provide up to 4 </w:t>
      </w:r>
      <w:r w:rsidR="00703E99">
        <w:rPr>
          <w:rFonts w:eastAsia="Times New Roman"/>
        </w:rPr>
        <w:t xml:space="preserve">of the 8 </w:t>
      </w:r>
      <w:r w:rsidRPr="690F3BC6">
        <w:rPr>
          <w:rFonts w:eastAsia="Times New Roman"/>
        </w:rPr>
        <w:t xml:space="preserve">regular </w:t>
      </w:r>
      <w:r w:rsidR="0D758223" w:rsidRPr="690F3BC6">
        <w:rPr>
          <w:rFonts w:eastAsia="Times New Roman"/>
        </w:rPr>
        <w:t xml:space="preserve">services </w:t>
      </w:r>
      <w:r w:rsidRPr="690F3BC6">
        <w:rPr>
          <w:rFonts w:eastAsia="Times New Roman"/>
        </w:rPr>
        <w:t xml:space="preserve">per 12-month </w:t>
      </w:r>
      <w:r w:rsidR="0D758223" w:rsidRPr="690F3BC6">
        <w:rPr>
          <w:rFonts w:eastAsia="Times New Roman"/>
        </w:rPr>
        <w:t xml:space="preserve">care </w:t>
      </w:r>
      <w:r w:rsidRPr="690F3BC6">
        <w:rPr>
          <w:rFonts w:eastAsia="Times New Roman"/>
        </w:rPr>
        <w:t>period by eligible telehealth MBS</w:t>
      </w:r>
      <w:r w:rsidR="4856AEA2" w:rsidRPr="690F3BC6">
        <w:rPr>
          <w:rFonts w:eastAsia="Times New Roman"/>
        </w:rPr>
        <w:t xml:space="preserve"> and DVA</w:t>
      </w:r>
      <w:r w:rsidRPr="690F3BC6">
        <w:rPr>
          <w:rFonts w:eastAsia="Times New Roman"/>
        </w:rPr>
        <w:t xml:space="preserve"> items (outlined at </w:t>
      </w:r>
      <w:r w:rsidRPr="690F3BC6">
        <w:rPr>
          <w:rFonts w:eastAsia="Times New Roman"/>
          <w:b/>
          <w:bCs/>
        </w:rPr>
        <w:t>Appendix 10.3</w:t>
      </w:r>
      <w:r w:rsidRPr="690F3BC6">
        <w:rPr>
          <w:rFonts w:eastAsia="Times New Roman"/>
        </w:rPr>
        <w:t xml:space="preserve">) where they are unable to attend a face-to-face service. Eligibility for telehealth services </w:t>
      </w:r>
      <w:r w:rsidR="0D758223" w:rsidRPr="690F3BC6">
        <w:rPr>
          <w:rFonts w:eastAsia="Times New Roman"/>
        </w:rPr>
        <w:t>is</w:t>
      </w:r>
      <w:r w:rsidRPr="690F3BC6">
        <w:rPr>
          <w:rFonts w:eastAsia="Times New Roman"/>
        </w:rPr>
        <w:t xml:space="preserve"> assessed based on the location of the practice as recorded in the Organisation Register.</w:t>
      </w:r>
    </w:p>
    <w:p w14:paraId="28972ED5" w14:textId="77777777" w:rsidR="00817CB4" w:rsidRPr="001F7637" w:rsidRDefault="758819B6" w:rsidP="00407AD1">
      <w:pPr>
        <w:pStyle w:val="Heading1"/>
      </w:pPr>
      <w:bookmarkStart w:id="211" w:name="_Toc166066944"/>
      <w:bookmarkStart w:id="212" w:name="_Toc166068360"/>
      <w:bookmarkStart w:id="213" w:name="_Toc166068572"/>
      <w:bookmarkStart w:id="214" w:name="_Toc166069531"/>
      <w:bookmarkStart w:id="215" w:name="_Toc166069578"/>
      <w:bookmarkStart w:id="216" w:name="_Toc166136594"/>
      <w:bookmarkStart w:id="217" w:name="_Toc167109441"/>
      <w:bookmarkStart w:id="218" w:name="_Toc170120013"/>
      <w:bookmarkStart w:id="219" w:name="_Toc170817155"/>
      <w:bookmarkStart w:id="220" w:name="_Toc182311167"/>
      <w:r>
        <w:t>Additional delivery requirements</w:t>
      </w:r>
      <w:bookmarkEnd w:id="211"/>
      <w:bookmarkEnd w:id="212"/>
      <w:bookmarkEnd w:id="213"/>
      <w:bookmarkEnd w:id="214"/>
      <w:bookmarkEnd w:id="215"/>
      <w:bookmarkEnd w:id="216"/>
      <w:bookmarkEnd w:id="217"/>
      <w:bookmarkEnd w:id="218"/>
      <w:bookmarkEnd w:id="219"/>
      <w:bookmarkEnd w:id="220"/>
    </w:p>
    <w:p w14:paraId="4AEC78BF" w14:textId="77777777" w:rsidR="00817CB4" w:rsidRPr="007F4BC4" w:rsidRDefault="00817CB4" w:rsidP="00817CB4">
      <w:pPr>
        <w:spacing w:before="120" w:after="120" w:line="276" w:lineRule="auto"/>
        <w:rPr>
          <w:rFonts w:eastAsia="Times New Roman"/>
          <w:szCs w:val="22"/>
        </w:rPr>
      </w:pPr>
      <w:r w:rsidRPr="43D9847F">
        <w:rPr>
          <w:rFonts w:eastAsia="Times New Roman"/>
          <w:szCs w:val="22"/>
        </w:rPr>
        <w:t xml:space="preserve">The </w:t>
      </w:r>
      <w:r>
        <w:rPr>
          <w:rFonts w:eastAsia="Times New Roman"/>
          <w:szCs w:val="22"/>
        </w:rPr>
        <w:t>R</w:t>
      </w:r>
      <w:r w:rsidRPr="43D9847F">
        <w:rPr>
          <w:rFonts w:eastAsia="Times New Roman"/>
          <w:szCs w:val="22"/>
        </w:rPr>
        <w:t xml:space="preserve">esponsible </w:t>
      </w:r>
      <w:r>
        <w:rPr>
          <w:rFonts w:eastAsia="Times New Roman"/>
          <w:szCs w:val="22"/>
        </w:rPr>
        <w:t>P</w:t>
      </w:r>
      <w:r w:rsidRPr="43D9847F">
        <w:rPr>
          <w:rFonts w:eastAsia="Times New Roman"/>
          <w:szCs w:val="22"/>
        </w:rPr>
        <w:t xml:space="preserve">rovider is required to deliver care to patients in line with the patient’s need. </w:t>
      </w:r>
    </w:p>
    <w:p w14:paraId="6CE10948" w14:textId="273B3E6F" w:rsidR="00817CB4" w:rsidRPr="001F7637" w:rsidRDefault="758819B6" w:rsidP="001F7637">
      <w:pPr>
        <w:pStyle w:val="Heading2"/>
      </w:pPr>
      <w:bookmarkStart w:id="221" w:name="_Toc166066945"/>
      <w:bookmarkStart w:id="222" w:name="_Toc166068361"/>
      <w:bookmarkStart w:id="223" w:name="_Toc166068573"/>
      <w:bookmarkStart w:id="224" w:name="_Toc166069532"/>
      <w:bookmarkStart w:id="225" w:name="_Toc166069579"/>
      <w:bookmarkStart w:id="226" w:name="_Toc166136595"/>
      <w:bookmarkStart w:id="227" w:name="_Toc167109442"/>
      <w:bookmarkStart w:id="228" w:name="_Toc170120014"/>
      <w:bookmarkStart w:id="229" w:name="_Toc170817156"/>
      <w:bookmarkStart w:id="230" w:name="_Toc182311168"/>
      <w:r>
        <w:t>Medicare Benefit Sche</w:t>
      </w:r>
      <w:r w:rsidR="40C1853A">
        <w:t>dule</w:t>
      </w:r>
      <w:r>
        <w:t xml:space="preserve"> and Department of Veterans’ Affairs requirements</w:t>
      </w:r>
      <w:bookmarkEnd w:id="221"/>
      <w:bookmarkEnd w:id="222"/>
      <w:bookmarkEnd w:id="223"/>
      <w:bookmarkEnd w:id="224"/>
      <w:bookmarkEnd w:id="225"/>
      <w:bookmarkEnd w:id="226"/>
      <w:bookmarkEnd w:id="227"/>
      <w:bookmarkEnd w:id="228"/>
      <w:bookmarkEnd w:id="229"/>
      <w:bookmarkEnd w:id="230"/>
    </w:p>
    <w:p w14:paraId="102DFD74" w14:textId="151472B9" w:rsidR="00817CB4" w:rsidRPr="007F4BC4" w:rsidRDefault="6F20E253" w:rsidP="00817CB4">
      <w:pPr>
        <w:spacing w:before="120" w:after="120" w:line="276" w:lineRule="auto"/>
        <w:rPr>
          <w:rFonts w:eastAsia="Times New Roman"/>
        </w:rPr>
      </w:pPr>
      <w:r w:rsidRPr="690F3BC6">
        <w:rPr>
          <w:rFonts w:eastAsia="Times New Roman"/>
        </w:rPr>
        <w:t>All providers, practices and medical professionals are required to meet the requirements of the relevant eligible MBS and DVA service item</w:t>
      </w:r>
      <w:r w:rsidR="6026C2AE" w:rsidRPr="690F3BC6">
        <w:rPr>
          <w:rFonts w:eastAsia="Times New Roman"/>
        </w:rPr>
        <w:t>s as specified in Section 10</w:t>
      </w:r>
      <w:r w:rsidR="0200F8A0" w:rsidRPr="690F3BC6">
        <w:rPr>
          <w:rFonts w:eastAsia="Times New Roman"/>
        </w:rPr>
        <w:t>.3</w:t>
      </w:r>
      <w:r w:rsidR="6026C2AE" w:rsidRPr="690F3BC6">
        <w:rPr>
          <w:rFonts w:eastAsia="Times New Roman"/>
        </w:rPr>
        <w:t xml:space="preserve"> of the Appendix</w:t>
      </w:r>
      <w:r w:rsidRPr="690F3BC6">
        <w:rPr>
          <w:rFonts w:eastAsia="Times New Roman"/>
        </w:rPr>
        <w:t xml:space="preserve">. </w:t>
      </w:r>
      <w:r w:rsidR="236FB3B4" w:rsidRPr="690F3BC6">
        <w:rPr>
          <w:rFonts w:eastAsia="Times New Roman"/>
        </w:rPr>
        <w:t xml:space="preserve">These </w:t>
      </w:r>
      <w:r w:rsidR="236FB3B4" w:rsidRPr="690F3BC6">
        <w:rPr>
          <w:rFonts w:eastAsia="Times New Roman"/>
        </w:rPr>
        <w:lastRenderedPageBreak/>
        <w:t>service items are subject to all other normal rules and guidelines, and practices and providers are to follow normal Medicare &amp; DVA claiming processes once the services are delivered.</w:t>
      </w:r>
    </w:p>
    <w:p w14:paraId="4F610D01" w14:textId="77777777" w:rsidR="00817CB4" w:rsidRPr="001F7637" w:rsidRDefault="758819B6" w:rsidP="001F7637">
      <w:pPr>
        <w:pStyle w:val="Heading2"/>
      </w:pPr>
      <w:bookmarkStart w:id="231" w:name="_Toc166066946"/>
      <w:bookmarkStart w:id="232" w:name="_Toc166068362"/>
      <w:bookmarkStart w:id="233" w:name="_Toc166068574"/>
      <w:bookmarkStart w:id="234" w:name="_Toc166069533"/>
      <w:bookmarkStart w:id="235" w:name="_Toc166069580"/>
      <w:bookmarkStart w:id="236" w:name="_Toc166136596"/>
      <w:bookmarkStart w:id="237" w:name="_Toc167109443"/>
      <w:bookmarkStart w:id="238" w:name="_Toc170120015"/>
      <w:bookmarkStart w:id="239" w:name="_Toc170817157"/>
      <w:bookmarkStart w:id="240" w:name="_Toc182311169"/>
      <w:r>
        <w:t>Legislative requirements</w:t>
      </w:r>
      <w:bookmarkEnd w:id="231"/>
      <w:bookmarkEnd w:id="232"/>
      <w:bookmarkEnd w:id="233"/>
      <w:bookmarkEnd w:id="234"/>
      <w:bookmarkEnd w:id="235"/>
      <w:bookmarkEnd w:id="236"/>
      <w:bookmarkEnd w:id="237"/>
      <w:bookmarkEnd w:id="238"/>
      <w:bookmarkEnd w:id="239"/>
      <w:bookmarkEnd w:id="240"/>
    </w:p>
    <w:p w14:paraId="593CAC3D" w14:textId="2BB79911" w:rsidR="00817CB4" w:rsidRPr="007F4BC4" w:rsidRDefault="6F20E253" w:rsidP="00817CB4">
      <w:pPr>
        <w:spacing w:before="120" w:after="120" w:line="276" w:lineRule="auto"/>
        <w:rPr>
          <w:rFonts w:eastAsia="Times New Roman"/>
        </w:rPr>
      </w:pPr>
      <w:r w:rsidRPr="690F3BC6">
        <w:rPr>
          <w:rFonts w:eastAsia="Times New Roman"/>
        </w:rPr>
        <w:t>All providers, practices and medical practitioners are required to meet all the legislative requirements associated with the delivery of eligible service MBS and DVA items</w:t>
      </w:r>
      <w:r w:rsidR="0D1BE610" w:rsidRPr="690F3BC6">
        <w:rPr>
          <w:rFonts w:eastAsia="Times New Roman"/>
        </w:rPr>
        <w:t xml:space="preserve"> as specified in Section 10.3 of the Appendix</w:t>
      </w:r>
      <w:r w:rsidRPr="690F3BC6">
        <w:rPr>
          <w:rFonts w:eastAsia="Times New Roman"/>
        </w:rPr>
        <w:t xml:space="preserve">. All providers, practices and medical professionals are responsible for ensuring their delivery of services does not conflict with requirements of any other programs or legislation that applies to the provider or practice. </w:t>
      </w:r>
    </w:p>
    <w:p w14:paraId="07A887F1" w14:textId="77777777" w:rsidR="00817CB4" w:rsidRPr="001F7637" w:rsidRDefault="758819B6" w:rsidP="00407AD1">
      <w:pPr>
        <w:pStyle w:val="Heading1"/>
      </w:pPr>
      <w:bookmarkStart w:id="241" w:name="_Toc166066948"/>
      <w:bookmarkStart w:id="242" w:name="_Toc166068364"/>
      <w:bookmarkStart w:id="243" w:name="_Toc166068576"/>
      <w:bookmarkStart w:id="244" w:name="_Toc166069535"/>
      <w:bookmarkStart w:id="245" w:name="_Toc166069582"/>
      <w:bookmarkStart w:id="246" w:name="_Toc166136598"/>
      <w:bookmarkStart w:id="247" w:name="_Toc167109445"/>
      <w:bookmarkStart w:id="248" w:name="_Toc170120017"/>
      <w:bookmarkStart w:id="249" w:name="_Toc170817158"/>
      <w:bookmarkStart w:id="250" w:name="_Toc182311170"/>
      <w:r>
        <w:t>Incentive Payment</w:t>
      </w:r>
      <w:bookmarkEnd w:id="241"/>
      <w:bookmarkEnd w:id="242"/>
      <w:bookmarkEnd w:id="243"/>
      <w:bookmarkEnd w:id="244"/>
      <w:bookmarkEnd w:id="245"/>
      <w:bookmarkEnd w:id="246"/>
      <w:r>
        <w:t>s</w:t>
      </w:r>
      <w:bookmarkEnd w:id="247"/>
      <w:bookmarkEnd w:id="248"/>
      <w:bookmarkEnd w:id="249"/>
      <w:bookmarkEnd w:id="250"/>
    </w:p>
    <w:p w14:paraId="6773CB9D" w14:textId="77777777" w:rsidR="00817CB4" w:rsidRPr="001F7637" w:rsidRDefault="758819B6" w:rsidP="001F7637">
      <w:pPr>
        <w:pStyle w:val="Heading2"/>
      </w:pPr>
      <w:bookmarkStart w:id="251" w:name="_Toc166066949"/>
      <w:bookmarkStart w:id="252" w:name="_Toc166068365"/>
      <w:bookmarkStart w:id="253" w:name="_Toc166068577"/>
      <w:bookmarkStart w:id="254" w:name="_Toc166069536"/>
      <w:bookmarkStart w:id="255" w:name="_Toc166069583"/>
      <w:bookmarkStart w:id="256" w:name="_Toc166136599"/>
      <w:bookmarkStart w:id="257" w:name="_Toc167109446"/>
      <w:bookmarkStart w:id="258" w:name="_Toc170120018"/>
      <w:bookmarkStart w:id="259" w:name="_Toc170817159"/>
      <w:bookmarkStart w:id="260" w:name="_Toc182311171"/>
      <w:r>
        <w:t>Payment eligibility</w:t>
      </w:r>
      <w:bookmarkEnd w:id="251"/>
      <w:bookmarkEnd w:id="252"/>
      <w:bookmarkEnd w:id="253"/>
      <w:bookmarkEnd w:id="254"/>
      <w:bookmarkEnd w:id="255"/>
      <w:bookmarkEnd w:id="256"/>
      <w:bookmarkEnd w:id="257"/>
      <w:bookmarkEnd w:id="258"/>
      <w:bookmarkEnd w:id="259"/>
      <w:bookmarkEnd w:id="260"/>
    </w:p>
    <w:p w14:paraId="60574689" w14:textId="77777777" w:rsidR="00817CB4" w:rsidRPr="007F4BC4" w:rsidRDefault="00817CB4" w:rsidP="00817CB4">
      <w:pPr>
        <w:spacing w:before="120" w:after="120" w:line="276" w:lineRule="auto"/>
        <w:rPr>
          <w:rFonts w:eastAsia="Times New Roman"/>
        </w:rPr>
      </w:pPr>
      <w:r w:rsidRPr="007F4BC4">
        <w:rPr>
          <w:rFonts w:eastAsia="Times New Roman"/>
        </w:rPr>
        <w:t>In any given assessment period, to be eligible to receive incentive payments, providers and practices must meet the General Practice in Aged Care Incentive:</w:t>
      </w:r>
    </w:p>
    <w:p w14:paraId="0F39E351" w14:textId="7C3E3AC6" w:rsidR="00817CB4" w:rsidRPr="002D330A" w:rsidRDefault="00817CB4" w:rsidP="48E88A4B">
      <w:pPr>
        <w:pStyle w:val="ListBullet"/>
        <w:tabs>
          <w:tab w:val="clear" w:pos="360"/>
          <w:tab w:val="left" w:pos="340"/>
          <w:tab w:val="left" w:pos="680"/>
        </w:tabs>
        <w:spacing w:before="60" w:after="60" w:line="276" w:lineRule="auto"/>
      </w:pPr>
      <w:r>
        <w:t>eligibility criteria</w:t>
      </w:r>
      <w:r w:rsidR="43FF2915">
        <w:t>.</w:t>
      </w:r>
    </w:p>
    <w:p w14:paraId="3AD26355"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servicing requirements for the assessment period.</w:t>
      </w:r>
    </w:p>
    <w:p w14:paraId="3439839B" w14:textId="77777777" w:rsidR="00817CB4" w:rsidRPr="001F7637" w:rsidRDefault="758819B6" w:rsidP="001F7637">
      <w:pPr>
        <w:pStyle w:val="Heading2"/>
      </w:pPr>
      <w:bookmarkStart w:id="261" w:name="_Toc166066950"/>
      <w:bookmarkStart w:id="262" w:name="_Toc166068366"/>
      <w:bookmarkStart w:id="263" w:name="_Toc166068578"/>
      <w:bookmarkStart w:id="264" w:name="_Toc166069537"/>
      <w:bookmarkStart w:id="265" w:name="_Toc166069584"/>
      <w:bookmarkStart w:id="266" w:name="_Toc166136600"/>
      <w:bookmarkStart w:id="267" w:name="_Toc167109447"/>
      <w:bookmarkStart w:id="268" w:name="_Toc170120019"/>
      <w:bookmarkStart w:id="269" w:name="_Toc170817160"/>
      <w:bookmarkStart w:id="270" w:name="_Toc182311172"/>
      <w:r>
        <w:t>Payment amounts</w:t>
      </w:r>
      <w:bookmarkEnd w:id="261"/>
      <w:bookmarkEnd w:id="262"/>
      <w:bookmarkEnd w:id="263"/>
      <w:bookmarkEnd w:id="264"/>
      <w:bookmarkEnd w:id="265"/>
      <w:bookmarkEnd w:id="266"/>
      <w:bookmarkEnd w:id="267"/>
      <w:bookmarkEnd w:id="268"/>
      <w:bookmarkEnd w:id="269"/>
      <w:bookmarkEnd w:id="270"/>
    </w:p>
    <w:p w14:paraId="1D7A8EFA" w14:textId="67EF6AB9" w:rsidR="00817CB4" w:rsidRPr="007F4BC4" w:rsidRDefault="00817CB4" w:rsidP="00817CB4">
      <w:pPr>
        <w:spacing w:before="120" w:after="120" w:line="276" w:lineRule="auto"/>
        <w:rPr>
          <w:rFonts w:eastAsia="Times New Roman"/>
        </w:rPr>
      </w:pPr>
      <w:r w:rsidRPr="007F4BC4">
        <w:rPr>
          <w:rFonts w:eastAsia="Times New Roman"/>
        </w:rPr>
        <w:t>Practices and providers eligible for the General Practice in Aged Care Incentive</w:t>
      </w:r>
      <w:r w:rsidRPr="007F4BC4" w:rsidDel="00174732">
        <w:rPr>
          <w:rFonts w:eastAsia="Times New Roman"/>
        </w:rPr>
        <w:t xml:space="preserve"> </w:t>
      </w:r>
      <w:r w:rsidRPr="007F4BC4">
        <w:rPr>
          <w:rFonts w:eastAsia="Times New Roman"/>
        </w:rPr>
        <w:t>payment</w:t>
      </w:r>
      <w:r w:rsidRPr="007F4BC4">
        <w:rPr>
          <w:rFonts w:eastAsia="Times New Roman"/>
          <w:vertAlign w:val="superscript"/>
        </w:rPr>
        <w:footnoteReference w:id="9"/>
      </w:r>
      <w:r w:rsidRPr="007F4BC4">
        <w:rPr>
          <w:rFonts w:eastAsia="Times New Roman"/>
        </w:rPr>
        <w:t xml:space="preserve"> </w:t>
      </w:r>
      <w:r w:rsidR="00262DE2">
        <w:rPr>
          <w:rFonts w:eastAsia="Times New Roman"/>
        </w:rPr>
        <w:t>are</w:t>
      </w:r>
      <w:r w:rsidRPr="007F4BC4">
        <w:rPr>
          <w:rFonts w:eastAsia="Times New Roman"/>
        </w:rPr>
        <w:t xml:space="preserve"> paid: </w:t>
      </w:r>
    </w:p>
    <w:p w14:paraId="01CBD31B" w14:textId="06EF283C" w:rsidR="00817CB4" w:rsidRPr="002D330A" w:rsidRDefault="6F20E253" w:rsidP="690F3BC6">
      <w:pPr>
        <w:pStyle w:val="ListBullet"/>
        <w:tabs>
          <w:tab w:val="clear" w:pos="360"/>
          <w:tab w:val="left" w:pos="340"/>
          <w:tab w:val="left" w:pos="680"/>
        </w:tabs>
        <w:spacing w:before="60" w:after="60" w:line="276" w:lineRule="auto"/>
        <w:contextualSpacing w:val="0"/>
      </w:pPr>
      <w:r w:rsidRPr="690F3BC6">
        <w:rPr>
          <w:b/>
          <w:bCs/>
        </w:rPr>
        <w:t>$300 per patient</w:t>
      </w:r>
      <w:r>
        <w:t>, per year</w:t>
      </w:r>
      <w:r w:rsidR="236FB3B4">
        <w:t xml:space="preserve"> (75 per patient, per quarter)</w:t>
      </w:r>
      <w:r>
        <w:t>, paid to the Responsible Provider.</w:t>
      </w:r>
    </w:p>
    <w:p w14:paraId="036E74D3" w14:textId="1FE73993" w:rsidR="00817CB4" w:rsidRPr="002D330A" w:rsidRDefault="00817CB4" w:rsidP="2F031D07">
      <w:pPr>
        <w:pStyle w:val="ListBullet"/>
        <w:tabs>
          <w:tab w:val="clear" w:pos="360"/>
          <w:tab w:val="left" w:pos="340"/>
          <w:tab w:val="left" w:pos="680"/>
        </w:tabs>
        <w:spacing w:before="60" w:after="60" w:line="276" w:lineRule="auto"/>
      </w:pPr>
      <w:r w:rsidRPr="2F031D07">
        <w:rPr>
          <w:b/>
          <w:bCs/>
        </w:rPr>
        <w:t>$130 per patient</w:t>
      </w:r>
      <w:r>
        <w:t>, per year</w:t>
      </w:r>
      <w:r w:rsidR="00C82C3A">
        <w:t xml:space="preserve"> ($32.50 per patient, per quarter)</w:t>
      </w:r>
      <w:r>
        <w:t>, paid to the practice.</w:t>
      </w:r>
    </w:p>
    <w:p w14:paraId="3F84771B" w14:textId="69FCDA65" w:rsidR="00817CB4" w:rsidRPr="007F4BC4" w:rsidRDefault="00817CB4" w:rsidP="00817CB4">
      <w:pPr>
        <w:spacing w:before="120" w:after="120" w:line="276" w:lineRule="auto"/>
        <w:rPr>
          <w:rFonts w:eastAsia="Times New Roman"/>
        </w:rPr>
      </w:pPr>
      <w:r w:rsidRPr="007F4BC4">
        <w:rPr>
          <w:rFonts w:eastAsia="Times New Roman"/>
        </w:rPr>
        <w:t xml:space="preserve">The payments </w:t>
      </w:r>
      <w:r w:rsidR="00262DE2">
        <w:rPr>
          <w:rFonts w:eastAsia="Times New Roman"/>
        </w:rPr>
        <w:t>are</w:t>
      </w:r>
      <w:r w:rsidRPr="007F4BC4">
        <w:rPr>
          <w:rFonts w:eastAsia="Times New Roman"/>
        </w:rPr>
        <w:t xml:space="preserve"> </w:t>
      </w:r>
      <w:r w:rsidR="000531B4">
        <w:rPr>
          <w:rFonts w:eastAsia="Times New Roman"/>
        </w:rPr>
        <w:t xml:space="preserve">made </w:t>
      </w:r>
      <w:r w:rsidRPr="007F4BC4">
        <w:rPr>
          <w:rFonts w:eastAsia="Times New Roman"/>
        </w:rPr>
        <w:t>quarterly, in addition to existing MBS and DVA funded services.</w:t>
      </w:r>
      <w:r w:rsidR="00C82C3A">
        <w:rPr>
          <w:rFonts w:eastAsia="Times New Roman"/>
        </w:rPr>
        <w:t xml:space="preserve"> </w:t>
      </w:r>
      <w:r w:rsidR="00C82C3A" w:rsidRPr="00C82C3A">
        <w:rPr>
          <w:rFonts w:eastAsia="Times New Roman"/>
        </w:rPr>
        <w:t>G</w:t>
      </w:r>
      <w:r w:rsidR="00EE0551">
        <w:rPr>
          <w:rFonts w:eastAsia="Times New Roman"/>
        </w:rPr>
        <w:t>eneral Practice in Aged Care Incentive</w:t>
      </w:r>
      <w:r w:rsidR="00C82C3A" w:rsidRPr="00C82C3A">
        <w:rPr>
          <w:rFonts w:eastAsia="Times New Roman"/>
        </w:rPr>
        <w:t xml:space="preserve"> payments are not subject to GST but are reportable for TPAR reporting - </w:t>
      </w:r>
      <w:hyperlink r:id="rId16" w:history="1">
        <w:r w:rsidR="00C82C3A" w:rsidRPr="00C82C3A">
          <w:rPr>
            <w:rStyle w:val="Hyperlink"/>
            <w:rFonts w:eastAsia="Times New Roman"/>
          </w:rPr>
          <w:t>Taxable payments annual report (TPAR) | Australian Taxation Office</w:t>
        </w:r>
      </w:hyperlink>
      <w:r w:rsidR="00C82C3A" w:rsidRPr="00C82C3A">
        <w:rPr>
          <w:rFonts w:eastAsia="Times New Roman"/>
        </w:rPr>
        <w:t>.</w:t>
      </w:r>
    </w:p>
    <w:p w14:paraId="57DA16F9" w14:textId="77777777" w:rsidR="00817CB4" w:rsidRDefault="00817CB4" w:rsidP="00817CB4">
      <w:pPr>
        <w:spacing w:before="120" w:after="120" w:line="276" w:lineRule="auto"/>
        <w:rPr>
          <w:rFonts w:eastAsia="Times New Roman"/>
        </w:rPr>
      </w:pPr>
      <w:r w:rsidRPr="007F4BC4">
        <w:rPr>
          <w:rFonts w:eastAsia="Times New Roman"/>
        </w:rPr>
        <w:t xml:space="preserve">It is at the discretion of the practice and </w:t>
      </w:r>
      <w:r>
        <w:rPr>
          <w:rFonts w:eastAsia="Times New Roman"/>
        </w:rPr>
        <w:t>R</w:t>
      </w:r>
      <w:r w:rsidRPr="007F4BC4">
        <w:rPr>
          <w:rFonts w:eastAsia="Times New Roman"/>
        </w:rPr>
        <w:t xml:space="preserve">esponsible </w:t>
      </w:r>
      <w:r>
        <w:rPr>
          <w:rFonts w:eastAsia="Times New Roman"/>
        </w:rPr>
        <w:t>P</w:t>
      </w:r>
      <w:r w:rsidRPr="007F4BC4">
        <w:rPr>
          <w:rFonts w:eastAsia="Times New Roman"/>
        </w:rPr>
        <w:t>rovider to determine if incentive payments are distributed to other members of the patient’s care team.</w:t>
      </w:r>
    </w:p>
    <w:p w14:paraId="64B026A5" w14:textId="77777777" w:rsidR="00817CB4" w:rsidRPr="001F7637" w:rsidRDefault="758819B6" w:rsidP="001F7637">
      <w:pPr>
        <w:pStyle w:val="Heading2"/>
      </w:pPr>
      <w:bookmarkStart w:id="271" w:name="_Toc166066951"/>
      <w:bookmarkStart w:id="272" w:name="_Toc166068367"/>
      <w:bookmarkStart w:id="273" w:name="_Toc166068579"/>
      <w:bookmarkStart w:id="274" w:name="_Toc166069538"/>
      <w:bookmarkStart w:id="275" w:name="_Toc166069585"/>
      <w:bookmarkStart w:id="276" w:name="_Toc166136601"/>
      <w:bookmarkStart w:id="277" w:name="_Toc167109448"/>
      <w:bookmarkStart w:id="278" w:name="_Toc170120020"/>
      <w:bookmarkStart w:id="279" w:name="_Toc170817161"/>
      <w:bookmarkStart w:id="280" w:name="_Toc182311173"/>
      <w:r>
        <w:t>Rural loadings</w:t>
      </w:r>
      <w:bookmarkEnd w:id="271"/>
      <w:bookmarkEnd w:id="272"/>
      <w:bookmarkEnd w:id="273"/>
      <w:bookmarkEnd w:id="274"/>
      <w:bookmarkEnd w:id="275"/>
      <w:bookmarkEnd w:id="276"/>
      <w:bookmarkEnd w:id="277"/>
      <w:bookmarkEnd w:id="278"/>
      <w:bookmarkEnd w:id="279"/>
      <w:bookmarkEnd w:id="280"/>
    </w:p>
    <w:p w14:paraId="54C78020" w14:textId="67E562A2" w:rsidR="00817CB4" w:rsidRPr="007F4BC4" w:rsidRDefault="00817CB4" w:rsidP="00817CB4">
      <w:pPr>
        <w:spacing w:before="120" w:after="120" w:line="276" w:lineRule="auto"/>
        <w:rPr>
          <w:rFonts w:eastAsia="Times New Roman"/>
        </w:rPr>
      </w:pPr>
      <w:bookmarkStart w:id="281" w:name="_Hlk167963529"/>
      <w:r w:rsidRPr="007F4BC4">
        <w:rPr>
          <w:rFonts w:eastAsia="Times New Roman"/>
        </w:rPr>
        <w:t xml:space="preserve">Rural loadings apply to provider and practice incentive payments for </w:t>
      </w:r>
      <w:bookmarkEnd w:id="281"/>
      <w:r w:rsidRPr="007F4BC4">
        <w:rPr>
          <w:rFonts w:eastAsia="Times New Roman"/>
        </w:rPr>
        <w:t xml:space="preserve">MMM regions 3 to 7. </w:t>
      </w:r>
    </w:p>
    <w:p w14:paraId="048B32F4" w14:textId="523F7D34" w:rsidR="00817CB4" w:rsidRPr="007F4BC4" w:rsidRDefault="00817CB4" w:rsidP="00817CB4">
      <w:pPr>
        <w:spacing w:before="120" w:after="120" w:line="276" w:lineRule="auto"/>
        <w:rPr>
          <w:rFonts w:eastAsia="Times New Roman"/>
        </w:rPr>
      </w:pPr>
      <w:bookmarkStart w:id="282" w:name="_Hlk165579573"/>
      <w:r w:rsidRPr="007F4BC4">
        <w:rPr>
          <w:rFonts w:eastAsia="Times New Roman"/>
        </w:rPr>
        <w:t xml:space="preserve">The MMM region applied to the incentive payment </w:t>
      </w:r>
      <w:r w:rsidR="00262DE2">
        <w:rPr>
          <w:rFonts w:eastAsia="Times New Roman"/>
        </w:rPr>
        <w:t>is</w:t>
      </w:r>
      <w:r w:rsidRPr="007F4BC4">
        <w:rPr>
          <w:rFonts w:eastAsia="Times New Roman"/>
        </w:rPr>
        <w:t xml:space="preserve"> determined by the location of the practice registered in MyMedicare (MMM rural loading amounts are outlined in </w:t>
      </w:r>
      <w:r w:rsidRPr="007F4BC4">
        <w:rPr>
          <w:rFonts w:eastAsia="Times New Roman"/>
          <w:b/>
          <w:bCs/>
        </w:rPr>
        <w:t>Appendix</w:t>
      </w:r>
      <w:r>
        <w:rPr>
          <w:rFonts w:eastAsia="Times New Roman"/>
          <w:b/>
          <w:bCs/>
        </w:rPr>
        <w:t> 10</w:t>
      </w:r>
      <w:r w:rsidR="003073A1">
        <w:rPr>
          <w:rFonts w:eastAsia="Times New Roman"/>
          <w:b/>
          <w:bCs/>
        </w:rPr>
        <w:t>.4</w:t>
      </w:r>
      <w:r w:rsidRPr="007F4BC4">
        <w:rPr>
          <w:rFonts w:eastAsia="Times New Roman"/>
        </w:rPr>
        <w:t>).</w:t>
      </w:r>
      <w:bookmarkEnd w:id="282"/>
    </w:p>
    <w:p w14:paraId="6B2E809F" w14:textId="77777777" w:rsidR="00817CB4" w:rsidRPr="001F7637" w:rsidRDefault="758819B6" w:rsidP="001F7637">
      <w:pPr>
        <w:pStyle w:val="Heading2"/>
      </w:pPr>
      <w:bookmarkStart w:id="283" w:name="_Toc166066952"/>
      <w:bookmarkStart w:id="284" w:name="_Toc166068368"/>
      <w:bookmarkStart w:id="285" w:name="_Toc166068580"/>
      <w:bookmarkStart w:id="286" w:name="_Toc166069539"/>
      <w:bookmarkStart w:id="287" w:name="_Toc166069586"/>
      <w:bookmarkStart w:id="288" w:name="_Toc166136602"/>
      <w:bookmarkStart w:id="289" w:name="_Toc167109449"/>
      <w:bookmarkStart w:id="290" w:name="_Toc170120021"/>
      <w:bookmarkStart w:id="291" w:name="_Toc170817162"/>
      <w:bookmarkStart w:id="292" w:name="_Toc182311174"/>
      <w:r>
        <w:lastRenderedPageBreak/>
        <w:t>Payment assessments</w:t>
      </w:r>
      <w:bookmarkEnd w:id="283"/>
      <w:bookmarkEnd w:id="284"/>
      <w:bookmarkEnd w:id="285"/>
      <w:bookmarkEnd w:id="286"/>
      <w:bookmarkEnd w:id="287"/>
      <w:bookmarkEnd w:id="288"/>
      <w:bookmarkEnd w:id="289"/>
      <w:bookmarkEnd w:id="290"/>
      <w:bookmarkEnd w:id="291"/>
      <w:bookmarkEnd w:id="292"/>
    </w:p>
    <w:p w14:paraId="720946A0" w14:textId="77777777" w:rsidR="00817CB4" w:rsidRPr="00407AD1" w:rsidRDefault="00817CB4" w:rsidP="00407AD1">
      <w:pPr>
        <w:pStyle w:val="Heading3"/>
      </w:pPr>
      <w:bookmarkStart w:id="293" w:name="_Toc166066953"/>
      <w:bookmarkStart w:id="294" w:name="_Toc166068369"/>
      <w:bookmarkStart w:id="295" w:name="_Toc166068581"/>
      <w:bookmarkStart w:id="296" w:name="_Toc166069540"/>
      <w:bookmarkStart w:id="297" w:name="_Toc166069587"/>
      <w:bookmarkStart w:id="298" w:name="_Toc166136603"/>
      <w:bookmarkStart w:id="299" w:name="_Toc170120022"/>
      <w:bookmarkStart w:id="300" w:name="_Toc172899506"/>
      <w:bookmarkStart w:id="301" w:name="_Toc172899579"/>
      <w:bookmarkStart w:id="302" w:name="_Toc170817163"/>
      <w:r w:rsidRPr="00407AD1">
        <w:t>Assessment periods</w:t>
      </w:r>
      <w:bookmarkEnd w:id="293"/>
      <w:bookmarkEnd w:id="294"/>
      <w:bookmarkEnd w:id="295"/>
      <w:bookmarkEnd w:id="296"/>
      <w:bookmarkEnd w:id="297"/>
      <w:bookmarkEnd w:id="298"/>
      <w:bookmarkEnd w:id="299"/>
      <w:bookmarkEnd w:id="300"/>
      <w:bookmarkEnd w:id="301"/>
      <w:bookmarkEnd w:id="302"/>
    </w:p>
    <w:p w14:paraId="68E7537F" w14:textId="6DB2507F" w:rsidR="00817CB4" w:rsidRPr="007F4BC4" w:rsidRDefault="00817CB4" w:rsidP="00817CB4">
      <w:pPr>
        <w:spacing w:before="120" w:after="120" w:line="276" w:lineRule="auto"/>
        <w:rPr>
          <w:rFonts w:eastAsia="Times New Roman"/>
        </w:rPr>
      </w:pPr>
      <w:r w:rsidRPr="007F4BC4">
        <w:rPr>
          <w:rFonts w:eastAsia="Times New Roman"/>
        </w:rPr>
        <w:t xml:space="preserve">Providers and practices </w:t>
      </w:r>
      <w:r w:rsidR="00262DE2">
        <w:rPr>
          <w:rFonts w:eastAsia="Times New Roman"/>
        </w:rPr>
        <w:t>are</w:t>
      </w:r>
      <w:r w:rsidRPr="007F4BC4">
        <w:rPr>
          <w:rFonts w:eastAsia="Times New Roman"/>
        </w:rPr>
        <w:t xml:space="preserve"> assessed to determine if they are eligible to receive incentive payments through a quarterly assessment process based on quarterly and/or 12</w:t>
      </w:r>
      <w:r>
        <w:rPr>
          <w:rFonts w:eastAsia="Times New Roman"/>
        </w:rPr>
        <w:t>-</w:t>
      </w:r>
      <w:r w:rsidRPr="007F4BC4">
        <w:rPr>
          <w:rFonts w:eastAsia="Times New Roman"/>
        </w:rPr>
        <w:t xml:space="preserve">month servicing requirements. </w:t>
      </w:r>
    </w:p>
    <w:p w14:paraId="0D7B1438" w14:textId="77777777" w:rsidR="00817CB4" w:rsidRPr="00407AD1" w:rsidRDefault="00817CB4" w:rsidP="00407AD1">
      <w:pPr>
        <w:pStyle w:val="Heading3"/>
      </w:pPr>
      <w:bookmarkStart w:id="303" w:name="_Toc166066954"/>
      <w:bookmarkStart w:id="304" w:name="_Toc166068370"/>
      <w:bookmarkStart w:id="305" w:name="_Toc166068582"/>
      <w:bookmarkStart w:id="306" w:name="_Toc166069541"/>
      <w:bookmarkStart w:id="307" w:name="_Toc166069588"/>
      <w:bookmarkStart w:id="308" w:name="_Toc166136604"/>
      <w:bookmarkStart w:id="309" w:name="_Toc170120023"/>
      <w:bookmarkStart w:id="310" w:name="_Toc172899507"/>
      <w:bookmarkStart w:id="311" w:name="_Toc172899580"/>
      <w:bookmarkStart w:id="312" w:name="_Toc170817164"/>
      <w:r w:rsidRPr="00407AD1">
        <w:t>Quarterly assessment periods</w:t>
      </w:r>
      <w:bookmarkEnd w:id="303"/>
      <w:bookmarkEnd w:id="304"/>
      <w:bookmarkEnd w:id="305"/>
      <w:bookmarkEnd w:id="306"/>
      <w:bookmarkEnd w:id="307"/>
      <w:bookmarkEnd w:id="308"/>
      <w:bookmarkEnd w:id="309"/>
      <w:bookmarkEnd w:id="310"/>
      <w:bookmarkEnd w:id="311"/>
      <w:bookmarkEnd w:id="312"/>
    </w:p>
    <w:p w14:paraId="45C35D18" w14:textId="77777777" w:rsidR="00817CB4" w:rsidRPr="007F4BC4" w:rsidRDefault="00817CB4" w:rsidP="002D330A">
      <w:pPr>
        <w:keepNext/>
        <w:spacing w:before="120" w:after="120" w:line="276" w:lineRule="auto"/>
        <w:rPr>
          <w:rFonts w:eastAsia="Times New Roman"/>
        </w:rPr>
      </w:pPr>
      <w:r w:rsidRPr="007F4BC4">
        <w:rPr>
          <w:rFonts w:eastAsia="Times New Roman"/>
        </w:rPr>
        <w:t>The quarterly assessment periods are as follows:</w:t>
      </w:r>
    </w:p>
    <w:p w14:paraId="72D736C2" w14:textId="77777777" w:rsidR="00817CB4" w:rsidRPr="002D330A" w:rsidRDefault="00817CB4" w:rsidP="002D330A">
      <w:pPr>
        <w:pStyle w:val="ListBullet"/>
        <w:keepNext/>
        <w:numPr>
          <w:ilvl w:val="0"/>
          <w:numId w:val="12"/>
        </w:numPr>
        <w:tabs>
          <w:tab w:val="left" w:pos="340"/>
          <w:tab w:val="left" w:pos="680"/>
        </w:tabs>
        <w:spacing w:before="60" w:after="60" w:line="276" w:lineRule="auto"/>
        <w:ind w:left="360"/>
        <w:contextualSpacing w:val="0"/>
      </w:pPr>
      <w:r w:rsidRPr="002D330A">
        <w:t>1 July to 30 September</w:t>
      </w:r>
    </w:p>
    <w:p w14:paraId="455CB6E6"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1 October to 31 December</w:t>
      </w:r>
    </w:p>
    <w:p w14:paraId="10E16A4D"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1 January to 31 March</w:t>
      </w:r>
    </w:p>
    <w:p w14:paraId="32B7D029"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1 April to 30 June.</w:t>
      </w:r>
    </w:p>
    <w:p w14:paraId="50B9739C" w14:textId="77777777" w:rsidR="00817CB4" w:rsidRPr="00407AD1" w:rsidRDefault="00817CB4" w:rsidP="00407AD1">
      <w:pPr>
        <w:pStyle w:val="Heading3"/>
      </w:pPr>
      <w:bookmarkStart w:id="313" w:name="_Toc166066955"/>
      <w:bookmarkStart w:id="314" w:name="_Toc166068371"/>
      <w:bookmarkStart w:id="315" w:name="_Toc166068583"/>
      <w:bookmarkStart w:id="316" w:name="_Toc166069542"/>
      <w:bookmarkStart w:id="317" w:name="_Toc166069589"/>
      <w:bookmarkStart w:id="318" w:name="_Toc166136605"/>
      <w:bookmarkStart w:id="319" w:name="_Toc170120024"/>
      <w:bookmarkStart w:id="320" w:name="_Toc172899508"/>
      <w:bookmarkStart w:id="321" w:name="_Toc172899581"/>
      <w:bookmarkStart w:id="322" w:name="_Toc170817165"/>
      <w:r w:rsidRPr="00407AD1">
        <w:t>12-month patient care period</w:t>
      </w:r>
      <w:bookmarkEnd w:id="313"/>
      <w:bookmarkEnd w:id="314"/>
      <w:bookmarkEnd w:id="315"/>
      <w:bookmarkEnd w:id="316"/>
      <w:bookmarkEnd w:id="317"/>
      <w:bookmarkEnd w:id="318"/>
      <w:bookmarkEnd w:id="319"/>
      <w:bookmarkEnd w:id="320"/>
      <w:bookmarkEnd w:id="321"/>
      <w:bookmarkEnd w:id="322"/>
    </w:p>
    <w:p w14:paraId="759502C8" w14:textId="77777777" w:rsidR="00817CB4" w:rsidRPr="007F4BC4" w:rsidRDefault="00817CB4" w:rsidP="00817CB4">
      <w:pPr>
        <w:spacing w:before="120" w:after="120" w:line="276" w:lineRule="auto"/>
        <w:rPr>
          <w:rFonts w:eastAsia="Times New Roman"/>
        </w:rPr>
      </w:pPr>
      <w:r w:rsidRPr="007F4BC4">
        <w:rPr>
          <w:rFonts w:eastAsia="Times New Roman"/>
        </w:rPr>
        <w:t>The 12</w:t>
      </w:r>
      <w:r>
        <w:rPr>
          <w:rFonts w:eastAsia="Times New Roman"/>
        </w:rPr>
        <w:t>-</w:t>
      </w:r>
      <w:r w:rsidRPr="007F4BC4">
        <w:rPr>
          <w:rFonts w:eastAsia="Times New Roman"/>
        </w:rPr>
        <w:t>month care periods are dependent on each patient’s assessment start date. The periods for the 12</w:t>
      </w:r>
      <w:r>
        <w:rPr>
          <w:rFonts w:eastAsia="Times New Roman"/>
        </w:rPr>
        <w:t>-</w:t>
      </w:r>
      <w:r w:rsidRPr="007F4BC4">
        <w:rPr>
          <w:rFonts w:eastAsia="Times New Roman"/>
        </w:rPr>
        <w:t>month servicing requirements are as follows:</w:t>
      </w:r>
    </w:p>
    <w:p w14:paraId="7098AE0F"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1 July to 30 June</w:t>
      </w:r>
    </w:p>
    <w:p w14:paraId="2C5A7BF2"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1 October to 30 September</w:t>
      </w:r>
    </w:p>
    <w:p w14:paraId="2651CE8E"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1 January to 31 December</w:t>
      </w:r>
    </w:p>
    <w:p w14:paraId="2B6DD6AF"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1 April to 31 March.</w:t>
      </w:r>
    </w:p>
    <w:p w14:paraId="2FD1BAC9" w14:textId="77777777" w:rsidR="00817CB4" w:rsidRPr="00407AD1" w:rsidRDefault="00817CB4" w:rsidP="00407AD1">
      <w:pPr>
        <w:pStyle w:val="Heading3"/>
      </w:pPr>
      <w:bookmarkStart w:id="323" w:name="_Toc166066956"/>
      <w:bookmarkStart w:id="324" w:name="_Toc166068372"/>
      <w:bookmarkStart w:id="325" w:name="_Toc166068584"/>
      <w:bookmarkStart w:id="326" w:name="_Toc166069543"/>
      <w:bookmarkStart w:id="327" w:name="_Toc166069590"/>
      <w:bookmarkStart w:id="328" w:name="_Toc166136606"/>
      <w:bookmarkStart w:id="329" w:name="_Toc170120025"/>
      <w:bookmarkStart w:id="330" w:name="_Toc172899509"/>
      <w:bookmarkStart w:id="331" w:name="_Toc172899582"/>
      <w:bookmarkStart w:id="332" w:name="_Toc170817166"/>
      <w:bookmarkStart w:id="333" w:name="_Hlk167963775"/>
      <w:r>
        <w:t>Assessment start date</w:t>
      </w:r>
      <w:bookmarkEnd w:id="323"/>
      <w:bookmarkEnd w:id="324"/>
      <w:bookmarkEnd w:id="325"/>
      <w:bookmarkEnd w:id="326"/>
      <w:bookmarkEnd w:id="327"/>
      <w:bookmarkEnd w:id="328"/>
      <w:bookmarkEnd w:id="329"/>
      <w:bookmarkEnd w:id="330"/>
      <w:bookmarkEnd w:id="331"/>
      <w:bookmarkEnd w:id="332"/>
    </w:p>
    <w:p w14:paraId="41BEF508" w14:textId="3E1762FC" w:rsidR="003357EC" w:rsidRPr="007F4BC4" w:rsidDel="003357EC" w:rsidRDefault="6F20E253" w:rsidP="003357EC">
      <w:pPr>
        <w:spacing w:before="120" w:after="120" w:line="276" w:lineRule="auto"/>
        <w:rPr>
          <w:rFonts w:eastAsia="Times New Roman"/>
        </w:rPr>
      </w:pPr>
      <w:bookmarkStart w:id="334" w:name="_Hlk165580583"/>
      <w:r w:rsidRPr="690F3BC6">
        <w:rPr>
          <w:rFonts w:eastAsia="Times New Roman"/>
        </w:rPr>
        <w:t xml:space="preserve">The assessment start date for a patient </w:t>
      </w:r>
      <w:r w:rsidR="186410BD" w:rsidRPr="690F3BC6">
        <w:rPr>
          <w:rFonts w:eastAsia="Times New Roman"/>
        </w:rPr>
        <w:t>is</w:t>
      </w:r>
      <w:r w:rsidRPr="690F3BC6">
        <w:rPr>
          <w:rFonts w:eastAsia="Times New Roman"/>
        </w:rPr>
        <w:t xml:space="preserve"> the </w:t>
      </w:r>
      <w:r w:rsidR="236FB3B4" w:rsidRPr="690F3BC6">
        <w:rPr>
          <w:rFonts w:eastAsia="Times New Roman"/>
        </w:rPr>
        <w:t>first day</w:t>
      </w:r>
      <w:r w:rsidRPr="690F3BC6">
        <w:rPr>
          <w:rFonts w:eastAsia="Times New Roman"/>
        </w:rPr>
        <w:t xml:space="preserve"> of the assessment quarter in which the patient </w:t>
      </w:r>
      <w:r w:rsidR="186410BD" w:rsidRPr="690F3BC6">
        <w:rPr>
          <w:rFonts w:eastAsia="Times New Roman"/>
        </w:rPr>
        <w:t xml:space="preserve">is </w:t>
      </w:r>
      <w:r w:rsidRPr="690F3BC6">
        <w:rPr>
          <w:rFonts w:eastAsia="Times New Roman"/>
        </w:rPr>
        <w:t>registered in the General Practice in Aged Care Incentive</w:t>
      </w:r>
      <w:r w:rsidR="236FB3B4" w:rsidRPr="690F3BC6">
        <w:rPr>
          <w:rFonts w:eastAsia="Times New Roman"/>
        </w:rPr>
        <w:t>, despite the date of registration within that quarter</w:t>
      </w:r>
      <w:r w:rsidRPr="690F3BC6">
        <w:rPr>
          <w:rFonts w:eastAsia="Times New Roman"/>
        </w:rPr>
        <w:t xml:space="preserve">. This quarter </w:t>
      </w:r>
      <w:r w:rsidR="186410BD" w:rsidRPr="690F3BC6">
        <w:rPr>
          <w:rFonts w:eastAsia="Times New Roman"/>
        </w:rPr>
        <w:t>is</w:t>
      </w:r>
      <w:r w:rsidRPr="690F3BC6">
        <w:rPr>
          <w:rFonts w:eastAsia="Times New Roman"/>
        </w:rPr>
        <w:t xml:space="preserve"> the first assessment quarter for patients and the start of the 12-month assessment period.</w:t>
      </w:r>
      <w:bookmarkEnd w:id="334"/>
    </w:p>
    <w:p w14:paraId="168ADE4B" w14:textId="3D311EDB" w:rsidR="332CE0C9" w:rsidRPr="00922830" w:rsidRDefault="332CE0C9" w:rsidP="00922830">
      <w:pPr>
        <w:spacing w:before="120" w:after="120" w:line="276" w:lineRule="auto"/>
        <w:rPr>
          <w:rFonts w:eastAsia="Times New Roman"/>
        </w:rPr>
      </w:pPr>
      <w:r w:rsidRPr="00922830">
        <w:rPr>
          <w:rFonts w:eastAsia="Times New Roman"/>
        </w:rPr>
        <w:t>If a patient moves to a new practice, even if the existing responsible provider also moves to the new practice, the 12-month care period for the patient resets to Quarter 1 and the patient is assessed as a new patient at that practice.</w:t>
      </w:r>
    </w:p>
    <w:p w14:paraId="5122646E" w14:textId="49BB20FE" w:rsidR="332CE0C9" w:rsidRPr="00922830" w:rsidRDefault="332CE0C9" w:rsidP="00922830">
      <w:pPr>
        <w:spacing w:before="120" w:after="120" w:line="276" w:lineRule="auto"/>
        <w:rPr>
          <w:rFonts w:eastAsia="Times New Roman"/>
        </w:rPr>
      </w:pPr>
      <w:r w:rsidRPr="00922830">
        <w:rPr>
          <w:rFonts w:eastAsia="Times New Roman"/>
        </w:rPr>
        <w:t>If a patient’s G</w:t>
      </w:r>
      <w:r w:rsidRPr="690F3BC6">
        <w:rPr>
          <w:rFonts w:eastAsia="Times New Roman"/>
        </w:rPr>
        <w:t>eneral Practice in Aged Care Incentive</w:t>
      </w:r>
      <w:r w:rsidRPr="00922830">
        <w:rPr>
          <w:rFonts w:eastAsia="Times New Roman"/>
        </w:rPr>
        <w:t xml:space="preserve"> registration is withdrawn for more than a full quarter, the 12-month care period for the patient resets to Quarter 1 and the patient is assessed as a new patient, even if they are registered with the same practice and the same Responsible Provider.</w:t>
      </w:r>
    </w:p>
    <w:p w14:paraId="1F3F60E1" w14:textId="448F52FC" w:rsidR="332CE0C9" w:rsidRPr="00922830" w:rsidRDefault="332CE0C9" w:rsidP="00922830">
      <w:pPr>
        <w:spacing w:before="120" w:after="120" w:line="276" w:lineRule="auto"/>
        <w:rPr>
          <w:rFonts w:eastAsia="Times New Roman"/>
        </w:rPr>
      </w:pPr>
      <w:r w:rsidRPr="00922830">
        <w:rPr>
          <w:rFonts w:eastAsia="Times New Roman"/>
        </w:rPr>
        <w:t>A change in Responsible Provider at the same practice does not reset the 12-month care period for the patient.</w:t>
      </w:r>
    </w:p>
    <w:p w14:paraId="6212DAEE" w14:textId="4E3F73CF" w:rsidR="4CB9F7B6" w:rsidRPr="00922830" w:rsidRDefault="52F7025F" w:rsidP="00922830">
      <w:pPr>
        <w:pStyle w:val="Heading3"/>
        <w:ind w:left="432" w:hanging="432"/>
      </w:pPr>
      <w:r w:rsidRPr="00922830">
        <w:t>Responsible Provider Services</w:t>
      </w:r>
    </w:p>
    <w:p w14:paraId="3111F57F" w14:textId="22EACFC7" w:rsidR="59E75E0B" w:rsidRPr="00922830" w:rsidRDefault="59E75E0B" w:rsidP="00922830">
      <w:pPr>
        <w:spacing w:before="120" w:after="120" w:line="276" w:lineRule="auto"/>
        <w:rPr>
          <w:rFonts w:eastAsia="Times New Roman"/>
        </w:rPr>
      </w:pPr>
      <w:r w:rsidRPr="00922830">
        <w:rPr>
          <w:rFonts w:eastAsia="Times New Roman"/>
        </w:rPr>
        <w:t>Eligible services are only considered as being delivered by a Responsible Provider while the provider is linked to the patient as the Responsible Provider.</w:t>
      </w:r>
    </w:p>
    <w:p w14:paraId="3D75E31A" w14:textId="734AB552" w:rsidR="690F3BC6" w:rsidRDefault="59E75E0B" w:rsidP="690F3BC6">
      <w:pPr>
        <w:spacing w:before="120" w:after="120" w:line="276" w:lineRule="auto"/>
        <w:rPr>
          <w:rFonts w:eastAsia="Times New Roman"/>
        </w:rPr>
      </w:pPr>
      <w:r w:rsidRPr="00922830">
        <w:rPr>
          <w:rFonts w:eastAsia="Times New Roman"/>
        </w:rPr>
        <w:lastRenderedPageBreak/>
        <w:t xml:space="preserve">If a provider delivers an eligible service before they are linked as the Responsible Provider, the service is assessed as being delivered by an alternate provider, not a </w:t>
      </w:r>
      <w:r w:rsidR="00F40A35" w:rsidRPr="00F40A35">
        <w:rPr>
          <w:rFonts w:eastAsia="Times New Roman"/>
        </w:rPr>
        <w:t>Responsible Provider</w:t>
      </w:r>
      <w:r w:rsidRPr="00922830">
        <w:rPr>
          <w:rFonts w:eastAsia="Times New Roman"/>
        </w:rPr>
        <w:t>.</w:t>
      </w:r>
    </w:p>
    <w:p w14:paraId="02325020" w14:textId="77777777" w:rsidR="00817CB4" w:rsidRPr="00407AD1" w:rsidRDefault="00817CB4" w:rsidP="00407AD1">
      <w:pPr>
        <w:pStyle w:val="Heading3"/>
      </w:pPr>
      <w:bookmarkStart w:id="335" w:name="_Toc166066957"/>
      <w:bookmarkStart w:id="336" w:name="_Toc166068373"/>
      <w:bookmarkStart w:id="337" w:name="_Toc166068585"/>
      <w:bookmarkStart w:id="338" w:name="_Toc166069544"/>
      <w:bookmarkStart w:id="339" w:name="_Toc166069591"/>
      <w:bookmarkStart w:id="340" w:name="_Toc166136607"/>
      <w:bookmarkStart w:id="341" w:name="_Toc170120026"/>
      <w:bookmarkStart w:id="342" w:name="_Toc172899510"/>
      <w:bookmarkStart w:id="343" w:name="_Toc172899583"/>
      <w:bookmarkStart w:id="344" w:name="_Toc170817167"/>
      <w:bookmarkEnd w:id="333"/>
      <w:r w:rsidRPr="00407AD1">
        <w:t>Assessment date</w:t>
      </w:r>
      <w:bookmarkEnd w:id="335"/>
      <w:bookmarkEnd w:id="336"/>
      <w:bookmarkEnd w:id="337"/>
      <w:bookmarkEnd w:id="338"/>
      <w:bookmarkEnd w:id="339"/>
      <w:bookmarkEnd w:id="340"/>
      <w:bookmarkEnd w:id="341"/>
      <w:bookmarkEnd w:id="342"/>
      <w:bookmarkEnd w:id="343"/>
      <w:bookmarkEnd w:id="344"/>
    </w:p>
    <w:p w14:paraId="5F38856F" w14:textId="066073A8" w:rsidR="00817CB4" w:rsidRPr="007F4BC4" w:rsidRDefault="00817CB4" w:rsidP="00817CB4">
      <w:pPr>
        <w:spacing w:before="120" w:after="120" w:line="276" w:lineRule="auto"/>
        <w:rPr>
          <w:rFonts w:eastAsia="Times New Roman"/>
        </w:rPr>
      </w:pPr>
      <w:r w:rsidRPr="007F4BC4">
        <w:rPr>
          <w:rFonts w:eastAsia="Times New Roman"/>
        </w:rPr>
        <w:t>Assessment of providers</w:t>
      </w:r>
      <w:r w:rsidR="009C662B">
        <w:rPr>
          <w:rFonts w:eastAsia="Times New Roman"/>
        </w:rPr>
        <w:t>’</w:t>
      </w:r>
      <w:r w:rsidRPr="007F4BC4">
        <w:rPr>
          <w:rFonts w:eastAsia="Times New Roman"/>
        </w:rPr>
        <w:t xml:space="preserve"> and practices</w:t>
      </w:r>
      <w:r w:rsidR="009C662B">
        <w:rPr>
          <w:rFonts w:eastAsia="Times New Roman"/>
        </w:rPr>
        <w:t>’</w:t>
      </w:r>
      <w:r w:rsidRPr="007F4BC4">
        <w:rPr>
          <w:rFonts w:eastAsia="Times New Roman"/>
        </w:rPr>
        <w:t xml:space="preserve"> eligibility for each assessment period </w:t>
      </w:r>
      <w:r w:rsidR="00262DE2">
        <w:rPr>
          <w:rFonts w:eastAsia="Times New Roman"/>
        </w:rPr>
        <w:t>is</w:t>
      </w:r>
      <w:r w:rsidRPr="007F4BC4">
        <w:rPr>
          <w:rFonts w:eastAsia="Times New Roman"/>
        </w:rPr>
        <w:t xml:space="preserve"> performed by Services Australia 5 business days after the end of the </w:t>
      </w:r>
      <w:r w:rsidR="000531B4">
        <w:rPr>
          <w:rFonts w:eastAsia="Times New Roman"/>
        </w:rPr>
        <w:t xml:space="preserve">quarterly </w:t>
      </w:r>
      <w:r w:rsidRPr="007F4BC4">
        <w:rPr>
          <w:rFonts w:eastAsia="Times New Roman"/>
        </w:rPr>
        <w:t xml:space="preserve">assessment period. Following the assessment, a Quality Assurance process </w:t>
      </w:r>
      <w:r w:rsidR="009C662B">
        <w:rPr>
          <w:rFonts w:eastAsia="Times New Roman"/>
        </w:rPr>
        <w:t>is</w:t>
      </w:r>
      <w:r w:rsidRPr="007F4BC4">
        <w:rPr>
          <w:rFonts w:eastAsia="Times New Roman"/>
        </w:rPr>
        <w:t xml:space="preserve"> undertaken prior to the approval and release of payments via the Reserve Bank of Australia.</w:t>
      </w:r>
    </w:p>
    <w:p w14:paraId="1663DACE" w14:textId="77777777" w:rsidR="00817CB4" w:rsidRPr="00407AD1" w:rsidRDefault="00817CB4" w:rsidP="00407AD1">
      <w:pPr>
        <w:pStyle w:val="Heading3"/>
      </w:pPr>
      <w:bookmarkStart w:id="345" w:name="_Toc166066958"/>
      <w:bookmarkStart w:id="346" w:name="_Toc166068374"/>
      <w:bookmarkStart w:id="347" w:name="_Toc166068586"/>
      <w:bookmarkStart w:id="348" w:name="_Toc166069545"/>
      <w:bookmarkStart w:id="349" w:name="_Toc166069592"/>
      <w:bookmarkStart w:id="350" w:name="_Toc166136608"/>
      <w:bookmarkStart w:id="351" w:name="_Toc167109450"/>
      <w:bookmarkStart w:id="352" w:name="_Toc170120027"/>
      <w:bookmarkStart w:id="353" w:name="_Toc172899511"/>
      <w:bookmarkStart w:id="354" w:name="_Toc172899584"/>
      <w:bookmarkStart w:id="355" w:name="_Toc170817168"/>
      <w:r w:rsidRPr="00407AD1">
        <w:t>Assessment approach</w:t>
      </w:r>
      <w:bookmarkEnd w:id="345"/>
      <w:bookmarkEnd w:id="346"/>
      <w:bookmarkEnd w:id="347"/>
      <w:bookmarkEnd w:id="348"/>
      <w:bookmarkEnd w:id="349"/>
      <w:bookmarkEnd w:id="350"/>
      <w:bookmarkEnd w:id="351"/>
      <w:bookmarkEnd w:id="352"/>
      <w:bookmarkEnd w:id="353"/>
      <w:bookmarkEnd w:id="354"/>
      <w:bookmarkEnd w:id="355"/>
    </w:p>
    <w:p w14:paraId="0FCDD566" w14:textId="1DA3D6CB" w:rsidR="00817CB4" w:rsidRPr="007F4BC4" w:rsidRDefault="00817CB4" w:rsidP="00817CB4">
      <w:pPr>
        <w:spacing w:before="120" w:after="120" w:line="276" w:lineRule="auto"/>
        <w:rPr>
          <w:rFonts w:eastAsia="Times New Roman"/>
        </w:rPr>
      </w:pPr>
      <w:r w:rsidRPr="48E88A4B">
        <w:rPr>
          <w:rFonts w:eastAsia="Times New Roman"/>
        </w:rPr>
        <w:t>The General Practice in Aged Care Incentive requires practices and providers to meet quarterly requirements to be eligible for incentive payments. Each patient assessment period may differ based on when they are registered with the General Practice in Aged Care Incentive</w:t>
      </w:r>
      <w:r w:rsidR="36B4E279" w:rsidRPr="48E88A4B">
        <w:rPr>
          <w:rFonts w:eastAsia="Times New Roman"/>
        </w:rPr>
        <w:t>.</w:t>
      </w:r>
      <w:r w:rsidRPr="48E88A4B">
        <w:rPr>
          <w:rFonts w:eastAsia="Times New Roman"/>
        </w:rPr>
        <w:t xml:space="preserve"> </w:t>
      </w:r>
      <w:r w:rsidR="27A3BE2A" w:rsidRPr="48E88A4B">
        <w:rPr>
          <w:rFonts w:eastAsia="Times New Roman"/>
        </w:rPr>
        <w:t>R</w:t>
      </w:r>
      <w:r w:rsidRPr="48E88A4B">
        <w:rPr>
          <w:rFonts w:eastAsia="Times New Roman"/>
        </w:rPr>
        <w:t>efer to overview of payment eligibility requirements per assessment period for more information.</w:t>
      </w:r>
    </w:p>
    <w:p w14:paraId="6680653F" w14:textId="0F6ABC4C" w:rsidR="00817CB4" w:rsidRPr="007F4BC4" w:rsidRDefault="00817CB4" w:rsidP="00817CB4">
      <w:pPr>
        <w:spacing w:before="120" w:after="120" w:line="276" w:lineRule="auto"/>
        <w:rPr>
          <w:rFonts w:eastAsia="Times New Roman"/>
        </w:rPr>
      </w:pPr>
      <w:r w:rsidRPr="007F4BC4">
        <w:rPr>
          <w:rFonts w:eastAsia="Times New Roman"/>
        </w:rPr>
        <w:t xml:space="preserve">Payments </w:t>
      </w:r>
      <w:r w:rsidR="00262DE2">
        <w:rPr>
          <w:rFonts w:eastAsia="Times New Roman"/>
        </w:rPr>
        <w:t>are</w:t>
      </w:r>
      <w:r w:rsidRPr="007F4BC4">
        <w:rPr>
          <w:rFonts w:eastAsia="Times New Roman"/>
        </w:rPr>
        <w:t xml:space="preserve"> assessed against the General Practice in Aged Care Incentive guidelines published at the time of assessment.</w:t>
      </w:r>
      <w:r w:rsidR="004F5E86">
        <w:rPr>
          <w:rFonts w:eastAsia="Times New Roman"/>
        </w:rPr>
        <w:t xml:space="preserve"> </w:t>
      </w:r>
    </w:p>
    <w:p w14:paraId="66B90EC1" w14:textId="32A02B7C" w:rsidR="00817CB4" w:rsidRPr="00407AD1" w:rsidRDefault="00817CB4" w:rsidP="00407AD1">
      <w:pPr>
        <w:pStyle w:val="Heading3"/>
      </w:pPr>
      <w:bookmarkStart w:id="356" w:name="_Toc166066959"/>
      <w:bookmarkStart w:id="357" w:name="_Toc166068375"/>
      <w:bookmarkStart w:id="358" w:name="_Toc166068587"/>
      <w:bookmarkStart w:id="359" w:name="_Toc166069546"/>
      <w:bookmarkStart w:id="360" w:name="_Toc166069593"/>
      <w:bookmarkStart w:id="361" w:name="_Toc166136609"/>
      <w:bookmarkStart w:id="362" w:name="_Toc167109451"/>
      <w:bookmarkStart w:id="363" w:name="_Toc170120028"/>
      <w:bookmarkStart w:id="364" w:name="_Toc172899512"/>
      <w:bookmarkStart w:id="365" w:name="_Toc172899585"/>
      <w:bookmarkStart w:id="366" w:name="_Toc170817169"/>
      <w:r w:rsidRPr="00407AD1">
        <w:t>Partial and pro-rat</w:t>
      </w:r>
      <w:r w:rsidR="003357EC">
        <w:t>a</w:t>
      </w:r>
      <w:r w:rsidRPr="00407AD1">
        <w:t xml:space="preserve"> payments</w:t>
      </w:r>
      <w:bookmarkEnd w:id="356"/>
      <w:bookmarkEnd w:id="357"/>
      <w:bookmarkEnd w:id="358"/>
      <w:bookmarkEnd w:id="359"/>
      <w:bookmarkEnd w:id="360"/>
      <w:bookmarkEnd w:id="361"/>
      <w:bookmarkEnd w:id="362"/>
      <w:bookmarkEnd w:id="363"/>
      <w:bookmarkEnd w:id="364"/>
      <w:bookmarkEnd w:id="365"/>
      <w:bookmarkEnd w:id="366"/>
    </w:p>
    <w:p w14:paraId="12476620" w14:textId="225906AB" w:rsidR="003357EC" w:rsidRPr="007F4BC4" w:rsidRDefault="00817CB4" w:rsidP="00817CB4">
      <w:pPr>
        <w:spacing w:before="120" w:after="120" w:line="276" w:lineRule="auto"/>
        <w:rPr>
          <w:rFonts w:eastAsia="Times New Roman"/>
        </w:rPr>
      </w:pPr>
      <w:bookmarkStart w:id="367" w:name="_Hlk165581112"/>
      <w:r w:rsidRPr="48E88A4B">
        <w:rPr>
          <w:rFonts w:eastAsia="Times New Roman"/>
        </w:rPr>
        <w:t xml:space="preserve">Practices and providers </w:t>
      </w:r>
      <w:r w:rsidR="00806DE7">
        <w:rPr>
          <w:rFonts w:eastAsia="Times New Roman"/>
        </w:rPr>
        <w:t>are</w:t>
      </w:r>
      <w:r w:rsidR="00806DE7" w:rsidRPr="48E88A4B">
        <w:rPr>
          <w:rFonts w:eastAsia="Times New Roman"/>
        </w:rPr>
        <w:t xml:space="preserve"> </w:t>
      </w:r>
      <w:r w:rsidRPr="48E88A4B">
        <w:rPr>
          <w:rFonts w:eastAsia="Times New Roman"/>
        </w:rPr>
        <w:t>not eligible for partial or pro-rat</w:t>
      </w:r>
      <w:r w:rsidR="65FC33C2" w:rsidRPr="48E88A4B">
        <w:rPr>
          <w:rFonts w:eastAsia="Times New Roman"/>
        </w:rPr>
        <w:t>a</w:t>
      </w:r>
      <w:r w:rsidRPr="48E88A4B">
        <w:rPr>
          <w:rFonts w:eastAsia="Times New Roman"/>
        </w:rPr>
        <w:t xml:space="preserve"> payments if servicing requirements are not met.</w:t>
      </w:r>
    </w:p>
    <w:p w14:paraId="6A8D9424" w14:textId="4C618B90" w:rsidR="00817CB4" w:rsidRPr="00407AD1" w:rsidRDefault="00817CB4" w:rsidP="00407AD1">
      <w:pPr>
        <w:pStyle w:val="Heading3"/>
      </w:pPr>
      <w:bookmarkStart w:id="368" w:name="_Toc166066960"/>
      <w:bookmarkStart w:id="369" w:name="_Toc166068376"/>
      <w:bookmarkStart w:id="370" w:name="_Toc166068588"/>
      <w:bookmarkStart w:id="371" w:name="_Toc166069547"/>
      <w:bookmarkStart w:id="372" w:name="_Toc166069594"/>
      <w:bookmarkStart w:id="373" w:name="_Toc166136610"/>
      <w:bookmarkStart w:id="374" w:name="_Toc170120029"/>
      <w:bookmarkStart w:id="375" w:name="_Toc172899513"/>
      <w:bookmarkStart w:id="376" w:name="_Toc172899586"/>
      <w:bookmarkStart w:id="377" w:name="_Toc170817170"/>
      <w:r w:rsidRPr="00407AD1">
        <w:t xml:space="preserve">Payment when </w:t>
      </w:r>
      <w:r w:rsidR="0053585A">
        <w:t xml:space="preserve">a </w:t>
      </w:r>
      <w:r w:rsidR="003357EC">
        <w:t>patient</w:t>
      </w:r>
      <w:r w:rsidRPr="00407AD1">
        <w:t xml:space="preserve"> changes</w:t>
      </w:r>
      <w:bookmarkEnd w:id="368"/>
      <w:bookmarkEnd w:id="369"/>
      <w:bookmarkEnd w:id="370"/>
      <w:bookmarkEnd w:id="371"/>
      <w:bookmarkEnd w:id="372"/>
      <w:bookmarkEnd w:id="373"/>
      <w:r w:rsidRPr="00407AD1">
        <w:t xml:space="preserve"> </w:t>
      </w:r>
      <w:r w:rsidR="003357EC">
        <w:t xml:space="preserve">Responsible Provider </w:t>
      </w:r>
      <w:r w:rsidRPr="00407AD1">
        <w:t>at the same practice</w:t>
      </w:r>
      <w:bookmarkEnd w:id="374"/>
      <w:bookmarkEnd w:id="375"/>
      <w:bookmarkEnd w:id="376"/>
      <w:bookmarkEnd w:id="377"/>
    </w:p>
    <w:p w14:paraId="547909BC" w14:textId="424E1659" w:rsidR="00817CB4" w:rsidRPr="007F4BC4" w:rsidRDefault="00817CB4" w:rsidP="00817CB4">
      <w:pPr>
        <w:spacing w:before="120" w:after="120" w:line="276" w:lineRule="auto"/>
        <w:rPr>
          <w:rFonts w:eastAsia="Times New Roman"/>
        </w:rPr>
      </w:pPr>
      <w:r w:rsidRPr="007F4BC4">
        <w:rPr>
          <w:rFonts w:eastAsia="Times New Roman"/>
        </w:rPr>
        <w:t xml:space="preserve">If there is a change in </w:t>
      </w:r>
      <w:r>
        <w:rPr>
          <w:rFonts w:eastAsia="Times New Roman"/>
        </w:rPr>
        <w:t>R</w:t>
      </w:r>
      <w:r w:rsidRPr="007F4BC4">
        <w:rPr>
          <w:rFonts w:eastAsia="Times New Roman"/>
        </w:rPr>
        <w:t xml:space="preserve">esponsible </w:t>
      </w:r>
      <w:r>
        <w:rPr>
          <w:rFonts w:eastAsia="Times New Roman"/>
        </w:rPr>
        <w:t>P</w:t>
      </w:r>
      <w:r w:rsidRPr="007F4BC4">
        <w:rPr>
          <w:rFonts w:eastAsia="Times New Roman"/>
        </w:rPr>
        <w:t>rovider for an individual patient part way through the quarter, in some circumstances payment may be apportioned between providers as a 50:50 ratio.</w:t>
      </w:r>
    </w:p>
    <w:p w14:paraId="438D9F29" w14:textId="7C52A7ED" w:rsidR="003357EC" w:rsidRPr="00922830" w:rsidDel="0053585A" w:rsidRDefault="6F20E253" w:rsidP="00C55709">
      <w:pPr>
        <w:spacing w:before="120" w:after="120" w:line="276" w:lineRule="auto"/>
        <w:rPr>
          <w:rFonts w:eastAsia="Times New Roman"/>
        </w:rPr>
      </w:pPr>
      <w:bookmarkStart w:id="378" w:name="_Hlk167964042"/>
      <w:r w:rsidRPr="2F031D07">
        <w:rPr>
          <w:rFonts w:eastAsia="Times New Roman"/>
        </w:rPr>
        <w:t xml:space="preserve">The division of payment </w:t>
      </w:r>
      <w:r w:rsidR="0D758223" w:rsidRPr="2F031D07">
        <w:rPr>
          <w:rFonts w:eastAsia="Times New Roman"/>
        </w:rPr>
        <w:t>is</w:t>
      </w:r>
      <w:r w:rsidRPr="2F031D07">
        <w:rPr>
          <w:rFonts w:eastAsia="Times New Roman"/>
        </w:rPr>
        <w:t xml:space="preserve"> determined </w:t>
      </w:r>
      <w:r w:rsidR="36624C04" w:rsidRPr="2F031D07">
        <w:rPr>
          <w:rFonts w:eastAsia="Times New Roman"/>
        </w:rPr>
        <w:t>by</w:t>
      </w:r>
      <w:r w:rsidRPr="2F031D07">
        <w:rPr>
          <w:rFonts w:eastAsia="Times New Roman"/>
        </w:rPr>
        <w:t xml:space="preserve"> which Responsible Provider or care team delivered the</w:t>
      </w:r>
      <w:r w:rsidR="236FB3B4" w:rsidRPr="2F031D07">
        <w:rPr>
          <w:rFonts w:eastAsia="Times New Roman"/>
        </w:rPr>
        <w:t xml:space="preserve"> first</w:t>
      </w:r>
      <w:r w:rsidRPr="2F031D07">
        <w:rPr>
          <w:rFonts w:eastAsia="Times New Roman"/>
        </w:rPr>
        <w:t xml:space="preserve"> 2 eligible regular </w:t>
      </w:r>
      <w:r w:rsidR="236FB3B4" w:rsidRPr="2F031D07">
        <w:rPr>
          <w:rFonts w:eastAsia="Times New Roman"/>
        </w:rPr>
        <w:t>services</w:t>
      </w:r>
      <w:r w:rsidRPr="2F031D07">
        <w:rPr>
          <w:rFonts w:eastAsia="Times New Roman"/>
        </w:rPr>
        <w:t xml:space="preserve"> </w:t>
      </w:r>
      <w:r w:rsidR="236FB3B4" w:rsidRPr="2F031D07">
        <w:rPr>
          <w:rFonts w:eastAsia="Times New Roman"/>
        </w:rPr>
        <w:t xml:space="preserve">(i.e. eligible MBS/DVA service items, in separate calendar months) </w:t>
      </w:r>
      <w:r w:rsidRPr="2F031D07">
        <w:rPr>
          <w:rFonts w:eastAsia="Times New Roman"/>
        </w:rPr>
        <w:t>within the quarter. This may result in 100% payment to one provider or 50% payment to 2 providers for that quarter only.</w:t>
      </w:r>
    </w:p>
    <w:p w14:paraId="6A77453F" w14:textId="7EF29541" w:rsidR="4F00F907" w:rsidRPr="00902018" w:rsidRDefault="1C674926" w:rsidP="00922830">
      <w:pPr>
        <w:pStyle w:val="Heading3"/>
        <w:ind w:left="432" w:hanging="432"/>
      </w:pPr>
      <w:r>
        <w:t xml:space="preserve"> </w:t>
      </w:r>
      <w:r w:rsidR="4F00F907" w:rsidRPr="00922830">
        <w:t>Payment when a patient changes practice</w:t>
      </w:r>
    </w:p>
    <w:p w14:paraId="08F79FB9" w14:textId="0A011AA0" w:rsidR="4F00F907" w:rsidRPr="00922830" w:rsidRDefault="4F00F907" w:rsidP="00922830">
      <w:pPr>
        <w:spacing w:before="120" w:after="120" w:line="276" w:lineRule="auto"/>
        <w:rPr>
          <w:rFonts w:eastAsia="Arial" w:cs="Arial"/>
        </w:rPr>
      </w:pPr>
      <w:r w:rsidRPr="00922830">
        <w:rPr>
          <w:rFonts w:eastAsia="Arial" w:cs="Arial"/>
        </w:rPr>
        <w:t xml:space="preserve">If a </w:t>
      </w:r>
      <w:r w:rsidR="00EE0551">
        <w:rPr>
          <w:rFonts w:eastAsia="Arial" w:cs="Arial"/>
        </w:rPr>
        <w:t>General Practice in Aged Care Incentive</w:t>
      </w:r>
      <w:r w:rsidRPr="00922830">
        <w:rPr>
          <w:rFonts w:eastAsia="Arial" w:cs="Arial"/>
        </w:rPr>
        <w:t xml:space="preserve"> registered patient moves to a new practice, at the end of the assessment period</w:t>
      </w:r>
      <w:r w:rsidR="65A30CA4" w:rsidRPr="00922830">
        <w:rPr>
          <w:rFonts w:eastAsia="Arial" w:cs="Arial"/>
        </w:rPr>
        <w:t xml:space="preserve">, </w:t>
      </w:r>
      <w:r w:rsidRPr="00922830">
        <w:rPr>
          <w:rFonts w:eastAsia="Arial" w:cs="Arial"/>
        </w:rPr>
        <w:t xml:space="preserve">the old practice and responsible provider(s): </w:t>
      </w:r>
    </w:p>
    <w:p w14:paraId="240872DE" w14:textId="03966FE9" w:rsidR="4F00F907" w:rsidRPr="00922830" w:rsidRDefault="4F00F907" w:rsidP="00922830">
      <w:pPr>
        <w:pStyle w:val="ListParagraph"/>
        <w:numPr>
          <w:ilvl w:val="0"/>
          <w:numId w:val="2"/>
        </w:numPr>
        <w:spacing w:before="120" w:after="120" w:line="276" w:lineRule="auto"/>
        <w:rPr>
          <w:rFonts w:ascii="Arial" w:eastAsia="Arial" w:hAnsi="Arial" w:cs="Arial"/>
        </w:rPr>
      </w:pPr>
      <w:r w:rsidRPr="00922830">
        <w:rPr>
          <w:rFonts w:ascii="Arial" w:eastAsia="Arial" w:hAnsi="Arial" w:cs="Arial"/>
        </w:rPr>
        <w:t xml:space="preserve">are assessed on whether they met the eligibility and servicing requirements before the patient moved; and </w:t>
      </w:r>
    </w:p>
    <w:p w14:paraId="4E2E2CAF" w14:textId="67671DF3" w:rsidR="4F00F907" w:rsidRPr="00922830" w:rsidRDefault="4F00F907" w:rsidP="00922830">
      <w:pPr>
        <w:pStyle w:val="ListParagraph"/>
        <w:numPr>
          <w:ilvl w:val="0"/>
          <w:numId w:val="2"/>
        </w:numPr>
        <w:spacing w:before="120" w:after="120" w:line="276" w:lineRule="auto"/>
        <w:rPr>
          <w:rFonts w:ascii="Arial" w:eastAsia="Arial" w:hAnsi="Arial" w:cs="Arial"/>
        </w:rPr>
      </w:pPr>
      <w:r w:rsidRPr="00922830">
        <w:rPr>
          <w:rFonts w:ascii="Arial" w:eastAsia="Arial" w:hAnsi="Arial" w:cs="Arial"/>
        </w:rPr>
        <w:t xml:space="preserve">receive a </w:t>
      </w:r>
      <w:r w:rsidR="00EE0551">
        <w:rPr>
          <w:rFonts w:ascii="Arial" w:eastAsia="Arial" w:hAnsi="Arial" w:cs="Arial"/>
        </w:rPr>
        <w:t>General Practice in Aged Care Incentive</w:t>
      </w:r>
      <w:r w:rsidRPr="00922830">
        <w:rPr>
          <w:rFonts w:ascii="Arial" w:eastAsia="Arial" w:hAnsi="Arial" w:cs="Arial"/>
        </w:rPr>
        <w:t xml:space="preserve"> payment, if eligible. </w:t>
      </w:r>
    </w:p>
    <w:p w14:paraId="4749D8E5" w14:textId="3B6DE5DF" w:rsidR="6BC5CC54" w:rsidRPr="00922830" w:rsidRDefault="6BC5CC54" w:rsidP="00922830">
      <w:pPr>
        <w:spacing w:before="120" w:after="120" w:line="276" w:lineRule="auto"/>
        <w:rPr>
          <w:rFonts w:eastAsia="Arial" w:cs="Arial"/>
        </w:rPr>
      </w:pPr>
      <w:r w:rsidRPr="00922830">
        <w:rPr>
          <w:rFonts w:eastAsia="Arial" w:cs="Arial"/>
        </w:rPr>
        <w:t>T</w:t>
      </w:r>
      <w:r w:rsidR="4F00F907" w:rsidRPr="00922830">
        <w:rPr>
          <w:rFonts w:eastAsia="Arial" w:cs="Arial"/>
        </w:rPr>
        <w:t>he new practice and responsible provider(s):</w:t>
      </w:r>
    </w:p>
    <w:p w14:paraId="3ACECC26" w14:textId="79F4EB76" w:rsidR="4F00F907" w:rsidRPr="00922830" w:rsidRDefault="4F00F907" w:rsidP="00922830">
      <w:pPr>
        <w:pStyle w:val="ListParagraph"/>
        <w:numPr>
          <w:ilvl w:val="0"/>
          <w:numId w:val="1"/>
        </w:numPr>
        <w:spacing w:before="120" w:after="120" w:line="276" w:lineRule="auto"/>
        <w:rPr>
          <w:rFonts w:ascii="Arial" w:eastAsia="Arial" w:hAnsi="Arial" w:cs="Arial"/>
        </w:rPr>
      </w:pPr>
      <w:r w:rsidRPr="00922830">
        <w:rPr>
          <w:rFonts w:ascii="Arial" w:eastAsia="Arial" w:hAnsi="Arial" w:cs="Arial"/>
        </w:rPr>
        <w:t xml:space="preserve">are assessed on whether they met the eligibility and servicing requirements after the patient was registered for </w:t>
      </w:r>
      <w:r w:rsidR="00EE0551">
        <w:rPr>
          <w:rFonts w:ascii="Arial" w:eastAsia="Arial" w:hAnsi="Arial" w:cs="Arial"/>
        </w:rPr>
        <w:t>the General Practice in Aged Care Incentive</w:t>
      </w:r>
      <w:r w:rsidRPr="00922830">
        <w:rPr>
          <w:rFonts w:ascii="Arial" w:eastAsia="Arial" w:hAnsi="Arial" w:cs="Arial"/>
        </w:rPr>
        <w:t xml:space="preserve"> with the new practice; and</w:t>
      </w:r>
    </w:p>
    <w:p w14:paraId="43B6F583" w14:textId="5B6DF2E6" w:rsidR="4F00F907" w:rsidRPr="00922830" w:rsidRDefault="4F00F907" w:rsidP="00922830">
      <w:pPr>
        <w:pStyle w:val="ListParagraph"/>
        <w:numPr>
          <w:ilvl w:val="0"/>
          <w:numId w:val="1"/>
        </w:numPr>
        <w:spacing w:before="120" w:after="120" w:line="276" w:lineRule="auto"/>
        <w:rPr>
          <w:rFonts w:ascii="Arial" w:eastAsia="Arial" w:hAnsi="Arial" w:cs="Arial"/>
        </w:rPr>
      </w:pPr>
      <w:r w:rsidRPr="00922830">
        <w:rPr>
          <w:rFonts w:ascii="Arial" w:eastAsia="Arial" w:hAnsi="Arial" w:cs="Arial"/>
        </w:rPr>
        <w:t xml:space="preserve">receive a </w:t>
      </w:r>
      <w:r w:rsidR="00EE0551">
        <w:rPr>
          <w:rFonts w:ascii="Arial" w:eastAsia="Arial" w:hAnsi="Arial" w:cs="Arial"/>
        </w:rPr>
        <w:t>General Practice in Aged Care Incentiv</w:t>
      </w:r>
      <w:r w:rsidR="00922830">
        <w:rPr>
          <w:rFonts w:ascii="Arial" w:eastAsia="Arial" w:hAnsi="Arial" w:cs="Arial"/>
        </w:rPr>
        <w:t>e</w:t>
      </w:r>
      <w:r w:rsidRPr="00922830">
        <w:rPr>
          <w:rFonts w:ascii="Arial" w:eastAsia="Arial" w:hAnsi="Arial" w:cs="Arial"/>
        </w:rPr>
        <w:t xml:space="preserve"> payment, if eligible.</w:t>
      </w:r>
    </w:p>
    <w:p w14:paraId="775BFA6F" w14:textId="77777777" w:rsidR="00817CB4" w:rsidRPr="001F7637" w:rsidRDefault="758819B6" w:rsidP="001F7637">
      <w:pPr>
        <w:pStyle w:val="Heading2"/>
      </w:pPr>
      <w:bookmarkStart w:id="379" w:name="_Toc166066961"/>
      <w:bookmarkStart w:id="380" w:name="_Toc166068377"/>
      <w:bookmarkStart w:id="381" w:name="_Toc166068589"/>
      <w:bookmarkStart w:id="382" w:name="_Toc166069548"/>
      <w:bookmarkStart w:id="383" w:name="_Toc166069595"/>
      <w:bookmarkStart w:id="384" w:name="_Toc166136611"/>
      <w:bookmarkStart w:id="385" w:name="_Toc167109452"/>
      <w:bookmarkStart w:id="386" w:name="_Toc170120030"/>
      <w:bookmarkStart w:id="387" w:name="_Toc170817171"/>
      <w:bookmarkStart w:id="388" w:name="_Toc182311175"/>
      <w:bookmarkEnd w:id="378"/>
      <w:r>
        <w:lastRenderedPageBreak/>
        <w:t>Payment periods</w:t>
      </w:r>
      <w:bookmarkEnd w:id="379"/>
      <w:bookmarkEnd w:id="380"/>
      <w:bookmarkEnd w:id="381"/>
      <w:bookmarkEnd w:id="382"/>
      <w:bookmarkEnd w:id="383"/>
      <w:bookmarkEnd w:id="384"/>
      <w:bookmarkEnd w:id="385"/>
      <w:bookmarkEnd w:id="386"/>
      <w:bookmarkEnd w:id="387"/>
      <w:bookmarkEnd w:id="388"/>
    </w:p>
    <w:p w14:paraId="1EA364A5" w14:textId="67404538" w:rsidR="00817CB4" w:rsidRPr="007F4BC4" w:rsidRDefault="00817CB4" w:rsidP="00817CB4">
      <w:pPr>
        <w:spacing w:before="120" w:after="120" w:line="276" w:lineRule="auto"/>
        <w:rPr>
          <w:rFonts w:eastAsia="Times New Roman"/>
        </w:rPr>
      </w:pPr>
      <w:r w:rsidRPr="007F4BC4">
        <w:rPr>
          <w:rFonts w:eastAsia="Times New Roman"/>
        </w:rPr>
        <w:t xml:space="preserve">Incentive payments </w:t>
      </w:r>
      <w:r w:rsidR="00262DE2">
        <w:rPr>
          <w:rFonts w:eastAsia="Times New Roman"/>
        </w:rPr>
        <w:t>are</w:t>
      </w:r>
      <w:r w:rsidRPr="007F4BC4">
        <w:rPr>
          <w:rFonts w:eastAsia="Times New Roman"/>
        </w:rPr>
        <w:t xml:space="preserve"> made within the month following the end of the assessment period.</w:t>
      </w:r>
    </w:p>
    <w:p w14:paraId="7D58CC34" w14:textId="77777777" w:rsidR="00817CB4" w:rsidRPr="00407AD1" w:rsidRDefault="00817CB4" w:rsidP="00407AD1">
      <w:pPr>
        <w:pStyle w:val="Heading3"/>
      </w:pPr>
      <w:bookmarkStart w:id="389" w:name="_Toc166066962"/>
      <w:bookmarkStart w:id="390" w:name="_Toc166068378"/>
      <w:bookmarkStart w:id="391" w:name="_Toc166068590"/>
      <w:bookmarkStart w:id="392" w:name="_Toc166069549"/>
      <w:bookmarkStart w:id="393" w:name="_Toc166069596"/>
      <w:bookmarkStart w:id="394" w:name="_Toc166136612"/>
      <w:bookmarkStart w:id="395" w:name="_Toc170120031"/>
      <w:bookmarkStart w:id="396" w:name="_Toc172899515"/>
      <w:bookmarkStart w:id="397" w:name="_Toc172899588"/>
      <w:bookmarkStart w:id="398" w:name="_Toc170817172"/>
      <w:r w:rsidRPr="00407AD1">
        <w:t>Retrospective claiming periods</w:t>
      </w:r>
      <w:bookmarkEnd w:id="389"/>
      <w:bookmarkEnd w:id="390"/>
      <w:bookmarkEnd w:id="391"/>
      <w:bookmarkEnd w:id="392"/>
      <w:bookmarkEnd w:id="393"/>
      <w:bookmarkEnd w:id="394"/>
      <w:bookmarkEnd w:id="395"/>
      <w:bookmarkEnd w:id="396"/>
      <w:bookmarkEnd w:id="397"/>
      <w:bookmarkEnd w:id="398"/>
    </w:p>
    <w:p w14:paraId="529EE4EB" w14:textId="27AC6F2E" w:rsidR="00817CB4" w:rsidRPr="007F4BC4" w:rsidRDefault="6F20E253" w:rsidP="00817CB4">
      <w:pPr>
        <w:spacing w:before="120" w:after="120" w:line="276" w:lineRule="auto"/>
        <w:rPr>
          <w:rFonts w:eastAsia="Times New Roman"/>
        </w:rPr>
      </w:pPr>
      <w:r w:rsidRPr="690F3BC6">
        <w:rPr>
          <w:rFonts w:eastAsia="Times New Roman"/>
        </w:rPr>
        <w:t>With each quarterly assessment, the previous 3 quarters are also re</w:t>
      </w:r>
      <w:r w:rsidR="62E90BB0" w:rsidRPr="690F3BC6">
        <w:rPr>
          <w:rFonts w:eastAsia="Times New Roman"/>
        </w:rPr>
        <w:t>-</w:t>
      </w:r>
      <w:r w:rsidRPr="690F3BC6">
        <w:rPr>
          <w:rFonts w:eastAsia="Times New Roman"/>
        </w:rPr>
        <w:t>assessed where the system identifies that:</w:t>
      </w:r>
    </w:p>
    <w:p w14:paraId="34C0F94B" w14:textId="0912ECCC" w:rsidR="00817CB4" w:rsidRPr="002D330A" w:rsidRDefault="6F20E253" w:rsidP="690F3BC6">
      <w:pPr>
        <w:pStyle w:val="ListBullet"/>
        <w:tabs>
          <w:tab w:val="clear" w:pos="360"/>
          <w:tab w:val="left" w:pos="340"/>
          <w:tab w:val="left" w:pos="680"/>
        </w:tabs>
        <w:spacing w:before="60" w:after="60" w:line="276" w:lineRule="auto"/>
      </w:pPr>
      <w:r>
        <w:t xml:space="preserve">changes have been made to </w:t>
      </w:r>
      <w:r w:rsidR="62E90BB0">
        <w:t xml:space="preserve">a patient’s </w:t>
      </w:r>
      <w:r>
        <w:t>circumstance</w:t>
      </w:r>
      <w:r w:rsidR="62E90BB0">
        <w:t>s</w:t>
      </w:r>
      <w:r>
        <w:t>, for example a patient has been retrospectively included in the General Practice in Aged Care Incentive</w:t>
      </w:r>
    </w:p>
    <w:p w14:paraId="6A2877A1"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changes have been made to service items claimed, for example the service was claimed against the incorrect patient or the incorrect MBS/DVA item number was used.</w:t>
      </w:r>
    </w:p>
    <w:p w14:paraId="2D823CF9"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late claims for services delivered have been submitted to Medicare after the end of the relevant quarter.</w:t>
      </w:r>
    </w:p>
    <w:p w14:paraId="7869DBFE"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pPr>
      <w:r w:rsidRPr="002D330A">
        <w:t>fraudulent claims have been detected.</w:t>
      </w:r>
    </w:p>
    <w:p w14:paraId="1029A0AE" w14:textId="427FB326" w:rsidR="00817CB4" w:rsidRPr="007F4BC4" w:rsidRDefault="00817CB4" w:rsidP="4F1CAE69">
      <w:pPr>
        <w:spacing w:before="120" w:after="120" w:line="276" w:lineRule="auto"/>
        <w:rPr>
          <w:rFonts w:eastAsia="Times New Roman"/>
        </w:rPr>
      </w:pPr>
      <w:r w:rsidRPr="69119CEE">
        <w:rPr>
          <w:rFonts w:eastAsia="Times New Roman"/>
        </w:rPr>
        <w:t>During a retrospective assessment, practices and providers may be assessed as having an underpayment or an overpayment for the relevant assessment period and will receive an additional payment or a request to recover the payment.</w:t>
      </w:r>
    </w:p>
    <w:p w14:paraId="2CCC2666" w14:textId="28809F54" w:rsidR="6F20E253" w:rsidRPr="00922830" w:rsidRDefault="758819B6" w:rsidP="00922830">
      <w:pPr>
        <w:pStyle w:val="Heading2"/>
      </w:pPr>
      <w:bookmarkStart w:id="399" w:name="_Toc166066963"/>
      <w:bookmarkStart w:id="400" w:name="_Toc166068379"/>
      <w:bookmarkStart w:id="401" w:name="_Toc166068591"/>
      <w:bookmarkStart w:id="402" w:name="_Toc166069550"/>
      <w:bookmarkStart w:id="403" w:name="_Toc166069597"/>
      <w:bookmarkStart w:id="404" w:name="_Toc166136613"/>
      <w:bookmarkStart w:id="405" w:name="_Toc167109453"/>
      <w:bookmarkStart w:id="406" w:name="_Toc170120032"/>
      <w:bookmarkStart w:id="407" w:name="_Toc170817173"/>
      <w:bookmarkStart w:id="408" w:name="_Toc182311176"/>
      <w:bookmarkEnd w:id="367"/>
      <w:r>
        <w:t>Payment delivery</w:t>
      </w:r>
      <w:bookmarkEnd w:id="399"/>
      <w:bookmarkEnd w:id="400"/>
      <w:bookmarkEnd w:id="401"/>
      <w:bookmarkEnd w:id="402"/>
      <w:bookmarkEnd w:id="403"/>
      <w:bookmarkEnd w:id="404"/>
      <w:bookmarkEnd w:id="405"/>
      <w:bookmarkEnd w:id="406"/>
      <w:bookmarkEnd w:id="407"/>
      <w:bookmarkEnd w:id="408"/>
    </w:p>
    <w:p w14:paraId="0E484E34" w14:textId="40B48143" w:rsidR="30F5C24D" w:rsidRPr="00AB16B8" w:rsidRDefault="30F5C24D" w:rsidP="690F3BC6">
      <w:pPr>
        <w:shd w:val="clear" w:color="auto" w:fill="FFFFFF" w:themeFill="background1"/>
        <w:spacing w:before="0" w:after="0"/>
        <w:rPr>
          <w:rFonts w:eastAsia="Times New Roman" w:cs="Arial"/>
        </w:rPr>
      </w:pPr>
      <w:r w:rsidRPr="00AB16B8">
        <w:rPr>
          <w:rFonts w:cs="Arial"/>
          <w:szCs w:val="22"/>
        </w:rPr>
        <w:t>Payments are administered electronically by Services Australia. Payment advice is sent via HPOS after each payment.</w:t>
      </w:r>
    </w:p>
    <w:p w14:paraId="4B9680DD" w14:textId="240C5612" w:rsidR="690F3BC6" w:rsidRPr="00922830" w:rsidRDefault="30F5C24D" w:rsidP="00DA5604">
      <w:r w:rsidRPr="00AB16B8">
        <w:t>To receive G</w:t>
      </w:r>
      <w:r w:rsidR="00EE0551">
        <w:t>eneral Practice in Aged Care Incentive</w:t>
      </w:r>
      <w:r w:rsidRPr="00AB16B8">
        <w:t xml:space="preserve"> payments, practices must nominate a bank account for MyMedicare in the Organisation Register. Practices must also nominate a bank account for MyMedicare in HPOS. If a provider delivers services across multiple locations, they must nominate a MyMedicare bank account for each location via their individual HPOS account.</w:t>
      </w:r>
    </w:p>
    <w:p w14:paraId="1B135D69" w14:textId="01DC69FB" w:rsidR="00817CB4" w:rsidRPr="007F4BC4" w:rsidRDefault="6F20E253" w:rsidP="00574127">
      <w:bookmarkStart w:id="409" w:name="_Hlk167964265"/>
      <w:r>
        <w:t xml:space="preserve">The practice or provider </w:t>
      </w:r>
      <w:r w:rsidR="0D758223">
        <w:t>is</w:t>
      </w:r>
      <w:r>
        <w:t xml:space="preserve"> notified via HPOS if a payment fails due to missing or incorrect bank account </w:t>
      </w:r>
      <w:r w:rsidR="0064371C">
        <w:t>details and</w:t>
      </w:r>
      <w:r>
        <w:t xml:space="preserve"> </w:t>
      </w:r>
      <w:r w:rsidR="0D758223">
        <w:t>is</w:t>
      </w:r>
      <w:r>
        <w:t xml:space="preserve"> required to update this information to receive payment.  </w:t>
      </w:r>
    </w:p>
    <w:p w14:paraId="50F336D2" w14:textId="77777777" w:rsidR="00817CB4" w:rsidRPr="001F7637" w:rsidRDefault="758819B6" w:rsidP="00407AD1">
      <w:pPr>
        <w:pStyle w:val="Heading1"/>
      </w:pPr>
      <w:bookmarkStart w:id="410" w:name="_Toc170120033"/>
      <w:bookmarkStart w:id="411" w:name="_Toc170817174"/>
      <w:bookmarkStart w:id="412" w:name="_Toc182311177"/>
      <w:bookmarkEnd w:id="409"/>
      <w:r>
        <w:t>Review of Decision</w:t>
      </w:r>
      <w:bookmarkEnd w:id="410"/>
      <w:bookmarkEnd w:id="411"/>
      <w:bookmarkEnd w:id="412"/>
    </w:p>
    <w:p w14:paraId="1D8B008A" w14:textId="3159D586" w:rsidR="00817CB4" w:rsidRPr="007F4BC4" w:rsidRDefault="00817CB4" w:rsidP="00574127">
      <w:bookmarkStart w:id="413" w:name="_Hlk167964357"/>
      <w:bookmarkStart w:id="414" w:name="_Hlk165581449"/>
      <w:r w:rsidRPr="007F4BC4">
        <w:t>Practice</w:t>
      </w:r>
      <w:r w:rsidR="7400F3FA">
        <w:t>s</w:t>
      </w:r>
      <w:r w:rsidRPr="007F4BC4">
        <w:t xml:space="preserve"> and </w:t>
      </w:r>
      <w:r w:rsidR="6C676D6E">
        <w:t>p</w:t>
      </w:r>
      <w:r w:rsidRPr="007F4BC4">
        <w:t>roviders can seek a</w:t>
      </w:r>
      <w:r>
        <w:t xml:space="preserve"> </w:t>
      </w:r>
      <w:r w:rsidRPr="00A0203D">
        <w:t>Review of Decision</w:t>
      </w:r>
      <w:r w:rsidRPr="007F4BC4">
        <w:t xml:space="preserve"> </w:t>
      </w:r>
      <w:r>
        <w:t>(</w:t>
      </w:r>
      <w:r w:rsidRPr="007F4BC4">
        <w:t>RoD</w:t>
      </w:r>
      <w:r>
        <w:t>)</w:t>
      </w:r>
      <w:r w:rsidRPr="007F4BC4">
        <w:t xml:space="preserve"> relat</w:t>
      </w:r>
      <w:r w:rsidR="009832F1">
        <w:t>ing</w:t>
      </w:r>
      <w:r w:rsidRPr="007F4BC4">
        <w:t xml:space="preserve"> to General Practice in Aged Care Incentive</w:t>
      </w:r>
      <w:r w:rsidRPr="007F4BC4" w:rsidDel="00174732">
        <w:t xml:space="preserve"> </w:t>
      </w:r>
      <w:r w:rsidRPr="007F4BC4">
        <w:t xml:space="preserve">payments and assessments. </w:t>
      </w:r>
      <w:bookmarkStart w:id="415" w:name="_Hlk167964507"/>
      <w:r w:rsidRPr="007F4BC4">
        <w:t xml:space="preserve">To seek a review, the provider or authorised contact person/owner(s) of the practice must </w:t>
      </w:r>
      <w:r w:rsidR="00085E8E">
        <w:t xml:space="preserve">provide Services Australia with a </w:t>
      </w:r>
      <w:r w:rsidRPr="007F4BC4">
        <w:t>complete</w:t>
      </w:r>
      <w:r w:rsidR="00085E8E">
        <w:t>d</w:t>
      </w:r>
      <w:r w:rsidRPr="007F4BC4">
        <w:t xml:space="preserve"> </w:t>
      </w:r>
      <w:r>
        <w:t xml:space="preserve">RoD </w:t>
      </w:r>
      <w:r w:rsidRPr="007F4BC4">
        <w:t>form</w:t>
      </w:r>
      <w:r w:rsidRPr="00A0203D">
        <w:rPr>
          <w:vertAlign w:val="superscript"/>
        </w:rPr>
        <w:footnoteReference w:id="10"/>
      </w:r>
      <w:r w:rsidRPr="007F4BC4">
        <w:t xml:space="preserve"> and supporting documentation within 28 days of receiving the decision.</w:t>
      </w:r>
    </w:p>
    <w:p w14:paraId="78A07756" w14:textId="55098070" w:rsidR="00817CB4" w:rsidRPr="007F4BC4" w:rsidRDefault="00817CB4" w:rsidP="00574127">
      <w:bookmarkStart w:id="416" w:name="_Hlk167964584"/>
      <w:bookmarkEnd w:id="413"/>
      <w:bookmarkEnd w:id="415"/>
      <w:r w:rsidRPr="28C59BEB">
        <w:t>Services Australia will review the decision against the published guidelines at the time of the event and the outcome of the review will be advised in writing. If practices or providers are not satisfied with the decision,</w:t>
      </w:r>
      <w:r w:rsidR="00505CD0">
        <w:t xml:space="preserve"> they can request reconsideration via a second review. If not satisfied with the outcome </w:t>
      </w:r>
      <w:r w:rsidR="00505CD0">
        <w:lastRenderedPageBreak/>
        <w:t>of a second review,</w:t>
      </w:r>
      <w:r w:rsidRPr="28C59BEB">
        <w:t xml:space="preserve"> </w:t>
      </w:r>
      <w:r w:rsidR="00505CD0">
        <w:t xml:space="preserve">practices or providers may </w:t>
      </w:r>
      <w:r w:rsidRPr="28C59BEB">
        <w:t xml:space="preserve">ask the Formal Review Committee to reconsider </w:t>
      </w:r>
      <w:r w:rsidR="00505CD0">
        <w:t>the decision</w:t>
      </w:r>
      <w:r w:rsidRPr="28C59BEB">
        <w:t>.</w:t>
      </w:r>
      <w:r w:rsidRPr="68B07877">
        <w:t xml:space="preserve"> </w:t>
      </w:r>
      <w:bookmarkEnd w:id="414"/>
      <w:bookmarkEnd w:id="416"/>
      <w:r w:rsidRPr="68B07877">
        <w:t xml:space="preserve">For further details about the RoD process, please contact Services Australia. </w:t>
      </w:r>
    </w:p>
    <w:p w14:paraId="3F0F09D7" w14:textId="77777777" w:rsidR="00817CB4" w:rsidRPr="001F7637" w:rsidRDefault="758819B6" w:rsidP="00407AD1">
      <w:pPr>
        <w:pStyle w:val="Heading1"/>
      </w:pPr>
      <w:bookmarkStart w:id="417" w:name="_Toc166066966"/>
      <w:bookmarkStart w:id="418" w:name="_Toc166068382"/>
      <w:bookmarkStart w:id="419" w:name="_Toc166068594"/>
      <w:bookmarkStart w:id="420" w:name="_Toc166069553"/>
      <w:bookmarkStart w:id="421" w:name="_Toc167109456"/>
      <w:bookmarkStart w:id="422" w:name="_Toc170120034"/>
      <w:bookmarkStart w:id="423" w:name="_Toc170817175"/>
      <w:bookmarkStart w:id="424" w:name="_Toc182311178"/>
      <w:r>
        <w:t>Further information</w:t>
      </w:r>
      <w:bookmarkEnd w:id="417"/>
      <w:bookmarkEnd w:id="418"/>
      <w:bookmarkEnd w:id="419"/>
      <w:bookmarkEnd w:id="420"/>
      <w:bookmarkEnd w:id="421"/>
      <w:bookmarkEnd w:id="422"/>
      <w:bookmarkEnd w:id="423"/>
      <w:bookmarkEnd w:id="424"/>
    </w:p>
    <w:p w14:paraId="3EF950A7" w14:textId="77777777" w:rsidR="00817CB4" w:rsidRPr="007F4BC4" w:rsidRDefault="00817CB4" w:rsidP="00574127">
      <w:r w:rsidRPr="007F4BC4">
        <w:t>For further information on the General Practice in Aged Care Incentive:</w:t>
      </w:r>
    </w:p>
    <w:p w14:paraId="7D97DE72" w14:textId="51A9DE2D" w:rsidR="00817CB4" w:rsidRPr="007F4BC4" w:rsidRDefault="48DCD9C8" w:rsidP="48E88A4B">
      <w:pPr>
        <w:spacing w:before="120" w:after="120" w:line="276" w:lineRule="auto"/>
        <w:rPr>
          <w:rFonts w:cs="Arial"/>
        </w:rPr>
      </w:pPr>
      <w:r w:rsidRPr="48E88A4B">
        <w:rPr>
          <w:rStyle w:val="Strong"/>
        </w:rPr>
        <w:t>E</w:t>
      </w:r>
      <w:r w:rsidR="00817CB4" w:rsidRPr="48E88A4B">
        <w:rPr>
          <w:rStyle w:val="Strong"/>
        </w:rPr>
        <w:t>mail:</w:t>
      </w:r>
      <w:r w:rsidR="00817CB4" w:rsidRPr="48E88A4B">
        <w:rPr>
          <w:rFonts w:cs="Arial"/>
        </w:rPr>
        <w:t xml:space="preserve"> </w:t>
      </w:r>
      <w:hyperlink r:id="rId17">
        <w:r w:rsidR="00817CB4" w:rsidRPr="48E88A4B">
          <w:rPr>
            <w:rStyle w:val="Hyperlink"/>
            <w:rFonts w:cs="Arial"/>
          </w:rPr>
          <w:t>MyMedicare@Health.gov.au</w:t>
        </w:r>
      </w:hyperlink>
    </w:p>
    <w:p w14:paraId="463DBC11" w14:textId="15BFEC99" w:rsidR="00817CB4" w:rsidRPr="007F4BC4" w:rsidRDefault="13308644" w:rsidP="18D229B5">
      <w:pPr>
        <w:spacing w:before="120" w:after="120" w:line="276" w:lineRule="auto"/>
        <w:rPr>
          <w:rFonts w:cs="Arial"/>
        </w:rPr>
      </w:pPr>
      <w:r w:rsidRPr="48E88A4B">
        <w:rPr>
          <w:rStyle w:val="Strong"/>
        </w:rPr>
        <w:t>W</w:t>
      </w:r>
      <w:r w:rsidR="19AF495F" w:rsidRPr="48E88A4B">
        <w:rPr>
          <w:rStyle w:val="Strong"/>
        </w:rPr>
        <w:t>ebsite:</w:t>
      </w:r>
      <w:r w:rsidR="19AF495F" w:rsidRPr="48E88A4B">
        <w:rPr>
          <w:rFonts w:cs="Arial"/>
          <w:b/>
          <w:bCs/>
        </w:rPr>
        <w:t xml:space="preserve"> </w:t>
      </w:r>
      <w:hyperlink r:id="rId18" w:history="1">
        <w:r w:rsidR="6F7EC06A" w:rsidRPr="48E88A4B">
          <w:rPr>
            <w:rStyle w:val="Hyperlink"/>
            <w:rFonts w:cs="Arial"/>
          </w:rPr>
          <w:t>Health.gov.au/our-work/gpaci</w:t>
        </w:r>
      </w:hyperlink>
    </w:p>
    <w:p w14:paraId="4964AD5E" w14:textId="77777777" w:rsidR="00817CB4" w:rsidRPr="002D330A" w:rsidRDefault="00817CB4" w:rsidP="00574127">
      <w:bookmarkStart w:id="425" w:name="_Toc166066965"/>
      <w:bookmarkStart w:id="426" w:name="_Toc166068381"/>
      <w:bookmarkStart w:id="427" w:name="_Toc166068593"/>
      <w:bookmarkStart w:id="428" w:name="_Toc166069552"/>
      <w:bookmarkStart w:id="429" w:name="_Toc166069599"/>
      <w:bookmarkStart w:id="430" w:name="_Toc166136615"/>
      <w:bookmarkStart w:id="431" w:name="_Toc167109455"/>
      <w:bookmarkStart w:id="432" w:name="_Toc170120035"/>
      <w:bookmarkStart w:id="433" w:name="_Hlk165581660"/>
      <w:r w:rsidRPr="002D330A">
        <w:t>For further information on processes for health professionals please contact:</w:t>
      </w:r>
    </w:p>
    <w:p w14:paraId="365BDD25" w14:textId="77777777" w:rsidR="00817CB4" w:rsidRPr="002D330A" w:rsidRDefault="00817CB4" w:rsidP="00817CB4">
      <w:pPr>
        <w:pStyle w:val="ListBullet"/>
        <w:numPr>
          <w:ilvl w:val="0"/>
          <w:numId w:val="0"/>
        </w:numPr>
        <w:ind w:left="420" w:hanging="420"/>
        <w:rPr>
          <w:b/>
        </w:rPr>
      </w:pPr>
      <w:r w:rsidRPr="00574127">
        <w:rPr>
          <w:rStyle w:val="Strong"/>
        </w:rPr>
        <w:t>Phone:</w:t>
      </w:r>
      <w:r w:rsidRPr="002D330A">
        <w:t xml:space="preserve"> 132 150, select Option 2</w:t>
      </w:r>
    </w:p>
    <w:p w14:paraId="7D3FA0CA" w14:textId="57F8A124" w:rsidR="00817CB4" w:rsidRPr="002D330A" w:rsidRDefault="2D276389" w:rsidP="00817CB4">
      <w:pPr>
        <w:pStyle w:val="ListBullet"/>
        <w:numPr>
          <w:ilvl w:val="0"/>
          <w:numId w:val="0"/>
        </w:numPr>
        <w:ind w:left="420" w:hanging="420"/>
        <w:rPr>
          <w:sz w:val="20"/>
          <w:szCs w:val="18"/>
        </w:rPr>
      </w:pPr>
      <w:r w:rsidRPr="00574127">
        <w:rPr>
          <w:rStyle w:val="Strong"/>
        </w:rPr>
        <w:t>Website:</w:t>
      </w:r>
      <w:r w:rsidRPr="002D330A">
        <w:t xml:space="preserve"> </w:t>
      </w:r>
      <w:hyperlink r:id="rId19" w:history="1">
        <w:r w:rsidR="00817CB4" w:rsidRPr="002D330A">
          <w:rPr>
            <w:rStyle w:val="Hyperlink"/>
            <w:szCs w:val="18"/>
          </w:rPr>
          <w:t>MyMedicare Incentives - Health professionals - Services Australia</w:t>
        </w:r>
      </w:hyperlink>
      <w:r w:rsidRPr="002D330A">
        <w:rPr>
          <w:szCs w:val="18"/>
        </w:rPr>
        <w:t xml:space="preserve"> </w:t>
      </w:r>
    </w:p>
    <w:p w14:paraId="0D08691C" w14:textId="77777777" w:rsidR="00817CB4" w:rsidRPr="001F7637" w:rsidRDefault="758819B6" w:rsidP="001F7637">
      <w:pPr>
        <w:pStyle w:val="Heading2"/>
      </w:pPr>
      <w:bookmarkStart w:id="434" w:name="_Toc170817176"/>
      <w:bookmarkStart w:id="435" w:name="_Toc182311179"/>
      <w:r>
        <w:t>Privacy and data collection</w:t>
      </w:r>
      <w:bookmarkEnd w:id="425"/>
      <w:bookmarkEnd w:id="426"/>
      <w:bookmarkEnd w:id="427"/>
      <w:bookmarkEnd w:id="428"/>
      <w:bookmarkEnd w:id="429"/>
      <w:bookmarkEnd w:id="430"/>
      <w:bookmarkEnd w:id="431"/>
      <w:bookmarkEnd w:id="432"/>
      <w:bookmarkEnd w:id="434"/>
      <w:bookmarkEnd w:id="435"/>
    </w:p>
    <w:bookmarkEnd w:id="433"/>
    <w:p w14:paraId="16B5173D" w14:textId="01704097" w:rsidR="00817CB4" w:rsidRPr="007F4BC4" w:rsidRDefault="00817CB4" w:rsidP="00817CB4">
      <w:pPr>
        <w:spacing w:before="120" w:after="120" w:line="276" w:lineRule="auto"/>
        <w:rPr>
          <w:rFonts w:eastAsia="Times New Roman"/>
        </w:rPr>
      </w:pPr>
      <w:r w:rsidRPr="007F4BC4">
        <w:rPr>
          <w:rFonts w:eastAsia="Times New Roman"/>
        </w:rPr>
        <w:t>The MyMedicare Privacy Notice explains how the Australian Government will manage personal information consistent with obligations under the</w:t>
      </w:r>
      <w:r w:rsidRPr="002D330A">
        <w:rPr>
          <w:rStyle w:val="CommentReference"/>
          <w:rFonts w:asciiTheme="minorHAnsi" w:hAnsiTheme="minorHAnsi"/>
          <w:color w:val="auto"/>
          <w:kern w:val="2"/>
          <w14:ligatures w14:val="standardContextual"/>
        </w:rPr>
        <w:t xml:space="preserve"> </w:t>
      </w:r>
      <w:hyperlink r:id="rId20" w:history="1">
        <w:r w:rsidR="00FF5DFB" w:rsidRPr="00CD7D59">
          <w:rPr>
            <w:rStyle w:val="Hyperlink"/>
            <w:rFonts w:eastAsia="Times New Roman"/>
            <w:i/>
            <w:iCs/>
          </w:rPr>
          <w:t>Privacy Act</w:t>
        </w:r>
      </w:hyperlink>
      <w:r w:rsidR="00FF5DFB">
        <w:rPr>
          <w:rFonts w:eastAsia="Times New Roman"/>
        </w:rPr>
        <w:t xml:space="preserve"> </w:t>
      </w:r>
      <w:r w:rsidRPr="007F4BC4">
        <w:rPr>
          <w:rFonts w:eastAsia="Times New Roman"/>
        </w:rPr>
        <w:t xml:space="preserve">(Cth) and the </w:t>
      </w:r>
      <w:hyperlink r:id="rId21">
        <w:r w:rsidRPr="007F4BC4">
          <w:rPr>
            <w:rFonts w:eastAsia="Times New Roman"/>
          </w:rPr>
          <w:t>Australian Privacy Principles</w:t>
        </w:r>
      </w:hyperlink>
      <w:r w:rsidRPr="007F4BC4">
        <w:rPr>
          <w:rFonts w:eastAsia="Times New Roman"/>
        </w:rPr>
        <w:t xml:space="preserve"> (APPs). This includes how Australian Government agencies will collect, use, and disclose patient </w:t>
      </w:r>
      <w:r w:rsidR="00C119EC">
        <w:rPr>
          <w:rFonts w:eastAsia="Times New Roman"/>
        </w:rPr>
        <w:t xml:space="preserve">and provider </w:t>
      </w:r>
      <w:r w:rsidRPr="007F4BC4">
        <w:rPr>
          <w:rFonts w:eastAsia="Times New Roman"/>
        </w:rPr>
        <w:t>information as part of the MyMedicare program. Patients should read this privacy notice together with other privacy-related information that their medical practice gives them about how they manage a patient’s personal information.</w:t>
      </w:r>
      <w:r w:rsidR="0084246A">
        <w:rPr>
          <w:rFonts w:eastAsia="Times New Roman"/>
        </w:rPr>
        <w:t xml:space="preserve"> </w:t>
      </w:r>
    </w:p>
    <w:p w14:paraId="3C493E40" w14:textId="77777777" w:rsidR="00817CB4" w:rsidRPr="001150D6" w:rsidRDefault="00817CB4" w:rsidP="00817CB4">
      <w:pPr>
        <w:keepNext/>
        <w:spacing w:before="120" w:after="120" w:line="276" w:lineRule="auto"/>
        <w:rPr>
          <w:rFonts w:eastAsia="Times New Roman" w:cs="Arial"/>
          <w:szCs w:val="22"/>
        </w:rPr>
      </w:pPr>
      <w:r w:rsidRPr="001150D6">
        <w:rPr>
          <w:rFonts w:eastAsia="Times New Roman" w:cs="Arial"/>
          <w:szCs w:val="22"/>
        </w:rPr>
        <w:t>The department may use a patient’s personal information to enable:</w:t>
      </w:r>
    </w:p>
    <w:p w14:paraId="60E5F4D7"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rPr>
          <w:szCs w:val="22"/>
        </w:rPr>
      </w:pPr>
      <w:r w:rsidRPr="002D330A">
        <w:rPr>
          <w:szCs w:val="22"/>
        </w:rPr>
        <w:t>MyMedicare program management, monitoring and reporting.</w:t>
      </w:r>
    </w:p>
    <w:p w14:paraId="70EEC2E8" w14:textId="729BD726"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rPr>
          <w:szCs w:val="22"/>
        </w:rPr>
      </w:pPr>
      <w:r w:rsidRPr="002D330A">
        <w:rPr>
          <w:szCs w:val="22"/>
        </w:rPr>
        <w:t xml:space="preserve">routine monitoring and reporting for MBS </w:t>
      </w:r>
      <w:r w:rsidR="005C34DA" w:rsidRPr="009459BC">
        <w:rPr>
          <w:rFonts w:cs="Arial"/>
          <w:szCs w:val="22"/>
        </w:rPr>
        <w:t xml:space="preserve">or DVA </w:t>
      </w:r>
      <w:r w:rsidRPr="002D330A">
        <w:rPr>
          <w:szCs w:val="22"/>
        </w:rPr>
        <w:t xml:space="preserve">claims, or </w:t>
      </w:r>
      <w:r w:rsidR="00DA0159" w:rsidRPr="009459BC">
        <w:rPr>
          <w:rFonts w:cs="Arial"/>
          <w:szCs w:val="22"/>
        </w:rPr>
        <w:t>General Practice in Aged Care Incentive</w:t>
      </w:r>
      <w:r w:rsidRPr="002D330A">
        <w:rPr>
          <w:szCs w:val="22"/>
        </w:rPr>
        <w:t xml:space="preserve"> payment</w:t>
      </w:r>
      <w:r w:rsidR="001C4B86" w:rsidRPr="002D330A">
        <w:rPr>
          <w:szCs w:val="22"/>
        </w:rPr>
        <w:t>s</w:t>
      </w:r>
    </w:p>
    <w:p w14:paraId="12B82037"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rPr>
          <w:szCs w:val="22"/>
        </w:rPr>
      </w:pPr>
      <w:r w:rsidRPr="002D330A">
        <w:rPr>
          <w:szCs w:val="22"/>
        </w:rPr>
        <w:t>policy analysis</w:t>
      </w:r>
    </w:p>
    <w:p w14:paraId="3CB8A10B"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rPr>
          <w:szCs w:val="22"/>
        </w:rPr>
      </w:pPr>
      <w:r w:rsidRPr="002D330A">
        <w:rPr>
          <w:szCs w:val="22"/>
        </w:rPr>
        <w:t>program compliance and audit</w:t>
      </w:r>
    </w:p>
    <w:p w14:paraId="1206EC47" w14:textId="77777777" w:rsidR="00817CB4" w:rsidRPr="002D330A" w:rsidRDefault="00817CB4" w:rsidP="0080047B">
      <w:pPr>
        <w:pStyle w:val="ListBullet"/>
        <w:numPr>
          <w:ilvl w:val="0"/>
          <w:numId w:val="12"/>
        </w:numPr>
        <w:tabs>
          <w:tab w:val="left" w:pos="340"/>
          <w:tab w:val="left" w:pos="680"/>
        </w:tabs>
        <w:spacing w:before="60" w:after="60" w:line="276" w:lineRule="auto"/>
        <w:ind w:left="360"/>
        <w:contextualSpacing w:val="0"/>
        <w:rPr>
          <w:szCs w:val="22"/>
        </w:rPr>
      </w:pPr>
      <w:r w:rsidRPr="002D330A">
        <w:rPr>
          <w:szCs w:val="22"/>
        </w:rPr>
        <w:t>evaluation and continuous improvement of the MyMedicare Program</w:t>
      </w:r>
    </w:p>
    <w:p w14:paraId="66138438" w14:textId="5850C606" w:rsidR="00B61289" w:rsidRPr="009459BC" w:rsidRDefault="00B61289" w:rsidP="52921BD6">
      <w:pPr>
        <w:pStyle w:val="ListBullet"/>
        <w:tabs>
          <w:tab w:val="clear" w:pos="360"/>
          <w:tab w:val="left" w:pos="340"/>
          <w:tab w:val="left" w:pos="680"/>
        </w:tabs>
        <w:spacing w:before="60" w:after="60" w:line="276" w:lineRule="auto"/>
        <w:rPr>
          <w:rFonts w:cs="Arial"/>
          <w:szCs w:val="22"/>
        </w:rPr>
      </w:pPr>
      <w:r w:rsidRPr="009459BC">
        <w:rPr>
          <w:rFonts w:cs="Arial"/>
          <w:szCs w:val="22"/>
        </w:rPr>
        <w:t>MBS payments, DVA payments, or incentives linked to MyMedicare registration including determining whether providers and practice</w:t>
      </w:r>
      <w:r w:rsidR="002559E9" w:rsidRPr="009459BC">
        <w:rPr>
          <w:rFonts w:cs="Arial"/>
          <w:szCs w:val="22"/>
        </w:rPr>
        <w:t>s</w:t>
      </w:r>
      <w:r w:rsidRPr="009459BC">
        <w:rPr>
          <w:rFonts w:cs="Arial"/>
          <w:szCs w:val="22"/>
        </w:rPr>
        <w:t xml:space="preserve"> are eligible for incentives or payments</w:t>
      </w:r>
    </w:p>
    <w:p w14:paraId="0332A677" w14:textId="3820E51A" w:rsidR="006E098A" w:rsidRPr="0004758E" w:rsidRDefault="00817CB4" w:rsidP="0004758E">
      <w:pPr>
        <w:pStyle w:val="ListBullet"/>
        <w:numPr>
          <w:ilvl w:val="0"/>
          <w:numId w:val="12"/>
        </w:numPr>
        <w:tabs>
          <w:tab w:val="left" w:pos="340"/>
          <w:tab w:val="left" w:pos="680"/>
        </w:tabs>
        <w:spacing w:before="60" w:after="60" w:line="276" w:lineRule="auto"/>
        <w:ind w:left="360"/>
        <w:contextualSpacing w:val="0"/>
        <w:rPr>
          <w:szCs w:val="22"/>
        </w:rPr>
      </w:pPr>
      <w:r w:rsidRPr="002D330A">
        <w:rPr>
          <w:szCs w:val="22"/>
        </w:rPr>
        <w:t xml:space="preserve">data sharing to inform policy and program management under secure data sharing arrangements within government (where authorised by the data custodian and in line with </w:t>
      </w:r>
      <w:r w:rsidR="000F7E57" w:rsidRPr="009459BC">
        <w:rPr>
          <w:rFonts w:cs="Arial"/>
          <w:szCs w:val="22"/>
        </w:rPr>
        <w:t xml:space="preserve">any </w:t>
      </w:r>
      <w:r w:rsidR="00C70663" w:rsidRPr="009459BC">
        <w:rPr>
          <w:rFonts w:cs="Arial"/>
          <w:szCs w:val="22"/>
        </w:rPr>
        <w:t>relevant</w:t>
      </w:r>
      <w:r w:rsidR="00C70663" w:rsidRPr="002D330A">
        <w:rPr>
          <w:szCs w:val="22"/>
        </w:rPr>
        <w:t xml:space="preserve"> </w:t>
      </w:r>
      <w:r w:rsidRPr="002D330A">
        <w:rPr>
          <w:szCs w:val="22"/>
        </w:rPr>
        <w:t>legislative authority).</w:t>
      </w:r>
    </w:p>
    <w:p w14:paraId="3417C910" w14:textId="046FAED0" w:rsidR="00D1512C" w:rsidRPr="009459BC" w:rsidRDefault="00D1512C" w:rsidP="00574127">
      <w:pPr>
        <w:keepNext/>
        <w:spacing w:before="100" w:beforeAutospacing="1" w:after="100" w:afterAutospacing="1" w:line="240" w:lineRule="auto"/>
        <w:rPr>
          <w:rFonts w:eastAsia="Times New Roman" w:cs="Arial"/>
          <w:color w:val="auto"/>
          <w:szCs w:val="22"/>
          <w:lang w:eastAsia="en-AU"/>
        </w:rPr>
      </w:pPr>
      <w:r w:rsidRPr="009459BC">
        <w:rPr>
          <w:rFonts w:eastAsia="Times New Roman" w:cs="Arial"/>
          <w:color w:val="auto"/>
          <w:szCs w:val="22"/>
          <w:lang w:eastAsia="en-AU"/>
        </w:rPr>
        <w:t>Services Australia uses personal</w:t>
      </w:r>
      <w:r w:rsidRPr="002D330A">
        <w:rPr>
          <w:color w:val="auto"/>
          <w:szCs w:val="22"/>
        </w:rPr>
        <w:t xml:space="preserve"> information </w:t>
      </w:r>
      <w:r w:rsidRPr="009459BC">
        <w:rPr>
          <w:rFonts w:eastAsia="Times New Roman" w:cs="Arial"/>
          <w:color w:val="auto"/>
          <w:szCs w:val="22"/>
          <w:lang w:eastAsia="en-AU"/>
        </w:rPr>
        <w:t>to:</w:t>
      </w:r>
    </w:p>
    <w:p w14:paraId="0F893DFC" w14:textId="10C0C8CD" w:rsidR="00D1512C" w:rsidRPr="009459BC" w:rsidRDefault="00D1512C" w:rsidP="003748EA">
      <w:pPr>
        <w:pStyle w:val="ListBullet"/>
        <w:rPr>
          <w:lang w:eastAsia="en-AU"/>
        </w:rPr>
      </w:pPr>
      <w:r w:rsidRPr="009459BC">
        <w:rPr>
          <w:lang w:eastAsia="en-AU"/>
        </w:rPr>
        <w:t xml:space="preserve">Assess </w:t>
      </w:r>
      <w:r w:rsidR="001C5505" w:rsidRPr="009459BC">
        <w:rPr>
          <w:lang w:eastAsia="en-AU"/>
        </w:rPr>
        <w:t>a patient’s</w:t>
      </w:r>
      <w:r w:rsidRPr="009459BC">
        <w:rPr>
          <w:lang w:eastAsia="en-AU"/>
        </w:rPr>
        <w:t xml:space="preserve"> eligibility for Medicare Benefits Schedule (MBS), General Practice Incentives and DVA funded services</w:t>
      </w:r>
      <w:r w:rsidRPr="009459BC">
        <w:rPr>
          <w:color w:val="FF0000"/>
          <w:lang w:eastAsia="en-AU"/>
        </w:rPr>
        <w:t xml:space="preserve"> </w:t>
      </w:r>
      <w:r w:rsidRPr="009459BC">
        <w:rPr>
          <w:lang w:eastAsia="en-AU"/>
        </w:rPr>
        <w:t xml:space="preserve">linked to MyMedicare registration. </w:t>
      </w:r>
    </w:p>
    <w:p w14:paraId="44DBA510" w14:textId="4B921616" w:rsidR="00817CB4" w:rsidRPr="009459BC" w:rsidRDefault="00817CB4" w:rsidP="00817CB4">
      <w:pPr>
        <w:spacing w:before="120" w:after="120" w:line="276" w:lineRule="auto"/>
        <w:rPr>
          <w:rFonts w:eastAsia="Times New Roman"/>
          <w:szCs w:val="22"/>
        </w:rPr>
      </w:pPr>
      <w:r w:rsidRPr="009459BC">
        <w:rPr>
          <w:rFonts w:eastAsia="Times New Roman"/>
          <w:szCs w:val="22"/>
        </w:rPr>
        <w:t xml:space="preserve">Further information </w:t>
      </w:r>
      <w:r w:rsidR="00B6709A" w:rsidRPr="009459BC">
        <w:rPr>
          <w:rFonts w:eastAsia="Times New Roman"/>
          <w:szCs w:val="22"/>
        </w:rPr>
        <w:t xml:space="preserve">about how the </w:t>
      </w:r>
      <w:r w:rsidRPr="009459BC">
        <w:rPr>
          <w:rFonts w:eastAsia="Times New Roman"/>
          <w:szCs w:val="22"/>
        </w:rPr>
        <w:t xml:space="preserve">Australian Government agencies involved with MyMedicare </w:t>
      </w:r>
      <w:r w:rsidR="00B6709A" w:rsidRPr="009459BC">
        <w:rPr>
          <w:rFonts w:eastAsia="Times New Roman"/>
          <w:szCs w:val="22"/>
        </w:rPr>
        <w:t>handle personal information is</w:t>
      </w:r>
      <w:r w:rsidRPr="009459BC">
        <w:rPr>
          <w:rFonts w:eastAsia="Times New Roman"/>
          <w:szCs w:val="22"/>
        </w:rPr>
        <w:t xml:space="preserve"> available from the following websites: </w:t>
      </w:r>
    </w:p>
    <w:p w14:paraId="39581EF8" w14:textId="77777777" w:rsidR="00817CB4" w:rsidRPr="009459BC" w:rsidRDefault="00817CB4" w:rsidP="003748EA">
      <w:pPr>
        <w:pStyle w:val="ListBullet"/>
        <w:rPr>
          <w:rFonts w:cs="Arial"/>
          <w:szCs w:val="22"/>
          <w:lang w:val="en"/>
        </w:rPr>
      </w:pPr>
      <w:hyperlink r:id="rId22" w:history="1">
        <w:r w:rsidRPr="009459BC">
          <w:rPr>
            <w:rStyle w:val="Hyperlink"/>
            <w:rFonts w:eastAsia="Arial" w:cs="Arial"/>
            <w:szCs w:val="22"/>
          </w:rPr>
          <w:t>Services Australia</w:t>
        </w:r>
      </w:hyperlink>
      <w:r w:rsidRPr="009459BC">
        <w:rPr>
          <w:rFonts w:cs="Arial"/>
          <w:szCs w:val="22"/>
          <w:lang w:val="en"/>
        </w:rPr>
        <w:t xml:space="preserve"> </w:t>
      </w:r>
    </w:p>
    <w:p w14:paraId="7F689E7E" w14:textId="77777777" w:rsidR="00F80CF2" w:rsidRPr="009459BC" w:rsidRDefault="00F80CF2" w:rsidP="003748EA">
      <w:pPr>
        <w:pStyle w:val="ListBullet"/>
        <w:rPr>
          <w:rFonts w:cs="Arial"/>
          <w:szCs w:val="22"/>
          <w:lang w:eastAsia="en-US"/>
        </w:rPr>
      </w:pPr>
      <w:hyperlink r:id="rId23" w:anchor=":~:text=DVA%20generally%20uses%20and%20discloses,authorised%20by%20the%20Privacy%20Act." w:history="1">
        <w:r w:rsidRPr="009459BC">
          <w:rPr>
            <w:rStyle w:val="Hyperlink"/>
            <w:rFonts w:eastAsia="Arial" w:cs="Arial"/>
            <w:szCs w:val="22"/>
          </w:rPr>
          <w:t>Department of Veterans’ Affairs</w:t>
        </w:r>
      </w:hyperlink>
      <w:r w:rsidRPr="009459BC">
        <w:rPr>
          <w:rFonts w:eastAsia="Arial" w:cs="Arial"/>
          <w:szCs w:val="22"/>
        </w:rPr>
        <w:t>.</w:t>
      </w:r>
    </w:p>
    <w:p w14:paraId="04A8E6DD" w14:textId="07935E0D" w:rsidR="00817CB4" w:rsidRPr="009459BC" w:rsidRDefault="00817CB4" w:rsidP="003748EA">
      <w:pPr>
        <w:pStyle w:val="ListBullet"/>
        <w:rPr>
          <w:rFonts w:eastAsia="Arial" w:cs="Arial"/>
          <w:szCs w:val="22"/>
        </w:rPr>
      </w:pPr>
      <w:hyperlink r:id="rId24" w:history="1">
        <w:r w:rsidRPr="009459BC">
          <w:rPr>
            <w:rStyle w:val="Hyperlink"/>
            <w:rFonts w:eastAsia="Arial" w:cs="Arial"/>
            <w:szCs w:val="22"/>
          </w:rPr>
          <w:t>Australian Digital Health Agency</w:t>
        </w:r>
      </w:hyperlink>
      <w:r w:rsidR="007D69FA" w:rsidRPr="009459BC">
        <w:rPr>
          <w:rStyle w:val="Hyperlink"/>
          <w:rFonts w:eastAsia="Arial" w:cs="Arial"/>
          <w:szCs w:val="22"/>
        </w:rPr>
        <w:t xml:space="preserve"> (ADHA)</w:t>
      </w:r>
    </w:p>
    <w:p w14:paraId="10EA646D" w14:textId="0D28F99D" w:rsidR="00E40C02" w:rsidRPr="0004758E" w:rsidRDefault="00E40C02" w:rsidP="0004758E">
      <w:r w:rsidRPr="0004758E">
        <w:t>If a patient makes a request via their My Health Record</w:t>
      </w:r>
      <w:r w:rsidR="007D69FA" w:rsidRPr="0004758E">
        <w:t xml:space="preserve"> (managed by ADH</w:t>
      </w:r>
      <w:r w:rsidR="001371EE" w:rsidRPr="0004758E">
        <w:t>A</w:t>
      </w:r>
      <w:r w:rsidR="007D69FA" w:rsidRPr="0004758E">
        <w:t>)</w:t>
      </w:r>
      <w:r w:rsidRPr="0004758E">
        <w:t>, Services Australia will provide information about them to the My Health Record system so that the name of their registered practice and GP will appear in their My Health Record if they choose to have it displayed.</w:t>
      </w:r>
    </w:p>
    <w:p w14:paraId="26FA0E80" w14:textId="77777777" w:rsidR="00A73DE2" w:rsidRPr="00A73DE2" w:rsidRDefault="00A73DE2" w:rsidP="00A73DE2">
      <w:pPr>
        <w:spacing w:before="120" w:after="120" w:line="276" w:lineRule="auto"/>
        <w:rPr>
          <w:rFonts w:eastAsia="Times New Roman"/>
          <w:i/>
          <w:iCs/>
        </w:rPr>
      </w:pPr>
      <w:r>
        <w:rPr>
          <w:rFonts w:eastAsia="Times New Roman"/>
          <w:i/>
          <w:iCs/>
        </w:rPr>
        <w:t>Privacy notices</w:t>
      </w:r>
    </w:p>
    <w:p w14:paraId="2892B44E" w14:textId="6D3A82BC" w:rsidR="00775BBF" w:rsidRDefault="00817CB4" w:rsidP="00817CB4">
      <w:pPr>
        <w:spacing w:before="120" w:after="120" w:line="276" w:lineRule="auto"/>
        <w:rPr>
          <w:rFonts w:eastAsia="Times New Roman"/>
          <w:szCs w:val="22"/>
        </w:rPr>
      </w:pPr>
      <w:r w:rsidRPr="007F4BC4">
        <w:rPr>
          <w:rFonts w:eastAsia="Times New Roman"/>
        </w:rPr>
        <w:t xml:space="preserve">A copy of the MyMedicare Privacy Notice can be found at the Department of Health and Aged Care </w:t>
      </w:r>
      <w:hyperlink r:id="rId25" w:history="1">
        <w:r w:rsidRPr="007F4BC4">
          <w:rPr>
            <w:rFonts w:eastAsia="Times New Roman"/>
          </w:rPr>
          <w:t>website</w:t>
        </w:r>
      </w:hyperlink>
      <w:r w:rsidR="00DF4C0C">
        <w:rPr>
          <w:rFonts w:eastAsia="Times New Roman"/>
        </w:rPr>
        <w:t xml:space="preserve"> </w:t>
      </w:r>
      <w:hyperlink r:id="rId26" w:history="1">
        <w:r w:rsidR="00EA199C" w:rsidRPr="009006D0">
          <w:rPr>
            <w:rStyle w:val="Hyperlink"/>
            <w:rFonts w:eastAsia="Times New Roman"/>
            <w:szCs w:val="22"/>
          </w:rPr>
          <w:t>MyMedicare Privacy Notice.</w:t>
        </w:r>
      </w:hyperlink>
    </w:p>
    <w:p w14:paraId="3E33B702" w14:textId="398B1ADF" w:rsidR="00817CB4" w:rsidRPr="007F4BC4" w:rsidRDefault="005965A9" w:rsidP="00817CB4">
      <w:pPr>
        <w:spacing w:before="120" w:after="120" w:line="276" w:lineRule="auto"/>
        <w:rPr>
          <w:rFonts w:eastAsia="Times New Roman"/>
        </w:rPr>
      </w:pPr>
      <w:r w:rsidRPr="009006D0">
        <w:rPr>
          <w:rFonts w:eastAsia="Times New Roman"/>
          <w:szCs w:val="22"/>
        </w:rPr>
        <w:t xml:space="preserve">A copy of </w:t>
      </w:r>
      <w:r w:rsidR="00A60EA6" w:rsidRPr="009006D0">
        <w:rPr>
          <w:rFonts w:eastAsia="Times New Roman"/>
          <w:szCs w:val="22"/>
        </w:rPr>
        <w:t xml:space="preserve">Services Australia’s </w:t>
      </w:r>
      <w:r w:rsidR="00D5219D" w:rsidRPr="009006D0">
        <w:rPr>
          <w:rFonts w:eastAsia="Times New Roman"/>
          <w:szCs w:val="22"/>
        </w:rPr>
        <w:t xml:space="preserve">Organisation Register Privacy Notice can be found </w:t>
      </w:r>
      <w:r w:rsidR="00B7185F" w:rsidRPr="009006D0">
        <w:rPr>
          <w:rFonts w:eastAsia="Times New Roman"/>
          <w:szCs w:val="22"/>
        </w:rPr>
        <w:t>on the Services Australia website</w:t>
      </w:r>
      <w:r w:rsidR="00D5219D" w:rsidRPr="009006D0">
        <w:rPr>
          <w:rFonts w:eastAsia="Times New Roman"/>
          <w:szCs w:val="22"/>
        </w:rPr>
        <w:t xml:space="preserve">: </w:t>
      </w:r>
      <w:hyperlink r:id="rId27" w:history="1">
        <w:r w:rsidR="00D5219D" w:rsidRPr="00A67B60">
          <w:rPr>
            <w:rStyle w:val="Hyperlink"/>
            <w:szCs w:val="22"/>
          </w:rPr>
          <w:t>Organisation Register for General Practitioners (GPs) and Health Professionals privacy notice</w:t>
        </w:r>
      </w:hyperlink>
      <w:r w:rsidR="00B7185F" w:rsidRPr="00A67B60">
        <w:rPr>
          <w:szCs w:val="22"/>
        </w:rPr>
        <w:t>.</w:t>
      </w:r>
    </w:p>
    <w:p w14:paraId="6100ACF4" w14:textId="77777777" w:rsidR="00817CB4" w:rsidRPr="001F7637" w:rsidRDefault="758819B6" w:rsidP="00407AD1">
      <w:pPr>
        <w:pStyle w:val="Heading1"/>
      </w:pPr>
      <w:bookmarkStart w:id="436" w:name="_Toc167109457"/>
      <w:bookmarkStart w:id="437" w:name="_Toc170120036"/>
      <w:bookmarkStart w:id="438" w:name="_Toc170817177"/>
      <w:bookmarkStart w:id="439" w:name="_Toc182311180"/>
      <w:r>
        <w:t>Disclaimer</w:t>
      </w:r>
      <w:bookmarkEnd w:id="436"/>
      <w:bookmarkEnd w:id="437"/>
      <w:bookmarkEnd w:id="438"/>
      <w:bookmarkEnd w:id="439"/>
    </w:p>
    <w:p w14:paraId="71F7F5B0" w14:textId="77777777" w:rsidR="00817CB4" w:rsidRPr="007F4BC4" w:rsidRDefault="00817CB4" w:rsidP="00817CB4">
      <w:pPr>
        <w:spacing w:before="120" w:after="120" w:line="276" w:lineRule="auto"/>
        <w:rPr>
          <w:rFonts w:eastAsia="Times New Roman"/>
        </w:rPr>
      </w:pPr>
      <w:r w:rsidRPr="007F4BC4">
        <w:rPr>
          <w:rFonts w:eastAsia="Times New Roman"/>
        </w:rPr>
        <w:t>These guidelines are the basis on which General Practice in Aged Care Incentive</w:t>
      </w:r>
      <w:r w:rsidRPr="007F4BC4" w:rsidDel="006F3282">
        <w:rPr>
          <w:rFonts w:eastAsia="Times New Roman"/>
        </w:rPr>
        <w:t xml:space="preserve"> </w:t>
      </w:r>
      <w:r w:rsidRPr="007F4BC4">
        <w:rPr>
          <w:rFonts w:eastAsia="Times New Roman"/>
        </w:rPr>
        <w:t>payments are made. While it is intended that the Australia</w:t>
      </w:r>
      <w:r>
        <w:rPr>
          <w:rFonts w:eastAsia="Times New Roman"/>
        </w:rPr>
        <w:t>n</w:t>
      </w:r>
      <w:r w:rsidRPr="007F4BC4">
        <w:rPr>
          <w:rFonts w:eastAsia="Times New Roman"/>
        </w:rPr>
        <w:t xml:space="preserve"> Government will make payments as set out in these guidelines, the making of payments is at its sole discretion. </w:t>
      </w:r>
    </w:p>
    <w:p w14:paraId="5099541A" w14:textId="77777777" w:rsidR="00817CB4" w:rsidRPr="007F4BC4" w:rsidRDefault="00817CB4" w:rsidP="00817CB4">
      <w:pPr>
        <w:spacing w:before="120" w:after="120" w:line="276" w:lineRule="auto"/>
        <w:rPr>
          <w:rFonts w:eastAsia="Times New Roman"/>
        </w:rPr>
      </w:pPr>
      <w:r w:rsidRPr="007F4BC4">
        <w:rPr>
          <w:rFonts w:eastAsia="Times New Roman"/>
        </w:rPr>
        <w:t>The Australian Government may alter arrangements for the General Practice in Aged Care Incentive</w:t>
      </w:r>
      <w:r w:rsidRPr="007F4BC4" w:rsidDel="006F3282">
        <w:rPr>
          <w:rFonts w:eastAsia="Times New Roman"/>
        </w:rPr>
        <w:t xml:space="preserve"> </w:t>
      </w:r>
      <w:r w:rsidRPr="007F4BC4">
        <w:rPr>
          <w:rFonts w:eastAsia="Times New Roman"/>
        </w:rPr>
        <w:t>at any time and without notice.</w:t>
      </w:r>
    </w:p>
    <w:p w14:paraId="253C4A54" w14:textId="77777777" w:rsidR="00817CB4" w:rsidRPr="007F4BC4" w:rsidRDefault="00817CB4" w:rsidP="00817CB4">
      <w:pPr>
        <w:spacing w:before="120" w:after="120" w:line="276" w:lineRule="auto"/>
        <w:rPr>
          <w:rFonts w:eastAsia="Times New Roman"/>
        </w:rPr>
      </w:pPr>
      <w:r w:rsidRPr="007F4BC4">
        <w:rPr>
          <w:rFonts w:eastAsia="Times New Roman"/>
        </w:rPr>
        <w:t xml:space="preserve">The Australian Government does not accept any legal liability or responsibility for any injury, loss or damage incurred </w:t>
      </w:r>
      <w:proofErr w:type="gramStart"/>
      <w:r w:rsidRPr="007F4BC4">
        <w:rPr>
          <w:rFonts w:eastAsia="Times New Roman"/>
        </w:rPr>
        <w:t>by the use of</w:t>
      </w:r>
      <w:proofErr w:type="gramEnd"/>
      <w:r w:rsidRPr="007F4BC4">
        <w:rPr>
          <w:rFonts w:eastAsia="Times New Roman"/>
        </w:rPr>
        <w:t>, reliance on, or interpretation of the information provided in these guidelines.</w:t>
      </w:r>
      <w:bookmarkStart w:id="440" w:name="_Toc167109458"/>
      <w:bookmarkStart w:id="441" w:name="_Toc166066967"/>
      <w:bookmarkStart w:id="442" w:name="_Toc166068383"/>
      <w:bookmarkStart w:id="443" w:name="_Toc166068595"/>
      <w:bookmarkStart w:id="444" w:name="_Toc166069554"/>
      <w:bookmarkStart w:id="445" w:name="_Hlk165581837"/>
    </w:p>
    <w:p w14:paraId="14FC4D0A" w14:textId="77777777" w:rsidR="00817CB4" w:rsidRPr="0004758E" w:rsidRDefault="00817CB4" w:rsidP="0004758E">
      <w:r w:rsidRPr="0004758E">
        <w:br w:type="page"/>
      </w:r>
    </w:p>
    <w:p w14:paraId="2E2427EA" w14:textId="77777777" w:rsidR="00817CB4" w:rsidRPr="001F7637" w:rsidRDefault="758819B6" w:rsidP="00407AD1">
      <w:pPr>
        <w:pStyle w:val="Heading1"/>
      </w:pPr>
      <w:bookmarkStart w:id="446" w:name="_Toc170120037"/>
      <w:bookmarkStart w:id="447" w:name="_Toc170817178"/>
      <w:bookmarkStart w:id="448" w:name="_Toc182311181"/>
      <w:r>
        <w:lastRenderedPageBreak/>
        <w:t>Appendix</w:t>
      </w:r>
      <w:bookmarkEnd w:id="440"/>
      <w:bookmarkEnd w:id="446"/>
      <w:bookmarkEnd w:id="447"/>
      <w:bookmarkEnd w:id="448"/>
    </w:p>
    <w:p w14:paraId="3C1C0716" w14:textId="77777777" w:rsidR="00817CB4" w:rsidRPr="001F7637" w:rsidRDefault="758819B6" w:rsidP="001F7637">
      <w:pPr>
        <w:pStyle w:val="Heading2"/>
      </w:pPr>
      <w:bookmarkStart w:id="449" w:name="_Toc170120038"/>
      <w:bookmarkStart w:id="450" w:name="_Toc170817179"/>
      <w:bookmarkStart w:id="451" w:name="_Toc182311182"/>
      <w:r>
        <w:t>Glossary of terms</w:t>
      </w:r>
      <w:bookmarkEnd w:id="449"/>
      <w:bookmarkEnd w:id="450"/>
      <w:bookmarkEnd w:id="451"/>
    </w:p>
    <w:tbl>
      <w:tblPr>
        <w:tblStyle w:val="DepartmentofHealthtable"/>
        <w:tblW w:w="9072" w:type="dxa"/>
        <w:tblLook w:val="04A0" w:firstRow="1" w:lastRow="0" w:firstColumn="1" w:lastColumn="0" w:noHBand="0" w:noVBand="1"/>
        <w:tblDescription w:val="Add Alt Text describing the content of the table"/>
      </w:tblPr>
      <w:tblGrid>
        <w:gridCol w:w="3261"/>
        <w:gridCol w:w="5811"/>
      </w:tblGrid>
      <w:tr w:rsidR="00817CB4" w14:paraId="17EC78E5" w14:textId="77777777" w:rsidTr="48E88A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1A48B0FC" w14:textId="77777777" w:rsidR="00817CB4" w:rsidRPr="00DC7910" w:rsidRDefault="00817CB4" w:rsidP="0054375E">
            <w:pPr>
              <w:pStyle w:val="TableHeaderWhite"/>
            </w:pPr>
            <w:r w:rsidRPr="004F65A8">
              <w:t>Term</w:t>
            </w:r>
          </w:p>
        </w:tc>
        <w:tc>
          <w:tcPr>
            <w:tcW w:w="5811" w:type="dxa"/>
          </w:tcPr>
          <w:p w14:paraId="71BA6CCA" w14:textId="77777777" w:rsidR="00817CB4" w:rsidRDefault="00817CB4" w:rsidP="0054375E">
            <w:pPr>
              <w:pStyle w:val="TableHeader"/>
              <w:cnfStyle w:val="100000000000" w:firstRow="1" w:lastRow="0" w:firstColumn="0" w:lastColumn="0" w:oddVBand="0" w:evenVBand="0" w:oddHBand="0" w:evenHBand="0" w:firstRowFirstColumn="0" w:firstRowLastColumn="0" w:lastRowFirstColumn="0" w:lastRowLastColumn="0"/>
            </w:pPr>
            <w:r w:rsidRPr="004F65A8">
              <w:t xml:space="preserve">Definition </w:t>
            </w:r>
          </w:p>
        </w:tc>
      </w:tr>
      <w:tr w:rsidR="00817CB4" w14:paraId="595D05E6" w14:textId="77777777" w:rsidTr="48E88A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65E6B83D" w14:textId="77777777" w:rsidR="00817CB4" w:rsidRPr="002D330A" w:rsidRDefault="00817CB4" w:rsidP="0054375E">
            <w:pPr>
              <w:pStyle w:val="ListBullet"/>
              <w:numPr>
                <w:ilvl w:val="0"/>
                <w:numId w:val="0"/>
              </w:numPr>
              <w:rPr>
                <w:szCs w:val="22"/>
              </w:rPr>
            </w:pPr>
            <w:r w:rsidRPr="002D330A">
              <w:rPr>
                <w:szCs w:val="22"/>
              </w:rPr>
              <w:t>Aboriginal Community Controlled Health Services</w:t>
            </w:r>
          </w:p>
        </w:tc>
        <w:tc>
          <w:tcPr>
            <w:tcW w:w="5811" w:type="dxa"/>
          </w:tcPr>
          <w:p w14:paraId="5F36EE33"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 primary health care service initiated and operated by the local Aboriginal community.</w:t>
            </w:r>
          </w:p>
        </w:tc>
      </w:tr>
      <w:tr w:rsidR="00817CB4" w14:paraId="0922C0E3" w14:textId="77777777" w:rsidTr="48E88A4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60B82D8E" w14:textId="77777777" w:rsidR="00817CB4" w:rsidRPr="002D330A" w:rsidRDefault="00817CB4" w:rsidP="0054375E">
            <w:pPr>
              <w:pStyle w:val="ListBullet"/>
              <w:numPr>
                <w:ilvl w:val="0"/>
                <w:numId w:val="0"/>
              </w:numPr>
              <w:rPr>
                <w:szCs w:val="22"/>
              </w:rPr>
            </w:pPr>
            <w:r w:rsidRPr="002D330A">
              <w:rPr>
                <w:szCs w:val="22"/>
              </w:rPr>
              <w:t>Aboriginal and Torres Strait Islander health practitioner</w:t>
            </w:r>
          </w:p>
        </w:tc>
        <w:tc>
          <w:tcPr>
            <w:tcW w:w="5811" w:type="dxa"/>
          </w:tcPr>
          <w:p w14:paraId="14B89B19" w14:textId="77777777" w:rsidR="00817CB4" w:rsidRPr="002D330A" w:rsidRDefault="00817CB4" w:rsidP="0054375E">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ascii="Calibri" w:eastAsiaTheme="majorEastAsia" w:hAnsi="Calibri"/>
                <w:szCs w:val="22"/>
                <w:lang w:val="en-GB"/>
              </w:rPr>
            </w:pPr>
            <w:r w:rsidRPr="002D330A">
              <w:rPr>
                <w:rFonts w:eastAsiaTheme="majorEastAsia"/>
                <w:szCs w:val="22"/>
              </w:rPr>
              <w:t xml:space="preserve">As per the </w:t>
            </w:r>
            <w:r w:rsidRPr="0004758E">
              <w:rPr>
                <w:rStyle w:val="Emphasis"/>
              </w:rPr>
              <w:t>Australian Government Department of Health and Aged Care Medicare Benefits Schedule Book</w:t>
            </w:r>
            <w:r w:rsidRPr="002D330A">
              <w:rPr>
                <w:szCs w:val="22"/>
              </w:rPr>
              <w:t>,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Health Insurance Act 1973.</w:t>
            </w:r>
            <w:r w:rsidRPr="0004758E">
              <w:rPr>
                <w:rFonts w:eastAsiaTheme="majorEastAsia"/>
              </w:rPr>
              <w:t xml:space="preserve">   </w:t>
            </w:r>
          </w:p>
        </w:tc>
      </w:tr>
      <w:tr w:rsidR="00817CB4" w14:paraId="2014D221" w14:textId="77777777" w:rsidTr="48E88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1C46B08" w14:textId="77777777" w:rsidR="00817CB4" w:rsidRPr="00733FD8" w:rsidRDefault="00817CB4" w:rsidP="00733FD8">
            <w:pPr>
              <w:pStyle w:val="Tabletextleft"/>
            </w:pPr>
            <w:r w:rsidRPr="00733FD8">
              <w:t>Care team</w:t>
            </w:r>
          </w:p>
        </w:tc>
        <w:tc>
          <w:tcPr>
            <w:tcW w:w="5811" w:type="dxa"/>
          </w:tcPr>
          <w:p w14:paraId="474AEA8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Eligible health professionals who deliver eligible services as part of General Practice in Aged Care Incentive under the direction and responsibility of the Responsible Provider. Members of a care team must all be delivering services at the same practice as the Responsible Provider, and where possible, be linked to the same practice in MyMedicare.</w:t>
            </w:r>
          </w:p>
        </w:tc>
      </w:tr>
      <w:tr w:rsidR="00817CB4" w14:paraId="175AA64F" w14:textId="77777777" w:rsidTr="48E88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9CE0A96" w14:textId="77777777" w:rsidR="00817CB4" w:rsidRPr="00733FD8" w:rsidRDefault="00817CB4" w:rsidP="00733FD8">
            <w:pPr>
              <w:pStyle w:val="Tabletextleft"/>
            </w:pPr>
            <w:r w:rsidRPr="00733FD8">
              <w:t>General practice</w:t>
            </w:r>
          </w:p>
        </w:tc>
        <w:tc>
          <w:tcPr>
            <w:tcW w:w="5811" w:type="dxa"/>
          </w:tcPr>
          <w:p w14:paraId="50790B1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General practice is defined by the RACGP Standards for general practices and must be an accredited service. For the purposes of accreditation as a general practice a site must:</w:t>
            </w:r>
          </w:p>
          <w:p w14:paraId="4EAB28BA" w14:textId="1DFF0BA5" w:rsidR="00817CB4" w:rsidRPr="00733FD8" w:rsidRDefault="00817CB4" w:rsidP="00733FD8">
            <w:pPr>
              <w:pStyle w:val="Tabletextleft"/>
              <w:numPr>
                <w:ilvl w:val="0"/>
                <w:numId w:val="15"/>
              </w:numPr>
              <w:cnfStyle w:val="000000010000" w:firstRow="0" w:lastRow="0" w:firstColumn="0" w:lastColumn="0" w:oddVBand="0" w:evenVBand="0" w:oddHBand="0" w:evenHBand="1" w:firstRowFirstColumn="0" w:firstRowLastColumn="0" w:lastRowFirstColumn="0" w:lastRowLastColumn="0"/>
            </w:pPr>
            <w:r w:rsidRPr="00733FD8">
              <w:t xml:space="preserve">provide comprehensive, patient </w:t>
            </w:r>
            <w:r w:rsidR="00AD0B5D" w:rsidRPr="00733FD8">
              <w:t>centred</w:t>
            </w:r>
            <w:r w:rsidRPr="00733FD8">
              <w:t xml:space="preserve">, whole-person and continuous care; and </w:t>
            </w:r>
          </w:p>
          <w:p w14:paraId="17464A54" w14:textId="77777777" w:rsidR="00817CB4" w:rsidRPr="00733FD8" w:rsidRDefault="00817CB4" w:rsidP="00733FD8">
            <w:pPr>
              <w:pStyle w:val="Tabletextleft"/>
              <w:numPr>
                <w:ilvl w:val="0"/>
                <w:numId w:val="15"/>
              </w:numPr>
              <w:cnfStyle w:val="000000010000" w:firstRow="0" w:lastRow="0" w:firstColumn="0" w:lastColumn="0" w:oddVBand="0" w:evenVBand="0" w:oddHBand="0" w:evenHBand="1" w:firstRowFirstColumn="0" w:firstRowLastColumn="0" w:lastRowFirstColumn="0" w:lastRowLastColumn="0"/>
            </w:pPr>
            <w:r w:rsidRPr="00733FD8">
              <w:t>its services must be predominantly* of a general practice nature.</w:t>
            </w:r>
          </w:p>
          <w:p w14:paraId="7E9E3B6C"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*More than 50 per cent of the practice’s general practitioners’ clinical time (i.e., collectively), and more than 50 per cent of services for which Medicare benefits are claimed or could be claimed (from the practice) are in general practice.</w:t>
            </w:r>
          </w:p>
        </w:tc>
      </w:tr>
      <w:tr w:rsidR="00817CB4" w14:paraId="4756B914" w14:textId="77777777" w:rsidTr="48E88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BAAD2C9" w14:textId="77777777" w:rsidR="00817CB4" w:rsidRPr="00733FD8" w:rsidRDefault="00817CB4" w:rsidP="00733FD8">
            <w:pPr>
              <w:pStyle w:val="Tabletextleft"/>
            </w:pPr>
            <w:r w:rsidRPr="00733FD8">
              <w:t>General Practitioner</w:t>
            </w:r>
          </w:p>
        </w:tc>
        <w:tc>
          <w:tcPr>
            <w:tcW w:w="5811" w:type="dxa"/>
          </w:tcPr>
          <w:p w14:paraId="33651155"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GPs are doctors who have completed training in general practice.</w:t>
            </w:r>
          </w:p>
        </w:tc>
      </w:tr>
      <w:tr w:rsidR="00817CB4" w14:paraId="201A5167" w14:textId="77777777" w:rsidTr="48E88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5070DE1" w14:textId="5C6E751B" w:rsidR="00817CB4" w:rsidRPr="00733FD8" w:rsidRDefault="00817CB4" w:rsidP="00733FD8">
            <w:pPr>
              <w:pStyle w:val="Tabletextleft"/>
            </w:pPr>
            <w:r>
              <w:t>Medicare Benefits Schedule</w:t>
            </w:r>
            <w:r w:rsidR="3D11BE49">
              <w:t xml:space="preserve"> (MBS</w:t>
            </w:r>
            <w:r>
              <w:t xml:space="preserve">) </w:t>
            </w:r>
          </w:p>
        </w:tc>
        <w:tc>
          <w:tcPr>
            <w:tcW w:w="5811" w:type="dxa"/>
          </w:tcPr>
          <w:p w14:paraId="5AAC53D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 xml:space="preserve">A listing of the medical services subsidised by the Australian government, providing information on the amount Medicare will rebate for each service. </w:t>
            </w:r>
          </w:p>
        </w:tc>
      </w:tr>
      <w:tr w:rsidR="00817CB4" w14:paraId="2B670F48" w14:textId="77777777" w:rsidTr="48E88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CB1A985" w14:textId="77777777" w:rsidR="00817CB4" w:rsidRPr="00733FD8" w:rsidRDefault="00817CB4" w:rsidP="00733FD8">
            <w:pPr>
              <w:pStyle w:val="Tabletextleft"/>
            </w:pPr>
            <w:r w:rsidRPr="00733FD8">
              <w:lastRenderedPageBreak/>
              <w:t xml:space="preserve">Modified Monash Model (MMM) </w:t>
            </w:r>
          </w:p>
        </w:tc>
        <w:tc>
          <w:tcPr>
            <w:tcW w:w="5811" w:type="dxa"/>
          </w:tcPr>
          <w:p w14:paraId="36C129A2"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A classification system that categorises locations in Australia based on geographical remoteness and population size, used to allocate healthcare resources and incentives. </w:t>
            </w:r>
          </w:p>
        </w:tc>
      </w:tr>
      <w:tr w:rsidR="00817CB4" w14:paraId="4EADBA03" w14:textId="77777777" w:rsidTr="48E88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BC2186C" w14:textId="77777777" w:rsidR="00817CB4" w:rsidRPr="00733FD8" w:rsidRDefault="00817CB4" w:rsidP="00733FD8">
            <w:pPr>
              <w:pStyle w:val="Tabletextleft"/>
            </w:pPr>
            <w:r w:rsidRPr="00733FD8">
              <w:t xml:space="preserve">MyMedicare </w:t>
            </w:r>
          </w:p>
        </w:tc>
        <w:tc>
          <w:tcPr>
            <w:tcW w:w="5811" w:type="dxa"/>
          </w:tcPr>
          <w:p w14:paraId="502FA3DA"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 xml:space="preserve">A voluntary patient registration program aiming to formalise the relationship between patients, their general practice, GP, and primary care teams. </w:t>
            </w:r>
          </w:p>
        </w:tc>
      </w:tr>
      <w:tr w:rsidR="00817CB4" w14:paraId="28D77A74" w14:textId="77777777" w:rsidTr="48E88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9C5DA6E" w14:textId="77777777" w:rsidR="00817CB4" w:rsidRPr="00733FD8" w:rsidRDefault="00817CB4" w:rsidP="00733FD8">
            <w:pPr>
              <w:pStyle w:val="Tabletextleft"/>
            </w:pPr>
            <w:r w:rsidRPr="00733FD8">
              <w:t>Nurse Practitioner</w:t>
            </w:r>
          </w:p>
        </w:tc>
        <w:tc>
          <w:tcPr>
            <w:tcW w:w="5811" w:type="dxa"/>
          </w:tcPr>
          <w:p w14:paraId="3659A9E5" w14:textId="77777777" w:rsidR="00817CB4" w:rsidRPr="002D330A" w:rsidRDefault="00817CB4" w:rsidP="0054375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heme="minorEastAsia"/>
                <w:szCs w:val="22"/>
              </w:rPr>
            </w:pPr>
            <w:r w:rsidRPr="002D330A">
              <w:rPr>
                <w:szCs w:val="22"/>
              </w:rPr>
              <w:t xml:space="preserve">As per </w:t>
            </w:r>
            <w:r w:rsidRPr="002D330A">
              <w:rPr>
                <w:i/>
                <w:szCs w:val="22"/>
              </w:rPr>
              <w:t>Health Insurance Act 1973</w:t>
            </w:r>
            <w:r w:rsidRPr="002D330A">
              <w:rPr>
                <w:szCs w:val="22"/>
              </w:rPr>
              <w:t>, a person who is registered under the National Law in the nursing profession as a nurse practitioner</w:t>
            </w:r>
          </w:p>
        </w:tc>
      </w:tr>
      <w:tr w:rsidR="00817CB4" w14:paraId="6BA7116F" w14:textId="77777777" w:rsidTr="48E88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D8179D2" w14:textId="77777777" w:rsidR="00817CB4" w:rsidRPr="00733FD8" w:rsidRDefault="00817CB4" w:rsidP="00733FD8">
            <w:pPr>
              <w:pStyle w:val="Tabletextleft"/>
            </w:pPr>
            <w:r w:rsidRPr="00733FD8">
              <w:t>Practice Nurse</w:t>
            </w:r>
          </w:p>
        </w:tc>
        <w:tc>
          <w:tcPr>
            <w:tcW w:w="5811" w:type="dxa"/>
          </w:tcPr>
          <w:p w14:paraId="1B2B6AA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 xml:space="preserve">As per </w:t>
            </w:r>
            <w:r w:rsidRPr="00733FD8">
              <w:rPr>
                <w:rFonts w:eastAsiaTheme="minorHAnsi"/>
                <w:i/>
              </w:rPr>
              <w:t>Health Insurance (General Medical Services Table) Regulations 2021</w:t>
            </w:r>
            <w:r w:rsidRPr="00733FD8">
              <w:t>,</w:t>
            </w:r>
            <w:r w:rsidRPr="00733FD8">
              <w:rPr>
                <w:rFonts w:eastAsiaTheme="minorHAnsi"/>
              </w:rPr>
              <w:t xml:space="preserve"> a registered or an enrolled nurse who is employed by, or whose services are otherwise retained by, a general practice or by a health service to which a direction made under subsection 19(2) of the Act applies.</w:t>
            </w:r>
          </w:p>
        </w:tc>
      </w:tr>
      <w:tr w:rsidR="00817CB4" w14:paraId="0E02BCC0" w14:textId="77777777" w:rsidTr="48E88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0354B2D5" w14:textId="77777777" w:rsidR="00817CB4" w:rsidRPr="00733FD8" w:rsidRDefault="00817CB4" w:rsidP="00733FD8">
            <w:pPr>
              <w:pStyle w:val="Tabletextleft"/>
            </w:pPr>
            <w:r w:rsidRPr="00733FD8">
              <w:t>Residential Aged Care Home</w:t>
            </w:r>
          </w:p>
        </w:tc>
        <w:tc>
          <w:tcPr>
            <w:tcW w:w="5811" w:type="dxa"/>
          </w:tcPr>
          <w:p w14:paraId="635D513F"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Facilities providing accommodation and care for older people who can no longer live independently, </w:t>
            </w:r>
            <w:proofErr w:type="gramStart"/>
            <w:r w:rsidRPr="00733FD8">
              <w:t>offering assistance</w:t>
            </w:r>
            <w:proofErr w:type="gramEnd"/>
            <w:r w:rsidRPr="00733FD8">
              <w:t xml:space="preserve"> with daily activities, healthcare, and social support. </w:t>
            </w:r>
          </w:p>
        </w:tc>
      </w:tr>
      <w:tr w:rsidR="00817CB4" w14:paraId="7D7C1C40" w14:textId="77777777" w:rsidTr="48E88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A0FDA95" w14:textId="77777777" w:rsidR="00817CB4" w:rsidRPr="00733FD8" w:rsidRDefault="00817CB4" w:rsidP="00733FD8">
            <w:pPr>
              <w:pStyle w:val="Tabletextleft"/>
            </w:pPr>
            <w:r w:rsidRPr="00733FD8">
              <w:t>Responsible Provider</w:t>
            </w:r>
          </w:p>
        </w:tc>
        <w:tc>
          <w:tcPr>
            <w:tcW w:w="5811" w:type="dxa"/>
          </w:tcPr>
          <w:p w14:paraId="6D414EE2"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 xml:space="preserve">Medical practitioner who holds an eligible speciality code, as outlined in Appendix 10.2, and who for the purposes of the General Practice in Aged Care Incentive are responsible for </w:t>
            </w:r>
            <w:r w:rsidRPr="000D1B5A">
              <w:t>coordinating the delivery of eligible services to an eligible patient</w:t>
            </w:r>
          </w:p>
        </w:tc>
      </w:tr>
      <w:tr w:rsidR="00817CB4" w14:paraId="50A053B0" w14:textId="77777777" w:rsidTr="48E88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D54AFAC" w14:textId="77777777" w:rsidR="00817CB4" w:rsidRPr="00733FD8" w:rsidRDefault="00817CB4" w:rsidP="00733FD8">
            <w:pPr>
              <w:pStyle w:val="Tabletextleft"/>
            </w:pPr>
            <w:r w:rsidRPr="00733FD8">
              <w:t xml:space="preserve">Royal Commission into Aged Care Quality and Safety </w:t>
            </w:r>
          </w:p>
        </w:tc>
        <w:tc>
          <w:tcPr>
            <w:tcW w:w="5811" w:type="dxa"/>
          </w:tcPr>
          <w:p w14:paraId="54E42D0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An investigation established to examine the quality of aged care services and the safety and wellbeing of recipients, resulting in recommendations for system-wide improvements. </w:t>
            </w:r>
          </w:p>
        </w:tc>
      </w:tr>
      <w:tr w:rsidR="00817CB4" w14:paraId="6E61EF76" w14:textId="77777777" w:rsidTr="48E88A4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Pr>
          <w:p w14:paraId="31B7613A" w14:textId="77777777" w:rsidR="00817CB4" w:rsidRPr="002D330A" w:rsidRDefault="00817CB4" w:rsidP="0054375E">
            <w:pPr>
              <w:pStyle w:val="ListBullet"/>
              <w:numPr>
                <w:ilvl w:val="0"/>
                <w:numId w:val="0"/>
              </w:numPr>
              <w:rPr>
                <w:szCs w:val="22"/>
              </w:rPr>
            </w:pPr>
            <w:r w:rsidRPr="002D330A">
              <w:rPr>
                <w:szCs w:val="22"/>
              </w:rPr>
              <w:t>Primary Health Networks (PHNs)</w:t>
            </w:r>
          </w:p>
        </w:tc>
        <w:tc>
          <w:tcPr>
            <w:tcW w:w="5811" w:type="dxa"/>
          </w:tcPr>
          <w:p w14:paraId="6319C330"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Independent organisations that are funded by the Australian Government Department of Health and Aged Care to manage health regions, assess the needs of their community and commission health services to support the delivery of coordinated health care.</w:t>
            </w:r>
          </w:p>
        </w:tc>
      </w:tr>
    </w:tbl>
    <w:p w14:paraId="3E2C78B4" w14:textId="77777777" w:rsidR="00817CB4" w:rsidRPr="006C67A6" w:rsidRDefault="00817CB4" w:rsidP="00817CB4">
      <w:pPr>
        <w:spacing w:before="120" w:after="120" w:line="276" w:lineRule="auto"/>
        <w:rPr>
          <w:rFonts w:eastAsia="Times New Roman"/>
        </w:rPr>
      </w:pPr>
      <w:r w:rsidRPr="006C67A6">
        <w:rPr>
          <w:rFonts w:eastAsia="Times New Roman"/>
        </w:rPr>
        <w:br w:type="page"/>
      </w:r>
    </w:p>
    <w:p w14:paraId="4B1F6E87" w14:textId="77777777" w:rsidR="00817CB4" w:rsidRPr="001F7637" w:rsidRDefault="758819B6" w:rsidP="001F7637">
      <w:pPr>
        <w:pStyle w:val="Heading2"/>
      </w:pPr>
      <w:bookmarkStart w:id="452" w:name="_Toc167109459"/>
      <w:bookmarkStart w:id="453" w:name="_Toc170120039"/>
      <w:bookmarkStart w:id="454" w:name="_Toc170817180"/>
      <w:bookmarkStart w:id="455" w:name="_Toc182311183"/>
      <w:r>
        <w:lastRenderedPageBreak/>
        <w:t>General Practice in Aged Care Incentive eligible specialty codes</w:t>
      </w:r>
      <w:bookmarkEnd w:id="441"/>
      <w:bookmarkEnd w:id="442"/>
      <w:bookmarkEnd w:id="443"/>
      <w:bookmarkEnd w:id="444"/>
      <w:bookmarkEnd w:id="452"/>
      <w:bookmarkEnd w:id="453"/>
      <w:bookmarkEnd w:id="454"/>
      <w:bookmarkEnd w:id="455"/>
    </w:p>
    <w:p w14:paraId="0FE0026B" w14:textId="77777777" w:rsidR="00817CB4" w:rsidRPr="00EE3237" w:rsidRDefault="00817CB4" w:rsidP="00817CB4">
      <w:pPr>
        <w:spacing w:before="120" w:after="120" w:line="276" w:lineRule="auto"/>
        <w:rPr>
          <w:rFonts w:eastAsia="Times New Roman"/>
        </w:rPr>
      </w:pPr>
      <w:r w:rsidRPr="00EE3237">
        <w:rPr>
          <w:rFonts w:eastAsia="Times New Roman"/>
        </w:rPr>
        <w:t>Version 1 – As of 8 May 2024</w:t>
      </w:r>
    </w:p>
    <w:tbl>
      <w:tblPr>
        <w:tblStyle w:val="DepartmentofHealthtable"/>
        <w:tblW w:w="10490" w:type="dxa"/>
        <w:tblInd w:w="-709" w:type="dxa"/>
        <w:tblLook w:val="04A0" w:firstRow="1" w:lastRow="0" w:firstColumn="1" w:lastColumn="0" w:noHBand="0" w:noVBand="1"/>
        <w:tblDescription w:val="Add Alt Text describing the content of the table"/>
      </w:tblPr>
      <w:tblGrid>
        <w:gridCol w:w="1183"/>
        <w:gridCol w:w="4063"/>
        <w:gridCol w:w="1183"/>
        <w:gridCol w:w="4061"/>
      </w:tblGrid>
      <w:tr w:rsidR="00817CB4" w14:paraId="6A3C77CD"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Pr>
          <w:p w14:paraId="1FC98064" w14:textId="77777777" w:rsidR="00817CB4" w:rsidRPr="002D330A" w:rsidRDefault="00817CB4" w:rsidP="0054375E">
            <w:pPr>
              <w:pStyle w:val="TableHeaderWhite"/>
              <w:rPr>
                <w:rFonts w:cs="Arial"/>
              </w:rPr>
            </w:pPr>
            <w:r w:rsidRPr="002D330A">
              <w:rPr>
                <w:rFonts w:cs="Arial"/>
              </w:rPr>
              <w:t>Specialty</w:t>
            </w:r>
          </w:p>
        </w:tc>
        <w:tc>
          <w:tcPr>
            <w:tcW w:w="4086" w:type="dxa"/>
          </w:tcPr>
          <w:p w14:paraId="104F34AD"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Description</w:t>
            </w:r>
          </w:p>
        </w:tc>
        <w:tc>
          <w:tcPr>
            <w:tcW w:w="1183" w:type="dxa"/>
          </w:tcPr>
          <w:p w14:paraId="49A49B1A"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Specialty</w:t>
            </w:r>
          </w:p>
        </w:tc>
        <w:tc>
          <w:tcPr>
            <w:tcW w:w="4086" w:type="dxa"/>
          </w:tcPr>
          <w:p w14:paraId="4ADF0E82" w14:textId="77777777" w:rsidR="00817CB4" w:rsidRPr="002D330A" w:rsidRDefault="00817CB4" w:rsidP="0054375E">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2D330A">
              <w:rPr>
                <w:rFonts w:cs="Arial"/>
              </w:rPr>
              <w:t>Description</w:t>
            </w:r>
          </w:p>
        </w:tc>
      </w:tr>
      <w:tr w:rsidR="00817CB4" w14:paraId="4061FDD7"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CCCE6DD" w14:textId="77777777" w:rsidR="00817CB4" w:rsidRPr="00733FD8" w:rsidRDefault="00817CB4" w:rsidP="00733FD8">
            <w:pPr>
              <w:pStyle w:val="Tabletextleft"/>
            </w:pPr>
            <w:r w:rsidRPr="00733FD8">
              <w:t>104</w:t>
            </w:r>
          </w:p>
        </w:tc>
        <w:tc>
          <w:tcPr>
            <w:tcW w:w="4086" w:type="dxa"/>
          </w:tcPr>
          <w:p w14:paraId="4BC17BA2"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Other Health professional - pre 1/11/96</w:t>
            </w:r>
          </w:p>
        </w:tc>
        <w:tc>
          <w:tcPr>
            <w:tcW w:w="1183" w:type="dxa"/>
          </w:tcPr>
          <w:p w14:paraId="58B0DD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450</w:t>
            </w:r>
          </w:p>
        </w:tc>
        <w:tc>
          <w:tcPr>
            <w:tcW w:w="4086" w:type="dxa"/>
          </w:tcPr>
          <w:p w14:paraId="142A934F"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North Coast NSW GP Training</w:t>
            </w:r>
          </w:p>
        </w:tc>
      </w:tr>
      <w:tr w:rsidR="00817CB4" w14:paraId="0A3D72DB"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A53E72B" w14:textId="77777777" w:rsidR="00817CB4" w:rsidRPr="00733FD8" w:rsidRDefault="00817CB4" w:rsidP="00733FD8">
            <w:pPr>
              <w:pStyle w:val="Tabletextleft"/>
            </w:pPr>
            <w:r w:rsidRPr="00733FD8">
              <w:t>130</w:t>
            </w:r>
          </w:p>
        </w:tc>
        <w:tc>
          <w:tcPr>
            <w:tcW w:w="4086" w:type="dxa"/>
          </w:tcPr>
          <w:p w14:paraId="4FD809BA"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Vocational Register</w:t>
            </w:r>
          </w:p>
        </w:tc>
        <w:tc>
          <w:tcPr>
            <w:tcW w:w="1183" w:type="dxa"/>
          </w:tcPr>
          <w:p w14:paraId="2DFA0BB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451</w:t>
            </w:r>
          </w:p>
        </w:tc>
        <w:tc>
          <w:tcPr>
            <w:tcW w:w="4086" w:type="dxa"/>
          </w:tcPr>
          <w:p w14:paraId="6CA17CCB"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Victoria Felix Medical Education</w:t>
            </w:r>
          </w:p>
        </w:tc>
      </w:tr>
      <w:tr w:rsidR="00817CB4" w14:paraId="5E885A7B"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26BFFD1" w14:textId="77777777" w:rsidR="00817CB4" w:rsidRPr="00733FD8" w:rsidRDefault="00817CB4" w:rsidP="00733FD8">
            <w:pPr>
              <w:pStyle w:val="Tabletextleft"/>
            </w:pPr>
            <w:r w:rsidRPr="00733FD8">
              <w:t>131</w:t>
            </w:r>
          </w:p>
        </w:tc>
        <w:tc>
          <w:tcPr>
            <w:tcW w:w="4086" w:type="dxa"/>
          </w:tcPr>
          <w:p w14:paraId="3441E0F9"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RACGP Trainee</w:t>
            </w:r>
          </w:p>
        </w:tc>
        <w:tc>
          <w:tcPr>
            <w:tcW w:w="1183" w:type="dxa"/>
          </w:tcPr>
          <w:p w14:paraId="5E608799"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452</w:t>
            </w:r>
          </w:p>
        </w:tc>
        <w:tc>
          <w:tcPr>
            <w:tcW w:w="4086" w:type="dxa"/>
          </w:tcPr>
          <w:p w14:paraId="383EDBF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Rural Health Ed/Dev West (RHEDWEST)</w:t>
            </w:r>
          </w:p>
        </w:tc>
      </w:tr>
      <w:tr w:rsidR="00817CB4" w14:paraId="2654A869"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00407C9" w14:textId="77777777" w:rsidR="00817CB4" w:rsidRPr="00733FD8" w:rsidRDefault="00817CB4" w:rsidP="00733FD8">
            <w:pPr>
              <w:pStyle w:val="Tabletextleft"/>
            </w:pPr>
            <w:r w:rsidRPr="00733FD8">
              <w:t>132</w:t>
            </w:r>
          </w:p>
        </w:tc>
        <w:tc>
          <w:tcPr>
            <w:tcW w:w="4086" w:type="dxa"/>
          </w:tcPr>
          <w:p w14:paraId="25AB817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FRACGP</w:t>
            </w:r>
          </w:p>
        </w:tc>
        <w:tc>
          <w:tcPr>
            <w:tcW w:w="1183" w:type="dxa"/>
          </w:tcPr>
          <w:p w14:paraId="3F9264BC"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453</w:t>
            </w:r>
          </w:p>
        </w:tc>
        <w:tc>
          <w:tcPr>
            <w:tcW w:w="4086" w:type="dxa"/>
          </w:tcPr>
          <w:p w14:paraId="6E2F441B"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GPET - GPlogic</w:t>
            </w:r>
          </w:p>
        </w:tc>
      </w:tr>
      <w:tr w:rsidR="00817CB4" w14:paraId="46099841"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8CD8D81" w14:textId="77777777" w:rsidR="00817CB4" w:rsidRPr="00733FD8" w:rsidRDefault="00817CB4" w:rsidP="00733FD8">
            <w:pPr>
              <w:pStyle w:val="Tabletextleft"/>
            </w:pPr>
            <w:r w:rsidRPr="00733FD8">
              <w:t>133</w:t>
            </w:r>
          </w:p>
        </w:tc>
        <w:tc>
          <w:tcPr>
            <w:tcW w:w="4086" w:type="dxa"/>
          </w:tcPr>
          <w:p w14:paraId="20BA3AA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RACGP Trainee Post 1/11/96</w:t>
            </w:r>
          </w:p>
        </w:tc>
        <w:tc>
          <w:tcPr>
            <w:tcW w:w="1183" w:type="dxa"/>
          </w:tcPr>
          <w:p w14:paraId="2369A3CA"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454</w:t>
            </w:r>
          </w:p>
        </w:tc>
        <w:tc>
          <w:tcPr>
            <w:tcW w:w="4086" w:type="dxa"/>
          </w:tcPr>
          <w:p w14:paraId="26BD44EA"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GPET - GP Synergy</w:t>
            </w:r>
          </w:p>
        </w:tc>
      </w:tr>
      <w:tr w:rsidR="00817CB4" w14:paraId="6088CA05"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922C7E2" w14:textId="77777777" w:rsidR="00817CB4" w:rsidRPr="00733FD8" w:rsidRDefault="00817CB4" w:rsidP="00733FD8">
            <w:pPr>
              <w:pStyle w:val="Tabletextleft"/>
            </w:pPr>
            <w:r w:rsidRPr="00733FD8">
              <w:t>134</w:t>
            </w:r>
          </w:p>
        </w:tc>
        <w:tc>
          <w:tcPr>
            <w:tcW w:w="4086" w:type="dxa"/>
          </w:tcPr>
          <w:p w14:paraId="465B13E0"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RACGP Trainee 1/1/99</w:t>
            </w:r>
          </w:p>
        </w:tc>
        <w:tc>
          <w:tcPr>
            <w:tcW w:w="1183" w:type="dxa"/>
          </w:tcPr>
          <w:p w14:paraId="2F164C1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455</w:t>
            </w:r>
          </w:p>
        </w:tc>
        <w:tc>
          <w:tcPr>
            <w:tcW w:w="4086" w:type="dxa"/>
          </w:tcPr>
          <w:p w14:paraId="05712443"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GPET - Beyond Medical Education</w:t>
            </w:r>
          </w:p>
        </w:tc>
      </w:tr>
      <w:tr w:rsidR="00817CB4" w14:paraId="67E7CAFC"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ABB1E0B" w14:textId="77777777" w:rsidR="00817CB4" w:rsidRPr="00733FD8" w:rsidRDefault="00817CB4" w:rsidP="00733FD8">
            <w:pPr>
              <w:pStyle w:val="Tabletextleft"/>
            </w:pPr>
            <w:r w:rsidRPr="00733FD8">
              <w:t>176</w:t>
            </w:r>
          </w:p>
        </w:tc>
        <w:tc>
          <w:tcPr>
            <w:tcW w:w="4086" w:type="dxa"/>
          </w:tcPr>
          <w:p w14:paraId="777C925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Remote Vocational Training Scheme</w:t>
            </w:r>
          </w:p>
        </w:tc>
        <w:tc>
          <w:tcPr>
            <w:tcW w:w="1183" w:type="dxa"/>
          </w:tcPr>
          <w:p w14:paraId="010707A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456</w:t>
            </w:r>
          </w:p>
        </w:tc>
        <w:tc>
          <w:tcPr>
            <w:tcW w:w="4086" w:type="dxa"/>
          </w:tcPr>
          <w:p w14:paraId="05BE12E7"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GPET - Southern GP Training</w:t>
            </w:r>
          </w:p>
        </w:tc>
      </w:tr>
      <w:tr w:rsidR="00817CB4" w14:paraId="7A5CCF9C"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2630B2F" w14:textId="77777777" w:rsidR="00817CB4" w:rsidRPr="00733FD8" w:rsidRDefault="00817CB4" w:rsidP="00733FD8">
            <w:pPr>
              <w:pStyle w:val="Tabletextleft"/>
            </w:pPr>
            <w:r w:rsidRPr="00733FD8">
              <w:t>177</w:t>
            </w:r>
          </w:p>
        </w:tc>
        <w:tc>
          <w:tcPr>
            <w:tcW w:w="4086" w:type="dxa"/>
          </w:tcPr>
          <w:p w14:paraId="6CB0D84C"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Queensland Country Relieving Program – QCRP</w:t>
            </w:r>
          </w:p>
        </w:tc>
        <w:tc>
          <w:tcPr>
            <w:tcW w:w="1183" w:type="dxa"/>
          </w:tcPr>
          <w:p w14:paraId="5766CDB9"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457</w:t>
            </w:r>
          </w:p>
        </w:tc>
        <w:tc>
          <w:tcPr>
            <w:tcW w:w="4086" w:type="dxa"/>
          </w:tcPr>
          <w:p w14:paraId="1DEF24A0"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 - Murray City Country Coast</w:t>
            </w:r>
          </w:p>
        </w:tc>
      </w:tr>
      <w:tr w:rsidR="00817CB4" w14:paraId="5A137848"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958A6F" w14:textId="77777777" w:rsidR="00817CB4" w:rsidRPr="00733FD8" w:rsidRDefault="00817CB4" w:rsidP="00733FD8">
            <w:pPr>
              <w:pStyle w:val="Tabletextleft"/>
            </w:pPr>
            <w:r w:rsidRPr="00733FD8">
              <w:t>178</w:t>
            </w:r>
          </w:p>
        </w:tc>
        <w:tc>
          <w:tcPr>
            <w:tcW w:w="4086" w:type="dxa"/>
          </w:tcPr>
          <w:p w14:paraId="64EC9A6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Prevocational General Practice Placements Program</w:t>
            </w:r>
          </w:p>
        </w:tc>
        <w:tc>
          <w:tcPr>
            <w:tcW w:w="1183" w:type="dxa"/>
          </w:tcPr>
          <w:p w14:paraId="63ECC965"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458</w:t>
            </w:r>
          </w:p>
        </w:tc>
        <w:tc>
          <w:tcPr>
            <w:tcW w:w="4086" w:type="dxa"/>
          </w:tcPr>
          <w:p w14:paraId="0DF70F52"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Eastern Victoria GP Training</w:t>
            </w:r>
          </w:p>
        </w:tc>
      </w:tr>
      <w:tr w:rsidR="00817CB4" w14:paraId="5CC2CAF2"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7FA448A" w14:textId="77777777" w:rsidR="00817CB4" w:rsidRPr="00733FD8" w:rsidRDefault="00817CB4" w:rsidP="00733FD8">
            <w:pPr>
              <w:pStyle w:val="Tabletextleft"/>
            </w:pPr>
            <w:r w:rsidRPr="00733FD8">
              <w:t>179</w:t>
            </w:r>
          </w:p>
        </w:tc>
        <w:tc>
          <w:tcPr>
            <w:tcW w:w="4086" w:type="dxa"/>
          </w:tcPr>
          <w:p w14:paraId="1724289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Special Approved Placements Program (SAPP)</w:t>
            </w:r>
          </w:p>
        </w:tc>
        <w:tc>
          <w:tcPr>
            <w:tcW w:w="1183" w:type="dxa"/>
          </w:tcPr>
          <w:p w14:paraId="6135129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459</w:t>
            </w:r>
          </w:p>
        </w:tc>
        <w:tc>
          <w:tcPr>
            <w:tcW w:w="4086" w:type="dxa"/>
          </w:tcPr>
          <w:p w14:paraId="4C1856B2"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 xml:space="preserve">GP Training - </w:t>
            </w:r>
            <w:proofErr w:type="gramStart"/>
            <w:r w:rsidRPr="00733FD8">
              <w:t>South Eastern</w:t>
            </w:r>
            <w:proofErr w:type="gramEnd"/>
            <w:r w:rsidRPr="00733FD8">
              <w:t xml:space="preserve"> Queensland</w:t>
            </w:r>
          </w:p>
        </w:tc>
      </w:tr>
      <w:tr w:rsidR="00817CB4" w14:paraId="69031675"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7F08F6A" w14:textId="77777777" w:rsidR="00817CB4" w:rsidRPr="00733FD8" w:rsidRDefault="00817CB4" w:rsidP="00733FD8">
            <w:pPr>
              <w:pStyle w:val="Tabletextleft"/>
            </w:pPr>
            <w:r w:rsidRPr="00733FD8">
              <w:t>180</w:t>
            </w:r>
          </w:p>
        </w:tc>
        <w:tc>
          <w:tcPr>
            <w:tcW w:w="4086" w:type="dxa"/>
          </w:tcPr>
          <w:p w14:paraId="22BAA5C2"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Temporary Resident Doctor (TRD)</w:t>
            </w:r>
          </w:p>
        </w:tc>
        <w:tc>
          <w:tcPr>
            <w:tcW w:w="1183" w:type="dxa"/>
          </w:tcPr>
          <w:p w14:paraId="6D75CB8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460</w:t>
            </w:r>
          </w:p>
        </w:tc>
        <w:tc>
          <w:tcPr>
            <w:tcW w:w="4086" w:type="dxa"/>
          </w:tcPr>
          <w:p w14:paraId="5B0EFCBF"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James Cook University</w:t>
            </w:r>
          </w:p>
        </w:tc>
      </w:tr>
      <w:tr w:rsidR="00817CB4" w14:paraId="204A802F"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6817600" w14:textId="77777777" w:rsidR="00817CB4" w:rsidRPr="00733FD8" w:rsidRDefault="00817CB4" w:rsidP="00733FD8">
            <w:pPr>
              <w:pStyle w:val="Tabletextleft"/>
            </w:pPr>
            <w:r w:rsidRPr="00733FD8">
              <w:t>182</w:t>
            </w:r>
          </w:p>
        </w:tc>
        <w:tc>
          <w:tcPr>
            <w:tcW w:w="4086" w:type="dxa"/>
          </w:tcPr>
          <w:p w14:paraId="1F989C4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Occupational Trainee (OT)</w:t>
            </w:r>
          </w:p>
        </w:tc>
        <w:tc>
          <w:tcPr>
            <w:tcW w:w="1183" w:type="dxa"/>
          </w:tcPr>
          <w:p w14:paraId="3CAFB4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461</w:t>
            </w:r>
          </w:p>
        </w:tc>
        <w:tc>
          <w:tcPr>
            <w:tcW w:w="4086" w:type="dxa"/>
          </w:tcPr>
          <w:p w14:paraId="3BA767EB"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 - GP Synergy Ltd Western NSW</w:t>
            </w:r>
          </w:p>
        </w:tc>
      </w:tr>
      <w:tr w:rsidR="00817CB4" w14:paraId="1568750B"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5244E6F" w14:textId="77777777" w:rsidR="00817CB4" w:rsidRPr="00733FD8" w:rsidRDefault="00817CB4" w:rsidP="00733FD8">
            <w:pPr>
              <w:pStyle w:val="Tabletextleft"/>
            </w:pPr>
            <w:r w:rsidRPr="00733FD8">
              <w:t>186</w:t>
            </w:r>
          </w:p>
        </w:tc>
        <w:tc>
          <w:tcPr>
            <w:tcW w:w="4086" w:type="dxa"/>
          </w:tcPr>
          <w:p w14:paraId="3CE1DD7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RURAL OTHER MEDICAL PRACTITIONER</w:t>
            </w:r>
          </w:p>
        </w:tc>
        <w:tc>
          <w:tcPr>
            <w:tcW w:w="1183" w:type="dxa"/>
          </w:tcPr>
          <w:p w14:paraId="3FFA73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462</w:t>
            </w:r>
          </w:p>
        </w:tc>
        <w:tc>
          <w:tcPr>
            <w:tcW w:w="4086" w:type="dxa"/>
          </w:tcPr>
          <w:p w14:paraId="062A0758"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GP Synergy Ltd Lower Eastern NSW</w:t>
            </w:r>
          </w:p>
        </w:tc>
      </w:tr>
      <w:tr w:rsidR="00817CB4" w14:paraId="46C8EC4F"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35ED1B4" w14:textId="77777777" w:rsidR="00817CB4" w:rsidRPr="00733FD8" w:rsidRDefault="00817CB4" w:rsidP="00733FD8">
            <w:pPr>
              <w:pStyle w:val="Tabletextleft"/>
            </w:pPr>
            <w:r w:rsidRPr="00733FD8">
              <w:t>188</w:t>
            </w:r>
          </w:p>
        </w:tc>
        <w:tc>
          <w:tcPr>
            <w:tcW w:w="4086" w:type="dxa"/>
          </w:tcPr>
          <w:p w14:paraId="479FD4C3"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MedicarePlus OMPs Participation Program</w:t>
            </w:r>
          </w:p>
        </w:tc>
        <w:tc>
          <w:tcPr>
            <w:tcW w:w="1183" w:type="dxa"/>
          </w:tcPr>
          <w:p w14:paraId="59B205AB"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463</w:t>
            </w:r>
          </w:p>
        </w:tc>
        <w:tc>
          <w:tcPr>
            <w:tcW w:w="4086" w:type="dxa"/>
          </w:tcPr>
          <w:p w14:paraId="1D90603E"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 - GPEx</w:t>
            </w:r>
          </w:p>
        </w:tc>
      </w:tr>
      <w:tr w:rsidR="00817CB4" w14:paraId="50A56622"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51E7EF9" w14:textId="77777777" w:rsidR="00817CB4" w:rsidRPr="00733FD8" w:rsidRDefault="00817CB4" w:rsidP="00733FD8">
            <w:pPr>
              <w:pStyle w:val="Tabletextleft"/>
            </w:pPr>
            <w:r w:rsidRPr="00733FD8">
              <w:t>189</w:t>
            </w:r>
          </w:p>
        </w:tc>
        <w:tc>
          <w:tcPr>
            <w:tcW w:w="4086" w:type="dxa"/>
          </w:tcPr>
          <w:p w14:paraId="1DF9DBFE"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MedicarePlus OMPs Ongoing &gt; 5 years Program</w:t>
            </w:r>
          </w:p>
        </w:tc>
        <w:tc>
          <w:tcPr>
            <w:tcW w:w="1183" w:type="dxa"/>
          </w:tcPr>
          <w:p w14:paraId="15796855"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464</w:t>
            </w:r>
          </w:p>
        </w:tc>
        <w:tc>
          <w:tcPr>
            <w:tcW w:w="4086" w:type="dxa"/>
          </w:tcPr>
          <w:p w14:paraId="6DA43C2C"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Western Australia GPET</w:t>
            </w:r>
          </w:p>
        </w:tc>
      </w:tr>
      <w:tr w:rsidR="00817CB4" w14:paraId="25B09861"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44C13D2" w14:textId="77777777" w:rsidR="00817CB4" w:rsidRPr="00733FD8" w:rsidRDefault="00817CB4" w:rsidP="00733FD8">
            <w:pPr>
              <w:pStyle w:val="Tabletextleft"/>
            </w:pPr>
            <w:r w:rsidRPr="00733FD8">
              <w:t>190</w:t>
            </w:r>
          </w:p>
        </w:tc>
        <w:tc>
          <w:tcPr>
            <w:tcW w:w="4086" w:type="dxa"/>
          </w:tcPr>
          <w:p w14:paraId="25A14797"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Local Rural/Remote Relief (RLRP)</w:t>
            </w:r>
          </w:p>
        </w:tc>
        <w:tc>
          <w:tcPr>
            <w:tcW w:w="1183" w:type="dxa"/>
          </w:tcPr>
          <w:p w14:paraId="37443FB3"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465</w:t>
            </w:r>
          </w:p>
        </w:tc>
        <w:tc>
          <w:tcPr>
            <w:tcW w:w="4086" w:type="dxa"/>
          </w:tcPr>
          <w:p w14:paraId="504C99AE"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 xml:space="preserve">GP Training - GP Synergy </w:t>
            </w:r>
            <w:proofErr w:type="gramStart"/>
            <w:r w:rsidRPr="00733FD8">
              <w:t>North Eastern</w:t>
            </w:r>
            <w:proofErr w:type="gramEnd"/>
            <w:r w:rsidRPr="00733FD8">
              <w:t xml:space="preserve"> NSW</w:t>
            </w:r>
          </w:p>
        </w:tc>
      </w:tr>
      <w:tr w:rsidR="00817CB4" w14:paraId="5D984174"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2D297DC" w14:textId="77777777" w:rsidR="00817CB4" w:rsidRPr="00733FD8" w:rsidRDefault="00817CB4" w:rsidP="00733FD8">
            <w:pPr>
              <w:pStyle w:val="Tabletextleft"/>
            </w:pPr>
            <w:r w:rsidRPr="00733FD8">
              <w:t>194</w:t>
            </w:r>
          </w:p>
        </w:tc>
        <w:tc>
          <w:tcPr>
            <w:tcW w:w="4086" w:type="dxa"/>
          </w:tcPr>
          <w:p w14:paraId="6418857F"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AMDS Program Approved Placement</w:t>
            </w:r>
          </w:p>
        </w:tc>
        <w:tc>
          <w:tcPr>
            <w:tcW w:w="1183" w:type="dxa"/>
          </w:tcPr>
          <w:p w14:paraId="1BC64A49"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466</w:t>
            </w:r>
          </w:p>
        </w:tc>
        <w:tc>
          <w:tcPr>
            <w:tcW w:w="4086" w:type="dxa"/>
          </w:tcPr>
          <w:p w14:paraId="211C8147"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Tasmanian GP Ed and Training</w:t>
            </w:r>
          </w:p>
        </w:tc>
      </w:tr>
      <w:tr w:rsidR="00817CB4" w14:paraId="1BDB046B"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513F5FA" w14:textId="77777777" w:rsidR="00817CB4" w:rsidRPr="00733FD8" w:rsidRDefault="00817CB4" w:rsidP="00733FD8">
            <w:pPr>
              <w:pStyle w:val="Tabletextleft"/>
            </w:pPr>
            <w:r w:rsidRPr="00733FD8">
              <w:t>196</w:t>
            </w:r>
          </w:p>
        </w:tc>
        <w:tc>
          <w:tcPr>
            <w:tcW w:w="4086" w:type="dxa"/>
          </w:tcPr>
          <w:p w14:paraId="59D054C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ACRRM Program Approved Placement</w:t>
            </w:r>
          </w:p>
        </w:tc>
        <w:tc>
          <w:tcPr>
            <w:tcW w:w="1183" w:type="dxa"/>
          </w:tcPr>
          <w:p w14:paraId="28524CA3"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467</w:t>
            </w:r>
          </w:p>
        </w:tc>
        <w:tc>
          <w:tcPr>
            <w:tcW w:w="4086" w:type="dxa"/>
          </w:tcPr>
          <w:p w14:paraId="7852CEF8"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 - NT GP Education</w:t>
            </w:r>
          </w:p>
        </w:tc>
      </w:tr>
      <w:tr w:rsidR="00817CB4" w14:paraId="163519F6"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C454E52" w14:textId="77777777" w:rsidR="00817CB4" w:rsidRPr="00733FD8" w:rsidRDefault="00817CB4" w:rsidP="00733FD8">
            <w:pPr>
              <w:pStyle w:val="Tabletextleft"/>
            </w:pPr>
            <w:r w:rsidRPr="00733FD8">
              <w:t>197</w:t>
            </w:r>
          </w:p>
        </w:tc>
        <w:tc>
          <w:tcPr>
            <w:tcW w:w="4086" w:type="dxa"/>
          </w:tcPr>
          <w:p w14:paraId="49DA6446"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APED Program Approved Placement</w:t>
            </w:r>
          </w:p>
        </w:tc>
        <w:tc>
          <w:tcPr>
            <w:tcW w:w="1183" w:type="dxa"/>
          </w:tcPr>
          <w:p w14:paraId="5A45AC0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468</w:t>
            </w:r>
          </w:p>
        </w:tc>
        <w:tc>
          <w:tcPr>
            <w:tcW w:w="4086" w:type="dxa"/>
          </w:tcPr>
          <w:p w14:paraId="3DE50672"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ACRRM - GP Pathway</w:t>
            </w:r>
          </w:p>
        </w:tc>
      </w:tr>
      <w:tr w:rsidR="00817CB4" w14:paraId="5F9E464C"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E319DFB" w14:textId="77777777" w:rsidR="00817CB4" w:rsidRPr="00733FD8" w:rsidRDefault="00817CB4" w:rsidP="00733FD8">
            <w:pPr>
              <w:pStyle w:val="Tabletextleft"/>
            </w:pPr>
            <w:r w:rsidRPr="00733FD8">
              <w:t>198</w:t>
            </w:r>
          </w:p>
        </w:tc>
        <w:tc>
          <w:tcPr>
            <w:tcW w:w="4086" w:type="dxa"/>
          </w:tcPr>
          <w:p w14:paraId="20864EB9"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Temporary Resident Other Medical Practitioners (TROMP) Program Approved Program</w:t>
            </w:r>
          </w:p>
        </w:tc>
        <w:tc>
          <w:tcPr>
            <w:tcW w:w="1183" w:type="dxa"/>
          </w:tcPr>
          <w:p w14:paraId="5B86CCF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470</w:t>
            </w:r>
          </w:p>
        </w:tc>
        <w:tc>
          <w:tcPr>
            <w:tcW w:w="4086" w:type="dxa"/>
          </w:tcPr>
          <w:p w14:paraId="5D715387"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ACRRM Fellowship Program - ACRRM</w:t>
            </w:r>
          </w:p>
        </w:tc>
      </w:tr>
      <w:tr w:rsidR="00817CB4" w14:paraId="7BF5B139"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FBACCC" w14:textId="77777777" w:rsidR="00817CB4" w:rsidRPr="00733FD8" w:rsidRDefault="00817CB4" w:rsidP="00733FD8">
            <w:pPr>
              <w:pStyle w:val="Tabletextleft"/>
            </w:pPr>
            <w:r w:rsidRPr="00733FD8">
              <w:lastRenderedPageBreak/>
              <w:t>199</w:t>
            </w:r>
          </w:p>
        </w:tc>
        <w:tc>
          <w:tcPr>
            <w:tcW w:w="4086" w:type="dxa"/>
          </w:tcPr>
          <w:p w14:paraId="3320EA1F"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AFTER HOURS OMPS PROGRAM</w:t>
            </w:r>
          </w:p>
        </w:tc>
        <w:tc>
          <w:tcPr>
            <w:tcW w:w="1183" w:type="dxa"/>
          </w:tcPr>
          <w:p w14:paraId="10C2833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471</w:t>
            </w:r>
          </w:p>
        </w:tc>
        <w:tc>
          <w:tcPr>
            <w:tcW w:w="4086" w:type="dxa"/>
          </w:tcPr>
          <w:p w14:paraId="1130108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AGPT - ACRRM</w:t>
            </w:r>
          </w:p>
        </w:tc>
      </w:tr>
      <w:tr w:rsidR="00817CB4" w14:paraId="2C787434"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B9CD6CA" w14:textId="77777777" w:rsidR="00817CB4" w:rsidRPr="00733FD8" w:rsidRDefault="00817CB4" w:rsidP="00733FD8">
            <w:pPr>
              <w:pStyle w:val="Tabletextleft"/>
            </w:pPr>
            <w:r w:rsidRPr="00733FD8">
              <w:t>430</w:t>
            </w:r>
          </w:p>
        </w:tc>
        <w:tc>
          <w:tcPr>
            <w:tcW w:w="4086" w:type="dxa"/>
          </w:tcPr>
          <w:p w14:paraId="6AE8B94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GPEA/GPET</w:t>
            </w:r>
          </w:p>
        </w:tc>
        <w:tc>
          <w:tcPr>
            <w:tcW w:w="1183" w:type="dxa"/>
          </w:tcPr>
          <w:p w14:paraId="7D17E374"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472</w:t>
            </w:r>
          </w:p>
        </w:tc>
        <w:tc>
          <w:tcPr>
            <w:tcW w:w="4086" w:type="dxa"/>
          </w:tcPr>
          <w:p w14:paraId="187DC843"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ACRRM Independent Pathway post 1/1/2019</w:t>
            </w:r>
          </w:p>
        </w:tc>
      </w:tr>
      <w:tr w:rsidR="00817CB4" w14:paraId="0557E19C"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0EBBC5" w14:textId="77777777" w:rsidR="00817CB4" w:rsidRPr="00733FD8" w:rsidRDefault="00817CB4" w:rsidP="00733FD8">
            <w:pPr>
              <w:pStyle w:val="Tabletextleft"/>
            </w:pPr>
            <w:r w:rsidRPr="00733FD8">
              <w:t>431</w:t>
            </w:r>
          </w:p>
        </w:tc>
        <w:tc>
          <w:tcPr>
            <w:tcW w:w="4086" w:type="dxa"/>
          </w:tcPr>
          <w:p w14:paraId="644635FA"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Stuart - Fleurieu GP Training</w:t>
            </w:r>
          </w:p>
        </w:tc>
        <w:tc>
          <w:tcPr>
            <w:tcW w:w="1183" w:type="dxa"/>
          </w:tcPr>
          <w:p w14:paraId="7491A79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473</w:t>
            </w:r>
          </w:p>
        </w:tc>
        <w:tc>
          <w:tcPr>
            <w:tcW w:w="4086" w:type="dxa"/>
          </w:tcPr>
          <w:p w14:paraId="12D80C2D"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RVTS - ACRRM</w:t>
            </w:r>
          </w:p>
        </w:tc>
      </w:tr>
      <w:tr w:rsidR="00817CB4" w14:paraId="6CAB74B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776C72F" w14:textId="77777777" w:rsidR="00817CB4" w:rsidRPr="00733FD8" w:rsidRDefault="00817CB4" w:rsidP="00733FD8">
            <w:pPr>
              <w:pStyle w:val="Tabletextleft"/>
            </w:pPr>
            <w:r w:rsidRPr="00733FD8">
              <w:t>432</w:t>
            </w:r>
          </w:p>
        </w:tc>
        <w:tc>
          <w:tcPr>
            <w:tcW w:w="4086" w:type="dxa"/>
          </w:tcPr>
          <w:p w14:paraId="42C421AD"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Training Valley to Coast</w:t>
            </w:r>
          </w:p>
        </w:tc>
        <w:tc>
          <w:tcPr>
            <w:tcW w:w="1183" w:type="dxa"/>
          </w:tcPr>
          <w:p w14:paraId="794CCE40"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474</w:t>
            </w:r>
          </w:p>
        </w:tc>
        <w:tc>
          <w:tcPr>
            <w:tcW w:w="4086" w:type="dxa"/>
          </w:tcPr>
          <w:p w14:paraId="12915661"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AGPT - RACGP</w:t>
            </w:r>
          </w:p>
        </w:tc>
      </w:tr>
      <w:tr w:rsidR="00817CB4" w14:paraId="2C466C0E"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8A99A81" w14:textId="77777777" w:rsidR="00817CB4" w:rsidRPr="00733FD8" w:rsidRDefault="00817CB4" w:rsidP="00733FD8">
            <w:pPr>
              <w:pStyle w:val="Tabletextleft"/>
            </w:pPr>
            <w:r w:rsidRPr="00733FD8">
              <w:t>433</w:t>
            </w:r>
          </w:p>
        </w:tc>
        <w:tc>
          <w:tcPr>
            <w:tcW w:w="4086" w:type="dxa"/>
          </w:tcPr>
          <w:p w14:paraId="6D98EA7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Institute of GP Education</w:t>
            </w:r>
          </w:p>
        </w:tc>
        <w:tc>
          <w:tcPr>
            <w:tcW w:w="1183" w:type="dxa"/>
          </w:tcPr>
          <w:p w14:paraId="1E6748B2"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475</w:t>
            </w:r>
          </w:p>
        </w:tc>
        <w:tc>
          <w:tcPr>
            <w:tcW w:w="4086" w:type="dxa"/>
          </w:tcPr>
          <w:p w14:paraId="7B5CA582"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RVTS - RACGP</w:t>
            </w:r>
          </w:p>
        </w:tc>
      </w:tr>
      <w:tr w:rsidR="00817CB4" w14:paraId="56385EEA"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AC2A6E" w14:textId="77777777" w:rsidR="00817CB4" w:rsidRPr="00733FD8" w:rsidRDefault="00817CB4" w:rsidP="00733FD8">
            <w:pPr>
              <w:pStyle w:val="Tabletextleft"/>
            </w:pPr>
            <w:r w:rsidRPr="00733FD8">
              <w:t>434</w:t>
            </w:r>
          </w:p>
        </w:tc>
        <w:tc>
          <w:tcPr>
            <w:tcW w:w="4086" w:type="dxa"/>
          </w:tcPr>
          <w:p w14:paraId="7BE49387" w14:textId="2C56329C"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Sydney Institu</w:t>
            </w:r>
            <w:r w:rsidR="00085E8E">
              <w:t>t</w:t>
            </w:r>
            <w:r w:rsidRPr="00733FD8">
              <w:t>e of GP Ed</w:t>
            </w:r>
          </w:p>
        </w:tc>
        <w:tc>
          <w:tcPr>
            <w:tcW w:w="1183" w:type="dxa"/>
          </w:tcPr>
          <w:p w14:paraId="0AFC8C85"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476</w:t>
            </w:r>
          </w:p>
        </w:tc>
        <w:tc>
          <w:tcPr>
            <w:tcW w:w="4086" w:type="dxa"/>
          </w:tcPr>
          <w:p w14:paraId="15A78224"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RACGP Fellowship Program - RACGP</w:t>
            </w:r>
          </w:p>
        </w:tc>
      </w:tr>
      <w:tr w:rsidR="00817CB4" w14:paraId="608DCA07"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B9E2DEB" w14:textId="77777777" w:rsidR="00817CB4" w:rsidRPr="00733FD8" w:rsidRDefault="00817CB4" w:rsidP="00733FD8">
            <w:pPr>
              <w:pStyle w:val="Tabletextleft"/>
            </w:pPr>
            <w:r w:rsidRPr="00733FD8">
              <w:t>435</w:t>
            </w:r>
          </w:p>
        </w:tc>
        <w:tc>
          <w:tcPr>
            <w:tcW w:w="4086" w:type="dxa"/>
          </w:tcPr>
          <w:p w14:paraId="0E54745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Went West</w:t>
            </w:r>
          </w:p>
        </w:tc>
        <w:tc>
          <w:tcPr>
            <w:tcW w:w="1183" w:type="dxa"/>
          </w:tcPr>
          <w:p w14:paraId="58FF79D4"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477</w:t>
            </w:r>
          </w:p>
        </w:tc>
        <w:tc>
          <w:tcPr>
            <w:tcW w:w="4086" w:type="dxa"/>
          </w:tcPr>
          <w:p w14:paraId="5BF1A683"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ACRRM Fellowship Program - Health</w:t>
            </w:r>
          </w:p>
        </w:tc>
      </w:tr>
      <w:tr w:rsidR="00817CB4" w14:paraId="7A824F17"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A8C5199" w14:textId="77777777" w:rsidR="00817CB4" w:rsidRPr="00733FD8" w:rsidRDefault="00817CB4" w:rsidP="00733FD8">
            <w:pPr>
              <w:pStyle w:val="Tabletextleft"/>
            </w:pPr>
            <w:r w:rsidRPr="00733FD8">
              <w:t>436</w:t>
            </w:r>
          </w:p>
        </w:tc>
        <w:tc>
          <w:tcPr>
            <w:tcW w:w="4086" w:type="dxa"/>
          </w:tcPr>
          <w:p w14:paraId="3423395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NT GP Education</w:t>
            </w:r>
          </w:p>
        </w:tc>
        <w:tc>
          <w:tcPr>
            <w:tcW w:w="1183" w:type="dxa"/>
          </w:tcPr>
          <w:p w14:paraId="465C9C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478</w:t>
            </w:r>
          </w:p>
        </w:tc>
        <w:tc>
          <w:tcPr>
            <w:tcW w:w="4086" w:type="dxa"/>
          </w:tcPr>
          <w:p w14:paraId="69E7BE74"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RVTS - Health</w:t>
            </w:r>
          </w:p>
        </w:tc>
      </w:tr>
      <w:tr w:rsidR="00817CB4" w14:paraId="737BD518"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4211538" w14:textId="77777777" w:rsidR="00817CB4" w:rsidRPr="00733FD8" w:rsidRDefault="00817CB4" w:rsidP="00733FD8">
            <w:pPr>
              <w:pStyle w:val="Tabletextleft"/>
            </w:pPr>
            <w:r w:rsidRPr="00733FD8">
              <w:t>437</w:t>
            </w:r>
          </w:p>
        </w:tc>
        <w:tc>
          <w:tcPr>
            <w:tcW w:w="4086" w:type="dxa"/>
          </w:tcPr>
          <w:p w14:paraId="34380CE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Central and Sthn QLD</w:t>
            </w:r>
          </w:p>
        </w:tc>
        <w:tc>
          <w:tcPr>
            <w:tcW w:w="1183" w:type="dxa"/>
          </w:tcPr>
          <w:p w14:paraId="655350E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479</w:t>
            </w:r>
          </w:p>
        </w:tc>
        <w:tc>
          <w:tcPr>
            <w:tcW w:w="4086" w:type="dxa"/>
          </w:tcPr>
          <w:p w14:paraId="4854ACF4"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RACGP Fellowship Program - Health</w:t>
            </w:r>
          </w:p>
        </w:tc>
      </w:tr>
      <w:tr w:rsidR="00817CB4" w14:paraId="7F1F10E0"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0AAEC5B" w14:textId="77777777" w:rsidR="00817CB4" w:rsidRPr="00733FD8" w:rsidRDefault="00817CB4" w:rsidP="00733FD8">
            <w:pPr>
              <w:pStyle w:val="Tabletextleft"/>
            </w:pPr>
            <w:r w:rsidRPr="00733FD8">
              <w:t>438</w:t>
            </w:r>
          </w:p>
        </w:tc>
        <w:tc>
          <w:tcPr>
            <w:tcW w:w="4086" w:type="dxa"/>
          </w:tcPr>
          <w:p w14:paraId="683A5BF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Tropical Medical Education</w:t>
            </w:r>
          </w:p>
        </w:tc>
        <w:tc>
          <w:tcPr>
            <w:tcW w:w="1183" w:type="dxa"/>
          </w:tcPr>
          <w:p w14:paraId="21E6E4C7"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480</w:t>
            </w:r>
          </w:p>
        </w:tc>
        <w:tc>
          <w:tcPr>
            <w:tcW w:w="4086" w:type="dxa"/>
          </w:tcPr>
          <w:p w14:paraId="31E37C29"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MDRAP</w:t>
            </w:r>
          </w:p>
        </w:tc>
      </w:tr>
      <w:tr w:rsidR="00817CB4" w14:paraId="11846362"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5D7555D" w14:textId="77777777" w:rsidR="00817CB4" w:rsidRPr="00733FD8" w:rsidRDefault="00817CB4" w:rsidP="00733FD8">
            <w:pPr>
              <w:pStyle w:val="Tabletextleft"/>
            </w:pPr>
            <w:r w:rsidRPr="00733FD8">
              <w:t>439</w:t>
            </w:r>
          </w:p>
        </w:tc>
        <w:tc>
          <w:tcPr>
            <w:tcW w:w="4086" w:type="dxa"/>
          </w:tcPr>
          <w:p w14:paraId="10F2B185"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Rural and Regional QLD</w:t>
            </w:r>
          </w:p>
        </w:tc>
        <w:tc>
          <w:tcPr>
            <w:tcW w:w="1183" w:type="dxa"/>
          </w:tcPr>
          <w:p w14:paraId="499101E6"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481</w:t>
            </w:r>
          </w:p>
        </w:tc>
        <w:tc>
          <w:tcPr>
            <w:tcW w:w="4086" w:type="dxa"/>
          </w:tcPr>
          <w:p w14:paraId="5B02B27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proofErr w:type="gramStart"/>
            <w:r w:rsidRPr="00733FD8">
              <w:t>Pre Fellowship</w:t>
            </w:r>
            <w:proofErr w:type="gramEnd"/>
            <w:r w:rsidRPr="00733FD8">
              <w:t xml:space="preserve"> Program (PFP) </w:t>
            </w:r>
          </w:p>
        </w:tc>
      </w:tr>
      <w:tr w:rsidR="00817CB4" w14:paraId="49A1A873"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EE56146" w14:textId="77777777" w:rsidR="00817CB4" w:rsidRPr="00733FD8" w:rsidRDefault="00817CB4" w:rsidP="00733FD8">
            <w:pPr>
              <w:pStyle w:val="Tabletextleft"/>
            </w:pPr>
            <w:r w:rsidRPr="00733FD8">
              <w:t>440</w:t>
            </w:r>
          </w:p>
        </w:tc>
        <w:tc>
          <w:tcPr>
            <w:tcW w:w="4086" w:type="dxa"/>
          </w:tcPr>
          <w:p w14:paraId="60D1768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Adelaide to Outback</w:t>
            </w:r>
          </w:p>
        </w:tc>
        <w:tc>
          <w:tcPr>
            <w:tcW w:w="1183" w:type="dxa"/>
          </w:tcPr>
          <w:p w14:paraId="5EBCC014"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483</w:t>
            </w:r>
          </w:p>
        </w:tc>
        <w:tc>
          <w:tcPr>
            <w:tcW w:w="4086" w:type="dxa"/>
          </w:tcPr>
          <w:p w14:paraId="0A21B176"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GP Training-Murrumbidgee Local Hlth District Trial</w:t>
            </w:r>
          </w:p>
        </w:tc>
      </w:tr>
      <w:tr w:rsidR="00817CB4" w14:paraId="45DFDE15"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9C8208A" w14:textId="77777777" w:rsidR="00817CB4" w:rsidRPr="00733FD8" w:rsidRDefault="00817CB4" w:rsidP="00733FD8">
            <w:pPr>
              <w:pStyle w:val="Tabletextleft"/>
            </w:pPr>
            <w:r w:rsidRPr="00733FD8">
              <w:t>441</w:t>
            </w:r>
          </w:p>
        </w:tc>
        <w:tc>
          <w:tcPr>
            <w:tcW w:w="4086" w:type="dxa"/>
          </w:tcPr>
          <w:p w14:paraId="6D952306"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Tasmania GP Ed and Training</w:t>
            </w:r>
          </w:p>
        </w:tc>
        <w:tc>
          <w:tcPr>
            <w:tcW w:w="1183" w:type="dxa"/>
          </w:tcPr>
          <w:p w14:paraId="0D6D95AB"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484</w:t>
            </w:r>
          </w:p>
        </w:tc>
        <w:tc>
          <w:tcPr>
            <w:tcW w:w="4086" w:type="dxa"/>
          </w:tcPr>
          <w:p w14:paraId="40137798"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GP Training - Riverland Mallee Coorong LHN</w:t>
            </w:r>
          </w:p>
        </w:tc>
      </w:tr>
      <w:tr w:rsidR="00817CB4" w14:paraId="7730C15D"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85799A1" w14:textId="77777777" w:rsidR="00817CB4" w:rsidRPr="00733FD8" w:rsidRDefault="00817CB4" w:rsidP="00733FD8">
            <w:pPr>
              <w:pStyle w:val="Tabletextleft"/>
            </w:pPr>
            <w:r w:rsidRPr="00733FD8">
              <w:t>442</w:t>
            </w:r>
          </w:p>
        </w:tc>
        <w:tc>
          <w:tcPr>
            <w:tcW w:w="4086" w:type="dxa"/>
          </w:tcPr>
          <w:p w14:paraId="13AD92B4"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Gippsland</w:t>
            </w:r>
          </w:p>
        </w:tc>
        <w:tc>
          <w:tcPr>
            <w:tcW w:w="1183" w:type="dxa"/>
          </w:tcPr>
          <w:p w14:paraId="04E1B55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485</w:t>
            </w:r>
          </w:p>
        </w:tc>
        <w:tc>
          <w:tcPr>
            <w:tcW w:w="4086" w:type="dxa"/>
          </w:tcPr>
          <w:p w14:paraId="61F7B6E8"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ACRRM - Fellowship Programme</w:t>
            </w:r>
          </w:p>
        </w:tc>
      </w:tr>
      <w:tr w:rsidR="00817CB4" w14:paraId="07A92D29"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476F9E2" w14:textId="77777777" w:rsidR="00817CB4" w:rsidRPr="00733FD8" w:rsidRDefault="00817CB4" w:rsidP="00733FD8">
            <w:pPr>
              <w:pStyle w:val="Tabletextleft"/>
            </w:pPr>
            <w:r w:rsidRPr="00733FD8">
              <w:t>443</w:t>
            </w:r>
          </w:p>
        </w:tc>
        <w:tc>
          <w:tcPr>
            <w:tcW w:w="4086" w:type="dxa"/>
          </w:tcPr>
          <w:p w14:paraId="035D1890"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Greater Green Triangle</w:t>
            </w:r>
          </w:p>
        </w:tc>
        <w:tc>
          <w:tcPr>
            <w:tcW w:w="1183" w:type="dxa"/>
          </w:tcPr>
          <w:p w14:paraId="25840E67"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486</w:t>
            </w:r>
          </w:p>
        </w:tc>
        <w:tc>
          <w:tcPr>
            <w:tcW w:w="4086" w:type="dxa"/>
          </w:tcPr>
          <w:p w14:paraId="562940D6"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RACGP - Fellowship Programme</w:t>
            </w:r>
          </w:p>
        </w:tc>
      </w:tr>
      <w:tr w:rsidR="00817CB4" w14:paraId="17CC1E27"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0362217" w14:textId="77777777" w:rsidR="00817CB4" w:rsidRPr="00733FD8" w:rsidRDefault="00817CB4" w:rsidP="00733FD8">
            <w:pPr>
              <w:pStyle w:val="Tabletextleft"/>
            </w:pPr>
            <w:r w:rsidRPr="00733FD8">
              <w:t>444</w:t>
            </w:r>
          </w:p>
        </w:tc>
        <w:tc>
          <w:tcPr>
            <w:tcW w:w="4086" w:type="dxa"/>
          </w:tcPr>
          <w:p w14:paraId="37C67591"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GPET VIC Metropolitan Alliance</w:t>
            </w:r>
          </w:p>
        </w:tc>
        <w:tc>
          <w:tcPr>
            <w:tcW w:w="1183" w:type="dxa"/>
          </w:tcPr>
          <w:p w14:paraId="539911C5"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530</w:t>
            </w:r>
          </w:p>
        </w:tc>
        <w:tc>
          <w:tcPr>
            <w:tcW w:w="4086" w:type="dxa"/>
          </w:tcPr>
          <w:p w14:paraId="324B8F7B"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General Practitioner - Approved by Health</w:t>
            </w:r>
          </w:p>
        </w:tc>
      </w:tr>
      <w:tr w:rsidR="00817CB4" w14:paraId="7FA304BB"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CAD880D" w14:textId="77777777" w:rsidR="00817CB4" w:rsidRPr="00733FD8" w:rsidRDefault="00817CB4" w:rsidP="00733FD8">
            <w:pPr>
              <w:pStyle w:val="Tabletextleft"/>
            </w:pPr>
            <w:r w:rsidRPr="00733FD8">
              <w:t>445</w:t>
            </w:r>
          </w:p>
        </w:tc>
        <w:tc>
          <w:tcPr>
            <w:tcW w:w="4086" w:type="dxa"/>
          </w:tcPr>
          <w:p w14:paraId="784911F1"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GPET WA Ed and Training Alliance</w:t>
            </w:r>
          </w:p>
        </w:tc>
        <w:tc>
          <w:tcPr>
            <w:tcW w:w="1183" w:type="dxa"/>
          </w:tcPr>
          <w:p w14:paraId="264245BC"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532</w:t>
            </w:r>
          </w:p>
        </w:tc>
        <w:tc>
          <w:tcPr>
            <w:tcW w:w="4086" w:type="dxa"/>
          </w:tcPr>
          <w:p w14:paraId="577A0873"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Fellow of ACRRM</w:t>
            </w:r>
          </w:p>
        </w:tc>
      </w:tr>
      <w:tr w:rsidR="00817CB4" w14:paraId="1A23EC9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BF97BC9" w14:textId="77777777" w:rsidR="00817CB4" w:rsidRPr="00733FD8" w:rsidRDefault="00817CB4" w:rsidP="00733FD8">
            <w:pPr>
              <w:pStyle w:val="Tabletextleft"/>
            </w:pPr>
            <w:r w:rsidRPr="00733FD8">
              <w:t>446</w:t>
            </w:r>
          </w:p>
        </w:tc>
        <w:tc>
          <w:tcPr>
            <w:tcW w:w="4086" w:type="dxa"/>
          </w:tcPr>
          <w:p w14:paraId="1D0E9F9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Bogong Regional Training Network</w:t>
            </w:r>
          </w:p>
        </w:tc>
        <w:tc>
          <w:tcPr>
            <w:tcW w:w="1183" w:type="dxa"/>
          </w:tcPr>
          <w:p w14:paraId="550E42D2"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540</w:t>
            </w:r>
          </w:p>
        </w:tc>
        <w:tc>
          <w:tcPr>
            <w:tcW w:w="4086" w:type="dxa"/>
          </w:tcPr>
          <w:p w14:paraId="1F2644A3"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Specialist General Practitioner</w:t>
            </w:r>
          </w:p>
        </w:tc>
      </w:tr>
      <w:tr w:rsidR="00817CB4" w14:paraId="19753806"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F3852B7" w14:textId="77777777" w:rsidR="00817CB4" w:rsidRPr="00733FD8" w:rsidRDefault="00817CB4" w:rsidP="00733FD8">
            <w:pPr>
              <w:pStyle w:val="Tabletextleft"/>
            </w:pPr>
            <w:r w:rsidRPr="00733FD8">
              <w:t>447</w:t>
            </w:r>
          </w:p>
        </w:tc>
        <w:tc>
          <w:tcPr>
            <w:tcW w:w="4086" w:type="dxa"/>
          </w:tcPr>
          <w:p w14:paraId="5ECA2BF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 xml:space="preserve">Central West Consortium Ltd </w:t>
            </w:r>
          </w:p>
        </w:tc>
        <w:tc>
          <w:tcPr>
            <w:tcW w:w="1183" w:type="dxa"/>
          </w:tcPr>
          <w:p w14:paraId="0D059BBE"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615</w:t>
            </w:r>
          </w:p>
        </w:tc>
        <w:tc>
          <w:tcPr>
            <w:tcW w:w="4086" w:type="dxa"/>
          </w:tcPr>
          <w:p w14:paraId="2B3488EA"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Outer Metro OMPs</w:t>
            </w:r>
          </w:p>
        </w:tc>
      </w:tr>
      <w:tr w:rsidR="00817CB4" w14:paraId="414D7365"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0F30ECE" w14:textId="77777777" w:rsidR="00817CB4" w:rsidRPr="00733FD8" w:rsidRDefault="00817CB4" w:rsidP="00733FD8">
            <w:pPr>
              <w:pStyle w:val="Tabletextleft"/>
            </w:pPr>
            <w:r w:rsidRPr="00733FD8">
              <w:t>448</w:t>
            </w:r>
          </w:p>
        </w:tc>
        <w:tc>
          <w:tcPr>
            <w:tcW w:w="4086" w:type="dxa"/>
          </w:tcPr>
          <w:p w14:paraId="478BB965"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Coast City Country GP Training Inc</w:t>
            </w:r>
          </w:p>
        </w:tc>
        <w:tc>
          <w:tcPr>
            <w:tcW w:w="1183" w:type="dxa"/>
          </w:tcPr>
          <w:p w14:paraId="5654393F" w14:textId="77777777" w:rsidR="00817CB4" w:rsidRPr="00733FD8" w:rsidRDefault="00817CB4" w:rsidP="00733FD8">
            <w:pPr>
              <w:pStyle w:val="Tabletextcentre"/>
              <w:cnfStyle w:val="000000010000" w:firstRow="0" w:lastRow="0" w:firstColumn="0" w:lastColumn="0" w:oddVBand="0" w:evenVBand="0" w:oddHBand="0" w:evenHBand="1" w:firstRowFirstColumn="0" w:firstRowLastColumn="0" w:lastRowFirstColumn="0" w:lastRowLastColumn="0"/>
            </w:pPr>
            <w:r w:rsidRPr="00733FD8">
              <w:t>616</w:t>
            </w:r>
          </w:p>
        </w:tc>
        <w:tc>
          <w:tcPr>
            <w:tcW w:w="4086" w:type="dxa"/>
          </w:tcPr>
          <w:p w14:paraId="782512C1" w14:textId="77777777" w:rsidR="00817CB4" w:rsidRPr="00733FD8" w:rsidRDefault="00817CB4" w:rsidP="00733FD8">
            <w:pPr>
              <w:pStyle w:val="Tabletextright"/>
              <w:cnfStyle w:val="000000010000" w:firstRow="0" w:lastRow="0" w:firstColumn="0" w:lastColumn="0" w:oddVBand="0" w:evenVBand="0" w:oddHBand="0" w:evenHBand="1" w:firstRowFirstColumn="0" w:firstRowLastColumn="0" w:lastRowFirstColumn="0" w:lastRowLastColumn="0"/>
            </w:pPr>
            <w:r w:rsidRPr="00733FD8">
              <w:t>Outer Metro Specialist Trainees</w:t>
            </w:r>
          </w:p>
        </w:tc>
      </w:tr>
      <w:tr w:rsidR="00817CB4" w14:paraId="296FC8A5"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350B824" w14:textId="77777777" w:rsidR="00817CB4" w:rsidRPr="00733FD8" w:rsidRDefault="00817CB4" w:rsidP="00733FD8">
            <w:pPr>
              <w:pStyle w:val="Tabletextleft"/>
            </w:pPr>
            <w:r w:rsidRPr="00733FD8">
              <w:t>449</w:t>
            </w:r>
          </w:p>
        </w:tc>
        <w:tc>
          <w:tcPr>
            <w:tcW w:w="4086" w:type="dxa"/>
          </w:tcPr>
          <w:p w14:paraId="5AB51DB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New England Area Training Service P/L</w:t>
            </w:r>
          </w:p>
        </w:tc>
        <w:tc>
          <w:tcPr>
            <w:tcW w:w="1183" w:type="dxa"/>
          </w:tcPr>
          <w:p w14:paraId="71429B46" w14:textId="77777777" w:rsidR="00817CB4" w:rsidRPr="00733FD8" w:rsidRDefault="00817CB4" w:rsidP="00733FD8">
            <w:pPr>
              <w:pStyle w:val="Tabletextcentre"/>
              <w:cnfStyle w:val="000000100000" w:firstRow="0" w:lastRow="0" w:firstColumn="0" w:lastColumn="0" w:oddVBand="0" w:evenVBand="0" w:oddHBand="1" w:evenHBand="0" w:firstRowFirstColumn="0" w:firstRowLastColumn="0" w:lastRowFirstColumn="0" w:lastRowLastColumn="0"/>
            </w:pPr>
            <w:r w:rsidRPr="00733FD8">
              <w:t>617</w:t>
            </w:r>
          </w:p>
        </w:tc>
        <w:tc>
          <w:tcPr>
            <w:tcW w:w="4086" w:type="dxa"/>
          </w:tcPr>
          <w:p w14:paraId="234BAE70" w14:textId="77777777" w:rsidR="00817CB4" w:rsidRPr="00733FD8" w:rsidRDefault="00817CB4" w:rsidP="00733FD8">
            <w:pPr>
              <w:pStyle w:val="Tabletextright"/>
              <w:cnfStyle w:val="000000100000" w:firstRow="0" w:lastRow="0" w:firstColumn="0" w:lastColumn="0" w:oddVBand="0" w:evenVBand="0" w:oddHBand="1" w:evenHBand="0" w:firstRowFirstColumn="0" w:firstRowLastColumn="0" w:lastRowFirstColumn="0" w:lastRowLastColumn="0"/>
            </w:pPr>
            <w:r w:rsidRPr="00733FD8">
              <w:t xml:space="preserve">Metropolitan Workforce Support Program </w:t>
            </w:r>
          </w:p>
        </w:tc>
      </w:tr>
    </w:tbl>
    <w:p w14:paraId="4EEA890C" w14:textId="77777777" w:rsidR="00817CB4" w:rsidRPr="0004758E" w:rsidRDefault="00817CB4" w:rsidP="0004758E">
      <w:bookmarkStart w:id="456" w:name="_Toc166066968"/>
      <w:bookmarkStart w:id="457" w:name="_Toc166068384"/>
      <w:bookmarkStart w:id="458" w:name="_Toc166068596"/>
      <w:bookmarkStart w:id="459" w:name="_Toc166069555"/>
      <w:bookmarkStart w:id="460" w:name="_Toc167109460"/>
      <w:bookmarkStart w:id="461" w:name="_Hlk165582216"/>
      <w:bookmarkEnd w:id="445"/>
      <w:r w:rsidRPr="0004758E">
        <w:br w:type="page"/>
      </w:r>
    </w:p>
    <w:p w14:paraId="16988341" w14:textId="77777777" w:rsidR="00817CB4" w:rsidRPr="001F7637" w:rsidRDefault="758819B6" w:rsidP="001F7637">
      <w:pPr>
        <w:pStyle w:val="Heading2"/>
      </w:pPr>
      <w:bookmarkStart w:id="462" w:name="_Toc170120040"/>
      <w:bookmarkStart w:id="463" w:name="_Toc170817181"/>
      <w:bookmarkStart w:id="464" w:name="_Toc182311184"/>
      <w:r>
        <w:lastRenderedPageBreak/>
        <w:t xml:space="preserve">General Practice in Aged Care Incentive eligible </w:t>
      </w:r>
      <w:bookmarkEnd w:id="456"/>
      <w:bookmarkEnd w:id="457"/>
      <w:bookmarkEnd w:id="458"/>
      <w:bookmarkEnd w:id="459"/>
      <w:r>
        <w:t>services</w:t>
      </w:r>
      <w:bookmarkEnd w:id="460"/>
      <w:bookmarkEnd w:id="462"/>
      <w:bookmarkEnd w:id="463"/>
      <w:bookmarkEnd w:id="464"/>
    </w:p>
    <w:p w14:paraId="73F00BAF" w14:textId="77777777" w:rsidR="00817CB4" w:rsidRPr="00405E13" w:rsidRDefault="00817CB4" w:rsidP="00817CB4">
      <w:pPr>
        <w:spacing w:before="120" w:after="120" w:line="276" w:lineRule="auto"/>
        <w:rPr>
          <w:rFonts w:eastAsia="Times New Roman"/>
        </w:rPr>
      </w:pPr>
      <w:r w:rsidRPr="00405E13">
        <w:rPr>
          <w:rFonts w:eastAsia="Times New Roman"/>
        </w:rPr>
        <w:t>Version 1 – As of 5 April 2024.</w:t>
      </w:r>
      <w:bookmarkStart w:id="465" w:name="_Toc166068597"/>
      <w:bookmarkStart w:id="466" w:name="_Toc166069556"/>
    </w:p>
    <w:p w14:paraId="5AFD25D2" w14:textId="77777777" w:rsidR="00817CB4" w:rsidRPr="00407AD1" w:rsidRDefault="00817CB4" w:rsidP="00407AD1">
      <w:pPr>
        <w:pStyle w:val="Heading3"/>
      </w:pPr>
      <w:bookmarkStart w:id="467" w:name="_Toc170120041"/>
      <w:bookmarkStart w:id="468" w:name="_Toc172899525"/>
      <w:bookmarkStart w:id="469" w:name="_Toc172899598"/>
      <w:bookmarkStart w:id="470" w:name="_Toc170817182"/>
      <w:r w:rsidRPr="00407AD1">
        <w:t>Eligible care planning services</w:t>
      </w:r>
      <w:bookmarkEnd w:id="465"/>
      <w:bookmarkEnd w:id="466"/>
      <w:bookmarkEnd w:id="467"/>
      <w:bookmarkEnd w:id="468"/>
      <w:bookmarkEnd w:id="469"/>
      <w:bookmarkEnd w:id="470"/>
    </w:p>
    <w:p w14:paraId="3CA0BCD6" w14:textId="77777777" w:rsidR="00817CB4" w:rsidRDefault="00817CB4" w:rsidP="00817CB4">
      <w:pPr>
        <w:spacing w:before="120" w:after="120" w:line="276" w:lineRule="auto"/>
        <w:rPr>
          <w:rFonts w:eastAsia="Times New Roman"/>
        </w:rPr>
      </w:pPr>
      <w:r w:rsidRPr="00405E13">
        <w:rPr>
          <w:rFonts w:eastAsia="Times New Roman"/>
        </w:rPr>
        <w:t xml:space="preserve">The following </w:t>
      </w:r>
      <w:r>
        <w:rPr>
          <w:rFonts w:eastAsia="Times New Roman"/>
        </w:rPr>
        <w:t>MBS</w:t>
      </w:r>
      <w:r w:rsidRPr="00405E13">
        <w:rPr>
          <w:rFonts w:eastAsia="Times New Roman"/>
        </w:rPr>
        <w:t xml:space="preserve"> items are considered eligible care planning services for the General Practice in Aged Care Incentive</w:t>
      </w:r>
    </w:p>
    <w:tbl>
      <w:tblPr>
        <w:tblStyle w:val="DepartmentofHealthtable"/>
        <w:tblW w:w="9072" w:type="dxa"/>
        <w:tblLook w:val="04A0" w:firstRow="1" w:lastRow="0" w:firstColumn="1" w:lastColumn="0" w:noHBand="0" w:noVBand="1"/>
        <w:tblDescription w:val="Add Alt Text describing the content of the table"/>
      </w:tblPr>
      <w:tblGrid>
        <w:gridCol w:w="4536"/>
        <w:gridCol w:w="4536"/>
      </w:tblGrid>
      <w:tr w:rsidR="00817CB4" w14:paraId="68EB8249"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6" w:type="dxa"/>
          </w:tcPr>
          <w:p w14:paraId="7D792585" w14:textId="77777777" w:rsidR="00817CB4" w:rsidRPr="00733FD8" w:rsidRDefault="00817CB4" w:rsidP="0054375E">
            <w:pPr>
              <w:pStyle w:val="TableHeaderWhite"/>
            </w:pPr>
            <w:r w:rsidRPr="00733FD8">
              <w:t>Care Category</w:t>
            </w:r>
          </w:p>
        </w:tc>
        <w:tc>
          <w:tcPr>
            <w:tcW w:w="4536" w:type="dxa"/>
          </w:tcPr>
          <w:p w14:paraId="2BA15FF8" w14:textId="77777777" w:rsidR="00817CB4" w:rsidRPr="00733FD8" w:rsidRDefault="00817CB4" w:rsidP="0054375E">
            <w:pPr>
              <w:pStyle w:val="TableHeader"/>
              <w:cnfStyle w:val="100000000000" w:firstRow="1" w:lastRow="0" w:firstColumn="0" w:lastColumn="0" w:oddVBand="0" w:evenVBand="0" w:oddHBand="0" w:evenHBand="0" w:firstRowFirstColumn="0" w:firstRowLastColumn="0" w:lastRowFirstColumn="0" w:lastRowLastColumn="0"/>
            </w:pPr>
            <w:r w:rsidRPr="00733FD8">
              <w:t>MBS Item Number</w:t>
            </w:r>
          </w:p>
        </w:tc>
      </w:tr>
      <w:tr w:rsidR="00817CB4" w14:paraId="02B329B3"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restart"/>
            <w:vAlign w:val="center"/>
          </w:tcPr>
          <w:p w14:paraId="2DF21884" w14:textId="77777777" w:rsidR="00817CB4" w:rsidRPr="00733FD8" w:rsidRDefault="00817CB4" w:rsidP="00733FD8">
            <w:pPr>
              <w:pStyle w:val="Tabletextleft"/>
            </w:pPr>
            <w:r w:rsidRPr="00733FD8">
              <w:t>Comprehensive medical assessment</w:t>
            </w:r>
          </w:p>
        </w:tc>
        <w:tc>
          <w:tcPr>
            <w:tcW w:w="4536" w:type="dxa"/>
          </w:tcPr>
          <w:p w14:paraId="3BA34C4E"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224</w:t>
            </w:r>
          </w:p>
        </w:tc>
      </w:tr>
      <w:tr w:rsidR="00817CB4" w14:paraId="0799F304"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2E5377F1" w14:textId="77777777" w:rsidR="00817CB4" w:rsidRPr="00733FD8" w:rsidRDefault="00817CB4" w:rsidP="00733FD8">
            <w:pPr>
              <w:pStyle w:val="Tabletextleft"/>
            </w:pPr>
          </w:p>
        </w:tc>
        <w:tc>
          <w:tcPr>
            <w:tcW w:w="4536" w:type="dxa"/>
          </w:tcPr>
          <w:p w14:paraId="532D3012"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225</w:t>
            </w:r>
          </w:p>
        </w:tc>
      </w:tr>
      <w:tr w:rsidR="00817CB4" w14:paraId="3D0AC826"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380C9714" w14:textId="77777777" w:rsidR="00817CB4" w:rsidRPr="00733FD8" w:rsidRDefault="00817CB4" w:rsidP="00733FD8">
            <w:pPr>
              <w:pStyle w:val="Tabletextleft"/>
            </w:pPr>
          </w:p>
        </w:tc>
        <w:tc>
          <w:tcPr>
            <w:tcW w:w="4536" w:type="dxa"/>
          </w:tcPr>
          <w:p w14:paraId="560C9DB3"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226</w:t>
            </w:r>
          </w:p>
        </w:tc>
      </w:tr>
      <w:tr w:rsidR="00817CB4" w14:paraId="582EAA69"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61AD37C3" w14:textId="77777777" w:rsidR="00817CB4" w:rsidRPr="00733FD8" w:rsidRDefault="00817CB4" w:rsidP="00733FD8">
            <w:pPr>
              <w:pStyle w:val="Tabletextleft"/>
            </w:pPr>
          </w:p>
        </w:tc>
        <w:tc>
          <w:tcPr>
            <w:tcW w:w="4536" w:type="dxa"/>
          </w:tcPr>
          <w:p w14:paraId="4D412B80"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227</w:t>
            </w:r>
          </w:p>
        </w:tc>
      </w:tr>
      <w:tr w:rsidR="00817CB4" w14:paraId="09C0509E"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114C60FA" w14:textId="77777777" w:rsidR="00817CB4" w:rsidRPr="00733FD8" w:rsidRDefault="00817CB4" w:rsidP="00733FD8">
            <w:pPr>
              <w:pStyle w:val="Tabletextleft"/>
            </w:pPr>
          </w:p>
        </w:tc>
        <w:tc>
          <w:tcPr>
            <w:tcW w:w="4536" w:type="dxa"/>
          </w:tcPr>
          <w:p w14:paraId="3A3120B3"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701</w:t>
            </w:r>
          </w:p>
        </w:tc>
      </w:tr>
      <w:tr w:rsidR="00817CB4" w14:paraId="2ADDD613"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31E16BDB" w14:textId="77777777" w:rsidR="00817CB4" w:rsidRPr="00733FD8" w:rsidRDefault="00817CB4" w:rsidP="00733FD8">
            <w:pPr>
              <w:pStyle w:val="Tabletextleft"/>
            </w:pPr>
          </w:p>
        </w:tc>
        <w:tc>
          <w:tcPr>
            <w:tcW w:w="4536" w:type="dxa"/>
          </w:tcPr>
          <w:p w14:paraId="2FF37BB7"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703</w:t>
            </w:r>
          </w:p>
        </w:tc>
      </w:tr>
      <w:tr w:rsidR="00817CB4" w14:paraId="3F7271A6"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1B6A7264" w14:textId="77777777" w:rsidR="00817CB4" w:rsidRPr="00733FD8" w:rsidRDefault="00817CB4" w:rsidP="00733FD8">
            <w:pPr>
              <w:pStyle w:val="Tabletextleft"/>
            </w:pPr>
          </w:p>
        </w:tc>
        <w:tc>
          <w:tcPr>
            <w:tcW w:w="4536" w:type="dxa"/>
          </w:tcPr>
          <w:p w14:paraId="5DB337D9"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705</w:t>
            </w:r>
          </w:p>
        </w:tc>
      </w:tr>
      <w:tr w:rsidR="00817CB4" w14:paraId="019F9CD9"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247EC3C6" w14:textId="77777777" w:rsidR="00817CB4" w:rsidRPr="00733FD8" w:rsidRDefault="00817CB4" w:rsidP="00733FD8">
            <w:pPr>
              <w:pStyle w:val="Tabletextleft"/>
            </w:pPr>
          </w:p>
        </w:tc>
        <w:tc>
          <w:tcPr>
            <w:tcW w:w="4536" w:type="dxa"/>
          </w:tcPr>
          <w:p w14:paraId="2E294DEF"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707</w:t>
            </w:r>
          </w:p>
        </w:tc>
      </w:tr>
      <w:tr w:rsidR="00817CB4" w14:paraId="4725C6EF"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restart"/>
            <w:vAlign w:val="center"/>
          </w:tcPr>
          <w:p w14:paraId="6350EE32" w14:textId="77777777" w:rsidR="00817CB4" w:rsidRPr="00733FD8" w:rsidRDefault="00817CB4" w:rsidP="00733FD8">
            <w:pPr>
              <w:pStyle w:val="Tabletextleft"/>
            </w:pPr>
            <w:r w:rsidRPr="00733FD8">
              <w:t>Contribution to, or review of, multidisciplinary care plan</w:t>
            </w:r>
          </w:p>
        </w:tc>
        <w:tc>
          <w:tcPr>
            <w:tcW w:w="4536" w:type="dxa"/>
          </w:tcPr>
          <w:p w14:paraId="32CEEB4D"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232</w:t>
            </w:r>
          </w:p>
        </w:tc>
      </w:tr>
      <w:tr w:rsidR="00817CB4" w14:paraId="40F1C4D1"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0F4D9020" w14:textId="77777777" w:rsidR="00817CB4" w:rsidRPr="00733FD8" w:rsidRDefault="00817CB4" w:rsidP="00733FD8">
            <w:pPr>
              <w:pStyle w:val="Tabletextleft"/>
            </w:pPr>
          </w:p>
        </w:tc>
        <w:tc>
          <w:tcPr>
            <w:tcW w:w="4536" w:type="dxa"/>
          </w:tcPr>
          <w:p w14:paraId="2D9ED22D"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731</w:t>
            </w:r>
          </w:p>
        </w:tc>
      </w:tr>
      <w:tr w:rsidR="00817CB4" w14:paraId="3451570E"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restart"/>
            <w:vAlign w:val="center"/>
          </w:tcPr>
          <w:p w14:paraId="16184FCF" w14:textId="77777777" w:rsidR="00817CB4" w:rsidRPr="00733FD8" w:rsidRDefault="00817CB4" w:rsidP="00733FD8">
            <w:pPr>
              <w:pStyle w:val="Tabletextleft"/>
            </w:pPr>
            <w:r w:rsidRPr="00733FD8">
              <w:t>Residential Medication Management Review</w:t>
            </w:r>
          </w:p>
        </w:tc>
        <w:tc>
          <w:tcPr>
            <w:tcW w:w="4536" w:type="dxa"/>
          </w:tcPr>
          <w:p w14:paraId="3DBA6F6C"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249</w:t>
            </w:r>
          </w:p>
        </w:tc>
      </w:tr>
      <w:tr w:rsidR="00817CB4" w14:paraId="5662E263"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ign w:val="center"/>
          </w:tcPr>
          <w:p w14:paraId="2F857F3E" w14:textId="77777777" w:rsidR="00817CB4" w:rsidRPr="00733FD8" w:rsidRDefault="00817CB4" w:rsidP="00733FD8">
            <w:pPr>
              <w:pStyle w:val="Tabletextleft"/>
            </w:pPr>
          </w:p>
        </w:tc>
        <w:tc>
          <w:tcPr>
            <w:tcW w:w="4536" w:type="dxa"/>
          </w:tcPr>
          <w:p w14:paraId="2F6F281E"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903</w:t>
            </w:r>
          </w:p>
        </w:tc>
      </w:tr>
      <w:tr w:rsidR="00817CB4" w14:paraId="26052BC1"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restart"/>
            <w:vAlign w:val="center"/>
          </w:tcPr>
          <w:p w14:paraId="2A93C17D" w14:textId="77777777" w:rsidR="00817CB4" w:rsidRPr="00733FD8" w:rsidRDefault="00817CB4" w:rsidP="00733FD8">
            <w:pPr>
              <w:pStyle w:val="Tabletextleft"/>
            </w:pPr>
            <w:r w:rsidRPr="00733FD8">
              <w:t>Multidisciplinary care conference</w:t>
            </w:r>
          </w:p>
        </w:tc>
        <w:tc>
          <w:tcPr>
            <w:tcW w:w="4536" w:type="dxa"/>
          </w:tcPr>
          <w:p w14:paraId="0172A3DE"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235</w:t>
            </w:r>
          </w:p>
        </w:tc>
      </w:tr>
      <w:tr w:rsidR="00817CB4" w14:paraId="65C74A3F"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2F6C561E" w14:textId="77777777" w:rsidR="00817CB4" w:rsidRPr="00733FD8" w:rsidRDefault="00817CB4" w:rsidP="00733FD8">
            <w:pPr>
              <w:pStyle w:val="Tabletextleft"/>
            </w:pPr>
          </w:p>
        </w:tc>
        <w:tc>
          <w:tcPr>
            <w:tcW w:w="4536" w:type="dxa"/>
          </w:tcPr>
          <w:p w14:paraId="6A309B6B"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236</w:t>
            </w:r>
          </w:p>
        </w:tc>
      </w:tr>
      <w:tr w:rsidR="00817CB4" w14:paraId="222D3382"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29784A79" w14:textId="77777777" w:rsidR="00817CB4" w:rsidRPr="00733FD8" w:rsidRDefault="00817CB4" w:rsidP="00733FD8">
            <w:pPr>
              <w:pStyle w:val="Tabletextleft"/>
            </w:pPr>
          </w:p>
        </w:tc>
        <w:tc>
          <w:tcPr>
            <w:tcW w:w="4536" w:type="dxa"/>
          </w:tcPr>
          <w:p w14:paraId="06CDD9E7"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237</w:t>
            </w:r>
          </w:p>
        </w:tc>
      </w:tr>
      <w:tr w:rsidR="00817CB4" w14:paraId="6977B70E"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3B1DCBBB" w14:textId="77777777" w:rsidR="00817CB4" w:rsidRPr="00733FD8" w:rsidRDefault="00817CB4" w:rsidP="00733FD8">
            <w:pPr>
              <w:pStyle w:val="Tabletextleft"/>
            </w:pPr>
          </w:p>
        </w:tc>
        <w:tc>
          <w:tcPr>
            <w:tcW w:w="4536" w:type="dxa"/>
          </w:tcPr>
          <w:p w14:paraId="011DA60B"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238</w:t>
            </w:r>
          </w:p>
        </w:tc>
      </w:tr>
      <w:tr w:rsidR="00817CB4" w14:paraId="44CDFF5A"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30B683BB" w14:textId="77777777" w:rsidR="00817CB4" w:rsidRPr="00733FD8" w:rsidRDefault="00817CB4" w:rsidP="00733FD8">
            <w:pPr>
              <w:pStyle w:val="Tabletextleft"/>
            </w:pPr>
          </w:p>
        </w:tc>
        <w:tc>
          <w:tcPr>
            <w:tcW w:w="4536" w:type="dxa"/>
          </w:tcPr>
          <w:p w14:paraId="64E87499"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239</w:t>
            </w:r>
          </w:p>
        </w:tc>
      </w:tr>
      <w:tr w:rsidR="00817CB4" w14:paraId="156E8AA6"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2DC9FD82" w14:textId="77777777" w:rsidR="00817CB4" w:rsidRPr="00733FD8" w:rsidRDefault="00817CB4" w:rsidP="00733FD8">
            <w:pPr>
              <w:pStyle w:val="Tabletextleft"/>
            </w:pPr>
          </w:p>
        </w:tc>
        <w:tc>
          <w:tcPr>
            <w:tcW w:w="4536" w:type="dxa"/>
          </w:tcPr>
          <w:p w14:paraId="390F2796"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240</w:t>
            </w:r>
          </w:p>
        </w:tc>
      </w:tr>
      <w:tr w:rsidR="00817CB4" w14:paraId="75E26EE0"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4CC9BE06" w14:textId="77777777" w:rsidR="00817CB4" w:rsidRPr="00733FD8" w:rsidRDefault="00817CB4" w:rsidP="00733FD8">
            <w:pPr>
              <w:pStyle w:val="Tabletextleft"/>
            </w:pPr>
          </w:p>
        </w:tc>
        <w:tc>
          <w:tcPr>
            <w:tcW w:w="4536" w:type="dxa"/>
          </w:tcPr>
          <w:p w14:paraId="728BBD19"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735</w:t>
            </w:r>
          </w:p>
        </w:tc>
      </w:tr>
      <w:tr w:rsidR="00817CB4" w14:paraId="75C228A1"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0AC47EE4" w14:textId="77777777" w:rsidR="00817CB4" w:rsidRPr="00733FD8" w:rsidRDefault="00817CB4" w:rsidP="00733FD8">
            <w:pPr>
              <w:pStyle w:val="Tabletextleft"/>
            </w:pPr>
          </w:p>
        </w:tc>
        <w:tc>
          <w:tcPr>
            <w:tcW w:w="4536" w:type="dxa"/>
          </w:tcPr>
          <w:p w14:paraId="2F449984"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739</w:t>
            </w:r>
          </w:p>
        </w:tc>
      </w:tr>
      <w:tr w:rsidR="00817CB4" w14:paraId="1BC38F1E"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349D93DD" w14:textId="77777777" w:rsidR="00817CB4" w:rsidRPr="00733FD8" w:rsidRDefault="00817CB4" w:rsidP="00733FD8">
            <w:pPr>
              <w:pStyle w:val="Tabletextleft"/>
            </w:pPr>
          </w:p>
        </w:tc>
        <w:tc>
          <w:tcPr>
            <w:tcW w:w="4536" w:type="dxa"/>
          </w:tcPr>
          <w:p w14:paraId="1C3E4401"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743</w:t>
            </w:r>
          </w:p>
        </w:tc>
      </w:tr>
      <w:tr w:rsidR="00817CB4" w14:paraId="5C154C3F"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38562094" w14:textId="77777777" w:rsidR="00817CB4" w:rsidRPr="00733FD8" w:rsidRDefault="00817CB4" w:rsidP="00733FD8">
            <w:pPr>
              <w:pStyle w:val="Tabletextleft"/>
            </w:pPr>
          </w:p>
        </w:tc>
        <w:tc>
          <w:tcPr>
            <w:tcW w:w="4536" w:type="dxa"/>
          </w:tcPr>
          <w:p w14:paraId="5B2CADD3"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747</w:t>
            </w:r>
          </w:p>
        </w:tc>
      </w:tr>
      <w:tr w:rsidR="00817CB4" w14:paraId="763E54DD"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381AE980" w14:textId="77777777" w:rsidR="00817CB4" w:rsidRPr="00733FD8" w:rsidRDefault="00817CB4" w:rsidP="00733FD8">
            <w:pPr>
              <w:pStyle w:val="Tabletextleft"/>
            </w:pPr>
          </w:p>
        </w:tc>
        <w:tc>
          <w:tcPr>
            <w:tcW w:w="4536" w:type="dxa"/>
          </w:tcPr>
          <w:p w14:paraId="7B7C9A74" w14:textId="77777777" w:rsidR="00817CB4" w:rsidRPr="00733FD8"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33FD8">
              <w:t>750</w:t>
            </w:r>
          </w:p>
        </w:tc>
      </w:tr>
      <w:tr w:rsidR="00817CB4" w14:paraId="6F778663"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504AA4E2" w14:textId="77777777" w:rsidR="00817CB4" w:rsidRDefault="00817CB4" w:rsidP="00733FD8">
            <w:pPr>
              <w:pStyle w:val="Tabletextleft"/>
            </w:pPr>
          </w:p>
        </w:tc>
        <w:tc>
          <w:tcPr>
            <w:tcW w:w="4536" w:type="dxa"/>
          </w:tcPr>
          <w:p w14:paraId="5AA46304" w14:textId="77777777" w:rsidR="00817CB4" w:rsidRPr="00733FD8"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33FD8">
              <w:t>758</w:t>
            </w:r>
          </w:p>
        </w:tc>
      </w:tr>
    </w:tbl>
    <w:p w14:paraId="576B806B" w14:textId="77777777" w:rsidR="00817CB4" w:rsidRDefault="00817CB4" w:rsidP="00817CB4">
      <w:pPr>
        <w:keepNext/>
        <w:keepLines/>
        <w:spacing w:before="120" w:after="120" w:line="276" w:lineRule="auto"/>
        <w:rPr>
          <w:rFonts w:eastAsia="Times New Roman"/>
        </w:rPr>
      </w:pPr>
      <w:r w:rsidRPr="00405E13">
        <w:rPr>
          <w:rFonts w:eastAsia="Times New Roman"/>
        </w:rPr>
        <w:lastRenderedPageBreak/>
        <w:t>The following DVA</w:t>
      </w:r>
      <w:r>
        <w:rPr>
          <w:rFonts w:eastAsia="Times New Roman"/>
        </w:rPr>
        <w:t xml:space="preserve"> </w:t>
      </w:r>
      <w:r w:rsidRPr="00405E13">
        <w:rPr>
          <w:rFonts w:eastAsia="Times New Roman"/>
        </w:rPr>
        <w:t>item numbers are considered eligible care planning services for the General Practice in Aged Care Incentive</w:t>
      </w:r>
    </w:p>
    <w:tbl>
      <w:tblPr>
        <w:tblStyle w:val="DepartmentofHealthtable"/>
        <w:tblW w:w="9072" w:type="dxa"/>
        <w:tblLook w:val="04A0" w:firstRow="1" w:lastRow="0" w:firstColumn="1" w:lastColumn="0" w:noHBand="0" w:noVBand="1"/>
        <w:tblDescription w:val="Add Alt Text describing the content of the table"/>
      </w:tblPr>
      <w:tblGrid>
        <w:gridCol w:w="4536"/>
        <w:gridCol w:w="4536"/>
      </w:tblGrid>
      <w:tr w:rsidR="00817CB4" w14:paraId="47582831"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6" w:type="dxa"/>
          </w:tcPr>
          <w:p w14:paraId="522A7DD5" w14:textId="77777777" w:rsidR="00817CB4" w:rsidRPr="00DC7910" w:rsidRDefault="00817CB4" w:rsidP="0054375E">
            <w:pPr>
              <w:pStyle w:val="TableHeaderWhite"/>
              <w:keepNext/>
              <w:keepLines/>
            </w:pPr>
            <w:r w:rsidRPr="0014435B">
              <w:t>Care Category</w:t>
            </w:r>
          </w:p>
        </w:tc>
        <w:tc>
          <w:tcPr>
            <w:tcW w:w="4536" w:type="dxa"/>
          </w:tcPr>
          <w:p w14:paraId="432A42F9" w14:textId="77777777" w:rsidR="00817CB4" w:rsidRDefault="00817CB4" w:rsidP="0054375E">
            <w:pPr>
              <w:pStyle w:val="TableHeader"/>
              <w:keepNext/>
              <w:keepLines/>
              <w:cnfStyle w:val="100000000000" w:firstRow="1" w:lastRow="0" w:firstColumn="0" w:lastColumn="0" w:oddVBand="0" w:evenVBand="0" w:oddHBand="0" w:evenHBand="0" w:firstRowFirstColumn="0" w:firstRowLastColumn="0" w:lastRowFirstColumn="0" w:lastRowLastColumn="0"/>
            </w:pPr>
            <w:r w:rsidRPr="0014435B">
              <w:t>DVA Item Number</w:t>
            </w:r>
          </w:p>
        </w:tc>
      </w:tr>
      <w:tr w:rsidR="00817CB4" w14:paraId="3D659BA1"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restart"/>
            <w:vAlign w:val="center"/>
          </w:tcPr>
          <w:p w14:paraId="1C0AC28F" w14:textId="77777777" w:rsidR="00817CB4" w:rsidRDefault="00817CB4" w:rsidP="00733FD8">
            <w:pPr>
              <w:pStyle w:val="Tabletextleft"/>
            </w:pPr>
            <w:r w:rsidRPr="00405E13">
              <w:t>Veteran Health Check</w:t>
            </w:r>
          </w:p>
        </w:tc>
        <w:tc>
          <w:tcPr>
            <w:tcW w:w="4536" w:type="dxa"/>
          </w:tcPr>
          <w:p w14:paraId="63D6AADC"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5E4250">
              <w:t>MT701</w:t>
            </w:r>
          </w:p>
        </w:tc>
      </w:tr>
      <w:tr w:rsidR="00817CB4" w14:paraId="2C9F5BDA"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7E1043EE" w14:textId="77777777" w:rsidR="00817CB4" w:rsidRDefault="00817CB4" w:rsidP="00733FD8">
            <w:pPr>
              <w:pStyle w:val="Tabletextleft"/>
            </w:pPr>
          </w:p>
        </w:tc>
        <w:tc>
          <w:tcPr>
            <w:tcW w:w="4536" w:type="dxa"/>
          </w:tcPr>
          <w:p w14:paraId="510AF680"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5E4250">
              <w:t>MT703</w:t>
            </w:r>
          </w:p>
        </w:tc>
      </w:tr>
      <w:tr w:rsidR="00817CB4" w14:paraId="5D3756FC"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78937B61" w14:textId="77777777" w:rsidR="00817CB4" w:rsidRDefault="00817CB4" w:rsidP="00733FD8">
            <w:pPr>
              <w:pStyle w:val="Tabletextleft"/>
            </w:pPr>
          </w:p>
        </w:tc>
        <w:tc>
          <w:tcPr>
            <w:tcW w:w="4536" w:type="dxa"/>
          </w:tcPr>
          <w:p w14:paraId="4CF1397D"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5E4250">
              <w:t>MT705</w:t>
            </w:r>
          </w:p>
        </w:tc>
      </w:tr>
      <w:tr w:rsidR="00817CB4" w14:paraId="3DB0F152"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14:paraId="2F10F4F0" w14:textId="77777777" w:rsidR="00817CB4" w:rsidRDefault="00817CB4" w:rsidP="00733FD8">
            <w:pPr>
              <w:pStyle w:val="Tabletextleft"/>
            </w:pPr>
          </w:p>
        </w:tc>
        <w:tc>
          <w:tcPr>
            <w:tcW w:w="4536" w:type="dxa"/>
          </w:tcPr>
          <w:p w14:paraId="38916A8A"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5E4250">
              <w:t>MT707</w:t>
            </w:r>
          </w:p>
        </w:tc>
      </w:tr>
    </w:tbl>
    <w:p w14:paraId="4826B1AD" w14:textId="77777777" w:rsidR="00817CB4" w:rsidRPr="00407AD1" w:rsidRDefault="00817CB4" w:rsidP="00407AD1">
      <w:pPr>
        <w:pStyle w:val="Heading3"/>
      </w:pPr>
      <w:bookmarkStart w:id="471" w:name="_Toc166068598"/>
      <w:bookmarkStart w:id="472" w:name="_Toc166069557"/>
      <w:bookmarkStart w:id="473" w:name="_Toc170120042"/>
      <w:bookmarkStart w:id="474" w:name="_Toc172899526"/>
      <w:bookmarkStart w:id="475" w:name="_Toc172899599"/>
      <w:bookmarkStart w:id="476" w:name="_Toc170817183"/>
      <w:r w:rsidRPr="00407AD1">
        <w:t>Eligible regular services</w:t>
      </w:r>
      <w:bookmarkEnd w:id="471"/>
      <w:bookmarkEnd w:id="472"/>
      <w:bookmarkEnd w:id="473"/>
      <w:bookmarkEnd w:id="474"/>
      <w:bookmarkEnd w:id="475"/>
      <w:bookmarkEnd w:id="476"/>
    </w:p>
    <w:p w14:paraId="0F7B205A" w14:textId="77777777" w:rsidR="00817CB4" w:rsidRDefault="00817CB4" w:rsidP="00817CB4">
      <w:pPr>
        <w:spacing w:before="120" w:after="120" w:line="276" w:lineRule="auto"/>
        <w:rPr>
          <w:rFonts w:eastAsia="Times New Roman"/>
        </w:rPr>
      </w:pPr>
      <w:r w:rsidRPr="00405E13">
        <w:rPr>
          <w:rFonts w:eastAsia="Times New Roman"/>
        </w:rPr>
        <w:t>The following MBS items are considered eligible regular services for the General Practice in Aged Care Incentive.</w:t>
      </w:r>
    </w:p>
    <w:tbl>
      <w:tblPr>
        <w:tblStyle w:val="DepartmentofHealthtable"/>
        <w:tblW w:w="9072" w:type="dxa"/>
        <w:tblLook w:val="04A0" w:firstRow="1" w:lastRow="0" w:firstColumn="1" w:lastColumn="0" w:noHBand="0" w:noVBand="1"/>
        <w:tblDescription w:val="Add Alt Text describing the content of the table"/>
      </w:tblPr>
      <w:tblGrid>
        <w:gridCol w:w="4395"/>
        <w:gridCol w:w="4677"/>
      </w:tblGrid>
      <w:tr w:rsidR="00817CB4" w14:paraId="7267104E"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Pr>
          <w:p w14:paraId="0194E2C2" w14:textId="77777777" w:rsidR="00817CB4" w:rsidRPr="00DC7910" w:rsidRDefault="00817CB4" w:rsidP="0054375E">
            <w:pPr>
              <w:pStyle w:val="TableHeaderWhite"/>
            </w:pPr>
            <w:r w:rsidRPr="006373FA">
              <w:t>Care Category</w:t>
            </w:r>
          </w:p>
        </w:tc>
        <w:tc>
          <w:tcPr>
            <w:tcW w:w="4677" w:type="dxa"/>
          </w:tcPr>
          <w:p w14:paraId="47CBD995" w14:textId="77777777" w:rsidR="00817CB4" w:rsidRDefault="00817CB4" w:rsidP="0054375E">
            <w:pPr>
              <w:pStyle w:val="TableHeader"/>
              <w:cnfStyle w:val="100000000000" w:firstRow="1" w:lastRow="0" w:firstColumn="0" w:lastColumn="0" w:oddVBand="0" w:evenVBand="0" w:oddHBand="0" w:evenHBand="0" w:firstRowFirstColumn="0" w:firstRowLastColumn="0" w:lastRowFirstColumn="0" w:lastRowLastColumn="0"/>
            </w:pPr>
            <w:r w:rsidRPr="006373FA">
              <w:t>MBS Item Number</w:t>
            </w:r>
          </w:p>
        </w:tc>
      </w:tr>
      <w:tr w:rsidR="00817CB4" w14:paraId="5211F7C1"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vAlign w:val="center"/>
          </w:tcPr>
          <w:p w14:paraId="76E96A35" w14:textId="77777777" w:rsidR="00817CB4" w:rsidRDefault="00817CB4" w:rsidP="00733FD8">
            <w:pPr>
              <w:pStyle w:val="Tabletextleft"/>
            </w:pPr>
            <w:r w:rsidRPr="0061165C">
              <w:t xml:space="preserve">Attendance at a </w:t>
            </w:r>
            <w:r>
              <w:t xml:space="preserve">residential aged care home </w:t>
            </w:r>
            <w:r w:rsidRPr="0061165C">
              <w:t>(B-E Consultation)</w:t>
            </w:r>
          </w:p>
        </w:tc>
        <w:tc>
          <w:tcPr>
            <w:tcW w:w="4677" w:type="dxa"/>
          </w:tcPr>
          <w:p w14:paraId="739C666A"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186F40">
              <w:t>90035</w:t>
            </w:r>
          </w:p>
        </w:tc>
      </w:tr>
      <w:tr w:rsidR="00817CB4" w14:paraId="06E2FC1C"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65A7BB6" w14:textId="77777777" w:rsidR="00817CB4" w:rsidRDefault="00817CB4" w:rsidP="00733FD8">
            <w:pPr>
              <w:pStyle w:val="Tabletextleft"/>
            </w:pPr>
          </w:p>
        </w:tc>
        <w:tc>
          <w:tcPr>
            <w:tcW w:w="4677" w:type="dxa"/>
          </w:tcPr>
          <w:p w14:paraId="2848AB5E"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186F40">
              <w:t>90043</w:t>
            </w:r>
          </w:p>
        </w:tc>
      </w:tr>
      <w:tr w:rsidR="00817CB4" w14:paraId="53BA3B72"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CEE722C" w14:textId="77777777" w:rsidR="00817CB4" w:rsidRDefault="00817CB4" w:rsidP="00733FD8">
            <w:pPr>
              <w:pStyle w:val="Tabletextleft"/>
            </w:pPr>
          </w:p>
        </w:tc>
        <w:tc>
          <w:tcPr>
            <w:tcW w:w="4677" w:type="dxa"/>
          </w:tcPr>
          <w:p w14:paraId="729EDE12"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186F40">
              <w:t>90051</w:t>
            </w:r>
          </w:p>
        </w:tc>
      </w:tr>
      <w:tr w:rsidR="00817CB4" w14:paraId="1130E80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2A875543" w14:textId="77777777" w:rsidR="00817CB4" w:rsidRDefault="00817CB4" w:rsidP="00733FD8">
            <w:pPr>
              <w:pStyle w:val="Tabletextleft"/>
            </w:pPr>
          </w:p>
        </w:tc>
        <w:tc>
          <w:tcPr>
            <w:tcW w:w="4677" w:type="dxa"/>
          </w:tcPr>
          <w:p w14:paraId="24DEC4CE"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186F40">
              <w:t>90054</w:t>
            </w:r>
          </w:p>
        </w:tc>
      </w:tr>
      <w:tr w:rsidR="00817CB4" w14:paraId="47249668"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C42428A" w14:textId="77777777" w:rsidR="00817CB4" w:rsidRDefault="00817CB4" w:rsidP="00733FD8">
            <w:pPr>
              <w:pStyle w:val="Tabletextleft"/>
            </w:pPr>
          </w:p>
        </w:tc>
        <w:tc>
          <w:tcPr>
            <w:tcW w:w="4677" w:type="dxa"/>
          </w:tcPr>
          <w:p w14:paraId="34FF747C"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186F40">
              <w:t>90093</w:t>
            </w:r>
          </w:p>
        </w:tc>
      </w:tr>
      <w:tr w:rsidR="00817CB4" w14:paraId="1CC12B91"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61AAFA0E" w14:textId="77777777" w:rsidR="00817CB4" w:rsidRDefault="00817CB4" w:rsidP="00733FD8">
            <w:pPr>
              <w:pStyle w:val="Tabletextleft"/>
            </w:pPr>
          </w:p>
        </w:tc>
        <w:tc>
          <w:tcPr>
            <w:tcW w:w="4677" w:type="dxa"/>
          </w:tcPr>
          <w:p w14:paraId="7747E8F6"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186F40">
              <w:t>90095</w:t>
            </w:r>
          </w:p>
        </w:tc>
      </w:tr>
      <w:tr w:rsidR="00817CB4" w14:paraId="10C28191"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39B11971" w14:textId="77777777" w:rsidR="00817CB4" w:rsidRDefault="00817CB4" w:rsidP="00733FD8">
            <w:pPr>
              <w:pStyle w:val="Tabletextleft"/>
            </w:pPr>
          </w:p>
        </w:tc>
        <w:tc>
          <w:tcPr>
            <w:tcW w:w="4677" w:type="dxa"/>
          </w:tcPr>
          <w:p w14:paraId="5A29CDA1"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186F40">
              <w:t>90096</w:t>
            </w:r>
          </w:p>
        </w:tc>
      </w:tr>
      <w:tr w:rsidR="00817CB4" w14:paraId="04F2A2C5"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0F1569E" w14:textId="77777777" w:rsidR="00817CB4" w:rsidRDefault="00817CB4" w:rsidP="00733FD8">
            <w:pPr>
              <w:pStyle w:val="Tabletextleft"/>
            </w:pPr>
          </w:p>
        </w:tc>
        <w:tc>
          <w:tcPr>
            <w:tcW w:w="4677" w:type="dxa"/>
          </w:tcPr>
          <w:p w14:paraId="1594B50E"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186F40">
              <w:t>90098</w:t>
            </w:r>
          </w:p>
        </w:tc>
      </w:tr>
      <w:tr w:rsidR="00817CB4" w14:paraId="008F28CD"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6B5B1A62" w14:textId="77777777" w:rsidR="00817CB4" w:rsidRDefault="00817CB4" w:rsidP="00733FD8">
            <w:pPr>
              <w:pStyle w:val="Tabletextleft"/>
            </w:pPr>
          </w:p>
        </w:tc>
        <w:tc>
          <w:tcPr>
            <w:tcW w:w="4677" w:type="dxa"/>
          </w:tcPr>
          <w:p w14:paraId="211011FF"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186F40">
              <w:t>90188</w:t>
            </w:r>
          </w:p>
        </w:tc>
      </w:tr>
      <w:tr w:rsidR="00817CB4" w14:paraId="16485286"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0F1CE6B0" w14:textId="77777777" w:rsidR="00817CB4" w:rsidRDefault="00817CB4" w:rsidP="00733FD8">
            <w:pPr>
              <w:pStyle w:val="Tabletextleft"/>
            </w:pPr>
          </w:p>
        </w:tc>
        <w:tc>
          <w:tcPr>
            <w:tcW w:w="4677" w:type="dxa"/>
          </w:tcPr>
          <w:p w14:paraId="62CAB9D7"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186F40">
              <w:t>90202</w:t>
            </w:r>
          </w:p>
        </w:tc>
      </w:tr>
      <w:tr w:rsidR="00817CB4" w14:paraId="14E4E0C9"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6F929F91" w14:textId="77777777" w:rsidR="00817CB4" w:rsidRDefault="00817CB4" w:rsidP="00733FD8">
            <w:pPr>
              <w:pStyle w:val="Tabletextleft"/>
            </w:pPr>
          </w:p>
        </w:tc>
        <w:tc>
          <w:tcPr>
            <w:tcW w:w="4677" w:type="dxa"/>
          </w:tcPr>
          <w:p w14:paraId="6700630D"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186F40">
              <w:t>90212</w:t>
            </w:r>
          </w:p>
        </w:tc>
      </w:tr>
      <w:tr w:rsidR="00817CB4" w14:paraId="6D5FBC7D"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2B904A8C" w14:textId="77777777" w:rsidR="00817CB4" w:rsidRDefault="00817CB4" w:rsidP="00733FD8">
            <w:pPr>
              <w:pStyle w:val="Tabletextleft"/>
            </w:pPr>
          </w:p>
        </w:tc>
        <w:tc>
          <w:tcPr>
            <w:tcW w:w="4677" w:type="dxa"/>
          </w:tcPr>
          <w:p w14:paraId="5988BA4B"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186F40">
              <w:t>90215</w:t>
            </w:r>
          </w:p>
        </w:tc>
      </w:tr>
      <w:tr w:rsidR="00817CB4" w14:paraId="707EBD6A"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vAlign w:val="center"/>
          </w:tcPr>
          <w:p w14:paraId="0CCF012C" w14:textId="34FFA036" w:rsidR="00817CB4" w:rsidRDefault="00817CB4" w:rsidP="00733FD8">
            <w:pPr>
              <w:pStyle w:val="Tabletextleft"/>
            </w:pPr>
            <w:r w:rsidRPr="0061165C">
              <w:t>Practice nurse</w:t>
            </w:r>
            <w:r w:rsidR="3AE335CE">
              <w:t xml:space="preserve"> and</w:t>
            </w:r>
            <w:r w:rsidRPr="0061165C">
              <w:t xml:space="preserve"> Aboriginal and Torres Strait Islander health practitioner Services</w:t>
            </w:r>
          </w:p>
        </w:tc>
        <w:tc>
          <w:tcPr>
            <w:tcW w:w="4677" w:type="dxa"/>
          </w:tcPr>
          <w:p w14:paraId="7C6CAEE7"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D43D13">
              <w:t>10987</w:t>
            </w:r>
          </w:p>
        </w:tc>
      </w:tr>
      <w:tr w:rsidR="00817CB4" w14:paraId="009C8AA4"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935821E" w14:textId="77777777" w:rsidR="00817CB4" w:rsidRDefault="00817CB4" w:rsidP="00733FD8">
            <w:pPr>
              <w:pStyle w:val="Tabletextleft"/>
            </w:pPr>
          </w:p>
        </w:tc>
        <w:tc>
          <w:tcPr>
            <w:tcW w:w="4677" w:type="dxa"/>
          </w:tcPr>
          <w:p w14:paraId="24CDA76B"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D43D13">
              <w:t>10997</w:t>
            </w:r>
          </w:p>
        </w:tc>
      </w:tr>
      <w:tr w:rsidR="00817CB4" w14:paraId="75BB6357"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vAlign w:val="center"/>
          </w:tcPr>
          <w:p w14:paraId="107F7618" w14:textId="77777777" w:rsidR="00817CB4" w:rsidRDefault="00817CB4" w:rsidP="00733FD8">
            <w:pPr>
              <w:pStyle w:val="Tabletextleft"/>
            </w:pPr>
            <w:r w:rsidRPr="0061165C">
              <w:t xml:space="preserve">Non-Urgent </w:t>
            </w:r>
            <w:proofErr w:type="gramStart"/>
            <w:r w:rsidRPr="0061165C">
              <w:t>After Hours</w:t>
            </w:r>
            <w:proofErr w:type="gramEnd"/>
            <w:r w:rsidRPr="0061165C">
              <w:t xml:space="preserve"> Attendance</w:t>
            </w:r>
          </w:p>
        </w:tc>
        <w:tc>
          <w:tcPr>
            <w:tcW w:w="4677" w:type="dxa"/>
          </w:tcPr>
          <w:p w14:paraId="04E23943"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8E3BC5">
              <w:t>776</w:t>
            </w:r>
          </w:p>
        </w:tc>
      </w:tr>
      <w:tr w:rsidR="00817CB4" w14:paraId="19BF7FC0"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30DEF84E" w14:textId="77777777" w:rsidR="00817CB4" w:rsidRDefault="00817CB4" w:rsidP="00733FD8">
            <w:pPr>
              <w:pStyle w:val="Tabletextleft"/>
            </w:pPr>
          </w:p>
        </w:tc>
        <w:tc>
          <w:tcPr>
            <w:tcW w:w="4677" w:type="dxa"/>
          </w:tcPr>
          <w:p w14:paraId="74E89596"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8E3BC5">
              <w:t>788</w:t>
            </w:r>
          </w:p>
        </w:tc>
      </w:tr>
      <w:tr w:rsidR="00817CB4" w14:paraId="42A04E3A"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62949DB9" w14:textId="77777777" w:rsidR="00817CB4" w:rsidRDefault="00817CB4" w:rsidP="00733FD8">
            <w:pPr>
              <w:pStyle w:val="Tabletextleft"/>
            </w:pPr>
          </w:p>
        </w:tc>
        <w:tc>
          <w:tcPr>
            <w:tcW w:w="4677" w:type="dxa"/>
          </w:tcPr>
          <w:p w14:paraId="7A73AC27"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8E3BC5">
              <w:t>789</w:t>
            </w:r>
          </w:p>
        </w:tc>
      </w:tr>
      <w:tr w:rsidR="00817CB4" w14:paraId="435AD2B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AE5DCDE" w14:textId="77777777" w:rsidR="00817CB4" w:rsidRDefault="00817CB4" w:rsidP="00733FD8">
            <w:pPr>
              <w:pStyle w:val="Tabletextleft"/>
            </w:pPr>
          </w:p>
        </w:tc>
        <w:tc>
          <w:tcPr>
            <w:tcW w:w="4677" w:type="dxa"/>
          </w:tcPr>
          <w:p w14:paraId="7F56E34C"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8E3BC5">
              <w:t>2200</w:t>
            </w:r>
          </w:p>
        </w:tc>
      </w:tr>
      <w:tr w:rsidR="00817CB4" w14:paraId="456A95A8"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0E52BD48" w14:textId="77777777" w:rsidR="00817CB4" w:rsidRDefault="00817CB4" w:rsidP="00733FD8">
            <w:pPr>
              <w:pStyle w:val="Tabletextleft"/>
            </w:pPr>
          </w:p>
        </w:tc>
        <w:tc>
          <w:tcPr>
            <w:tcW w:w="4677" w:type="dxa"/>
          </w:tcPr>
          <w:p w14:paraId="17341DDE"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8E3BC5">
              <w:t>5028</w:t>
            </w:r>
          </w:p>
        </w:tc>
      </w:tr>
      <w:tr w:rsidR="00817CB4" w14:paraId="5B3098C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24FC16DD" w14:textId="77777777" w:rsidR="00817CB4" w:rsidRDefault="00817CB4" w:rsidP="00733FD8">
            <w:pPr>
              <w:pStyle w:val="Tabletextleft"/>
            </w:pPr>
          </w:p>
        </w:tc>
        <w:tc>
          <w:tcPr>
            <w:tcW w:w="4677" w:type="dxa"/>
          </w:tcPr>
          <w:p w14:paraId="7605E50A"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8E3BC5">
              <w:t>5049</w:t>
            </w:r>
          </w:p>
        </w:tc>
      </w:tr>
      <w:tr w:rsidR="00817CB4" w14:paraId="2A8622A0"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72621D13" w14:textId="77777777" w:rsidR="00817CB4" w:rsidRDefault="00817CB4" w:rsidP="00733FD8">
            <w:pPr>
              <w:pStyle w:val="Tabletextleft"/>
            </w:pPr>
          </w:p>
        </w:tc>
        <w:tc>
          <w:tcPr>
            <w:tcW w:w="4677" w:type="dxa"/>
          </w:tcPr>
          <w:p w14:paraId="39025BBD"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8E3BC5">
              <w:t>5067</w:t>
            </w:r>
          </w:p>
        </w:tc>
      </w:tr>
      <w:tr w:rsidR="00817CB4" w14:paraId="4CD061DB"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76EB1A1B" w14:textId="77777777" w:rsidR="00817CB4" w:rsidRDefault="00817CB4" w:rsidP="00733FD8">
            <w:pPr>
              <w:pStyle w:val="Tabletextleft"/>
            </w:pPr>
          </w:p>
        </w:tc>
        <w:tc>
          <w:tcPr>
            <w:tcW w:w="4677" w:type="dxa"/>
          </w:tcPr>
          <w:p w14:paraId="345570AD"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8E3BC5">
              <w:t>5077</w:t>
            </w:r>
          </w:p>
        </w:tc>
      </w:tr>
      <w:tr w:rsidR="00817CB4" w14:paraId="3129F4BF"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7146F38F" w14:textId="77777777" w:rsidR="00817CB4" w:rsidRDefault="00817CB4" w:rsidP="00733FD8">
            <w:pPr>
              <w:pStyle w:val="Tabletextleft"/>
            </w:pPr>
          </w:p>
        </w:tc>
        <w:tc>
          <w:tcPr>
            <w:tcW w:w="4677" w:type="dxa"/>
          </w:tcPr>
          <w:p w14:paraId="49FAAF75"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8E3BC5">
              <w:t>5262</w:t>
            </w:r>
          </w:p>
        </w:tc>
      </w:tr>
      <w:tr w:rsidR="00817CB4" w14:paraId="50D144B2"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319F03AD" w14:textId="77777777" w:rsidR="00817CB4" w:rsidRDefault="00817CB4" w:rsidP="00733FD8">
            <w:pPr>
              <w:pStyle w:val="Tabletextleft"/>
            </w:pPr>
          </w:p>
        </w:tc>
        <w:tc>
          <w:tcPr>
            <w:tcW w:w="4677" w:type="dxa"/>
          </w:tcPr>
          <w:p w14:paraId="3C5CD7D8"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8E3BC5">
              <w:t>5263</w:t>
            </w:r>
          </w:p>
        </w:tc>
      </w:tr>
      <w:tr w:rsidR="00817CB4" w14:paraId="4E557C9A"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07454898" w14:textId="77777777" w:rsidR="00817CB4" w:rsidRDefault="00817CB4" w:rsidP="00733FD8">
            <w:pPr>
              <w:pStyle w:val="Tabletextleft"/>
            </w:pPr>
          </w:p>
        </w:tc>
        <w:tc>
          <w:tcPr>
            <w:tcW w:w="4677" w:type="dxa"/>
          </w:tcPr>
          <w:p w14:paraId="07FEA03A"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8E3BC5">
              <w:t>5265</w:t>
            </w:r>
          </w:p>
        </w:tc>
      </w:tr>
      <w:tr w:rsidR="00817CB4" w14:paraId="1F30FCD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09A0E3D" w14:textId="77777777" w:rsidR="00817CB4" w:rsidRDefault="00817CB4" w:rsidP="00733FD8">
            <w:pPr>
              <w:pStyle w:val="Tabletextleft"/>
            </w:pPr>
          </w:p>
        </w:tc>
        <w:tc>
          <w:tcPr>
            <w:tcW w:w="4677" w:type="dxa"/>
          </w:tcPr>
          <w:p w14:paraId="71212262"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8E3BC5">
              <w:t>5267</w:t>
            </w:r>
          </w:p>
        </w:tc>
      </w:tr>
      <w:tr w:rsidR="00817CB4" w14:paraId="208FFD54"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vAlign w:val="center"/>
          </w:tcPr>
          <w:p w14:paraId="3560AC08" w14:textId="77777777" w:rsidR="00817CB4" w:rsidRDefault="00817CB4" w:rsidP="00733FD8">
            <w:pPr>
              <w:pStyle w:val="Tabletextleft"/>
            </w:pPr>
            <w:r w:rsidRPr="0061165C">
              <w:t>Nurse Practitioner Services</w:t>
            </w:r>
          </w:p>
        </w:tc>
        <w:tc>
          <w:tcPr>
            <w:tcW w:w="4677" w:type="dxa"/>
          </w:tcPr>
          <w:p w14:paraId="58B48645"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E357B">
              <w:t>82205</w:t>
            </w:r>
          </w:p>
        </w:tc>
      </w:tr>
      <w:tr w:rsidR="00817CB4" w14:paraId="33610875"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EF64772" w14:textId="77777777" w:rsidR="00817CB4" w:rsidRDefault="00817CB4" w:rsidP="00733FD8">
            <w:pPr>
              <w:pStyle w:val="Tabletextleft"/>
            </w:pPr>
          </w:p>
        </w:tc>
        <w:tc>
          <w:tcPr>
            <w:tcW w:w="4677" w:type="dxa"/>
          </w:tcPr>
          <w:p w14:paraId="591FC8A3"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7E357B">
              <w:t>82210</w:t>
            </w:r>
          </w:p>
        </w:tc>
      </w:tr>
      <w:tr w:rsidR="00817CB4" w14:paraId="206D0B9D"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2C8E31EB" w14:textId="77777777" w:rsidR="00817CB4" w:rsidRDefault="00817CB4" w:rsidP="00733FD8">
            <w:pPr>
              <w:pStyle w:val="Tabletextleft"/>
            </w:pPr>
          </w:p>
        </w:tc>
        <w:tc>
          <w:tcPr>
            <w:tcW w:w="4677" w:type="dxa"/>
          </w:tcPr>
          <w:p w14:paraId="661DCDCC"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7E357B">
              <w:t>82215</w:t>
            </w:r>
          </w:p>
        </w:tc>
      </w:tr>
    </w:tbl>
    <w:p w14:paraId="12634D38" w14:textId="77777777" w:rsidR="00817CB4" w:rsidRPr="00407AD1" w:rsidRDefault="00817CB4" w:rsidP="00407AD1">
      <w:pPr>
        <w:pStyle w:val="Heading3"/>
      </w:pPr>
      <w:bookmarkStart w:id="477" w:name="_Toc166068599"/>
      <w:bookmarkStart w:id="478" w:name="_Toc166069558"/>
      <w:bookmarkStart w:id="479" w:name="_Toc170120043"/>
      <w:bookmarkStart w:id="480" w:name="_Toc172899527"/>
      <w:bookmarkStart w:id="481" w:name="_Toc172899600"/>
      <w:bookmarkStart w:id="482" w:name="_Toc170817184"/>
      <w:r w:rsidRPr="00407AD1">
        <w:t>Eligible regular telehealth services</w:t>
      </w:r>
      <w:bookmarkEnd w:id="477"/>
      <w:bookmarkEnd w:id="478"/>
      <w:bookmarkEnd w:id="479"/>
      <w:bookmarkEnd w:id="480"/>
      <w:bookmarkEnd w:id="481"/>
      <w:bookmarkEnd w:id="482"/>
    </w:p>
    <w:p w14:paraId="06962641" w14:textId="77777777" w:rsidR="00817CB4" w:rsidRDefault="00817CB4" w:rsidP="00817CB4">
      <w:pPr>
        <w:spacing w:before="120" w:after="120" w:line="276" w:lineRule="auto"/>
        <w:rPr>
          <w:rFonts w:eastAsia="Times New Roman"/>
        </w:rPr>
      </w:pPr>
      <w:r w:rsidRPr="00405E13">
        <w:rPr>
          <w:rFonts w:eastAsia="Times New Roman"/>
        </w:rPr>
        <w:t>The following MBS items are considered eligible regular services for practices located in MM</w:t>
      </w:r>
      <w:r>
        <w:rPr>
          <w:rFonts w:eastAsia="Times New Roman"/>
        </w:rPr>
        <w:t>M</w:t>
      </w:r>
      <w:r w:rsidRPr="00405E13">
        <w:rPr>
          <w:rFonts w:eastAsia="Times New Roman"/>
        </w:rPr>
        <w:t>4-M</w:t>
      </w:r>
      <w:r>
        <w:rPr>
          <w:rFonts w:eastAsia="Times New Roman"/>
        </w:rPr>
        <w:t>M</w:t>
      </w:r>
      <w:r w:rsidRPr="00405E13">
        <w:rPr>
          <w:rFonts w:eastAsia="Times New Roman"/>
        </w:rPr>
        <w:t>M7 for the General Practice in Aged Care Incentive.</w:t>
      </w:r>
    </w:p>
    <w:tbl>
      <w:tblPr>
        <w:tblStyle w:val="DepartmentofHealthtable"/>
        <w:tblW w:w="9072" w:type="dxa"/>
        <w:tblLook w:val="04A0" w:firstRow="1" w:lastRow="0" w:firstColumn="1" w:lastColumn="0" w:noHBand="0" w:noVBand="1"/>
        <w:tblDescription w:val="Add Alt Text describing the content of the table"/>
      </w:tblPr>
      <w:tblGrid>
        <w:gridCol w:w="4395"/>
        <w:gridCol w:w="4677"/>
      </w:tblGrid>
      <w:tr w:rsidR="00817CB4" w14:paraId="189739B2"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tcPr>
          <w:p w14:paraId="494634F9" w14:textId="77777777" w:rsidR="00817CB4" w:rsidRPr="00DC7910" w:rsidRDefault="00817CB4" w:rsidP="00574127">
            <w:pPr>
              <w:pStyle w:val="TableHeaderWhite"/>
            </w:pPr>
            <w:r w:rsidRPr="008A27A1">
              <w:t>Care Category</w:t>
            </w:r>
          </w:p>
        </w:tc>
        <w:tc>
          <w:tcPr>
            <w:tcW w:w="4677" w:type="dxa"/>
          </w:tcPr>
          <w:p w14:paraId="256B187D" w14:textId="77777777" w:rsidR="00817CB4" w:rsidRDefault="00817CB4" w:rsidP="00574127">
            <w:pPr>
              <w:pStyle w:val="TableHeaderWhite"/>
              <w:cnfStyle w:val="100000000000" w:firstRow="1" w:lastRow="0" w:firstColumn="0" w:lastColumn="0" w:oddVBand="0" w:evenVBand="0" w:oddHBand="0" w:evenHBand="0" w:firstRowFirstColumn="0" w:firstRowLastColumn="0" w:lastRowFirstColumn="0" w:lastRowLastColumn="0"/>
            </w:pPr>
            <w:r w:rsidRPr="008A27A1">
              <w:t>MBS Item Number</w:t>
            </w:r>
          </w:p>
        </w:tc>
      </w:tr>
      <w:tr w:rsidR="00817CB4" w14:paraId="546DF8ED"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val="restart"/>
            <w:vAlign w:val="center"/>
          </w:tcPr>
          <w:p w14:paraId="7C8D23AC" w14:textId="77777777" w:rsidR="00817CB4" w:rsidRDefault="00817CB4" w:rsidP="00733FD8">
            <w:pPr>
              <w:pStyle w:val="Tabletextleft"/>
            </w:pPr>
            <w:r w:rsidRPr="007C1AF0">
              <w:t>Telehealth Services</w:t>
            </w:r>
          </w:p>
        </w:tc>
        <w:tc>
          <w:tcPr>
            <w:tcW w:w="4677" w:type="dxa"/>
          </w:tcPr>
          <w:p w14:paraId="4D9E7EA9"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91800</w:t>
            </w:r>
          </w:p>
        </w:tc>
      </w:tr>
      <w:tr w:rsidR="00817CB4" w14:paraId="2775AB2F"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9F38CA5" w14:textId="77777777" w:rsidR="00817CB4" w:rsidRDefault="00817CB4" w:rsidP="00733FD8">
            <w:pPr>
              <w:pStyle w:val="Tabletextleft"/>
            </w:pPr>
          </w:p>
        </w:tc>
        <w:tc>
          <w:tcPr>
            <w:tcW w:w="4677" w:type="dxa"/>
          </w:tcPr>
          <w:p w14:paraId="2F6742AD"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91801</w:t>
            </w:r>
          </w:p>
        </w:tc>
      </w:tr>
      <w:tr w:rsidR="00817CB4" w14:paraId="788594D7"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6834F6B9" w14:textId="77777777" w:rsidR="00817CB4" w:rsidRDefault="00817CB4" w:rsidP="00733FD8">
            <w:pPr>
              <w:pStyle w:val="Tabletextleft"/>
            </w:pPr>
          </w:p>
        </w:tc>
        <w:tc>
          <w:tcPr>
            <w:tcW w:w="4677" w:type="dxa"/>
          </w:tcPr>
          <w:p w14:paraId="52EA1071"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91802</w:t>
            </w:r>
          </w:p>
        </w:tc>
      </w:tr>
      <w:tr w:rsidR="00817CB4" w14:paraId="120E6D1B"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37ABFB7C" w14:textId="77777777" w:rsidR="00817CB4" w:rsidRDefault="00817CB4" w:rsidP="00733FD8">
            <w:pPr>
              <w:pStyle w:val="Tabletextleft"/>
            </w:pPr>
          </w:p>
        </w:tc>
        <w:tc>
          <w:tcPr>
            <w:tcW w:w="4677" w:type="dxa"/>
          </w:tcPr>
          <w:p w14:paraId="5BDB95CB"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91803</w:t>
            </w:r>
          </w:p>
        </w:tc>
      </w:tr>
      <w:tr w:rsidR="00817CB4" w14:paraId="252BAE2C"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E7C6EEA" w14:textId="77777777" w:rsidR="00817CB4" w:rsidRDefault="00817CB4" w:rsidP="00733FD8">
            <w:pPr>
              <w:pStyle w:val="Tabletextleft"/>
            </w:pPr>
          </w:p>
        </w:tc>
        <w:tc>
          <w:tcPr>
            <w:tcW w:w="4677" w:type="dxa"/>
          </w:tcPr>
          <w:p w14:paraId="16B7D323"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91804</w:t>
            </w:r>
          </w:p>
        </w:tc>
      </w:tr>
      <w:tr w:rsidR="00817CB4" w14:paraId="4A903A55"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7C59A44" w14:textId="77777777" w:rsidR="00817CB4" w:rsidRDefault="00817CB4" w:rsidP="00733FD8">
            <w:pPr>
              <w:pStyle w:val="Tabletextleft"/>
            </w:pPr>
          </w:p>
        </w:tc>
        <w:tc>
          <w:tcPr>
            <w:tcW w:w="4677" w:type="dxa"/>
          </w:tcPr>
          <w:p w14:paraId="12BBD2BC"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91805</w:t>
            </w:r>
          </w:p>
        </w:tc>
      </w:tr>
      <w:tr w:rsidR="00817CB4" w14:paraId="7AB3F947"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A1AA606" w14:textId="77777777" w:rsidR="00817CB4" w:rsidRDefault="00817CB4" w:rsidP="00733FD8">
            <w:pPr>
              <w:pStyle w:val="Tabletextleft"/>
            </w:pPr>
          </w:p>
        </w:tc>
        <w:tc>
          <w:tcPr>
            <w:tcW w:w="4677" w:type="dxa"/>
          </w:tcPr>
          <w:p w14:paraId="0B5FF12D"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91806</w:t>
            </w:r>
          </w:p>
        </w:tc>
      </w:tr>
      <w:tr w:rsidR="00817CB4" w14:paraId="529FDEB7"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656EFFE4" w14:textId="77777777" w:rsidR="00817CB4" w:rsidRDefault="00817CB4" w:rsidP="00733FD8">
            <w:pPr>
              <w:pStyle w:val="Tabletextleft"/>
            </w:pPr>
          </w:p>
        </w:tc>
        <w:tc>
          <w:tcPr>
            <w:tcW w:w="4677" w:type="dxa"/>
          </w:tcPr>
          <w:p w14:paraId="6E5BCBA1"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91807</w:t>
            </w:r>
          </w:p>
        </w:tc>
      </w:tr>
      <w:tr w:rsidR="00817CB4" w14:paraId="369EA334"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5A2FFCCD" w14:textId="77777777" w:rsidR="00817CB4" w:rsidRDefault="00817CB4" w:rsidP="00733FD8">
            <w:pPr>
              <w:pStyle w:val="Tabletextleft"/>
            </w:pPr>
          </w:p>
        </w:tc>
        <w:tc>
          <w:tcPr>
            <w:tcW w:w="4677" w:type="dxa"/>
          </w:tcPr>
          <w:p w14:paraId="7E023B01"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91808</w:t>
            </w:r>
          </w:p>
        </w:tc>
      </w:tr>
      <w:tr w:rsidR="00817CB4" w14:paraId="2529DE3A"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7EE7D5E2" w14:textId="77777777" w:rsidR="00817CB4" w:rsidRDefault="00817CB4" w:rsidP="00733FD8">
            <w:pPr>
              <w:pStyle w:val="Tabletextleft"/>
            </w:pPr>
          </w:p>
        </w:tc>
        <w:tc>
          <w:tcPr>
            <w:tcW w:w="4677" w:type="dxa"/>
          </w:tcPr>
          <w:p w14:paraId="1F0530B2"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91891</w:t>
            </w:r>
          </w:p>
        </w:tc>
      </w:tr>
      <w:tr w:rsidR="00817CB4" w14:paraId="6451526C"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523F2E70" w14:textId="77777777" w:rsidR="00817CB4" w:rsidRDefault="00817CB4" w:rsidP="00733FD8">
            <w:pPr>
              <w:pStyle w:val="Tabletextleft"/>
            </w:pPr>
          </w:p>
        </w:tc>
        <w:tc>
          <w:tcPr>
            <w:tcW w:w="4677" w:type="dxa"/>
          </w:tcPr>
          <w:p w14:paraId="5CE55095"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91893</w:t>
            </w:r>
          </w:p>
        </w:tc>
      </w:tr>
      <w:tr w:rsidR="00817CB4" w14:paraId="7BF6B8CC"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ED3E176" w14:textId="77777777" w:rsidR="00817CB4" w:rsidRDefault="00817CB4" w:rsidP="00733FD8">
            <w:pPr>
              <w:pStyle w:val="Tabletextleft"/>
            </w:pPr>
          </w:p>
        </w:tc>
        <w:tc>
          <w:tcPr>
            <w:tcW w:w="4677" w:type="dxa"/>
          </w:tcPr>
          <w:p w14:paraId="417D38BE"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91900</w:t>
            </w:r>
          </w:p>
        </w:tc>
      </w:tr>
      <w:tr w:rsidR="00817CB4" w14:paraId="0D147FA2"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31C59E7" w14:textId="77777777" w:rsidR="00817CB4" w:rsidRDefault="00817CB4" w:rsidP="00733FD8">
            <w:pPr>
              <w:pStyle w:val="Tabletextleft"/>
            </w:pPr>
          </w:p>
        </w:tc>
        <w:tc>
          <w:tcPr>
            <w:tcW w:w="4677" w:type="dxa"/>
          </w:tcPr>
          <w:p w14:paraId="31B1CD0F"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91903</w:t>
            </w:r>
          </w:p>
        </w:tc>
      </w:tr>
      <w:tr w:rsidR="00817CB4" w14:paraId="7FA1E48E"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667132C1" w14:textId="77777777" w:rsidR="00817CB4" w:rsidRDefault="00817CB4" w:rsidP="00733FD8">
            <w:pPr>
              <w:pStyle w:val="Tabletextleft"/>
            </w:pPr>
          </w:p>
        </w:tc>
        <w:tc>
          <w:tcPr>
            <w:tcW w:w="4677" w:type="dxa"/>
          </w:tcPr>
          <w:p w14:paraId="1FB50C34"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91906</w:t>
            </w:r>
          </w:p>
        </w:tc>
      </w:tr>
      <w:tr w:rsidR="00817CB4" w14:paraId="6AFA4AC1"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00CA083C" w14:textId="77777777" w:rsidR="00817CB4" w:rsidRDefault="00817CB4" w:rsidP="00733FD8">
            <w:pPr>
              <w:pStyle w:val="Tabletextleft"/>
            </w:pPr>
          </w:p>
        </w:tc>
        <w:tc>
          <w:tcPr>
            <w:tcW w:w="4677" w:type="dxa"/>
          </w:tcPr>
          <w:p w14:paraId="61AAA7F5"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91910</w:t>
            </w:r>
          </w:p>
        </w:tc>
      </w:tr>
      <w:tr w:rsidR="00817CB4" w14:paraId="5746882E"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1F12B0DF" w14:textId="77777777" w:rsidR="00817CB4" w:rsidRDefault="00817CB4" w:rsidP="00733FD8">
            <w:pPr>
              <w:pStyle w:val="Tabletextleft"/>
            </w:pPr>
          </w:p>
        </w:tc>
        <w:tc>
          <w:tcPr>
            <w:tcW w:w="4677" w:type="dxa"/>
          </w:tcPr>
          <w:p w14:paraId="2B181E13"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91913</w:t>
            </w:r>
          </w:p>
        </w:tc>
      </w:tr>
      <w:tr w:rsidR="00817CB4" w14:paraId="259B6A80"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7E33F47" w14:textId="77777777" w:rsidR="00817CB4" w:rsidRDefault="00817CB4" w:rsidP="00733FD8">
            <w:pPr>
              <w:pStyle w:val="Tabletextleft"/>
            </w:pPr>
          </w:p>
        </w:tc>
        <w:tc>
          <w:tcPr>
            <w:tcW w:w="4677" w:type="dxa"/>
          </w:tcPr>
          <w:p w14:paraId="73FF5637"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91916</w:t>
            </w:r>
          </w:p>
        </w:tc>
      </w:tr>
      <w:tr w:rsidR="00817CB4" w14:paraId="7DE4DA8D"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56518757" w14:textId="77777777" w:rsidR="00817CB4" w:rsidRDefault="00817CB4" w:rsidP="00733FD8">
            <w:pPr>
              <w:pStyle w:val="Tabletextleft"/>
            </w:pPr>
          </w:p>
        </w:tc>
        <w:tc>
          <w:tcPr>
            <w:tcW w:w="4677" w:type="dxa"/>
          </w:tcPr>
          <w:p w14:paraId="10C20274"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91920</w:t>
            </w:r>
          </w:p>
        </w:tc>
      </w:tr>
      <w:tr w:rsidR="00817CB4" w14:paraId="76987749"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4FA15F30" w14:textId="77777777" w:rsidR="00817CB4" w:rsidRDefault="00817CB4" w:rsidP="00733FD8">
            <w:pPr>
              <w:pStyle w:val="Tabletextleft"/>
            </w:pPr>
          </w:p>
        </w:tc>
        <w:tc>
          <w:tcPr>
            <w:tcW w:w="4677" w:type="dxa"/>
          </w:tcPr>
          <w:p w14:paraId="7CCD99F6"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F85E86">
              <w:t>91923</w:t>
            </w:r>
          </w:p>
        </w:tc>
      </w:tr>
      <w:tr w:rsidR="00817CB4" w14:paraId="3356F8E1"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Merge/>
          </w:tcPr>
          <w:p w14:paraId="522534B6" w14:textId="77777777" w:rsidR="00817CB4" w:rsidRDefault="00817CB4" w:rsidP="00733FD8">
            <w:pPr>
              <w:pStyle w:val="Tabletextleft"/>
            </w:pPr>
          </w:p>
        </w:tc>
        <w:tc>
          <w:tcPr>
            <w:tcW w:w="4677" w:type="dxa"/>
          </w:tcPr>
          <w:p w14:paraId="78641A6E"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F85E86">
              <w:t>91926</w:t>
            </w:r>
          </w:p>
        </w:tc>
      </w:tr>
    </w:tbl>
    <w:bookmarkEnd w:id="461"/>
    <w:p w14:paraId="6F9B73F4" w14:textId="1CFB4DB3" w:rsidR="00817CB4" w:rsidRPr="00405E13" w:rsidRDefault="00817CB4" w:rsidP="006E098A">
      <w:pPr>
        <w:spacing w:before="120" w:after="120" w:line="276" w:lineRule="auto"/>
        <w:rPr>
          <w:rFonts w:eastAsia="Times New Roman"/>
          <w:i/>
          <w:iCs/>
        </w:rPr>
      </w:pPr>
      <w:r w:rsidRPr="00405E13">
        <w:rPr>
          <w:rFonts w:eastAsia="Times New Roman"/>
          <w:i/>
          <w:iCs/>
        </w:rPr>
        <w:t xml:space="preserve">Please </w:t>
      </w:r>
      <w:proofErr w:type="gramStart"/>
      <w:r>
        <w:rPr>
          <w:rFonts w:eastAsia="Times New Roman"/>
          <w:i/>
          <w:iCs/>
        </w:rPr>
        <w:t>n</w:t>
      </w:r>
      <w:r w:rsidRPr="00405E13">
        <w:rPr>
          <w:rFonts w:eastAsia="Times New Roman"/>
          <w:i/>
          <w:iCs/>
        </w:rPr>
        <w:t>ote:</w:t>
      </w:r>
      <w:proofErr w:type="gramEnd"/>
      <w:r w:rsidRPr="00405E13">
        <w:rPr>
          <w:rFonts w:eastAsia="Times New Roman"/>
          <w:i/>
          <w:iCs/>
        </w:rPr>
        <w:t xml:space="preserve"> </w:t>
      </w:r>
      <w:r>
        <w:rPr>
          <w:rFonts w:eastAsia="Times New Roman"/>
          <w:i/>
          <w:iCs/>
        </w:rPr>
        <w:t>e</w:t>
      </w:r>
      <w:r w:rsidRPr="00405E13">
        <w:rPr>
          <w:rFonts w:eastAsia="Times New Roman"/>
          <w:i/>
          <w:iCs/>
        </w:rPr>
        <w:t xml:space="preserve">ligible services are subject to change. Servicing requirements </w:t>
      </w:r>
      <w:r w:rsidR="00262DE2">
        <w:rPr>
          <w:rFonts w:eastAsia="Times New Roman"/>
          <w:i/>
          <w:iCs/>
        </w:rPr>
        <w:t>are</w:t>
      </w:r>
      <w:r w:rsidRPr="00405E13">
        <w:rPr>
          <w:rFonts w:eastAsia="Times New Roman"/>
          <w:i/>
          <w:iCs/>
        </w:rPr>
        <w:t xml:space="preserve"> assessed against the eligible services at the time of assessment period.</w:t>
      </w:r>
      <w:r w:rsidR="006E098A">
        <w:rPr>
          <w:rFonts w:eastAsia="Times New Roman"/>
          <w:i/>
          <w:iCs/>
        </w:rPr>
        <w:t xml:space="preserve"> </w:t>
      </w:r>
    </w:p>
    <w:p w14:paraId="39BC5333" w14:textId="77777777" w:rsidR="00817CB4" w:rsidRPr="001F7637" w:rsidRDefault="758819B6" w:rsidP="001F7637">
      <w:pPr>
        <w:pStyle w:val="Heading2"/>
      </w:pPr>
      <w:bookmarkStart w:id="483" w:name="_Toc166066969"/>
      <w:bookmarkStart w:id="484" w:name="_Toc166068385"/>
      <w:bookmarkStart w:id="485" w:name="_Toc166068600"/>
      <w:bookmarkStart w:id="486" w:name="_Toc166069559"/>
      <w:bookmarkStart w:id="487" w:name="_Toc167109461"/>
      <w:bookmarkStart w:id="488" w:name="_Toc170120044"/>
      <w:bookmarkStart w:id="489" w:name="_Toc170817185"/>
      <w:bookmarkStart w:id="490" w:name="_Toc182311185"/>
      <w:r>
        <w:t>Rural loading</w:t>
      </w:r>
      <w:bookmarkEnd w:id="483"/>
      <w:bookmarkEnd w:id="484"/>
      <w:bookmarkEnd w:id="485"/>
      <w:bookmarkEnd w:id="486"/>
      <w:bookmarkEnd w:id="487"/>
      <w:bookmarkEnd w:id="488"/>
      <w:bookmarkEnd w:id="489"/>
      <w:bookmarkEnd w:id="490"/>
    </w:p>
    <w:p w14:paraId="08D0933D" w14:textId="77777777" w:rsidR="00817CB4" w:rsidRDefault="00817CB4" w:rsidP="00817CB4">
      <w:pPr>
        <w:spacing w:before="120" w:after="120" w:line="276" w:lineRule="auto"/>
        <w:rPr>
          <w:rFonts w:eastAsia="Times New Roman"/>
        </w:rPr>
      </w:pPr>
      <w:r w:rsidRPr="00405E13">
        <w:rPr>
          <w:rFonts w:eastAsia="Times New Roman"/>
        </w:rPr>
        <w:t>Payment Rural Loadings per MMM region</w:t>
      </w:r>
    </w:p>
    <w:tbl>
      <w:tblPr>
        <w:tblStyle w:val="DepartmentofHealthtable"/>
        <w:tblW w:w="9072" w:type="dxa"/>
        <w:tblLook w:val="04A0" w:firstRow="1" w:lastRow="0" w:firstColumn="1" w:lastColumn="0" w:noHBand="0" w:noVBand="1"/>
        <w:tblDescription w:val="Add Alt Text describing the content of the table"/>
      </w:tblPr>
      <w:tblGrid>
        <w:gridCol w:w="4253"/>
        <w:gridCol w:w="4819"/>
      </w:tblGrid>
      <w:tr w:rsidR="00817CB4" w14:paraId="19C8155F"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14:paraId="44AD381E" w14:textId="77777777" w:rsidR="00817CB4" w:rsidRPr="00DC7910" w:rsidRDefault="00817CB4" w:rsidP="0054375E">
            <w:pPr>
              <w:pStyle w:val="TableHeaderWhite"/>
            </w:pPr>
            <w:r w:rsidRPr="00D94917">
              <w:t>MMM Region</w:t>
            </w:r>
          </w:p>
        </w:tc>
        <w:tc>
          <w:tcPr>
            <w:tcW w:w="4819" w:type="dxa"/>
          </w:tcPr>
          <w:p w14:paraId="444EB023" w14:textId="77777777" w:rsidR="00817CB4" w:rsidRDefault="00817CB4" w:rsidP="0054375E">
            <w:pPr>
              <w:pStyle w:val="TableHeader"/>
              <w:cnfStyle w:val="100000000000" w:firstRow="1" w:lastRow="0" w:firstColumn="0" w:lastColumn="0" w:oddVBand="0" w:evenVBand="0" w:oddHBand="0" w:evenHBand="0" w:firstRowFirstColumn="0" w:firstRowLastColumn="0" w:lastRowFirstColumn="0" w:lastRowLastColumn="0"/>
            </w:pPr>
            <w:r w:rsidRPr="00D94917">
              <w:t>Rural Loading</w:t>
            </w:r>
          </w:p>
        </w:tc>
      </w:tr>
      <w:tr w:rsidR="00817CB4" w14:paraId="06C7E90D"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2BE88B25" w14:textId="77777777" w:rsidR="00817CB4" w:rsidRDefault="00817CB4" w:rsidP="00733FD8">
            <w:pPr>
              <w:pStyle w:val="Tabletextleft"/>
            </w:pPr>
            <w:r w:rsidRPr="001A31DB">
              <w:t>3</w:t>
            </w:r>
          </w:p>
        </w:tc>
        <w:tc>
          <w:tcPr>
            <w:tcW w:w="4819" w:type="dxa"/>
          </w:tcPr>
          <w:p w14:paraId="132ED5AC"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0D0857">
              <w:t>20%</w:t>
            </w:r>
          </w:p>
        </w:tc>
      </w:tr>
      <w:tr w:rsidR="00817CB4" w14:paraId="07F19887"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E4448BA" w14:textId="77777777" w:rsidR="00817CB4" w:rsidRDefault="00817CB4" w:rsidP="00733FD8">
            <w:pPr>
              <w:pStyle w:val="Tabletextleft"/>
            </w:pPr>
            <w:r w:rsidRPr="001A31DB">
              <w:t>4</w:t>
            </w:r>
          </w:p>
        </w:tc>
        <w:tc>
          <w:tcPr>
            <w:tcW w:w="4819" w:type="dxa"/>
          </w:tcPr>
          <w:p w14:paraId="5CA6D977"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0D0857">
              <w:t>30%</w:t>
            </w:r>
          </w:p>
        </w:tc>
      </w:tr>
      <w:tr w:rsidR="00817CB4" w14:paraId="644A674E"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5A7534E7" w14:textId="77777777" w:rsidR="00817CB4" w:rsidRDefault="00817CB4" w:rsidP="00733FD8">
            <w:pPr>
              <w:pStyle w:val="Tabletextleft"/>
            </w:pPr>
            <w:r w:rsidRPr="001A31DB">
              <w:t>5</w:t>
            </w:r>
          </w:p>
        </w:tc>
        <w:tc>
          <w:tcPr>
            <w:tcW w:w="4819" w:type="dxa"/>
          </w:tcPr>
          <w:p w14:paraId="5D7B7528"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0D0857">
              <w:t>30%</w:t>
            </w:r>
          </w:p>
        </w:tc>
      </w:tr>
      <w:tr w:rsidR="00817CB4" w14:paraId="6432782B"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156A0B22" w14:textId="77777777" w:rsidR="00817CB4" w:rsidRDefault="00817CB4" w:rsidP="00733FD8">
            <w:pPr>
              <w:pStyle w:val="Tabletextleft"/>
            </w:pPr>
            <w:r w:rsidRPr="001A31DB">
              <w:t>6</w:t>
            </w:r>
          </w:p>
        </w:tc>
        <w:tc>
          <w:tcPr>
            <w:tcW w:w="4819" w:type="dxa"/>
          </w:tcPr>
          <w:p w14:paraId="2039CB21" w14:textId="77777777" w:rsidR="00817CB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0D0857">
              <w:t>50%</w:t>
            </w:r>
          </w:p>
        </w:tc>
      </w:tr>
      <w:tr w:rsidR="00817CB4" w14:paraId="6F218F40"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7F38F8E3" w14:textId="77777777" w:rsidR="00817CB4" w:rsidRDefault="00817CB4" w:rsidP="00733FD8">
            <w:pPr>
              <w:pStyle w:val="Tabletextleft"/>
            </w:pPr>
            <w:r w:rsidRPr="001A31DB">
              <w:t>7</w:t>
            </w:r>
          </w:p>
        </w:tc>
        <w:tc>
          <w:tcPr>
            <w:tcW w:w="4819" w:type="dxa"/>
          </w:tcPr>
          <w:p w14:paraId="47B1128D" w14:textId="77777777" w:rsidR="00817CB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0D0857">
              <w:t>50%</w:t>
            </w:r>
          </w:p>
        </w:tc>
      </w:tr>
    </w:tbl>
    <w:p w14:paraId="0652C828" w14:textId="77777777" w:rsidR="0004758E" w:rsidRDefault="0004758E">
      <w:pPr>
        <w:rPr>
          <w:rFonts w:eastAsia="Times New Roman"/>
        </w:rPr>
      </w:pPr>
      <w:bookmarkStart w:id="491" w:name="_Toc166068601"/>
      <w:bookmarkStart w:id="492" w:name="_Toc166069560"/>
      <w:bookmarkStart w:id="493" w:name="_Toc167109462"/>
      <w:r>
        <w:rPr>
          <w:rFonts w:eastAsia="Times New Roman"/>
        </w:rPr>
        <w:br w:type="page"/>
      </w:r>
    </w:p>
    <w:p w14:paraId="02BB17B8" w14:textId="77777777" w:rsidR="00817CB4" w:rsidRPr="001F7637" w:rsidRDefault="758819B6" w:rsidP="001F7637">
      <w:pPr>
        <w:pStyle w:val="Heading2"/>
      </w:pPr>
      <w:bookmarkStart w:id="494" w:name="_Toc170120045"/>
      <w:bookmarkStart w:id="495" w:name="_Toc170817186"/>
      <w:bookmarkStart w:id="496" w:name="_Toc182311186"/>
      <w:r>
        <w:lastRenderedPageBreak/>
        <w:t>Payment eligibility requirements per assessment period</w:t>
      </w:r>
      <w:bookmarkEnd w:id="491"/>
      <w:bookmarkEnd w:id="492"/>
      <w:bookmarkEnd w:id="493"/>
      <w:bookmarkEnd w:id="494"/>
      <w:bookmarkEnd w:id="495"/>
      <w:bookmarkEnd w:id="496"/>
    </w:p>
    <w:tbl>
      <w:tblPr>
        <w:tblStyle w:val="DepartmentofHealthtable"/>
        <w:tblW w:w="9072" w:type="dxa"/>
        <w:tblLook w:val="04A0" w:firstRow="1" w:lastRow="0" w:firstColumn="1" w:lastColumn="0" w:noHBand="0" w:noVBand="1"/>
        <w:tblDescription w:val="Add Alt Text describing the content of the table"/>
      </w:tblPr>
      <w:tblGrid>
        <w:gridCol w:w="1560"/>
        <w:gridCol w:w="7512"/>
      </w:tblGrid>
      <w:tr w:rsidR="00817CB4" w14:paraId="492E9164" w14:textId="77777777" w:rsidTr="005437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tcPr>
          <w:p w14:paraId="5E89B04E" w14:textId="77777777" w:rsidR="00817CB4" w:rsidRPr="00DC7910" w:rsidRDefault="00817CB4" w:rsidP="0054375E">
            <w:pPr>
              <w:pStyle w:val="TableHeaderWhite"/>
            </w:pPr>
            <w:r w:rsidRPr="000B4761">
              <w:t>Assessment Quarter</w:t>
            </w:r>
          </w:p>
        </w:tc>
        <w:tc>
          <w:tcPr>
            <w:tcW w:w="7512" w:type="dxa"/>
          </w:tcPr>
          <w:p w14:paraId="633D7E99" w14:textId="77777777" w:rsidR="00817CB4" w:rsidRDefault="00817CB4" w:rsidP="0054375E">
            <w:pPr>
              <w:pStyle w:val="TableHeader"/>
              <w:cnfStyle w:val="100000000000" w:firstRow="1" w:lastRow="0" w:firstColumn="0" w:lastColumn="0" w:oddVBand="0" w:evenVBand="0" w:oddHBand="0" w:evenHBand="0" w:firstRowFirstColumn="0" w:firstRowLastColumn="0" w:lastRowFirstColumn="0" w:lastRowLastColumn="0"/>
            </w:pPr>
            <w:r w:rsidRPr="000B4761">
              <w:t>Requirements</w:t>
            </w:r>
          </w:p>
        </w:tc>
      </w:tr>
      <w:tr w:rsidR="00817CB4" w14:paraId="55E40C08"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A8C930E" w14:textId="77777777" w:rsidR="00817CB4" w:rsidRDefault="00817CB4" w:rsidP="00733FD8">
            <w:pPr>
              <w:pStyle w:val="Tabletextleft"/>
            </w:pPr>
            <w:r w:rsidRPr="00116EDB">
              <w:t xml:space="preserve">Quarter 1 </w:t>
            </w:r>
          </w:p>
        </w:tc>
        <w:tc>
          <w:tcPr>
            <w:tcW w:w="7512" w:type="dxa"/>
          </w:tcPr>
          <w:p w14:paraId="1DF23EE1" w14:textId="77777777" w:rsidR="00817CB4" w:rsidRPr="00335F75"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335F75">
              <w:t>To be eligible for payment at the end of assessment quarter 1, providers and practices must:</w:t>
            </w:r>
          </w:p>
          <w:p w14:paraId="7162F974" w14:textId="77777777" w:rsidR="00817CB4" w:rsidRPr="00335F75" w:rsidRDefault="00817CB4" w:rsidP="00733FD8">
            <w:pPr>
              <w:pStyle w:val="Tabletextleft"/>
              <w:numPr>
                <w:ilvl w:val="0"/>
                <w:numId w:val="13"/>
              </w:numPr>
              <w:cnfStyle w:val="000000100000" w:firstRow="0" w:lastRow="0" w:firstColumn="0" w:lastColumn="0" w:oddVBand="0" w:evenVBand="0" w:oddHBand="1" w:evenHBand="0" w:firstRowFirstColumn="0" w:firstRowLastColumn="0" w:lastRowFirstColumn="0" w:lastRowLastColumn="0"/>
            </w:pPr>
            <w:r w:rsidRPr="00335F75">
              <w:t xml:space="preserve">meet the eligibility requirements. </w:t>
            </w:r>
          </w:p>
          <w:p w14:paraId="7D08CE6C" w14:textId="77777777" w:rsidR="00817CB4" w:rsidRDefault="00817CB4" w:rsidP="00733FD8">
            <w:pPr>
              <w:pStyle w:val="Tabletextleft"/>
              <w:numPr>
                <w:ilvl w:val="0"/>
                <w:numId w:val="13"/>
              </w:numPr>
              <w:cnfStyle w:val="000000100000" w:firstRow="0" w:lastRow="0" w:firstColumn="0" w:lastColumn="0" w:oddVBand="0" w:evenVBand="0" w:oddHBand="1" w:evenHBand="0" w:firstRowFirstColumn="0" w:firstRowLastColumn="0" w:lastRowFirstColumn="0" w:lastRowLastColumn="0"/>
            </w:pPr>
            <w:r w:rsidRPr="00335F75">
              <w:t xml:space="preserve">provide the patient 2 eligible services in the assessment quarter, in separate calendar months, in accordance with the regular service and </w:t>
            </w:r>
            <w:r>
              <w:t>R</w:t>
            </w:r>
            <w:r w:rsidRPr="00335F75">
              <w:t xml:space="preserve">esponsible </w:t>
            </w:r>
            <w:r>
              <w:t>P</w:t>
            </w:r>
            <w:r w:rsidRPr="00335F75">
              <w:t>rovider requirements.</w:t>
            </w:r>
          </w:p>
        </w:tc>
      </w:tr>
      <w:tr w:rsidR="00817CB4" w14:paraId="615B14D4"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8AE600E" w14:textId="77777777" w:rsidR="00817CB4" w:rsidRDefault="00817CB4" w:rsidP="00733FD8">
            <w:pPr>
              <w:pStyle w:val="Tabletextleft"/>
            </w:pPr>
            <w:r w:rsidRPr="00116EDB">
              <w:t>Quarter 2</w:t>
            </w:r>
          </w:p>
        </w:tc>
        <w:tc>
          <w:tcPr>
            <w:tcW w:w="7512" w:type="dxa"/>
          </w:tcPr>
          <w:p w14:paraId="44A7C80F" w14:textId="77777777" w:rsidR="00817CB4" w:rsidRPr="00335F75"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335F75">
              <w:t>To be eligible for payment at the end of assessment quarter 2, providers and practices must:</w:t>
            </w:r>
          </w:p>
          <w:p w14:paraId="73B2D285" w14:textId="77777777" w:rsidR="00817CB4" w:rsidRPr="00335F75" w:rsidRDefault="00817CB4" w:rsidP="00733FD8">
            <w:pPr>
              <w:pStyle w:val="Tabletextleft"/>
              <w:numPr>
                <w:ilvl w:val="0"/>
                <w:numId w:val="13"/>
              </w:numPr>
              <w:cnfStyle w:val="000000010000" w:firstRow="0" w:lastRow="0" w:firstColumn="0" w:lastColumn="0" w:oddVBand="0" w:evenVBand="0" w:oddHBand="0" w:evenHBand="1" w:firstRowFirstColumn="0" w:firstRowLastColumn="0" w:lastRowFirstColumn="0" w:lastRowLastColumn="0"/>
            </w:pPr>
            <w:r w:rsidRPr="00335F75">
              <w:t xml:space="preserve">meet the eligibility requirements. </w:t>
            </w:r>
          </w:p>
          <w:p w14:paraId="2E4327D0" w14:textId="77777777" w:rsidR="00817CB4" w:rsidRDefault="00817CB4" w:rsidP="00733FD8">
            <w:pPr>
              <w:pStyle w:val="Tabletextleft"/>
              <w:numPr>
                <w:ilvl w:val="0"/>
                <w:numId w:val="13"/>
              </w:numPr>
              <w:cnfStyle w:val="000000010000" w:firstRow="0" w:lastRow="0" w:firstColumn="0" w:lastColumn="0" w:oddVBand="0" w:evenVBand="0" w:oddHBand="0" w:evenHBand="1" w:firstRowFirstColumn="0" w:firstRowLastColumn="0" w:lastRowFirstColumn="0" w:lastRowLastColumn="0"/>
            </w:pPr>
            <w:r w:rsidRPr="00335F75">
              <w:t xml:space="preserve">provide the patient 2 eligible services in the assessment quarter, in separate calendar months, in accordance with the regular service and </w:t>
            </w:r>
            <w:r>
              <w:t>R</w:t>
            </w:r>
            <w:r w:rsidRPr="00335F75">
              <w:t xml:space="preserve">esponsible </w:t>
            </w:r>
            <w:r>
              <w:t>P</w:t>
            </w:r>
            <w:r w:rsidRPr="00335F75">
              <w:t>rovider requirements.</w:t>
            </w:r>
          </w:p>
        </w:tc>
      </w:tr>
      <w:tr w:rsidR="00817CB4" w14:paraId="5E9BA4AE" w14:textId="77777777" w:rsidTr="00543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E3AE0AE" w14:textId="77777777" w:rsidR="00817CB4" w:rsidRDefault="00817CB4" w:rsidP="00733FD8">
            <w:pPr>
              <w:pStyle w:val="Tabletextleft"/>
            </w:pPr>
            <w:r w:rsidRPr="00116EDB">
              <w:t xml:space="preserve">Quarter 3 </w:t>
            </w:r>
          </w:p>
        </w:tc>
        <w:tc>
          <w:tcPr>
            <w:tcW w:w="7512" w:type="dxa"/>
          </w:tcPr>
          <w:p w14:paraId="33CA60FB" w14:textId="77777777" w:rsidR="00817CB4" w:rsidRPr="00854524" w:rsidRDefault="00817CB4" w:rsidP="00733FD8">
            <w:pPr>
              <w:pStyle w:val="Tabletextleft"/>
              <w:cnfStyle w:val="000000100000" w:firstRow="0" w:lastRow="0" w:firstColumn="0" w:lastColumn="0" w:oddVBand="0" w:evenVBand="0" w:oddHBand="1" w:evenHBand="0" w:firstRowFirstColumn="0" w:firstRowLastColumn="0" w:lastRowFirstColumn="0" w:lastRowLastColumn="0"/>
            </w:pPr>
            <w:r w:rsidRPr="00854524">
              <w:t>To be eligible for payment at the end of assessment quarter 3, providers and practices must:</w:t>
            </w:r>
          </w:p>
          <w:p w14:paraId="75F75B11" w14:textId="77777777" w:rsidR="00817CB4" w:rsidRPr="00854524" w:rsidRDefault="00817CB4" w:rsidP="00733FD8">
            <w:pPr>
              <w:pStyle w:val="Tabletextleft"/>
              <w:numPr>
                <w:ilvl w:val="0"/>
                <w:numId w:val="13"/>
              </w:numPr>
              <w:cnfStyle w:val="000000100000" w:firstRow="0" w:lastRow="0" w:firstColumn="0" w:lastColumn="0" w:oddVBand="0" w:evenVBand="0" w:oddHBand="1" w:evenHBand="0" w:firstRowFirstColumn="0" w:firstRowLastColumn="0" w:lastRowFirstColumn="0" w:lastRowLastColumn="0"/>
            </w:pPr>
            <w:r w:rsidRPr="00854524">
              <w:t xml:space="preserve">meet the eligibility requirements. </w:t>
            </w:r>
          </w:p>
          <w:p w14:paraId="2D6D8BDF" w14:textId="77777777" w:rsidR="00817CB4" w:rsidRDefault="00817CB4" w:rsidP="00733FD8">
            <w:pPr>
              <w:pStyle w:val="Tabletextleft"/>
              <w:numPr>
                <w:ilvl w:val="0"/>
                <w:numId w:val="13"/>
              </w:numPr>
              <w:cnfStyle w:val="000000100000" w:firstRow="0" w:lastRow="0" w:firstColumn="0" w:lastColumn="0" w:oddVBand="0" w:evenVBand="0" w:oddHBand="1" w:evenHBand="0" w:firstRowFirstColumn="0" w:firstRowLastColumn="0" w:lastRowFirstColumn="0" w:lastRowLastColumn="0"/>
            </w:pPr>
            <w:r w:rsidRPr="00854524">
              <w:t xml:space="preserve">provide the patient 2 eligible services in the assessment quarter, in separate calendar months, in accordance with the regular service and </w:t>
            </w:r>
            <w:r>
              <w:t>R</w:t>
            </w:r>
            <w:r w:rsidRPr="00854524">
              <w:t xml:space="preserve">esponsible </w:t>
            </w:r>
            <w:r>
              <w:t>P</w:t>
            </w:r>
            <w:r w:rsidRPr="00854524">
              <w:t>rovider requirements.</w:t>
            </w:r>
          </w:p>
        </w:tc>
      </w:tr>
      <w:tr w:rsidR="00817CB4" w14:paraId="0BAE8448" w14:textId="77777777" w:rsidTr="005437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40989AB" w14:textId="77777777" w:rsidR="00817CB4" w:rsidRDefault="00817CB4" w:rsidP="00733FD8">
            <w:pPr>
              <w:pStyle w:val="Tabletextleft"/>
            </w:pPr>
            <w:r w:rsidRPr="00116EDB">
              <w:t xml:space="preserve">Quarter 4 </w:t>
            </w:r>
          </w:p>
        </w:tc>
        <w:tc>
          <w:tcPr>
            <w:tcW w:w="7512" w:type="dxa"/>
          </w:tcPr>
          <w:p w14:paraId="4CF33286" w14:textId="77777777" w:rsidR="00817CB4" w:rsidRPr="00854524" w:rsidRDefault="00817CB4" w:rsidP="00733FD8">
            <w:pPr>
              <w:pStyle w:val="Tabletextleft"/>
              <w:cnfStyle w:val="000000010000" w:firstRow="0" w:lastRow="0" w:firstColumn="0" w:lastColumn="0" w:oddVBand="0" w:evenVBand="0" w:oddHBand="0" w:evenHBand="1" w:firstRowFirstColumn="0" w:firstRowLastColumn="0" w:lastRowFirstColumn="0" w:lastRowLastColumn="0"/>
            </w:pPr>
            <w:r w:rsidRPr="00854524">
              <w:t>To be eligible for payment at the end of assessment quarter 4, providers and practices must:</w:t>
            </w:r>
          </w:p>
          <w:p w14:paraId="28E60A82" w14:textId="77777777" w:rsidR="00817CB4" w:rsidRPr="00854524" w:rsidRDefault="00817CB4" w:rsidP="00733FD8">
            <w:pPr>
              <w:pStyle w:val="Tabletextleft"/>
              <w:numPr>
                <w:ilvl w:val="0"/>
                <w:numId w:val="13"/>
              </w:numPr>
              <w:cnfStyle w:val="000000010000" w:firstRow="0" w:lastRow="0" w:firstColumn="0" w:lastColumn="0" w:oddVBand="0" w:evenVBand="0" w:oddHBand="0" w:evenHBand="1" w:firstRowFirstColumn="0" w:firstRowLastColumn="0" w:lastRowFirstColumn="0" w:lastRowLastColumn="0"/>
            </w:pPr>
            <w:r w:rsidRPr="00854524">
              <w:t xml:space="preserve">meet the eligibility requirements. </w:t>
            </w:r>
          </w:p>
          <w:p w14:paraId="1C2DF02D" w14:textId="77777777" w:rsidR="00817CB4" w:rsidRPr="00854524" w:rsidRDefault="00817CB4" w:rsidP="00733FD8">
            <w:pPr>
              <w:pStyle w:val="Tabletextleft"/>
              <w:numPr>
                <w:ilvl w:val="0"/>
                <w:numId w:val="13"/>
              </w:numPr>
              <w:cnfStyle w:val="000000010000" w:firstRow="0" w:lastRow="0" w:firstColumn="0" w:lastColumn="0" w:oddVBand="0" w:evenVBand="0" w:oddHBand="0" w:evenHBand="1" w:firstRowFirstColumn="0" w:firstRowLastColumn="0" w:lastRowFirstColumn="0" w:lastRowLastColumn="0"/>
            </w:pPr>
            <w:r w:rsidRPr="00854524">
              <w:t xml:space="preserve">provide the patient 2 eligible services in the assessment quarter, in separate calendar months, in accordance with the regular service and </w:t>
            </w:r>
            <w:r>
              <w:t>R</w:t>
            </w:r>
            <w:r w:rsidRPr="00854524">
              <w:t xml:space="preserve">esponsible </w:t>
            </w:r>
            <w:r>
              <w:t>P</w:t>
            </w:r>
            <w:r w:rsidRPr="00854524">
              <w:t xml:space="preserve">rovider requirements. </w:t>
            </w:r>
          </w:p>
          <w:p w14:paraId="2963A4BF" w14:textId="77777777" w:rsidR="00817CB4" w:rsidRPr="00854524" w:rsidRDefault="00817CB4" w:rsidP="00733FD8">
            <w:pPr>
              <w:pStyle w:val="Tabletextleft"/>
              <w:numPr>
                <w:ilvl w:val="0"/>
                <w:numId w:val="13"/>
              </w:numPr>
              <w:cnfStyle w:val="000000010000" w:firstRow="0" w:lastRow="0" w:firstColumn="0" w:lastColumn="0" w:oddVBand="0" w:evenVBand="0" w:oddHBand="0" w:evenHBand="1" w:firstRowFirstColumn="0" w:firstRowLastColumn="0" w:lastRowFirstColumn="0" w:lastRowLastColumn="0"/>
            </w:pPr>
            <w:r w:rsidRPr="00854524">
              <w:t>have provided a total of 8 eligible regular services over the 12</w:t>
            </w:r>
            <w:r>
              <w:t>-</w:t>
            </w:r>
            <w:r w:rsidRPr="00854524">
              <w:t>month assessment period and</w:t>
            </w:r>
          </w:p>
          <w:p w14:paraId="6EB40847" w14:textId="3D4BE125" w:rsidR="00817CB4" w:rsidRDefault="00817CB4" w:rsidP="00733FD8">
            <w:pPr>
              <w:pStyle w:val="Tabletextleft"/>
              <w:numPr>
                <w:ilvl w:val="0"/>
                <w:numId w:val="13"/>
              </w:numPr>
              <w:cnfStyle w:val="000000010000" w:firstRow="0" w:lastRow="0" w:firstColumn="0" w:lastColumn="0" w:oddVBand="0" w:evenVBand="0" w:oddHBand="0" w:evenHBand="1" w:firstRowFirstColumn="0" w:firstRowLastColumn="0" w:lastRowFirstColumn="0" w:lastRowLastColumn="0"/>
            </w:pPr>
            <w:r w:rsidRPr="00854524">
              <w:t>have provided 2 eligible care planning items over the 12</w:t>
            </w:r>
            <w:r>
              <w:t>-</w:t>
            </w:r>
            <w:r w:rsidRPr="00854524">
              <w:t>month assessment period</w:t>
            </w:r>
            <w:r w:rsidR="00F86910">
              <w:t>, both</w:t>
            </w:r>
            <w:r w:rsidRPr="00854524">
              <w:t xml:space="preserve"> delivered by the </w:t>
            </w:r>
            <w:r>
              <w:t>R</w:t>
            </w:r>
            <w:r w:rsidRPr="00854524">
              <w:t xml:space="preserve">esponsible </w:t>
            </w:r>
            <w:r>
              <w:t>P</w:t>
            </w:r>
            <w:r w:rsidRPr="00854524">
              <w:t>rovider.</w:t>
            </w:r>
          </w:p>
        </w:tc>
      </w:tr>
    </w:tbl>
    <w:p w14:paraId="70768898" w14:textId="2072F732" w:rsidR="00DA5604" w:rsidRDefault="00DA5604" w:rsidP="009E30CD">
      <w:pPr>
        <w:jc w:val="center"/>
      </w:pPr>
    </w:p>
    <w:p w14:paraId="7581F76D" w14:textId="77777777" w:rsidR="00DA5604" w:rsidRDefault="00DA5604">
      <w:r>
        <w:br w:type="page"/>
      </w:r>
    </w:p>
    <w:p w14:paraId="40FD9DAE" w14:textId="096B3254" w:rsidR="009E30CD" w:rsidRPr="00817CB4" w:rsidRDefault="009E30CD" w:rsidP="009E30CD">
      <w:pPr>
        <w:jc w:val="center"/>
      </w:pPr>
      <w:r>
        <w:lastRenderedPageBreak/>
        <w:t xml:space="preserve">All information in this publication is correct as </w:t>
      </w:r>
      <w:proofErr w:type="gramStart"/>
      <w:r w:rsidR="00A63B52">
        <w:t>at</w:t>
      </w:r>
      <w:proofErr w:type="gramEnd"/>
      <w:r w:rsidR="00A63B52">
        <w:t xml:space="preserve"> </w:t>
      </w:r>
      <w:r w:rsidR="0064371C">
        <w:t>11 December</w:t>
      </w:r>
      <w:r w:rsidR="00A63DC2">
        <w:t xml:space="preserve"> </w:t>
      </w:r>
      <w:r>
        <w:t>2024</w:t>
      </w:r>
    </w:p>
    <w:sectPr w:rsidR="009E30CD" w:rsidRPr="00817CB4" w:rsidSect="004963FC">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71A9" w14:textId="77777777" w:rsidR="00263F8C" w:rsidRDefault="00263F8C" w:rsidP="00D560DC">
      <w:pPr>
        <w:spacing w:before="0" w:after="0" w:line="240" w:lineRule="auto"/>
      </w:pPr>
      <w:r>
        <w:separator/>
      </w:r>
    </w:p>
  </w:endnote>
  <w:endnote w:type="continuationSeparator" w:id="0">
    <w:p w14:paraId="240606B7" w14:textId="77777777" w:rsidR="00263F8C" w:rsidRDefault="00263F8C" w:rsidP="00D560DC">
      <w:pPr>
        <w:spacing w:before="0" w:after="0" w:line="240" w:lineRule="auto"/>
      </w:pPr>
      <w:r>
        <w:continuationSeparator/>
      </w:r>
    </w:p>
  </w:endnote>
  <w:endnote w:type="continuationNotice" w:id="1">
    <w:p w14:paraId="27DA0461" w14:textId="77777777" w:rsidR="00263F8C" w:rsidRDefault="00263F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986E" w14:textId="3DB1AB2A" w:rsidR="0039793D" w:rsidRPr="00FB2642" w:rsidRDefault="00AF121B" w:rsidP="00FB2642">
    <w:pPr>
      <w:pStyle w:val="Foote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632935762" name="Picture 6329357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17CB4">
          <w:t>General Practice in Aged Care Incentive Guidelines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E635" w14:textId="5F57585C" w:rsidR="0039793D" w:rsidRDefault="00AF121B" w:rsidP="00F62279">
    <w:p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5BCCCA64"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489969426" name="Picture 14899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17CB4">
          <w:t>General Practice in Aged Care Incentive Guidelines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FBC93" w14:textId="77777777" w:rsidR="00263F8C" w:rsidRDefault="00263F8C" w:rsidP="00D560DC">
      <w:pPr>
        <w:spacing w:before="0" w:after="0" w:line="240" w:lineRule="auto"/>
      </w:pPr>
      <w:r>
        <w:separator/>
      </w:r>
    </w:p>
  </w:footnote>
  <w:footnote w:type="continuationSeparator" w:id="0">
    <w:p w14:paraId="621A5C40" w14:textId="77777777" w:rsidR="00263F8C" w:rsidRDefault="00263F8C" w:rsidP="00D560DC">
      <w:pPr>
        <w:spacing w:before="0" w:after="0" w:line="240" w:lineRule="auto"/>
      </w:pPr>
      <w:r>
        <w:continuationSeparator/>
      </w:r>
    </w:p>
  </w:footnote>
  <w:footnote w:type="continuationNotice" w:id="1">
    <w:p w14:paraId="6A13F093" w14:textId="77777777" w:rsidR="00263F8C" w:rsidRPr="00FB2642" w:rsidRDefault="00263F8C" w:rsidP="00FB2642">
      <w:pPr>
        <w:pStyle w:val="Footer"/>
      </w:pPr>
    </w:p>
  </w:footnote>
  <w:footnote w:id="2">
    <w:p w14:paraId="411574A1" w14:textId="77777777" w:rsidR="00817CB4" w:rsidRPr="00384E98" w:rsidRDefault="00817CB4" w:rsidP="00FB2642">
      <w:pPr>
        <w:pStyle w:val="FootnoteText"/>
      </w:pPr>
      <w:r w:rsidRPr="00384E98">
        <w:rPr>
          <w:rStyle w:val="FootnoteReference"/>
          <w:rFonts w:cs="Arial"/>
        </w:rPr>
        <w:footnoteRef/>
      </w:r>
      <w:r w:rsidRPr="00384E98">
        <w:t xml:space="preserve"> Chiswell K et al. (2022) Australian Health Review 46(4), 414–420.</w:t>
      </w:r>
    </w:p>
  </w:footnote>
  <w:footnote w:id="3">
    <w:p w14:paraId="6F282059" w14:textId="77777777" w:rsidR="00817CB4" w:rsidRDefault="00817CB4" w:rsidP="00FB2642">
      <w:pPr>
        <w:pStyle w:val="FootnoteText"/>
      </w:pPr>
      <w:r w:rsidRPr="00384E98">
        <w:rPr>
          <w:rStyle w:val="FootnoteReference"/>
          <w:rFonts w:cs="Arial"/>
        </w:rPr>
        <w:footnoteRef/>
      </w:r>
      <w:r w:rsidRPr="00384E98">
        <w:t xml:space="preserve"> Maarsingh, O. R. et al (2016). Continuity of care in primary care and association with survival in older people: a 17-year prospective cohort study. The British journal of general practice</w:t>
      </w:r>
    </w:p>
  </w:footnote>
  <w:footnote w:id="4">
    <w:p w14:paraId="716DEAB1" w14:textId="7ACC25A3" w:rsidR="00817CB4" w:rsidRPr="008F1E78" w:rsidRDefault="00817CB4" w:rsidP="00817CB4">
      <w:pPr>
        <w:pStyle w:val="FootnoteText"/>
        <w:rPr>
          <w:rFonts w:ascii="Arial" w:hAnsi="Arial" w:cs="Arial"/>
        </w:rPr>
      </w:pPr>
      <w:r w:rsidRPr="008F1E78">
        <w:rPr>
          <w:rStyle w:val="FootnoteReference"/>
          <w:rFonts w:ascii="Arial" w:hAnsi="Arial" w:cs="Arial"/>
        </w:rPr>
        <w:footnoteRef/>
      </w:r>
      <w:r w:rsidRPr="008F1E78">
        <w:rPr>
          <w:rFonts w:ascii="Arial" w:hAnsi="Arial" w:cs="Arial"/>
        </w:rPr>
        <w:t xml:space="preserve"> </w:t>
      </w:r>
      <w:r w:rsidRPr="008F1E78">
        <w:rPr>
          <w:rFonts w:ascii="Arial" w:hAnsi="Arial" w:cs="Arial"/>
          <w:sz w:val="18"/>
          <w:szCs w:val="18"/>
        </w:rPr>
        <w:t xml:space="preserve">Known as GPACI in </w:t>
      </w:r>
      <w:r w:rsidR="00EA79FE" w:rsidRPr="008F1E78">
        <w:rPr>
          <w:rFonts w:ascii="Arial" w:eastAsia="Times New Roman" w:hAnsi="Arial" w:cs="Arial"/>
          <w:sz w:val="18"/>
          <w:szCs w:val="18"/>
        </w:rPr>
        <w:t>Health Professional Online Services (</w:t>
      </w:r>
      <w:r w:rsidRPr="008F1E78">
        <w:rPr>
          <w:rFonts w:ascii="Arial" w:hAnsi="Arial" w:cs="Arial"/>
          <w:sz w:val="18"/>
          <w:szCs w:val="18"/>
        </w:rPr>
        <w:t>HPOS</w:t>
      </w:r>
      <w:r w:rsidR="00EA79FE" w:rsidRPr="008F1E78">
        <w:rPr>
          <w:rFonts w:ascii="Arial" w:hAnsi="Arial" w:cs="Arial"/>
          <w:sz w:val="18"/>
          <w:szCs w:val="18"/>
        </w:rPr>
        <w:t>)</w:t>
      </w:r>
      <w:r w:rsidRPr="008F1E78">
        <w:rPr>
          <w:rFonts w:ascii="Arial" w:hAnsi="Arial" w:cs="Arial"/>
          <w:sz w:val="18"/>
          <w:szCs w:val="18"/>
        </w:rPr>
        <w:t>.</w:t>
      </w:r>
    </w:p>
  </w:footnote>
  <w:footnote w:id="5">
    <w:p w14:paraId="20D18BF4" w14:textId="69EB1736" w:rsidR="00817CB4" w:rsidRDefault="00817CB4" w:rsidP="00817CB4">
      <w:pPr>
        <w:pStyle w:val="FootnoteText"/>
      </w:pPr>
      <w:r>
        <w:rPr>
          <w:rStyle w:val="FootnoteReference"/>
        </w:rPr>
        <w:footnoteRef/>
      </w:r>
      <w:r>
        <w:t xml:space="preserve"> </w:t>
      </w:r>
      <w:r w:rsidR="00EA3907">
        <w:rPr>
          <w:rFonts w:ascii="Arial" w:hAnsi="Arial"/>
          <w:sz w:val="18"/>
        </w:rPr>
        <w:t>Information kits and resources</w:t>
      </w:r>
      <w:r w:rsidR="005E69D5">
        <w:rPr>
          <w:rFonts w:ascii="Arial" w:hAnsi="Arial"/>
          <w:sz w:val="18"/>
        </w:rPr>
        <w:t xml:space="preserve"> can be accessed at</w:t>
      </w:r>
      <w:r w:rsidR="00C548E8">
        <w:rPr>
          <w:rFonts w:ascii="Arial" w:hAnsi="Arial"/>
          <w:sz w:val="18"/>
        </w:rPr>
        <w:t xml:space="preserve"> </w:t>
      </w:r>
      <w:hyperlink r:id="rId1" w:history="1">
        <w:r w:rsidR="00C548E8" w:rsidRPr="00591C1B">
          <w:rPr>
            <w:rStyle w:val="Hyperlink"/>
            <w:sz w:val="18"/>
          </w:rPr>
          <w:t>health.gov.au/our-work/gpaci</w:t>
        </w:r>
      </w:hyperlink>
      <w:r w:rsidR="00C548E8">
        <w:rPr>
          <w:rFonts w:ascii="Arial" w:hAnsi="Arial"/>
          <w:sz w:val="18"/>
        </w:rPr>
        <w:t>.</w:t>
      </w:r>
    </w:p>
  </w:footnote>
  <w:footnote w:id="6">
    <w:p w14:paraId="21F2C8AA" w14:textId="72A5186E" w:rsidR="00817CB4" w:rsidRPr="002D330A" w:rsidRDefault="00817CB4" w:rsidP="00817CB4">
      <w:pPr>
        <w:pStyle w:val="FootnoteText"/>
        <w:rPr>
          <w:rFonts w:ascii="Arial" w:hAnsi="Arial"/>
          <w:sz w:val="18"/>
          <w:szCs w:val="18"/>
        </w:rPr>
      </w:pPr>
      <w:r w:rsidRPr="06F539DF">
        <w:rPr>
          <w:rStyle w:val="FootnoteReference"/>
          <w:rFonts w:ascii="Arial" w:hAnsi="Arial"/>
          <w:sz w:val="18"/>
          <w:szCs w:val="18"/>
        </w:rPr>
        <w:footnoteRef/>
      </w:r>
      <w:r w:rsidRPr="06F539DF">
        <w:rPr>
          <w:rFonts w:ascii="Arial" w:hAnsi="Arial"/>
          <w:sz w:val="18"/>
          <w:szCs w:val="18"/>
        </w:rPr>
        <w:t xml:space="preserve"> Refer to 2.3.2 for practice nurse</w:t>
      </w:r>
      <w:r w:rsidR="06F539DF" w:rsidRPr="06F539DF">
        <w:rPr>
          <w:rFonts w:ascii="Arial" w:hAnsi="Arial"/>
          <w:sz w:val="18"/>
          <w:szCs w:val="18"/>
        </w:rPr>
        <w:t xml:space="preserve"> and </w:t>
      </w:r>
      <w:r w:rsidRPr="06F539DF">
        <w:rPr>
          <w:rFonts w:ascii="Arial" w:hAnsi="Arial"/>
          <w:sz w:val="18"/>
          <w:szCs w:val="18"/>
        </w:rPr>
        <w:t>Aboriginal and Torres Strait Islander health practitioner requirements for this incentive.</w:t>
      </w:r>
    </w:p>
  </w:footnote>
  <w:footnote w:id="7">
    <w:p w14:paraId="7A08DDFF" w14:textId="77777777" w:rsidR="00817CB4" w:rsidRDefault="00817CB4" w:rsidP="00817CB4">
      <w:pPr>
        <w:pStyle w:val="FootnoteText"/>
      </w:pPr>
      <w:r w:rsidRPr="002D330A">
        <w:rPr>
          <w:rStyle w:val="FootnoteReference"/>
          <w:rFonts w:ascii="Arial" w:hAnsi="Arial"/>
          <w:sz w:val="18"/>
        </w:rPr>
        <w:footnoteRef/>
      </w:r>
      <w:r w:rsidRPr="002D330A">
        <w:rPr>
          <w:rFonts w:ascii="Arial" w:hAnsi="Arial"/>
          <w:sz w:val="18"/>
        </w:rPr>
        <w:t xml:space="preserve"> Residential aged care is for older people who can no longer live in their own home. It includes accommodation and personal care 24 hours a day, as well as access to nursing and general health care services.</w:t>
      </w:r>
    </w:p>
  </w:footnote>
  <w:footnote w:id="8">
    <w:p w14:paraId="41398156" w14:textId="77777777" w:rsidR="00817CB4" w:rsidRPr="002D330A" w:rsidRDefault="00817CB4" w:rsidP="00817CB4">
      <w:pPr>
        <w:pStyle w:val="FootnoteText"/>
        <w:rPr>
          <w:rFonts w:ascii="Arial" w:hAnsi="Arial"/>
        </w:rPr>
      </w:pPr>
      <w:r w:rsidRPr="002D330A">
        <w:rPr>
          <w:rStyle w:val="FootnoteReference"/>
          <w:rFonts w:ascii="Arial" w:hAnsi="Arial"/>
          <w:sz w:val="18"/>
        </w:rPr>
        <w:footnoteRef/>
      </w:r>
      <w:r w:rsidRPr="002D330A">
        <w:rPr>
          <w:rFonts w:ascii="Arial" w:hAnsi="Arial"/>
          <w:sz w:val="18"/>
        </w:rPr>
        <w:t xml:space="preserve"> More information on linking a Responsible Provider can be found at </w:t>
      </w:r>
      <w:hyperlink r:id="rId2" w:history="1">
        <w:r w:rsidRPr="002D330A">
          <w:rPr>
            <w:rStyle w:val="Hyperlink"/>
            <w:sz w:val="18"/>
          </w:rPr>
          <w:t>General Practice in Aged Care Incentive - Health professionals - Services Australia</w:t>
        </w:r>
      </w:hyperlink>
    </w:p>
  </w:footnote>
  <w:footnote w:id="9">
    <w:p w14:paraId="5623AA44" w14:textId="77777777" w:rsidR="00817CB4" w:rsidRDefault="00817CB4" w:rsidP="00817CB4">
      <w:pPr>
        <w:pStyle w:val="FootnoteText"/>
      </w:pPr>
      <w:r w:rsidRPr="002D330A">
        <w:rPr>
          <w:rStyle w:val="FootnoteReference"/>
          <w:rFonts w:ascii="Arial" w:hAnsi="Arial"/>
          <w:sz w:val="18"/>
        </w:rPr>
        <w:footnoteRef/>
      </w:r>
      <w:r w:rsidRPr="002D330A">
        <w:rPr>
          <w:rFonts w:ascii="Arial" w:hAnsi="Arial"/>
          <w:sz w:val="18"/>
        </w:rPr>
        <w:t xml:space="preserve"> Any updates to these rates </w:t>
      </w:r>
      <w:proofErr w:type="gramStart"/>
      <w:r w:rsidRPr="002D330A">
        <w:rPr>
          <w:rFonts w:ascii="Arial" w:hAnsi="Arial"/>
          <w:sz w:val="18"/>
        </w:rPr>
        <w:t>as a result of</w:t>
      </w:r>
      <w:proofErr w:type="gramEnd"/>
      <w:r w:rsidRPr="002D330A">
        <w:rPr>
          <w:rFonts w:ascii="Arial" w:hAnsi="Arial"/>
          <w:sz w:val="18"/>
        </w:rPr>
        <w:t xml:space="preserve"> periodic indexation or review of rates will be updated in this document</w:t>
      </w:r>
      <w:r>
        <w:t>.</w:t>
      </w:r>
    </w:p>
  </w:footnote>
  <w:footnote w:id="10">
    <w:p w14:paraId="3147CD5E" w14:textId="1F673099" w:rsidR="00817CB4" w:rsidRPr="002D330A" w:rsidRDefault="00817CB4" w:rsidP="00817CB4">
      <w:pPr>
        <w:pStyle w:val="FootnoteText"/>
        <w:rPr>
          <w:rFonts w:ascii="Arial" w:hAnsi="Arial"/>
        </w:rPr>
      </w:pPr>
      <w:r w:rsidRPr="002D330A">
        <w:rPr>
          <w:rStyle w:val="FootnoteReference"/>
          <w:rFonts w:ascii="Arial" w:hAnsi="Arial"/>
          <w:sz w:val="18"/>
        </w:rPr>
        <w:footnoteRef/>
      </w:r>
      <w:r w:rsidRPr="002D330A">
        <w:rPr>
          <w:rFonts w:ascii="Arial" w:hAnsi="Arial"/>
          <w:sz w:val="18"/>
        </w:rPr>
        <w:t xml:space="preserve"> Review of Decision form </w:t>
      </w:r>
      <w:r w:rsidR="00321911">
        <w:rPr>
          <w:rFonts w:ascii="Arial" w:hAnsi="Arial"/>
          <w:sz w:val="18"/>
        </w:rPr>
        <w:t>is available</w:t>
      </w:r>
      <w:r w:rsidRPr="002D330A">
        <w:rPr>
          <w:rFonts w:ascii="Arial" w:hAnsi="Arial"/>
          <w:sz w:val="18"/>
        </w:rPr>
        <w:t xml:space="preserve"> on the Services Australia website</w:t>
      </w:r>
      <w:r w:rsidR="00321911">
        <w:rPr>
          <w:rFonts w:ascii="Arial" w:hAnsi="Arial"/>
          <w:sz w:val="18"/>
        </w:rPr>
        <w:t xml:space="preserve"> here:</w:t>
      </w:r>
      <w:r w:rsidR="00321911" w:rsidRPr="00321911">
        <w:t xml:space="preserve"> </w:t>
      </w:r>
      <w:hyperlink r:id="rId3" w:history="1">
        <w:r w:rsidR="00321911" w:rsidRPr="00321911">
          <w:rPr>
            <w:rStyle w:val="Hyperlink"/>
            <w:sz w:val="18"/>
          </w:rPr>
          <w:t>https://www.servicesaustralia.gov.au/ip034</w:t>
        </w:r>
      </w:hyperlink>
      <w:r w:rsidR="00321911">
        <w:rPr>
          <w:rFonts w:ascii="Arial" w:hAnsi="Arial"/>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6C43" w14:textId="1C9CFCC8"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02951108" name="Picture 1002951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7044" w14:textId="1903F4BB"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844727959" name="Picture 1844727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3E4F7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90CDA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C81A1A"/>
    <w:multiLevelType w:val="hybridMultilevel"/>
    <w:tmpl w:val="21E81680"/>
    <w:lvl w:ilvl="0" w:tplc="7BB67A82">
      <w:start w:val="1"/>
      <w:numFmt w:val="bullet"/>
      <w:lvlText w:val=""/>
      <w:lvlJc w:val="left"/>
      <w:pPr>
        <w:ind w:left="720" w:hanging="360"/>
      </w:pPr>
      <w:rPr>
        <w:rFonts w:ascii="Symbol" w:hAnsi="Symbol"/>
      </w:rPr>
    </w:lvl>
    <w:lvl w:ilvl="1" w:tplc="61B4A522">
      <w:start w:val="1"/>
      <w:numFmt w:val="bullet"/>
      <w:lvlText w:val=""/>
      <w:lvlJc w:val="left"/>
      <w:pPr>
        <w:ind w:left="720" w:hanging="360"/>
      </w:pPr>
      <w:rPr>
        <w:rFonts w:ascii="Symbol" w:hAnsi="Symbol"/>
      </w:rPr>
    </w:lvl>
    <w:lvl w:ilvl="2" w:tplc="7DFEF1B8">
      <w:start w:val="1"/>
      <w:numFmt w:val="bullet"/>
      <w:lvlText w:val=""/>
      <w:lvlJc w:val="left"/>
      <w:pPr>
        <w:ind w:left="720" w:hanging="360"/>
      </w:pPr>
      <w:rPr>
        <w:rFonts w:ascii="Symbol" w:hAnsi="Symbol"/>
      </w:rPr>
    </w:lvl>
    <w:lvl w:ilvl="3" w:tplc="DE54D3DA">
      <w:start w:val="1"/>
      <w:numFmt w:val="bullet"/>
      <w:lvlText w:val=""/>
      <w:lvlJc w:val="left"/>
      <w:pPr>
        <w:ind w:left="720" w:hanging="360"/>
      </w:pPr>
      <w:rPr>
        <w:rFonts w:ascii="Symbol" w:hAnsi="Symbol"/>
      </w:rPr>
    </w:lvl>
    <w:lvl w:ilvl="4" w:tplc="0CAC7716">
      <w:start w:val="1"/>
      <w:numFmt w:val="bullet"/>
      <w:lvlText w:val=""/>
      <w:lvlJc w:val="left"/>
      <w:pPr>
        <w:ind w:left="720" w:hanging="360"/>
      </w:pPr>
      <w:rPr>
        <w:rFonts w:ascii="Symbol" w:hAnsi="Symbol"/>
      </w:rPr>
    </w:lvl>
    <w:lvl w:ilvl="5" w:tplc="EFE02550">
      <w:start w:val="1"/>
      <w:numFmt w:val="bullet"/>
      <w:lvlText w:val=""/>
      <w:lvlJc w:val="left"/>
      <w:pPr>
        <w:ind w:left="720" w:hanging="360"/>
      </w:pPr>
      <w:rPr>
        <w:rFonts w:ascii="Symbol" w:hAnsi="Symbol"/>
      </w:rPr>
    </w:lvl>
    <w:lvl w:ilvl="6" w:tplc="B8E22E1A">
      <w:start w:val="1"/>
      <w:numFmt w:val="bullet"/>
      <w:lvlText w:val=""/>
      <w:lvlJc w:val="left"/>
      <w:pPr>
        <w:ind w:left="720" w:hanging="360"/>
      </w:pPr>
      <w:rPr>
        <w:rFonts w:ascii="Symbol" w:hAnsi="Symbol"/>
      </w:rPr>
    </w:lvl>
    <w:lvl w:ilvl="7" w:tplc="E7DA3CBA">
      <w:start w:val="1"/>
      <w:numFmt w:val="bullet"/>
      <w:lvlText w:val=""/>
      <w:lvlJc w:val="left"/>
      <w:pPr>
        <w:ind w:left="720" w:hanging="360"/>
      </w:pPr>
      <w:rPr>
        <w:rFonts w:ascii="Symbol" w:hAnsi="Symbol"/>
      </w:rPr>
    </w:lvl>
    <w:lvl w:ilvl="8" w:tplc="1102DFB8">
      <w:start w:val="1"/>
      <w:numFmt w:val="bullet"/>
      <w:lvlText w:val=""/>
      <w:lvlJc w:val="left"/>
      <w:pPr>
        <w:ind w:left="720" w:hanging="360"/>
      </w:pPr>
      <w:rPr>
        <w:rFonts w:ascii="Symbol" w:hAnsi="Symbol"/>
      </w:rPr>
    </w:lvl>
  </w:abstractNum>
  <w:abstractNum w:abstractNumId="3" w15:restartNumberingAfterBreak="0">
    <w:nsid w:val="09A357B4"/>
    <w:multiLevelType w:val="multilevel"/>
    <w:tmpl w:val="E27E9296"/>
    <w:numStyleLink w:val="NumberedListStyle"/>
  </w:abstractNum>
  <w:abstractNum w:abstractNumId="4" w15:restartNumberingAfterBreak="0">
    <w:nsid w:val="0A83723E"/>
    <w:multiLevelType w:val="hybridMultilevel"/>
    <w:tmpl w:val="07E2E904"/>
    <w:lvl w:ilvl="0" w:tplc="F1EA27A8">
      <w:start w:val="1"/>
      <w:numFmt w:val="bullet"/>
      <w:lvlText w:val=""/>
      <w:lvlJc w:val="left"/>
      <w:pPr>
        <w:ind w:left="1080" w:hanging="360"/>
      </w:pPr>
      <w:rPr>
        <w:rFonts w:ascii="Symbol" w:hAnsi="Symbol"/>
      </w:rPr>
    </w:lvl>
    <w:lvl w:ilvl="1" w:tplc="B76AD7EC">
      <w:start w:val="1"/>
      <w:numFmt w:val="bullet"/>
      <w:lvlText w:val=""/>
      <w:lvlJc w:val="left"/>
      <w:pPr>
        <w:ind w:left="1080" w:hanging="360"/>
      </w:pPr>
      <w:rPr>
        <w:rFonts w:ascii="Symbol" w:hAnsi="Symbol"/>
      </w:rPr>
    </w:lvl>
    <w:lvl w:ilvl="2" w:tplc="1B88750E">
      <w:start w:val="1"/>
      <w:numFmt w:val="bullet"/>
      <w:lvlText w:val=""/>
      <w:lvlJc w:val="left"/>
      <w:pPr>
        <w:ind w:left="1080" w:hanging="360"/>
      </w:pPr>
      <w:rPr>
        <w:rFonts w:ascii="Symbol" w:hAnsi="Symbol"/>
      </w:rPr>
    </w:lvl>
    <w:lvl w:ilvl="3" w:tplc="0ABACA48">
      <w:start w:val="1"/>
      <w:numFmt w:val="bullet"/>
      <w:lvlText w:val=""/>
      <w:lvlJc w:val="left"/>
      <w:pPr>
        <w:ind w:left="1080" w:hanging="360"/>
      </w:pPr>
      <w:rPr>
        <w:rFonts w:ascii="Symbol" w:hAnsi="Symbol"/>
      </w:rPr>
    </w:lvl>
    <w:lvl w:ilvl="4" w:tplc="E39C9E28">
      <w:start w:val="1"/>
      <w:numFmt w:val="bullet"/>
      <w:lvlText w:val=""/>
      <w:lvlJc w:val="left"/>
      <w:pPr>
        <w:ind w:left="1080" w:hanging="360"/>
      </w:pPr>
      <w:rPr>
        <w:rFonts w:ascii="Symbol" w:hAnsi="Symbol"/>
      </w:rPr>
    </w:lvl>
    <w:lvl w:ilvl="5" w:tplc="F5904DB0">
      <w:start w:val="1"/>
      <w:numFmt w:val="bullet"/>
      <w:lvlText w:val=""/>
      <w:lvlJc w:val="left"/>
      <w:pPr>
        <w:ind w:left="1080" w:hanging="360"/>
      </w:pPr>
      <w:rPr>
        <w:rFonts w:ascii="Symbol" w:hAnsi="Symbol"/>
      </w:rPr>
    </w:lvl>
    <w:lvl w:ilvl="6" w:tplc="BAFA8DBE">
      <w:start w:val="1"/>
      <w:numFmt w:val="bullet"/>
      <w:lvlText w:val=""/>
      <w:lvlJc w:val="left"/>
      <w:pPr>
        <w:ind w:left="1080" w:hanging="360"/>
      </w:pPr>
      <w:rPr>
        <w:rFonts w:ascii="Symbol" w:hAnsi="Symbol"/>
      </w:rPr>
    </w:lvl>
    <w:lvl w:ilvl="7" w:tplc="4F1429F8">
      <w:start w:val="1"/>
      <w:numFmt w:val="bullet"/>
      <w:lvlText w:val=""/>
      <w:lvlJc w:val="left"/>
      <w:pPr>
        <w:ind w:left="1080" w:hanging="360"/>
      </w:pPr>
      <w:rPr>
        <w:rFonts w:ascii="Symbol" w:hAnsi="Symbol"/>
      </w:rPr>
    </w:lvl>
    <w:lvl w:ilvl="8" w:tplc="5622D358">
      <w:start w:val="1"/>
      <w:numFmt w:val="bullet"/>
      <w:lvlText w:val=""/>
      <w:lvlJc w:val="left"/>
      <w:pPr>
        <w:ind w:left="1080" w:hanging="360"/>
      </w:pPr>
      <w:rPr>
        <w:rFonts w:ascii="Symbol" w:hAnsi="Symbol"/>
      </w:rPr>
    </w:lvl>
  </w:abstractNum>
  <w:abstractNum w:abstractNumId="5" w15:restartNumberingAfterBreak="0">
    <w:nsid w:val="0CFA076C"/>
    <w:multiLevelType w:val="hybridMultilevel"/>
    <w:tmpl w:val="CD18AF72"/>
    <w:lvl w:ilvl="0" w:tplc="29F6108A">
      <w:start w:val="1"/>
      <w:numFmt w:val="bullet"/>
      <w:lvlText w:val=""/>
      <w:lvlJc w:val="left"/>
      <w:pPr>
        <w:ind w:left="720" w:hanging="360"/>
      </w:pPr>
      <w:rPr>
        <w:rFonts w:ascii="Symbol" w:hAnsi="Symbol"/>
      </w:rPr>
    </w:lvl>
    <w:lvl w:ilvl="1" w:tplc="EE803B4E">
      <w:start w:val="1"/>
      <w:numFmt w:val="bullet"/>
      <w:lvlText w:val=""/>
      <w:lvlJc w:val="left"/>
      <w:pPr>
        <w:ind w:left="720" w:hanging="360"/>
      </w:pPr>
      <w:rPr>
        <w:rFonts w:ascii="Symbol" w:hAnsi="Symbol"/>
      </w:rPr>
    </w:lvl>
    <w:lvl w:ilvl="2" w:tplc="6F78DD7C">
      <w:start w:val="1"/>
      <w:numFmt w:val="bullet"/>
      <w:lvlText w:val=""/>
      <w:lvlJc w:val="left"/>
      <w:pPr>
        <w:ind w:left="720" w:hanging="360"/>
      </w:pPr>
      <w:rPr>
        <w:rFonts w:ascii="Symbol" w:hAnsi="Symbol"/>
      </w:rPr>
    </w:lvl>
    <w:lvl w:ilvl="3" w:tplc="8ED06DEE">
      <w:start w:val="1"/>
      <w:numFmt w:val="bullet"/>
      <w:lvlText w:val=""/>
      <w:lvlJc w:val="left"/>
      <w:pPr>
        <w:ind w:left="720" w:hanging="360"/>
      </w:pPr>
      <w:rPr>
        <w:rFonts w:ascii="Symbol" w:hAnsi="Symbol"/>
      </w:rPr>
    </w:lvl>
    <w:lvl w:ilvl="4" w:tplc="BAC822D8">
      <w:start w:val="1"/>
      <w:numFmt w:val="bullet"/>
      <w:lvlText w:val=""/>
      <w:lvlJc w:val="left"/>
      <w:pPr>
        <w:ind w:left="720" w:hanging="360"/>
      </w:pPr>
      <w:rPr>
        <w:rFonts w:ascii="Symbol" w:hAnsi="Symbol"/>
      </w:rPr>
    </w:lvl>
    <w:lvl w:ilvl="5" w:tplc="2228BB36">
      <w:start w:val="1"/>
      <w:numFmt w:val="bullet"/>
      <w:lvlText w:val=""/>
      <w:lvlJc w:val="left"/>
      <w:pPr>
        <w:ind w:left="720" w:hanging="360"/>
      </w:pPr>
      <w:rPr>
        <w:rFonts w:ascii="Symbol" w:hAnsi="Symbol"/>
      </w:rPr>
    </w:lvl>
    <w:lvl w:ilvl="6" w:tplc="AEDCC522">
      <w:start w:val="1"/>
      <w:numFmt w:val="bullet"/>
      <w:lvlText w:val=""/>
      <w:lvlJc w:val="left"/>
      <w:pPr>
        <w:ind w:left="720" w:hanging="360"/>
      </w:pPr>
      <w:rPr>
        <w:rFonts w:ascii="Symbol" w:hAnsi="Symbol"/>
      </w:rPr>
    </w:lvl>
    <w:lvl w:ilvl="7" w:tplc="2D125470">
      <w:start w:val="1"/>
      <w:numFmt w:val="bullet"/>
      <w:lvlText w:val=""/>
      <w:lvlJc w:val="left"/>
      <w:pPr>
        <w:ind w:left="720" w:hanging="360"/>
      </w:pPr>
      <w:rPr>
        <w:rFonts w:ascii="Symbol" w:hAnsi="Symbol"/>
      </w:rPr>
    </w:lvl>
    <w:lvl w:ilvl="8" w:tplc="AD18014E">
      <w:start w:val="1"/>
      <w:numFmt w:val="bullet"/>
      <w:lvlText w:val=""/>
      <w:lvlJc w:val="left"/>
      <w:pPr>
        <w:ind w:left="720" w:hanging="360"/>
      </w:pPr>
      <w:rPr>
        <w:rFonts w:ascii="Symbol" w:hAnsi="Symbol"/>
      </w:rPr>
    </w:lvl>
  </w:abstractNum>
  <w:abstractNum w:abstractNumId="6"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64D4B"/>
    <w:multiLevelType w:val="multilevel"/>
    <w:tmpl w:val="D4A8AB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9646D7"/>
    <w:multiLevelType w:val="hybridMultilevel"/>
    <w:tmpl w:val="BC70B26E"/>
    <w:lvl w:ilvl="0" w:tplc="4D481F9C">
      <w:start w:val="1"/>
      <w:numFmt w:val="bullet"/>
      <w:pStyle w:val="Subheading-Guidelines"/>
      <w:lvlText w:val=""/>
      <w:lvlJc w:val="left"/>
      <w:pPr>
        <w:ind w:left="720" w:hanging="360"/>
      </w:pPr>
      <w:rPr>
        <w:rFonts w:ascii="Symbol" w:hAnsi="Symbol" w:hint="default"/>
      </w:rPr>
    </w:lvl>
    <w:lvl w:ilvl="1" w:tplc="0C090019" w:tentative="1">
      <w:start w:val="1"/>
      <w:numFmt w:val="lowerLetter"/>
      <w:pStyle w:val="Subheading-Guidelines"/>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943C2E"/>
    <w:multiLevelType w:val="hybridMultilevel"/>
    <w:tmpl w:val="F9141FCA"/>
    <w:lvl w:ilvl="0" w:tplc="125244C6">
      <w:start w:val="1"/>
      <w:numFmt w:val="bullet"/>
      <w:lvlText w:val=""/>
      <w:lvlJc w:val="left"/>
      <w:pPr>
        <w:ind w:left="1440" w:hanging="360"/>
      </w:pPr>
      <w:rPr>
        <w:rFonts w:ascii="Symbol" w:hAnsi="Symbol"/>
      </w:rPr>
    </w:lvl>
    <w:lvl w:ilvl="1" w:tplc="D9BA41FE">
      <w:start w:val="1"/>
      <w:numFmt w:val="bullet"/>
      <w:lvlText w:val=""/>
      <w:lvlJc w:val="left"/>
      <w:pPr>
        <w:ind w:left="1440" w:hanging="360"/>
      </w:pPr>
      <w:rPr>
        <w:rFonts w:ascii="Symbol" w:hAnsi="Symbol"/>
      </w:rPr>
    </w:lvl>
    <w:lvl w:ilvl="2" w:tplc="285A4CFC">
      <w:start w:val="1"/>
      <w:numFmt w:val="bullet"/>
      <w:lvlText w:val=""/>
      <w:lvlJc w:val="left"/>
      <w:pPr>
        <w:ind w:left="1440" w:hanging="360"/>
      </w:pPr>
      <w:rPr>
        <w:rFonts w:ascii="Symbol" w:hAnsi="Symbol"/>
      </w:rPr>
    </w:lvl>
    <w:lvl w:ilvl="3" w:tplc="DA00BB30">
      <w:start w:val="1"/>
      <w:numFmt w:val="bullet"/>
      <w:lvlText w:val=""/>
      <w:lvlJc w:val="left"/>
      <w:pPr>
        <w:ind w:left="1440" w:hanging="360"/>
      </w:pPr>
      <w:rPr>
        <w:rFonts w:ascii="Symbol" w:hAnsi="Symbol"/>
      </w:rPr>
    </w:lvl>
    <w:lvl w:ilvl="4" w:tplc="B740B012">
      <w:start w:val="1"/>
      <w:numFmt w:val="bullet"/>
      <w:lvlText w:val=""/>
      <w:lvlJc w:val="left"/>
      <w:pPr>
        <w:ind w:left="1440" w:hanging="360"/>
      </w:pPr>
      <w:rPr>
        <w:rFonts w:ascii="Symbol" w:hAnsi="Symbol"/>
      </w:rPr>
    </w:lvl>
    <w:lvl w:ilvl="5" w:tplc="3370C968">
      <w:start w:val="1"/>
      <w:numFmt w:val="bullet"/>
      <w:lvlText w:val=""/>
      <w:lvlJc w:val="left"/>
      <w:pPr>
        <w:ind w:left="1440" w:hanging="360"/>
      </w:pPr>
      <w:rPr>
        <w:rFonts w:ascii="Symbol" w:hAnsi="Symbol"/>
      </w:rPr>
    </w:lvl>
    <w:lvl w:ilvl="6" w:tplc="3678E00A">
      <w:start w:val="1"/>
      <w:numFmt w:val="bullet"/>
      <w:lvlText w:val=""/>
      <w:lvlJc w:val="left"/>
      <w:pPr>
        <w:ind w:left="1440" w:hanging="360"/>
      </w:pPr>
      <w:rPr>
        <w:rFonts w:ascii="Symbol" w:hAnsi="Symbol"/>
      </w:rPr>
    </w:lvl>
    <w:lvl w:ilvl="7" w:tplc="92A09226">
      <w:start w:val="1"/>
      <w:numFmt w:val="bullet"/>
      <w:lvlText w:val=""/>
      <w:lvlJc w:val="left"/>
      <w:pPr>
        <w:ind w:left="1440" w:hanging="360"/>
      </w:pPr>
      <w:rPr>
        <w:rFonts w:ascii="Symbol" w:hAnsi="Symbol"/>
      </w:rPr>
    </w:lvl>
    <w:lvl w:ilvl="8" w:tplc="48241564">
      <w:start w:val="1"/>
      <w:numFmt w:val="bullet"/>
      <w:lvlText w:val=""/>
      <w:lvlJc w:val="left"/>
      <w:pPr>
        <w:ind w:left="1440" w:hanging="360"/>
      </w:pPr>
      <w:rPr>
        <w:rFonts w:ascii="Symbol" w:hAnsi="Symbol"/>
      </w:rPr>
    </w:lvl>
  </w:abstractNum>
  <w:abstractNum w:abstractNumId="10" w15:restartNumberingAfterBreak="0">
    <w:nsid w:val="23996701"/>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635349"/>
    <w:multiLevelType w:val="hybridMultilevel"/>
    <w:tmpl w:val="A6105A1E"/>
    <w:lvl w:ilvl="0" w:tplc="C27EE32E">
      <w:start w:val="1"/>
      <w:numFmt w:val="bullet"/>
      <w:lvlText w:val=""/>
      <w:lvlJc w:val="left"/>
      <w:pPr>
        <w:ind w:left="720" w:hanging="360"/>
      </w:pPr>
      <w:rPr>
        <w:rFonts w:ascii="Symbol" w:hAnsi="Symbol"/>
      </w:rPr>
    </w:lvl>
    <w:lvl w:ilvl="1" w:tplc="07023780">
      <w:start w:val="1"/>
      <w:numFmt w:val="bullet"/>
      <w:lvlText w:val=""/>
      <w:lvlJc w:val="left"/>
      <w:pPr>
        <w:ind w:left="720" w:hanging="360"/>
      </w:pPr>
      <w:rPr>
        <w:rFonts w:ascii="Symbol" w:hAnsi="Symbol"/>
      </w:rPr>
    </w:lvl>
    <w:lvl w:ilvl="2" w:tplc="9118F1FC">
      <w:start w:val="1"/>
      <w:numFmt w:val="bullet"/>
      <w:lvlText w:val=""/>
      <w:lvlJc w:val="left"/>
      <w:pPr>
        <w:ind w:left="720" w:hanging="360"/>
      </w:pPr>
      <w:rPr>
        <w:rFonts w:ascii="Symbol" w:hAnsi="Symbol"/>
      </w:rPr>
    </w:lvl>
    <w:lvl w:ilvl="3" w:tplc="185AB04C">
      <w:start w:val="1"/>
      <w:numFmt w:val="bullet"/>
      <w:lvlText w:val=""/>
      <w:lvlJc w:val="left"/>
      <w:pPr>
        <w:ind w:left="720" w:hanging="360"/>
      </w:pPr>
      <w:rPr>
        <w:rFonts w:ascii="Symbol" w:hAnsi="Symbol"/>
      </w:rPr>
    </w:lvl>
    <w:lvl w:ilvl="4" w:tplc="DEFE4B80">
      <w:start w:val="1"/>
      <w:numFmt w:val="bullet"/>
      <w:lvlText w:val=""/>
      <w:lvlJc w:val="left"/>
      <w:pPr>
        <w:ind w:left="720" w:hanging="360"/>
      </w:pPr>
      <w:rPr>
        <w:rFonts w:ascii="Symbol" w:hAnsi="Symbol"/>
      </w:rPr>
    </w:lvl>
    <w:lvl w:ilvl="5" w:tplc="FA84519E">
      <w:start w:val="1"/>
      <w:numFmt w:val="bullet"/>
      <w:lvlText w:val=""/>
      <w:lvlJc w:val="left"/>
      <w:pPr>
        <w:ind w:left="720" w:hanging="360"/>
      </w:pPr>
      <w:rPr>
        <w:rFonts w:ascii="Symbol" w:hAnsi="Symbol"/>
      </w:rPr>
    </w:lvl>
    <w:lvl w:ilvl="6" w:tplc="B06A75D6">
      <w:start w:val="1"/>
      <w:numFmt w:val="bullet"/>
      <w:lvlText w:val=""/>
      <w:lvlJc w:val="left"/>
      <w:pPr>
        <w:ind w:left="720" w:hanging="360"/>
      </w:pPr>
      <w:rPr>
        <w:rFonts w:ascii="Symbol" w:hAnsi="Symbol"/>
      </w:rPr>
    </w:lvl>
    <w:lvl w:ilvl="7" w:tplc="1E18C298">
      <w:start w:val="1"/>
      <w:numFmt w:val="bullet"/>
      <w:lvlText w:val=""/>
      <w:lvlJc w:val="left"/>
      <w:pPr>
        <w:ind w:left="720" w:hanging="360"/>
      </w:pPr>
      <w:rPr>
        <w:rFonts w:ascii="Symbol" w:hAnsi="Symbol"/>
      </w:rPr>
    </w:lvl>
    <w:lvl w:ilvl="8" w:tplc="C36CA39A">
      <w:start w:val="1"/>
      <w:numFmt w:val="bullet"/>
      <w:lvlText w:val=""/>
      <w:lvlJc w:val="left"/>
      <w:pPr>
        <w:ind w:left="720" w:hanging="360"/>
      </w:pPr>
      <w:rPr>
        <w:rFonts w:ascii="Symbol" w:hAnsi="Symbol"/>
      </w:rPr>
    </w:lvl>
  </w:abstractNum>
  <w:abstractNum w:abstractNumId="12" w15:restartNumberingAfterBreak="0">
    <w:nsid w:val="31427B90"/>
    <w:multiLevelType w:val="multilevel"/>
    <w:tmpl w:val="73947D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952A99"/>
    <w:multiLevelType w:val="hybridMultilevel"/>
    <w:tmpl w:val="DA04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4C00A"/>
    <w:multiLevelType w:val="hybridMultilevel"/>
    <w:tmpl w:val="0B6468B8"/>
    <w:lvl w:ilvl="0" w:tplc="D654E560">
      <w:start w:val="1"/>
      <w:numFmt w:val="bullet"/>
      <w:lvlText w:val=""/>
      <w:lvlJc w:val="left"/>
      <w:pPr>
        <w:ind w:left="720" w:hanging="360"/>
      </w:pPr>
      <w:rPr>
        <w:rFonts w:ascii="Symbol" w:hAnsi="Symbol" w:hint="default"/>
      </w:rPr>
    </w:lvl>
    <w:lvl w:ilvl="1" w:tplc="4728323A">
      <w:start w:val="1"/>
      <w:numFmt w:val="bullet"/>
      <w:lvlText w:val="o"/>
      <w:lvlJc w:val="left"/>
      <w:pPr>
        <w:ind w:left="1440" w:hanging="360"/>
      </w:pPr>
      <w:rPr>
        <w:rFonts w:ascii="Courier New" w:hAnsi="Courier New" w:hint="default"/>
      </w:rPr>
    </w:lvl>
    <w:lvl w:ilvl="2" w:tplc="65B67370">
      <w:start w:val="1"/>
      <w:numFmt w:val="bullet"/>
      <w:lvlText w:val=""/>
      <w:lvlJc w:val="left"/>
      <w:pPr>
        <w:ind w:left="2160" w:hanging="360"/>
      </w:pPr>
      <w:rPr>
        <w:rFonts w:ascii="Wingdings" w:hAnsi="Wingdings" w:hint="default"/>
      </w:rPr>
    </w:lvl>
    <w:lvl w:ilvl="3" w:tplc="322E65B2">
      <w:start w:val="1"/>
      <w:numFmt w:val="bullet"/>
      <w:lvlText w:val=""/>
      <w:lvlJc w:val="left"/>
      <w:pPr>
        <w:ind w:left="2880" w:hanging="360"/>
      </w:pPr>
      <w:rPr>
        <w:rFonts w:ascii="Symbol" w:hAnsi="Symbol" w:hint="default"/>
      </w:rPr>
    </w:lvl>
    <w:lvl w:ilvl="4" w:tplc="BD1EBB74">
      <w:start w:val="1"/>
      <w:numFmt w:val="bullet"/>
      <w:lvlText w:val="o"/>
      <w:lvlJc w:val="left"/>
      <w:pPr>
        <w:ind w:left="3600" w:hanging="360"/>
      </w:pPr>
      <w:rPr>
        <w:rFonts w:ascii="Courier New" w:hAnsi="Courier New" w:hint="default"/>
      </w:rPr>
    </w:lvl>
    <w:lvl w:ilvl="5" w:tplc="09124770">
      <w:start w:val="1"/>
      <w:numFmt w:val="bullet"/>
      <w:lvlText w:val=""/>
      <w:lvlJc w:val="left"/>
      <w:pPr>
        <w:ind w:left="4320" w:hanging="360"/>
      </w:pPr>
      <w:rPr>
        <w:rFonts w:ascii="Wingdings" w:hAnsi="Wingdings" w:hint="default"/>
      </w:rPr>
    </w:lvl>
    <w:lvl w:ilvl="6" w:tplc="1BACE164">
      <w:start w:val="1"/>
      <w:numFmt w:val="bullet"/>
      <w:lvlText w:val=""/>
      <w:lvlJc w:val="left"/>
      <w:pPr>
        <w:ind w:left="5040" w:hanging="360"/>
      </w:pPr>
      <w:rPr>
        <w:rFonts w:ascii="Symbol" w:hAnsi="Symbol" w:hint="default"/>
      </w:rPr>
    </w:lvl>
    <w:lvl w:ilvl="7" w:tplc="56428204">
      <w:start w:val="1"/>
      <w:numFmt w:val="bullet"/>
      <w:lvlText w:val="o"/>
      <w:lvlJc w:val="left"/>
      <w:pPr>
        <w:ind w:left="5760" w:hanging="360"/>
      </w:pPr>
      <w:rPr>
        <w:rFonts w:ascii="Courier New" w:hAnsi="Courier New" w:hint="default"/>
      </w:rPr>
    </w:lvl>
    <w:lvl w:ilvl="8" w:tplc="6908F36E">
      <w:start w:val="1"/>
      <w:numFmt w:val="bullet"/>
      <w:lvlText w:val=""/>
      <w:lvlJc w:val="left"/>
      <w:pPr>
        <w:ind w:left="6480" w:hanging="360"/>
      </w:pPr>
      <w:rPr>
        <w:rFonts w:ascii="Wingdings" w:hAnsi="Wingdings" w:hint="default"/>
      </w:rPr>
    </w:lvl>
  </w:abstractNum>
  <w:abstractNum w:abstractNumId="15" w15:restartNumberingAfterBreak="0">
    <w:nsid w:val="379A6953"/>
    <w:multiLevelType w:val="hybridMultilevel"/>
    <w:tmpl w:val="C5CCBF94"/>
    <w:lvl w:ilvl="0" w:tplc="3692E5BA">
      <w:start w:val="1"/>
      <w:numFmt w:val="bullet"/>
      <w:lvlText w:val=""/>
      <w:lvlJc w:val="left"/>
      <w:pPr>
        <w:ind w:left="720" w:hanging="360"/>
      </w:pPr>
      <w:rPr>
        <w:rFonts w:ascii="Symbol" w:hAnsi="Symbol" w:hint="default"/>
      </w:rPr>
    </w:lvl>
    <w:lvl w:ilvl="1" w:tplc="9C1E98AE">
      <w:start w:val="1"/>
      <w:numFmt w:val="bullet"/>
      <w:lvlText w:val="o"/>
      <w:lvlJc w:val="left"/>
      <w:pPr>
        <w:ind w:left="1440" w:hanging="360"/>
      </w:pPr>
      <w:rPr>
        <w:rFonts w:ascii="Courier New" w:hAnsi="Courier New" w:hint="default"/>
      </w:rPr>
    </w:lvl>
    <w:lvl w:ilvl="2" w:tplc="BCC45C90">
      <w:start w:val="1"/>
      <w:numFmt w:val="bullet"/>
      <w:lvlText w:val=""/>
      <w:lvlJc w:val="left"/>
      <w:pPr>
        <w:ind w:left="2160" w:hanging="360"/>
      </w:pPr>
      <w:rPr>
        <w:rFonts w:ascii="Wingdings" w:hAnsi="Wingdings" w:hint="default"/>
      </w:rPr>
    </w:lvl>
    <w:lvl w:ilvl="3" w:tplc="8DEC0F4A">
      <w:start w:val="1"/>
      <w:numFmt w:val="bullet"/>
      <w:lvlText w:val=""/>
      <w:lvlJc w:val="left"/>
      <w:pPr>
        <w:ind w:left="2880" w:hanging="360"/>
      </w:pPr>
      <w:rPr>
        <w:rFonts w:ascii="Symbol" w:hAnsi="Symbol" w:hint="default"/>
      </w:rPr>
    </w:lvl>
    <w:lvl w:ilvl="4" w:tplc="C924F3D8">
      <w:start w:val="1"/>
      <w:numFmt w:val="bullet"/>
      <w:lvlText w:val="o"/>
      <w:lvlJc w:val="left"/>
      <w:pPr>
        <w:ind w:left="3600" w:hanging="360"/>
      </w:pPr>
      <w:rPr>
        <w:rFonts w:ascii="Courier New" w:hAnsi="Courier New" w:hint="default"/>
      </w:rPr>
    </w:lvl>
    <w:lvl w:ilvl="5" w:tplc="4DD0AFBE">
      <w:start w:val="1"/>
      <w:numFmt w:val="bullet"/>
      <w:lvlText w:val=""/>
      <w:lvlJc w:val="left"/>
      <w:pPr>
        <w:ind w:left="4320" w:hanging="360"/>
      </w:pPr>
      <w:rPr>
        <w:rFonts w:ascii="Wingdings" w:hAnsi="Wingdings" w:hint="default"/>
      </w:rPr>
    </w:lvl>
    <w:lvl w:ilvl="6" w:tplc="82E85FD8">
      <w:start w:val="1"/>
      <w:numFmt w:val="bullet"/>
      <w:lvlText w:val=""/>
      <w:lvlJc w:val="left"/>
      <w:pPr>
        <w:ind w:left="5040" w:hanging="360"/>
      </w:pPr>
      <w:rPr>
        <w:rFonts w:ascii="Symbol" w:hAnsi="Symbol" w:hint="default"/>
      </w:rPr>
    </w:lvl>
    <w:lvl w:ilvl="7" w:tplc="557A9996">
      <w:start w:val="1"/>
      <w:numFmt w:val="bullet"/>
      <w:lvlText w:val="o"/>
      <w:lvlJc w:val="left"/>
      <w:pPr>
        <w:ind w:left="5760" w:hanging="360"/>
      </w:pPr>
      <w:rPr>
        <w:rFonts w:ascii="Courier New" w:hAnsi="Courier New" w:hint="default"/>
      </w:rPr>
    </w:lvl>
    <w:lvl w:ilvl="8" w:tplc="B06A62BA">
      <w:start w:val="1"/>
      <w:numFmt w:val="bullet"/>
      <w:lvlText w:val=""/>
      <w:lvlJc w:val="left"/>
      <w:pPr>
        <w:ind w:left="6480" w:hanging="360"/>
      </w:pPr>
      <w:rPr>
        <w:rFonts w:ascii="Wingdings" w:hAnsi="Wingdings" w:hint="default"/>
      </w:rPr>
    </w:lvl>
  </w:abstractNum>
  <w:abstractNum w:abstractNumId="16" w15:restartNumberingAfterBreak="0">
    <w:nsid w:val="3E6F5F46"/>
    <w:multiLevelType w:val="hybridMultilevel"/>
    <w:tmpl w:val="7B06F36A"/>
    <w:lvl w:ilvl="0" w:tplc="A98CD062">
      <w:start w:val="1"/>
      <w:numFmt w:val="bullet"/>
      <w:lvlText w:val=""/>
      <w:lvlJc w:val="left"/>
      <w:pPr>
        <w:ind w:left="720" w:hanging="360"/>
      </w:pPr>
      <w:rPr>
        <w:rFonts w:ascii="Symbol" w:hAnsi="Symbol"/>
      </w:rPr>
    </w:lvl>
    <w:lvl w:ilvl="1" w:tplc="DD9075E0">
      <w:start w:val="1"/>
      <w:numFmt w:val="bullet"/>
      <w:lvlText w:val=""/>
      <w:lvlJc w:val="left"/>
      <w:pPr>
        <w:ind w:left="720" w:hanging="360"/>
      </w:pPr>
      <w:rPr>
        <w:rFonts w:ascii="Symbol" w:hAnsi="Symbol"/>
      </w:rPr>
    </w:lvl>
    <w:lvl w:ilvl="2" w:tplc="79AACE1A">
      <w:start w:val="1"/>
      <w:numFmt w:val="bullet"/>
      <w:lvlText w:val=""/>
      <w:lvlJc w:val="left"/>
      <w:pPr>
        <w:ind w:left="720" w:hanging="360"/>
      </w:pPr>
      <w:rPr>
        <w:rFonts w:ascii="Symbol" w:hAnsi="Symbol"/>
      </w:rPr>
    </w:lvl>
    <w:lvl w:ilvl="3" w:tplc="4384AA8E">
      <w:start w:val="1"/>
      <w:numFmt w:val="bullet"/>
      <w:lvlText w:val=""/>
      <w:lvlJc w:val="left"/>
      <w:pPr>
        <w:ind w:left="720" w:hanging="360"/>
      </w:pPr>
      <w:rPr>
        <w:rFonts w:ascii="Symbol" w:hAnsi="Symbol"/>
      </w:rPr>
    </w:lvl>
    <w:lvl w:ilvl="4" w:tplc="B6544C84">
      <w:start w:val="1"/>
      <w:numFmt w:val="bullet"/>
      <w:lvlText w:val=""/>
      <w:lvlJc w:val="left"/>
      <w:pPr>
        <w:ind w:left="720" w:hanging="360"/>
      </w:pPr>
      <w:rPr>
        <w:rFonts w:ascii="Symbol" w:hAnsi="Symbol"/>
      </w:rPr>
    </w:lvl>
    <w:lvl w:ilvl="5" w:tplc="F5C6545C">
      <w:start w:val="1"/>
      <w:numFmt w:val="bullet"/>
      <w:lvlText w:val=""/>
      <w:lvlJc w:val="left"/>
      <w:pPr>
        <w:ind w:left="720" w:hanging="360"/>
      </w:pPr>
      <w:rPr>
        <w:rFonts w:ascii="Symbol" w:hAnsi="Symbol"/>
      </w:rPr>
    </w:lvl>
    <w:lvl w:ilvl="6" w:tplc="A08EDAD8">
      <w:start w:val="1"/>
      <w:numFmt w:val="bullet"/>
      <w:lvlText w:val=""/>
      <w:lvlJc w:val="left"/>
      <w:pPr>
        <w:ind w:left="720" w:hanging="360"/>
      </w:pPr>
      <w:rPr>
        <w:rFonts w:ascii="Symbol" w:hAnsi="Symbol"/>
      </w:rPr>
    </w:lvl>
    <w:lvl w:ilvl="7" w:tplc="34ECAAC6">
      <w:start w:val="1"/>
      <w:numFmt w:val="bullet"/>
      <w:lvlText w:val=""/>
      <w:lvlJc w:val="left"/>
      <w:pPr>
        <w:ind w:left="720" w:hanging="360"/>
      </w:pPr>
      <w:rPr>
        <w:rFonts w:ascii="Symbol" w:hAnsi="Symbol"/>
      </w:rPr>
    </w:lvl>
    <w:lvl w:ilvl="8" w:tplc="19AAFCA2">
      <w:start w:val="1"/>
      <w:numFmt w:val="bullet"/>
      <w:lvlText w:val=""/>
      <w:lvlJc w:val="left"/>
      <w:pPr>
        <w:ind w:left="720" w:hanging="360"/>
      </w:pPr>
      <w:rPr>
        <w:rFonts w:ascii="Symbol" w:hAnsi="Symbol"/>
      </w:rPr>
    </w:lvl>
  </w:abstractNum>
  <w:abstractNum w:abstractNumId="17" w15:restartNumberingAfterBreak="0">
    <w:nsid w:val="3EF75166"/>
    <w:multiLevelType w:val="hybridMultilevel"/>
    <w:tmpl w:val="E86AB43A"/>
    <w:lvl w:ilvl="0" w:tplc="B97AFAB2">
      <w:start w:val="1"/>
      <w:numFmt w:val="bullet"/>
      <w:lvlText w:val=""/>
      <w:lvlJc w:val="left"/>
      <w:pPr>
        <w:ind w:left="1440" w:hanging="360"/>
      </w:pPr>
      <w:rPr>
        <w:rFonts w:ascii="Symbol" w:hAnsi="Symbol"/>
      </w:rPr>
    </w:lvl>
    <w:lvl w:ilvl="1" w:tplc="35C42934">
      <w:start w:val="1"/>
      <w:numFmt w:val="bullet"/>
      <w:lvlText w:val=""/>
      <w:lvlJc w:val="left"/>
      <w:pPr>
        <w:ind w:left="1440" w:hanging="360"/>
      </w:pPr>
      <w:rPr>
        <w:rFonts w:ascii="Symbol" w:hAnsi="Symbol"/>
      </w:rPr>
    </w:lvl>
    <w:lvl w:ilvl="2" w:tplc="283E48C6">
      <w:start w:val="1"/>
      <w:numFmt w:val="bullet"/>
      <w:lvlText w:val=""/>
      <w:lvlJc w:val="left"/>
      <w:pPr>
        <w:ind w:left="1440" w:hanging="360"/>
      </w:pPr>
      <w:rPr>
        <w:rFonts w:ascii="Symbol" w:hAnsi="Symbol"/>
      </w:rPr>
    </w:lvl>
    <w:lvl w:ilvl="3" w:tplc="38684442">
      <w:start w:val="1"/>
      <w:numFmt w:val="bullet"/>
      <w:lvlText w:val=""/>
      <w:lvlJc w:val="left"/>
      <w:pPr>
        <w:ind w:left="1440" w:hanging="360"/>
      </w:pPr>
      <w:rPr>
        <w:rFonts w:ascii="Symbol" w:hAnsi="Symbol"/>
      </w:rPr>
    </w:lvl>
    <w:lvl w:ilvl="4" w:tplc="1AE6281A">
      <w:start w:val="1"/>
      <w:numFmt w:val="bullet"/>
      <w:lvlText w:val=""/>
      <w:lvlJc w:val="left"/>
      <w:pPr>
        <w:ind w:left="1440" w:hanging="360"/>
      </w:pPr>
      <w:rPr>
        <w:rFonts w:ascii="Symbol" w:hAnsi="Symbol"/>
      </w:rPr>
    </w:lvl>
    <w:lvl w:ilvl="5" w:tplc="F6D860E4">
      <w:start w:val="1"/>
      <w:numFmt w:val="bullet"/>
      <w:lvlText w:val=""/>
      <w:lvlJc w:val="left"/>
      <w:pPr>
        <w:ind w:left="1440" w:hanging="360"/>
      </w:pPr>
      <w:rPr>
        <w:rFonts w:ascii="Symbol" w:hAnsi="Symbol"/>
      </w:rPr>
    </w:lvl>
    <w:lvl w:ilvl="6" w:tplc="762CF004">
      <w:start w:val="1"/>
      <w:numFmt w:val="bullet"/>
      <w:lvlText w:val=""/>
      <w:lvlJc w:val="left"/>
      <w:pPr>
        <w:ind w:left="1440" w:hanging="360"/>
      </w:pPr>
      <w:rPr>
        <w:rFonts w:ascii="Symbol" w:hAnsi="Symbol"/>
      </w:rPr>
    </w:lvl>
    <w:lvl w:ilvl="7" w:tplc="59D2243A">
      <w:start w:val="1"/>
      <w:numFmt w:val="bullet"/>
      <w:lvlText w:val=""/>
      <w:lvlJc w:val="left"/>
      <w:pPr>
        <w:ind w:left="1440" w:hanging="360"/>
      </w:pPr>
      <w:rPr>
        <w:rFonts w:ascii="Symbol" w:hAnsi="Symbol"/>
      </w:rPr>
    </w:lvl>
    <w:lvl w:ilvl="8" w:tplc="0C661DAA">
      <w:start w:val="1"/>
      <w:numFmt w:val="bullet"/>
      <w:lvlText w:val=""/>
      <w:lvlJc w:val="left"/>
      <w:pPr>
        <w:ind w:left="1440" w:hanging="360"/>
      </w:pPr>
      <w:rPr>
        <w:rFonts w:ascii="Symbol" w:hAnsi="Symbol"/>
      </w:rPr>
    </w:lvl>
  </w:abstractNum>
  <w:abstractNum w:abstractNumId="18" w15:restartNumberingAfterBreak="0">
    <w:nsid w:val="47BD5A56"/>
    <w:multiLevelType w:val="hybridMultilevel"/>
    <w:tmpl w:val="DB1AECD4"/>
    <w:lvl w:ilvl="0" w:tplc="8A36A97C">
      <w:start w:val="1"/>
      <w:numFmt w:val="decimal"/>
      <w:pStyle w:val="Guidelinessub-sub"/>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pStyle w:val="Guidelinessub-sub"/>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8F5BF5"/>
    <w:multiLevelType w:val="hybridMultilevel"/>
    <w:tmpl w:val="283C0D9E"/>
    <w:lvl w:ilvl="0" w:tplc="A164E66A">
      <w:start w:val="1"/>
      <w:numFmt w:val="bullet"/>
      <w:lvlText w:val=""/>
      <w:lvlJc w:val="left"/>
      <w:pPr>
        <w:ind w:left="720" w:hanging="360"/>
      </w:pPr>
      <w:rPr>
        <w:rFonts w:ascii="Symbol" w:hAnsi="Symbol"/>
      </w:rPr>
    </w:lvl>
    <w:lvl w:ilvl="1" w:tplc="FF0AEDD2">
      <w:start w:val="1"/>
      <w:numFmt w:val="bullet"/>
      <w:lvlText w:val=""/>
      <w:lvlJc w:val="left"/>
      <w:pPr>
        <w:ind w:left="720" w:hanging="360"/>
      </w:pPr>
      <w:rPr>
        <w:rFonts w:ascii="Symbol" w:hAnsi="Symbol"/>
      </w:rPr>
    </w:lvl>
    <w:lvl w:ilvl="2" w:tplc="4B36D7D4">
      <w:start w:val="1"/>
      <w:numFmt w:val="bullet"/>
      <w:lvlText w:val=""/>
      <w:lvlJc w:val="left"/>
      <w:pPr>
        <w:ind w:left="720" w:hanging="360"/>
      </w:pPr>
      <w:rPr>
        <w:rFonts w:ascii="Symbol" w:hAnsi="Symbol"/>
      </w:rPr>
    </w:lvl>
    <w:lvl w:ilvl="3" w:tplc="7284CCF4">
      <w:start w:val="1"/>
      <w:numFmt w:val="bullet"/>
      <w:lvlText w:val=""/>
      <w:lvlJc w:val="left"/>
      <w:pPr>
        <w:ind w:left="720" w:hanging="360"/>
      </w:pPr>
      <w:rPr>
        <w:rFonts w:ascii="Symbol" w:hAnsi="Symbol"/>
      </w:rPr>
    </w:lvl>
    <w:lvl w:ilvl="4" w:tplc="38D228AE">
      <w:start w:val="1"/>
      <w:numFmt w:val="bullet"/>
      <w:lvlText w:val=""/>
      <w:lvlJc w:val="left"/>
      <w:pPr>
        <w:ind w:left="720" w:hanging="360"/>
      </w:pPr>
      <w:rPr>
        <w:rFonts w:ascii="Symbol" w:hAnsi="Symbol"/>
      </w:rPr>
    </w:lvl>
    <w:lvl w:ilvl="5" w:tplc="F3D6EA56">
      <w:start w:val="1"/>
      <w:numFmt w:val="bullet"/>
      <w:lvlText w:val=""/>
      <w:lvlJc w:val="left"/>
      <w:pPr>
        <w:ind w:left="720" w:hanging="360"/>
      </w:pPr>
      <w:rPr>
        <w:rFonts w:ascii="Symbol" w:hAnsi="Symbol"/>
      </w:rPr>
    </w:lvl>
    <w:lvl w:ilvl="6" w:tplc="A2145854">
      <w:start w:val="1"/>
      <w:numFmt w:val="bullet"/>
      <w:lvlText w:val=""/>
      <w:lvlJc w:val="left"/>
      <w:pPr>
        <w:ind w:left="720" w:hanging="360"/>
      </w:pPr>
      <w:rPr>
        <w:rFonts w:ascii="Symbol" w:hAnsi="Symbol"/>
      </w:rPr>
    </w:lvl>
    <w:lvl w:ilvl="7" w:tplc="E7A414EE">
      <w:start w:val="1"/>
      <w:numFmt w:val="bullet"/>
      <w:lvlText w:val=""/>
      <w:lvlJc w:val="left"/>
      <w:pPr>
        <w:ind w:left="720" w:hanging="360"/>
      </w:pPr>
      <w:rPr>
        <w:rFonts w:ascii="Symbol" w:hAnsi="Symbol"/>
      </w:rPr>
    </w:lvl>
    <w:lvl w:ilvl="8" w:tplc="6C56A100">
      <w:start w:val="1"/>
      <w:numFmt w:val="bullet"/>
      <w:lvlText w:val=""/>
      <w:lvlJc w:val="left"/>
      <w:pPr>
        <w:ind w:left="720" w:hanging="360"/>
      </w:pPr>
      <w:rPr>
        <w:rFonts w:ascii="Symbol" w:hAnsi="Symbol"/>
      </w:rPr>
    </w:lvl>
  </w:abstractNum>
  <w:abstractNum w:abstractNumId="20" w15:restartNumberingAfterBreak="0">
    <w:nsid w:val="539B32BF"/>
    <w:multiLevelType w:val="multilevel"/>
    <w:tmpl w:val="1BA6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885E10"/>
    <w:multiLevelType w:val="hybridMultilevel"/>
    <w:tmpl w:val="9E2A3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BB6A6F"/>
    <w:multiLevelType w:val="hybridMultilevel"/>
    <w:tmpl w:val="FEFA7E9A"/>
    <w:lvl w:ilvl="0" w:tplc="501213B2">
      <w:start w:val="1"/>
      <w:numFmt w:val="bullet"/>
      <w:lvlText w:val=""/>
      <w:lvlJc w:val="left"/>
      <w:pPr>
        <w:ind w:left="1440" w:hanging="360"/>
      </w:pPr>
      <w:rPr>
        <w:rFonts w:ascii="Symbol" w:hAnsi="Symbol"/>
      </w:rPr>
    </w:lvl>
    <w:lvl w:ilvl="1" w:tplc="DAD6EB88">
      <w:start w:val="1"/>
      <w:numFmt w:val="bullet"/>
      <w:lvlText w:val=""/>
      <w:lvlJc w:val="left"/>
      <w:pPr>
        <w:ind w:left="1440" w:hanging="360"/>
      </w:pPr>
      <w:rPr>
        <w:rFonts w:ascii="Symbol" w:hAnsi="Symbol"/>
      </w:rPr>
    </w:lvl>
    <w:lvl w:ilvl="2" w:tplc="56D47D38">
      <w:start w:val="1"/>
      <w:numFmt w:val="bullet"/>
      <w:lvlText w:val=""/>
      <w:lvlJc w:val="left"/>
      <w:pPr>
        <w:ind w:left="1440" w:hanging="360"/>
      </w:pPr>
      <w:rPr>
        <w:rFonts w:ascii="Symbol" w:hAnsi="Symbol"/>
      </w:rPr>
    </w:lvl>
    <w:lvl w:ilvl="3" w:tplc="6602FBCC">
      <w:start w:val="1"/>
      <w:numFmt w:val="bullet"/>
      <w:lvlText w:val=""/>
      <w:lvlJc w:val="left"/>
      <w:pPr>
        <w:ind w:left="1440" w:hanging="360"/>
      </w:pPr>
      <w:rPr>
        <w:rFonts w:ascii="Symbol" w:hAnsi="Symbol"/>
      </w:rPr>
    </w:lvl>
    <w:lvl w:ilvl="4" w:tplc="515213DA">
      <w:start w:val="1"/>
      <w:numFmt w:val="bullet"/>
      <w:lvlText w:val=""/>
      <w:lvlJc w:val="left"/>
      <w:pPr>
        <w:ind w:left="1440" w:hanging="360"/>
      </w:pPr>
      <w:rPr>
        <w:rFonts w:ascii="Symbol" w:hAnsi="Symbol"/>
      </w:rPr>
    </w:lvl>
    <w:lvl w:ilvl="5" w:tplc="1396B4C8">
      <w:start w:val="1"/>
      <w:numFmt w:val="bullet"/>
      <w:lvlText w:val=""/>
      <w:lvlJc w:val="left"/>
      <w:pPr>
        <w:ind w:left="1440" w:hanging="360"/>
      </w:pPr>
      <w:rPr>
        <w:rFonts w:ascii="Symbol" w:hAnsi="Symbol"/>
      </w:rPr>
    </w:lvl>
    <w:lvl w:ilvl="6" w:tplc="EC1440C4">
      <w:start w:val="1"/>
      <w:numFmt w:val="bullet"/>
      <w:lvlText w:val=""/>
      <w:lvlJc w:val="left"/>
      <w:pPr>
        <w:ind w:left="1440" w:hanging="360"/>
      </w:pPr>
      <w:rPr>
        <w:rFonts w:ascii="Symbol" w:hAnsi="Symbol"/>
      </w:rPr>
    </w:lvl>
    <w:lvl w:ilvl="7" w:tplc="1A242238">
      <w:start w:val="1"/>
      <w:numFmt w:val="bullet"/>
      <w:lvlText w:val=""/>
      <w:lvlJc w:val="left"/>
      <w:pPr>
        <w:ind w:left="1440" w:hanging="360"/>
      </w:pPr>
      <w:rPr>
        <w:rFonts w:ascii="Symbol" w:hAnsi="Symbol"/>
      </w:rPr>
    </w:lvl>
    <w:lvl w:ilvl="8" w:tplc="12BC0F00">
      <w:start w:val="1"/>
      <w:numFmt w:val="bullet"/>
      <w:lvlText w:val=""/>
      <w:lvlJc w:val="left"/>
      <w:pPr>
        <w:ind w:left="1440" w:hanging="360"/>
      </w:pPr>
      <w:rPr>
        <w:rFonts w:ascii="Symbol" w:hAnsi="Symbol"/>
      </w:rPr>
    </w:lvl>
  </w:abstractNum>
  <w:abstractNum w:abstractNumId="23" w15:restartNumberingAfterBreak="0">
    <w:nsid w:val="61E02532"/>
    <w:multiLevelType w:val="multilevel"/>
    <w:tmpl w:val="E27E9296"/>
    <w:styleLink w:val="NumberedListStyle"/>
    <w:lvl w:ilvl="0">
      <w:start w:val="1"/>
      <w:numFmt w:val="decimal"/>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3433C9D"/>
    <w:multiLevelType w:val="multilevel"/>
    <w:tmpl w:val="22D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834FAC"/>
    <w:multiLevelType w:val="hybridMultilevel"/>
    <w:tmpl w:val="83B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896342"/>
    <w:multiLevelType w:val="hybridMultilevel"/>
    <w:tmpl w:val="6AD253A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15:restartNumberingAfterBreak="0">
    <w:nsid w:val="691E04B9"/>
    <w:multiLevelType w:val="hybridMultilevel"/>
    <w:tmpl w:val="A66E3814"/>
    <w:lvl w:ilvl="0" w:tplc="0C090001">
      <w:start w:val="1"/>
      <w:numFmt w:val="bullet"/>
      <w:lvlText w:val=""/>
      <w:lvlJc w:val="left"/>
      <w:pPr>
        <w:ind w:left="720" w:hanging="360"/>
      </w:pPr>
      <w:rPr>
        <w:rFonts w:ascii="Symbol" w:hAnsi="Symbol" w:hint="default"/>
      </w:rPr>
    </w:lvl>
    <w:lvl w:ilvl="1" w:tplc="E342FDF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AB77F6"/>
    <w:multiLevelType w:val="hybridMultilevel"/>
    <w:tmpl w:val="21FC3692"/>
    <w:lvl w:ilvl="0" w:tplc="D514FA24">
      <w:start w:val="1"/>
      <w:numFmt w:val="bullet"/>
      <w:lvlText w:val=""/>
      <w:lvlJc w:val="left"/>
      <w:pPr>
        <w:ind w:left="720" w:hanging="360"/>
      </w:pPr>
      <w:rPr>
        <w:rFonts w:ascii="Symbol" w:hAnsi="Symbol" w:hint="default"/>
      </w:rPr>
    </w:lvl>
    <w:lvl w:ilvl="1" w:tplc="E9CCD68E">
      <w:start w:val="1"/>
      <w:numFmt w:val="bullet"/>
      <w:lvlText w:val="o"/>
      <w:lvlJc w:val="left"/>
      <w:pPr>
        <w:ind w:left="1440" w:hanging="360"/>
      </w:pPr>
      <w:rPr>
        <w:rFonts w:ascii="Courier New" w:hAnsi="Courier New" w:hint="default"/>
      </w:rPr>
    </w:lvl>
    <w:lvl w:ilvl="2" w:tplc="C338D0D4">
      <w:start w:val="1"/>
      <w:numFmt w:val="bullet"/>
      <w:lvlText w:val=""/>
      <w:lvlJc w:val="left"/>
      <w:pPr>
        <w:ind w:left="2160" w:hanging="360"/>
      </w:pPr>
      <w:rPr>
        <w:rFonts w:ascii="Wingdings" w:hAnsi="Wingdings" w:hint="default"/>
      </w:rPr>
    </w:lvl>
    <w:lvl w:ilvl="3" w:tplc="F6909CF0">
      <w:start w:val="1"/>
      <w:numFmt w:val="bullet"/>
      <w:lvlText w:val=""/>
      <w:lvlJc w:val="left"/>
      <w:pPr>
        <w:ind w:left="2880" w:hanging="360"/>
      </w:pPr>
      <w:rPr>
        <w:rFonts w:ascii="Symbol" w:hAnsi="Symbol" w:hint="default"/>
      </w:rPr>
    </w:lvl>
    <w:lvl w:ilvl="4" w:tplc="263C2182">
      <w:start w:val="1"/>
      <w:numFmt w:val="bullet"/>
      <w:lvlText w:val="o"/>
      <w:lvlJc w:val="left"/>
      <w:pPr>
        <w:ind w:left="3600" w:hanging="360"/>
      </w:pPr>
      <w:rPr>
        <w:rFonts w:ascii="Courier New" w:hAnsi="Courier New" w:hint="default"/>
      </w:rPr>
    </w:lvl>
    <w:lvl w:ilvl="5" w:tplc="ED86E55C">
      <w:start w:val="1"/>
      <w:numFmt w:val="bullet"/>
      <w:lvlText w:val=""/>
      <w:lvlJc w:val="left"/>
      <w:pPr>
        <w:ind w:left="4320" w:hanging="360"/>
      </w:pPr>
      <w:rPr>
        <w:rFonts w:ascii="Wingdings" w:hAnsi="Wingdings" w:hint="default"/>
      </w:rPr>
    </w:lvl>
    <w:lvl w:ilvl="6" w:tplc="86945A4E">
      <w:start w:val="1"/>
      <w:numFmt w:val="bullet"/>
      <w:lvlText w:val=""/>
      <w:lvlJc w:val="left"/>
      <w:pPr>
        <w:ind w:left="5040" w:hanging="360"/>
      </w:pPr>
      <w:rPr>
        <w:rFonts w:ascii="Symbol" w:hAnsi="Symbol" w:hint="default"/>
      </w:rPr>
    </w:lvl>
    <w:lvl w:ilvl="7" w:tplc="C9EE37B6">
      <w:start w:val="1"/>
      <w:numFmt w:val="bullet"/>
      <w:lvlText w:val="o"/>
      <w:lvlJc w:val="left"/>
      <w:pPr>
        <w:ind w:left="5760" w:hanging="360"/>
      </w:pPr>
      <w:rPr>
        <w:rFonts w:ascii="Courier New" w:hAnsi="Courier New" w:hint="default"/>
      </w:rPr>
    </w:lvl>
    <w:lvl w:ilvl="8" w:tplc="D400A82C">
      <w:start w:val="1"/>
      <w:numFmt w:val="bullet"/>
      <w:lvlText w:val=""/>
      <w:lvlJc w:val="left"/>
      <w:pPr>
        <w:ind w:left="6480" w:hanging="360"/>
      </w:pPr>
      <w:rPr>
        <w:rFonts w:ascii="Wingdings" w:hAnsi="Wingdings" w:hint="default"/>
      </w:rPr>
    </w:lvl>
  </w:abstractNum>
  <w:abstractNum w:abstractNumId="29" w15:restartNumberingAfterBreak="0">
    <w:nsid w:val="76C11370"/>
    <w:multiLevelType w:val="hybridMultilevel"/>
    <w:tmpl w:val="A46C5A20"/>
    <w:lvl w:ilvl="0" w:tplc="E23E276E">
      <w:start w:val="1"/>
      <w:numFmt w:val="bullet"/>
      <w:lvlText w:val=""/>
      <w:lvlJc w:val="left"/>
      <w:pPr>
        <w:ind w:left="720" w:hanging="360"/>
      </w:pPr>
      <w:rPr>
        <w:rFonts w:ascii="Symbol" w:hAnsi="Symbol"/>
      </w:rPr>
    </w:lvl>
    <w:lvl w:ilvl="1" w:tplc="0C928A94">
      <w:start w:val="1"/>
      <w:numFmt w:val="bullet"/>
      <w:lvlText w:val=""/>
      <w:lvlJc w:val="left"/>
      <w:pPr>
        <w:ind w:left="720" w:hanging="360"/>
      </w:pPr>
      <w:rPr>
        <w:rFonts w:ascii="Symbol" w:hAnsi="Symbol"/>
      </w:rPr>
    </w:lvl>
    <w:lvl w:ilvl="2" w:tplc="C3DA2070">
      <w:start w:val="1"/>
      <w:numFmt w:val="bullet"/>
      <w:lvlText w:val=""/>
      <w:lvlJc w:val="left"/>
      <w:pPr>
        <w:ind w:left="720" w:hanging="360"/>
      </w:pPr>
      <w:rPr>
        <w:rFonts w:ascii="Symbol" w:hAnsi="Symbol"/>
      </w:rPr>
    </w:lvl>
    <w:lvl w:ilvl="3" w:tplc="C318FE4E">
      <w:start w:val="1"/>
      <w:numFmt w:val="bullet"/>
      <w:lvlText w:val=""/>
      <w:lvlJc w:val="left"/>
      <w:pPr>
        <w:ind w:left="720" w:hanging="360"/>
      </w:pPr>
      <w:rPr>
        <w:rFonts w:ascii="Symbol" w:hAnsi="Symbol"/>
      </w:rPr>
    </w:lvl>
    <w:lvl w:ilvl="4" w:tplc="BFE2DAC6">
      <w:start w:val="1"/>
      <w:numFmt w:val="bullet"/>
      <w:lvlText w:val=""/>
      <w:lvlJc w:val="left"/>
      <w:pPr>
        <w:ind w:left="720" w:hanging="360"/>
      </w:pPr>
      <w:rPr>
        <w:rFonts w:ascii="Symbol" w:hAnsi="Symbol"/>
      </w:rPr>
    </w:lvl>
    <w:lvl w:ilvl="5" w:tplc="807A2D72">
      <w:start w:val="1"/>
      <w:numFmt w:val="bullet"/>
      <w:lvlText w:val=""/>
      <w:lvlJc w:val="left"/>
      <w:pPr>
        <w:ind w:left="720" w:hanging="360"/>
      </w:pPr>
      <w:rPr>
        <w:rFonts w:ascii="Symbol" w:hAnsi="Symbol"/>
      </w:rPr>
    </w:lvl>
    <w:lvl w:ilvl="6" w:tplc="E8B628F0">
      <w:start w:val="1"/>
      <w:numFmt w:val="bullet"/>
      <w:lvlText w:val=""/>
      <w:lvlJc w:val="left"/>
      <w:pPr>
        <w:ind w:left="720" w:hanging="360"/>
      </w:pPr>
      <w:rPr>
        <w:rFonts w:ascii="Symbol" w:hAnsi="Symbol"/>
      </w:rPr>
    </w:lvl>
    <w:lvl w:ilvl="7" w:tplc="EF82F912">
      <w:start w:val="1"/>
      <w:numFmt w:val="bullet"/>
      <w:lvlText w:val=""/>
      <w:lvlJc w:val="left"/>
      <w:pPr>
        <w:ind w:left="720" w:hanging="360"/>
      </w:pPr>
      <w:rPr>
        <w:rFonts w:ascii="Symbol" w:hAnsi="Symbol"/>
      </w:rPr>
    </w:lvl>
    <w:lvl w:ilvl="8" w:tplc="B3869F18">
      <w:start w:val="1"/>
      <w:numFmt w:val="bullet"/>
      <w:lvlText w:val=""/>
      <w:lvlJc w:val="left"/>
      <w:pPr>
        <w:ind w:left="720" w:hanging="360"/>
      </w:pPr>
      <w:rPr>
        <w:rFonts w:ascii="Symbol" w:hAnsi="Symbol"/>
      </w:rPr>
    </w:lvl>
  </w:abstractNum>
  <w:abstractNum w:abstractNumId="30" w15:restartNumberingAfterBreak="0">
    <w:nsid w:val="79CB3ACC"/>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B45D69A"/>
    <w:multiLevelType w:val="hybridMultilevel"/>
    <w:tmpl w:val="2F24CC04"/>
    <w:lvl w:ilvl="0" w:tplc="28E09EAA">
      <w:numFmt w:val="none"/>
      <w:lvlText w:val=""/>
      <w:lvlJc w:val="left"/>
      <w:pPr>
        <w:tabs>
          <w:tab w:val="num" w:pos="360"/>
        </w:tabs>
      </w:pPr>
    </w:lvl>
    <w:lvl w:ilvl="1" w:tplc="6220020A">
      <w:start w:val="1"/>
      <w:numFmt w:val="lowerLetter"/>
      <w:lvlText w:val="%2."/>
      <w:lvlJc w:val="left"/>
      <w:pPr>
        <w:ind w:left="1440" w:hanging="360"/>
      </w:pPr>
    </w:lvl>
    <w:lvl w:ilvl="2" w:tplc="8E0858E2">
      <w:start w:val="1"/>
      <w:numFmt w:val="lowerRoman"/>
      <w:lvlText w:val="%3."/>
      <w:lvlJc w:val="right"/>
      <w:pPr>
        <w:ind w:left="2160" w:hanging="180"/>
      </w:pPr>
    </w:lvl>
    <w:lvl w:ilvl="3" w:tplc="66D0DA9C">
      <w:start w:val="1"/>
      <w:numFmt w:val="decimal"/>
      <w:lvlText w:val="%4."/>
      <w:lvlJc w:val="left"/>
      <w:pPr>
        <w:ind w:left="2880" w:hanging="360"/>
      </w:pPr>
    </w:lvl>
    <w:lvl w:ilvl="4" w:tplc="4E20B4CA">
      <w:start w:val="1"/>
      <w:numFmt w:val="lowerLetter"/>
      <w:lvlText w:val="%5."/>
      <w:lvlJc w:val="left"/>
      <w:pPr>
        <w:ind w:left="3600" w:hanging="360"/>
      </w:pPr>
    </w:lvl>
    <w:lvl w:ilvl="5" w:tplc="2304AFC8">
      <w:start w:val="1"/>
      <w:numFmt w:val="lowerRoman"/>
      <w:lvlText w:val="%6."/>
      <w:lvlJc w:val="right"/>
      <w:pPr>
        <w:ind w:left="4320" w:hanging="180"/>
      </w:pPr>
    </w:lvl>
    <w:lvl w:ilvl="6" w:tplc="2604C63A">
      <w:start w:val="1"/>
      <w:numFmt w:val="decimal"/>
      <w:lvlText w:val="%7."/>
      <w:lvlJc w:val="left"/>
      <w:pPr>
        <w:ind w:left="5040" w:hanging="360"/>
      </w:pPr>
    </w:lvl>
    <w:lvl w:ilvl="7" w:tplc="184C7D88">
      <w:start w:val="1"/>
      <w:numFmt w:val="lowerLetter"/>
      <w:lvlText w:val="%8."/>
      <w:lvlJc w:val="left"/>
      <w:pPr>
        <w:ind w:left="5760" w:hanging="360"/>
      </w:pPr>
    </w:lvl>
    <w:lvl w:ilvl="8" w:tplc="26E44CFA">
      <w:start w:val="1"/>
      <w:numFmt w:val="lowerRoman"/>
      <w:lvlText w:val="%9."/>
      <w:lvlJc w:val="right"/>
      <w:pPr>
        <w:ind w:left="6480" w:hanging="180"/>
      </w:pPr>
    </w:lvl>
  </w:abstractNum>
  <w:abstractNum w:abstractNumId="32"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888150006">
    <w:abstractNumId w:val="28"/>
  </w:num>
  <w:num w:numId="2" w16cid:durableId="1357848003">
    <w:abstractNumId w:val="14"/>
  </w:num>
  <w:num w:numId="3" w16cid:durableId="1236821219">
    <w:abstractNumId w:val="15"/>
  </w:num>
  <w:num w:numId="4" w16cid:durableId="1673797208">
    <w:abstractNumId w:val="32"/>
  </w:num>
  <w:num w:numId="5" w16cid:durableId="842470679">
    <w:abstractNumId w:val="23"/>
  </w:num>
  <w:num w:numId="6" w16cid:durableId="1678968889">
    <w:abstractNumId w:val="1"/>
  </w:num>
  <w:num w:numId="7" w16cid:durableId="1842163252">
    <w:abstractNumId w:val="3"/>
  </w:num>
  <w:num w:numId="8" w16cid:durableId="1927687464">
    <w:abstractNumId w:val="27"/>
  </w:num>
  <w:num w:numId="9" w16cid:durableId="572276078">
    <w:abstractNumId w:val="6"/>
  </w:num>
  <w:num w:numId="10" w16cid:durableId="1993291614">
    <w:abstractNumId w:val="8"/>
  </w:num>
  <w:num w:numId="11" w16cid:durableId="1083137740">
    <w:abstractNumId w:val="18"/>
  </w:num>
  <w:num w:numId="12" w16cid:durableId="48652587">
    <w:abstractNumId w:val="25"/>
  </w:num>
  <w:num w:numId="13" w16cid:durableId="1857769057">
    <w:abstractNumId w:val="21"/>
  </w:num>
  <w:num w:numId="14" w16cid:durableId="57828738">
    <w:abstractNumId w:val="24"/>
  </w:num>
  <w:num w:numId="15" w16cid:durableId="315841346">
    <w:abstractNumId w:val="13"/>
  </w:num>
  <w:num w:numId="16" w16cid:durableId="1868250199">
    <w:abstractNumId w:val="10"/>
  </w:num>
  <w:num w:numId="17" w16cid:durableId="1998066981">
    <w:abstractNumId w:val="22"/>
  </w:num>
  <w:num w:numId="18" w16cid:durableId="676541894">
    <w:abstractNumId w:val="2"/>
  </w:num>
  <w:num w:numId="19" w16cid:durableId="1871524542">
    <w:abstractNumId w:val="29"/>
  </w:num>
  <w:num w:numId="20" w16cid:durableId="724328501">
    <w:abstractNumId w:val="1"/>
  </w:num>
  <w:num w:numId="21" w16cid:durableId="1430739827">
    <w:abstractNumId w:val="20"/>
  </w:num>
  <w:num w:numId="22" w16cid:durableId="2108503771">
    <w:abstractNumId w:val="19"/>
  </w:num>
  <w:num w:numId="23" w16cid:durableId="700978060">
    <w:abstractNumId w:val="5"/>
  </w:num>
  <w:num w:numId="24" w16cid:durableId="1662194642">
    <w:abstractNumId w:val="0"/>
  </w:num>
  <w:num w:numId="25" w16cid:durableId="1242525320">
    <w:abstractNumId w:val="12"/>
  </w:num>
  <w:num w:numId="26" w16cid:durableId="763040866">
    <w:abstractNumId w:val="7"/>
  </w:num>
  <w:num w:numId="27" w16cid:durableId="1735815144">
    <w:abstractNumId w:val="30"/>
  </w:num>
  <w:num w:numId="28" w16cid:durableId="64844380">
    <w:abstractNumId w:val="30"/>
  </w:num>
  <w:num w:numId="29" w16cid:durableId="75368550">
    <w:abstractNumId w:val="31"/>
  </w:num>
  <w:num w:numId="30" w16cid:durableId="791942352">
    <w:abstractNumId w:val="4"/>
  </w:num>
  <w:num w:numId="31" w16cid:durableId="1630357958">
    <w:abstractNumId w:val="26"/>
  </w:num>
  <w:num w:numId="32" w16cid:durableId="1642031775">
    <w:abstractNumId w:val="11"/>
  </w:num>
  <w:num w:numId="33" w16cid:durableId="1070276220">
    <w:abstractNumId w:val="17"/>
  </w:num>
  <w:num w:numId="34" w16cid:durableId="1311715953">
    <w:abstractNumId w:val="16"/>
  </w:num>
  <w:num w:numId="35" w16cid:durableId="136537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0761"/>
    <w:rsid w:val="00017597"/>
    <w:rsid w:val="00023358"/>
    <w:rsid w:val="00027E66"/>
    <w:rsid w:val="0003434C"/>
    <w:rsid w:val="00044AF6"/>
    <w:rsid w:val="0004715E"/>
    <w:rsid w:val="0004758E"/>
    <w:rsid w:val="000508A0"/>
    <w:rsid w:val="000529FC"/>
    <w:rsid w:val="000531B4"/>
    <w:rsid w:val="000579A8"/>
    <w:rsid w:val="00061D6A"/>
    <w:rsid w:val="00066B01"/>
    <w:rsid w:val="00073057"/>
    <w:rsid w:val="0007537D"/>
    <w:rsid w:val="00075A63"/>
    <w:rsid w:val="00076633"/>
    <w:rsid w:val="00082701"/>
    <w:rsid w:val="00085583"/>
    <w:rsid w:val="00085E8E"/>
    <w:rsid w:val="00091FEA"/>
    <w:rsid w:val="000A100E"/>
    <w:rsid w:val="000A2FA5"/>
    <w:rsid w:val="000A5856"/>
    <w:rsid w:val="000A75C6"/>
    <w:rsid w:val="000B18A7"/>
    <w:rsid w:val="000C7739"/>
    <w:rsid w:val="000D14CC"/>
    <w:rsid w:val="000D1B5A"/>
    <w:rsid w:val="000D6124"/>
    <w:rsid w:val="000D7B99"/>
    <w:rsid w:val="000E28AC"/>
    <w:rsid w:val="000E5553"/>
    <w:rsid w:val="000F3D2B"/>
    <w:rsid w:val="000F7E57"/>
    <w:rsid w:val="001150D6"/>
    <w:rsid w:val="00122339"/>
    <w:rsid w:val="001341B2"/>
    <w:rsid w:val="00136D84"/>
    <w:rsid w:val="001371EE"/>
    <w:rsid w:val="001500CD"/>
    <w:rsid w:val="00157834"/>
    <w:rsid w:val="00160A31"/>
    <w:rsid w:val="00163226"/>
    <w:rsid w:val="00163DAF"/>
    <w:rsid w:val="00164666"/>
    <w:rsid w:val="00185858"/>
    <w:rsid w:val="00193288"/>
    <w:rsid w:val="00197EC9"/>
    <w:rsid w:val="001A1506"/>
    <w:rsid w:val="001B0861"/>
    <w:rsid w:val="001B2D22"/>
    <w:rsid w:val="001B3342"/>
    <w:rsid w:val="001B3980"/>
    <w:rsid w:val="001B476D"/>
    <w:rsid w:val="001C1697"/>
    <w:rsid w:val="001C4B86"/>
    <w:rsid w:val="001C5505"/>
    <w:rsid w:val="001C5733"/>
    <w:rsid w:val="001C5AA2"/>
    <w:rsid w:val="001D4A12"/>
    <w:rsid w:val="001D6DC6"/>
    <w:rsid w:val="001D75DB"/>
    <w:rsid w:val="001E0DBC"/>
    <w:rsid w:val="001E3443"/>
    <w:rsid w:val="001F060E"/>
    <w:rsid w:val="001F7637"/>
    <w:rsid w:val="0020604C"/>
    <w:rsid w:val="00210F51"/>
    <w:rsid w:val="00212673"/>
    <w:rsid w:val="002137BC"/>
    <w:rsid w:val="00213887"/>
    <w:rsid w:val="00220581"/>
    <w:rsid w:val="002318A8"/>
    <w:rsid w:val="002470C5"/>
    <w:rsid w:val="00252A50"/>
    <w:rsid w:val="0025374D"/>
    <w:rsid w:val="002559E9"/>
    <w:rsid w:val="0026086E"/>
    <w:rsid w:val="00262DE2"/>
    <w:rsid w:val="00263F49"/>
    <w:rsid w:val="00263F8C"/>
    <w:rsid w:val="002656F0"/>
    <w:rsid w:val="002679AE"/>
    <w:rsid w:val="00275D36"/>
    <w:rsid w:val="00276BD4"/>
    <w:rsid w:val="00281B26"/>
    <w:rsid w:val="00282865"/>
    <w:rsid w:val="002923F0"/>
    <w:rsid w:val="002A12B1"/>
    <w:rsid w:val="002A1ADB"/>
    <w:rsid w:val="002A64AD"/>
    <w:rsid w:val="002A6AE7"/>
    <w:rsid w:val="002A77A4"/>
    <w:rsid w:val="002B43A2"/>
    <w:rsid w:val="002B5E7A"/>
    <w:rsid w:val="002C1737"/>
    <w:rsid w:val="002C26E8"/>
    <w:rsid w:val="002C299F"/>
    <w:rsid w:val="002C2AFF"/>
    <w:rsid w:val="002D27AE"/>
    <w:rsid w:val="002D330A"/>
    <w:rsid w:val="002D3D57"/>
    <w:rsid w:val="002E51E6"/>
    <w:rsid w:val="002F48FF"/>
    <w:rsid w:val="002F5B29"/>
    <w:rsid w:val="00300594"/>
    <w:rsid w:val="003031E3"/>
    <w:rsid w:val="0030344A"/>
    <w:rsid w:val="00305960"/>
    <w:rsid w:val="003073A1"/>
    <w:rsid w:val="003131FC"/>
    <w:rsid w:val="003143B8"/>
    <w:rsid w:val="00315CFF"/>
    <w:rsid w:val="00321911"/>
    <w:rsid w:val="003357EC"/>
    <w:rsid w:val="00336959"/>
    <w:rsid w:val="00342B68"/>
    <w:rsid w:val="00343238"/>
    <w:rsid w:val="00344527"/>
    <w:rsid w:val="0034591A"/>
    <w:rsid w:val="00345969"/>
    <w:rsid w:val="00350C47"/>
    <w:rsid w:val="003748EA"/>
    <w:rsid w:val="00383DD7"/>
    <w:rsid w:val="003921BA"/>
    <w:rsid w:val="003932FC"/>
    <w:rsid w:val="003943B9"/>
    <w:rsid w:val="0039793D"/>
    <w:rsid w:val="003A0189"/>
    <w:rsid w:val="003A18B8"/>
    <w:rsid w:val="003B253D"/>
    <w:rsid w:val="003B36D9"/>
    <w:rsid w:val="003B3EDB"/>
    <w:rsid w:val="003B7466"/>
    <w:rsid w:val="003D41B1"/>
    <w:rsid w:val="003E2CCB"/>
    <w:rsid w:val="003E4BFC"/>
    <w:rsid w:val="003F6BE1"/>
    <w:rsid w:val="003F6E9A"/>
    <w:rsid w:val="003F7C6F"/>
    <w:rsid w:val="00404453"/>
    <w:rsid w:val="00407AD1"/>
    <w:rsid w:val="004108D1"/>
    <w:rsid w:val="0041233C"/>
    <w:rsid w:val="00413233"/>
    <w:rsid w:val="0041737E"/>
    <w:rsid w:val="00425AE3"/>
    <w:rsid w:val="00432A99"/>
    <w:rsid w:val="004409BD"/>
    <w:rsid w:val="0045183E"/>
    <w:rsid w:val="004534C0"/>
    <w:rsid w:val="00454C89"/>
    <w:rsid w:val="004642C4"/>
    <w:rsid w:val="00472573"/>
    <w:rsid w:val="00486CC6"/>
    <w:rsid w:val="004963FC"/>
    <w:rsid w:val="004A1E4C"/>
    <w:rsid w:val="004A500A"/>
    <w:rsid w:val="004A7434"/>
    <w:rsid w:val="004B3D3F"/>
    <w:rsid w:val="004C05FD"/>
    <w:rsid w:val="004C7058"/>
    <w:rsid w:val="004E08D8"/>
    <w:rsid w:val="004E0D92"/>
    <w:rsid w:val="004E0FEC"/>
    <w:rsid w:val="004E540A"/>
    <w:rsid w:val="004E6190"/>
    <w:rsid w:val="004F0BDC"/>
    <w:rsid w:val="004F273D"/>
    <w:rsid w:val="004F2D0F"/>
    <w:rsid w:val="004F5C62"/>
    <w:rsid w:val="004F5E86"/>
    <w:rsid w:val="004F6045"/>
    <w:rsid w:val="004F6F2F"/>
    <w:rsid w:val="005010F9"/>
    <w:rsid w:val="00505CD0"/>
    <w:rsid w:val="00521DA6"/>
    <w:rsid w:val="00521F62"/>
    <w:rsid w:val="00524B9A"/>
    <w:rsid w:val="0052586C"/>
    <w:rsid w:val="0052709D"/>
    <w:rsid w:val="00527501"/>
    <w:rsid w:val="00527D37"/>
    <w:rsid w:val="0053585A"/>
    <w:rsid w:val="00535C06"/>
    <w:rsid w:val="00540754"/>
    <w:rsid w:val="0054375E"/>
    <w:rsid w:val="00560EE3"/>
    <w:rsid w:val="00562D56"/>
    <w:rsid w:val="00574127"/>
    <w:rsid w:val="00584371"/>
    <w:rsid w:val="00590922"/>
    <w:rsid w:val="00590BC5"/>
    <w:rsid w:val="00591C1B"/>
    <w:rsid w:val="005958B1"/>
    <w:rsid w:val="005965A9"/>
    <w:rsid w:val="005A2362"/>
    <w:rsid w:val="005A33F6"/>
    <w:rsid w:val="005A3445"/>
    <w:rsid w:val="005C34DA"/>
    <w:rsid w:val="005C6CAE"/>
    <w:rsid w:val="005D2DE6"/>
    <w:rsid w:val="005D46A4"/>
    <w:rsid w:val="005D65AE"/>
    <w:rsid w:val="005D779A"/>
    <w:rsid w:val="005D78B6"/>
    <w:rsid w:val="005E69D5"/>
    <w:rsid w:val="005F00EE"/>
    <w:rsid w:val="0060291B"/>
    <w:rsid w:val="00603541"/>
    <w:rsid w:val="00610298"/>
    <w:rsid w:val="006138C2"/>
    <w:rsid w:val="00614404"/>
    <w:rsid w:val="00623C3B"/>
    <w:rsid w:val="00634F27"/>
    <w:rsid w:val="00635A19"/>
    <w:rsid w:val="0063624D"/>
    <w:rsid w:val="00640A87"/>
    <w:rsid w:val="0064371C"/>
    <w:rsid w:val="00646807"/>
    <w:rsid w:val="006502F5"/>
    <w:rsid w:val="006522EE"/>
    <w:rsid w:val="006550B3"/>
    <w:rsid w:val="006611CE"/>
    <w:rsid w:val="0066697A"/>
    <w:rsid w:val="00671186"/>
    <w:rsid w:val="006919FD"/>
    <w:rsid w:val="00697674"/>
    <w:rsid w:val="00697C12"/>
    <w:rsid w:val="006A2EA6"/>
    <w:rsid w:val="006A7D31"/>
    <w:rsid w:val="006B279C"/>
    <w:rsid w:val="006B301D"/>
    <w:rsid w:val="006B4CBE"/>
    <w:rsid w:val="006C123C"/>
    <w:rsid w:val="006D342F"/>
    <w:rsid w:val="006D5A96"/>
    <w:rsid w:val="006E098A"/>
    <w:rsid w:val="006E7F79"/>
    <w:rsid w:val="00703E99"/>
    <w:rsid w:val="007148D0"/>
    <w:rsid w:val="00715574"/>
    <w:rsid w:val="00730E31"/>
    <w:rsid w:val="007317B2"/>
    <w:rsid w:val="00731B8B"/>
    <w:rsid w:val="00733FD8"/>
    <w:rsid w:val="00742EF7"/>
    <w:rsid w:val="00745E65"/>
    <w:rsid w:val="0075773D"/>
    <w:rsid w:val="00762EB0"/>
    <w:rsid w:val="00763634"/>
    <w:rsid w:val="007661CA"/>
    <w:rsid w:val="00771B47"/>
    <w:rsid w:val="00775BBF"/>
    <w:rsid w:val="0077746F"/>
    <w:rsid w:val="00780703"/>
    <w:rsid w:val="00787D87"/>
    <w:rsid w:val="00795B68"/>
    <w:rsid w:val="00797C5F"/>
    <w:rsid w:val="007A7D32"/>
    <w:rsid w:val="007B0499"/>
    <w:rsid w:val="007B4244"/>
    <w:rsid w:val="007B4343"/>
    <w:rsid w:val="007B52F9"/>
    <w:rsid w:val="007B53BF"/>
    <w:rsid w:val="007B5D58"/>
    <w:rsid w:val="007C28CD"/>
    <w:rsid w:val="007D0CDC"/>
    <w:rsid w:val="007D54E8"/>
    <w:rsid w:val="007D69FA"/>
    <w:rsid w:val="007F3E18"/>
    <w:rsid w:val="007F7DF2"/>
    <w:rsid w:val="0080047B"/>
    <w:rsid w:val="0080053F"/>
    <w:rsid w:val="00802E21"/>
    <w:rsid w:val="00804A11"/>
    <w:rsid w:val="00806DE7"/>
    <w:rsid w:val="0081532E"/>
    <w:rsid w:val="00817CB4"/>
    <w:rsid w:val="00823F73"/>
    <w:rsid w:val="0083396B"/>
    <w:rsid w:val="00838EE8"/>
    <w:rsid w:val="0084246A"/>
    <w:rsid w:val="00842924"/>
    <w:rsid w:val="00844530"/>
    <w:rsid w:val="00845E13"/>
    <w:rsid w:val="00853B77"/>
    <w:rsid w:val="00863A1C"/>
    <w:rsid w:val="00865346"/>
    <w:rsid w:val="008726E2"/>
    <w:rsid w:val="00874EF2"/>
    <w:rsid w:val="00877DEB"/>
    <w:rsid w:val="00881978"/>
    <w:rsid w:val="00891C26"/>
    <w:rsid w:val="008A340B"/>
    <w:rsid w:val="008A4BFA"/>
    <w:rsid w:val="008C0136"/>
    <w:rsid w:val="008C5C61"/>
    <w:rsid w:val="008C5F74"/>
    <w:rsid w:val="008D23EF"/>
    <w:rsid w:val="008F1E78"/>
    <w:rsid w:val="009006D0"/>
    <w:rsid w:val="00900CEB"/>
    <w:rsid w:val="00901119"/>
    <w:rsid w:val="00902018"/>
    <w:rsid w:val="00910999"/>
    <w:rsid w:val="00911E12"/>
    <w:rsid w:val="00914B07"/>
    <w:rsid w:val="009175A9"/>
    <w:rsid w:val="00921640"/>
    <w:rsid w:val="009218C0"/>
    <w:rsid w:val="00922830"/>
    <w:rsid w:val="009327FE"/>
    <w:rsid w:val="00932BD0"/>
    <w:rsid w:val="00941206"/>
    <w:rsid w:val="009426C5"/>
    <w:rsid w:val="00943F11"/>
    <w:rsid w:val="00944692"/>
    <w:rsid w:val="009459BC"/>
    <w:rsid w:val="00952F67"/>
    <w:rsid w:val="0095530D"/>
    <w:rsid w:val="00957DE4"/>
    <w:rsid w:val="00962544"/>
    <w:rsid w:val="009672A1"/>
    <w:rsid w:val="0097310B"/>
    <w:rsid w:val="009832F1"/>
    <w:rsid w:val="009920E6"/>
    <w:rsid w:val="009A1806"/>
    <w:rsid w:val="009A499A"/>
    <w:rsid w:val="009B02F7"/>
    <w:rsid w:val="009B4DAF"/>
    <w:rsid w:val="009B4DE2"/>
    <w:rsid w:val="009C01BF"/>
    <w:rsid w:val="009C2416"/>
    <w:rsid w:val="009C2EA1"/>
    <w:rsid w:val="009C57A9"/>
    <w:rsid w:val="009C5E31"/>
    <w:rsid w:val="009C662B"/>
    <w:rsid w:val="009C6827"/>
    <w:rsid w:val="009C7843"/>
    <w:rsid w:val="009D0ED8"/>
    <w:rsid w:val="009D3A40"/>
    <w:rsid w:val="009D5069"/>
    <w:rsid w:val="009D7758"/>
    <w:rsid w:val="009E30CD"/>
    <w:rsid w:val="009E3426"/>
    <w:rsid w:val="009E3EE8"/>
    <w:rsid w:val="009E7701"/>
    <w:rsid w:val="009F72B9"/>
    <w:rsid w:val="00A02796"/>
    <w:rsid w:val="00A02BB7"/>
    <w:rsid w:val="00A069F0"/>
    <w:rsid w:val="00A07045"/>
    <w:rsid w:val="00A11E4B"/>
    <w:rsid w:val="00A174E3"/>
    <w:rsid w:val="00A213B6"/>
    <w:rsid w:val="00A23858"/>
    <w:rsid w:val="00A2470F"/>
    <w:rsid w:val="00A34D47"/>
    <w:rsid w:val="00A41A05"/>
    <w:rsid w:val="00A43B64"/>
    <w:rsid w:val="00A45274"/>
    <w:rsid w:val="00A47417"/>
    <w:rsid w:val="00A47E36"/>
    <w:rsid w:val="00A5101E"/>
    <w:rsid w:val="00A5235D"/>
    <w:rsid w:val="00A60EA6"/>
    <w:rsid w:val="00A60F91"/>
    <w:rsid w:val="00A62134"/>
    <w:rsid w:val="00A63B52"/>
    <w:rsid w:val="00A63DC2"/>
    <w:rsid w:val="00A66E29"/>
    <w:rsid w:val="00A67B60"/>
    <w:rsid w:val="00A73DE2"/>
    <w:rsid w:val="00A7583E"/>
    <w:rsid w:val="00A7743A"/>
    <w:rsid w:val="00A7E710"/>
    <w:rsid w:val="00A83212"/>
    <w:rsid w:val="00A9171E"/>
    <w:rsid w:val="00A920B1"/>
    <w:rsid w:val="00AB0AE2"/>
    <w:rsid w:val="00AB16B8"/>
    <w:rsid w:val="00AB1766"/>
    <w:rsid w:val="00AB51A2"/>
    <w:rsid w:val="00AB76A4"/>
    <w:rsid w:val="00AB77E5"/>
    <w:rsid w:val="00AC2284"/>
    <w:rsid w:val="00AC67A3"/>
    <w:rsid w:val="00AD0B5D"/>
    <w:rsid w:val="00AF121B"/>
    <w:rsid w:val="00AF3007"/>
    <w:rsid w:val="00AF71F9"/>
    <w:rsid w:val="00B06660"/>
    <w:rsid w:val="00B10CAD"/>
    <w:rsid w:val="00B11EC3"/>
    <w:rsid w:val="00B25633"/>
    <w:rsid w:val="00B349F8"/>
    <w:rsid w:val="00B36215"/>
    <w:rsid w:val="00B50E5E"/>
    <w:rsid w:val="00B5524B"/>
    <w:rsid w:val="00B562D1"/>
    <w:rsid w:val="00B60083"/>
    <w:rsid w:val="00B61289"/>
    <w:rsid w:val="00B612DA"/>
    <w:rsid w:val="00B6709A"/>
    <w:rsid w:val="00B7185F"/>
    <w:rsid w:val="00B75E8B"/>
    <w:rsid w:val="00B8573D"/>
    <w:rsid w:val="00BA204C"/>
    <w:rsid w:val="00BA4643"/>
    <w:rsid w:val="00BA4C2B"/>
    <w:rsid w:val="00BA5228"/>
    <w:rsid w:val="00BB451E"/>
    <w:rsid w:val="00BC2448"/>
    <w:rsid w:val="00BC6D89"/>
    <w:rsid w:val="00BD5959"/>
    <w:rsid w:val="00BD6E18"/>
    <w:rsid w:val="00BD7ABE"/>
    <w:rsid w:val="00BE6863"/>
    <w:rsid w:val="00BF1962"/>
    <w:rsid w:val="00BF6C5B"/>
    <w:rsid w:val="00BF7E5A"/>
    <w:rsid w:val="00C064DE"/>
    <w:rsid w:val="00C07BC2"/>
    <w:rsid w:val="00C1181F"/>
    <w:rsid w:val="00C119EC"/>
    <w:rsid w:val="00C1552D"/>
    <w:rsid w:val="00C25FA6"/>
    <w:rsid w:val="00C27B6D"/>
    <w:rsid w:val="00C32DE9"/>
    <w:rsid w:val="00C427DE"/>
    <w:rsid w:val="00C53941"/>
    <w:rsid w:val="00C548E8"/>
    <w:rsid w:val="00C55709"/>
    <w:rsid w:val="00C55D54"/>
    <w:rsid w:val="00C579DD"/>
    <w:rsid w:val="00C70663"/>
    <w:rsid w:val="00C70717"/>
    <w:rsid w:val="00C72181"/>
    <w:rsid w:val="00C74562"/>
    <w:rsid w:val="00C766DE"/>
    <w:rsid w:val="00C82AC7"/>
    <w:rsid w:val="00C82C3A"/>
    <w:rsid w:val="00C8785C"/>
    <w:rsid w:val="00C947F8"/>
    <w:rsid w:val="00C94D26"/>
    <w:rsid w:val="00CA2CF5"/>
    <w:rsid w:val="00CA7840"/>
    <w:rsid w:val="00CB020B"/>
    <w:rsid w:val="00CB33BA"/>
    <w:rsid w:val="00CB4B0B"/>
    <w:rsid w:val="00CC307E"/>
    <w:rsid w:val="00CD0C09"/>
    <w:rsid w:val="00CD7D59"/>
    <w:rsid w:val="00CE7B7A"/>
    <w:rsid w:val="00CF116E"/>
    <w:rsid w:val="00CF31A8"/>
    <w:rsid w:val="00CF40FC"/>
    <w:rsid w:val="00D06FDA"/>
    <w:rsid w:val="00D11558"/>
    <w:rsid w:val="00D1334D"/>
    <w:rsid w:val="00D1512C"/>
    <w:rsid w:val="00D20182"/>
    <w:rsid w:val="00D22BC3"/>
    <w:rsid w:val="00D258F1"/>
    <w:rsid w:val="00D43D9C"/>
    <w:rsid w:val="00D50739"/>
    <w:rsid w:val="00D51793"/>
    <w:rsid w:val="00D5219D"/>
    <w:rsid w:val="00D53981"/>
    <w:rsid w:val="00D548FC"/>
    <w:rsid w:val="00D560DC"/>
    <w:rsid w:val="00D571DC"/>
    <w:rsid w:val="00D65171"/>
    <w:rsid w:val="00D67D1B"/>
    <w:rsid w:val="00D8102A"/>
    <w:rsid w:val="00D82F66"/>
    <w:rsid w:val="00D83C95"/>
    <w:rsid w:val="00D84A24"/>
    <w:rsid w:val="00D96CAD"/>
    <w:rsid w:val="00DA0159"/>
    <w:rsid w:val="00DA18C9"/>
    <w:rsid w:val="00DA5604"/>
    <w:rsid w:val="00DB0470"/>
    <w:rsid w:val="00DB3C5A"/>
    <w:rsid w:val="00DB5904"/>
    <w:rsid w:val="00DB5D01"/>
    <w:rsid w:val="00DB786A"/>
    <w:rsid w:val="00DE0B73"/>
    <w:rsid w:val="00DF1120"/>
    <w:rsid w:val="00DF4C0C"/>
    <w:rsid w:val="00DF627D"/>
    <w:rsid w:val="00DF666F"/>
    <w:rsid w:val="00E0199B"/>
    <w:rsid w:val="00E06927"/>
    <w:rsid w:val="00E06FAF"/>
    <w:rsid w:val="00E220B4"/>
    <w:rsid w:val="00E259CC"/>
    <w:rsid w:val="00E32A38"/>
    <w:rsid w:val="00E32FFD"/>
    <w:rsid w:val="00E40C02"/>
    <w:rsid w:val="00E4133F"/>
    <w:rsid w:val="00E43BF5"/>
    <w:rsid w:val="00E47880"/>
    <w:rsid w:val="00E47EE2"/>
    <w:rsid w:val="00E549DA"/>
    <w:rsid w:val="00E57135"/>
    <w:rsid w:val="00E64760"/>
    <w:rsid w:val="00E65022"/>
    <w:rsid w:val="00E6738F"/>
    <w:rsid w:val="00E71EDE"/>
    <w:rsid w:val="00E77D9C"/>
    <w:rsid w:val="00E924C2"/>
    <w:rsid w:val="00E97D38"/>
    <w:rsid w:val="00EA1813"/>
    <w:rsid w:val="00EA199C"/>
    <w:rsid w:val="00EA23A1"/>
    <w:rsid w:val="00EA3214"/>
    <w:rsid w:val="00EA3907"/>
    <w:rsid w:val="00EA446F"/>
    <w:rsid w:val="00EA79FE"/>
    <w:rsid w:val="00EC61B5"/>
    <w:rsid w:val="00ED1EBA"/>
    <w:rsid w:val="00ED1FB8"/>
    <w:rsid w:val="00ED24C1"/>
    <w:rsid w:val="00ED2F56"/>
    <w:rsid w:val="00EE0551"/>
    <w:rsid w:val="00EE45C1"/>
    <w:rsid w:val="00EF10C4"/>
    <w:rsid w:val="00EF16B7"/>
    <w:rsid w:val="00EF550A"/>
    <w:rsid w:val="00F019FC"/>
    <w:rsid w:val="00F03E7F"/>
    <w:rsid w:val="00F15680"/>
    <w:rsid w:val="00F176FC"/>
    <w:rsid w:val="00F2798D"/>
    <w:rsid w:val="00F37052"/>
    <w:rsid w:val="00F40A35"/>
    <w:rsid w:val="00F47101"/>
    <w:rsid w:val="00F52282"/>
    <w:rsid w:val="00F52C02"/>
    <w:rsid w:val="00F555B9"/>
    <w:rsid w:val="00F57682"/>
    <w:rsid w:val="00F62279"/>
    <w:rsid w:val="00F64FDB"/>
    <w:rsid w:val="00F6688D"/>
    <w:rsid w:val="00F80CF2"/>
    <w:rsid w:val="00F86910"/>
    <w:rsid w:val="00F90FE9"/>
    <w:rsid w:val="00F9599E"/>
    <w:rsid w:val="00FA18A5"/>
    <w:rsid w:val="00FA3109"/>
    <w:rsid w:val="00FA7DBD"/>
    <w:rsid w:val="00FB1D7F"/>
    <w:rsid w:val="00FB2642"/>
    <w:rsid w:val="00FB7C1E"/>
    <w:rsid w:val="00FC054C"/>
    <w:rsid w:val="00FC4A1C"/>
    <w:rsid w:val="00FC7110"/>
    <w:rsid w:val="00FD4E53"/>
    <w:rsid w:val="00FF1EF5"/>
    <w:rsid w:val="00FF1F02"/>
    <w:rsid w:val="00FF2EB2"/>
    <w:rsid w:val="00FF5DFB"/>
    <w:rsid w:val="00FF6E67"/>
    <w:rsid w:val="00FF7EE7"/>
    <w:rsid w:val="01907493"/>
    <w:rsid w:val="01A5E781"/>
    <w:rsid w:val="01FEA597"/>
    <w:rsid w:val="0200F8A0"/>
    <w:rsid w:val="021FB859"/>
    <w:rsid w:val="043CC02C"/>
    <w:rsid w:val="0506C396"/>
    <w:rsid w:val="057BE849"/>
    <w:rsid w:val="057F75DB"/>
    <w:rsid w:val="06F539DF"/>
    <w:rsid w:val="0701BDD3"/>
    <w:rsid w:val="07467B6B"/>
    <w:rsid w:val="074E7396"/>
    <w:rsid w:val="077918BD"/>
    <w:rsid w:val="0956EF38"/>
    <w:rsid w:val="09A601D2"/>
    <w:rsid w:val="0B1116CB"/>
    <w:rsid w:val="0C2C0D73"/>
    <w:rsid w:val="0C49676C"/>
    <w:rsid w:val="0D1BE610"/>
    <w:rsid w:val="0D2F62E7"/>
    <w:rsid w:val="0D758223"/>
    <w:rsid w:val="0E64BF2E"/>
    <w:rsid w:val="0E651148"/>
    <w:rsid w:val="0EE82E43"/>
    <w:rsid w:val="107F1291"/>
    <w:rsid w:val="11D61358"/>
    <w:rsid w:val="12E6EA9A"/>
    <w:rsid w:val="13308644"/>
    <w:rsid w:val="17FFBDBB"/>
    <w:rsid w:val="1849D650"/>
    <w:rsid w:val="186410BD"/>
    <w:rsid w:val="18A16787"/>
    <w:rsid w:val="18D229B5"/>
    <w:rsid w:val="19AF495F"/>
    <w:rsid w:val="1B1EF41F"/>
    <w:rsid w:val="1BC39CD5"/>
    <w:rsid w:val="1C5D9688"/>
    <w:rsid w:val="1C674926"/>
    <w:rsid w:val="1CCFEC6B"/>
    <w:rsid w:val="1D981D66"/>
    <w:rsid w:val="1E12C82B"/>
    <w:rsid w:val="1FB0D124"/>
    <w:rsid w:val="20D2B792"/>
    <w:rsid w:val="20DF21E0"/>
    <w:rsid w:val="218C89E1"/>
    <w:rsid w:val="222305F3"/>
    <w:rsid w:val="236FB3B4"/>
    <w:rsid w:val="23CD3B75"/>
    <w:rsid w:val="255863BC"/>
    <w:rsid w:val="255A3588"/>
    <w:rsid w:val="25D496A4"/>
    <w:rsid w:val="266C9583"/>
    <w:rsid w:val="272DD76A"/>
    <w:rsid w:val="27A3BE2A"/>
    <w:rsid w:val="28237367"/>
    <w:rsid w:val="29ABB0FB"/>
    <w:rsid w:val="29CC364A"/>
    <w:rsid w:val="2BDFC4DB"/>
    <w:rsid w:val="2CC9399E"/>
    <w:rsid w:val="2D276389"/>
    <w:rsid w:val="2E599495"/>
    <w:rsid w:val="2ED24941"/>
    <w:rsid w:val="2F031D07"/>
    <w:rsid w:val="2F6FDE8A"/>
    <w:rsid w:val="2FB90E03"/>
    <w:rsid w:val="30F5C24D"/>
    <w:rsid w:val="332CE0C9"/>
    <w:rsid w:val="335B68FA"/>
    <w:rsid w:val="33D932CE"/>
    <w:rsid w:val="34B78B37"/>
    <w:rsid w:val="35027882"/>
    <w:rsid w:val="354075C9"/>
    <w:rsid w:val="36624C04"/>
    <w:rsid w:val="36B4E279"/>
    <w:rsid w:val="38127EB5"/>
    <w:rsid w:val="384EE084"/>
    <w:rsid w:val="38E54BC9"/>
    <w:rsid w:val="39475517"/>
    <w:rsid w:val="39A8EA05"/>
    <w:rsid w:val="3A4C9976"/>
    <w:rsid w:val="3AE335CE"/>
    <w:rsid w:val="3C89BA62"/>
    <w:rsid w:val="3CE3C4DB"/>
    <w:rsid w:val="3CEB2293"/>
    <w:rsid w:val="3D11BE49"/>
    <w:rsid w:val="3DCC3A59"/>
    <w:rsid w:val="3DFE26FF"/>
    <w:rsid w:val="3E27C393"/>
    <w:rsid w:val="3F71DDC5"/>
    <w:rsid w:val="40677501"/>
    <w:rsid w:val="40C1853A"/>
    <w:rsid w:val="42FAD398"/>
    <w:rsid w:val="43FF2915"/>
    <w:rsid w:val="4560B0A3"/>
    <w:rsid w:val="45734FF4"/>
    <w:rsid w:val="45980704"/>
    <w:rsid w:val="46662631"/>
    <w:rsid w:val="46C09FBD"/>
    <w:rsid w:val="473B5230"/>
    <w:rsid w:val="47C6F409"/>
    <w:rsid w:val="4837684C"/>
    <w:rsid w:val="4856AEA2"/>
    <w:rsid w:val="48AC9D8F"/>
    <w:rsid w:val="48DCD9C8"/>
    <w:rsid w:val="48E88A4B"/>
    <w:rsid w:val="4A23B0EE"/>
    <w:rsid w:val="4A9607EF"/>
    <w:rsid w:val="4AC2C1DD"/>
    <w:rsid w:val="4B27A58F"/>
    <w:rsid w:val="4B397000"/>
    <w:rsid w:val="4B70314C"/>
    <w:rsid w:val="4BA015C2"/>
    <w:rsid w:val="4BBC1D5C"/>
    <w:rsid w:val="4C0C4B1A"/>
    <w:rsid w:val="4C2F4DD2"/>
    <w:rsid w:val="4C5C4943"/>
    <w:rsid w:val="4CB9F7B6"/>
    <w:rsid w:val="4E82DB3A"/>
    <w:rsid w:val="4EBD6C81"/>
    <w:rsid w:val="4ECCC20A"/>
    <w:rsid w:val="4F00F907"/>
    <w:rsid w:val="4F1CAE69"/>
    <w:rsid w:val="500B93C8"/>
    <w:rsid w:val="50B97B13"/>
    <w:rsid w:val="519447DD"/>
    <w:rsid w:val="521E779C"/>
    <w:rsid w:val="52921BD6"/>
    <w:rsid w:val="52F7025F"/>
    <w:rsid w:val="53332CAF"/>
    <w:rsid w:val="55FBF8C4"/>
    <w:rsid w:val="56883FF0"/>
    <w:rsid w:val="570F4736"/>
    <w:rsid w:val="57DC1BDE"/>
    <w:rsid w:val="57DFF98C"/>
    <w:rsid w:val="59E75E0B"/>
    <w:rsid w:val="5BECC123"/>
    <w:rsid w:val="5D32BF21"/>
    <w:rsid w:val="5D8C9C4A"/>
    <w:rsid w:val="5E540BEB"/>
    <w:rsid w:val="5EC26359"/>
    <w:rsid w:val="6026C2AE"/>
    <w:rsid w:val="61027E77"/>
    <w:rsid w:val="6283F5B9"/>
    <w:rsid w:val="62C8D34A"/>
    <w:rsid w:val="62E90BB0"/>
    <w:rsid w:val="641BB827"/>
    <w:rsid w:val="65A30CA4"/>
    <w:rsid w:val="65FC33C2"/>
    <w:rsid w:val="66AD7F8B"/>
    <w:rsid w:val="66BD3FC4"/>
    <w:rsid w:val="66E26986"/>
    <w:rsid w:val="67621AB9"/>
    <w:rsid w:val="689366F2"/>
    <w:rsid w:val="68C6A0FD"/>
    <w:rsid w:val="690F3BC6"/>
    <w:rsid w:val="69119CEE"/>
    <w:rsid w:val="694C9327"/>
    <w:rsid w:val="697D6514"/>
    <w:rsid w:val="6987A52A"/>
    <w:rsid w:val="6A6B09AA"/>
    <w:rsid w:val="6BC5CC54"/>
    <w:rsid w:val="6C4AE996"/>
    <w:rsid w:val="6C676D6E"/>
    <w:rsid w:val="6D8BD6E7"/>
    <w:rsid w:val="6E9A5A30"/>
    <w:rsid w:val="6F20E253"/>
    <w:rsid w:val="6F7EC06A"/>
    <w:rsid w:val="7049E01A"/>
    <w:rsid w:val="71869B17"/>
    <w:rsid w:val="71D755E2"/>
    <w:rsid w:val="72ABDD59"/>
    <w:rsid w:val="72BBB057"/>
    <w:rsid w:val="7331392C"/>
    <w:rsid w:val="7400F3FA"/>
    <w:rsid w:val="74767268"/>
    <w:rsid w:val="74AB177F"/>
    <w:rsid w:val="74D6E314"/>
    <w:rsid w:val="7503AEDF"/>
    <w:rsid w:val="752075C9"/>
    <w:rsid w:val="7538CE27"/>
    <w:rsid w:val="758819B6"/>
    <w:rsid w:val="77449750"/>
    <w:rsid w:val="7757D844"/>
    <w:rsid w:val="776EFE72"/>
    <w:rsid w:val="77862924"/>
    <w:rsid w:val="7A0ABBFA"/>
    <w:rsid w:val="7B11D855"/>
    <w:rsid w:val="7C419F4F"/>
    <w:rsid w:val="7CD1E1C3"/>
    <w:rsid w:val="7D5D7FFB"/>
    <w:rsid w:val="7D82FC04"/>
    <w:rsid w:val="7DB152FA"/>
    <w:rsid w:val="7F19C62E"/>
    <w:rsid w:val="7F839A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2671A0D5-C6C9-4561-99C3-6DC19088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642"/>
    <w:rPr>
      <w:rFonts w:ascii="Arial" w:hAnsi="Arial"/>
      <w:sz w:val="22"/>
    </w:rPr>
  </w:style>
  <w:style w:type="paragraph" w:styleId="Heading1">
    <w:name w:val="heading 1"/>
    <w:basedOn w:val="Normal"/>
    <w:next w:val="Normal"/>
    <w:link w:val="Heading1Char"/>
    <w:qFormat/>
    <w:rsid w:val="001F7637"/>
    <w:pPr>
      <w:keepNext/>
      <w:keepLines/>
      <w:numPr>
        <w:numId w:val="27"/>
      </w:numPr>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BE6863"/>
    <w:pPr>
      <w:numPr>
        <w:ilvl w:val="1"/>
      </w:numPr>
      <w:spacing w:before="120" w:after="120" w:line="340" w:lineRule="atLeast"/>
      <w:outlineLvl w:val="1"/>
    </w:pPr>
    <w:rPr>
      <w:sz w:val="24"/>
      <w:szCs w:val="26"/>
    </w:rPr>
  </w:style>
  <w:style w:type="paragraph" w:styleId="Heading3">
    <w:name w:val="heading 3"/>
    <w:basedOn w:val="Heading2"/>
    <w:next w:val="Normal"/>
    <w:link w:val="Heading3Char"/>
    <w:unhideWhenUsed/>
    <w:qFormat/>
    <w:rsid w:val="00407AD1"/>
    <w:pPr>
      <w:numPr>
        <w:ilvl w:val="2"/>
      </w:num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numPr>
        <w:ilvl w:val="3"/>
      </w:num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numPr>
        <w:ilvl w:val="4"/>
      </w:num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numPr>
        <w:ilvl w:val="5"/>
        <w:numId w:val="27"/>
      </w:numPr>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numPr>
        <w:ilvl w:val="6"/>
        <w:numId w:val="27"/>
      </w:numPr>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numPr>
        <w:ilvl w:val="7"/>
        <w:numId w:val="27"/>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numPr>
        <w:ilvl w:val="8"/>
        <w:numId w:val="27"/>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574127"/>
    <w:rPr>
      <w:rFonts w:ascii="Arial" w:hAnsi="Arial"/>
      <w:b/>
      <w:bCs/>
      <w:sz w:val="22"/>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numId w:val="0"/>
      </w:numPr>
      <w:spacing w:before="0" w:after="320" w:line="560" w:lineRule="atLeast"/>
      <w:ind w:left="576" w:hanging="576"/>
    </w:pPr>
    <w:rPr>
      <w:color w:val="212A4C" w:themeColor="text2"/>
      <w:sz w:val="44"/>
      <w:szCs w:val="22"/>
    </w:rPr>
  </w:style>
  <w:style w:type="character" w:customStyle="1" w:styleId="SubtitleChar">
    <w:name w:val="Subtitle Char"/>
    <w:basedOn w:val="DefaultParagraphFont"/>
    <w:link w:val="Subtitle"/>
    <w:rsid w:val="00F64FDB"/>
    <w:rPr>
      <w:rFonts w:ascii="Arial" w:eastAsiaTheme="majorEastAsia" w:hAnsi="Arial" w:cstheme="majorBidi"/>
      <w:b/>
      <w:color w:val="212A4C" w:themeColor="text2"/>
      <w:sz w:val="44"/>
      <w:szCs w:val="22"/>
    </w:rPr>
  </w:style>
  <w:style w:type="paragraph" w:styleId="Title">
    <w:name w:val="Title"/>
    <w:next w:val="Normal"/>
    <w:link w:val="TitleChar"/>
    <w:qFormat/>
    <w:rsid w:val="0004758E"/>
    <w:pPr>
      <w:spacing w:before="0" w:after="0" w:line="240" w:lineRule="auto"/>
      <w:contextualSpacing/>
    </w:pPr>
    <w:rPr>
      <w:rFonts w:ascii="Arial" w:eastAsiaTheme="majorEastAsia" w:hAnsi="Arial" w:cstheme="majorBidi"/>
      <w:b/>
      <w:color w:val="3F4A75"/>
      <w:spacing w:val="-10"/>
      <w:kern w:val="28"/>
      <w:sz w:val="48"/>
      <w:szCs w:val="52"/>
      <w:lang w:eastAsia="en-US"/>
    </w:rPr>
  </w:style>
  <w:style w:type="character" w:customStyle="1" w:styleId="TitleChar">
    <w:name w:val="Title Char"/>
    <w:basedOn w:val="DefaultParagraphFont"/>
    <w:link w:val="Title"/>
    <w:rsid w:val="0004758E"/>
    <w:rPr>
      <w:rFonts w:ascii="Arial" w:eastAsiaTheme="majorEastAsia" w:hAnsi="Arial" w:cstheme="majorBidi"/>
      <w:b/>
      <w:color w:val="3F4A75"/>
      <w:spacing w:val="-10"/>
      <w:kern w:val="28"/>
      <w:sz w:val="48"/>
      <w:szCs w:val="52"/>
      <w:lang w:eastAsia="en-US"/>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rsid w:val="00BE6863"/>
    <w:rPr>
      <w:rFonts w:ascii="Arial" w:eastAsiaTheme="majorEastAsia" w:hAnsi="Arial" w:cstheme="majorBidi"/>
      <w:b/>
      <w:sz w:val="24"/>
      <w:szCs w:val="26"/>
    </w:rPr>
  </w:style>
  <w:style w:type="character" w:customStyle="1" w:styleId="Heading1Char">
    <w:name w:val="Heading 1 Char"/>
    <w:basedOn w:val="DefaultParagraphFont"/>
    <w:link w:val="Heading1"/>
    <w:rsid w:val="0004758E"/>
    <w:rPr>
      <w:rFonts w:ascii="Arial" w:eastAsiaTheme="majorEastAsia" w:hAnsi="Arial" w:cstheme="majorBidi"/>
      <w:b/>
      <w:sz w:val="32"/>
      <w:szCs w:val="32"/>
    </w:rPr>
  </w:style>
  <w:style w:type="character" w:customStyle="1" w:styleId="Heading3Char">
    <w:name w:val="Heading 3 Char"/>
    <w:basedOn w:val="DefaultParagraphFont"/>
    <w:link w:val="Heading3"/>
    <w:rsid w:val="00407AD1"/>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4"/>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4"/>
      </w:numPr>
    </w:pPr>
  </w:style>
  <w:style w:type="paragraph" w:customStyle="1" w:styleId="NumberedList2">
    <w:name w:val="Numbered List 2"/>
    <w:basedOn w:val="Normal"/>
    <w:uiPriority w:val="2"/>
    <w:qFormat/>
    <w:rsid w:val="00574127"/>
    <w:pPr>
      <w:numPr>
        <w:ilvl w:val="1"/>
        <w:numId w:val="7"/>
      </w:numPr>
      <w:spacing w:before="80"/>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5"/>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6"/>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next w:val="Normal"/>
    <w:uiPriority w:val="39"/>
    <w:unhideWhenUsed/>
    <w:qFormat/>
    <w:rsid w:val="0004758E"/>
    <w:pPr>
      <w:spacing w:before="720"/>
    </w:pPr>
    <w:rPr>
      <w:rFonts w:ascii="Arial" w:eastAsiaTheme="majorEastAsia" w:hAnsi="Arial" w:cstheme="majorBidi"/>
      <w:b/>
      <w:sz w:val="32"/>
      <w:szCs w:val="32"/>
    </w:r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04758E"/>
    <w:rPr>
      <w:rFonts w:ascii="Arial" w:hAnsi="Arial"/>
      <w:color w:val="176CB5" w:themeColor="accent3"/>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Guidelinessub">
    <w:name w:val="Guidelines sub"/>
    <w:basedOn w:val="Heading2"/>
    <w:link w:val="GuidelinessubChar"/>
    <w:qFormat/>
    <w:rsid w:val="00817CB4"/>
    <w:pPr>
      <w:spacing w:before="40" w:after="0" w:line="259" w:lineRule="auto"/>
      <w:ind w:left="720" w:hanging="720"/>
    </w:pPr>
    <w:rPr>
      <w:rFonts w:asciiTheme="minorHAnsi" w:hAnsiTheme="minorHAnsi"/>
      <w:bCs/>
      <w:color w:val="264F90" w:themeColor="accent2"/>
      <w:kern w:val="2"/>
      <w:sz w:val="28"/>
      <w:szCs w:val="28"/>
      <w:lang w:eastAsia="en-US"/>
      <w14:ligatures w14:val="standardContextual"/>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817CB4"/>
    <w:pPr>
      <w:spacing w:before="0" w:after="160" w:line="259" w:lineRule="auto"/>
      <w:ind w:left="720"/>
      <w:contextualSpacing/>
    </w:pPr>
    <w:rPr>
      <w:rFonts w:asciiTheme="minorHAnsi" w:eastAsiaTheme="minorHAnsi" w:hAnsiTheme="minorHAnsi" w:cs="Times New Roman"/>
      <w:color w:val="auto"/>
      <w:kern w:val="2"/>
      <w:szCs w:val="24"/>
      <w:lang w:eastAsia="en-US"/>
      <w14:ligatures w14:val="standardContextu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paragraph" w:customStyle="1" w:styleId="paragraph">
    <w:name w:val="paragraph"/>
    <w:basedOn w:val="Normal"/>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paragraph" w:customStyle="1" w:styleId="Paragraphtext">
    <w:name w:val="Paragraph text"/>
    <w:basedOn w:val="Normal"/>
    <w:qFormat/>
    <w:rsid w:val="00817CB4"/>
    <w:pPr>
      <w:spacing w:before="120" w:after="60" w:line="240" w:lineRule="auto"/>
    </w:pPr>
    <w:rPr>
      <w:rFonts w:eastAsia="Times New Roman" w:cs="Times New Roman"/>
      <w:sz w:val="21"/>
      <w:szCs w:val="24"/>
      <w:lang w:eastAsia="en-US"/>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qFormat/>
    <w:rsid w:val="00817CB4"/>
    <w:rPr>
      <w:rFonts w:eastAsiaTheme="minorHAnsi" w:cs="Times New Roman"/>
      <w:color w:val="auto"/>
      <w:kern w:val="2"/>
      <w:sz w:val="24"/>
      <w:szCs w:val="24"/>
      <w:lang w:eastAsia="en-US"/>
      <w14:ligatures w14:val="standardContextual"/>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GuidelinesHeading">
    <w:name w:val="Guidelines Heading"/>
    <w:basedOn w:val="Heading1"/>
    <w:link w:val="GuidelinesHeadingChar"/>
    <w:qFormat/>
    <w:rsid w:val="00817CB4"/>
    <w:pPr>
      <w:spacing w:before="240" w:after="0" w:line="259" w:lineRule="auto"/>
    </w:pPr>
    <w:rPr>
      <w:rFonts w:cstheme="minorHAnsi"/>
      <w:bCs/>
      <w:color w:val="212A4C" w:themeColor="accent1"/>
      <w:kern w:val="2"/>
      <w:sz w:val="28"/>
      <w:szCs w:val="28"/>
      <w:lang w:eastAsia="en-US"/>
      <w14:ligatures w14:val="standardContextual"/>
    </w:rPr>
  </w:style>
  <w:style w:type="character" w:customStyle="1" w:styleId="GuidelinesHeadingChar">
    <w:name w:val="Guidelines Heading Char"/>
    <w:basedOn w:val="Heading1Char"/>
    <w:link w:val="GuidelinesHeading"/>
    <w:rsid w:val="00817CB4"/>
    <w:rPr>
      <w:rFonts w:ascii="Arial" w:eastAsiaTheme="majorEastAsia" w:hAnsi="Arial" w:cstheme="minorHAnsi"/>
      <w:b/>
      <w:bCs/>
      <w:color w:val="212A4C" w:themeColor="accent1"/>
      <w:kern w:val="2"/>
      <w:sz w:val="28"/>
      <w:szCs w:val="28"/>
      <w:lang w:eastAsia="en-US"/>
      <w14:ligatures w14:val="standardContextual"/>
    </w:rPr>
  </w:style>
  <w:style w:type="paragraph" w:customStyle="1" w:styleId="Guidelines2">
    <w:name w:val="Guidelines 2"/>
    <w:basedOn w:val="Normal"/>
    <w:link w:val="Guidelines2Char"/>
    <w:qFormat/>
    <w:rsid w:val="00FC7110"/>
    <w:pPr>
      <w:spacing w:before="240" w:after="60" w:line="240" w:lineRule="auto"/>
      <w:ind w:left="792" w:hanging="432"/>
      <w:contextualSpacing/>
    </w:pPr>
    <w:rPr>
      <w:rFonts w:eastAsiaTheme="minorHAnsi" w:cs="Arial"/>
      <w:color w:val="358189"/>
      <w:kern w:val="2"/>
      <w:sz w:val="28"/>
      <w:szCs w:val="28"/>
      <w:lang w:eastAsia="en-US"/>
      <w14:ligatures w14:val="standardContextual"/>
    </w:rPr>
  </w:style>
  <w:style w:type="character" w:customStyle="1" w:styleId="Guidelines2Char">
    <w:name w:val="Guidelines 2 Char"/>
    <w:basedOn w:val="DefaultParagraphFont"/>
    <w:link w:val="Guidelines2"/>
    <w:rsid w:val="00FC7110"/>
    <w:rPr>
      <w:rFonts w:ascii="Arial" w:eastAsiaTheme="minorHAnsi" w:hAnsi="Arial" w:cs="Arial"/>
      <w:color w:val="358189"/>
      <w:kern w:val="2"/>
      <w:sz w:val="28"/>
      <w:szCs w:val="28"/>
      <w:lang w:eastAsia="en-US"/>
      <w14:ligatures w14:val="standardContextual"/>
    </w:rPr>
  </w:style>
  <w:style w:type="character" w:customStyle="1" w:styleId="GuidelinessubChar">
    <w:name w:val="Guidelines sub Char"/>
    <w:basedOn w:val="ListParagraphChar"/>
    <w:link w:val="Guidelinessub"/>
    <w:rsid w:val="00817CB4"/>
    <w:rPr>
      <w:rFonts w:eastAsiaTheme="majorEastAsia" w:cstheme="majorBidi"/>
      <w:b/>
      <w:bCs/>
      <w:color w:val="264F90" w:themeColor="accent2"/>
      <w:kern w:val="2"/>
      <w:sz w:val="28"/>
      <w:szCs w:val="28"/>
      <w:lang w:eastAsia="en-US"/>
      <w14:ligatures w14:val="standardContextual"/>
    </w:rPr>
  </w:style>
  <w:style w:type="paragraph" w:customStyle="1" w:styleId="Guidelinessub-sub">
    <w:name w:val="Guidelines sub-sub"/>
    <w:basedOn w:val="Heading3"/>
    <w:link w:val="Guidelinessub-subChar"/>
    <w:qFormat/>
    <w:rsid w:val="00817CB4"/>
    <w:pPr>
      <w:numPr>
        <w:numId w:val="11"/>
      </w:numPr>
      <w:spacing w:before="40" w:after="0" w:line="259" w:lineRule="auto"/>
    </w:pPr>
    <w:rPr>
      <w:b w:val="0"/>
      <w:color w:val="212A4C" w:themeColor="accent1"/>
      <w:kern w:val="2"/>
      <w:lang w:eastAsia="en-US"/>
      <w14:ligatures w14:val="standardContextual"/>
    </w:rPr>
  </w:style>
  <w:style w:type="character" w:customStyle="1" w:styleId="Guidelinessub-subChar">
    <w:name w:val="Guidelines sub-sub Char"/>
    <w:basedOn w:val="DefaultParagraphFont"/>
    <w:link w:val="Guidelinessub-sub"/>
    <w:rsid w:val="00FC7110"/>
    <w:rPr>
      <w:rFonts w:ascii="Arial" w:eastAsiaTheme="majorEastAsia" w:hAnsi="Arial" w:cstheme="majorBidi"/>
      <w:color w:val="212A4C" w:themeColor="accent1"/>
      <w:kern w:val="2"/>
      <w:sz w:val="24"/>
      <w:szCs w:val="24"/>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paragraph" w:customStyle="1" w:styleId="Subheading-Guidelines">
    <w:name w:val="Sub heading - Guidelines"/>
    <w:basedOn w:val="Heading2"/>
    <w:link w:val="Subheading-GuidelinesChar"/>
    <w:qFormat/>
    <w:rsid w:val="00817CB4"/>
    <w:pPr>
      <w:numPr>
        <w:numId w:val="10"/>
      </w:numPr>
      <w:spacing w:before="40" w:after="0" w:line="259" w:lineRule="auto"/>
    </w:pPr>
    <w:rPr>
      <w:b w:val="0"/>
      <w:bCs/>
      <w:color w:val="264F90" w:themeColor="accent2"/>
      <w:kern w:val="2"/>
      <w:sz w:val="28"/>
      <w:szCs w:val="28"/>
      <w:lang w:eastAsia="en-US"/>
      <w14:ligatures w14:val="standardContextual"/>
    </w:rPr>
  </w:style>
  <w:style w:type="character" w:customStyle="1" w:styleId="Subheading-GuidelinesChar">
    <w:name w:val="Sub heading - Guidelines Char"/>
    <w:basedOn w:val="GuidelinessubChar"/>
    <w:link w:val="Subheading-Guidelines"/>
    <w:rsid w:val="00817CB4"/>
    <w:rPr>
      <w:rFonts w:ascii="Arial" w:eastAsiaTheme="majorEastAsia" w:hAnsi="Arial" w:cstheme="majorBidi"/>
      <w:b w:val="0"/>
      <w:bCs/>
      <w:color w:val="264F90" w:themeColor="accent2"/>
      <w:kern w:val="2"/>
      <w:sz w:val="28"/>
      <w:szCs w:val="28"/>
      <w:lang w:eastAsia="en-US"/>
      <w14:ligatures w14:val="standardContextual"/>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Cs w:val="22"/>
      <w:lang w:val="en-US" w:eastAsia="en-US"/>
    </w:rPr>
  </w:style>
  <w:style w:type="paragraph" w:customStyle="1" w:styleId="Tabletextleft">
    <w:name w:val="Table text left"/>
    <w:autoRedefine/>
    <w:qFormat/>
    <w:locked/>
    <w:rsid w:val="00733FD8"/>
    <w:pPr>
      <w:spacing w:before="60" w:after="60" w:line="240" w:lineRule="auto"/>
    </w:pPr>
    <w:rPr>
      <w:rFonts w:ascii="Arial" w:eastAsia="Times New Roman" w:hAnsi="Arial" w:cs="Times New Roman"/>
      <w:sz w:val="22"/>
      <w:szCs w:val="22"/>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paragraph" w:styleId="ListBullet2">
    <w:name w:val="List Bullet 2"/>
    <w:basedOn w:val="Normal"/>
    <w:uiPriority w:val="99"/>
    <w:unhideWhenUsed/>
    <w:rsid w:val="003748EA"/>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035922">
      <w:bodyDiv w:val="1"/>
      <w:marLeft w:val="0"/>
      <w:marRight w:val="0"/>
      <w:marTop w:val="0"/>
      <w:marBottom w:val="0"/>
      <w:divBdr>
        <w:top w:val="none" w:sz="0" w:space="0" w:color="auto"/>
        <w:left w:val="none" w:sz="0" w:space="0" w:color="auto"/>
        <w:bottom w:val="none" w:sz="0" w:space="0" w:color="auto"/>
        <w:right w:val="none" w:sz="0" w:space="0" w:color="auto"/>
      </w:divBdr>
    </w:div>
    <w:div w:id="924268725">
      <w:bodyDiv w:val="1"/>
      <w:marLeft w:val="0"/>
      <w:marRight w:val="0"/>
      <w:marTop w:val="0"/>
      <w:marBottom w:val="0"/>
      <w:divBdr>
        <w:top w:val="none" w:sz="0" w:space="0" w:color="auto"/>
        <w:left w:val="none" w:sz="0" w:space="0" w:color="auto"/>
        <w:bottom w:val="none" w:sz="0" w:space="0" w:color="auto"/>
        <w:right w:val="none" w:sz="0" w:space="0" w:color="auto"/>
      </w:divBdr>
    </w:div>
    <w:div w:id="1344045051">
      <w:bodyDiv w:val="1"/>
      <w:marLeft w:val="0"/>
      <w:marRight w:val="0"/>
      <w:marTop w:val="0"/>
      <w:marBottom w:val="0"/>
      <w:divBdr>
        <w:top w:val="none" w:sz="0" w:space="0" w:color="auto"/>
        <w:left w:val="none" w:sz="0" w:space="0" w:color="auto"/>
        <w:bottom w:val="none" w:sz="0" w:space="0" w:color="auto"/>
        <w:right w:val="none" w:sz="0" w:space="0" w:color="auto"/>
      </w:divBdr>
    </w:div>
    <w:div w:id="1422485586">
      <w:bodyDiv w:val="1"/>
      <w:marLeft w:val="0"/>
      <w:marRight w:val="0"/>
      <w:marTop w:val="0"/>
      <w:marBottom w:val="0"/>
      <w:divBdr>
        <w:top w:val="none" w:sz="0" w:space="0" w:color="auto"/>
        <w:left w:val="none" w:sz="0" w:space="0" w:color="auto"/>
        <w:bottom w:val="none" w:sz="0" w:space="0" w:color="auto"/>
        <w:right w:val="none" w:sz="0" w:space="0" w:color="auto"/>
      </w:divBdr>
    </w:div>
    <w:div w:id="15764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our-work/gpaci" TargetMode="External"/><Relationship Id="rId26" Type="http://schemas.openxmlformats.org/officeDocument/2006/relationships/hyperlink" Target="https://www.health.gov.au/sites/default/files/2024-04/mymedicare-privacy-notice_0.pdf" TargetMode="External"/><Relationship Id="rId3" Type="http://schemas.openxmlformats.org/officeDocument/2006/relationships/customXml" Target="../customXml/item3.xml"/><Relationship Id="rId21" Type="http://schemas.openxmlformats.org/officeDocument/2006/relationships/hyperlink" Target="https://www.oaic.gov.au/privacy-law/privacy-act/australian-privacy-principl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yMedicare@Health.gov.au" TargetMode="External"/><Relationship Id="rId25" Type="http://schemas.openxmlformats.org/officeDocument/2006/relationships/hyperlink" Target="https://www.health.gov.au/resources/publications/mymedicare-privacy-notice?language=en" TargetMode="External"/><Relationship Id="rId2" Type="http://schemas.openxmlformats.org/officeDocument/2006/relationships/customXml" Target="../customXml/item2.xml"/><Relationship Id="rId16" Type="http://schemas.openxmlformats.org/officeDocument/2006/relationships/hyperlink" Target="https://www.ato.gov.au/businesses-and-organisations/preparing-lodging-and-paying/reports-and-returns/taxable-payments-annual-report" TargetMode="External"/><Relationship Id="rId20" Type="http://schemas.openxmlformats.org/officeDocument/2006/relationships/hyperlink" Target="https://www.legislation.gov.au/C2004A03712/latest/version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igitalhealth.gov.au/about-us/policies-privacy-and-reporting/privacy-policy" TargetMode="External"/><Relationship Id="rId5" Type="http://schemas.openxmlformats.org/officeDocument/2006/relationships/numbering" Target="numbering.xml"/><Relationship Id="rId15" Type="http://schemas.openxmlformats.org/officeDocument/2006/relationships/hyperlink" Target="https://www.health.gov.au/our-work/mymedicare/practices-and-providers" TargetMode="External"/><Relationship Id="rId23" Type="http://schemas.openxmlformats.org/officeDocument/2006/relationships/hyperlink" Target="https://www.dva.gov.au/about/overview/legal-resources/dva-privacy-polic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rvicesaustralia.gov.au/mymedicare-incentives?context=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ervicesaustralia.gov.au/your-right-to-privacy?context=1" TargetMode="External"/><Relationship Id="rId27" Type="http://schemas.openxmlformats.org/officeDocument/2006/relationships/hyperlink" Target="https://www.servicesaustralia.gov.au/organisation-register-for-general-practitioners-gps-and-health-professionals-privacy-notice?context=22"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ervicesaustralia.gov.au/ip034" TargetMode="External"/><Relationship Id="rId2" Type="http://schemas.openxmlformats.org/officeDocument/2006/relationships/hyperlink" Target="https://www.servicesaustralia.gov.au/general-practice-aged-care-incentive?context=20" TargetMode="External"/><Relationship Id="rId1" Type="http://schemas.openxmlformats.org/officeDocument/2006/relationships/hyperlink" Target="https://www.health.gov.au/our-work/gpa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962544">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76024"/>
    <w:rsid w:val="000A75C6"/>
    <w:rsid w:val="00154F23"/>
    <w:rsid w:val="001B3980"/>
    <w:rsid w:val="001B688A"/>
    <w:rsid w:val="002B42BD"/>
    <w:rsid w:val="00345969"/>
    <w:rsid w:val="0036718F"/>
    <w:rsid w:val="00382080"/>
    <w:rsid w:val="003F01CD"/>
    <w:rsid w:val="00480642"/>
    <w:rsid w:val="004D2072"/>
    <w:rsid w:val="0052544E"/>
    <w:rsid w:val="00540754"/>
    <w:rsid w:val="005520B3"/>
    <w:rsid w:val="005A7873"/>
    <w:rsid w:val="006068F1"/>
    <w:rsid w:val="00623C3B"/>
    <w:rsid w:val="0066697A"/>
    <w:rsid w:val="00667708"/>
    <w:rsid w:val="006A0C49"/>
    <w:rsid w:val="006B301D"/>
    <w:rsid w:val="007572C0"/>
    <w:rsid w:val="00771A17"/>
    <w:rsid w:val="007A7D32"/>
    <w:rsid w:val="007D25A6"/>
    <w:rsid w:val="007F147F"/>
    <w:rsid w:val="00800002"/>
    <w:rsid w:val="00875EE0"/>
    <w:rsid w:val="008A211C"/>
    <w:rsid w:val="008A4BFA"/>
    <w:rsid w:val="00923AF6"/>
    <w:rsid w:val="00944692"/>
    <w:rsid w:val="00962544"/>
    <w:rsid w:val="00981EFC"/>
    <w:rsid w:val="009C2416"/>
    <w:rsid w:val="009C7843"/>
    <w:rsid w:val="009E3193"/>
    <w:rsid w:val="009F3830"/>
    <w:rsid w:val="00A34973"/>
    <w:rsid w:val="00A7583E"/>
    <w:rsid w:val="00AB1B36"/>
    <w:rsid w:val="00B25633"/>
    <w:rsid w:val="00B9135C"/>
    <w:rsid w:val="00BA4333"/>
    <w:rsid w:val="00C07BC2"/>
    <w:rsid w:val="00C22DA0"/>
    <w:rsid w:val="00C27B6D"/>
    <w:rsid w:val="00C40814"/>
    <w:rsid w:val="00C427DE"/>
    <w:rsid w:val="00CA3FAD"/>
    <w:rsid w:val="00CD5698"/>
    <w:rsid w:val="00D82F66"/>
    <w:rsid w:val="00DB3C5A"/>
    <w:rsid w:val="00DB5364"/>
    <w:rsid w:val="00DE07F9"/>
    <w:rsid w:val="00EC6923"/>
    <w:rsid w:val="00EE1D10"/>
    <w:rsid w:val="00F37052"/>
    <w:rsid w:val="00F51C66"/>
    <w:rsid w:val="00F96BD5"/>
    <w:rsid w:val="00FA5BAC"/>
    <w:rsid w:val="00FC4036"/>
    <w:rsid w:val="00FD25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980402-323e-4976-aa94-186e43b5ebe6">
      <Terms xmlns="http://schemas.microsoft.com/office/infopath/2007/PartnerControls"/>
    </lcf76f155ced4ddcb4097134ff3c332f>
    <TaxCatchAll xmlns="64f1bf92-8efe-42de-a57b-c47f1363fb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B3897DB1-6F47-43A8-A914-ADAE85D3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7c980402-323e-4976-aa94-186e43b5ebe6"/>
    <ds:schemaRef ds:uri="64f1bf92-8efe-42de-a57b-c47f1363fb08"/>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6648</Words>
  <Characters>37365</Characters>
  <Application>Microsoft Office Word</Application>
  <DocSecurity>0</DocSecurity>
  <Lines>1098</Lines>
  <Paragraphs>758</Paragraphs>
  <ScaleCrop>false</ScaleCrop>
  <HeadingPairs>
    <vt:vector size="2" baseType="variant">
      <vt:variant>
        <vt:lpstr>Title</vt:lpstr>
      </vt:variant>
      <vt:variant>
        <vt:i4>1</vt:i4>
      </vt:variant>
    </vt:vector>
  </HeadingPairs>
  <TitlesOfParts>
    <vt:vector size="1" baseType="lpstr">
      <vt:lpstr>General Practice in Aged Care Incentive Guidelines</vt:lpstr>
    </vt:vector>
  </TitlesOfParts>
  <Manager/>
  <Company/>
  <LinksUpToDate>false</LinksUpToDate>
  <CharactersWithSpaces>43255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in Aged Care Incentive Guidelines</dc:title>
  <dc:subject>MyMedicare</dc:subject>
  <dc:creator>Australian Government Department of Health and Aged Care</dc:creator>
  <cp:keywords>Aged care;General Practice</cp:keywords>
  <dc:description/>
  <cp:lastModifiedBy>MASCHKE, Elvia</cp:lastModifiedBy>
  <cp:revision>3</cp:revision>
  <cp:lastPrinted>2024-08-27T16:24:00Z</cp:lastPrinted>
  <dcterms:created xsi:type="dcterms:W3CDTF">2024-12-12T03:56:00Z</dcterms:created>
  <dcterms:modified xsi:type="dcterms:W3CDTF">2024-12-12T03:58:00Z</dcterms:modified>
  <cp:category/>
</cp:coreProperties>
</file>