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D4AAA" w14:textId="3BFA5A7C" w:rsidR="00E9176D" w:rsidRPr="000472BB" w:rsidRDefault="000472BB" w:rsidP="00C954DF">
      <w:pPr>
        <w:pStyle w:val="covTitle"/>
        <w:tabs>
          <w:tab w:val="left" w:pos="1134"/>
          <w:tab w:val="right" w:pos="9070"/>
        </w:tabs>
        <w:spacing w:before="3720"/>
        <w:rPr>
          <w:sz w:val="36"/>
          <w:szCs w:val="22"/>
        </w:rPr>
      </w:pPr>
      <w:r w:rsidRPr="000472BB">
        <w:rPr>
          <w:sz w:val="36"/>
          <w:szCs w:val="22"/>
        </w:rPr>
        <w:t xml:space="preserve">First </w:t>
      </w:r>
      <w:r w:rsidR="00D57D83" w:rsidRPr="000472BB">
        <w:rPr>
          <w:sz w:val="36"/>
          <w:szCs w:val="22"/>
        </w:rPr>
        <w:t>Pharmaceutical Wholesaler</w:t>
      </w:r>
      <w:r w:rsidR="00316736" w:rsidRPr="000472BB">
        <w:rPr>
          <w:sz w:val="36"/>
          <w:szCs w:val="22"/>
        </w:rPr>
        <w:t xml:space="preserve"> Agreement</w:t>
      </w:r>
    </w:p>
    <w:p w14:paraId="030644BD" w14:textId="4284DD5E" w:rsidR="00E9176D" w:rsidRPr="000472BB" w:rsidRDefault="000472BB" w:rsidP="000472BB">
      <w:pPr>
        <w:pStyle w:val="covSubTitle"/>
        <w:spacing w:before="240"/>
        <w:jc w:val="center"/>
        <w:rPr>
          <w:sz w:val="36"/>
          <w:szCs w:val="32"/>
        </w:rPr>
      </w:pPr>
      <w:r w:rsidRPr="000472BB">
        <w:rPr>
          <w:sz w:val="36"/>
          <w:szCs w:val="32"/>
        </w:rPr>
        <w:t>(1PWA)</w:t>
      </w:r>
    </w:p>
    <w:p w14:paraId="2287A622" w14:textId="77777777" w:rsidR="00E9176D" w:rsidRDefault="00E9176D" w:rsidP="00E9176D">
      <w:pPr>
        <w:pStyle w:val="covSubTitle"/>
      </w:pPr>
    </w:p>
    <w:p w14:paraId="48FD24EB" w14:textId="77777777" w:rsidR="00485454" w:rsidRPr="00485454" w:rsidRDefault="00485454" w:rsidP="00485454">
      <w:pPr>
        <w:pStyle w:val="covBodyText"/>
      </w:pPr>
    </w:p>
    <w:p w14:paraId="327E2F8D" w14:textId="77777777" w:rsidR="00485454" w:rsidRPr="009D3B53" w:rsidRDefault="00485454" w:rsidP="00485454">
      <w:pPr>
        <w:pStyle w:val="covSubTitle"/>
      </w:pPr>
    </w:p>
    <w:p w14:paraId="0801DAF5" w14:textId="77777777" w:rsidR="00330433" w:rsidRDefault="00330433" w:rsidP="00E9176D"/>
    <w:tbl>
      <w:tblPr>
        <w:tblW w:w="0" w:type="auto"/>
        <w:tblInd w:w="42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358"/>
      </w:tblGrid>
      <w:tr w:rsidR="003E5BA5" w:rsidRPr="003E5BA5" w14:paraId="3F940CF9" w14:textId="77777777" w:rsidTr="00ED0519">
        <w:trPr>
          <w:trHeight w:val="973"/>
        </w:trPr>
        <w:tc>
          <w:tcPr>
            <w:tcW w:w="8358" w:type="dxa"/>
          </w:tcPr>
          <w:p w14:paraId="60E6079E" w14:textId="05795909" w:rsidR="000472BB" w:rsidRDefault="007747B6" w:rsidP="000472BB">
            <w:pPr>
              <w:spacing w:before="120" w:after="120"/>
              <w:jc w:val="center"/>
            </w:pPr>
            <w:r>
              <w:t>The Signatories to this Agreement are</w:t>
            </w:r>
          </w:p>
          <w:p w14:paraId="07619AD9" w14:textId="1B5962CC" w:rsidR="000472BB" w:rsidRDefault="007747B6" w:rsidP="000472BB">
            <w:pPr>
              <w:spacing w:before="120" w:after="120"/>
              <w:jc w:val="center"/>
              <w:rPr>
                <w:b/>
              </w:rPr>
            </w:pPr>
            <w:r w:rsidRPr="007747B6">
              <w:rPr>
                <w:b/>
              </w:rPr>
              <w:t xml:space="preserve">The Honourable </w:t>
            </w:r>
            <w:r w:rsidR="00D57D83">
              <w:rPr>
                <w:b/>
              </w:rPr>
              <w:t xml:space="preserve">Mark Butler </w:t>
            </w:r>
            <w:r w:rsidRPr="007747B6">
              <w:rPr>
                <w:b/>
              </w:rPr>
              <w:t>MP, Minister for Health</w:t>
            </w:r>
            <w:r>
              <w:t xml:space="preserve"> </w:t>
            </w:r>
            <w:r w:rsidR="00D57D83" w:rsidRPr="00D57D83">
              <w:rPr>
                <w:b/>
                <w:bCs/>
              </w:rPr>
              <w:t>and Aged Care</w:t>
            </w:r>
            <w:r w:rsidR="00D57D83">
              <w:t xml:space="preserve"> </w:t>
            </w:r>
            <w:r>
              <w:t xml:space="preserve">on behalf of the </w:t>
            </w:r>
            <w:r w:rsidRPr="007747B6">
              <w:rPr>
                <w:b/>
              </w:rPr>
              <w:t>Commonwealth of Australia</w:t>
            </w:r>
          </w:p>
          <w:p w14:paraId="72B0D8C8" w14:textId="4F2FEC3F" w:rsidR="000472BB" w:rsidRDefault="00266A91" w:rsidP="000472BB">
            <w:pPr>
              <w:spacing w:before="120" w:after="120"/>
              <w:jc w:val="center"/>
            </w:pPr>
            <w:r>
              <w:t>and</w:t>
            </w:r>
          </w:p>
          <w:p w14:paraId="16F13BE9" w14:textId="619B9B0C" w:rsidR="007747B6" w:rsidRPr="00266A91" w:rsidRDefault="007747B6" w:rsidP="000472BB">
            <w:pPr>
              <w:spacing w:before="120" w:after="120"/>
              <w:jc w:val="center"/>
            </w:pPr>
            <w:r>
              <w:t xml:space="preserve"> </w:t>
            </w:r>
            <w:r w:rsidR="00756C77">
              <w:rPr>
                <w:b/>
              </w:rPr>
              <w:t>National Pharmaceutical Services Association</w:t>
            </w:r>
            <w:r w:rsidR="00072A94">
              <w:rPr>
                <w:b/>
              </w:rPr>
              <w:t xml:space="preserve"> </w:t>
            </w:r>
            <w:r w:rsidR="00072A94" w:rsidRPr="0000737D">
              <w:rPr>
                <w:b/>
              </w:rPr>
              <w:t>Limited</w:t>
            </w:r>
          </w:p>
        </w:tc>
      </w:tr>
    </w:tbl>
    <w:p w14:paraId="40A7B4BC" w14:textId="77777777" w:rsidR="00ED0519" w:rsidRDefault="00ED0519"/>
    <w:p w14:paraId="2DC27032" w14:textId="6BD510D0" w:rsidR="00232C08" w:rsidRDefault="00232C08">
      <w:r>
        <w:br w:type="page"/>
      </w:r>
    </w:p>
    <w:p w14:paraId="67F2E390" w14:textId="77777777" w:rsidR="00330433" w:rsidRDefault="00330433" w:rsidP="00E9176D"/>
    <w:p w14:paraId="5A495080" w14:textId="77777777" w:rsidR="007538E8" w:rsidRDefault="007538E8" w:rsidP="00330433">
      <w:pPr>
        <w:pStyle w:val="covBodyText"/>
        <w:pBdr>
          <w:left w:val="single" w:sz="4" w:space="4" w:color="auto"/>
        </w:pBdr>
      </w:pPr>
    </w:p>
    <w:sdt>
      <w:sdtPr>
        <w:rPr>
          <w:rFonts w:asciiTheme="minorHAnsi" w:eastAsiaTheme="minorEastAsia" w:hAnsiTheme="minorHAnsi"/>
          <w:b w:val="0"/>
          <w:vanish/>
          <w:sz w:val="3276"/>
          <w:szCs w:val="3276"/>
        </w:rPr>
        <w:id w:val="891073889"/>
        <w:docPartObj>
          <w:docPartGallery w:val="Table of Contents"/>
          <w:docPartUnique/>
        </w:docPartObj>
      </w:sdtPr>
      <w:sdtEndPr>
        <w:rPr>
          <w:rFonts w:ascii="Arial" w:eastAsia="Times New Roman" w:hAnsi="Arial"/>
          <w:bCs/>
          <w:noProof/>
          <w:sz w:val="20"/>
          <w:szCs w:val="20"/>
          <w:lang w:val="en-US"/>
        </w:rPr>
      </w:sdtEndPr>
      <w:sdtContent>
        <w:bookmarkStart w:id="0" w:name="_Toc185417665" w:displacedByCustomXml="prev"/>
        <w:p w14:paraId="7C4614CC" w14:textId="69FC3C31" w:rsidR="007F5D49" w:rsidRPr="009D3B53" w:rsidRDefault="007F5D49" w:rsidP="007F5D49">
          <w:pPr>
            <w:pStyle w:val="mainTitle"/>
          </w:pPr>
          <w:r w:rsidRPr="009D3B53">
            <w:t>Contents</w:t>
          </w:r>
          <w:bookmarkEnd w:id="0"/>
        </w:p>
        <w:p w14:paraId="20F0B1E9" w14:textId="79265A89" w:rsidR="005C0514" w:rsidRDefault="00257696">
          <w:pPr>
            <w:pStyle w:val="TOC1"/>
            <w:rPr>
              <w:rFonts w:asciiTheme="minorHAnsi" w:eastAsiaTheme="minorEastAsia" w:hAnsiTheme="minorHAnsi" w:cstheme="minorBidi"/>
              <w:b w:val="0"/>
              <w:noProof/>
              <w:kern w:val="2"/>
              <w:sz w:val="22"/>
              <w:szCs w:val="22"/>
              <w:lang w:eastAsia="en-AU"/>
              <w14:ligatures w14:val="standardContextual"/>
            </w:rPr>
          </w:pPr>
          <w:r>
            <w:fldChar w:fldCharType="begin"/>
          </w:r>
          <w:r>
            <w:instrText xml:space="preserve"> TOC \o "1-1" \h \z \t "mainTitle,1" </w:instrText>
          </w:r>
          <w:r>
            <w:fldChar w:fldCharType="separate"/>
          </w:r>
          <w:hyperlink w:anchor="_Toc185417665" w:history="1">
            <w:r w:rsidR="005C0514" w:rsidRPr="0077673D">
              <w:rPr>
                <w:rStyle w:val="Hyperlink"/>
                <w:noProof/>
              </w:rPr>
              <w:t>Contents</w:t>
            </w:r>
            <w:r w:rsidR="005C0514">
              <w:rPr>
                <w:noProof/>
                <w:webHidden/>
              </w:rPr>
              <w:tab/>
            </w:r>
            <w:r w:rsidR="005C0514">
              <w:rPr>
                <w:noProof/>
                <w:webHidden/>
              </w:rPr>
              <w:fldChar w:fldCharType="begin"/>
            </w:r>
            <w:r w:rsidR="005C0514">
              <w:rPr>
                <w:noProof/>
                <w:webHidden/>
              </w:rPr>
              <w:instrText xml:space="preserve"> PAGEREF _Toc185417665 \h </w:instrText>
            </w:r>
            <w:r w:rsidR="005C0514">
              <w:rPr>
                <w:noProof/>
                <w:webHidden/>
              </w:rPr>
            </w:r>
            <w:r w:rsidR="005C0514">
              <w:rPr>
                <w:noProof/>
                <w:webHidden/>
              </w:rPr>
              <w:fldChar w:fldCharType="separate"/>
            </w:r>
            <w:r w:rsidR="005C0514">
              <w:rPr>
                <w:noProof/>
                <w:webHidden/>
              </w:rPr>
              <w:t>2</w:t>
            </w:r>
            <w:r w:rsidR="005C0514">
              <w:rPr>
                <w:noProof/>
                <w:webHidden/>
              </w:rPr>
              <w:fldChar w:fldCharType="end"/>
            </w:r>
          </w:hyperlink>
        </w:p>
        <w:p w14:paraId="4CE5FC5A" w14:textId="0AD9955A" w:rsidR="005C0514" w:rsidRDefault="005C0514">
          <w:pPr>
            <w:pStyle w:val="TOC1"/>
            <w:rPr>
              <w:rFonts w:asciiTheme="minorHAnsi" w:eastAsiaTheme="minorEastAsia" w:hAnsiTheme="minorHAnsi" w:cstheme="minorBidi"/>
              <w:b w:val="0"/>
              <w:noProof/>
              <w:kern w:val="2"/>
              <w:sz w:val="22"/>
              <w:szCs w:val="22"/>
              <w:lang w:eastAsia="en-AU"/>
              <w14:ligatures w14:val="standardContextual"/>
            </w:rPr>
          </w:pPr>
          <w:hyperlink w:anchor="_Toc185417666" w:history="1">
            <w:r w:rsidRPr="0077673D">
              <w:rPr>
                <w:rStyle w:val="Hyperlink"/>
                <w:noProof/>
              </w:rPr>
              <w:t>Background</w:t>
            </w:r>
            <w:r>
              <w:rPr>
                <w:noProof/>
                <w:webHidden/>
              </w:rPr>
              <w:tab/>
            </w:r>
            <w:r>
              <w:rPr>
                <w:noProof/>
                <w:webHidden/>
              </w:rPr>
              <w:fldChar w:fldCharType="begin"/>
            </w:r>
            <w:r>
              <w:rPr>
                <w:noProof/>
                <w:webHidden/>
              </w:rPr>
              <w:instrText xml:space="preserve"> PAGEREF _Toc185417666 \h </w:instrText>
            </w:r>
            <w:r>
              <w:rPr>
                <w:noProof/>
                <w:webHidden/>
              </w:rPr>
            </w:r>
            <w:r>
              <w:rPr>
                <w:noProof/>
                <w:webHidden/>
              </w:rPr>
              <w:fldChar w:fldCharType="separate"/>
            </w:r>
            <w:r>
              <w:rPr>
                <w:noProof/>
                <w:webHidden/>
              </w:rPr>
              <w:t>3</w:t>
            </w:r>
            <w:r>
              <w:rPr>
                <w:noProof/>
                <w:webHidden/>
              </w:rPr>
              <w:fldChar w:fldCharType="end"/>
            </w:r>
          </w:hyperlink>
        </w:p>
        <w:p w14:paraId="2E0EF831" w14:textId="65222ADA" w:rsidR="005C0514" w:rsidRDefault="005C0514">
          <w:pPr>
            <w:pStyle w:val="TOC1"/>
            <w:rPr>
              <w:rFonts w:asciiTheme="minorHAnsi" w:eastAsiaTheme="minorEastAsia" w:hAnsiTheme="minorHAnsi" w:cstheme="minorBidi"/>
              <w:b w:val="0"/>
              <w:noProof/>
              <w:kern w:val="2"/>
              <w:sz w:val="22"/>
              <w:szCs w:val="22"/>
              <w:lang w:eastAsia="en-AU"/>
              <w14:ligatures w14:val="standardContextual"/>
            </w:rPr>
          </w:pPr>
          <w:hyperlink w:anchor="_Toc185417667" w:history="1">
            <w:r w:rsidRPr="0077673D">
              <w:rPr>
                <w:rStyle w:val="Hyperlink"/>
                <w:noProof/>
              </w:rPr>
              <w:t>Agreement provisions</w:t>
            </w:r>
            <w:r>
              <w:rPr>
                <w:noProof/>
                <w:webHidden/>
              </w:rPr>
              <w:tab/>
            </w:r>
            <w:r>
              <w:rPr>
                <w:noProof/>
                <w:webHidden/>
              </w:rPr>
              <w:fldChar w:fldCharType="begin"/>
            </w:r>
            <w:r>
              <w:rPr>
                <w:noProof/>
                <w:webHidden/>
              </w:rPr>
              <w:instrText xml:space="preserve"> PAGEREF _Toc185417667 \h </w:instrText>
            </w:r>
            <w:r>
              <w:rPr>
                <w:noProof/>
                <w:webHidden/>
              </w:rPr>
            </w:r>
            <w:r>
              <w:rPr>
                <w:noProof/>
                <w:webHidden/>
              </w:rPr>
              <w:fldChar w:fldCharType="separate"/>
            </w:r>
            <w:r>
              <w:rPr>
                <w:noProof/>
                <w:webHidden/>
              </w:rPr>
              <w:t>3</w:t>
            </w:r>
            <w:r>
              <w:rPr>
                <w:noProof/>
                <w:webHidden/>
              </w:rPr>
              <w:fldChar w:fldCharType="end"/>
            </w:r>
          </w:hyperlink>
        </w:p>
        <w:p w14:paraId="0F542E12" w14:textId="0677EB2B" w:rsidR="005C0514" w:rsidRDefault="005C0514">
          <w:pPr>
            <w:pStyle w:val="TOC1"/>
            <w:rPr>
              <w:rFonts w:asciiTheme="minorHAnsi" w:eastAsiaTheme="minorEastAsia" w:hAnsiTheme="minorHAnsi" w:cstheme="minorBidi"/>
              <w:b w:val="0"/>
              <w:noProof/>
              <w:kern w:val="2"/>
              <w:sz w:val="22"/>
              <w:szCs w:val="22"/>
              <w:lang w:eastAsia="en-AU"/>
              <w14:ligatures w14:val="standardContextual"/>
            </w:rPr>
          </w:pPr>
          <w:hyperlink w:anchor="_Toc185417668" w:history="1">
            <w:r w:rsidRPr="0077673D">
              <w:rPr>
                <w:rStyle w:val="Hyperlink"/>
                <w:noProof/>
              </w:rPr>
              <w:t>1.</w:t>
            </w:r>
            <w:r>
              <w:rPr>
                <w:rFonts w:asciiTheme="minorHAnsi" w:eastAsiaTheme="minorEastAsia" w:hAnsiTheme="minorHAnsi" w:cstheme="minorBidi"/>
                <w:b w:val="0"/>
                <w:noProof/>
                <w:kern w:val="2"/>
                <w:sz w:val="22"/>
                <w:szCs w:val="22"/>
                <w:lang w:eastAsia="en-AU"/>
                <w14:ligatures w14:val="standardContextual"/>
              </w:rPr>
              <w:tab/>
            </w:r>
            <w:r w:rsidRPr="0077673D">
              <w:rPr>
                <w:rStyle w:val="Hyperlink"/>
                <w:noProof/>
              </w:rPr>
              <w:t>Overview of Pharmaceutical Wholesaler funding</w:t>
            </w:r>
            <w:r>
              <w:rPr>
                <w:noProof/>
                <w:webHidden/>
              </w:rPr>
              <w:tab/>
            </w:r>
            <w:r>
              <w:rPr>
                <w:noProof/>
                <w:webHidden/>
              </w:rPr>
              <w:fldChar w:fldCharType="begin"/>
            </w:r>
            <w:r>
              <w:rPr>
                <w:noProof/>
                <w:webHidden/>
              </w:rPr>
              <w:instrText xml:space="preserve"> PAGEREF _Toc185417668 \h </w:instrText>
            </w:r>
            <w:r>
              <w:rPr>
                <w:noProof/>
                <w:webHidden/>
              </w:rPr>
            </w:r>
            <w:r>
              <w:rPr>
                <w:noProof/>
                <w:webHidden/>
              </w:rPr>
              <w:fldChar w:fldCharType="separate"/>
            </w:r>
            <w:r>
              <w:rPr>
                <w:noProof/>
                <w:webHidden/>
              </w:rPr>
              <w:t>3</w:t>
            </w:r>
            <w:r>
              <w:rPr>
                <w:noProof/>
                <w:webHidden/>
              </w:rPr>
              <w:fldChar w:fldCharType="end"/>
            </w:r>
          </w:hyperlink>
        </w:p>
        <w:p w14:paraId="2B7819D8" w14:textId="3C8FC3FC" w:rsidR="005C0514" w:rsidRDefault="005C0514">
          <w:pPr>
            <w:pStyle w:val="TOC1"/>
            <w:rPr>
              <w:rFonts w:asciiTheme="minorHAnsi" w:eastAsiaTheme="minorEastAsia" w:hAnsiTheme="minorHAnsi" w:cstheme="minorBidi"/>
              <w:b w:val="0"/>
              <w:noProof/>
              <w:kern w:val="2"/>
              <w:sz w:val="22"/>
              <w:szCs w:val="22"/>
              <w:lang w:eastAsia="en-AU"/>
              <w14:ligatures w14:val="standardContextual"/>
            </w:rPr>
          </w:pPr>
          <w:hyperlink w:anchor="_Toc185417669" w:history="1">
            <w:r w:rsidRPr="0077673D">
              <w:rPr>
                <w:rStyle w:val="Hyperlink"/>
                <w:noProof/>
              </w:rPr>
              <w:t>2.</w:t>
            </w:r>
            <w:r>
              <w:rPr>
                <w:rFonts w:asciiTheme="minorHAnsi" w:eastAsiaTheme="minorEastAsia" w:hAnsiTheme="minorHAnsi" w:cstheme="minorBidi"/>
                <w:b w:val="0"/>
                <w:noProof/>
                <w:kern w:val="2"/>
                <w:sz w:val="22"/>
                <w:szCs w:val="22"/>
                <w:lang w:eastAsia="en-AU"/>
                <w14:ligatures w14:val="standardContextual"/>
              </w:rPr>
              <w:tab/>
            </w:r>
            <w:r w:rsidRPr="0077673D">
              <w:rPr>
                <w:rStyle w:val="Hyperlink"/>
                <w:noProof/>
              </w:rPr>
              <w:t>Wholesale Mark-Up</w:t>
            </w:r>
            <w:r>
              <w:rPr>
                <w:noProof/>
                <w:webHidden/>
              </w:rPr>
              <w:tab/>
            </w:r>
            <w:r>
              <w:rPr>
                <w:noProof/>
                <w:webHidden/>
              </w:rPr>
              <w:fldChar w:fldCharType="begin"/>
            </w:r>
            <w:r>
              <w:rPr>
                <w:noProof/>
                <w:webHidden/>
              </w:rPr>
              <w:instrText xml:space="preserve"> PAGEREF _Toc185417669 \h </w:instrText>
            </w:r>
            <w:r>
              <w:rPr>
                <w:noProof/>
                <w:webHidden/>
              </w:rPr>
            </w:r>
            <w:r>
              <w:rPr>
                <w:noProof/>
                <w:webHidden/>
              </w:rPr>
              <w:fldChar w:fldCharType="separate"/>
            </w:r>
            <w:r>
              <w:rPr>
                <w:noProof/>
                <w:webHidden/>
              </w:rPr>
              <w:t>4</w:t>
            </w:r>
            <w:r>
              <w:rPr>
                <w:noProof/>
                <w:webHidden/>
              </w:rPr>
              <w:fldChar w:fldCharType="end"/>
            </w:r>
          </w:hyperlink>
        </w:p>
        <w:p w14:paraId="39843AE0" w14:textId="1C96E523" w:rsidR="005C0514" w:rsidRDefault="005C0514">
          <w:pPr>
            <w:pStyle w:val="TOC1"/>
            <w:rPr>
              <w:rFonts w:asciiTheme="minorHAnsi" w:eastAsiaTheme="minorEastAsia" w:hAnsiTheme="minorHAnsi" w:cstheme="minorBidi"/>
              <w:b w:val="0"/>
              <w:noProof/>
              <w:kern w:val="2"/>
              <w:sz w:val="22"/>
              <w:szCs w:val="22"/>
              <w:lang w:eastAsia="en-AU"/>
              <w14:ligatures w14:val="standardContextual"/>
            </w:rPr>
          </w:pPr>
          <w:hyperlink w:anchor="_Toc185417670" w:history="1">
            <w:r w:rsidRPr="0077673D">
              <w:rPr>
                <w:rStyle w:val="Hyperlink"/>
                <w:noProof/>
              </w:rPr>
              <w:t>3.</w:t>
            </w:r>
            <w:r>
              <w:rPr>
                <w:rFonts w:asciiTheme="minorHAnsi" w:eastAsiaTheme="minorEastAsia" w:hAnsiTheme="minorHAnsi" w:cstheme="minorBidi"/>
                <w:b w:val="0"/>
                <w:noProof/>
                <w:kern w:val="2"/>
                <w:sz w:val="22"/>
                <w:szCs w:val="22"/>
                <w:lang w:eastAsia="en-AU"/>
                <w14:ligatures w14:val="standardContextual"/>
              </w:rPr>
              <w:tab/>
            </w:r>
            <w:r w:rsidRPr="0077673D">
              <w:rPr>
                <w:rStyle w:val="Hyperlink"/>
                <w:noProof/>
              </w:rPr>
              <w:t>Community Service Obligation (CSO) funding</w:t>
            </w:r>
            <w:r>
              <w:rPr>
                <w:noProof/>
                <w:webHidden/>
              </w:rPr>
              <w:tab/>
            </w:r>
            <w:r>
              <w:rPr>
                <w:noProof/>
                <w:webHidden/>
              </w:rPr>
              <w:fldChar w:fldCharType="begin"/>
            </w:r>
            <w:r>
              <w:rPr>
                <w:noProof/>
                <w:webHidden/>
              </w:rPr>
              <w:instrText xml:space="preserve"> PAGEREF _Toc185417670 \h </w:instrText>
            </w:r>
            <w:r>
              <w:rPr>
                <w:noProof/>
                <w:webHidden/>
              </w:rPr>
            </w:r>
            <w:r>
              <w:rPr>
                <w:noProof/>
                <w:webHidden/>
              </w:rPr>
              <w:fldChar w:fldCharType="separate"/>
            </w:r>
            <w:r>
              <w:rPr>
                <w:noProof/>
                <w:webHidden/>
              </w:rPr>
              <w:t>5</w:t>
            </w:r>
            <w:r>
              <w:rPr>
                <w:noProof/>
                <w:webHidden/>
              </w:rPr>
              <w:fldChar w:fldCharType="end"/>
            </w:r>
          </w:hyperlink>
        </w:p>
        <w:p w14:paraId="20D38130" w14:textId="5DE0C2D7" w:rsidR="005C0514" w:rsidRDefault="005C0514">
          <w:pPr>
            <w:pStyle w:val="TOC1"/>
            <w:rPr>
              <w:rFonts w:asciiTheme="minorHAnsi" w:eastAsiaTheme="minorEastAsia" w:hAnsiTheme="minorHAnsi" w:cstheme="minorBidi"/>
              <w:b w:val="0"/>
              <w:noProof/>
              <w:kern w:val="2"/>
              <w:sz w:val="22"/>
              <w:szCs w:val="22"/>
              <w:lang w:eastAsia="en-AU"/>
              <w14:ligatures w14:val="standardContextual"/>
            </w:rPr>
          </w:pPr>
          <w:hyperlink w:anchor="_Toc185417671" w:history="1">
            <w:r w:rsidRPr="0077673D">
              <w:rPr>
                <w:rStyle w:val="Hyperlink"/>
                <w:noProof/>
              </w:rPr>
              <w:t>4.</w:t>
            </w:r>
            <w:r>
              <w:rPr>
                <w:rFonts w:asciiTheme="minorHAnsi" w:eastAsiaTheme="minorEastAsia" w:hAnsiTheme="minorHAnsi" w:cstheme="minorBidi"/>
                <w:b w:val="0"/>
                <w:noProof/>
                <w:kern w:val="2"/>
                <w:sz w:val="22"/>
                <w:szCs w:val="22"/>
                <w:lang w:eastAsia="en-AU"/>
                <w14:ligatures w14:val="standardContextual"/>
              </w:rPr>
              <w:tab/>
            </w:r>
            <w:r w:rsidRPr="0077673D">
              <w:rPr>
                <w:rStyle w:val="Hyperlink"/>
                <w:noProof/>
              </w:rPr>
              <w:t>Administration of the CSO Wholesale Funding Pool arrangements</w:t>
            </w:r>
            <w:r>
              <w:rPr>
                <w:noProof/>
                <w:webHidden/>
              </w:rPr>
              <w:tab/>
            </w:r>
            <w:r>
              <w:rPr>
                <w:noProof/>
                <w:webHidden/>
              </w:rPr>
              <w:fldChar w:fldCharType="begin"/>
            </w:r>
            <w:r>
              <w:rPr>
                <w:noProof/>
                <w:webHidden/>
              </w:rPr>
              <w:instrText xml:space="preserve"> PAGEREF _Toc185417671 \h </w:instrText>
            </w:r>
            <w:r>
              <w:rPr>
                <w:noProof/>
                <w:webHidden/>
              </w:rPr>
            </w:r>
            <w:r>
              <w:rPr>
                <w:noProof/>
                <w:webHidden/>
              </w:rPr>
              <w:fldChar w:fldCharType="separate"/>
            </w:r>
            <w:r>
              <w:rPr>
                <w:noProof/>
                <w:webHidden/>
              </w:rPr>
              <w:t>10</w:t>
            </w:r>
            <w:r>
              <w:rPr>
                <w:noProof/>
                <w:webHidden/>
              </w:rPr>
              <w:fldChar w:fldCharType="end"/>
            </w:r>
          </w:hyperlink>
        </w:p>
        <w:p w14:paraId="6D0FD1CC" w14:textId="6E627043" w:rsidR="005C0514" w:rsidRDefault="005C0514">
          <w:pPr>
            <w:pStyle w:val="TOC1"/>
            <w:rPr>
              <w:rFonts w:asciiTheme="minorHAnsi" w:eastAsiaTheme="minorEastAsia" w:hAnsiTheme="minorHAnsi" w:cstheme="minorBidi"/>
              <w:b w:val="0"/>
              <w:noProof/>
              <w:kern w:val="2"/>
              <w:sz w:val="22"/>
              <w:szCs w:val="22"/>
              <w:lang w:eastAsia="en-AU"/>
              <w14:ligatures w14:val="standardContextual"/>
            </w:rPr>
          </w:pPr>
          <w:hyperlink w:anchor="_Toc185417672" w:history="1">
            <w:r w:rsidRPr="0077673D">
              <w:rPr>
                <w:rStyle w:val="Hyperlink"/>
                <w:noProof/>
              </w:rPr>
              <w:t>5.</w:t>
            </w:r>
            <w:r>
              <w:rPr>
                <w:rFonts w:asciiTheme="minorHAnsi" w:eastAsiaTheme="minorEastAsia" w:hAnsiTheme="minorHAnsi" w:cstheme="minorBidi"/>
                <w:b w:val="0"/>
                <w:noProof/>
                <w:kern w:val="2"/>
                <w:sz w:val="22"/>
                <w:szCs w:val="22"/>
                <w:lang w:eastAsia="en-AU"/>
                <w14:ligatures w14:val="standardContextual"/>
              </w:rPr>
              <w:tab/>
            </w:r>
            <w:r w:rsidRPr="0077673D">
              <w:rPr>
                <w:rStyle w:val="Hyperlink"/>
                <w:noProof/>
              </w:rPr>
              <w:t>Approach to Market Process</w:t>
            </w:r>
            <w:r>
              <w:rPr>
                <w:noProof/>
                <w:webHidden/>
              </w:rPr>
              <w:tab/>
            </w:r>
            <w:r>
              <w:rPr>
                <w:noProof/>
                <w:webHidden/>
              </w:rPr>
              <w:fldChar w:fldCharType="begin"/>
            </w:r>
            <w:r>
              <w:rPr>
                <w:noProof/>
                <w:webHidden/>
              </w:rPr>
              <w:instrText xml:space="preserve"> PAGEREF _Toc185417672 \h </w:instrText>
            </w:r>
            <w:r>
              <w:rPr>
                <w:noProof/>
                <w:webHidden/>
              </w:rPr>
            </w:r>
            <w:r>
              <w:rPr>
                <w:noProof/>
                <w:webHidden/>
              </w:rPr>
              <w:fldChar w:fldCharType="separate"/>
            </w:r>
            <w:r>
              <w:rPr>
                <w:noProof/>
                <w:webHidden/>
              </w:rPr>
              <w:t>10</w:t>
            </w:r>
            <w:r>
              <w:rPr>
                <w:noProof/>
                <w:webHidden/>
              </w:rPr>
              <w:fldChar w:fldCharType="end"/>
            </w:r>
          </w:hyperlink>
        </w:p>
        <w:p w14:paraId="12F06444" w14:textId="6C9AAFD5" w:rsidR="005C0514" w:rsidRDefault="005C0514">
          <w:pPr>
            <w:pStyle w:val="TOC1"/>
            <w:rPr>
              <w:rFonts w:asciiTheme="minorHAnsi" w:eastAsiaTheme="minorEastAsia" w:hAnsiTheme="minorHAnsi" w:cstheme="minorBidi"/>
              <w:b w:val="0"/>
              <w:noProof/>
              <w:kern w:val="2"/>
              <w:sz w:val="22"/>
              <w:szCs w:val="22"/>
              <w:lang w:eastAsia="en-AU"/>
              <w14:ligatures w14:val="standardContextual"/>
            </w:rPr>
          </w:pPr>
          <w:hyperlink w:anchor="_Toc185417673" w:history="1">
            <w:r w:rsidRPr="0077673D">
              <w:rPr>
                <w:rStyle w:val="Hyperlink"/>
                <w:noProof/>
              </w:rPr>
              <w:t>6.</w:t>
            </w:r>
            <w:r>
              <w:rPr>
                <w:rFonts w:asciiTheme="minorHAnsi" w:eastAsiaTheme="minorEastAsia" w:hAnsiTheme="minorHAnsi" w:cstheme="minorBidi"/>
                <w:b w:val="0"/>
                <w:noProof/>
                <w:kern w:val="2"/>
                <w:sz w:val="22"/>
                <w:szCs w:val="22"/>
                <w:lang w:eastAsia="en-AU"/>
                <w14:ligatures w14:val="standardContextual"/>
              </w:rPr>
              <w:tab/>
            </w:r>
            <w:r w:rsidRPr="0077673D">
              <w:rPr>
                <w:rStyle w:val="Hyperlink"/>
                <w:noProof/>
              </w:rPr>
              <w:t>Availability of PBS medicines</w:t>
            </w:r>
            <w:r>
              <w:rPr>
                <w:noProof/>
                <w:webHidden/>
              </w:rPr>
              <w:tab/>
            </w:r>
            <w:r>
              <w:rPr>
                <w:noProof/>
                <w:webHidden/>
              </w:rPr>
              <w:fldChar w:fldCharType="begin"/>
            </w:r>
            <w:r>
              <w:rPr>
                <w:noProof/>
                <w:webHidden/>
              </w:rPr>
              <w:instrText xml:space="preserve"> PAGEREF _Toc185417673 \h </w:instrText>
            </w:r>
            <w:r>
              <w:rPr>
                <w:noProof/>
                <w:webHidden/>
              </w:rPr>
            </w:r>
            <w:r>
              <w:rPr>
                <w:noProof/>
                <w:webHidden/>
              </w:rPr>
              <w:fldChar w:fldCharType="separate"/>
            </w:r>
            <w:r>
              <w:rPr>
                <w:noProof/>
                <w:webHidden/>
              </w:rPr>
              <w:t>11</w:t>
            </w:r>
            <w:r>
              <w:rPr>
                <w:noProof/>
                <w:webHidden/>
              </w:rPr>
              <w:fldChar w:fldCharType="end"/>
            </w:r>
          </w:hyperlink>
        </w:p>
        <w:p w14:paraId="2B434093" w14:textId="45FCBBD2" w:rsidR="005C0514" w:rsidRDefault="005C0514">
          <w:pPr>
            <w:pStyle w:val="TOC1"/>
            <w:rPr>
              <w:rFonts w:asciiTheme="minorHAnsi" w:eastAsiaTheme="minorEastAsia" w:hAnsiTheme="minorHAnsi" w:cstheme="minorBidi"/>
              <w:b w:val="0"/>
              <w:noProof/>
              <w:kern w:val="2"/>
              <w:sz w:val="22"/>
              <w:szCs w:val="22"/>
              <w:lang w:eastAsia="en-AU"/>
              <w14:ligatures w14:val="standardContextual"/>
            </w:rPr>
          </w:pPr>
          <w:hyperlink w:anchor="_Toc185417674" w:history="1">
            <w:r w:rsidRPr="0077673D">
              <w:rPr>
                <w:rStyle w:val="Hyperlink"/>
                <w:rFonts w:eastAsia="Calibri"/>
                <w:noProof/>
                <w:lang w:eastAsia="zh-CN"/>
              </w:rPr>
              <w:t>7.</w:t>
            </w:r>
            <w:r>
              <w:rPr>
                <w:rFonts w:asciiTheme="minorHAnsi" w:eastAsiaTheme="minorEastAsia" w:hAnsiTheme="minorHAnsi" w:cstheme="minorBidi"/>
                <w:b w:val="0"/>
                <w:noProof/>
                <w:kern w:val="2"/>
                <w:sz w:val="22"/>
                <w:szCs w:val="22"/>
                <w:lang w:eastAsia="en-AU"/>
                <w14:ligatures w14:val="standardContextual"/>
              </w:rPr>
              <w:tab/>
            </w:r>
            <w:r w:rsidRPr="0077673D">
              <w:rPr>
                <w:rStyle w:val="Hyperlink"/>
                <w:rFonts w:eastAsia="Calibri"/>
                <w:noProof/>
                <w:lang w:eastAsia="zh-CN"/>
              </w:rPr>
              <w:t>Managing medicine shortages</w:t>
            </w:r>
            <w:r>
              <w:rPr>
                <w:noProof/>
                <w:webHidden/>
              </w:rPr>
              <w:tab/>
            </w:r>
            <w:r>
              <w:rPr>
                <w:noProof/>
                <w:webHidden/>
              </w:rPr>
              <w:fldChar w:fldCharType="begin"/>
            </w:r>
            <w:r>
              <w:rPr>
                <w:noProof/>
                <w:webHidden/>
              </w:rPr>
              <w:instrText xml:space="preserve"> PAGEREF _Toc185417674 \h </w:instrText>
            </w:r>
            <w:r>
              <w:rPr>
                <w:noProof/>
                <w:webHidden/>
              </w:rPr>
            </w:r>
            <w:r>
              <w:rPr>
                <w:noProof/>
                <w:webHidden/>
              </w:rPr>
              <w:fldChar w:fldCharType="separate"/>
            </w:r>
            <w:r>
              <w:rPr>
                <w:noProof/>
                <w:webHidden/>
              </w:rPr>
              <w:t>12</w:t>
            </w:r>
            <w:r>
              <w:rPr>
                <w:noProof/>
                <w:webHidden/>
              </w:rPr>
              <w:fldChar w:fldCharType="end"/>
            </w:r>
          </w:hyperlink>
        </w:p>
        <w:p w14:paraId="4E10FFE6" w14:textId="2B05573A" w:rsidR="005C0514" w:rsidRDefault="005C0514">
          <w:pPr>
            <w:pStyle w:val="TOC1"/>
            <w:rPr>
              <w:rFonts w:asciiTheme="minorHAnsi" w:eastAsiaTheme="minorEastAsia" w:hAnsiTheme="minorHAnsi" w:cstheme="minorBidi"/>
              <w:b w:val="0"/>
              <w:noProof/>
              <w:kern w:val="2"/>
              <w:sz w:val="22"/>
              <w:szCs w:val="22"/>
              <w:lang w:eastAsia="en-AU"/>
              <w14:ligatures w14:val="standardContextual"/>
            </w:rPr>
          </w:pPr>
          <w:hyperlink w:anchor="_Toc185417675" w:history="1">
            <w:r w:rsidRPr="0077673D">
              <w:rPr>
                <w:rStyle w:val="Hyperlink"/>
                <w:noProof/>
              </w:rPr>
              <w:t>8.</w:t>
            </w:r>
            <w:r>
              <w:rPr>
                <w:rFonts w:asciiTheme="minorHAnsi" w:eastAsiaTheme="minorEastAsia" w:hAnsiTheme="minorHAnsi" w:cstheme="minorBidi"/>
                <w:b w:val="0"/>
                <w:noProof/>
                <w:kern w:val="2"/>
                <w:sz w:val="22"/>
                <w:szCs w:val="22"/>
                <w:lang w:eastAsia="en-AU"/>
                <w14:ligatures w14:val="standardContextual"/>
              </w:rPr>
              <w:tab/>
            </w:r>
            <w:r w:rsidRPr="0077673D">
              <w:rPr>
                <w:rStyle w:val="Hyperlink"/>
                <w:noProof/>
              </w:rPr>
              <w:t>Wholesaler Deeds</w:t>
            </w:r>
            <w:r>
              <w:rPr>
                <w:noProof/>
                <w:webHidden/>
              </w:rPr>
              <w:tab/>
            </w:r>
            <w:r>
              <w:rPr>
                <w:noProof/>
                <w:webHidden/>
              </w:rPr>
              <w:fldChar w:fldCharType="begin"/>
            </w:r>
            <w:r>
              <w:rPr>
                <w:noProof/>
                <w:webHidden/>
              </w:rPr>
              <w:instrText xml:space="preserve"> PAGEREF _Toc185417675 \h </w:instrText>
            </w:r>
            <w:r>
              <w:rPr>
                <w:noProof/>
                <w:webHidden/>
              </w:rPr>
            </w:r>
            <w:r>
              <w:rPr>
                <w:noProof/>
                <w:webHidden/>
              </w:rPr>
              <w:fldChar w:fldCharType="separate"/>
            </w:r>
            <w:r>
              <w:rPr>
                <w:noProof/>
                <w:webHidden/>
              </w:rPr>
              <w:t>13</w:t>
            </w:r>
            <w:r>
              <w:rPr>
                <w:noProof/>
                <w:webHidden/>
              </w:rPr>
              <w:fldChar w:fldCharType="end"/>
            </w:r>
          </w:hyperlink>
        </w:p>
        <w:p w14:paraId="7D35F2BE" w14:textId="2B48E4F5" w:rsidR="005C0514" w:rsidRDefault="005C0514">
          <w:pPr>
            <w:pStyle w:val="TOC1"/>
            <w:rPr>
              <w:rFonts w:asciiTheme="minorHAnsi" w:eastAsiaTheme="minorEastAsia" w:hAnsiTheme="minorHAnsi" w:cstheme="minorBidi"/>
              <w:b w:val="0"/>
              <w:noProof/>
              <w:kern w:val="2"/>
              <w:sz w:val="22"/>
              <w:szCs w:val="22"/>
              <w:lang w:eastAsia="en-AU"/>
              <w14:ligatures w14:val="standardContextual"/>
            </w:rPr>
          </w:pPr>
          <w:hyperlink w:anchor="_Toc185417676" w:history="1">
            <w:r w:rsidRPr="0077673D">
              <w:rPr>
                <w:rStyle w:val="Hyperlink"/>
                <w:noProof/>
              </w:rPr>
              <w:t>9.</w:t>
            </w:r>
            <w:r>
              <w:rPr>
                <w:rFonts w:asciiTheme="minorHAnsi" w:eastAsiaTheme="minorEastAsia" w:hAnsiTheme="minorHAnsi" w:cstheme="minorBidi"/>
                <w:b w:val="0"/>
                <w:noProof/>
                <w:kern w:val="2"/>
                <w:sz w:val="22"/>
                <w:szCs w:val="22"/>
                <w:lang w:eastAsia="en-AU"/>
                <w14:ligatures w14:val="standardContextual"/>
              </w:rPr>
              <w:tab/>
            </w:r>
            <w:r w:rsidRPr="0077673D">
              <w:rPr>
                <w:rStyle w:val="Hyperlink"/>
                <w:noProof/>
              </w:rPr>
              <w:t>Agreement Oversight Committee</w:t>
            </w:r>
            <w:r>
              <w:rPr>
                <w:noProof/>
                <w:webHidden/>
              </w:rPr>
              <w:tab/>
            </w:r>
            <w:r>
              <w:rPr>
                <w:noProof/>
                <w:webHidden/>
              </w:rPr>
              <w:fldChar w:fldCharType="begin"/>
            </w:r>
            <w:r>
              <w:rPr>
                <w:noProof/>
                <w:webHidden/>
              </w:rPr>
              <w:instrText xml:space="preserve"> PAGEREF _Toc185417676 \h </w:instrText>
            </w:r>
            <w:r>
              <w:rPr>
                <w:noProof/>
                <w:webHidden/>
              </w:rPr>
            </w:r>
            <w:r>
              <w:rPr>
                <w:noProof/>
                <w:webHidden/>
              </w:rPr>
              <w:fldChar w:fldCharType="separate"/>
            </w:r>
            <w:r>
              <w:rPr>
                <w:noProof/>
                <w:webHidden/>
              </w:rPr>
              <w:t>14</w:t>
            </w:r>
            <w:r>
              <w:rPr>
                <w:noProof/>
                <w:webHidden/>
              </w:rPr>
              <w:fldChar w:fldCharType="end"/>
            </w:r>
          </w:hyperlink>
        </w:p>
        <w:p w14:paraId="19AE5B36" w14:textId="481DE11C" w:rsidR="005C0514" w:rsidRDefault="005C0514">
          <w:pPr>
            <w:pStyle w:val="TOC1"/>
            <w:rPr>
              <w:rFonts w:asciiTheme="minorHAnsi" w:eastAsiaTheme="minorEastAsia" w:hAnsiTheme="minorHAnsi" w:cstheme="minorBidi"/>
              <w:b w:val="0"/>
              <w:noProof/>
              <w:kern w:val="2"/>
              <w:sz w:val="22"/>
              <w:szCs w:val="22"/>
              <w:lang w:eastAsia="en-AU"/>
              <w14:ligatures w14:val="standardContextual"/>
            </w:rPr>
          </w:pPr>
          <w:hyperlink w:anchor="_Toc185417677" w:history="1">
            <w:r w:rsidRPr="0077673D">
              <w:rPr>
                <w:rStyle w:val="Hyperlink"/>
                <w:noProof/>
              </w:rPr>
              <w:t>10.</w:t>
            </w:r>
            <w:r>
              <w:rPr>
                <w:rFonts w:asciiTheme="minorHAnsi" w:eastAsiaTheme="minorEastAsia" w:hAnsiTheme="minorHAnsi" w:cstheme="minorBidi"/>
                <w:b w:val="0"/>
                <w:noProof/>
                <w:kern w:val="2"/>
                <w:sz w:val="22"/>
                <w:szCs w:val="22"/>
                <w:lang w:eastAsia="en-AU"/>
                <w14:ligatures w14:val="standardContextual"/>
              </w:rPr>
              <w:tab/>
            </w:r>
            <w:r w:rsidRPr="0077673D">
              <w:rPr>
                <w:rStyle w:val="Hyperlink"/>
                <w:noProof/>
              </w:rPr>
              <w:t>Consultation</w:t>
            </w:r>
            <w:r>
              <w:rPr>
                <w:noProof/>
                <w:webHidden/>
              </w:rPr>
              <w:tab/>
            </w:r>
            <w:r>
              <w:rPr>
                <w:noProof/>
                <w:webHidden/>
              </w:rPr>
              <w:fldChar w:fldCharType="begin"/>
            </w:r>
            <w:r>
              <w:rPr>
                <w:noProof/>
                <w:webHidden/>
              </w:rPr>
              <w:instrText xml:space="preserve"> PAGEREF _Toc185417677 \h </w:instrText>
            </w:r>
            <w:r>
              <w:rPr>
                <w:noProof/>
                <w:webHidden/>
              </w:rPr>
            </w:r>
            <w:r>
              <w:rPr>
                <w:noProof/>
                <w:webHidden/>
              </w:rPr>
              <w:fldChar w:fldCharType="separate"/>
            </w:r>
            <w:r>
              <w:rPr>
                <w:noProof/>
                <w:webHidden/>
              </w:rPr>
              <w:t>14</w:t>
            </w:r>
            <w:r>
              <w:rPr>
                <w:noProof/>
                <w:webHidden/>
              </w:rPr>
              <w:fldChar w:fldCharType="end"/>
            </w:r>
          </w:hyperlink>
        </w:p>
        <w:p w14:paraId="50EDE794" w14:textId="57020376" w:rsidR="005C0514" w:rsidRDefault="005C0514">
          <w:pPr>
            <w:pStyle w:val="TOC1"/>
            <w:rPr>
              <w:rFonts w:asciiTheme="minorHAnsi" w:eastAsiaTheme="minorEastAsia" w:hAnsiTheme="minorHAnsi" w:cstheme="minorBidi"/>
              <w:b w:val="0"/>
              <w:noProof/>
              <w:kern w:val="2"/>
              <w:sz w:val="22"/>
              <w:szCs w:val="22"/>
              <w:lang w:eastAsia="en-AU"/>
              <w14:ligatures w14:val="standardContextual"/>
            </w:rPr>
          </w:pPr>
          <w:hyperlink w:anchor="_Toc185417678" w:history="1">
            <w:r w:rsidRPr="0077673D">
              <w:rPr>
                <w:rStyle w:val="Hyperlink"/>
                <w:noProof/>
              </w:rPr>
              <w:t>11.</w:t>
            </w:r>
            <w:r>
              <w:rPr>
                <w:rFonts w:asciiTheme="minorHAnsi" w:eastAsiaTheme="minorEastAsia" w:hAnsiTheme="minorHAnsi" w:cstheme="minorBidi"/>
                <w:b w:val="0"/>
                <w:noProof/>
                <w:kern w:val="2"/>
                <w:sz w:val="22"/>
                <w:szCs w:val="22"/>
                <w:lang w:eastAsia="en-AU"/>
                <w14:ligatures w14:val="standardContextual"/>
              </w:rPr>
              <w:tab/>
            </w:r>
            <w:r w:rsidRPr="0077673D">
              <w:rPr>
                <w:rStyle w:val="Hyperlink"/>
                <w:noProof/>
              </w:rPr>
              <w:t>Improving access to the Repatriation Pharmaceutical Benefits Scheme (RPBS)</w:t>
            </w:r>
            <w:r>
              <w:rPr>
                <w:noProof/>
                <w:webHidden/>
              </w:rPr>
              <w:tab/>
            </w:r>
            <w:r>
              <w:rPr>
                <w:noProof/>
                <w:webHidden/>
              </w:rPr>
              <w:fldChar w:fldCharType="begin"/>
            </w:r>
            <w:r>
              <w:rPr>
                <w:noProof/>
                <w:webHidden/>
              </w:rPr>
              <w:instrText xml:space="preserve"> PAGEREF _Toc185417678 \h </w:instrText>
            </w:r>
            <w:r>
              <w:rPr>
                <w:noProof/>
                <w:webHidden/>
              </w:rPr>
            </w:r>
            <w:r>
              <w:rPr>
                <w:noProof/>
                <w:webHidden/>
              </w:rPr>
              <w:fldChar w:fldCharType="separate"/>
            </w:r>
            <w:r>
              <w:rPr>
                <w:noProof/>
                <w:webHidden/>
              </w:rPr>
              <w:t>14</w:t>
            </w:r>
            <w:r>
              <w:rPr>
                <w:noProof/>
                <w:webHidden/>
              </w:rPr>
              <w:fldChar w:fldCharType="end"/>
            </w:r>
          </w:hyperlink>
        </w:p>
        <w:p w14:paraId="51DA051C" w14:textId="75F65B1D" w:rsidR="005C0514" w:rsidRDefault="005C0514">
          <w:pPr>
            <w:pStyle w:val="TOC1"/>
            <w:rPr>
              <w:rFonts w:asciiTheme="minorHAnsi" w:eastAsiaTheme="minorEastAsia" w:hAnsiTheme="minorHAnsi" w:cstheme="minorBidi"/>
              <w:b w:val="0"/>
              <w:noProof/>
              <w:kern w:val="2"/>
              <w:sz w:val="22"/>
              <w:szCs w:val="22"/>
              <w:lang w:eastAsia="en-AU"/>
              <w14:ligatures w14:val="standardContextual"/>
            </w:rPr>
          </w:pPr>
          <w:hyperlink w:anchor="_Toc185417679" w:history="1">
            <w:r w:rsidRPr="0077673D">
              <w:rPr>
                <w:rStyle w:val="Hyperlink"/>
                <w:noProof/>
              </w:rPr>
              <w:t>12.</w:t>
            </w:r>
            <w:r>
              <w:rPr>
                <w:rFonts w:asciiTheme="minorHAnsi" w:eastAsiaTheme="minorEastAsia" w:hAnsiTheme="minorHAnsi" w:cstheme="minorBidi"/>
                <w:b w:val="0"/>
                <w:noProof/>
                <w:kern w:val="2"/>
                <w:sz w:val="22"/>
                <w:szCs w:val="22"/>
                <w:lang w:eastAsia="en-AU"/>
                <w14:ligatures w14:val="standardContextual"/>
              </w:rPr>
              <w:tab/>
            </w:r>
            <w:r w:rsidRPr="0077673D">
              <w:rPr>
                <w:rStyle w:val="Hyperlink"/>
                <w:noProof/>
              </w:rPr>
              <w:t>Issue resolution</w:t>
            </w:r>
            <w:r>
              <w:rPr>
                <w:noProof/>
                <w:webHidden/>
              </w:rPr>
              <w:tab/>
            </w:r>
            <w:r>
              <w:rPr>
                <w:noProof/>
                <w:webHidden/>
              </w:rPr>
              <w:fldChar w:fldCharType="begin"/>
            </w:r>
            <w:r>
              <w:rPr>
                <w:noProof/>
                <w:webHidden/>
              </w:rPr>
              <w:instrText xml:space="preserve"> PAGEREF _Toc185417679 \h </w:instrText>
            </w:r>
            <w:r>
              <w:rPr>
                <w:noProof/>
                <w:webHidden/>
              </w:rPr>
            </w:r>
            <w:r>
              <w:rPr>
                <w:noProof/>
                <w:webHidden/>
              </w:rPr>
              <w:fldChar w:fldCharType="separate"/>
            </w:r>
            <w:r>
              <w:rPr>
                <w:noProof/>
                <w:webHidden/>
              </w:rPr>
              <w:t>14</w:t>
            </w:r>
            <w:r>
              <w:rPr>
                <w:noProof/>
                <w:webHidden/>
              </w:rPr>
              <w:fldChar w:fldCharType="end"/>
            </w:r>
          </w:hyperlink>
        </w:p>
        <w:p w14:paraId="3402F60A" w14:textId="031A87F5" w:rsidR="005C0514" w:rsidRDefault="005C0514">
          <w:pPr>
            <w:pStyle w:val="TOC1"/>
            <w:rPr>
              <w:rFonts w:asciiTheme="minorHAnsi" w:eastAsiaTheme="minorEastAsia" w:hAnsiTheme="minorHAnsi" w:cstheme="minorBidi"/>
              <w:b w:val="0"/>
              <w:noProof/>
              <w:kern w:val="2"/>
              <w:sz w:val="22"/>
              <w:szCs w:val="22"/>
              <w:lang w:eastAsia="en-AU"/>
              <w14:ligatures w14:val="standardContextual"/>
            </w:rPr>
          </w:pPr>
          <w:hyperlink w:anchor="_Toc185417680" w:history="1">
            <w:r w:rsidRPr="0077673D">
              <w:rPr>
                <w:rStyle w:val="Hyperlink"/>
                <w:noProof/>
              </w:rPr>
              <w:t>13.</w:t>
            </w:r>
            <w:r>
              <w:rPr>
                <w:rFonts w:asciiTheme="minorHAnsi" w:eastAsiaTheme="minorEastAsia" w:hAnsiTheme="minorHAnsi" w:cstheme="minorBidi"/>
                <w:b w:val="0"/>
                <w:noProof/>
                <w:kern w:val="2"/>
                <w:sz w:val="22"/>
                <w:szCs w:val="22"/>
                <w:lang w:eastAsia="en-AU"/>
                <w14:ligatures w14:val="standardContextual"/>
              </w:rPr>
              <w:tab/>
            </w:r>
            <w:r w:rsidRPr="0077673D">
              <w:rPr>
                <w:rStyle w:val="Hyperlink"/>
                <w:noProof/>
              </w:rPr>
              <w:t>Assistance with inquiries</w:t>
            </w:r>
            <w:r>
              <w:rPr>
                <w:noProof/>
                <w:webHidden/>
              </w:rPr>
              <w:tab/>
            </w:r>
            <w:r>
              <w:rPr>
                <w:noProof/>
                <w:webHidden/>
              </w:rPr>
              <w:fldChar w:fldCharType="begin"/>
            </w:r>
            <w:r>
              <w:rPr>
                <w:noProof/>
                <w:webHidden/>
              </w:rPr>
              <w:instrText xml:space="preserve"> PAGEREF _Toc185417680 \h </w:instrText>
            </w:r>
            <w:r>
              <w:rPr>
                <w:noProof/>
                <w:webHidden/>
              </w:rPr>
            </w:r>
            <w:r>
              <w:rPr>
                <w:noProof/>
                <w:webHidden/>
              </w:rPr>
              <w:fldChar w:fldCharType="separate"/>
            </w:r>
            <w:r>
              <w:rPr>
                <w:noProof/>
                <w:webHidden/>
              </w:rPr>
              <w:t>15</w:t>
            </w:r>
            <w:r>
              <w:rPr>
                <w:noProof/>
                <w:webHidden/>
              </w:rPr>
              <w:fldChar w:fldCharType="end"/>
            </w:r>
          </w:hyperlink>
        </w:p>
        <w:p w14:paraId="70A5A290" w14:textId="2822A039" w:rsidR="005C0514" w:rsidRDefault="005C0514">
          <w:pPr>
            <w:pStyle w:val="TOC1"/>
            <w:rPr>
              <w:rFonts w:asciiTheme="minorHAnsi" w:eastAsiaTheme="minorEastAsia" w:hAnsiTheme="minorHAnsi" w:cstheme="minorBidi"/>
              <w:b w:val="0"/>
              <w:noProof/>
              <w:kern w:val="2"/>
              <w:sz w:val="22"/>
              <w:szCs w:val="22"/>
              <w:lang w:eastAsia="en-AU"/>
              <w14:ligatures w14:val="standardContextual"/>
            </w:rPr>
          </w:pPr>
          <w:hyperlink w:anchor="_Toc185417681" w:history="1">
            <w:r w:rsidRPr="0077673D">
              <w:rPr>
                <w:rStyle w:val="Hyperlink"/>
                <w:noProof/>
              </w:rPr>
              <w:t>14.</w:t>
            </w:r>
            <w:r>
              <w:rPr>
                <w:rFonts w:asciiTheme="minorHAnsi" w:eastAsiaTheme="minorEastAsia" w:hAnsiTheme="minorHAnsi" w:cstheme="minorBidi"/>
                <w:b w:val="0"/>
                <w:noProof/>
                <w:kern w:val="2"/>
                <w:sz w:val="22"/>
                <w:szCs w:val="22"/>
                <w:lang w:eastAsia="en-AU"/>
                <w14:ligatures w14:val="standardContextual"/>
              </w:rPr>
              <w:tab/>
            </w:r>
            <w:r w:rsidRPr="0077673D">
              <w:rPr>
                <w:rStyle w:val="Hyperlink"/>
                <w:noProof/>
              </w:rPr>
              <w:t>Other general matters</w:t>
            </w:r>
            <w:r>
              <w:rPr>
                <w:noProof/>
                <w:webHidden/>
              </w:rPr>
              <w:tab/>
            </w:r>
            <w:r>
              <w:rPr>
                <w:noProof/>
                <w:webHidden/>
              </w:rPr>
              <w:fldChar w:fldCharType="begin"/>
            </w:r>
            <w:r>
              <w:rPr>
                <w:noProof/>
                <w:webHidden/>
              </w:rPr>
              <w:instrText xml:space="preserve"> PAGEREF _Toc185417681 \h </w:instrText>
            </w:r>
            <w:r>
              <w:rPr>
                <w:noProof/>
                <w:webHidden/>
              </w:rPr>
            </w:r>
            <w:r>
              <w:rPr>
                <w:noProof/>
                <w:webHidden/>
              </w:rPr>
              <w:fldChar w:fldCharType="separate"/>
            </w:r>
            <w:r>
              <w:rPr>
                <w:noProof/>
                <w:webHidden/>
              </w:rPr>
              <w:t>15</w:t>
            </w:r>
            <w:r>
              <w:rPr>
                <w:noProof/>
                <w:webHidden/>
              </w:rPr>
              <w:fldChar w:fldCharType="end"/>
            </w:r>
          </w:hyperlink>
        </w:p>
        <w:p w14:paraId="1D5A72B7" w14:textId="0C3CD7E4" w:rsidR="005C0514" w:rsidRDefault="005C0514">
          <w:pPr>
            <w:pStyle w:val="TOC1"/>
            <w:rPr>
              <w:rFonts w:asciiTheme="minorHAnsi" w:eastAsiaTheme="minorEastAsia" w:hAnsiTheme="minorHAnsi" w:cstheme="minorBidi"/>
              <w:b w:val="0"/>
              <w:noProof/>
              <w:kern w:val="2"/>
              <w:sz w:val="22"/>
              <w:szCs w:val="22"/>
              <w:lang w:eastAsia="en-AU"/>
              <w14:ligatures w14:val="standardContextual"/>
            </w:rPr>
          </w:pPr>
          <w:hyperlink w:anchor="_Toc185417682" w:history="1">
            <w:r w:rsidRPr="0077673D">
              <w:rPr>
                <w:rStyle w:val="Hyperlink"/>
                <w:noProof/>
              </w:rPr>
              <w:t>15.</w:t>
            </w:r>
            <w:r>
              <w:rPr>
                <w:rFonts w:asciiTheme="minorHAnsi" w:eastAsiaTheme="minorEastAsia" w:hAnsiTheme="minorHAnsi" w:cstheme="minorBidi"/>
                <w:b w:val="0"/>
                <w:noProof/>
                <w:kern w:val="2"/>
                <w:sz w:val="22"/>
                <w:szCs w:val="22"/>
                <w:lang w:eastAsia="en-AU"/>
                <w14:ligatures w14:val="standardContextual"/>
              </w:rPr>
              <w:tab/>
            </w:r>
            <w:r w:rsidRPr="0077673D">
              <w:rPr>
                <w:rStyle w:val="Hyperlink"/>
                <w:noProof/>
              </w:rPr>
              <w:t>Notices</w:t>
            </w:r>
            <w:r>
              <w:rPr>
                <w:noProof/>
                <w:webHidden/>
              </w:rPr>
              <w:tab/>
            </w:r>
            <w:r>
              <w:rPr>
                <w:noProof/>
                <w:webHidden/>
              </w:rPr>
              <w:fldChar w:fldCharType="begin"/>
            </w:r>
            <w:r>
              <w:rPr>
                <w:noProof/>
                <w:webHidden/>
              </w:rPr>
              <w:instrText xml:space="preserve"> PAGEREF _Toc185417682 \h </w:instrText>
            </w:r>
            <w:r>
              <w:rPr>
                <w:noProof/>
                <w:webHidden/>
              </w:rPr>
            </w:r>
            <w:r>
              <w:rPr>
                <w:noProof/>
                <w:webHidden/>
              </w:rPr>
              <w:fldChar w:fldCharType="separate"/>
            </w:r>
            <w:r>
              <w:rPr>
                <w:noProof/>
                <w:webHidden/>
              </w:rPr>
              <w:t>16</w:t>
            </w:r>
            <w:r>
              <w:rPr>
                <w:noProof/>
                <w:webHidden/>
              </w:rPr>
              <w:fldChar w:fldCharType="end"/>
            </w:r>
          </w:hyperlink>
        </w:p>
        <w:p w14:paraId="31EF8875" w14:textId="628BDD8C" w:rsidR="005C0514" w:rsidRDefault="005C0514">
          <w:pPr>
            <w:pStyle w:val="TOC1"/>
            <w:rPr>
              <w:rFonts w:asciiTheme="minorHAnsi" w:eastAsiaTheme="minorEastAsia" w:hAnsiTheme="minorHAnsi" w:cstheme="minorBidi"/>
              <w:b w:val="0"/>
              <w:noProof/>
              <w:kern w:val="2"/>
              <w:sz w:val="22"/>
              <w:szCs w:val="22"/>
              <w:lang w:eastAsia="en-AU"/>
              <w14:ligatures w14:val="standardContextual"/>
            </w:rPr>
          </w:pPr>
          <w:hyperlink w:anchor="_Toc185417683" w:history="1">
            <w:r w:rsidRPr="0077673D">
              <w:rPr>
                <w:rStyle w:val="Hyperlink"/>
                <w:noProof/>
              </w:rPr>
              <w:t>16.</w:t>
            </w:r>
            <w:r>
              <w:rPr>
                <w:rFonts w:asciiTheme="minorHAnsi" w:eastAsiaTheme="minorEastAsia" w:hAnsiTheme="minorHAnsi" w:cstheme="minorBidi"/>
                <w:b w:val="0"/>
                <w:noProof/>
                <w:kern w:val="2"/>
                <w:sz w:val="22"/>
                <w:szCs w:val="22"/>
                <w:lang w:eastAsia="en-AU"/>
                <w14:ligatures w14:val="standardContextual"/>
              </w:rPr>
              <w:tab/>
            </w:r>
            <w:r w:rsidRPr="0077673D">
              <w:rPr>
                <w:rStyle w:val="Hyperlink"/>
                <w:noProof/>
              </w:rPr>
              <w:t>Interpretation</w:t>
            </w:r>
            <w:r>
              <w:rPr>
                <w:noProof/>
                <w:webHidden/>
              </w:rPr>
              <w:tab/>
            </w:r>
            <w:r>
              <w:rPr>
                <w:noProof/>
                <w:webHidden/>
              </w:rPr>
              <w:fldChar w:fldCharType="begin"/>
            </w:r>
            <w:r>
              <w:rPr>
                <w:noProof/>
                <w:webHidden/>
              </w:rPr>
              <w:instrText xml:space="preserve"> PAGEREF _Toc185417683 \h </w:instrText>
            </w:r>
            <w:r>
              <w:rPr>
                <w:noProof/>
                <w:webHidden/>
              </w:rPr>
            </w:r>
            <w:r>
              <w:rPr>
                <w:noProof/>
                <w:webHidden/>
              </w:rPr>
              <w:fldChar w:fldCharType="separate"/>
            </w:r>
            <w:r>
              <w:rPr>
                <w:noProof/>
                <w:webHidden/>
              </w:rPr>
              <w:t>16</w:t>
            </w:r>
            <w:r>
              <w:rPr>
                <w:noProof/>
                <w:webHidden/>
              </w:rPr>
              <w:fldChar w:fldCharType="end"/>
            </w:r>
          </w:hyperlink>
        </w:p>
        <w:p w14:paraId="4D52D043" w14:textId="0048467F" w:rsidR="005C0514" w:rsidRDefault="005C0514">
          <w:pPr>
            <w:pStyle w:val="TOC1"/>
            <w:rPr>
              <w:rFonts w:asciiTheme="minorHAnsi" w:eastAsiaTheme="minorEastAsia" w:hAnsiTheme="minorHAnsi" w:cstheme="minorBidi"/>
              <w:b w:val="0"/>
              <w:noProof/>
              <w:kern w:val="2"/>
              <w:sz w:val="22"/>
              <w:szCs w:val="22"/>
              <w:lang w:eastAsia="en-AU"/>
              <w14:ligatures w14:val="standardContextual"/>
            </w:rPr>
          </w:pPr>
          <w:hyperlink w:anchor="_Toc185417684" w:history="1">
            <w:r w:rsidRPr="0077673D">
              <w:rPr>
                <w:rStyle w:val="Hyperlink"/>
                <w:noProof/>
              </w:rPr>
              <w:t>17.</w:t>
            </w:r>
            <w:r>
              <w:rPr>
                <w:rFonts w:asciiTheme="minorHAnsi" w:eastAsiaTheme="minorEastAsia" w:hAnsiTheme="minorHAnsi" w:cstheme="minorBidi"/>
                <w:b w:val="0"/>
                <w:noProof/>
                <w:kern w:val="2"/>
                <w:sz w:val="22"/>
                <w:szCs w:val="22"/>
                <w:lang w:eastAsia="en-AU"/>
                <w14:ligatures w14:val="standardContextual"/>
              </w:rPr>
              <w:tab/>
            </w:r>
            <w:r w:rsidRPr="0077673D">
              <w:rPr>
                <w:rStyle w:val="Hyperlink"/>
                <w:noProof/>
              </w:rPr>
              <w:t>Definitions</w:t>
            </w:r>
            <w:r>
              <w:rPr>
                <w:noProof/>
                <w:webHidden/>
              </w:rPr>
              <w:tab/>
            </w:r>
            <w:r>
              <w:rPr>
                <w:noProof/>
                <w:webHidden/>
              </w:rPr>
              <w:fldChar w:fldCharType="begin"/>
            </w:r>
            <w:r>
              <w:rPr>
                <w:noProof/>
                <w:webHidden/>
              </w:rPr>
              <w:instrText xml:space="preserve"> PAGEREF _Toc185417684 \h </w:instrText>
            </w:r>
            <w:r>
              <w:rPr>
                <w:noProof/>
                <w:webHidden/>
              </w:rPr>
            </w:r>
            <w:r>
              <w:rPr>
                <w:noProof/>
                <w:webHidden/>
              </w:rPr>
              <w:fldChar w:fldCharType="separate"/>
            </w:r>
            <w:r>
              <w:rPr>
                <w:noProof/>
                <w:webHidden/>
              </w:rPr>
              <w:t>17</w:t>
            </w:r>
            <w:r>
              <w:rPr>
                <w:noProof/>
                <w:webHidden/>
              </w:rPr>
              <w:fldChar w:fldCharType="end"/>
            </w:r>
          </w:hyperlink>
        </w:p>
        <w:p w14:paraId="7D0C796C" w14:textId="1AF900E0" w:rsidR="005C0514" w:rsidRDefault="005C0514">
          <w:pPr>
            <w:pStyle w:val="TOC1"/>
            <w:rPr>
              <w:rFonts w:asciiTheme="minorHAnsi" w:eastAsiaTheme="minorEastAsia" w:hAnsiTheme="minorHAnsi" w:cstheme="minorBidi"/>
              <w:b w:val="0"/>
              <w:noProof/>
              <w:kern w:val="2"/>
              <w:sz w:val="22"/>
              <w:szCs w:val="22"/>
              <w:lang w:eastAsia="en-AU"/>
              <w14:ligatures w14:val="standardContextual"/>
            </w:rPr>
          </w:pPr>
          <w:hyperlink w:anchor="_Toc185417685" w:history="1">
            <w:r w:rsidRPr="0077673D">
              <w:rPr>
                <w:rStyle w:val="Hyperlink"/>
                <w:noProof/>
              </w:rPr>
              <w:t>Signing page</w:t>
            </w:r>
            <w:r>
              <w:rPr>
                <w:noProof/>
                <w:webHidden/>
              </w:rPr>
              <w:tab/>
            </w:r>
            <w:r>
              <w:rPr>
                <w:noProof/>
                <w:webHidden/>
              </w:rPr>
              <w:fldChar w:fldCharType="begin"/>
            </w:r>
            <w:r>
              <w:rPr>
                <w:noProof/>
                <w:webHidden/>
              </w:rPr>
              <w:instrText xml:space="preserve"> PAGEREF _Toc185417685 \h </w:instrText>
            </w:r>
            <w:r>
              <w:rPr>
                <w:noProof/>
                <w:webHidden/>
              </w:rPr>
            </w:r>
            <w:r>
              <w:rPr>
                <w:noProof/>
                <w:webHidden/>
              </w:rPr>
              <w:fldChar w:fldCharType="separate"/>
            </w:r>
            <w:r>
              <w:rPr>
                <w:noProof/>
                <w:webHidden/>
              </w:rPr>
              <w:t>21</w:t>
            </w:r>
            <w:r>
              <w:rPr>
                <w:noProof/>
                <w:webHidden/>
              </w:rPr>
              <w:fldChar w:fldCharType="end"/>
            </w:r>
          </w:hyperlink>
        </w:p>
        <w:p w14:paraId="629B1154" w14:textId="5D84EB0C" w:rsidR="005C0514" w:rsidRDefault="005C0514">
          <w:pPr>
            <w:pStyle w:val="TOC1"/>
            <w:rPr>
              <w:rFonts w:asciiTheme="minorHAnsi" w:eastAsiaTheme="minorEastAsia" w:hAnsiTheme="minorHAnsi" w:cstheme="minorBidi"/>
              <w:b w:val="0"/>
              <w:noProof/>
              <w:kern w:val="2"/>
              <w:sz w:val="22"/>
              <w:szCs w:val="22"/>
              <w:lang w:eastAsia="en-AU"/>
              <w14:ligatures w14:val="standardContextual"/>
            </w:rPr>
          </w:pPr>
          <w:hyperlink w:anchor="_Toc185417686" w:history="1">
            <w:r w:rsidRPr="0077673D">
              <w:rPr>
                <w:rStyle w:val="Hyperlink"/>
                <w:noProof/>
              </w:rPr>
              <w:t>Appendix A – Signatories</w:t>
            </w:r>
            <w:r>
              <w:rPr>
                <w:noProof/>
                <w:webHidden/>
              </w:rPr>
              <w:tab/>
            </w:r>
            <w:r>
              <w:rPr>
                <w:noProof/>
                <w:webHidden/>
              </w:rPr>
              <w:fldChar w:fldCharType="begin"/>
            </w:r>
            <w:r>
              <w:rPr>
                <w:noProof/>
                <w:webHidden/>
              </w:rPr>
              <w:instrText xml:space="preserve"> PAGEREF _Toc185417686 \h </w:instrText>
            </w:r>
            <w:r>
              <w:rPr>
                <w:noProof/>
                <w:webHidden/>
              </w:rPr>
            </w:r>
            <w:r>
              <w:rPr>
                <w:noProof/>
                <w:webHidden/>
              </w:rPr>
              <w:fldChar w:fldCharType="separate"/>
            </w:r>
            <w:r>
              <w:rPr>
                <w:noProof/>
                <w:webHidden/>
              </w:rPr>
              <w:t>22</w:t>
            </w:r>
            <w:r>
              <w:rPr>
                <w:noProof/>
                <w:webHidden/>
              </w:rPr>
              <w:fldChar w:fldCharType="end"/>
            </w:r>
          </w:hyperlink>
        </w:p>
        <w:p w14:paraId="71F4AF56" w14:textId="1A126CE3" w:rsidR="005C0514" w:rsidRDefault="005C0514">
          <w:pPr>
            <w:pStyle w:val="TOC1"/>
            <w:rPr>
              <w:rFonts w:asciiTheme="minorHAnsi" w:eastAsiaTheme="minorEastAsia" w:hAnsiTheme="minorHAnsi" w:cstheme="minorBidi"/>
              <w:b w:val="0"/>
              <w:noProof/>
              <w:kern w:val="2"/>
              <w:sz w:val="22"/>
              <w:szCs w:val="22"/>
              <w:lang w:eastAsia="en-AU"/>
              <w14:ligatures w14:val="standardContextual"/>
            </w:rPr>
          </w:pPr>
          <w:hyperlink w:anchor="_Toc185417687" w:history="1">
            <w:r w:rsidRPr="0077673D">
              <w:rPr>
                <w:rStyle w:val="Hyperlink"/>
                <w:noProof/>
              </w:rPr>
              <w:t>Appendix B – Estimated CSO Pool Value over the Agreement Term</w:t>
            </w:r>
            <w:r>
              <w:rPr>
                <w:noProof/>
                <w:webHidden/>
              </w:rPr>
              <w:tab/>
            </w:r>
            <w:r>
              <w:rPr>
                <w:noProof/>
                <w:webHidden/>
              </w:rPr>
              <w:fldChar w:fldCharType="begin"/>
            </w:r>
            <w:r>
              <w:rPr>
                <w:noProof/>
                <w:webHidden/>
              </w:rPr>
              <w:instrText xml:space="preserve"> PAGEREF _Toc185417687 \h </w:instrText>
            </w:r>
            <w:r>
              <w:rPr>
                <w:noProof/>
                <w:webHidden/>
              </w:rPr>
            </w:r>
            <w:r>
              <w:rPr>
                <w:noProof/>
                <w:webHidden/>
              </w:rPr>
              <w:fldChar w:fldCharType="separate"/>
            </w:r>
            <w:r>
              <w:rPr>
                <w:noProof/>
                <w:webHidden/>
              </w:rPr>
              <w:t>23</w:t>
            </w:r>
            <w:r>
              <w:rPr>
                <w:noProof/>
                <w:webHidden/>
              </w:rPr>
              <w:fldChar w:fldCharType="end"/>
            </w:r>
          </w:hyperlink>
        </w:p>
        <w:p w14:paraId="52F75EB1" w14:textId="5DBA40D4" w:rsidR="005C0514" w:rsidRDefault="005C0514">
          <w:pPr>
            <w:pStyle w:val="TOC1"/>
            <w:rPr>
              <w:rFonts w:asciiTheme="minorHAnsi" w:eastAsiaTheme="minorEastAsia" w:hAnsiTheme="minorHAnsi" w:cstheme="minorBidi"/>
              <w:b w:val="0"/>
              <w:noProof/>
              <w:kern w:val="2"/>
              <w:sz w:val="22"/>
              <w:szCs w:val="22"/>
              <w:lang w:eastAsia="en-AU"/>
              <w14:ligatures w14:val="standardContextual"/>
            </w:rPr>
          </w:pPr>
          <w:hyperlink w:anchor="_Toc185417688" w:history="1">
            <w:r w:rsidRPr="0077673D">
              <w:rPr>
                <w:rStyle w:val="Hyperlink"/>
                <w:noProof/>
              </w:rPr>
              <w:t>Appendix C – Terms of Reference for the Pharmaceutical Wholesaler Agreement Oversight Committee</w:t>
            </w:r>
            <w:r>
              <w:rPr>
                <w:noProof/>
                <w:webHidden/>
              </w:rPr>
              <w:tab/>
            </w:r>
            <w:r>
              <w:rPr>
                <w:noProof/>
                <w:webHidden/>
              </w:rPr>
              <w:fldChar w:fldCharType="begin"/>
            </w:r>
            <w:r>
              <w:rPr>
                <w:noProof/>
                <w:webHidden/>
              </w:rPr>
              <w:instrText xml:space="preserve"> PAGEREF _Toc185417688 \h </w:instrText>
            </w:r>
            <w:r>
              <w:rPr>
                <w:noProof/>
                <w:webHidden/>
              </w:rPr>
            </w:r>
            <w:r>
              <w:rPr>
                <w:noProof/>
                <w:webHidden/>
              </w:rPr>
              <w:fldChar w:fldCharType="separate"/>
            </w:r>
            <w:r>
              <w:rPr>
                <w:noProof/>
                <w:webHidden/>
              </w:rPr>
              <w:t>24</w:t>
            </w:r>
            <w:r>
              <w:rPr>
                <w:noProof/>
                <w:webHidden/>
              </w:rPr>
              <w:fldChar w:fldCharType="end"/>
            </w:r>
          </w:hyperlink>
        </w:p>
        <w:p w14:paraId="4EB78149" w14:textId="76F88E3B" w:rsidR="00E9176D" w:rsidRPr="009D3B53" w:rsidRDefault="00257696" w:rsidP="00E9176D">
          <w:pPr>
            <w:sectPr w:rsidR="00E9176D" w:rsidRPr="009D3B53" w:rsidSect="003E5899">
              <w:headerReference w:type="even" r:id="rId12"/>
              <w:headerReference w:type="default" r:id="rId13"/>
              <w:footerReference w:type="even" r:id="rId14"/>
              <w:footerReference w:type="default" r:id="rId15"/>
              <w:headerReference w:type="first" r:id="rId16"/>
              <w:footerReference w:type="first" r:id="rId17"/>
              <w:pgSz w:w="11906" w:h="16838" w:code="9"/>
              <w:pgMar w:top="1442" w:right="1418" w:bottom="1276" w:left="1418" w:header="567" w:footer="567" w:gutter="0"/>
              <w:cols w:space="708"/>
              <w:docGrid w:linePitch="360"/>
            </w:sectPr>
          </w:pPr>
          <w:r>
            <w:rPr>
              <w:b/>
              <w:lang w:eastAsia="en-US"/>
            </w:rPr>
            <w:fldChar w:fldCharType="end"/>
          </w:r>
        </w:p>
      </w:sdtContent>
    </w:sdt>
    <w:p w14:paraId="76C9BD01" w14:textId="77777777" w:rsidR="00E9176D" w:rsidRPr="009D3B53" w:rsidRDefault="00E627CE" w:rsidP="00E46467">
      <w:pPr>
        <w:pStyle w:val="mainTitle"/>
      </w:pPr>
      <w:bookmarkStart w:id="1" w:name="_Toc185417666"/>
      <w:r>
        <w:lastRenderedPageBreak/>
        <w:t>Background</w:t>
      </w:r>
      <w:bookmarkEnd w:id="1"/>
    </w:p>
    <w:p w14:paraId="6C8E41A2" w14:textId="64E8D9B9" w:rsidR="00756C77" w:rsidRPr="0000737D" w:rsidRDefault="00756C77" w:rsidP="00BD0378">
      <w:pPr>
        <w:pStyle w:val="legalRecital1"/>
      </w:pPr>
      <w:bookmarkStart w:id="2" w:name="_Ref419744243"/>
      <w:r w:rsidRPr="0000737D">
        <w:t>This Agreement is the Pharmaceutical Wholesaler Agreement between the Minister for Health and Aged Care (acting on behalf of the Commonwealth of Australia) and the National Pharmaceutical Services Association</w:t>
      </w:r>
      <w:r w:rsidR="00072A94" w:rsidRPr="0000737D">
        <w:t xml:space="preserve"> Limited (</w:t>
      </w:r>
      <w:r w:rsidR="00134039" w:rsidRPr="001F36E4">
        <w:rPr>
          <w:b/>
          <w:bCs/>
        </w:rPr>
        <w:t>Association</w:t>
      </w:r>
      <w:r w:rsidR="00134039">
        <w:t xml:space="preserve">). It reflects the position reached by the Commonwealth of Australia </w:t>
      </w:r>
      <w:r w:rsidR="00232C08">
        <w:t>(</w:t>
      </w:r>
      <w:r w:rsidR="00232C08" w:rsidRPr="00232C08">
        <w:rPr>
          <w:b/>
          <w:bCs/>
        </w:rPr>
        <w:t>Commonwealth</w:t>
      </w:r>
      <w:r w:rsidR="00232C08">
        <w:t xml:space="preserve">) </w:t>
      </w:r>
      <w:r w:rsidR="00134039">
        <w:t xml:space="preserve">with respect to </w:t>
      </w:r>
      <w:r w:rsidR="00232C08">
        <w:t xml:space="preserve">the </w:t>
      </w:r>
      <w:r w:rsidR="00134039">
        <w:t xml:space="preserve">WMU Payments and CSO Payments </w:t>
      </w:r>
      <w:r w:rsidR="00232C08">
        <w:t xml:space="preserve">that will be made available for </w:t>
      </w:r>
      <w:r w:rsidR="00134039">
        <w:t>pay</w:t>
      </w:r>
      <w:r w:rsidR="00232C08">
        <w:t>ment</w:t>
      </w:r>
      <w:r w:rsidR="00134039">
        <w:t xml:space="preserve"> to Pharmaceutical Wholesalers</w:t>
      </w:r>
      <w:r w:rsidR="00232C08">
        <w:t>,</w:t>
      </w:r>
      <w:r w:rsidR="00134039">
        <w:t xml:space="preserve"> following submissions made by the Association to the Commonwealth.</w:t>
      </w:r>
      <w:r w:rsidRPr="0000737D">
        <w:t xml:space="preserve"> </w:t>
      </w:r>
    </w:p>
    <w:p w14:paraId="5F24EB30" w14:textId="047DB3F6" w:rsidR="008A7C72" w:rsidRDefault="008A7C72" w:rsidP="00BD0378">
      <w:pPr>
        <w:pStyle w:val="legalRecital1"/>
      </w:pPr>
      <w:r>
        <w:t xml:space="preserve">The Association represents the majority (by number and volume) of </w:t>
      </w:r>
      <w:r w:rsidR="00597322">
        <w:t>P</w:t>
      </w:r>
      <w:r>
        <w:t xml:space="preserve">harmaceutical </w:t>
      </w:r>
      <w:r w:rsidR="00597322">
        <w:t>W</w:t>
      </w:r>
      <w:r>
        <w:t>holesalers.</w:t>
      </w:r>
    </w:p>
    <w:p w14:paraId="37C5965C" w14:textId="25739B98" w:rsidR="00756C77" w:rsidRDefault="00756C77" w:rsidP="00BD0378">
      <w:pPr>
        <w:pStyle w:val="legalRecital1"/>
      </w:pPr>
      <w:r>
        <w:t xml:space="preserve">This Agreement recognises the central pillars of the National Medicines Policy 2022, which are: </w:t>
      </w:r>
    </w:p>
    <w:p w14:paraId="3423FB36" w14:textId="77777777" w:rsidR="00756C77" w:rsidRDefault="00756C77" w:rsidP="00756C77">
      <w:pPr>
        <w:pStyle w:val="legalRecital1"/>
        <w:numPr>
          <w:ilvl w:val="1"/>
          <w:numId w:val="3"/>
        </w:numPr>
      </w:pPr>
      <w:r>
        <w:t xml:space="preserve">equitable, timely, safe and reliable access to medicines and medicines-related services, at a cost that individuals and the community can afford; </w:t>
      </w:r>
    </w:p>
    <w:p w14:paraId="5B70C4BB" w14:textId="77777777" w:rsidR="00756C77" w:rsidRDefault="00756C77" w:rsidP="00756C77">
      <w:pPr>
        <w:pStyle w:val="legalRecital1"/>
        <w:numPr>
          <w:ilvl w:val="1"/>
          <w:numId w:val="3"/>
        </w:numPr>
      </w:pPr>
      <w:r>
        <w:t xml:space="preserve">medicines meet the required standards of quality, safety and efficacy; </w:t>
      </w:r>
    </w:p>
    <w:p w14:paraId="3192CA1B" w14:textId="77777777" w:rsidR="00756C77" w:rsidRDefault="00756C77" w:rsidP="00756C77">
      <w:pPr>
        <w:pStyle w:val="legalRecital1"/>
        <w:numPr>
          <w:ilvl w:val="1"/>
          <w:numId w:val="3"/>
        </w:numPr>
      </w:pPr>
      <w:r>
        <w:t xml:space="preserve">quality use of medicines and medicines safety; and </w:t>
      </w:r>
    </w:p>
    <w:p w14:paraId="0C6E6C17" w14:textId="4944EF0D" w:rsidR="00756C77" w:rsidRDefault="00756C77" w:rsidP="00756C77">
      <w:pPr>
        <w:pStyle w:val="legalRecital1"/>
        <w:numPr>
          <w:ilvl w:val="1"/>
          <w:numId w:val="3"/>
        </w:numPr>
      </w:pPr>
      <w:r>
        <w:t xml:space="preserve">collaborative, innovative and sustainable medicines industry and research sectors with the capability, capacity and expertise to respond to current and future health needs. </w:t>
      </w:r>
    </w:p>
    <w:p w14:paraId="70E51F19" w14:textId="38168EC3" w:rsidR="00756C77" w:rsidRDefault="00610F30" w:rsidP="00756C77">
      <w:pPr>
        <w:pStyle w:val="legalRecital1"/>
      </w:pPr>
      <w:r>
        <w:t xml:space="preserve">By </w:t>
      </w:r>
      <w:r w:rsidR="00134039">
        <w:t xml:space="preserve">establishing </w:t>
      </w:r>
      <w:r w:rsidR="00232C08">
        <w:t>the bas</w:t>
      </w:r>
      <w:r w:rsidR="00922AEE">
        <w:t>is of</w:t>
      </w:r>
      <w:r>
        <w:t xml:space="preserve"> the W</w:t>
      </w:r>
      <w:r w:rsidR="00134039">
        <w:t xml:space="preserve">MU Payments and CSO Payments </w:t>
      </w:r>
      <w:r w:rsidR="00232C08">
        <w:t xml:space="preserve">that will </w:t>
      </w:r>
      <w:r w:rsidR="00922AEE">
        <w:t xml:space="preserve">be made available for </w:t>
      </w:r>
      <w:r>
        <w:t>pay</w:t>
      </w:r>
      <w:r w:rsidR="00922AEE">
        <w:t>ment</w:t>
      </w:r>
      <w:r>
        <w:t xml:space="preserve"> to </w:t>
      </w:r>
      <w:r w:rsidR="00506C62">
        <w:t xml:space="preserve">Pharmaceutical </w:t>
      </w:r>
      <w:r>
        <w:t xml:space="preserve">Wholesalers </w:t>
      </w:r>
      <w:r w:rsidR="00922AEE">
        <w:t xml:space="preserve">for </w:t>
      </w:r>
      <w:r>
        <w:t>hold</w:t>
      </w:r>
      <w:r w:rsidR="00922AEE">
        <w:t>ing</w:t>
      </w:r>
      <w:r>
        <w:t xml:space="preserve"> and supply</w:t>
      </w:r>
      <w:r w:rsidR="00922AEE">
        <w:t>ing</w:t>
      </w:r>
      <w:r w:rsidR="00841BEC">
        <w:t xml:space="preserve"> </w:t>
      </w:r>
      <w:r w:rsidR="00552ACA">
        <w:t xml:space="preserve">Pharmaceutical </w:t>
      </w:r>
      <w:r w:rsidR="00841BEC">
        <w:t>Benefits</w:t>
      </w:r>
      <w:r>
        <w:t xml:space="preserve"> in connection with the Pharmaceutical Benefits Scheme, t</w:t>
      </w:r>
      <w:r w:rsidR="00756C77">
        <w:t xml:space="preserve">his Agreement </w:t>
      </w:r>
      <w:bookmarkStart w:id="3" w:name="_Hlk185313101"/>
      <w:r w:rsidR="00756C77">
        <w:t xml:space="preserve">sets the foundation upon which the </w:t>
      </w:r>
      <w:r w:rsidR="00134039">
        <w:t>Commonwealth</w:t>
      </w:r>
      <w:r w:rsidR="00756C77">
        <w:t xml:space="preserve"> and the Association will pursue </w:t>
      </w:r>
      <w:r w:rsidR="00856864">
        <w:t>medicines-</w:t>
      </w:r>
      <w:r w:rsidR="00756C77">
        <w:t>related outcomes aligned with the National Medicines Policy 2022 during the Term.</w:t>
      </w:r>
    </w:p>
    <w:bookmarkEnd w:id="3"/>
    <w:p w14:paraId="033BFAF0" w14:textId="5DA294F9" w:rsidR="009B36BD" w:rsidRDefault="009B36BD" w:rsidP="00756C77">
      <w:pPr>
        <w:pStyle w:val="legalRecital1"/>
      </w:pPr>
      <w:r>
        <w:t>This Agreement is intended to operate separately</w:t>
      </w:r>
      <w:r w:rsidR="00962889">
        <w:t xml:space="preserve"> to</w:t>
      </w:r>
      <w:r>
        <w:t>, but in parallel</w:t>
      </w:r>
      <w:r w:rsidR="00962889">
        <w:t xml:space="preserve"> with</w:t>
      </w:r>
      <w:r w:rsidR="00B32B3E">
        <w:t>,</w:t>
      </w:r>
      <w:r>
        <w:t xml:space="preserve"> the Eighth Community Pharmacy Agreement between the Minister for Health and Aged Care on behalf of the Commonwealth of Australia and the Pharmacy Guild of Australia. </w:t>
      </w:r>
    </w:p>
    <w:p w14:paraId="08D0BE35" w14:textId="77777777" w:rsidR="0023178F" w:rsidRDefault="0023178F" w:rsidP="0023178F">
      <w:pPr>
        <w:spacing w:before="240"/>
      </w:pPr>
    </w:p>
    <w:p w14:paraId="7A882233" w14:textId="75B83D26" w:rsidR="0023178F" w:rsidRDefault="0023178F" w:rsidP="0023178F">
      <w:pPr>
        <w:pStyle w:val="mainTitle"/>
      </w:pPr>
      <w:bookmarkStart w:id="4" w:name="_Toc185417667"/>
      <w:r>
        <w:t>Agreement provisions</w:t>
      </w:r>
      <w:bookmarkEnd w:id="4"/>
    </w:p>
    <w:p w14:paraId="2B609189" w14:textId="7711BF58" w:rsidR="00BB6095" w:rsidRDefault="00BB6095" w:rsidP="00BB6095">
      <w:pPr>
        <w:pStyle w:val="Heading1"/>
      </w:pPr>
      <w:bookmarkStart w:id="5" w:name="_Toc40019966"/>
      <w:bookmarkStart w:id="6" w:name="_Toc40020148"/>
      <w:bookmarkStart w:id="7" w:name="_Toc40019968"/>
      <w:bookmarkStart w:id="8" w:name="_Toc40020150"/>
      <w:bookmarkStart w:id="9" w:name="_Toc40019969"/>
      <w:bookmarkStart w:id="10" w:name="_Toc40020151"/>
      <w:bookmarkStart w:id="11" w:name="_Toc40019970"/>
      <w:bookmarkStart w:id="12" w:name="_Toc40020152"/>
      <w:bookmarkStart w:id="13" w:name="_Toc40019971"/>
      <w:bookmarkStart w:id="14" w:name="_Toc40020153"/>
      <w:bookmarkStart w:id="15" w:name="_Toc40019972"/>
      <w:bookmarkStart w:id="16" w:name="_Toc40020154"/>
      <w:bookmarkStart w:id="17" w:name="_Toc40019977"/>
      <w:bookmarkStart w:id="18" w:name="_Toc40020159"/>
      <w:bookmarkStart w:id="19" w:name="_Toc40019980"/>
      <w:bookmarkStart w:id="20" w:name="_Toc40020162"/>
      <w:bookmarkStart w:id="21" w:name="_Toc40019985"/>
      <w:bookmarkStart w:id="22" w:name="_Toc40020167"/>
      <w:bookmarkStart w:id="23" w:name="_Toc40019987"/>
      <w:bookmarkStart w:id="24" w:name="_Toc40020169"/>
      <w:bookmarkStart w:id="25" w:name="_Toc40019988"/>
      <w:bookmarkStart w:id="26" w:name="_Toc40020170"/>
      <w:bookmarkStart w:id="27" w:name="_Toc40019992"/>
      <w:bookmarkStart w:id="28" w:name="_Toc40020174"/>
      <w:bookmarkStart w:id="29" w:name="_Toc40019994"/>
      <w:bookmarkStart w:id="30" w:name="_Toc40020176"/>
      <w:bookmarkStart w:id="31" w:name="_Toc40019998"/>
      <w:bookmarkStart w:id="32" w:name="_Toc40020180"/>
      <w:bookmarkStart w:id="33" w:name="_Toc40020000"/>
      <w:bookmarkStart w:id="34" w:name="_Toc40020182"/>
      <w:bookmarkStart w:id="35" w:name="_Toc40020003"/>
      <w:bookmarkStart w:id="36" w:name="_Toc40020185"/>
      <w:bookmarkStart w:id="37" w:name="_Toc40020004"/>
      <w:bookmarkStart w:id="38" w:name="_Toc40020186"/>
      <w:bookmarkStart w:id="39" w:name="_Toc40020005"/>
      <w:bookmarkStart w:id="40" w:name="_Toc40020187"/>
      <w:bookmarkStart w:id="41" w:name="_Toc40020006"/>
      <w:bookmarkStart w:id="42" w:name="_Toc40020188"/>
      <w:bookmarkStart w:id="43" w:name="_Toc40020007"/>
      <w:bookmarkStart w:id="44" w:name="_Toc40020189"/>
      <w:bookmarkStart w:id="45" w:name="_Toc40020008"/>
      <w:bookmarkStart w:id="46" w:name="_Toc40020190"/>
      <w:bookmarkStart w:id="47" w:name="_Toc40020010"/>
      <w:bookmarkStart w:id="48" w:name="_Toc40020192"/>
      <w:bookmarkStart w:id="49" w:name="_Toc40020012"/>
      <w:bookmarkStart w:id="50" w:name="_Toc40020194"/>
      <w:bookmarkStart w:id="51" w:name="_Toc40020013"/>
      <w:bookmarkStart w:id="52" w:name="_Toc40020195"/>
      <w:bookmarkStart w:id="53" w:name="_Toc40020014"/>
      <w:bookmarkStart w:id="54" w:name="_Toc40020196"/>
      <w:bookmarkStart w:id="55" w:name="_Toc40020016"/>
      <w:bookmarkStart w:id="56" w:name="_Toc40020198"/>
      <w:bookmarkStart w:id="57" w:name="_Toc40020019"/>
      <w:bookmarkStart w:id="58" w:name="_Toc40020201"/>
      <w:bookmarkStart w:id="59" w:name="_Toc40020020"/>
      <w:bookmarkStart w:id="60" w:name="_Toc40020202"/>
      <w:bookmarkStart w:id="61" w:name="_Toc40020023"/>
      <w:bookmarkStart w:id="62" w:name="_Toc40020205"/>
      <w:bookmarkStart w:id="63" w:name="_Toc40020024"/>
      <w:bookmarkStart w:id="64" w:name="_Toc40020206"/>
      <w:bookmarkStart w:id="65" w:name="_Toc40020025"/>
      <w:bookmarkStart w:id="66" w:name="_Toc40020207"/>
      <w:bookmarkStart w:id="67" w:name="_Toc40020030"/>
      <w:bookmarkStart w:id="68" w:name="_Toc40020212"/>
      <w:bookmarkStart w:id="69" w:name="_Toc40020031"/>
      <w:bookmarkStart w:id="70" w:name="_Toc40020213"/>
      <w:bookmarkStart w:id="71" w:name="_Toc40020034"/>
      <w:bookmarkStart w:id="72" w:name="_Toc40020216"/>
      <w:bookmarkStart w:id="73" w:name="_Toc40020037"/>
      <w:bookmarkStart w:id="74" w:name="_Toc40020219"/>
      <w:bookmarkStart w:id="75" w:name="_Toc40020038"/>
      <w:bookmarkStart w:id="76" w:name="_Toc40020220"/>
      <w:bookmarkStart w:id="77" w:name="_Toc40020039"/>
      <w:bookmarkStart w:id="78" w:name="_Toc40020221"/>
      <w:bookmarkStart w:id="79" w:name="_Toc40020040"/>
      <w:bookmarkStart w:id="80" w:name="_Toc40020222"/>
      <w:bookmarkStart w:id="81" w:name="_Toc40020041"/>
      <w:bookmarkStart w:id="82" w:name="_Toc40020223"/>
      <w:bookmarkStart w:id="83" w:name="_Toc40020042"/>
      <w:bookmarkStart w:id="84" w:name="_Toc40020224"/>
      <w:bookmarkStart w:id="85" w:name="_Toc40020044"/>
      <w:bookmarkStart w:id="86" w:name="_Toc40020226"/>
      <w:bookmarkStart w:id="87" w:name="_Toc40020045"/>
      <w:bookmarkStart w:id="88" w:name="_Toc40020227"/>
      <w:bookmarkStart w:id="89" w:name="_Toc41325109"/>
      <w:bookmarkStart w:id="90" w:name="_Toc41328561"/>
      <w:bookmarkStart w:id="91" w:name="_Toc41335112"/>
      <w:bookmarkStart w:id="92" w:name="_Toc41335281"/>
      <w:bookmarkStart w:id="93" w:name="_Toc41340108"/>
      <w:bookmarkStart w:id="94" w:name="_Toc41345968"/>
      <w:bookmarkStart w:id="95" w:name="_Toc419972401"/>
      <w:bookmarkStart w:id="96" w:name="_Toc419754399"/>
      <w:bookmarkStart w:id="97" w:name="_Toc41325110"/>
      <w:bookmarkStart w:id="98" w:name="_Toc41328562"/>
      <w:bookmarkStart w:id="99" w:name="_Toc41335113"/>
      <w:bookmarkStart w:id="100" w:name="_Toc41335282"/>
      <w:bookmarkStart w:id="101" w:name="_Toc41340109"/>
      <w:bookmarkStart w:id="102" w:name="_Toc41345969"/>
      <w:bookmarkStart w:id="103" w:name="_Toc41325111"/>
      <w:bookmarkStart w:id="104" w:name="_Toc41328563"/>
      <w:bookmarkStart w:id="105" w:name="_Toc41335114"/>
      <w:bookmarkStart w:id="106" w:name="_Toc41335283"/>
      <w:bookmarkStart w:id="107" w:name="_Toc41340110"/>
      <w:bookmarkStart w:id="108" w:name="_Toc41345970"/>
      <w:bookmarkStart w:id="109" w:name="_Toc41325112"/>
      <w:bookmarkStart w:id="110" w:name="_Toc41328564"/>
      <w:bookmarkStart w:id="111" w:name="_Toc41335115"/>
      <w:bookmarkStart w:id="112" w:name="_Toc41335284"/>
      <w:bookmarkStart w:id="113" w:name="_Toc41340111"/>
      <w:bookmarkStart w:id="114" w:name="_Toc41345971"/>
      <w:bookmarkStart w:id="115" w:name="_Toc41325113"/>
      <w:bookmarkStart w:id="116" w:name="_Toc41328565"/>
      <w:bookmarkStart w:id="117" w:name="_Toc41335116"/>
      <w:bookmarkStart w:id="118" w:name="_Toc41335285"/>
      <w:bookmarkStart w:id="119" w:name="_Toc41340112"/>
      <w:bookmarkStart w:id="120" w:name="_Toc41345972"/>
      <w:bookmarkStart w:id="121" w:name="_Toc185417668"/>
      <w:bookmarkStart w:id="122" w:name="_Hlk29207519"/>
      <w:bookmarkStart w:id="123" w:name="_Ref419440279"/>
      <w:bookmarkStart w:id="124" w:name="_Ref419647647"/>
      <w:bookmarkEnd w:id="2"/>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t xml:space="preserve">Overview of </w:t>
      </w:r>
      <w:r w:rsidR="00597322">
        <w:t xml:space="preserve">Pharmaceutical </w:t>
      </w:r>
      <w:r w:rsidR="003D2A10">
        <w:t xml:space="preserve">Wholesaler </w:t>
      </w:r>
      <w:r>
        <w:t>funding</w:t>
      </w:r>
      <w:bookmarkEnd w:id="121"/>
      <w:r>
        <w:t xml:space="preserve"> </w:t>
      </w:r>
    </w:p>
    <w:p w14:paraId="36796B09" w14:textId="2B0D5483" w:rsidR="00B84290" w:rsidRPr="00B84290" w:rsidRDefault="00994FBE" w:rsidP="00586603">
      <w:pPr>
        <w:pStyle w:val="Headingpara2"/>
        <w:keepNext/>
        <w:spacing w:after="120"/>
      </w:pPr>
      <w:bookmarkStart w:id="125" w:name="_Ref184307168"/>
      <w:r>
        <w:t xml:space="preserve">Based on Commonwealth calculations, the amount of $4.21B will be available for the purposes set out in this Agreement. </w:t>
      </w:r>
      <w:r w:rsidR="00BB6095" w:rsidRPr="00994FBE">
        <w:t>Table</w:t>
      </w:r>
      <w:r w:rsidR="00BB6095" w:rsidRPr="00994FBE">
        <w:rPr>
          <w:rFonts w:eastAsiaTheme="minorHAnsi"/>
          <w:noProof/>
        </w:rPr>
        <w:t xml:space="preserve"> </w:t>
      </w:r>
      <w:r w:rsidR="00BB6095" w:rsidRPr="00994FBE">
        <w:t xml:space="preserve">1 sets out details of the expected </w:t>
      </w:r>
      <w:r w:rsidR="00123BDD" w:rsidRPr="00994FBE">
        <w:t xml:space="preserve">combined remuneration of Pharmaceutical Wholesalers </w:t>
      </w:r>
      <w:r w:rsidR="00BB6095" w:rsidRPr="00994FBE">
        <w:t>to be</w:t>
      </w:r>
      <w:r w:rsidR="00BB6095" w:rsidRPr="00B84290">
        <w:t xml:space="preserve"> made by the Commonwealth and patients during the Term.</w:t>
      </w:r>
      <w:bookmarkEnd w:id="125"/>
      <w:r w:rsidR="00084015">
        <w:t xml:space="preserve"> </w:t>
      </w:r>
    </w:p>
    <w:p w14:paraId="3B956DBD" w14:textId="7EE687C7" w:rsidR="00BB6095" w:rsidRDefault="00BB6095" w:rsidP="00954BF2">
      <w:pPr>
        <w:keepNext/>
        <w:spacing w:after="120"/>
        <w:ind w:left="851"/>
        <w:rPr>
          <w:rFonts w:eastAsiaTheme="minorHAnsi"/>
          <w:b/>
          <w:noProof/>
        </w:rPr>
      </w:pPr>
      <w:bookmarkStart w:id="126" w:name="_Hlk41333159"/>
      <w:r w:rsidRPr="00877DAD">
        <w:rPr>
          <w:rFonts w:eastAsiaTheme="minorHAnsi"/>
          <w:b/>
          <w:noProof/>
        </w:rPr>
        <w:t xml:space="preserve">Table 1: Components of </w:t>
      </w:r>
      <w:r w:rsidR="00597322" w:rsidRPr="00597322">
        <w:rPr>
          <w:rFonts w:eastAsiaTheme="minorHAnsi"/>
          <w:b/>
          <w:noProof/>
        </w:rPr>
        <w:t>Pharmaceutical</w:t>
      </w:r>
      <w:r w:rsidR="00EB2A66">
        <w:rPr>
          <w:rFonts w:eastAsiaTheme="minorHAnsi"/>
          <w:b/>
          <w:noProof/>
        </w:rPr>
        <w:t xml:space="preserve"> </w:t>
      </w:r>
      <w:r w:rsidR="0023235B">
        <w:rPr>
          <w:rFonts w:eastAsiaTheme="minorHAnsi"/>
          <w:b/>
          <w:noProof/>
        </w:rPr>
        <w:t xml:space="preserve">Wholesaler </w:t>
      </w:r>
      <w:r w:rsidR="00123D89">
        <w:rPr>
          <w:rFonts w:eastAsiaTheme="minorHAnsi"/>
          <w:b/>
          <w:noProof/>
        </w:rPr>
        <w:t>funding</w:t>
      </w:r>
    </w:p>
    <w:tbl>
      <w:tblPr>
        <w:tblStyle w:val="TableGrid1"/>
        <w:tblW w:w="8363" w:type="dxa"/>
        <w:tblInd w:w="846" w:type="dxa"/>
        <w:tblLook w:val="04A0" w:firstRow="1" w:lastRow="0" w:firstColumn="1" w:lastColumn="0" w:noHBand="0" w:noVBand="1"/>
      </w:tblPr>
      <w:tblGrid>
        <w:gridCol w:w="6237"/>
        <w:gridCol w:w="2126"/>
      </w:tblGrid>
      <w:tr w:rsidR="00994FBE" w:rsidRPr="000D6D0C" w14:paraId="0320CBE1" w14:textId="1B8522B4" w:rsidTr="00994FBE">
        <w:trPr>
          <w:tblHeader/>
        </w:trPr>
        <w:tc>
          <w:tcPr>
            <w:tcW w:w="6237" w:type="dxa"/>
            <w:shd w:val="clear" w:color="auto" w:fill="0070C0"/>
          </w:tcPr>
          <w:bookmarkEnd w:id="126"/>
          <w:p w14:paraId="0EDF43D4" w14:textId="0D41A0D2" w:rsidR="00994FBE" w:rsidRPr="00347E70" w:rsidRDefault="00994FBE" w:rsidP="0023178F">
            <w:pPr>
              <w:keepNext/>
              <w:ind w:left="176"/>
              <w:rPr>
                <w:rFonts w:cs="Arial"/>
                <w:b/>
                <w:noProof/>
                <w:color w:val="FFFFFF" w:themeColor="background1"/>
                <w:sz w:val="20"/>
                <w:szCs w:val="20"/>
              </w:rPr>
            </w:pPr>
            <w:r w:rsidRPr="00347E70">
              <w:rPr>
                <w:rFonts w:cs="Arial"/>
                <w:b/>
                <w:noProof/>
                <w:color w:val="FFFFFF" w:themeColor="background1"/>
                <w:sz w:val="20"/>
                <w:szCs w:val="20"/>
              </w:rPr>
              <w:t>Component</w:t>
            </w:r>
          </w:p>
        </w:tc>
        <w:tc>
          <w:tcPr>
            <w:tcW w:w="2126" w:type="dxa"/>
            <w:shd w:val="clear" w:color="auto" w:fill="0070C0"/>
          </w:tcPr>
          <w:p w14:paraId="156948F6" w14:textId="6CF3E463" w:rsidR="00994FBE" w:rsidRPr="00347E70" w:rsidRDefault="00994FBE" w:rsidP="0023178F">
            <w:pPr>
              <w:keepNext/>
              <w:ind w:left="1" w:hanging="1"/>
              <w:jc w:val="center"/>
              <w:rPr>
                <w:rFonts w:cs="Arial"/>
                <w:b/>
                <w:noProof/>
                <w:color w:val="FFFFFF" w:themeColor="background1"/>
                <w:sz w:val="20"/>
                <w:szCs w:val="20"/>
              </w:rPr>
            </w:pPr>
            <w:r w:rsidRPr="00347E70">
              <w:rPr>
                <w:rFonts w:cs="Arial"/>
                <w:b/>
                <w:noProof/>
                <w:color w:val="FFFFFF" w:themeColor="background1"/>
                <w:sz w:val="20"/>
                <w:szCs w:val="20"/>
              </w:rPr>
              <w:t>$</w:t>
            </w:r>
            <w:r w:rsidR="00FA3E5A">
              <w:rPr>
                <w:rFonts w:cs="Arial"/>
                <w:b/>
                <w:noProof/>
                <w:color w:val="FFFFFF" w:themeColor="background1"/>
                <w:sz w:val="20"/>
                <w:szCs w:val="20"/>
              </w:rPr>
              <w:t>Billion</w:t>
            </w:r>
            <w:r w:rsidR="00FA3E5A" w:rsidRPr="00347E70">
              <w:rPr>
                <w:rFonts w:cs="Arial"/>
                <w:b/>
                <w:noProof/>
                <w:color w:val="FFFFFF" w:themeColor="background1"/>
                <w:sz w:val="20"/>
                <w:szCs w:val="20"/>
              </w:rPr>
              <w:t xml:space="preserve"> </w:t>
            </w:r>
            <w:r w:rsidRPr="00347E70">
              <w:rPr>
                <w:rFonts w:cs="Arial"/>
                <w:b/>
                <w:noProof/>
                <w:color w:val="FFFFFF" w:themeColor="background1"/>
                <w:sz w:val="20"/>
                <w:szCs w:val="20"/>
              </w:rPr>
              <w:t>(estimated)</w:t>
            </w:r>
          </w:p>
        </w:tc>
      </w:tr>
      <w:tr w:rsidR="00994FBE" w:rsidRPr="000D6D0C" w14:paraId="5ED71158" w14:textId="3F7169F3" w:rsidTr="00994FBE">
        <w:trPr>
          <w:cantSplit/>
          <w:trHeight w:val="400"/>
        </w:trPr>
        <w:tc>
          <w:tcPr>
            <w:tcW w:w="6237" w:type="dxa"/>
            <w:vMerge w:val="restart"/>
          </w:tcPr>
          <w:p w14:paraId="415798C6" w14:textId="66BE7400" w:rsidR="00994FBE" w:rsidRPr="001079C9" w:rsidRDefault="00994FBE" w:rsidP="0023178F">
            <w:pPr>
              <w:keepNext/>
              <w:spacing w:before="20" w:after="20"/>
              <w:ind w:left="316" w:hanging="282"/>
              <w:rPr>
                <w:rFonts w:cs="Arial"/>
                <w:noProof/>
              </w:rPr>
            </w:pPr>
            <w:r w:rsidRPr="001079C9">
              <w:rPr>
                <w:rFonts w:cs="Arial"/>
                <w:noProof/>
                <w:sz w:val="20"/>
                <w:szCs w:val="20"/>
              </w:rPr>
              <w:t>1.</w:t>
            </w:r>
            <w:r w:rsidRPr="001079C9">
              <w:rPr>
                <w:rFonts w:cs="Arial"/>
                <w:noProof/>
                <w:sz w:val="20"/>
                <w:szCs w:val="20"/>
              </w:rPr>
              <w:tab/>
              <w:t>Wholesale Mark-up</w:t>
            </w:r>
          </w:p>
        </w:tc>
        <w:tc>
          <w:tcPr>
            <w:tcW w:w="2126" w:type="dxa"/>
            <w:vMerge w:val="restart"/>
            <w:shd w:val="clear" w:color="auto" w:fill="auto"/>
          </w:tcPr>
          <w:p w14:paraId="29C0A718" w14:textId="66F4F295" w:rsidR="00994FBE" w:rsidRPr="00F77E14" w:rsidRDefault="00337EF8" w:rsidP="00BB4478">
            <w:pPr>
              <w:keepNext/>
              <w:spacing w:before="20" w:after="20"/>
              <w:jc w:val="center"/>
              <w:rPr>
                <w:rFonts w:cs="Arial"/>
                <w:noProof/>
              </w:rPr>
            </w:pPr>
            <w:r w:rsidRPr="00F77E14">
              <w:rPr>
                <w:rFonts w:cs="Arial"/>
                <w:noProof/>
                <w:sz w:val="20"/>
                <w:szCs w:val="20"/>
              </w:rPr>
              <w:t>$2.19</w:t>
            </w:r>
            <w:r w:rsidR="003A0132">
              <w:rPr>
                <w:rFonts w:cs="Arial"/>
                <w:noProof/>
                <w:sz w:val="20"/>
                <w:szCs w:val="20"/>
              </w:rPr>
              <w:t>28</w:t>
            </w:r>
            <w:r w:rsidRPr="00F77E14">
              <w:rPr>
                <w:rFonts w:cs="Arial"/>
                <w:noProof/>
                <w:sz w:val="20"/>
                <w:szCs w:val="20"/>
              </w:rPr>
              <w:t>B</w:t>
            </w:r>
          </w:p>
        </w:tc>
      </w:tr>
      <w:tr w:rsidR="00994FBE" w:rsidRPr="000D6D0C" w14:paraId="1406933B" w14:textId="2FAAC86F" w:rsidTr="00994FBE">
        <w:trPr>
          <w:cantSplit/>
          <w:trHeight w:val="399"/>
        </w:trPr>
        <w:tc>
          <w:tcPr>
            <w:tcW w:w="6237" w:type="dxa"/>
            <w:vMerge/>
            <w:tcBorders>
              <w:bottom w:val="single" w:sz="4" w:space="0" w:color="auto"/>
            </w:tcBorders>
          </w:tcPr>
          <w:p w14:paraId="3464F9BF" w14:textId="7CFA5BC7" w:rsidR="00994FBE" w:rsidRPr="001079C9" w:rsidRDefault="00994FBE" w:rsidP="0023235B">
            <w:pPr>
              <w:spacing w:before="20" w:after="20"/>
              <w:ind w:left="316" w:hanging="282"/>
              <w:rPr>
                <w:rFonts w:cs="Arial"/>
                <w:noProof/>
              </w:rPr>
            </w:pPr>
          </w:p>
        </w:tc>
        <w:tc>
          <w:tcPr>
            <w:tcW w:w="2126" w:type="dxa"/>
            <w:vMerge/>
            <w:tcBorders>
              <w:bottom w:val="single" w:sz="4" w:space="0" w:color="auto"/>
            </w:tcBorders>
            <w:shd w:val="clear" w:color="auto" w:fill="auto"/>
          </w:tcPr>
          <w:p w14:paraId="133C86A8" w14:textId="1A7C30D5" w:rsidR="00994FBE" w:rsidRPr="00F77E14" w:rsidRDefault="00994FBE" w:rsidP="00750E42">
            <w:pPr>
              <w:keepNext/>
              <w:spacing w:before="20" w:after="20"/>
              <w:jc w:val="center"/>
              <w:rPr>
                <w:rFonts w:cs="Arial"/>
                <w:noProof/>
                <w:sz w:val="20"/>
                <w:szCs w:val="20"/>
              </w:rPr>
            </w:pPr>
          </w:p>
        </w:tc>
      </w:tr>
      <w:tr w:rsidR="00994FBE" w:rsidRPr="000D6D0C" w14:paraId="1F359B94" w14:textId="4FC41CCE" w:rsidTr="00994FBE">
        <w:trPr>
          <w:trHeight w:val="250"/>
        </w:trPr>
        <w:tc>
          <w:tcPr>
            <w:tcW w:w="6237" w:type="dxa"/>
            <w:vMerge w:val="restart"/>
            <w:tcBorders>
              <w:top w:val="single" w:sz="4" w:space="0" w:color="auto"/>
            </w:tcBorders>
          </w:tcPr>
          <w:p w14:paraId="2E9F2468" w14:textId="6CD36BCC" w:rsidR="00994FBE" w:rsidRPr="001079C9" w:rsidRDefault="00994FBE" w:rsidP="0023235B">
            <w:pPr>
              <w:spacing w:before="20" w:after="20"/>
              <w:ind w:left="316" w:hanging="282"/>
              <w:rPr>
                <w:rFonts w:cs="Arial"/>
                <w:noProof/>
                <w:sz w:val="20"/>
                <w:szCs w:val="20"/>
              </w:rPr>
            </w:pPr>
            <w:r w:rsidRPr="001079C9">
              <w:rPr>
                <w:rFonts w:cs="Arial"/>
                <w:noProof/>
                <w:sz w:val="20"/>
                <w:szCs w:val="20"/>
              </w:rPr>
              <w:t>2.</w:t>
            </w:r>
            <w:r w:rsidRPr="001079C9">
              <w:rPr>
                <w:rFonts w:cs="Arial"/>
                <w:noProof/>
                <w:sz w:val="20"/>
                <w:szCs w:val="20"/>
              </w:rPr>
              <w:tab/>
            </w:r>
            <w:r w:rsidR="0020095E">
              <w:rPr>
                <w:rFonts w:cs="Arial"/>
                <w:noProof/>
                <w:sz w:val="20"/>
                <w:szCs w:val="20"/>
              </w:rPr>
              <w:t xml:space="preserve">Eligible </w:t>
            </w:r>
            <w:r w:rsidRPr="00F1523B">
              <w:rPr>
                <w:sz w:val="20"/>
                <w:szCs w:val="20"/>
              </w:rPr>
              <w:t>Pharmaceutical</w:t>
            </w:r>
            <w:r w:rsidRPr="00F1523B">
              <w:rPr>
                <w:rFonts w:cs="Arial"/>
                <w:noProof/>
                <w:sz w:val="18"/>
                <w:szCs w:val="18"/>
              </w:rPr>
              <w:t xml:space="preserve"> </w:t>
            </w:r>
            <w:r w:rsidRPr="001079C9">
              <w:rPr>
                <w:rFonts w:cs="Arial"/>
                <w:noProof/>
                <w:sz w:val="20"/>
                <w:szCs w:val="20"/>
              </w:rPr>
              <w:t xml:space="preserve">Wholesaler CSO Funding </w:t>
            </w:r>
          </w:p>
        </w:tc>
        <w:tc>
          <w:tcPr>
            <w:tcW w:w="2126" w:type="dxa"/>
            <w:vMerge w:val="restart"/>
            <w:tcBorders>
              <w:top w:val="single" w:sz="4" w:space="0" w:color="auto"/>
            </w:tcBorders>
            <w:shd w:val="clear" w:color="auto" w:fill="auto"/>
          </w:tcPr>
          <w:p w14:paraId="1DCB66DB" w14:textId="4B044981" w:rsidR="00994FBE" w:rsidRPr="00F77E14" w:rsidRDefault="00994FBE" w:rsidP="00BB4478">
            <w:pPr>
              <w:spacing w:before="20" w:after="20"/>
              <w:ind w:left="228" w:hanging="228"/>
              <w:jc w:val="center"/>
              <w:rPr>
                <w:rFonts w:cs="Arial"/>
                <w:noProof/>
                <w:sz w:val="20"/>
                <w:szCs w:val="20"/>
              </w:rPr>
            </w:pPr>
            <w:r w:rsidRPr="00F77E14">
              <w:rPr>
                <w:rFonts w:cs="Arial"/>
                <w:noProof/>
                <w:sz w:val="20"/>
                <w:szCs w:val="20"/>
              </w:rPr>
              <w:t>$2.01</w:t>
            </w:r>
            <w:r w:rsidR="003A0132">
              <w:rPr>
                <w:rFonts w:cs="Arial"/>
                <w:noProof/>
                <w:sz w:val="20"/>
                <w:szCs w:val="20"/>
              </w:rPr>
              <w:t>4</w:t>
            </w:r>
            <w:r w:rsidR="00414C10">
              <w:rPr>
                <w:rFonts w:cs="Arial"/>
                <w:noProof/>
                <w:sz w:val="20"/>
                <w:szCs w:val="20"/>
              </w:rPr>
              <w:t>5</w:t>
            </w:r>
            <w:r w:rsidRPr="00F77E14">
              <w:rPr>
                <w:rFonts w:cs="Arial"/>
                <w:noProof/>
                <w:sz w:val="20"/>
                <w:szCs w:val="20"/>
              </w:rPr>
              <w:t>B</w:t>
            </w:r>
          </w:p>
        </w:tc>
      </w:tr>
      <w:tr w:rsidR="00994FBE" w:rsidRPr="000D6D0C" w14:paraId="5A79E01C" w14:textId="712743C1" w:rsidTr="00994FBE">
        <w:trPr>
          <w:trHeight w:val="270"/>
        </w:trPr>
        <w:tc>
          <w:tcPr>
            <w:tcW w:w="6237" w:type="dxa"/>
            <w:vMerge/>
          </w:tcPr>
          <w:p w14:paraId="669E4332" w14:textId="3191E367" w:rsidR="00994FBE" w:rsidRPr="001079C9" w:rsidRDefault="00994FBE" w:rsidP="0023235B">
            <w:pPr>
              <w:spacing w:before="20" w:after="20"/>
              <w:ind w:left="316" w:hanging="282"/>
              <w:rPr>
                <w:rFonts w:cs="Arial"/>
                <w:noProof/>
                <w:sz w:val="20"/>
                <w:szCs w:val="20"/>
              </w:rPr>
            </w:pPr>
          </w:p>
        </w:tc>
        <w:tc>
          <w:tcPr>
            <w:tcW w:w="2126" w:type="dxa"/>
            <w:vMerge/>
            <w:shd w:val="clear" w:color="auto" w:fill="auto"/>
          </w:tcPr>
          <w:p w14:paraId="617ED9E4" w14:textId="3ED9EFE9" w:rsidR="00994FBE" w:rsidRPr="00F77E14" w:rsidRDefault="00994FBE" w:rsidP="00750E42">
            <w:pPr>
              <w:spacing w:before="20" w:after="20"/>
              <w:ind w:left="228" w:hanging="228"/>
              <w:jc w:val="center"/>
              <w:rPr>
                <w:rFonts w:cs="Arial"/>
                <w:noProof/>
                <w:sz w:val="20"/>
                <w:szCs w:val="20"/>
              </w:rPr>
            </w:pPr>
          </w:p>
        </w:tc>
      </w:tr>
      <w:tr w:rsidR="00994FBE" w:rsidRPr="000D6D0C" w14:paraId="490CA989" w14:textId="63561610" w:rsidTr="003F5D93">
        <w:trPr>
          <w:trHeight w:val="442"/>
        </w:trPr>
        <w:tc>
          <w:tcPr>
            <w:tcW w:w="6237" w:type="dxa"/>
            <w:tcBorders>
              <w:top w:val="single" w:sz="18" w:space="0" w:color="auto"/>
            </w:tcBorders>
          </w:tcPr>
          <w:p w14:paraId="296C22C8" w14:textId="74B160FD" w:rsidR="00994FBE" w:rsidRPr="001079C9" w:rsidRDefault="00994FBE" w:rsidP="00750E42">
            <w:pPr>
              <w:spacing w:before="20" w:after="20"/>
              <w:ind w:left="34"/>
              <w:rPr>
                <w:rFonts w:cs="Arial"/>
                <w:b/>
                <w:noProof/>
                <w:sz w:val="20"/>
                <w:szCs w:val="20"/>
              </w:rPr>
            </w:pPr>
            <w:r w:rsidRPr="001079C9">
              <w:rPr>
                <w:rFonts w:cs="Arial"/>
                <w:b/>
                <w:noProof/>
                <w:sz w:val="20"/>
                <w:szCs w:val="20"/>
              </w:rPr>
              <w:t>Total</w:t>
            </w:r>
          </w:p>
        </w:tc>
        <w:tc>
          <w:tcPr>
            <w:tcW w:w="2126" w:type="dxa"/>
            <w:tcBorders>
              <w:top w:val="single" w:sz="18" w:space="0" w:color="auto"/>
            </w:tcBorders>
            <w:shd w:val="clear" w:color="auto" w:fill="auto"/>
          </w:tcPr>
          <w:p w14:paraId="0B655222" w14:textId="1E78087B" w:rsidR="00994FBE" w:rsidRPr="00F77E14" w:rsidRDefault="00337EF8" w:rsidP="00750E42">
            <w:pPr>
              <w:spacing w:before="20" w:after="20"/>
              <w:jc w:val="center"/>
              <w:rPr>
                <w:rFonts w:cs="Arial"/>
                <w:noProof/>
                <w:sz w:val="20"/>
                <w:szCs w:val="20"/>
              </w:rPr>
            </w:pPr>
            <w:r w:rsidRPr="00F77E14">
              <w:rPr>
                <w:rFonts w:cs="Arial"/>
                <w:noProof/>
                <w:sz w:val="20"/>
                <w:szCs w:val="20"/>
              </w:rPr>
              <w:t>$4.20</w:t>
            </w:r>
            <w:r w:rsidR="00414C10">
              <w:rPr>
                <w:rFonts w:cs="Arial"/>
                <w:noProof/>
                <w:sz w:val="20"/>
                <w:szCs w:val="20"/>
              </w:rPr>
              <w:t>7</w:t>
            </w:r>
            <w:r w:rsidR="003A0132">
              <w:rPr>
                <w:rFonts w:cs="Arial"/>
                <w:noProof/>
                <w:sz w:val="20"/>
                <w:szCs w:val="20"/>
              </w:rPr>
              <w:t>3</w:t>
            </w:r>
            <w:r w:rsidRPr="00F77E14">
              <w:rPr>
                <w:rFonts w:cs="Arial"/>
                <w:noProof/>
                <w:sz w:val="20"/>
                <w:szCs w:val="20"/>
              </w:rPr>
              <w:t>B</w:t>
            </w:r>
          </w:p>
        </w:tc>
      </w:tr>
    </w:tbl>
    <w:p w14:paraId="05A61A8E" w14:textId="2E5C3140" w:rsidR="00E9176D" w:rsidRPr="009D3B53" w:rsidRDefault="0015545F" w:rsidP="00DF4E12">
      <w:pPr>
        <w:pStyle w:val="Heading1"/>
      </w:pPr>
      <w:bookmarkStart w:id="127" w:name="_Toc29300733"/>
      <w:bookmarkStart w:id="128" w:name="_Toc29314561"/>
      <w:bookmarkStart w:id="129" w:name="_Toc29314684"/>
      <w:bookmarkStart w:id="130" w:name="_Toc29315728"/>
      <w:bookmarkStart w:id="131" w:name="_Toc29315849"/>
      <w:bookmarkStart w:id="132" w:name="_Toc29300734"/>
      <w:bookmarkStart w:id="133" w:name="_Toc29314562"/>
      <w:bookmarkStart w:id="134" w:name="_Toc29314685"/>
      <w:bookmarkStart w:id="135" w:name="_Toc29315729"/>
      <w:bookmarkStart w:id="136" w:name="_Toc29315850"/>
      <w:bookmarkStart w:id="137" w:name="_Ref26807057"/>
      <w:bookmarkStart w:id="138" w:name="_Ref166426631"/>
      <w:bookmarkStart w:id="139" w:name="_Ref184138818"/>
      <w:bookmarkStart w:id="140" w:name="_Toc185417669"/>
      <w:bookmarkEnd w:id="122"/>
      <w:bookmarkEnd w:id="127"/>
      <w:bookmarkEnd w:id="128"/>
      <w:bookmarkEnd w:id="129"/>
      <w:bookmarkEnd w:id="130"/>
      <w:bookmarkEnd w:id="131"/>
      <w:bookmarkEnd w:id="132"/>
      <w:bookmarkEnd w:id="133"/>
      <w:bookmarkEnd w:id="134"/>
      <w:bookmarkEnd w:id="135"/>
      <w:bookmarkEnd w:id="136"/>
      <w:r>
        <w:lastRenderedPageBreak/>
        <w:t>Wholesale</w:t>
      </w:r>
      <w:r w:rsidRPr="009D3B53">
        <w:t xml:space="preserve"> </w:t>
      </w:r>
      <w:bookmarkEnd w:id="123"/>
      <w:bookmarkEnd w:id="124"/>
      <w:bookmarkEnd w:id="137"/>
      <w:bookmarkEnd w:id="138"/>
      <w:r w:rsidR="003D2A10">
        <w:t>Mark-Up</w:t>
      </w:r>
      <w:bookmarkEnd w:id="139"/>
      <w:bookmarkEnd w:id="140"/>
    </w:p>
    <w:p w14:paraId="5525698D" w14:textId="1160D1EC" w:rsidR="00E9176D" w:rsidRPr="000C0845" w:rsidRDefault="0015545F" w:rsidP="000C0845">
      <w:pPr>
        <w:pStyle w:val="Headingpara2"/>
        <w:rPr>
          <w:b/>
          <w:bCs/>
        </w:rPr>
      </w:pPr>
      <w:bookmarkStart w:id="141" w:name="_Ref419453093"/>
      <w:r w:rsidRPr="000C0845">
        <w:rPr>
          <w:b/>
          <w:bCs/>
        </w:rPr>
        <w:t>Wholesale Mark-</w:t>
      </w:r>
      <w:r w:rsidR="003D2A10" w:rsidRPr="000C0845">
        <w:rPr>
          <w:b/>
          <w:bCs/>
        </w:rPr>
        <w:t>Up</w:t>
      </w:r>
      <w:bookmarkEnd w:id="141"/>
    </w:p>
    <w:p w14:paraId="05D39E7E" w14:textId="1FFA3BC7" w:rsidR="00610F30" w:rsidRDefault="00610F30" w:rsidP="00610F30">
      <w:pPr>
        <w:pStyle w:val="Heading3"/>
        <w:ind w:left="1707" w:hanging="839"/>
      </w:pPr>
      <w:bookmarkStart w:id="142" w:name="_Ref418233932"/>
      <w:r w:rsidRPr="009D3B53">
        <w:t xml:space="preserve">The </w:t>
      </w:r>
      <w:r>
        <w:t xml:space="preserve">WMU Payments provide </w:t>
      </w:r>
      <w:r w:rsidR="00123D89">
        <w:t>payments</w:t>
      </w:r>
      <w:r w:rsidR="00123D89" w:rsidRPr="0023178F">
        <w:t xml:space="preserve"> </w:t>
      </w:r>
      <w:r>
        <w:t xml:space="preserve">to </w:t>
      </w:r>
      <w:r w:rsidR="009A2868">
        <w:t>Pharmaceutical</w:t>
      </w:r>
      <w:r>
        <w:t xml:space="preserve"> Wholesaler</w:t>
      </w:r>
      <w:r w:rsidRPr="0023178F">
        <w:t xml:space="preserve">s to </w:t>
      </w:r>
      <w:r w:rsidR="00CD410E">
        <w:t xml:space="preserve">assist them to </w:t>
      </w:r>
      <w:r w:rsidRPr="0023178F">
        <w:t xml:space="preserve">hold and deliver Pharmaceutical Benefits to Approved Pharmacists (excluding the </w:t>
      </w:r>
      <w:r w:rsidR="00DB25FC" w:rsidRPr="0023178F">
        <w:t xml:space="preserve">CSO </w:t>
      </w:r>
      <w:r w:rsidR="00DB25FC">
        <w:t>Payments</w:t>
      </w:r>
      <w:r w:rsidRPr="0023178F">
        <w:t>)</w:t>
      </w:r>
      <w:r>
        <w:t>.</w:t>
      </w:r>
    </w:p>
    <w:p w14:paraId="647663F6" w14:textId="5DD3F225" w:rsidR="00610F30" w:rsidRDefault="00610F30" w:rsidP="00610F30">
      <w:pPr>
        <w:pStyle w:val="Heading3"/>
        <w:ind w:left="1707" w:hanging="839"/>
      </w:pPr>
      <w:r w:rsidRPr="002F6EF0">
        <w:t xml:space="preserve">The Wholesale Mark-Up </w:t>
      </w:r>
      <w:r>
        <w:t xml:space="preserve">will </w:t>
      </w:r>
      <w:r w:rsidR="00CD410E">
        <w:t xml:space="preserve">be </w:t>
      </w:r>
      <w:r w:rsidRPr="002F6EF0">
        <w:t>appl</w:t>
      </w:r>
      <w:r w:rsidR="00CD410E">
        <w:t>ied</w:t>
      </w:r>
      <w:r w:rsidR="00DB25FC">
        <w:t xml:space="preserve"> in accordance with</w:t>
      </w:r>
      <w:r>
        <w:t xml:space="preserve">: </w:t>
      </w:r>
    </w:p>
    <w:p w14:paraId="2D047CC9" w14:textId="7D9D474A" w:rsidR="00610F30" w:rsidRPr="00F77E14" w:rsidRDefault="00610F30" w:rsidP="00610F30">
      <w:pPr>
        <w:pStyle w:val="Heading4"/>
      </w:pPr>
      <w:r w:rsidRPr="00F77E14">
        <w:t xml:space="preserve">Table 2 from the Commencement Date until 30 June </w:t>
      </w:r>
      <w:r w:rsidR="009D0C81" w:rsidRPr="00F77E14">
        <w:t>2026</w:t>
      </w:r>
      <w:r w:rsidRPr="00F77E14">
        <w:t xml:space="preserve"> (inclusive)</w:t>
      </w:r>
      <w:r w:rsidR="00104B97" w:rsidRPr="00F77E14">
        <w:t xml:space="preserve"> </w:t>
      </w:r>
      <w:r w:rsidR="00104B97" w:rsidRPr="00F77E14">
        <w:rPr>
          <w:bCs/>
        </w:rPr>
        <w:t>(in accordance with Table 3 of the 8CPA)</w:t>
      </w:r>
      <w:r w:rsidR="00337EF8" w:rsidRPr="00F77E14">
        <w:rPr>
          <w:bCs/>
        </w:rPr>
        <w:t xml:space="preserve"> in relation to </w:t>
      </w:r>
      <w:r w:rsidR="004B35CC" w:rsidRPr="00F77E14">
        <w:rPr>
          <w:bCs/>
        </w:rPr>
        <w:t xml:space="preserve">Pharmaceutical Benefits </w:t>
      </w:r>
      <w:r w:rsidR="00337EF8" w:rsidRPr="00F77E14">
        <w:rPr>
          <w:bCs/>
        </w:rPr>
        <w:t xml:space="preserve">listed under section 85 of the </w:t>
      </w:r>
      <w:r w:rsidR="004B35CC" w:rsidRPr="00F77E14">
        <w:rPr>
          <w:bCs/>
        </w:rPr>
        <w:t>Act</w:t>
      </w:r>
      <w:r w:rsidR="00337EF8" w:rsidRPr="00F77E14">
        <w:rPr>
          <w:bCs/>
          <w:i/>
          <w:iCs/>
        </w:rPr>
        <w:t xml:space="preserve"> </w:t>
      </w:r>
      <w:r w:rsidR="00337EF8" w:rsidRPr="00F77E14">
        <w:rPr>
          <w:bCs/>
        </w:rPr>
        <w:t xml:space="preserve">and dispensed </w:t>
      </w:r>
      <w:r w:rsidR="002D61C6" w:rsidRPr="00F77E14">
        <w:rPr>
          <w:bCs/>
        </w:rPr>
        <w:t xml:space="preserve">by </w:t>
      </w:r>
      <w:r w:rsidR="004B35CC" w:rsidRPr="00F77E14">
        <w:rPr>
          <w:bCs/>
        </w:rPr>
        <w:t>Approved Pharmacists</w:t>
      </w:r>
      <w:r w:rsidRPr="00F77E14">
        <w:t>; and</w:t>
      </w:r>
    </w:p>
    <w:p w14:paraId="2273FFF9" w14:textId="031405D2" w:rsidR="00610F30" w:rsidRPr="00F77E14" w:rsidRDefault="00610F30" w:rsidP="00610F30">
      <w:pPr>
        <w:pStyle w:val="Heading4"/>
      </w:pPr>
      <w:r w:rsidRPr="00F77E14">
        <w:t xml:space="preserve">Table 3 from 1 July </w:t>
      </w:r>
      <w:r w:rsidR="009D0C81" w:rsidRPr="00F77E14">
        <w:t>2026</w:t>
      </w:r>
      <w:r w:rsidRPr="00F77E14">
        <w:t xml:space="preserve"> </w:t>
      </w:r>
      <w:r w:rsidR="00DB25FC" w:rsidRPr="00F77E14">
        <w:t>until this Agreement expires or is terminated</w:t>
      </w:r>
      <w:r w:rsidR="00337EF8" w:rsidRPr="00F77E14">
        <w:t xml:space="preserve"> in relation to </w:t>
      </w:r>
      <w:r w:rsidR="004B35CC" w:rsidRPr="00F77E14">
        <w:t xml:space="preserve">Pharmaceutical Benefits </w:t>
      </w:r>
      <w:r w:rsidR="00337EF8" w:rsidRPr="00F77E14">
        <w:t xml:space="preserve">listed under section 85 and section 100 of the </w:t>
      </w:r>
      <w:r w:rsidR="004B35CC" w:rsidRPr="00F77E14">
        <w:t>Act</w:t>
      </w:r>
      <w:r w:rsidR="004B35CC" w:rsidRPr="00F77E14">
        <w:rPr>
          <w:i/>
          <w:iCs/>
        </w:rPr>
        <w:t xml:space="preserve"> </w:t>
      </w:r>
      <w:r w:rsidR="00337EF8" w:rsidRPr="00F77E14">
        <w:t xml:space="preserve">and dispensed </w:t>
      </w:r>
      <w:r w:rsidR="002D61C6" w:rsidRPr="00F77E14">
        <w:t xml:space="preserve">by </w:t>
      </w:r>
      <w:r w:rsidR="004B35CC" w:rsidRPr="00F77E14">
        <w:t>Approved Pharmacists</w:t>
      </w:r>
      <w:r w:rsidR="00337EF8" w:rsidRPr="00F77E14">
        <w:t xml:space="preserve">, </w:t>
      </w:r>
      <w:r w:rsidR="004B35CC" w:rsidRPr="00F77E14">
        <w:t xml:space="preserve">excluding medicines </w:t>
      </w:r>
      <w:r w:rsidR="00337EF8" w:rsidRPr="00F77E14">
        <w:t xml:space="preserve">provided through the Efficient Funding of Chemotherapy </w:t>
      </w:r>
      <w:r w:rsidR="004B35CC" w:rsidRPr="00F77E14">
        <w:t>P</w:t>
      </w:r>
      <w:r w:rsidR="00337EF8" w:rsidRPr="00F77E14">
        <w:t>rogram</w:t>
      </w:r>
      <w:r w:rsidRPr="0013145A">
        <w:t>.</w:t>
      </w:r>
      <w:r w:rsidRPr="00F77E14">
        <w:t xml:space="preserve"> </w:t>
      </w:r>
    </w:p>
    <w:p w14:paraId="00349485" w14:textId="6DA06B8C" w:rsidR="004F282D" w:rsidRPr="00636F20" w:rsidRDefault="004F282D" w:rsidP="00954BF2">
      <w:pPr>
        <w:pStyle w:val="BodyIndent2"/>
        <w:keepNext/>
        <w:keepLines/>
        <w:spacing w:after="120"/>
        <w:rPr>
          <w:b/>
        </w:rPr>
      </w:pPr>
      <w:bookmarkStart w:id="143" w:name="_Hlk41628555"/>
      <w:bookmarkEnd w:id="142"/>
      <w:r w:rsidRPr="00636F20">
        <w:rPr>
          <w:b/>
        </w:rPr>
        <w:t xml:space="preserve">Table </w:t>
      </w:r>
      <w:r w:rsidR="00DD6818" w:rsidRPr="00636F20">
        <w:rPr>
          <w:b/>
        </w:rPr>
        <w:t>2</w:t>
      </w:r>
      <w:r w:rsidRPr="00636F20">
        <w:rPr>
          <w:b/>
        </w:rPr>
        <w:t xml:space="preserve">: </w:t>
      </w:r>
      <w:r w:rsidR="00347E70">
        <w:rPr>
          <w:b/>
        </w:rPr>
        <w:t>Wholesale Mark-</w:t>
      </w:r>
      <w:r w:rsidR="003D2A10">
        <w:rPr>
          <w:b/>
        </w:rPr>
        <w:t xml:space="preserve">Up </w:t>
      </w:r>
      <w:r w:rsidR="00A5114E">
        <w:rPr>
          <w:b/>
        </w:rPr>
        <w:t xml:space="preserve">Payment </w:t>
      </w:r>
      <w:r w:rsidR="0023178F">
        <w:rPr>
          <w:b/>
        </w:rPr>
        <w:t>amounts</w:t>
      </w:r>
      <w:r w:rsidR="00610F30">
        <w:rPr>
          <w:b/>
        </w:rPr>
        <w:t xml:space="preserve"> — Commencement Date to 30 June </w:t>
      </w:r>
      <w:r w:rsidR="009D0C81">
        <w:rPr>
          <w:b/>
        </w:rPr>
        <w:t>2026</w:t>
      </w:r>
    </w:p>
    <w:tbl>
      <w:tblPr>
        <w:tblW w:w="7229" w:type="dxa"/>
        <w:tblInd w:w="1821" w:type="dxa"/>
        <w:tblLayout w:type="fixed"/>
        <w:tblCellMar>
          <w:left w:w="0" w:type="dxa"/>
          <w:right w:w="0" w:type="dxa"/>
        </w:tblCellMar>
        <w:tblLook w:val="04A0" w:firstRow="1" w:lastRow="0" w:firstColumn="1" w:lastColumn="0" w:noHBand="0" w:noVBand="1"/>
      </w:tblPr>
      <w:tblGrid>
        <w:gridCol w:w="1606"/>
        <w:gridCol w:w="3482"/>
        <w:gridCol w:w="2141"/>
      </w:tblGrid>
      <w:tr w:rsidR="001E5325" w:rsidRPr="009D3B53" w14:paraId="7DB712D6" w14:textId="04EA2968" w:rsidTr="00906B48">
        <w:trPr>
          <w:cantSplit/>
          <w:trHeight w:val="368"/>
          <w:tblHeader/>
        </w:trPr>
        <w:tc>
          <w:tcPr>
            <w:tcW w:w="1606" w:type="dxa"/>
            <w:tcBorders>
              <w:top w:val="single" w:sz="8" w:space="0" w:color="auto"/>
              <w:left w:val="single" w:sz="8" w:space="0" w:color="auto"/>
              <w:bottom w:val="single" w:sz="8" w:space="0" w:color="auto"/>
              <w:right w:val="single" w:sz="8" w:space="0" w:color="auto"/>
            </w:tcBorders>
            <w:shd w:val="clear" w:color="auto" w:fill="0070C0"/>
            <w:tcMar>
              <w:top w:w="0" w:type="dxa"/>
              <w:left w:w="108" w:type="dxa"/>
              <w:bottom w:w="0" w:type="dxa"/>
              <w:right w:w="108" w:type="dxa"/>
            </w:tcMar>
            <w:hideMark/>
          </w:tcPr>
          <w:p w14:paraId="7C326DE2" w14:textId="494F68A4" w:rsidR="001E5325" w:rsidRPr="009D3B53" w:rsidRDefault="001E5325" w:rsidP="0023235B">
            <w:pPr>
              <w:keepLines/>
              <w:spacing w:before="20" w:afterLines="20" w:after="48"/>
              <w:jc w:val="center"/>
              <w:rPr>
                <w:rFonts w:eastAsiaTheme="minorHAnsi" w:cs="Arial"/>
                <w:b/>
                <w:bCs/>
                <w:color w:val="FFFFFF"/>
                <w:lang w:eastAsia="en-US"/>
              </w:rPr>
            </w:pPr>
            <w:bookmarkStart w:id="144" w:name="_Hlk41628540"/>
            <w:bookmarkStart w:id="145" w:name="_Hlk29800229"/>
            <w:bookmarkEnd w:id="143"/>
            <w:r w:rsidRPr="009D3B53">
              <w:rPr>
                <w:b/>
                <w:bCs/>
                <w:color w:val="FFFFFF"/>
              </w:rPr>
              <w:t>Payment type</w:t>
            </w:r>
          </w:p>
        </w:tc>
        <w:tc>
          <w:tcPr>
            <w:tcW w:w="5623" w:type="dxa"/>
            <w:gridSpan w:val="2"/>
            <w:tcBorders>
              <w:top w:val="single" w:sz="8" w:space="0" w:color="auto"/>
              <w:left w:val="nil"/>
              <w:bottom w:val="single" w:sz="8" w:space="0" w:color="auto"/>
              <w:right w:val="single" w:sz="4" w:space="0" w:color="auto"/>
            </w:tcBorders>
            <w:shd w:val="clear" w:color="auto" w:fill="0070C0"/>
          </w:tcPr>
          <w:p w14:paraId="59D42C0B" w14:textId="09F7DD1C" w:rsidR="001E5325" w:rsidRPr="009D3B53" w:rsidRDefault="001E5325" w:rsidP="0023235B">
            <w:pPr>
              <w:keepLines/>
              <w:spacing w:before="20" w:afterLines="20" w:after="48"/>
              <w:jc w:val="center"/>
              <w:rPr>
                <w:rFonts w:eastAsiaTheme="minorHAnsi" w:cs="Arial"/>
                <w:b/>
                <w:bCs/>
                <w:color w:val="FFFFFF"/>
                <w:lang w:eastAsia="en-US"/>
              </w:rPr>
            </w:pPr>
            <w:r w:rsidRPr="009D3B53">
              <w:rPr>
                <w:b/>
                <w:bCs/>
                <w:color w:val="FFFFFF"/>
              </w:rPr>
              <w:t xml:space="preserve">Value of </w:t>
            </w:r>
            <w:r>
              <w:rPr>
                <w:b/>
                <w:bCs/>
                <w:color w:val="FFFFFF"/>
              </w:rPr>
              <w:t>WMU P</w:t>
            </w:r>
            <w:r w:rsidRPr="009D3B53">
              <w:rPr>
                <w:b/>
                <w:bCs/>
                <w:color w:val="FFFFFF"/>
              </w:rPr>
              <w:t>ayment</w:t>
            </w:r>
          </w:p>
        </w:tc>
      </w:tr>
      <w:bookmarkEnd w:id="144"/>
      <w:tr w:rsidR="001B1D05" w:rsidRPr="009D3B53" w14:paraId="4B50608B" w14:textId="105E23A1" w:rsidTr="001B1D05">
        <w:trPr>
          <w:cantSplit/>
          <w:trHeight w:val="654"/>
        </w:trPr>
        <w:tc>
          <w:tcPr>
            <w:tcW w:w="160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5A8DA1" w14:textId="5FB1B0F6" w:rsidR="001B1D05" w:rsidRPr="008A7C72" w:rsidRDefault="001B1D05" w:rsidP="0023235B">
            <w:pPr>
              <w:keepLines/>
              <w:spacing w:before="20" w:afterLines="20" w:after="48"/>
              <w:rPr>
                <w:rFonts w:eastAsiaTheme="minorHAnsi" w:cs="Arial"/>
                <w:highlight w:val="cyan"/>
                <w:lang w:eastAsia="en-US"/>
              </w:rPr>
            </w:pPr>
            <w:r w:rsidRPr="00910549">
              <w:t>Wholesale Mark-up for Pharmaceutical Benefits</w:t>
            </w:r>
            <w:r w:rsidR="00610F30">
              <w:t xml:space="preserve"> delivered to Approved Pharmacis</w:t>
            </w:r>
            <w:r w:rsidR="000C0845">
              <w:t>t</w:t>
            </w:r>
            <w:r w:rsidR="000C0845" w:rsidRPr="00F77E14">
              <w:t>s</w:t>
            </w:r>
            <w:r w:rsidR="004B35CC" w:rsidRPr="00F77E14">
              <w:t>*</w:t>
            </w:r>
            <w:r w:rsidR="00610F30">
              <w:t xml:space="preserve"> </w:t>
            </w:r>
          </w:p>
        </w:tc>
        <w:tc>
          <w:tcPr>
            <w:tcW w:w="3482" w:type="dxa"/>
            <w:tcBorders>
              <w:top w:val="single" w:sz="8" w:space="0" w:color="auto"/>
              <w:left w:val="nil"/>
              <w:bottom w:val="single" w:sz="8" w:space="0" w:color="auto"/>
              <w:right w:val="single" w:sz="8" w:space="0" w:color="auto"/>
            </w:tcBorders>
            <w:shd w:val="clear" w:color="auto" w:fill="FFFFFF" w:themeFill="background1"/>
          </w:tcPr>
          <w:p w14:paraId="73F85D49" w14:textId="317C6438" w:rsidR="001B1D05" w:rsidRPr="00610F30" w:rsidRDefault="00610F30" w:rsidP="0023235B">
            <w:pPr>
              <w:keepLines/>
              <w:spacing w:before="20" w:afterLines="20" w:after="48"/>
              <w:ind w:left="58" w:right="130"/>
            </w:pPr>
            <w:r w:rsidRPr="00610F30">
              <w:t>Whe</w:t>
            </w:r>
            <w:r w:rsidR="009A2868">
              <w:t>n</w:t>
            </w:r>
            <w:r w:rsidRPr="00610F30">
              <w:t xml:space="preserve"> the</w:t>
            </w:r>
            <w:r>
              <w:t xml:space="preserve"> Ex-Manufacturer Price is up to and including $5.50</w:t>
            </w:r>
            <w:r w:rsidRPr="00610F30">
              <w:t xml:space="preserve"> </w:t>
            </w:r>
          </w:p>
        </w:tc>
        <w:tc>
          <w:tcPr>
            <w:tcW w:w="214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A1FA6D8" w14:textId="5BB44950" w:rsidR="001B1D05" w:rsidRPr="00610F30" w:rsidRDefault="00610F30" w:rsidP="0023235B">
            <w:pPr>
              <w:keepLines/>
              <w:spacing w:before="20" w:afterLines="20" w:after="48"/>
              <w:rPr>
                <w:rFonts w:eastAsiaTheme="minorHAnsi" w:cs="Arial"/>
                <w:lang w:eastAsia="en-US"/>
              </w:rPr>
            </w:pPr>
            <w:r>
              <w:rPr>
                <w:rFonts w:eastAsiaTheme="minorHAnsi" w:cs="Arial"/>
                <w:lang w:eastAsia="en-US"/>
              </w:rPr>
              <w:t xml:space="preserve">$0.41 per dispense </w:t>
            </w:r>
          </w:p>
        </w:tc>
      </w:tr>
      <w:tr w:rsidR="001B1D05" w:rsidRPr="009D3B53" w14:paraId="770C2A49" w14:textId="7ACA54A9" w:rsidTr="00610F30">
        <w:trPr>
          <w:cantSplit/>
          <w:trHeight w:val="654"/>
        </w:trPr>
        <w:tc>
          <w:tcPr>
            <w:tcW w:w="1606"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A881FB" w14:textId="06898E90" w:rsidR="001B1D05" w:rsidRDefault="001B1D05" w:rsidP="0023235B">
            <w:pPr>
              <w:keepLines/>
              <w:spacing w:before="20" w:afterLines="20" w:after="48"/>
              <w:rPr>
                <w:highlight w:val="cyan"/>
              </w:rPr>
            </w:pPr>
          </w:p>
        </w:tc>
        <w:tc>
          <w:tcPr>
            <w:tcW w:w="3482" w:type="dxa"/>
            <w:tcBorders>
              <w:top w:val="single" w:sz="8" w:space="0" w:color="auto"/>
              <w:left w:val="nil"/>
              <w:bottom w:val="single" w:sz="8" w:space="0" w:color="auto"/>
              <w:right w:val="single" w:sz="8" w:space="0" w:color="auto"/>
            </w:tcBorders>
            <w:shd w:val="clear" w:color="auto" w:fill="FFFFFF" w:themeFill="background1"/>
          </w:tcPr>
          <w:p w14:paraId="5F8F50CD" w14:textId="6D22BE48" w:rsidR="001B1D05" w:rsidRPr="00610F30" w:rsidRDefault="00610F30" w:rsidP="0023235B">
            <w:pPr>
              <w:keepLines/>
              <w:spacing w:before="20" w:afterLines="20" w:after="48"/>
              <w:ind w:left="58" w:right="130"/>
            </w:pPr>
            <w:r>
              <w:t>Whe</w:t>
            </w:r>
            <w:r w:rsidR="009A2868">
              <w:t>n</w:t>
            </w:r>
            <w:r>
              <w:t xml:space="preserve"> the Ex-Manufacturer Price is over $5.50 and up to and including $720</w:t>
            </w:r>
          </w:p>
        </w:tc>
        <w:tc>
          <w:tcPr>
            <w:tcW w:w="214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81BA16A" w14:textId="2E6D560F" w:rsidR="001B1D05" w:rsidRPr="00610F30" w:rsidRDefault="00610F30" w:rsidP="0023235B">
            <w:pPr>
              <w:keepLines/>
              <w:spacing w:before="20" w:afterLines="20" w:after="48"/>
            </w:pPr>
            <w:r>
              <w:t xml:space="preserve">7.52 percent of the Ex-Manufacturer Price per dispense </w:t>
            </w:r>
          </w:p>
        </w:tc>
      </w:tr>
      <w:bookmarkEnd w:id="145"/>
      <w:tr w:rsidR="00610F30" w:rsidRPr="009D3B53" w14:paraId="4FD3BC38" w14:textId="35CB9B60" w:rsidTr="00610F30">
        <w:trPr>
          <w:cantSplit/>
          <w:trHeight w:val="746"/>
        </w:trPr>
        <w:tc>
          <w:tcPr>
            <w:tcW w:w="1606" w:type="dxa"/>
            <w:vMerge/>
            <w:tcBorders>
              <w:top w:val="single" w:sz="8" w:space="0" w:color="auto"/>
              <w:left w:val="single" w:sz="8" w:space="0" w:color="auto"/>
              <w:bottom w:val="single" w:sz="8" w:space="0" w:color="auto"/>
              <w:right w:val="single" w:sz="8" w:space="0" w:color="auto"/>
            </w:tcBorders>
            <w:vAlign w:val="center"/>
            <w:hideMark/>
          </w:tcPr>
          <w:p w14:paraId="6594978D" w14:textId="06ABE56F" w:rsidR="00610F30" w:rsidRPr="008A7C72" w:rsidRDefault="00610F30" w:rsidP="0023235B">
            <w:pPr>
              <w:keepLines/>
              <w:rPr>
                <w:rFonts w:eastAsiaTheme="minorHAnsi" w:cs="Arial"/>
                <w:highlight w:val="cyan"/>
                <w:lang w:eastAsia="en-US"/>
              </w:rPr>
            </w:pPr>
          </w:p>
        </w:tc>
        <w:tc>
          <w:tcPr>
            <w:tcW w:w="3482" w:type="dxa"/>
            <w:tcBorders>
              <w:top w:val="single" w:sz="8" w:space="0" w:color="auto"/>
              <w:left w:val="nil"/>
              <w:bottom w:val="single" w:sz="4" w:space="0" w:color="auto"/>
              <w:right w:val="single" w:sz="8" w:space="0" w:color="auto"/>
            </w:tcBorders>
            <w:shd w:val="clear" w:color="auto" w:fill="FFFFFF" w:themeFill="background1"/>
          </w:tcPr>
          <w:p w14:paraId="1086DB03" w14:textId="432B7BED" w:rsidR="00610F30" w:rsidRPr="00610F30" w:rsidRDefault="00610F30" w:rsidP="0023235B">
            <w:pPr>
              <w:keepLines/>
              <w:spacing w:before="20" w:afterLines="20" w:after="48"/>
              <w:ind w:left="58"/>
            </w:pPr>
            <w:r>
              <w:t>Whe</w:t>
            </w:r>
            <w:r w:rsidR="009A2868">
              <w:t>n</w:t>
            </w:r>
            <w:r>
              <w:t xml:space="preserve"> the Ex-Manufacturer Price is over $720</w:t>
            </w:r>
          </w:p>
        </w:tc>
        <w:tc>
          <w:tcPr>
            <w:tcW w:w="2141" w:type="dxa"/>
            <w:tcBorders>
              <w:top w:val="single" w:sz="8"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hideMark/>
          </w:tcPr>
          <w:p w14:paraId="208CACF3" w14:textId="338B48AE" w:rsidR="00610F30" w:rsidRPr="00610F30" w:rsidRDefault="00610F30" w:rsidP="0023235B">
            <w:pPr>
              <w:keepLines/>
              <w:spacing w:before="20" w:afterLines="20" w:after="48"/>
              <w:rPr>
                <w:rFonts w:eastAsiaTheme="minorHAnsi" w:cs="Arial"/>
                <w:lang w:eastAsia="en-US"/>
              </w:rPr>
            </w:pPr>
            <w:r>
              <w:rPr>
                <w:rFonts w:eastAsiaTheme="minorHAnsi" w:cs="Arial"/>
                <w:lang w:eastAsia="en-US"/>
              </w:rPr>
              <w:t xml:space="preserve">$54.14 per dispense </w:t>
            </w:r>
          </w:p>
        </w:tc>
      </w:tr>
    </w:tbl>
    <w:p w14:paraId="79CD77E5" w14:textId="661BDC3A" w:rsidR="003E4812" w:rsidRPr="00D518FF" w:rsidRDefault="003E4812" w:rsidP="00954BF2">
      <w:pPr>
        <w:pStyle w:val="BodyIndent2"/>
        <w:keepNext/>
        <w:keepLines/>
        <w:spacing w:before="120" w:after="240"/>
        <w:ind w:left="1843"/>
        <w:rPr>
          <w:bCs/>
          <w:sz w:val="18"/>
          <w:szCs w:val="18"/>
        </w:rPr>
      </w:pPr>
      <w:r w:rsidRPr="000B4D6D">
        <w:rPr>
          <w:bCs/>
          <w:sz w:val="18"/>
          <w:szCs w:val="18"/>
        </w:rPr>
        <w:t xml:space="preserve">*The WMU </w:t>
      </w:r>
      <w:r w:rsidR="0008475F" w:rsidRPr="000B4D6D">
        <w:rPr>
          <w:bCs/>
          <w:sz w:val="18"/>
          <w:szCs w:val="18"/>
        </w:rPr>
        <w:t xml:space="preserve">per dispense of </w:t>
      </w:r>
      <w:r w:rsidRPr="000B4D6D">
        <w:rPr>
          <w:bCs/>
          <w:sz w:val="18"/>
          <w:szCs w:val="18"/>
        </w:rPr>
        <w:t>a Pack Quantity of a Listed Brand is calculated using the Relevant Quantity.</w:t>
      </w:r>
    </w:p>
    <w:p w14:paraId="1C3DF4F3" w14:textId="6F5A4811" w:rsidR="00610F30" w:rsidRPr="00636F20" w:rsidRDefault="00610F30" w:rsidP="00954BF2">
      <w:pPr>
        <w:pStyle w:val="BodyIndent2"/>
        <w:keepNext/>
        <w:keepLines/>
        <w:spacing w:after="120"/>
        <w:rPr>
          <w:b/>
        </w:rPr>
      </w:pPr>
      <w:r w:rsidRPr="00636F20">
        <w:rPr>
          <w:b/>
        </w:rPr>
        <w:t xml:space="preserve">Table </w:t>
      </w:r>
      <w:r>
        <w:rPr>
          <w:b/>
        </w:rPr>
        <w:t>3</w:t>
      </w:r>
      <w:r w:rsidRPr="00636F20">
        <w:rPr>
          <w:b/>
        </w:rPr>
        <w:t xml:space="preserve">: </w:t>
      </w:r>
      <w:r>
        <w:rPr>
          <w:b/>
        </w:rPr>
        <w:t>Wholesale Mark-Up Payment amounts —</w:t>
      </w:r>
      <w:r w:rsidR="00DB25FC">
        <w:rPr>
          <w:b/>
        </w:rPr>
        <w:t xml:space="preserve"> </w:t>
      </w:r>
      <w:r>
        <w:rPr>
          <w:b/>
        </w:rPr>
        <w:t xml:space="preserve">1 July </w:t>
      </w:r>
      <w:r w:rsidR="009D0C81">
        <w:rPr>
          <w:b/>
        </w:rPr>
        <w:t>2026</w:t>
      </w:r>
      <w:r>
        <w:rPr>
          <w:b/>
        </w:rPr>
        <w:t xml:space="preserve"> onwards </w:t>
      </w:r>
    </w:p>
    <w:tbl>
      <w:tblPr>
        <w:tblW w:w="7229" w:type="dxa"/>
        <w:tblInd w:w="1821" w:type="dxa"/>
        <w:tblLayout w:type="fixed"/>
        <w:tblCellMar>
          <w:left w:w="0" w:type="dxa"/>
          <w:right w:w="0" w:type="dxa"/>
        </w:tblCellMar>
        <w:tblLook w:val="04A0" w:firstRow="1" w:lastRow="0" w:firstColumn="1" w:lastColumn="0" w:noHBand="0" w:noVBand="1"/>
      </w:tblPr>
      <w:tblGrid>
        <w:gridCol w:w="1606"/>
        <w:gridCol w:w="3482"/>
        <w:gridCol w:w="2141"/>
      </w:tblGrid>
      <w:tr w:rsidR="00610F30" w:rsidRPr="009D3B53" w14:paraId="76F02669" w14:textId="77777777" w:rsidTr="00B4250C">
        <w:trPr>
          <w:cantSplit/>
          <w:trHeight w:val="368"/>
          <w:tblHeader/>
        </w:trPr>
        <w:tc>
          <w:tcPr>
            <w:tcW w:w="1606" w:type="dxa"/>
            <w:tcBorders>
              <w:top w:val="single" w:sz="8" w:space="0" w:color="auto"/>
              <w:left w:val="single" w:sz="8" w:space="0" w:color="auto"/>
              <w:bottom w:val="single" w:sz="8" w:space="0" w:color="auto"/>
              <w:right w:val="single" w:sz="8" w:space="0" w:color="auto"/>
            </w:tcBorders>
            <w:shd w:val="clear" w:color="auto" w:fill="0070C0"/>
            <w:tcMar>
              <w:top w:w="0" w:type="dxa"/>
              <w:left w:w="108" w:type="dxa"/>
              <w:bottom w:w="0" w:type="dxa"/>
              <w:right w:w="108" w:type="dxa"/>
            </w:tcMar>
            <w:hideMark/>
          </w:tcPr>
          <w:p w14:paraId="6953B625" w14:textId="77777777" w:rsidR="00610F30" w:rsidRPr="009D3B53" w:rsidRDefault="00610F30" w:rsidP="00B4250C">
            <w:pPr>
              <w:keepLines/>
              <w:spacing w:before="20" w:afterLines="20" w:after="48"/>
              <w:jc w:val="center"/>
              <w:rPr>
                <w:rFonts w:eastAsiaTheme="minorHAnsi" w:cs="Arial"/>
                <w:b/>
                <w:bCs/>
                <w:color w:val="FFFFFF"/>
                <w:lang w:eastAsia="en-US"/>
              </w:rPr>
            </w:pPr>
            <w:r w:rsidRPr="009D3B53">
              <w:rPr>
                <w:b/>
                <w:bCs/>
                <w:color w:val="FFFFFF"/>
              </w:rPr>
              <w:t>Payment type</w:t>
            </w:r>
          </w:p>
        </w:tc>
        <w:tc>
          <w:tcPr>
            <w:tcW w:w="5623" w:type="dxa"/>
            <w:gridSpan w:val="2"/>
            <w:tcBorders>
              <w:top w:val="single" w:sz="8" w:space="0" w:color="auto"/>
              <w:left w:val="nil"/>
              <w:bottom w:val="single" w:sz="8" w:space="0" w:color="auto"/>
              <w:right w:val="single" w:sz="4" w:space="0" w:color="auto"/>
            </w:tcBorders>
            <w:shd w:val="clear" w:color="auto" w:fill="0070C0"/>
          </w:tcPr>
          <w:p w14:paraId="4B7F8A79" w14:textId="77777777" w:rsidR="00610F30" w:rsidRPr="009D3B53" w:rsidRDefault="00610F30" w:rsidP="00B4250C">
            <w:pPr>
              <w:keepLines/>
              <w:spacing w:before="20" w:afterLines="20" w:after="48"/>
              <w:jc w:val="center"/>
              <w:rPr>
                <w:rFonts w:eastAsiaTheme="minorHAnsi" w:cs="Arial"/>
                <w:b/>
                <w:bCs/>
                <w:color w:val="FFFFFF"/>
                <w:lang w:eastAsia="en-US"/>
              </w:rPr>
            </w:pPr>
            <w:r w:rsidRPr="009D3B53">
              <w:rPr>
                <w:b/>
                <w:bCs/>
                <w:color w:val="FFFFFF"/>
              </w:rPr>
              <w:t xml:space="preserve">Value of </w:t>
            </w:r>
            <w:r>
              <w:rPr>
                <w:b/>
                <w:bCs/>
                <w:color w:val="FFFFFF"/>
              </w:rPr>
              <w:t>WMU P</w:t>
            </w:r>
            <w:r w:rsidRPr="009D3B53">
              <w:rPr>
                <w:b/>
                <w:bCs/>
                <w:color w:val="FFFFFF"/>
              </w:rPr>
              <w:t>ayment</w:t>
            </w:r>
          </w:p>
        </w:tc>
      </w:tr>
      <w:tr w:rsidR="00617348" w:rsidRPr="009D3B53" w14:paraId="7E63BF70" w14:textId="77777777" w:rsidTr="00946934">
        <w:trPr>
          <w:cantSplit/>
          <w:trHeight w:val="654"/>
        </w:trPr>
        <w:tc>
          <w:tcPr>
            <w:tcW w:w="1606"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75FE7DE8" w14:textId="7111D02F" w:rsidR="00617348" w:rsidRPr="00610F30" w:rsidRDefault="00617348" w:rsidP="00B4250C">
            <w:pPr>
              <w:keepLines/>
              <w:spacing w:before="20" w:afterLines="20" w:after="48"/>
              <w:rPr>
                <w:rFonts w:eastAsiaTheme="minorHAnsi" w:cs="Arial"/>
                <w:lang w:eastAsia="en-US"/>
              </w:rPr>
            </w:pPr>
            <w:r w:rsidRPr="00610F30">
              <w:t>Wholesale Mark-up for Pharmaceutical Benefits delivered to Approved Pharmaci</w:t>
            </w:r>
            <w:r>
              <w:t>st</w:t>
            </w:r>
            <w:r w:rsidRPr="00610F30">
              <w:t>s</w:t>
            </w:r>
            <w:r w:rsidR="00BB4478">
              <w:t xml:space="preserve"> </w:t>
            </w:r>
            <w:r w:rsidR="0014001E">
              <w:t>*</w:t>
            </w:r>
          </w:p>
        </w:tc>
        <w:tc>
          <w:tcPr>
            <w:tcW w:w="3482" w:type="dxa"/>
            <w:tcBorders>
              <w:top w:val="single" w:sz="8" w:space="0" w:color="auto"/>
              <w:left w:val="nil"/>
              <w:bottom w:val="single" w:sz="8" w:space="0" w:color="auto"/>
              <w:right w:val="single" w:sz="8" w:space="0" w:color="auto"/>
            </w:tcBorders>
            <w:shd w:val="clear" w:color="auto" w:fill="FFFFFF" w:themeFill="background1"/>
          </w:tcPr>
          <w:p w14:paraId="3F311F8C" w14:textId="065D3DB0" w:rsidR="00617348" w:rsidRPr="00610F30" w:rsidRDefault="00617348" w:rsidP="00B4250C">
            <w:pPr>
              <w:keepLines/>
              <w:spacing w:before="20" w:afterLines="20" w:after="48"/>
              <w:ind w:left="58" w:right="130"/>
            </w:pPr>
            <w:r w:rsidRPr="00610F30">
              <w:t>Whe</w:t>
            </w:r>
            <w:r>
              <w:t>n</w:t>
            </w:r>
            <w:r w:rsidRPr="00610F30">
              <w:t xml:space="preserve"> the Ex-Manufacturer Price</w:t>
            </w:r>
            <w:r w:rsidR="00C80EF9">
              <w:t xml:space="preserve"> </w:t>
            </w:r>
            <w:r w:rsidRPr="00610F30">
              <w:t>is up to and including $5.50</w:t>
            </w:r>
          </w:p>
        </w:tc>
        <w:tc>
          <w:tcPr>
            <w:tcW w:w="214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A9417D9" w14:textId="0EAC8410" w:rsidR="00617348" w:rsidRPr="00610F30" w:rsidRDefault="00617348" w:rsidP="00B4250C">
            <w:pPr>
              <w:keepLines/>
              <w:spacing w:before="20" w:afterLines="20" w:after="48"/>
              <w:rPr>
                <w:rFonts w:eastAsiaTheme="minorHAnsi" w:cs="Arial"/>
                <w:lang w:eastAsia="en-US"/>
              </w:rPr>
            </w:pPr>
            <w:r w:rsidRPr="00610F30">
              <w:t>$0.24 per</w:t>
            </w:r>
            <w:r>
              <w:t xml:space="preserve"> </w:t>
            </w:r>
            <w:r w:rsidR="00C80EF9">
              <w:t>dispense</w:t>
            </w:r>
            <w:r w:rsidRPr="00610F30">
              <w:t xml:space="preserve"> </w:t>
            </w:r>
          </w:p>
        </w:tc>
      </w:tr>
      <w:tr w:rsidR="00617348" w:rsidRPr="009D3B53" w14:paraId="079A496D" w14:textId="77777777" w:rsidTr="00946934">
        <w:trPr>
          <w:cantSplit/>
          <w:trHeight w:val="654"/>
        </w:trPr>
        <w:tc>
          <w:tcPr>
            <w:tcW w:w="1606" w:type="dxa"/>
            <w:vMerge/>
            <w:tcBorders>
              <w:left w:val="single" w:sz="8" w:space="0" w:color="auto"/>
              <w:right w:val="single" w:sz="8" w:space="0" w:color="auto"/>
            </w:tcBorders>
            <w:tcMar>
              <w:top w:w="0" w:type="dxa"/>
              <w:left w:w="108" w:type="dxa"/>
              <w:bottom w:w="0" w:type="dxa"/>
              <w:right w:w="108" w:type="dxa"/>
            </w:tcMar>
          </w:tcPr>
          <w:p w14:paraId="53B42332" w14:textId="77777777" w:rsidR="00617348" w:rsidRPr="00610F30" w:rsidRDefault="00617348" w:rsidP="00B4250C">
            <w:pPr>
              <w:keepLines/>
              <w:spacing w:before="20" w:afterLines="20" w:after="48"/>
            </w:pPr>
          </w:p>
        </w:tc>
        <w:tc>
          <w:tcPr>
            <w:tcW w:w="3482" w:type="dxa"/>
            <w:tcBorders>
              <w:top w:val="single" w:sz="8" w:space="0" w:color="auto"/>
              <w:left w:val="nil"/>
              <w:bottom w:val="single" w:sz="8" w:space="0" w:color="auto"/>
              <w:right w:val="single" w:sz="8" w:space="0" w:color="auto"/>
            </w:tcBorders>
            <w:shd w:val="clear" w:color="auto" w:fill="FFFFFF" w:themeFill="background1"/>
          </w:tcPr>
          <w:p w14:paraId="40B72A94" w14:textId="0B531B3A" w:rsidR="00617348" w:rsidRPr="00610F30" w:rsidRDefault="00617348" w:rsidP="00B4250C">
            <w:pPr>
              <w:keepLines/>
              <w:spacing w:before="20" w:afterLines="20" w:after="48"/>
              <w:ind w:left="58" w:right="130"/>
            </w:pPr>
            <w:r w:rsidRPr="00610F30">
              <w:t>Whe</w:t>
            </w:r>
            <w:r>
              <w:t>n</w:t>
            </w:r>
            <w:r w:rsidRPr="00610F30">
              <w:t xml:space="preserve"> the Ex-Manufacturer Price is over $5.50 and up to and including $1,000</w:t>
            </w:r>
          </w:p>
        </w:tc>
        <w:tc>
          <w:tcPr>
            <w:tcW w:w="214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DE93B71" w14:textId="0E411134" w:rsidR="00617348" w:rsidRPr="00610F30" w:rsidRDefault="00617348" w:rsidP="00B4250C">
            <w:pPr>
              <w:keepLines/>
              <w:spacing w:before="20" w:afterLines="20" w:after="48"/>
            </w:pPr>
            <w:r w:rsidRPr="00610F30">
              <w:t xml:space="preserve">4.3% of the </w:t>
            </w:r>
            <w:r>
              <w:t xml:space="preserve">l </w:t>
            </w:r>
            <w:r w:rsidRPr="00610F30">
              <w:t>Ex-Manufacturer Price per</w:t>
            </w:r>
            <w:r w:rsidR="00BB4478">
              <w:t xml:space="preserve"> </w:t>
            </w:r>
            <w:r w:rsidR="00C80EF9">
              <w:t>dispense</w:t>
            </w:r>
          </w:p>
        </w:tc>
      </w:tr>
      <w:tr w:rsidR="00617348" w:rsidRPr="009D3B53" w14:paraId="3F3D882F" w14:textId="77777777" w:rsidTr="00946934">
        <w:trPr>
          <w:cantSplit/>
          <w:trHeight w:val="930"/>
        </w:trPr>
        <w:tc>
          <w:tcPr>
            <w:tcW w:w="1606" w:type="dxa"/>
            <w:vMerge/>
            <w:tcBorders>
              <w:left w:val="single" w:sz="8" w:space="0" w:color="auto"/>
              <w:right w:val="single" w:sz="8" w:space="0" w:color="auto"/>
            </w:tcBorders>
            <w:vAlign w:val="center"/>
            <w:hideMark/>
          </w:tcPr>
          <w:p w14:paraId="44FF993D" w14:textId="77777777" w:rsidR="00617348" w:rsidRPr="00610F30" w:rsidRDefault="00617348" w:rsidP="00B4250C">
            <w:pPr>
              <w:keepLines/>
              <w:rPr>
                <w:rFonts w:eastAsiaTheme="minorHAnsi" w:cs="Arial"/>
                <w:lang w:eastAsia="en-US"/>
              </w:rPr>
            </w:pPr>
          </w:p>
        </w:tc>
        <w:tc>
          <w:tcPr>
            <w:tcW w:w="3482" w:type="dxa"/>
            <w:tcBorders>
              <w:top w:val="single" w:sz="8" w:space="0" w:color="auto"/>
              <w:left w:val="nil"/>
              <w:bottom w:val="single" w:sz="8" w:space="0" w:color="auto"/>
              <w:right w:val="single" w:sz="8" w:space="0" w:color="auto"/>
            </w:tcBorders>
            <w:shd w:val="clear" w:color="auto" w:fill="FFFFFF" w:themeFill="background1"/>
          </w:tcPr>
          <w:p w14:paraId="1CA68D4F" w14:textId="713DBE2C" w:rsidR="00617348" w:rsidRPr="00610F30" w:rsidRDefault="00617348" w:rsidP="00B4250C">
            <w:pPr>
              <w:keepLines/>
              <w:spacing w:before="20" w:afterLines="20" w:after="48"/>
              <w:ind w:left="58"/>
            </w:pPr>
            <w:r w:rsidRPr="00610F30">
              <w:t>Whe</w:t>
            </w:r>
            <w:r>
              <w:t>n</w:t>
            </w:r>
            <w:r w:rsidRPr="00610F30">
              <w:t xml:space="preserve"> the Ex-Manufacturer Price is over $1,000 and up to and including $10,000</w:t>
            </w:r>
          </w:p>
        </w:tc>
        <w:tc>
          <w:tcPr>
            <w:tcW w:w="214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C87C280" w14:textId="79E4628F" w:rsidR="00617348" w:rsidRPr="00610F30" w:rsidRDefault="00617348" w:rsidP="00B4250C">
            <w:pPr>
              <w:keepLines/>
              <w:spacing w:before="20" w:afterLines="20" w:after="48"/>
              <w:rPr>
                <w:rFonts w:eastAsiaTheme="minorHAnsi" w:cs="Arial"/>
                <w:lang w:eastAsia="en-US"/>
              </w:rPr>
            </w:pPr>
            <w:r w:rsidRPr="00610F30">
              <w:t>$43 + 2% of the amount of the</w:t>
            </w:r>
            <w:r w:rsidR="00D834BC">
              <w:t xml:space="preserve"> </w:t>
            </w:r>
            <w:r w:rsidRPr="00610F30">
              <w:t xml:space="preserve">Ex-Manufacturer Price over $1,000 </w:t>
            </w:r>
            <w:r w:rsidR="00C80EF9">
              <w:t>per dispense</w:t>
            </w:r>
          </w:p>
        </w:tc>
      </w:tr>
      <w:tr w:rsidR="00617348" w:rsidRPr="009D3B53" w14:paraId="456695CD" w14:textId="77777777" w:rsidTr="00946934">
        <w:trPr>
          <w:cantSplit/>
          <w:trHeight w:val="930"/>
        </w:trPr>
        <w:tc>
          <w:tcPr>
            <w:tcW w:w="1606" w:type="dxa"/>
            <w:vMerge/>
            <w:tcBorders>
              <w:left w:val="single" w:sz="8" w:space="0" w:color="auto"/>
              <w:bottom w:val="single" w:sz="8" w:space="0" w:color="auto"/>
              <w:right w:val="single" w:sz="8" w:space="0" w:color="auto"/>
            </w:tcBorders>
            <w:vAlign w:val="center"/>
          </w:tcPr>
          <w:p w14:paraId="056DE34A" w14:textId="77777777" w:rsidR="00617348" w:rsidRPr="00610F30" w:rsidRDefault="00617348" w:rsidP="00B4250C">
            <w:pPr>
              <w:keepLines/>
              <w:rPr>
                <w:rFonts w:eastAsiaTheme="minorHAnsi" w:cs="Arial"/>
                <w:lang w:eastAsia="en-US"/>
              </w:rPr>
            </w:pPr>
          </w:p>
        </w:tc>
        <w:tc>
          <w:tcPr>
            <w:tcW w:w="3482" w:type="dxa"/>
            <w:tcBorders>
              <w:top w:val="single" w:sz="8" w:space="0" w:color="auto"/>
              <w:left w:val="nil"/>
              <w:bottom w:val="single" w:sz="8" w:space="0" w:color="auto"/>
              <w:right w:val="single" w:sz="8" w:space="0" w:color="auto"/>
            </w:tcBorders>
            <w:shd w:val="clear" w:color="auto" w:fill="FFFFFF" w:themeFill="background1"/>
          </w:tcPr>
          <w:p w14:paraId="63B52FC0" w14:textId="5C15F9D3" w:rsidR="00617348" w:rsidRPr="00610F30" w:rsidRDefault="00617348" w:rsidP="00B4250C">
            <w:pPr>
              <w:keepLines/>
              <w:spacing w:before="20" w:afterLines="20" w:after="48"/>
              <w:ind w:left="58"/>
            </w:pPr>
            <w:r w:rsidRPr="00610F30">
              <w:t>Whe</w:t>
            </w:r>
            <w:r>
              <w:t>n</w:t>
            </w:r>
            <w:r w:rsidRPr="00610F30">
              <w:t xml:space="preserve"> the Ex-Manufacturer Price is over $</w:t>
            </w:r>
            <w:r>
              <w:t xml:space="preserve">10,000 </w:t>
            </w:r>
          </w:p>
        </w:tc>
        <w:tc>
          <w:tcPr>
            <w:tcW w:w="214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8F5B67C" w14:textId="4AD3442A" w:rsidR="00617348" w:rsidRPr="00610F30" w:rsidRDefault="002F4752" w:rsidP="00B4250C">
            <w:pPr>
              <w:keepLines/>
              <w:spacing w:before="20" w:afterLines="20" w:after="48"/>
            </w:pPr>
            <w:r>
              <w:t xml:space="preserve">$223 per </w:t>
            </w:r>
            <w:r w:rsidR="00966CF9">
              <w:t>dispense</w:t>
            </w:r>
          </w:p>
        </w:tc>
      </w:tr>
    </w:tbl>
    <w:p w14:paraId="3493262F" w14:textId="799C62E8" w:rsidR="004B35CC" w:rsidRPr="00CB62B4" w:rsidRDefault="004B35CC" w:rsidP="004B35CC">
      <w:pPr>
        <w:pStyle w:val="Heading3"/>
        <w:numPr>
          <w:ilvl w:val="0"/>
          <w:numId w:val="0"/>
        </w:numPr>
        <w:ind w:left="1843"/>
        <w:rPr>
          <w:sz w:val="18"/>
          <w:szCs w:val="18"/>
        </w:rPr>
      </w:pPr>
      <w:r w:rsidRPr="00EF7952">
        <w:rPr>
          <w:sz w:val="18"/>
          <w:szCs w:val="18"/>
        </w:rPr>
        <w:t xml:space="preserve">*The WMU </w:t>
      </w:r>
      <w:r w:rsidR="000A1E34" w:rsidRPr="00EF7952">
        <w:rPr>
          <w:sz w:val="18"/>
          <w:szCs w:val="18"/>
        </w:rPr>
        <w:t>Payment per dispense</w:t>
      </w:r>
      <w:r w:rsidRPr="00EF7952">
        <w:rPr>
          <w:sz w:val="18"/>
          <w:szCs w:val="18"/>
        </w:rPr>
        <w:t xml:space="preserve"> is no longer calculated using the Relevant Quantity. Instead, the WMU </w:t>
      </w:r>
      <w:r w:rsidR="000A1E34" w:rsidRPr="00EF7952">
        <w:rPr>
          <w:sz w:val="18"/>
          <w:szCs w:val="18"/>
        </w:rPr>
        <w:t xml:space="preserve">Payment </w:t>
      </w:r>
      <w:r w:rsidRPr="00EF7952">
        <w:rPr>
          <w:sz w:val="18"/>
          <w:szCs w:val="18"/>
        </w:rPr>
        <w:t xml:space="preserve">is calculated </w:t>
      </w:r>
      <w:r w:rsidR="000A1E34" w:rsidRPr="00EF7952">
        <w:rPr>
          <w:sz w:val="18"/>
          <w:szCs w:val="18"/>
        </w:rPr>
        <w:t>using</w:t>
      </w:r>
      <w:r w:rsidRPr="00EF7952">
        <w:rPr>
          <w:sz w:val="18"/>
          <w:szCs w:val="18"/>
        </w:rPr>
        <w:t xml:space="preserve"> the </w:t>
      </w:r>
      <w:r w:rsidR="003A76A4">
        <w:rPr>
          <w:sz w:val="18"/>
          <w:szCs w:val="18"/>
        </w:rPr>
        <w:t>E</w:t>
      </w:r>
      <w:r w:rsidRPr="00EF7952">
        <w:rPr>
          <w:sz w:val="18"/>
          <w:szCs w:val="18"/>
        </w:rPr>
        <w:t>x-</w:t>
      </w:r>
      <w:r w:rsidR="003A76A4">
        <w:rPr>
          <w:sz w:val="18"/>
          <w:szCs w:val="18"/>
        </w:rPr>
        <w:t>M</w:t>
      </w:r>
      <w:r w:rsidRPr="00EF7952">
        <w:rPr>
          <w:sz w:val="18"/>
          <w:szCs w:val="18"/>
        </w:rPr>
        <w:t>anufacturer</w:t>
      </w:r>
      <w:r w:rsidR="003A76A4">
        <w:rPr>
          <w:sz w:val="18"/>
          <w:szCs w:val="18"/>
        </w:rPr>
        <w:t xml:space="preserve"> P</w:t>
      </w:r>
      <w:r w:rsidRPr="00EF7952">
        <w:rPr>
          <w:sz w:val="18"/>
          <w:szCs w:val="18"/>
        </w:rPr>
        <w:t xml:space="preserve">rice for the </w:t>
      </w:r>
      <w:r w:rsidR="000A1E34" w:rsidRPr="00EF7952">
        <w:rPr>
          <w:sz w:val="18"/>
          <w:szCs w:val="18"/>
        </w:rPr>
        <w:t>P</w:t>
      </w:r>
      <w:r w:rsidRPr="00EF7952">
        <w:rPr>
          <w:sz w:val="18"/>
          <w:szCs w:val="18"/>
        </w:rPr>
        <w:t xml:space="preserve">ack </w:t>
      </w:r>
      <w:r w:rsidR="000A1E34" w:rsidRPr="00EF7952">
        <w:rPr>
          <w:sz w:val="18"/>
          <w:szCs w:val="18"/>
        </w:rPr>
        <w:t>Q</w:t>
      </w:r>
      <w:r w:rsidRPr="00EF7952">
        <w:rPr>
          <w:sz w:val="18"/>
          <w:szCs w:val="18"/>
        </w:rPr>
        <w:t xml:space="preserve">uantity </w:t>
      </w:r>
      <w:r w:rsidR="00F77E14" w:rsidRPr="00EF7952">
        <w:rPr>
          <w:sz w:val="18"/>
          <w:szCs w:val="18"/>
        </w:rPr>
        <w:t>of</w:t>
      </w:r>
      <w:r w:rsidR="00EB097C">
        <w:rPr>
          <w:sz w:val="18"/>
          <w:szCs w:val="18"/>
        </w:rPr>
        <w:t xml:space="preserve"> </w:t>
      </w:r>
      <w:r w:rsidR="00F46D24">
        <w:rPr>
          <w:sz w:val="18"/>
          <w:szCs w:val="18"/>
        </w:rPr>
        <w:t>a</w:t>
      </w:r>
      <w:r w:rsidR="00F77E14" w:rsidRPr="00EF7952">
        <w:rPr>
          <w:sz w:val="18"/>
          <w:szCs w:val="18"/>
        </w:rPr>
        <w:t xml:space="preserve"> Listed Brand </w:t>
      </w:r>
      <w:r w:rsidRPr="00EF7952">
        <w:rPr>
          <w:sz w:val="18"/>
          <w:szCs w:val="18"/>
        </w:rPr>
        <w:t>dispensed</w:t>
      </w:r>
      <w:r w:rsidR="000A1E34" w:rsidRPr="00EF7952">
        <w:rPr>
          <w:sz w:val="18"/>
          <w:szCs w:val="18"/>
        </w:rPr>
        <w:t xml:space="preserve"> by the Approved Pharmacist</w:t>
      </w:r>
      <w:r w:rsidRPr="00EF7952">
        <w:rPr>
          <w:sz w:val="18"/>
          <w:szCs w:val="18"/>
        </w:rPr>
        <w:t xml:space="preserve">. </w:t>
      </w:r>
    </w:p>
    <w:p w14:paraId="7EEFC207" w14:textId="55DC836C" w:rsidR="00C579EB" w:rsidRDefault="00261C9A" w:rsidP="00C579EB">
      <w:pPr>
        <w:pStyle w:val="Heading3"/>
        <w:ind w:left="1708" w:hanging="840"/>
      </w:pPr>
      <w:r w:rsidRPr="0023178F">
        <w:lastRenderedPageBreak/>
        <w:t>The</w:t>
      </w:r>
      <w:r w:rsidR="00B353A9" w:rsidRPr="0023178F">
        <w:t xml:space="preserve"> </w:t>
      </w:r>
      <w:r w:rsidR="00347E70" w:rsidRPr="0023178F">
        <w:t>W</w:t>
      </w:r>
      <w:r w:rsidR="00A5114E">
        <w:t>MU</w:t>
      </w:r>
      <w:r w:rsidR="003D2A10" w:rsidRPr="0023178F">
        <w:t xml:space="preserve"> </w:t>
      </w:r>
      <w:r w:rsidR="00A5114E">
        <w:t xml:space="preserve">Payment amounts </w:t>
      </w:r>
      <w:r w:rsidR="00B353A9" w:rsidRPr="0023178F">
        <w:t>set out in Table</w:t>
      </w:r>
      <w:r w:rsidR="00610F30">
        <w:t>s</w:t>
      </w:r>
      <w:r w:rsidR="00B353A9" w:rsidRPr="0023178F">
        <w:t xml:space="preserve"> </w:t>
      </w:r>
      <w:r w:rsidR="00D8291F" w:rsidRPr="0023178F">
        <w:t>2</w:t>
      </w:r>
      <w:r w:rsidR="00610F30">
        <w:t xml:space="preserve"> and 3</w:t>
      </w:r>
      <w:r w:rsidR="00B353A9" w:rsidRPr="0023178F">
        <w:t xml:space="preserve"> will not be</w:t>
      </w:r>
      <w:r w:rsidR="00CD410E">
        <w:t xml:space="preserve"> subject to</w:t>
      </w:r>
      <w:r w:rsidR="00B353A9" w:rsidRPr="0023178F">
        <w:t xml:space="preserve"> </w:t>
      </w:r>
      <w:r w:rsidR="004B12AF">
        <w:t>i</w:t>
      </w:r>
      <w:r w:rsidR="00B353A9" w:rsidRPr="0023178F">
        <w:t>ndex</w:t>
      </w:r>
      <w:r w:rsidR="00CD410E">
        <w:t>ation</w:t>
      </w:r>
      <w:r w:rsidR="00B353A9" w:rsidRPr="0023178F">
        <w:t xml:space="preserve"> during the Term.</w:t>
      </w:r>
      <w:bookmarkStart w:id="146" w:name="_Ref163662458"/>
    </w:p>
    <w:p w14:paraId="599D1B62" w14:textId="377803CE" w:rsidR="00966CF9" w:rsidRDefault="00966CF9" w:rsidP="00C579EB">
      <w:pPr>
        <w:pStyle w:val="Heading3"/>
        <w:ind w:left="1708" w:hanging="840"/>
      </w:pPr>
      <w:r w:rsidRPr="00966CF9">
        <w:t xml:space="preserve">The WMU Payments will be made as part of the payment of the Commonwealth Price to Approved Pharmacists in accordance with the Act. </w:t>
      </w:r>
      <w:r w:rsidR="00AF74EC">
        <w:t>If</w:t>
      </w:r>
      <w:r w:rsidRPr="00966CF9">
        <w:t xml:space="preserve"> there is an inconsistency between this Agreement and the Act (including the Determination)</w:t>
      </w:r>
      <w:r w:rsidR="00690E06">
        <w:t xml:space="preserve"> in relation to the payment of WMU Payments</w:t>
      </w:r>
      <w:r w:rsidRPr="00966CF9">
        <w:t xml:space="preserve">, </w:t>
      </w:r>
      <w:r w:rsidR="005B3B7F">
        <w:t xml:space="preserve">whilst </w:t>
      </w:r>
      <w:r w:rsidRPr="00966CF9">
        <w:t xml:space="preserve">the Commonwealth </w:t>
      </w:r>
      <w:r w:rsidR="005B3B7F">
        <w:t>may not act inconsistently with the Act, it</w:t>
      </w:r>
      <w:r w:rsidR="005B3B7F" w:rsidRPr="00966CF9">
        <w:t xml:space="preserve"> </w:t>
      </w:r>
      <w:r w:rsidRPr="00966CF9">
        <w:t xml:space="preserve">will consult with the Association </w:t>
      </w:r>
      <w:r w:rsidR="00AF74EC">
        <w:t>with a view to</w:t>
      </w:r>
      <w:r w:rsidR="005B3B7F">
        <w:t xml:space="preserve"> resolving the </w:t>
      </w:r>
      <w:r w:rsidR="005B3B7F" w:rsidRPr="00966CF9">
        <w:t>inconsistency</w:t>
      </w:r>
      <w:r w:rsidR="005B3B7F">
        <w:t xml:space="preserve"> (including by amending this Agreement, if necessary)</w:t>
      </w:r>
      <w:r w:rsidRPr="00966CF9">
        <w:t>.</w:t>
      </w:r>
      <w:r w:rsidR="005B3B7F">
        <w:t xml:space="preserve"> </w:t>
      </w:r>
    </w:p>
    <w:p w14:paraId="0A07A356" w14:textId="77F99064" w:rsidR="00084015" w:rsidRPr="00C978B2" w:rsidRDefault="0066207A" w:rsidP="00A5114E">
      <w:pPr>
        <w:pStyle w:val="Heading3"/>
      </w:pPr>
      <w:r>
        <w:t>For clarity, the</w:t>
      </w:r>
      <w:r w:rsidR="00084015">
        <w:t xml:space="preserve"> </w:t>
      </w:r>
      <w:r>
        <w:t xml:space="preserve">same </w:t>
      </w:r>
      <w:r w:rsidR="00084015" w:rsidRPr="00084015">
        <w:t xml:space="preserve">WMU calculation </w:t>
      </w:r>
      <w:r>
        <w:t xml:space="preserve">will be applied to </w:t>
      </w:r>
      <w:r w:rsidR="00084015" w:rsidRPr="00084015">
        <w:t xml:space="preserve">products that are dispensed under </w:t>
      </w:r>
      <w:r>
        <w:t xml:space="preserve">both </w:t>
      </w:r>
      <w:r w:rsidR="00084015" w:rsidRPr="00084015">
        <w:t>s100 and s85.</w:t>
      </w:r>
    </w:p>
    <w:p w14:paraId="7F6F6164" w14:textId="44D44174" w:rsidR="00527995" w:rsidRPr="00C978B2" w:rsidRDefault="00527995" w:rsidP="00D57127">
      <w:pPr>
        <w:pStyle w:val="Heading1"/>
        <w:keepLines/>
      </w:pPr>
      <w:bookmarkStart w:id="147" w:name="_Toc29646208"/>
      <w:bookmarkStart w:id="148" w:name="_Toc29646211"/>
      <w:bookmarkStart w:id="149" w:name="_Toc29646214"/>
      <w:bookmarkStart w:id="150" w:name="_Toc29300740"/>
      <w:bookmarkStart w:id="151" w:name="_Toc29314568"/>
      <w:bookmarkStart w:id="152" w:name="_Toc29314691"/>
      <w:bookmarkStart w:id="153" w:name="_Toc29315735"/>
      <w:bookmarkStart w:id="154" w:name="_Toc29315856"/>
      <w:bookmarkStart w:id="155" w:name="_Toc420157571"/>
      <w:bookmarkStart w:id="156" w:name="_Toc420160277"/>
      <w:bookmarkStart w:id="157" w:name="_Toc419754410"/>
      <w:bookmarkStart w:id="158" w:name="_Toc419754411"/>
      <w:bookmarkStart w:id="159" w:name="_Toc419754415"/>
      <w:bookmarkStart w:id="160" w:name="_Toc419754416"/>
      <w:bookmarkStart w:id="161" w:name="_Toc26948546"/>
      <w:bookmarkStart w:id="162" w:name="_Toc26948552"/>
      <w:bookmarkStart w:id="163" w:name="_Toc26948562"/>
      <w:bookmarkStart w:id="164" w:name="_Ref166426587"/>
      <w:bookmarkStart w:id="165" w:name="_Toc185417670"/>
      <w:bookmarkStart w:id="166" w:name="_Ref419360667"/>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C978B2">
        <w:t>Community Service Obligation</w:t>
      </w:r>
      <w:r w:rsidR="002B022A" w:rsidRPr="00C978B2">
        <w:t xml:space="preserve"> </w:t>
      </w:r>
      <w:r w:rsidR="00C978B2">
        <w:t xml:space="preserve">(CSO) </w:t>
      </w:r>
      <w:r w:rsidR="002B022A" w:rsidRPr="00C978B2">
        <w:t>funding</w:t>
      </w:r>
      <w:bookmarkEnd w:id="164"/>
      <w:bookmarkEnd w:id="165"/>
    </w:p>
    <w:p w14:paraId="27309A10" w14:textId="3C2536F4" w:rsidR="00610F30" w:rsidRPr="000C0845" w:rsidRDefault="00610F30" w:rsidP="000C0845">
      <w:pPr>
        <w:pStyle w:val="Headingpara2"/>
        <w:rPr>
          <w:b/>
          <w:bCs/>
        </w:rPr>
      </w:pPr>
      <w:bookmarkStart w:id="167" w:name="_Ref176845674"/>
      <w:r w:rsidRPr="000C0845">
        <w:rPr>
          <w:b/>
          <w:bCs/>
        </w:rPr>
        <w:t xml:space="preserve">CSO </w:t>
      </w:r>
      <w:r w:rsidR="00DB25FC" w:rsidRPr="000C0845">
        <w:rPr>
          <w:b/>
          <w:bCs/>
        </w:rPr>
        <w:t xml:space="preserve">Wholesale </w:t>
      </w:r>
      <w:r w:rsidRPr="000C0845">
        <w:rPr>
          <w:b/>
          <w:bCs/>
        </w:rPr>
        <w:t>Funding Pool</w:t>
      </w:r>
      <w:bookmarkEnd w:id="167"/>
      <w:r w:rsidRPr="000C0845">
        <w:rPr>
          <w:b/>
          <w:bCs/>
        </w:rPr>
        <w:t xml:space="preserve"> </w:t>
      </w:r>
    </w:p>
    <w:p w14:paraId="5F070561" w14:textId="7694B837" w:rsidR="00885BC8" w:rsidRDefault="00610F30" w:rsidP="00227557">
      <w:pPr>
        <w:pStyle w:val="Heading3"/>
        <w:ind w:left="1707" w:hanging="839"/>
      </w:pPr>
      <w:r>
        <w:t xml:space="preserve">At the Commencement Date, </w:t>
      </w:r>
      <w:r w:rsidRPr="00D403CE">
        <w:t xml:space="preserve">the </w:t>
      </w:r>
      <w:r w:rsidR="0005190D" w:rsidRPr="00D403CE">
        <w:t xml:space="preserve">maximum </w:t>
      </w:r>
      <w:r w:rsidR="00506C62">
        <w:t xml:space="preserve">baseline </w:t>
      </w:r>
      <w:r w:rsidRPr="00D403CE">
        <w:t xml:space="preserve">value of the CSO Wholesale Funding Pool available to </w:t>
      </w:r>
      <w:r w:rsidR="00CD410E">
        <w:t>for payment to</w:t>
      </w:r>
      <w:r w:rsidR="00CD410E" w:rsidRPr="00D403CE">
        <w:t xml:space="preserve"> </w:t>
      </w:r>
      <w:r w:rsidR="0020095E">
        <w:t xml:space="preserve">Eligible </w:t>
      </w:r>
      <w:r w:rsidRPr="00D403CE">
        <w:t>Pharmaceutical Wholesalers is $</w:t>
      </w:r>
      <w:r w:rsidR="00D91F1B" w:rsidRPr="00D403CE">
        <w:t>215</w:t>
      </w:r>
      <w:r w:rsidR="00D403CE" w:rsidRPr="00D403CE">
        <w:t>M</w:t>
      </w:r>
      <w:r w:rsidR="00D91F1B" w:rsidRPr="00D403CE">
        <w:t xml:space="preserve"> </w:t>
      </w:r>
      <w:r w:rsidR="00B965D9" w:rsidRPr="00D403CE">
        <w:t>excluding GST</w:t>
      </w:r>
      <w:r w:rsidR="008A53DB" w:rsidRPr="00D403CE">
        <w:t xml:space="preserve"> ($236.5</w:t>
      </w:r>
      <w:r w:rsidR="00D403CE">
        <w:t xml:space="preserve">M </w:t>
      </w:r>
      <w:r w:rsidR="008A53DB" w:rsidRPr="00D403CE">
        <w:t>including GST)</w:t>
      </w:r>
      <w:r w:rsidR="004855A6">
        <w:t xml:space="preserve"> per annum</w:t>
      </w:r>
      <w:r w:rsidR="0005190D" w:rsidRPr="00D403CE">
        <w:t xml:space="preserve">, less the amount referred to in clause </w:t>
      </w:r>
      <w:r w:rsidR="0005190D" w:rsidRPr="00D403CE">
        <w:fldChar w:fldCharType="begin"/>
      </w:r>
      <w:r w:rsidR="0005190D" w:rsidRPr="00D403CE">
        <w:instrText xml:space="preserve"> REF _Ref183986729 \r \h </w:instrText>
      </w:r>
      <w:r w:rsidR="00D403CE">
        <w:instrText xml:space="preserve"> \* MERGEFORMAT </w:instrText>
      </w:r>
      <w:r w:rsidR="0005190D" w:rsidRPr="00D403CE">
        <w:fldChar w:fldCharType="separate"/>
      </w:r>
      <w:r w:rsidR="005C0514">
        <w:t>4</w:t>
      </w:r>
      <w:r w:rsidR="0005190D" w:rsidRPr="00D403CE">
        <w:fldChar w:fldCharType="end"/>
      </w:r>
      <w:r w:rsidR="00B02030">
        <w:t xml:space="preserve">, with a further $10M committed for </w:t>
      </w:r>
      <w:r w:rsidR="00B02030" w:rsidRPr="00D403CE">
        <w:t>Increased Maximum Dispensing Quantities</w:t>
      </w:r>
      <w:r w:rsidR="007D0281" w:rsidRPr="00D403CE">
        <w:t>.</w:t>
      </w:r>
      <w:r w:rsidR="001E156B">
        <w:t xml:space="preserve"> </w:t>
      </w:r>
    </w:p>
    <w:p w14:paraId="64D44C56" w14:textId="43716ABA" w:rsidR="00E3105B" w:rsidRDefault="00E3105B" w:rsidP="00BE75D9">
      <w:pPr>
        <w:pStyle w:val="Heading3"/>
        <w:spacing w:after="120"/>
        <w:ind w:left="1707" w:hanging="839"/>
      </w:pPr>
      <w:bookmarkStart w:id="168" w:name="_Ref176845631"/>
      <w:bookmarkStart w:id="169" w:name="_Ref185400308"/>
      <w:r>
        <w:t xml:space="preserve">The </w:t>
      </w:r>
      <w:r w:rsidR="004855A6">
        <w:t xml:space="preserve">amount of the </w:t>
      </w:r>
      <w:r>
        <w:t xml:space="preserve">CSO Wholesale Funding Pool </w:t>
      </w:r>
      <w:r w:rsidRPr="00D403CE">
        <w:t xml:space="preserve">will </w:t>
      </w:r>
      <w:r w:rsidR="00D91F1B" w:rsidRPr="00D403CE">
        <w:t>be adjusted</w:t>
      </w:r>
      <w:r w:rsidR="00350DF4" w:rsidRPr="00D403CE">
        <w:t>,</w:t>
      </w:r>
      <w:r w:rsidRPr="00D403CE">
        <w:t xml:space="preserve"> </w:t>
      </w:r>
      <w:r w:rsidR="00A821EB" w:rsidRPr="00D403CE">
        <w:t>with effect from</w:t>
      </w:r>
      <w:r w:rsidR="00D91F1B" w:rsidRPr="00D403CE">
        <w:t xml:space="preserve"> each Adjustment Date</w:t>
      </w:r>
      <w:r w:rsidR="00350DF4" w:rsidRPr="00D403CE">
        <w:t>,</w:t>
      </w:r>
      <w:r w:rsidR="00D91F1B" w:rsidRPr="00D403CE">
        <w:t xml:space="preserve"> </w:t>
      </w:r>
      <w:r w:rsidRPr="00D403CE">
        <w:t>in accordance with Table</w:t>
      </w:r>
      <w:r w:rsidR="00B7228F" w:rsidRPr="00D403CE">
        <w:t>s</w:t>
      </w:r>
      <w:r w:rsidRPr="00D403CE">
        <w:t xml:space="preserve"> 4</w:t>
      </w:r>
      <w:r w:rsidR="00B7228F" w:rsidRPr="00D403CE">
        <w:t xml:space="preserve"> and 5</w:t>
      </w:r>
      <w:r w:rsidR="0000737D">
        <w:t xml:space="preserve">. The CSO Wholesale Funding Pool may also be increased in accordance with </w:t>
      </w:r>
      <w:r w:rsidR="006D0DE4">
        <w:t>c</w:t>
      </w:r>
      <w:r w:rsidR="0000737D">
        <w:t>lause</w:t>
      </w:r>
      <w:r w:rsidR="006D0DE4">
        <w:t> </w:t>
      </w:r>
      <w:r w:rsidR="006D0DE4">
        <w:fldChar w:fldCharType="begin"/>
      </w:r>
      <w:r w:rsidR="006D0DE4">
        <w:instrText xml:space="preserve"> REF _Ref185399394 \w \h </w:instrText>
      </w:r>
      <w:r w:rsidR="006D0DE4">
        <w:fldChar w:fldCharType="separate"/>
      </w:r>
      <w:r w:rsidR="005C0514">
        <w:t>11</w:t>
      </w:r>
      <w:r w:rsidR="006D0DE4">
        <w:fldChar w:fldCharType="end"/>
      </w:r>
      <w:r w:rsidR="00B21198">
        <w:t>.</w:t>
      </w:r>
      <w:bookmarkEnd w:id="168"/>
      <w:bookmarkEnd w:id="169"/>
      <w:r>
        <w:t xml:space="preserve"> </w:t>
      </w:r>
    </w:p>
    <w:p w14:paraId="748C6C29" w14:textId="28DA1452" w:rsidR="00350DF4" w:rsidRPr="00D403CE" w:rsidRDefault="00350DF4" w:rsidP="00954BF2">
      <w:pPr>
        <w:pStyle w:val="Heading3"/>
        <w:numPr>
          <w:ilvl w:val="0"/>
          <w:numId w:val="0"/>
        </w:numPr>
        <w:spacing w:after="120"/>
        <w:rPr>
          <w:b/>
          <w:bCs/>
        </w:rPr>
      </w:pPr>
      <w:bookmarkStart w:id="170" w:name="_Ref176876534"/>
      <w:r w:rsidRPr="00D403CE">
        <w:rPr>
          <w:b/>
          <w:bCs/>
        </w:rPr>
        <w:t xml:space="preserve">Table 4: CSO Wholesale Funding </w:t>
      </w:r>
      <w:r w:rsidR="00130F35" w:rsidRPr="00D403CE">
        <w:rPr>
          <w:b/>
          <w:bCs/>
        </w:rPr>
        <w:t xml:space="preserve">Base Amount and </w:t>
      </w:r>
      <w:r w:rsidRPr="00D403CE">
        <w:rPr>
          <w:b/>
          <w:bCs/>
        </w:rPr>
        <w:t>Top-Up Values</w:t>
      </w:r>
    </w:p>
    <w:tbl>
      <w:tblPr>
        <w:tblStyle w:val="TableGrid"/>
        <w:tblW w:w="9781" w:type="dxa"/>
        <w:tblInd w:w="-5" w:type="dxa"/>
        <w:tblLook w:val="04A0" w:firstRow="1" w:lastRow="0" w:firstColumn="1" w:lastColumn="0" w:noHBand="0" w:noVBand="1"/>
      </w:tblPr>
      <w:tblGrid>
        <w:gridCol w:w="851"/>
        <w:gridCol w:w="7371"/>
        <w:gridCol w:w="1559"/>
      </w:tblGrid>
      <w:tr w:rsidR="000B47A2" w:rsidRPr="00D403CE" w14:paraId="07F7BF06" w14:textId="77777777" w:rsidTr="00BC204E">
        <w:trPr>
          <w:trHeight w:val="297"/>
        </w:trPr>
        <w:tc>
          <w:tcPr>
            <w:tcW w:w="851" w:type="dxa"/>
          </w:tcPr>
          <w:p w14:paraId="73D2D196" w14:textId="095F59F6" w:rsidR="000B47A2" w:rsidRPr="00D403CE" w:rsidRDefault="000B47A2" w:rsidP="008B237B">
            <w:pPr>
              <w:pStyle w:val="Heading3"/>
              <w:numPr>
                <w:ilvl w:val="0"/>
                <w:numId w:val="0"/>
              </w:numPr>
              <w:spacing w:before="60" w:after="60"/>
              <w:jc w:val="center"/>
              <w:rPr>
                <w:b/>
                <w:bCs/>
              </w:rPr>
            </w:pPr>
            <w:r w:rsidRPr="00D403CE">
              <w:rPr>
                <w:b/>
                <w:bCs/>
              </w:rPr>
              <w:t>Code</w:t>
            </w:r>
          </w:p>
        </w:tc>
        <w:tc>
          <w:tcPr>
            <w:tcW w:w="7371" w:type="dxa"/>
          </w:tcPr>
          <w:p w14:paraId="4A1E4D77" w14:textId="6F233AB0" w:rsidR="000B47A2" w:rsidRPr="00D403CE" w:rsidRDefault="00996A84" w:rsidP="008B237B">
            <w:pPr>
              <w:pStyle w:val="Heading3"/>
              <w:numPr>
                <w:ilvl w:val="0"/>
                <w:numId w:val="0"/>
              </w:numPr>
              <w:spacing w:before="60" w:after="60"/>
              <w:jc w:val="center"/>
              <w:rPr>
                <w:b/>
                <w:bCs/>
              </w:rPr>
            </w:pPr>
            <w:r>
              <w:rPr>
                <w:b/>
                <w:bCs/>
              </w:rPr>
              <w:t xml:space="preserve">Description of </w:t>
            </w:r>
            <w:r w:rsidR="00915153" w:rsidRPr="00D403CE">
              <w:rPr>
                <w:b/>
                <w:bCs/>
              </w:rPr>
              <w:t xml:space="preserve">Amount or </w:t>
            </w:r>
            <w:r w:rsidR="000B47A2" w:rsidRPr="00D403CE">
              <w:rPr>
                <w:b/>
                <w:bCs/>
              </w:rPr>
              <w:t>Top-</w:t>
            </w:r>
            <w:r w:rsidR="00915153" w:rsidRPr="00D403CE">
              <w:rPr>
                <w:b/>
                <w:bCs/>
              </w:rPr>
              <w:t>U</w:t>
            </w:r>
            <w:r w:rsidR="000B47A2" w:rsidRPr="00D403CE">
              <w:rPr>
                <w:b/>
                <w:bCs/>
              </w:rPr>
              <w:t>p</w:t>
            </w:r>
            <w:r w:rsidR="00915153" w:rsidRPr="00D403CE">
              <w:rPr>
                <w:b/>
                <w:bCs/>
              </w:rPr>
              <w:t xml:space="preserve"> Amount</w:t>
            </w:r>
          </w:p>
        </w:tc>
        <w:tc>
          <w:tcPr>
            <w:tcW w:w="1559" w:type="dxa"/>
            <w:tcBorders>
              <w:bottom w:val="single" w:sz="4" w:space="0" w:color="auto"/>
            </w:tcBorders>
          </w:tcPr>
          <w:p w14:paraId="078EAFB7" w14:textId="03BDBB90" w:rsidR="000B47A2" w:rsidRPr="00D403CE" w:rsidRDefault="000B47A2" w:rsidP="008B237B">
            <w:pPr>
              <w:pStyle w:val="Heading3"/>
              <w:numPr>
                <w:ilvl w:val="0"/>
                <w:numId w:val="0"/>
              </w:numPr>
              <w:spacing w:before="60" w:after="60"/>
              <w:jc w:val="center"/>
              <w:rPr>
                <w:b/>
                <w:bCs/>
              </w:rPr>
            </w:pPr>
            <w:r w:rsidRPr="00D403CE">
              <w:rPr>
                <w:b/>
                <w:bCs/>
              </w:rPr>
              <w:t>Value</w:t>
            </w:r>
            <w:r w:rsidR="00B02030">
              <w:rPr>
                <w:b/>
                <w:bCs/>
              </w:rPr>
              <w:t xml:space="preserve"> (ex GST)</w:t>
            </w:r>
          </w:p>
        </w:tc>
      </w:tr>
      <w:tr w:rsidR="00915153" w:rsidRPr="00D403CE" w14:paraId="2FFDABCB" w14:textId="77777777" w:rsidTr="00BC204E">
        <w:trPr>
          <w:trHeight w:val="297"/>
        </w:trPr>
        <w:tc>
          <w:tcPr>
            <w:tcW w:w="851" w:type="dxa"/>
          </w:tcPr>
          <w:p w14:paraId="5B5DA65D" w14:textId="6784FAFB" w:rsidR="00915153" w:rsidRPr="00D403CE" w:rsidRDefault="00915153" w:rsidP="00F27C0E">
            <w:pPr>
              <w:pStyle w:val="Heading3"/>
              <w:numPr>
                <w:ilvl w:val="0"/>
                <w:numId w:val="0"/>
              </w:numPr>
              <w:spacing w:before="60" w:after="60"/>
            </w:pPr>
            <w:r w:rsidRPr="00D403CE">
              <w:t>H1</w:t>
            </w:r>
          </w:p>
        </w:tc>
        <w:tc>
          <w:tcPr>
            <w:tcW w:w="7371" w:type="dxa"/>
            <w:tcBorders>
              <w:right w:val="single" w:sz="4" w:space="0" w:color="auto"/>
            </w:tcBorders>
          </w:tcPr>
          <w:p w14:paraId="29B9908E" w14:textId="3E88DE8C" w:rsidR="00915153" w:rsidRPr="00D403CE" w:rsidRDefault="00915153" w:rsidP="00F27C0E">
            <w:pPr>
              <w:pStyle w:val="Heading3"/>
              <w:numPr>
                <w:ilvl w:val="0"/>
                <w:numId w:val="0"/>
              </w:numPr>
              <w:spacing w:before="60" w:after="60"/>
            </w:pPr>
            <w:r w:rsidRPr="00D403CE">
              <w:t xml:space="preserve">Amount for First Half (H1) of FY2024-25 </w:t>
            </w:r>
            <w:r w:rsidR="007468AF" w:rsidRPr="00D403CE">
              <w:t>(includ</w:t>
            </w:r>
            <w:r w:rsidR="00B02030">
              <w:t>ing</w:t>
            </w:r>
            <w:r w:rsidR="007468AF" w:rsidRPr="00D403CE">
              <w:t xml:space="preserve"> </w:t>
            </w:r>
            <w:r w:rsidR="007468AF">
              <w:t xml:space="preserve">half of </w:t>
            </w:r>
            <w:r w:rsidR="00B02030">
              <w:t xml:space="preserve">the </w:t>
            </w:r>
            <w:r w:rsidR="007468AF" w:rsidRPr="00D403CE">
              <w:t>previously committed $10M IMDQ Top Up)</w:t>
            </w:r>
          </w:p>
        </w:tc>
        <w:tc>
          <w:tcPr>
            <w:tcW w:w="1559" w:type="dxa"/>
            <w:tcBorders>
              <w:left w:val="single" w:sz="4" w:space="0" w:color="auto"/>
            </w:tcBorders>
          </w:tcPr>
          <w:p w14:paraId="369C949A" w14:textId="65074FB1" w:rsidR="00915153" w:rsidRPr="00D403CE" w:rsidRDefault="00B02030" w:rsidP="00F27C0E">
            <w:pPr>
              <w:pStyle w:val="Heading3"/>
              <w:numPr>
                <w:ilvl w:val="0"/>
                <w:numId w:val="0"/>
              </w:numPr>
              <w:spacing w:before="60" w:after="60"/>
              <w:jc w:val="center"/>
            </w:pPr>
            <w:r>
              <w:t xml:space="preserve">$107.5M + $5M = </w:t>
            </w:r>
            <w:r w:rsidR="00915153" w:rsidRPr="00D403CE">
              <w:t>$112.5M</w:t>
            </w:r>
          </w:p>
        </w:tc>
      </w:tr>
      <w:tr w:rsidR="00130F35" w:rsidRPr="00D403CE" w14:paraId="5700C559" w14:textId="77777777" w:rsidTr="00BC204E">
        <w:trPr>
          <w:trHeight w:val="297"/>
        </w:trPr>
        <w:tc>
          <w:tcPr>
            <w:tcW w:w="851" w:type="dxa"/>
          </w:tcPr>
          <w:p w14:paraId="33428154" w14:textId="77777777" w:rsidR="00130F35" w:rsidRPr="00D403CE" w:rsidRDefault="00130F35" w:rsidP="00130F35">
            <w:pPr>
              <w:pStyle w:val="Heading3"/>
              <w:numPr>
                <w:ilvl w:val="0"/>
                <w:numId w:val="0"/>
              </w:numPr>
              <w:spacing w:before="60" w:after="60"/>
            </w:pPr>
            <w:r w:rsidRPr="00D403CE">
              <w:t>BA</w:t>
            </w:r>
          </w:p>
          <w:p w14:paraId="5F4FF9D9" w14:textId="6042266A" w:rsidR="005957A5" w:rsidRPr="00D403CE" w:rsidRDefault="005957A5" w:rsidP="00130F35">
            <w:pPr>
              <w:pStyle w:val="Heading3"/>
              <w:numPr>
                <w:ilvl w:val="0"/>
                <w:numId w:val="0"/>
              </w:numPr>
              <w:spacing w:before="60" w:after="60"/>
            </w:pPr>
            <w:r w:rsidRPr="00D403CE">
              <w:t>BA/2</w:t>
            </w:r>
          </w:p>
        </w:tc>
        <w:tc>
          <w:tcPr>
            <w:tcW w:w="7371" w:type="dxa"/>
            <w:tcBorders>
              <w:right w:val="single" w:sz="4" w:space="0" w:color="auto"/>
            </w:tcBorders>
          </w:tcPr>
          <w:p w14:paraId="1B42BEEE" w14:textId="6F998ABF" w:rsidR="00130F35" w:rsidRPr="00D403CE" w:rsidRDefault="00130F35" w:rsidP="00130F35">
            <w:pPr>
              <w:pStyle w:val="Heading3"/>
              <w:numPr>
                <w:ilvl w:val="0"/>
                <w:numId w:val="0"/>
              </w:numPr>
              <w:spacing w:before="60" w:after="60"/>
            </w:pPr>
            <w:r w:rsidRPr="00B02030">
              <w:rPr>
                <w:u w:val="single"/>
              </w:rPr>
              <w:t>Base Amount</w:t>
            </w:r>
            <w:r w:rsidR="005957A5" w:rsidRPr="00D403CE">
              <w:t xml:space="preserve"> (includes previously committed $10M </w:t>
            </w:r>
            <w:r w:rsidR="00915153" w:rsidRPr="00D403CE">
              <w:t>I</w:t>
            </w:r>
            <w:r w:rsidR="005957A5" w:rsidRPr="00D403CE">
              <w:t>MDQ Top Up)</w:t>
            </w:r>
          </w:p>
          <w:p w14:paraId="1A30E116" w14:textId="112E8D04" w:rsidR="005957A5" w:rsidRPr="00D403CE" w:rsidRDefault="003E4812" w:rsidP="00130F35">
            <w:pPr>
              <w:pStyle w:val="Heading3"/>
              <w:numPr>
                <w:ilvl w:val="0"/>
                <w:numId w:val="0"/>
              </w:numPr>
              <w:spacing w:before="60" w:after="60"/>
            </w:pPr>
            <w:r w:rsidRPr="0008475F">
              <w:t xml:space="preserve">Half </w:t>
            </w:r>
            <w:r w:rsidR="005957A5" w:rsidRPr="0008475F">
              <w:t>Base Amount</w:t>
            </w:r>
            <w:r w:rsidR="005957A5" w:rsidRPr="00D403CE">
              <w:t xml:space="preserve"> </w:t>
            </w:r>
          </w:p>
        </w:tc>
        <w:tc>
          <w:tcPr>
            <w:tcW w:w="1559" w:type="dxa"/>
            <w:tcBorders>
              <w:left w:val="single" w:sz="4" w:space="0" w:color="auto"/>
            </w:tcBorders>
          </w:tcPr>
          <w:p w14:paraId="3517C6B8" w14:textId="77777777" w:rsidR="00130F35" w:rsidRPr="00D403CE" w:rsidRDefault="00130F35" w:rsidP="008B237B">
            <w:pPr>
              <w:pStyle w:val="Heading3"/>
              <w:numPr>
                <w:ilvl w:val="0"/>
                <w:numId w:val="0"/>
              </w:numPr>
              <w:spacing w:before="60" w:after="60"/>
              <w:jc w:val="center"/>
            </w:pPr>
            <w:r w:rsidRPr="00D403CE">
              <w:t>$225M</w:t>
            </w:r>
          </w:p>
          <w:p w14:paraId="6037C801" w14:textId="7EB81D74" w:rsidR="005957A5" w:rsidRPr="00D403CE" w:rsidRDefault="005957A5" w:rsidP="008B237B">
            <w:pPr>
              <w:pStyle w:val="Heading3"/>
              <w:numPr>
                <w:ilvl w:val="0"/>
                <w:numId w:val="0"/>
              </w:numPr>
              <w:spacing w:before="60" w:after="60"/>
              <w:jc w:val="center"/>
            </w:pPr>
            <w:r w:rsidRPr="00D403CE">
              <w:t>$112.5M</w:t>
            </w:r>
          </w:p>
        </w:tc>
      </w:tr>
      <w:tr w:rsidR="000B47A2" w:rsidRPr="00D403CE" w14:paraId="10C09309" w14:textId="77777777" w:rsidTr="00BC204E">
        <w:trPr>
          <w:trHeight w:val="297"/>
        </w:trPr>
        <w:tc>
          <w:tcPr>
            <w:tcW w:w="851" w:type="dxa"/>
          </w:tcPr>
          <w:p w14:paraId="0055ACAB" w14:textId="77777777" w:rsidR="00996A84" w:rsidRDefault="00996A84" w:rsidP="008B237B">
            <w:pPr>
              <w:pStyle w:val="Heading3"/>
              <w:numPr>
                <w:ilvl w:val="0"/>
                <w:numId w:val="0"/>
              </w:numPr>
              <w:spacing w:before="60" w:after="60"/>
            </w:pPr>
          </w:p>
          <w:p w14:paraId="5C93D2AB" w14:textId="41DE1843" w:rsidR="000B47A2" w:rsidRPr="00D403CE" w:rsidRDefault="000B47A2" w:rsidP="008B237B">
            <w:pPr>
              <w:pStyle w:val="Heading3"/>
              <w:numPr>
                <w:ilvl w:val="0"/>
                <w:numId w:val="0"/>
              </w:numPr>
              <w:spacing w:before="60" w:after="60"/>
            </w:pPr>
            <w:r w:rsidRPr="00D403CE">
              <w:t>MSM</w:t>
            </w:r>
            <w:r w:rsidR="00351747">
              <w:t>1</w:t>
            </w:r>
          </w:p>
          <w:p w14:paraId="3E30B277" w14:textId="517CF2A1" w:rsidR="000B47A2" w:rsidRPr="00D403CE" w:rsidRDefault="000B47A2" w:rsidP="00933971">
            <w:pPr>
              <w:pStyle w:val="Heading3"/>
              <w:numPr>
                <w:ilvl w:val="0"/>
                <w:numId w:val="0"/>
              </w:numPr>
              <w:spacing w:before="120" w:after="60"/>
            </w:pPr>
            <w:r w:rsidRPr="00D403CE">
              <w:t>MSM2</w:t>
            </w:r>
          </w:p>
        </w:tc>
        <w:tc>
          <w:tcPr>
            <w:tcW w:w="7371" w:type="dxa"/>
          </w:tcPr>
          <w:p w14:paraId="56AA2036" w14:textId="211FA534" w:rsidR="000B47A2" w:rsidRPr="00B02030" w:rsidRDefault="000B47A2" w:rsidP="008B237B">
            <w:pPr>
              <w:pStyle w:val="Heading3"/>
              <w:numPr>
                <w:ilvl w:val="0"/>
                <w:numId w:val="0"/>
              </w:numPr>
              <w:spacing w:before="60" w:after="60"/>
              <w:rPr>
                <w:u w:val="single"/>
              </w:rPr>
            </w:pPr>
            <w:r w:rsidRPr="00B02030">
              <w:rPr>
                <w:u w:val="single"/>
              </w:rPr>
              <w:t>Medicine Shortages Management (</w:t>
            </w:r>
            <w:r w:rsidRPr="00B02030">
              <w:rPr>
                <w:b/>
                <w:bCs/>
                <w:u w:val="single"/>
              </w:rPr>
              <w:t>MSM</w:t>
            </w:r>
            <w:r w:rsidRPr="00B02030">
              <w:rPr>
                <w:u w:val="single"/>
              </w:rPr>
              <w:t xml:space="preserve">) </w:t>
            </w:r>
            <w:r w:rsidR="007468AF" w:rsidRPr="00B02030">
              <w:rPr>
                <w:u w:val="single"/>
              </w:rPr>
              <w:t xml:space="preserve">Initial </w:t>
            </w:r>
            <w:r w:rsidRPr="00B02030">
              <w:rPr>
                <w:u w:val="single"/>
              </w:rPr>
              <w:t xml:space="preserve">Top-Up </w:t>
            </w:r>
          </w:p>
          <w:p w14:paraId="1343B91D" w14:textId="68FCD44B" w:rsidR="00B02030" w:rsidRDefault="000B47A2" w:rsidP="008B237B">
            <w:pPr>
              <w:pStyle w:val="Heading3"/>
              <w:numPr>
                <w:ilvl w:val="0"/>
                <w:numId w:val="0"/>
              </w:numPr>
              <w:spacing w:before="60" w:after="60"/>
            </w:pPr>
            <w:r w:rsidRPr="00D403CE">
              <w:t>Th</w:t>
            </w:r>
            <w:r w:rsidR="00CD410E">
              <w:t>e</w:t>
            </w:r>
            <w:r w:rsidRPr="00D403CE">
              <w:t xml:space="preserve"> </w:t>
            </w:r>
            <w:r w:rsidR="00CD410E">
              <w:t>MSM</w:t>
            </w:r>
            <w:r w:rsidR="00351747">
              <w:t>1</w:t>
            </w:r>
            <w:r w:rsidR="00CD410E">
              <w:t xml:space="preserve"> </w:t>
            </w:r>
            <w:r w:rsidRPr="00D403CE">
              <w:t xml:space="preserve">amount </w:t>
            </w:r>
            <w:r w:rsidR="00933971">
              <w:t>of $</w:t>
            </w:r>
            <w:r w:rsidR="00996A84">
              <w:t>9</w:t>
            </w:r>
            <w:r w:rsidR="00933971">
              <w:t xml:space="preserve">M </w:t>
            </w:r>
            <w:r w:rsidRPr="00D403CE">
              <w:t xml:space="preserve">is </w:t>
            </w:r>
            <w:r w:rsidR="00D97E4E" w:rsidRPr="00D403CE">
              <w:t>added to the Pool</w:t>
            </w:r>
            <w:r w:rsidR="00351747">
              <w:t xml:space="preserve"> in FY24-25</w:t>
            </w:r>
            <w:r w:rsidR="00B02030">
              <w:t>.</w:t>
            </w:r>
            <w:r w:rsidR="00790EA6">
              <w:t xml:space="preserve"> </w:t>
            </w:r>
          </w:p>
          <w:p w14:paraId="4667FDDB" w14:textId="514A5425" w:rsidR="000B47A2" w:rsidRPr="00D403CE" w:rsidRDefault="00B02030" w:rsidP="008B237B">
            <w:pPr>
              <w:pStyle w:val="Heading3"/>
              <w:numPr>
                <w:ilvl w:val="0"/>
                <w:numId w:val="0"/>
              </w:numPr>
              <w:spacing w:before="60" w:after="60"/>
            </w:pPr>
            <w:r>
              <w:t xml:space="preserve">The </w:t>
            </w:r>
            <w:r w:rsidR="00351747">
              <w:t xml:space="preserve">MSM2 amount </w:t>
            </w:r>
            <w:r w:rsidR="00933971">
              <w:t>of $2</w:t>
            </w:r>
            <w:r w:rsidR="00996A84">
              <w:t>1</w:t>
            </w:r>
            <w:r w:rsidR="00933971">
              <w:t xml:space="preserve">M </w:t>
            </w:r>
            <w:r w:rsidRPr="00D403CE">
              <w:t>is added to the Pool</w:t>
            </w:r>
            <w:r>
              <w:t xml:space="preserve"> in FY24-25 and </w:t>
            </w:r>
            <w:r w:rsidR="00790EA6">
              <w:t>will remain funded at that amount (</w:t>
            </w:r>
            <w:r w:rsidR="003F2006">
              <w:t>subject to indexation</w:t>
            </w:r>
            <w:r w:rsidR="00790EA6">
              <w:t xml:space="preserve">) </w:t>
            </w:r>
            <w:r w:rsidR="000B47A2" w:rsidRPr="00D403CE">
              <w:t xml:space="preserve">in each </w:t>
            </w:r>
            <w:r w:rsidR="0075543C">
              <w:t xml:space="preserve">subsequent </w:t>
            </w:r>
            <w:r w:rsidR="000B47A2" w:rsidRPr="00D403CE">
              <w:t>year of the Agreement</w:t>
            </w:r>
            <w:r>
              <w:t xml:space="preserve">, including in the last </w:t>
            </w:r>
            <w:proofErr w:type="gramStart"/>
            <w:r>
              <w:t>6 month</w:t>
            </w:r>
            <w:proofErr w:type="gramEnd"/>
            <w:r>
              <w:t xml:space="preserve"> period</w:t>
            </w:r>
            <w:r w:rsidR="000B47A2" w:rsidRPr="00D403CE">
              <w:t xml:space="preserve">. </w:t>
            </w:r>
          </w:p>
        </w:tc>
        <w:tc>
          <w:tcPr>
            <w:tcW w:w="1559" w:type="dxa"/>
          </w:tcPr>
          <w:p w14:paraId="47336494" w14:textId="77777777" w:rsidR="00996A84" w:rsidRDefault="00996A84" w:rsidP="00351747">
            <w:pPr>
              <w:pStyle w:val="Heading3"/>
              <w:numPr>
                <w:ilvl w:val="0"/>
                <w:numId w:val="0"/>
              </w:numPr>
              <w:spacing w:before="60" w:after="60"/>
              <w:ind w:left="-107" w:right="-108"/>
              <w:jc w:val="center"/>
            </w:pPr>
          </w:p>
          <w:p w14:paraId="3CC5F200" w14:textId="09F33412" w:rsidR="00351747" w:rsidRDefault="00351747" w:rsidP="00351747">
            <w:pPr>
              <w:pStyle w:val="Heading3"/>
              <w:numPr>
                <w:ilvl w:val="0"/>
                <w:numId w:val="0"/>
              </w:numPr>
              <w:spacing w:before="60" w:after="60"/>
              <w:ind w:left="-107" w:right="-108"/>
              <w:jc w:val="center"/>
            </w:pPr>
            <w:r>
              <w:t>$</w:t>
            </w:r>
            <w:r w:rsidR="00F2573C">
              <w:t>9</w:t>
            </w:r>
            <w:r>
              <w:t>M FY24-25</w:t>
            </w:r>
          </w:p>
          <w:p w14:paraId="1E8288A3" w14:textId="728DCF54" w:rsidR="005957A5" w:rsidRPr="00D403CE" w:rsidRDefault="000B47A2" w:rsidP="00933971">
            <w:pPr>
              <w:pStyle w:val="Heading3"/>
              <w:numPr>
                <w:ilvl w:val="0"/>
                <w:numId w:val="0"/>
              </w:numPr>
              <w:spacing w:before="60" w:after="60"/>
              <w:jc w:val="center"/>
            </w:pPr>
            <w:r w:rsidRPr="00D403CE">
              <w:t>$</w:t>
            </w:r>
            <w:r w:rsidR="005957A5" w:rsidRPr="00D403CE">
              <w:t>2</w:t>
            </w:r>
            <w:r w:rsidR="00F2573C">
              <w:t>1</w:t>
            </w:r>
            <w:r w:rsidR="005957A5" w:rsidRPr="00D403CE">
              <w:t>M</w:t>
            </w:r>
            <w:r w:rsidR="00933971">
              <w:t xml:space="preserve"> </w:t>
            </w:r>
            <w:r w:rsidRPr="00D403CE">
              <w:t>(</w:t>
            </w:r>
            <w:r w:rsidR="00996A84">
              <w:t>annual</w:t>
            </w:r>
            <w:r w:rsidRPr="00D403CE">
              <w:t>)</w:t>
            </w:r>
          </w:p>
        </w:tc>
      </w:tr>
      <w:tr w:rsidR="000B47A2" w:rsidRPr="00D403CE" w14:paraId="4F2164B5" w14:textId="77777777" w:rsidTr="00BC204E">
        <w:tc>
          <w:tcPr>
            <w:tcW w:w="851" w:type="dxa"/>
          </w:tcPr>
          <w:p w14:paraId="170EADA6" w14:textId="1BAA2F60" w:rsidR="000B47A2" w:rsidRPr="00D403CE" w:rsidRDefault="000B47A2" w:rsidP="008B237B">
            <w:pPr>
              <w:pStyle w:val="Heading3"/>
              <w:numPr>
                <w:ilvl w:val="0"/>
                <w:numId w:val="0"/>
              </w:numPr>
              <w:spacing w:before="60" w:after="60"/>
            </w:pPr>
            <w:r w:rsidRPr="00D403CE">
              <w:t>IMDQ</w:t>
            </w:r>
          </w:p>
        </w:tc>
        <w:tc>
          <w:tcPr>
            <w:tcW w:w="7371" w:type="dxa"/>
          </w:tcPr>
          <w:p w14:paraId="13199D03" w14:textId="6D3B4D3A" w:rsidR="000B47A2" w:rsidRPr="00B02030" w:rsidRDefault="000B47A2" w:rsidP="008B237B">
            <w:pPr>
              <w:pStyle w:val="Heading3"/>
              <w:numPr>
                <w:ilvl w:val="0"/>
                <w:numId w:val="0"/>
              </w:numPr>
              <w:spacing w:before="60" w:after="60"/>
              <w:rPr>
                <w:u w:val="single"/>
              </w:rPr>
            </w:pPr>
            <w:r w:rsidRPr="00B02030">
              <w:rPr>
                <w:u w:val="single"/>
              </w:rPr>
              <w:t>Increased Maximum Dispensing Quantities (</w:t>
            </w:r>
            <w:r w:rsidRPr="00B02030">
              <w:rPr>
                <w:b/>
                <w:bCs/>
                <w:u w:val="single"/>
              </w:rPr>
              <w:t>IMDQ</w:t>
            </w:r>
            <w:r w:rsidRPr="00B02030">
              <w:rPr>
                <w:u w:val="single"/>
              </w:rPr>
              <w:t xml:space="preserve">) Top-Up </w:t>
            </w:r>
          </w:p>
          <w:p w14:paraId="4BDD3A50" w14:textId="5086F02F" w:rsidR="000B47A2" w:rsidRPr="00D403CE" w:rsidRDefault="000B47A2" w:rsidP="008B237B">
            <w:pPr>
              <w:pStyle w:val="Heading3"/>
              <w:numPr>
                <w:ilvl w:val="0"/>
                <w:numId w:val="0"/>
              </w:numPr>
              <w:spacing w:before="60" w:after="60"/>
            </w:pPr>
            <w:r w:rsidRPr="00D403CE">
              <w:t>Th</w:t>
            </w:r>
            <w:r w:rsidR="00CD410E">
              <w:t>e</w:t>
            </w:r>
            <w:r w:rsidRPr="00D403CE">
              <w:t xml:space="preserve"> </w:t>
            </w:r>
            <w:r w:rsidR="00CD410E">
              <w:t xml:space="preserve">IMDQ </w:t>
            </w:r>
            <w:r w:rsidRPr="00D403CE">
              <w:t xml:space="preserve">amount </w:t>
            </w:r>
            <w:r w:rsidR="00B02030">
              <w:t xml:space="preserve">of $10M </w:t>
            </w:r>
            <w:r w:rsidRPr="00D403CE">
              <w:t xml:space="preserve">is </w:t>
            </w:r>
            <w:r w:rsidR="00D97E4E" w:rsidRPr="00D403CE">
              <w:t xml:space="preserve">added to the Pool </w:t>
            </w:r>
            <w:r w:rsidRPr="00D403CE">
              <w:t>only in FY2025-26.</w:t>
            </w:r>
          </w:p>
        </w:tc>
        <w:tc>
          <w:tcPr>
            <w:tcW w:w="1559" w:type="dxa"/>
          </w:tcPr>
          <w:p w14:paraId="1FE2605E" w14:textId="77777777" w:rsidR="00996A84" w:rsidRDefault="00996A84" w:rsidP="00996A84">
            <w:pPr>
              <w:pStyle w:val="Heading3"/>
              <w:numPr>
                <w:ilvl w:val="0"/>
                <w:numId w:val="0"/>
              </w:numPr>
              <w:spacing w:before="60" w:after="60"/>
              <w:jc w:val="center"/>
            </w:pPr>
          </w:p>
          <w:p w14:paraId="0112F3D8" w14:textId="15FFF386" w:rsidR="000B47A2" w:rsidRPr="00D403CE" w:rsidRDefault="000B47A2" w:rsidP="00996A84">
            <w:pPr>
              <w:pStyle w:val="Heading3"/>
              <w:numPr>
                <w:ilvl w:val="0"/>
                <w:numId w:val="0"/>
              </w:numPr>
              <w:spacing w:before="60" w:after="60"/>
              <w:jc w:val="center"/>
            </w:pPr>
            <w:r w:rsidRPr="00D403CE">
              <w:t>$</w:t>
            </w:r>
            <w:r w:rsidR="00915153" w:rsidRPr="00D403CE">
              <w:t>10</w:t>
            </w:r>
            <w:r w:rsidR="008E09F7" w:rsidRPr="00D403CE">
              <w:t>M</w:t>
            </w:r>
            <w:r w:rsidR="00996A84">
              <w:t xml:space="preserve"> </w:t>
            </w:r>
            <w:r w:rsidRPr="00D403CE">
              <w:t>(one-off)</w:t>
            </w:r>
          </w:p>
        </w:tc>
      </w:tr>
      <w:tr w:rsidR="000B47A2" w:rsidRPr="00D403CE" w14:paraId="1E4C0460" w14:textId="77777777" w:rsidTr="00BC204E">
        <w:tc>
          <w:tcPr>
            <w:tcW w:w="851" w:type="dxa"/>
          </w:tcPr>
          <w:p w14:paraId="0EA888EB" w14:textId="39651077" w:rsidR="000B47A2" w:rsidRPr="00D403CE" w:rsidRDefault="000B47A2" w:rsidP="008B237B">
            <w:pPr>
              <w:pStyle w:val="Heading3"/>
              <w:numPr>
                <w:ilvl w:val="0"/>
                <w:numId w:val="0"/>
              </w:numPr>
              <w:spacing w:before="60" w:after="60"/>
            </w:pPr>
            <w:r w:rsidRPr="00D403CE">
              <w:t>S100</w:t>
            </w:r>
          </w:p>
        </w:tc>
        <w:tc>
          <w:tcPr>
            <w:tcW w:w="7371" w:type="dxa"/>
          </w:tcPr>
          <w:p w14:paraId="3CFA7158" w14:textId="29286B49" w:rsidR="000B47A2" w:rsidRPr="0075543C" w:rsidRDefault="000B47A2" w:rsidP="008B237B">
            <w:pPr>
              <w:pStyle w:val="Heading3"/>
              <w:numPr>
                <w:ilvl w:val="0"/>
                <w:numId w:val="0"/>
              </w:numPr>
              <w:spacing w:before="60" w:after="60"/>
              <w:rPr>
                <w:u w:val="single"/>
              </w:rPr>
            </w:pPr>
            <w:r w:rsidRPr="0075543C">
              <w:rPr>
                <w:u w:val="single"/>
              </w:rPr>
              <w:t>Section 100 Top-Up</w:t>
            </w:r>
          </w:p>
          <w:p w14:paraId="4F215948" w14:textId="29C89507" w:rsidR="000B47A2" w:rsidRPr="00D403CE" w:rsidRDefault="000B47A2" w:rsidP="008B237B">
            <w:pPr>
              <w:pStyle w:val="Heading3"/>
              <w:numPr>
                <w:ilvl w:val="0"/>
                <w:numId w:val="0"/>
              </w:numPr>
              <w:spacing w:before="60" w:after="60"/>
            </w:pPr>
            <w:r w:rsidRPr="00D403CE">
              <w:t>Th</w:t>
            </w:r>
            <w:r w:rsidR="00CD410E">
              <w:t>e</w:t>
            </w:r>
            <w:r w:rsidRPr="00D403CE">
              <w:t xml:space="preserve"> </w:t>
            </w:r>
            <w:r w:rsidR="00CD410E">
              <w:t xml:space="preserve">S100 </w:t>
            </w:r>
            <w:r w:rsidRPr="00D403CE">
              <w:t xml:space="preserve">amount </w:t>
            </w:r>
            <w:r w:rsidR="00790EA6">
              <w:t xml:space="preserve">will be </w:t>
            </w:r>
            <w:r w:rsidR="00D97E4E" w:rsidRPr="00D403CE">
              <w:t xml:space="preserve">added to the </w:t>
            </w:r>
            <w:r w:rsidR="00C47795">
              <w:t>CSO Wholesale Funding Pool</w:t>
            </w:r>
            <w:r w:rsidR="0075543C">
              <w:t xml:space="preserve"> in </w:t>
            </w:r>
            <w:r w:rsidR="0075543C" w:rsidRPr="00D403CE">
              <w:t>FY2026-</w:t>
            </w:r>
            <w:proofErr w:type="gramStart"/>
            <w:r w:rsidR="0075543C" w:rsidRPr="00D403CE">
              <w:t>27</w:t>
            </w:r>
            <w:r w:rsidR="00790EA6">
              <w:t>, and</w:t>
            </w:r>
            <w:proofErr w:type="gramEnd"/>
            <w:r w:rsidR="00790EA6">
              <w:t xml:space="preserve"> will remain funded at that amount (</w:t>
            </w:r>
            <w:r w:rsidR="003F2006">
              <w:t>subject to indexation</w:t>
            </w:r>
            <w:r w:rsidR="00790EA6">
              <w:t xml:space="preserve">) </w:t>
            </w:r>
            <w:r w:rsidRPr="00D403CE">
              <w:t xml:space="preserve">in each </w:t>
            </w:r>
            <w:r w:rsidR="0075543C">
              <w:t xml:space="preserve">subsequent </w:t>
            </w:r>
            <w:r w:rsidRPr="00D403CE">
              <w:t>year of the Agreement.</w:t>
            </w:r>
          </w:p>
        </w:tc>
        <w:tc>
          <w:tcPr>
            <w:tcW w:w="1559" w:type="dxa"/>
          </w:tcPr>
          <w:p w14:paraId="68FEB5CD" w14:textId="77777777" w:rsidR="00996A84" w:rsidRDefault="00996A84" w:rsidP="00130F35">
            <w:pPr>
              <w:pStyle w:val="Heading3"/>
              <w:numPr>
                <w:ilvl w:val="0"/>
                <w:numId w:val="0"/>
              </w:numPr>
              <w:spacing w:before="60" w:after="60"/>
              <w:jc w:val="center"/>
            </w:pPr>
          </w:p>
          <w:p w14:paraId="4D6B092E" w14:textId="29696C23" w:rsidR="000B47A2" w:rsidRPr="00D403CE" w:rsidRDefault="000B47A2" w:rsidP="00996A84">
            <w:pPr>
              <w:pStyle w:val="Heading3"/>
              <w:numPr>
                <w:ilvl w:val="0"/>
                <w:numId w:val="0"/>
              </w:numPr>
              <w:spacing w:before="60" w:after="60"/>
              <w:jc w:val="center"/>
            </w:pPr>
            <w:r w:rsidRPr="00D403CE">
              <w:t>$</w:t>
            </w:r>
            <w:r w:rsidR="008E09F7" w:rsidRPr="00D403CE">
              <w:t>78</w:t>
            </w:r>
            <w:r w:rsidR="00BC204E">
              <w:t>,</w:t>
            </w:r>
            <w:r w:rsidR="008E09F7" w:rsidRPr="00D403CE">
              <w:t>6</w:t>
            </w:r>
            <w:r w:rsidR="00BC204E">
              <w:t>24,234</w:t>
            </w:r>
            <w:r w:rsidR="00996A84">
              <w:br/>
            </w:r>
            <w:r w:rsidRPr="00D403CE">
              <w:t>(annual)</w:t>
            </w:r>
          </w:p>
        </w:tc>
      </w:tr>
      <w:tr w:rsidR="000B47A2" w:rsidRPr="00D403CE" w14:paraId="7DEDE795" w14:textId="77777777" w:rsidTr="00BC204E">
        <w:tc>
          <w:tcPr>
            <w:tcW w:w="851" w:type="dxa"/>
          </w:tcPr>
          <w:p w14:paraId="7FD55773" w14:textId="7124CCD7" w:rsidR="000B47A2" w:rsidRPr="00D403CE" w:rsidRDefault="000B47A2" w:rsidP="008B237B">
            <w:pPr>
              <w:pStyle w:val="Heading3"/>
              <w:numPr>
                <w:ilvl w:val="0"/>
                <w:numId w:val="0"/>
              </w:numPr>
              <w:spacing w:before="60" w:after="60"/>
            </w:pPr>
            <w:r w:rsidRPr="00D403CE">
              <w:t>EGS</w:t>
            </w:r>
          </w:p>
        </w:tc>
        <w:tc>
          <w:tcPr>
            <w:tcW w:w="7371" w:type="dxa"/>
          </w:tcPr>
          <w:p w14:paraId="277892A4" w14:textId="77777777" w:rsidR="000B47A2" w:rsidRPr="0075543C" w:rsidRDefault="000B47A2" w:rsidP="008B237B">
            <w:pPr>
              <w:pStyle w:val="Heading3"/>
              <w:numPr>
                <w:ilvl w:val="0"/>
                <w:numId w:val="0"/>
              </w:numPr>
              <w:spacing w:before="60" w:after="60"/>
              <w:rPr>
                <w:u w:val="single"/>
              </w:rPr>
            </w:pPr>
            <w:r w:rsidRPr="0075543C">
              <w:rPr>
                <w:u w:val="single"/>
              </w:rPr>
              <w:t xml:space="preserve">Estimated Government Saving from WMU reforms </w:t>
            </w:r>
          </w:p>
          <w:p w14:paraId="6550A878" w14:textId="31DBCED0" w:rsidR="00395CB4" w:rsidRPr="00D403CE" w:rsidRDefault="00395CB4" w:rsidP="008B237B">
            <w:pPr>
              <w:pStyle w:val="Heading3"/>
              <w:numPr>
                <w:ilvl w:val="0"/>
                <w:numId w:val="0"/>
              </w:numPr>
              <w:spacing w:before="60" w:after="60"/>
            </w:pPr>
            <w:r w:rsidRPr="00D403CE">
              <w:t>Th</w:t>
            </w:r>
            <w:r w:rsidR="00CD410E">
              <w:t>e</w:t>
            </w:r>
            <w:r w:rsidRPr="00D403CE">
              <w:t xml:space="preserve"> </w:t>
            </w:r>
            <w:r w:rsidR="00CD410E">
              <w:t xml:space="preserve">EGS </w:t>
            </w:r>
            <w:r w:rsidRPr="00D403CE">
              <w:t>amount</w:t>
            </w:r>
            <w:r w:rsidR="00790EA6">
              <w:t>, once determined,</w:t>
            </w:r>
            <w:r w:rsidRPr="00D403CE">
              <w:t xml:space="preserve"> </w:t>
            </w:r>
            <w:r w:rsidR="00790EA6">
              <w:t xml:space="preserve">will be </w:t>
            </w:r>
            <w:r w:rsidR="00D97E4E" w:rsidRPr="00D403CE">
              <w:t xml:space="preserve">added to the </w:t>
            </w:r>
            <w:r w:rsidR="00C47795">
              <w:t>CSO Wholesale Funding Pool</w:t>
            </w:r>
            <w:r w:rsidR="00D97E4E" w:rsidRPr="00D403CE">
              <w:t xml:space="preserve"> </w:t>
            </w:r>
            <w:r w:rsidR="0075543C">
              <w:t xml:space="preserve">in </w:t>
            </w:r>
            <w:r w:rsidR="0075543C" w:rsidRPr="00D403CE">
              <w:t>FY2026-27</w:t>
            </w:r>
            <w:r w:rsidR="0075543C">
              <w:t xml:space="preserve"> </w:t>
            </w:r>
            <w:r w:rsidR="00790EA6">
              <w:t>and will remain funded at that amount (</w:t>
            </w:r>
            <w:r w:rsidR="003F2006">
              <w:t>subject to indexation</w:t>
            </w:r>
            <w:r w:rsidR="00790EA6">
              <w:t xml:space="preserve">) </w:t>
            </w:r>
            <w:r w:rsidRPr="00D403CE">
              <w:t xml:space="preserve">in each </w:t>
            </w:r>
            <w:r w:rsidR="0075543C">
              <w:t xml:space="preserve">subsequent </w:t>
            </w:r>
            <w:r w:rsidRPr="00D403CE">
              <w:t>year of the Agreement.</w:t>
            </w:r>
          </w:p>
        </w:tc>
        <w:tc>
          <w:tcPr>
            <w:tcW w:w="1559" w:type="dxa"/>
          </w:tcPr>
          <w:p w14:paraId="3DCA47E6" w14:textId="77777777" w:rsidR="00996A84" w:rsidRDefault="00996A84" w:rsidP="00130F35">
            <w:pPr>
              <w:pStyle w:val="Heading3"/>
              <w:numPr>
                <w:ilvl w:val="0"/>
                <w:numId w:val="0"/>
              </w:numPr>
              <w:spacing w:before="60" w:after="60"/>
              <w:jc w:val="center"/>
            </w:pPr>
          </w:p>
          <w:p w14:paraId="625BFC60" w14:textId="48C3274B" w:rsidR="000B47A2" w:rsidRPr="00D403CE" w:rsidRDefault="000B47A2" w:rsidP="00130F35">
            <w:pPr>
              <w:pStyle w:val="Heading3"/>
              <w:numPr>
                <w:ilvl w:val="0"/>
                <w:numId w:val="0"/>
              </w:numPr>
              <w:spacing w:before="60" w:after="60"/>
              <w:jc w:val="center"/>
            </w:pPr>
            <w:r w:rsidRPr="00D403CE">
              <w:t xml:space="preserve">Per clause </w:t>
            </w:r>
            <w:r w:rsidRPr="00D403CE">
              <w:fldChar w:fldCharType="begin"/>
            </w:r>
            <w:r w:rsidRPr="00D403CE">
              <w:instrText xml:space="preserve"> REF _Ref183513641 \w \h  \* MERGEFORMAT </w:instrText>
            </w:r>
            <w:r w:rsidRPr="00D403CE">
              <w:fldChar w:fldCharType="separate"/>
            </w:r>
            <w:r w:rsidR="005C0514">
              <w:t>3.1.3</w:t>
            </w:r>
            <w:r w:rsidRPr="00D403CE">
              <w:fldChar w:fldCharType="end"/>
            </w:r>
            <w:r w:rsidR="008E09F7" w:rsidRPr="00D403CE">
              <w:t xml:space="preserve"> (</w:t>
            </w:r>
            <w:proofErr w:type="spellStart"/>
            <w:r w:rsidR="008E09F7" w:rsidRPr="00D403CE">
              <w:t>est</w:t>
            </w:r>
            <w:proofErr w:type="spellEnd"/>
            <w:r w:rsidR="008E09F7" w:rsidRPr="00D403CE">
              <w:t>: $115.5M)</w:t>
            </w:r>
          </w:p>
        </w:tc>
      </w:tr>
    </w:tbl>
    <w:p w14:paraId="4153231F" w14:textId="2769DAAF" w:rsidR="0047534F" w:rsidRPr="001E51C7" w:rsidRDefault="0047534F" w:rsidP="00CD410E">
      <w:pPr>
        <w:pStyle w:val="Heading3"/>
        <w:keepNext/>
        <w:numPr>
          <w:ilvl w:val="0"/>
          <w:numId w:val="0"/>
        </w:numPr>
        <w:spacing w:after="120"/>
        <w:rPr>
          <w:b/>
          <w:bCs/>
        </w:rPr>
      </w:pPr>
      <w:r w:rsidRPr="001E51C7">
        <w:rPr>
          <w:b/>
          <w:bCs/>
        </w:rPr>
        <w:lastRenderedPageBreak/>
        <w:t xml:space="preserve">Table </w:t>
      </w:r>
      <w:r w:rsidR="003F3FAC" w:rsidRPr="001E51C7">
        <w:rPr>
          <w:b/>
          <w:bCs/>
        </w:rPr>
        <w:t>5</w:t>
      </w:r>
      <w:r w:rsidRPr="001E51C7">
        <w:rPr>
          <w:b/>
          <w:bCs/>
        </w:rPr>
        <w:t xml:space="preserve">: CSO Wholesale Funding Pool </w:t>
      </w:r>
      <w:r w:rsidR="006849B9" w:rsidRPr="001E51C7">
        <w:rPr>
          <w:b/>
          <w:bCs/>
        </w:rPr>
        <w:t xml:space="preserve">Adjustment Dates, </w:t>
      </w:r>
      <w:r w:rsidR="00D97E4E" w:rsidRPr="001E51C7">
        <w:rPr>
          <w:b/>
          <w:bCs/>
        </w:rPr>
        <w:t>Pool</w:t>
      </w:r>
      <w:r w:rsidRPr="001E51C7">
        <w:rPr>
          <w:b/>
          <w:bCs/>
        </w:rPr>
        <w:t xml:space="preserve"> Amounts and Adjustment </w:t>
      </w:r>
      <w:r w:rsidR="006849B9" w:rsidRPr="001E51C7">
        <w:rPr>
          <w:b/>
          <w:bCs/>
        </w:rPr>
        <w:t>Process</w:t>
      </w:r>
    </w:p>
    <w:tbl>
      <w:tblPr>
        <w:tblW w:w="94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585"/>
        <w:gridCol w:w="3370"/>
        <w:gridCol w:w="3118"/>
      </w:tblGrid>
      <w:tr w:rsidR="00130F35" w:rsidRPr="001E51C7" w14:paraId="1214D4F6" w14:textId="2EFD2BAD" w:rsidTr="00F2573C">
        <w:tc>
          <w:tcPr>
            <w:tcW w:w="1418" w:type="dxa"/>
          </w:tcPr>
          <w:p w14:paraId="43A17A52" w14:textId="7C23AF7F" w:rsidR="00130F35" w:rsidRPr="001E51C7" w:rsidRDefault="00130F35" w:rsidP="00CD410E">
            <w:pPr>
              <w:pStyle w:val="Heading3"/>
              <w:keepNext/>
              <w:numPr>
                <w:ilvl w:val="0"/>
                <w:numId w:val="0"/>
              </w:numPr>
              <w:spacing w:before="60" w:after="60"/>
              <w:ind w:right="-107"/>
              <w:rPr>
                <w:b/>
                <w:bCs/>
              </w:rPr>
            </w:pPr>
            <w:r w:rsidRPr="001E51C7">
              <w:rPr>
                <w:b/>
                <w:bCs/>
              </w:rPr>
              <w:t>The Adjustment Date is immediately prior to:</w:t>
            </w:r>
          </w:p>
        </w:tc>
        <w:tc>
          <w:tcPr>
            <w:tcW w:w="1585" w:type="dxa"/>
          </w:tcPr>
          <w:p w14:paraId="52A0FDBC" w14:textId="4F96029F" w:rsidR="00130F35" w:rsidRPr="001E51C7" w:rsidRDefault="00130F35" w:rsidP="00CD410E">
            <w:pPr>
              <w:pStyle w:val="Heading3"/>
              <w:keepNext/>
              <w:numPr>
                <w:ilvl w:val="0"/>
                <w:numId w:val="0"/>
              </w:numPr>
              <w:spacing w:before="60" w:after="60"/>
              <w:rPr>
                <w:b/>
                <w:bCs/>
              </w:rPr>
            </w:pPr>
            <w:r w:rsidRPr="001E51C7">
              <w:rPr>
                <w:b/>
                <w:bCs/>
              </w:rPr>
              <w:t>The Pool Period is:</w:t>
            </w:r>
          </w:p>
        </w:tc>
        <w:tc>
          <w:tcPr>
            <w:tcW w:w="3370" w:type="dxa"/>
          </w:tcPr>
          <w:p w14:paraId="05330A0A" w14:textId="3FA785D5" w:rsidR="00130F35" w:rsidRPr="001E51C7" w:rsidRDefault="00130F35" w:rsidP="00CD410E">
            <w:pPr>
              <w:pStyle w:val="Heading3"/>
              <w:keepNext/>
              <w:numPr>
                <w:ilvl w:val="0"/>
                <w:numId w:val="0"/>
              </w:numPr>
              <w:spacing w:before="60" w:after="60"/>
              <w:rPr>
                <w:b/>
                <w:bCs/>
              </w:rPr>
            </w:pPr>
            <w:r w:rsidRPr="001E51C7">
              <w:rPr>
                <w:b/>
                <w:bCs/>
              </w:rPr>
              <w:t>Calculations and Pool Amounts</w:t>
            </w:r>
          </w:p>
        </w:tc>
        <w:tc>
          <w:tcPr>
            <w:tcW w:w="3118" w:type="dxa"/>
          </w:tcPr>
          <w:p w14:paraId="41814997" w14:textId="3B306C30" w:rsidR="00130F35" w:rsidRPr="001E51C7" w:rsidRDefault="00130F35" w:rsidP="00CD410E">
            <w:pPr>
              <w:pStyle w:val="Heading3"/>
              <w:keepNext/>
              <w:numPr>
                <w:ilvl w:val="0"/>
                <w:numId w:val="0"/>
              </w:numPr>
              <w:spacing w:before="60" w:after="60"/>
              <w:jc w:val="center"/>
              <w:rPr>
                <w:b/>
                <w:bCs/>
              </w:rPr>
            </w:pPr>
            <w:r w:rsidRPr="001E51C7">
              <w:rPr>
                <w:b/>
                <w:bCs/>
              </w:rPr>
              <w:t>Formula</w:t>
            </w:r>
            <w:r w:rsidR="001609EB" w:rsidRPr="001E51C7">
              <w:rPr>
                <w:b/>
                <w:bCs/>
              </w:rPr>
              <w:t>e</w:t>
            </w:r>
          </w:p>
        </w:tc>
      </w:tr>
      <w:tr w:rsidR="00130F35" w:rsidRPr="001E51C7" w14:paraId="668EA4BD" w14:textId="17F0F31C" w:rsidTr="00F2573C">
        <w:tc>
          <w:tcPr>
            <w:tcW w:w="1418" w:type="dxa"/>
          </w:tcPr>
          <w:p w14:paraId="03B585C9" w14:textId="1C25E006" w:rsidR="00130F35" w:rsidRPr="001E51C7" w:rsidRDefault="00130F35" w:rsidP="003F3FAC">
            <w:pPr>
              <w:pStyle w:val="Heading3"/>
              <w:numPr>
                <w:ilvl w:val="0"/>
                <w:numId w:val="0"/>
              </w:numPr>
              <w:spacing w:before="60" w:after="60"/>
            </w:pPr>
            <w:r w:rsidRPr="001E51C7">
              <w:t>1 January 2025</w:t>
            </w:r>
          </w:p>
        </w:tc>
        <w:tc>
          <w:tcPr>
            <w:tcW w:w="1585" w:type="dxa"/>
          </w:tcPr>
          <w:p w14:paraId="443AA51A" w14:textId="7344CB60" w:rsidR="00130F35" w:rsidRPr="001E51C7" w:rsidRDefault="00130F35" w:rsidP="003F3FAC">
            <w:pPr>
              <w:pStyle w:val="Heading3"/>
              <w:numPr>
                <w:ilvl w:val="0"/>
                <w:numId w:val="0"/>
              </w:numPr>
              <w:spacing w:before="60" w:after="60"/>
            </w:pPr>
            <w:r w:rsidRPr="001E51C7">
              <w:t>1 January 2025 to 30</w:t>
            </w:r>
            <w:r w:rsidR="001E51C7">
              <w:t xml:space="preserve"> </w:t>
            </w:r>
            <w:r w:rsidRPr="001E51C7">
              <w:t>June 2025</w:t>
            </w:r>
          </w:p>
        </w:tc>
        <w:tc>
          <w:tcPr>
            <w:tcW w:w="3370" w:type="dxa"/>
          </w:tcPr>
          <w:p w14:paraId="18DCB814" w14:textId="22F73947" w:rsidR="00130F35" w:rsidRPr="001E51C7" w:rsidRDefault="00130F35" w:rsidP="003F3FAC">
            <w:pPr>
              <w:pStyle w:val="Heading3"/>
              <w:numPr>
                <w:ilvl w:val="0"/>
                <w:numId w:val="0"/>
              </w:numPr>
              <w:spacing w:before="60" w:after="60"/>
              <w:ind w:left="37"/>
            </w:pPr>
            <w:r w:rsidRPr="001E51C7">
              <w:t>The 2024-25 CSO Wholesale Funding Pool of $225M is halved to obtain the figure of $112,500,000</w:t>
            </w:r>
            <w:r w:rsidR="00933971">
              <w:t xml:space="preserve"> </w:t>
            </w:r>
            <w:r w:rsidR="007468AF">
              <w:t xml:space="preserve">and MSM2 is added </w:t>
            </w:r>
            <w:r w:rsidR="00933971">
              <w:t>(</w:t>
            </w:r>
            <w:r w:rsidR="00933971" w:rsidRPr="00933971">
              <w:rPr>
                <w:b/>
                <w:bCs/>
              </w:rPr>
              <w:t>Amount A</w:t>
            </w:r>
            <w:r w:rsidR="00933971">
              <w:t>)</w:t>
            </w:r>
            <w:r w:rsidRPr="001E51C7">
              <w:t>, and then MSM</w:t>
            </w:r>
            <w:r w:rsidR="00933971">
              <w:t>1</w:t>
            </w:r>
            <w:r w:rsidRPr="001E51C7">
              <w:t xml:space="preserve"> is added</w:t>
            </w:r>
            <w:r w:rsidR="007468AF">
              <w:t xml:space="preserve"> giving </w:t>
            </w:r>
            <w:r w:rsidR="007468AF" w:rsidRPr="007468AF">
              <w:rPr>
                <w:b/>
                <w:bCs/>
              </w:rPr>
              <w:t xml:space="preserve">Amount </w:t>
            </w:r>
            <w:r w:rsidR="00996A84">
              <w:rPr>
                <w:b/>
                <w:bCs/>
              </w:rPr>
              <w:t>B</w:t>
            </w:r>
            <w:r w:rsidRPr="001E51C7">
              <w:t>.</w:t>
            </w:r>
          </w:p>
        </w:tc>
        <w:tc>
          <w:tcPr>
            <w:tcW w:w="3118" w:type="dxa"/>
          </w:tcPr>
          <w:p w14:paraId="3B2B6A10" w14:textId="2CC6465C" w:rsidR="00130F35" w:rsidRPr="001E51C7" w:rsidRDefault="00130F35" w:rsidP="001609EB">
            <w:pPr>
              <w:pStyle w:val="Heading3"/>
              <w:numPr>
                <w:ilvl w:val="0"/>
                <w:numId w:val="0"/>
              </w:numPr>
              <w:spacing w:before="60" w:after="60"/>
              <w:ind w:left="37"/>
              <w:jc w:val="center"/>
            </w:pPr>
            <w:r w:rsidRPr="001E51C7">
              <w:t>A = BA/2 + MSM</w:t>
            </w:r>
            <w:r w:rsidR="007468AF">
              <w:t>2</w:t>
            </w:r>
          </w:p>
          <w:p w14:paraId="5702501E" w14:textId="62A39FFE" w:rsidR="00915153" w:rsidRDefault="005957A5" w:rsidP="001609EB">
            <w:pPr>
              <w:pStyle w:val="Heading3"/>
              <w:numPr>
                <w:ilvl w:val="0"/>
                <w:numId w:val="0"/>
              </w:numPr>
              <w:spacing w:before="60" w:after="60"/>
              <w:ind w:left="37"/>
              <w:jc w:val="center"/>
            </w:pPr>
            <w:r w:rsidRPr="001E51C7">
              <w:t xml:space="preserve">(= </w:t>
            </w:r>
            <w:r w:rsidR="00915153" w:rsidRPr="001E51C7">
              <w:t>$112.5M + $</w:t>
            </w:r>
            <w:r w:rsidR="007468AF">
              <w:t>2</w:t>
            </w:r>
            <w:r w:rsidR="00F2573C">
              <w:t>1</w:t>
            </w:r>
            <w:r w:rsidR="00915153" w:rsidRPr="00933971">
              <w:t>M</w:t>
            </w:r>
            <w:r w:rsidR="00F2573C">
              <w:t xml:space="preserve"> = $133.5M</w:t>
            </w:r>
            <w:r w:rsidR="0035560A">
              <w:t>)</w:t>
            </w:r>
          </w:p>
          <w:p w14:paraId="04244035" w14:textId="463DA33B" w:rsidR="0035560A" w:rsidRDefault="00996A84" w:rsidP="00F2573C">
            <w:pPr>
              <w:pStyle w:val="Heading3"/>
              <w:keepNext/>
              <w:numPr>
                <w:ilvl w:val="0"/>
                <w:numId w:val="0"/>
              </w:numPr>
              <w:spacing w:before="60" w:after="60"/>
              <w:ind w:left="37"/>
              <w:jc w:val="center"/>
            </w:pPr>
            <w:r>
              <w:t>B</w:t>
            </w:r>
            <w:r w:rsidR="0035560A">
              <w:t xml:space="preserve"> = A +</w:t>
            </w:r>
            <w:r w:rsidR="007468AF">
              <w:t xml:space="preserve"> MSM1 </w:t>
            </w:r>
          </w:p>
          <w:p w14:paraId="11AB3711" w14:textId="6BC04CD0" w:rsidR="005957A5" w:rsidRPr="001E51C7" w:rsidRDefault="0035560A" w:rsidP="001609EB">
            <w:pPr>
              <w:pStyle w:val="Heading3"/>
              <w:numPr>
                <w:ilvl w:val="0"/>
                <w:numId w:val="0"/>
              </w:numPr>
              <w:spacing w:before="60" w:after="60"/>
              <w:ind w:left="37"/>
              <w:jc w:val="center"/>
            </w:pPr>
            <w:r>
              <w:t>(</w:t>
            </w:r>
            <w:r w:rsidR="00915153" w:rsidRPr="001E51C7">
              <w:t>=</w:t>
            </w:r>
            <w:r w:rsidR="00F2573C">
              <w:t> $133.5M</w:t>
            </w:r>
            <w:r w:rsidR="00F2573C" w:rsidRPr="001E51C7" w:rsidDel="00F2573C">
              <w:t xml:space="preserve"> </w:t>
            </w:r>
            <w:r w:rsidR="00F2573C">
              <w:t>+ $</w:t>
            </w:r>
            <w:r w:rsidR="0033066F">
              <w:t>9</w:t>
            </w:r>
            <w:r w:rsidR="00F2573C">
              <w:t>M = </w:t>
            </w:r>
            <w:r w:rsidR="005957A5" w:rsidRPr="00F2573C">
              <w:t>$1</w:t>
            </w:r>
            <w:r w:rsidR="00933971" w:rsidRPr="00F2573C">
              <w:t>4</w:t>
            </w:r>
            <w:r w:rsidR="0033066F">
              <w:t>2</w:t>
            </w:r>
            <w:r w:rsidR="00933971" w:rsidRPr="00F2573C">
              <w:t>.5</w:t>
            </w:r>
            <w:r w:rsidR="005957A5" w:rsidRPr="00F2573C">
              <w:t>M</w:t>
            </w:r>
            <w:r w:rsidR="005957A5" w:rsidRPr="001E51C7">
              <w:t>)</w:t>
            </w:r>
          </w:p>
        </w:tc>
      </w:tr>
      <w:tr w:rsidR="00130F35" w:rsidRPr="001E51C7" w14:paraId="6E6517AB" w14:textId="706C3BFF" w:rsidTr="00F2573C">
        <w:tc>
          <w:tcPr>
            <w:tcW w:w="1418" w:type="dxa"/>
          </w:tcPr>
          <w:p w14:paraId="7F31328B" w14:textId="46F19C2A" w:rsidR="00130F35" w:rsidRPr="001E51C7" w:rsidRDefault="00130F35" w:rsidP="003F3FAC">
            <w:pPr>
              <w:pStyle w:val="Heading3"/>
              <w:numPr>
                <w:ilvl w:val="0"/>
                <w:numId w:val="0"/>
              </w:numPr>
              <w:spacing w:before="60" w:after="60"/>
            </w:pPr>
            <w:r w:rsidRPr="001E51C7">
              <w:t xml:space="preserve">1 July 2025 </w:t>
            </w:r>
          </w:p>
        </w:tc>
        <w:tc>
          <w:tcPr>
            <w:tcW w:w="1585" w:type="dxa"/>
          </w:tcPr>
          <w:p w14:paraId="0952DFD3" w14:textId="65DA3507" w:rsidR="00130F35" w:rsidRPr="001E51C7" w:rsidRDefault="00130F35" w:rsidP="003F3FAC">
            <w:pPr>
              <w:pStyle w:val="Heading3"/>
              <w:numPr>
                <w:ilvl w:val="0"/>
                <w:numId w:val="0"/>
              </w:numPr>
              <w:spacing w:before="60" w:after="60"/>
            </w:pPr>
            <w:r w:rsidRPr="001E51C7">
              <w:t>1 July 2025 to 30 June 2026</w:t>
            </w:r>
          </w:p>
        </w:tc>
        <w:tc>
          <w:tcPr>
            <w:tcW w:w="3370" w:type="dxa"/>
          </w:tcPr>
          <w:p w14:paraId="4B614A1D" w14:textId="01BB4D00" w:rsidR="00130F35" w:rsidRPr="0008475F" w:rsidRDefault="00130F35" w:rsidP="003F3FAC">
            <w:pPr>
              <w:pStyle w:val="Heading3"/>
              <w:numPr>
                <w:ilvl w:val="0"/>
                <w:numId w:val="0"/>
              </w:numPr>
              <w:spacing w:before="60" w:after="60"/>
              <w:ind w:left="37"/>
            </w:pPr>
            <w:r w:rsidRPr="0008475F">
              <w:t xml:space="preserve">Amount A is </w:t>
            </w:r>
            <w:r w:rsidR="00915153" w:rsidRPr="0008475F">
              <w:t xml:space="preserve">added to H1, and the total is </w:t>
            </w:r>
            <w:r w:rsidRPr="0008475F">
              <w:t>indexed by CPI (per clause </w:t>
            </w:r>
            <w:r w:rsidRPr="0008475F">
              <w:fldChar w:fldCharType="begin"/>
            </w:r>
            <w:r w:rsidRPr="0008475F">
              <w:instrText xml:space="preserve"> REF _Ref176846007 \r \h  \* MERGEFORMAT </w:instrText>
            </w:r>
            <w:r w:rsidRPr="0008475F">
              <w:fldChar w:fldCharType="separate"/>
            </w:r>
            <w:r w:rsidR="005C0514">
              <w:t>3.1.5</w:t>
            </w:r>
            <w:r w:rsidRPr="0008475F">
              <w:fldChar w:fldCharType="end"/>
            </w:r>
            <w:r w:rsidRPr="0008475F">
              <w:t>)</w:t>
            </w:r>
            <w:r w:rsidR="008E09F7" w:rsidRPr="0008475F">
              <w:t xml:space="preserve">, </w:t>
            </w:r>
            <w:r w:rsidRPr="0008475F">
              <w:t xml:space="preserve">giving </w:t>
            </w:r>
            <w:r w:rsidRPr="0008475F">
              <w:rPr>
                <w:b/>
                <w:bCs/>
              </w:rPr>
              <w:t xml:space="preserve">Amount </w:t>
            </w:r>
            <w:r w:rsidR="00F2573C">
              <w:rPr>
                <w:b/>
                <w:bCs/>
              </w:rPr>
              <w:t>C</w:t>
            </w:r>
            <w:r w:rsidRPr="0008475F">
              <w:t>, to which</w:t>
            </w:r>
            <w:r w:rsidR="003E4812" w:rsidRPr="0008475F">
              <w:t xml:space="preserve"> the</w:t>
            </w:r>
            <w:r w:rsidRPr="0008475F">
              <w:t xml:space="preserve"> IMDQ</w:t>
            </w:r>
            <w:r w:rsidR="003E4812" w:rsidRPr="0008475F">
              <w:t xml:space="preserve"> is added</w:t>
            </w:r>
            <w:r w:rsidRPr="0008475F">
              <w:t xml:space="preserve">, giving </w:t>
            </w:r>
            <w:r w:rsidRPr="0008475F">
              <w:rPr>
                <w:b/>
                <w:bCs/>
              </w:rPr>
              <w:t>Amount</w:t>
            </w:r>
            <w:r w:rsidR="001015AF">
              <w:rPr>
                <w:b/>
                <w:bCs/>
              </w:rPr>
              <w:t> </w:t>
            </w:r>
            <w:r w:rsidR="00F2573C">
              <w:rPr>
                <w:b/>
                <w:bCs/>
              </w:rPr>
              <w:t>D</w:t>
            </w:r>
            <w:r w:rsidRPr="0008475F">
              <w:t xml:space="preserve">. </w:t>
            </w:r>
          </w:p>
        </w:tc>
        <w:tc>
          <w:tcPr>
            <w:tcW w:w="3118" w:type="dxa"/>
          </w:tcPr>
          <w:p w14:paraId="06F68321" w14:textId="25FB1CAB" w:rsidR="00130F35" w:rsidRPr="001E51C7" w:rsidRDefault="00F2573C" w:rsidP="001609EB">
            <w:pPr>
              <w:pStyle w:val="Heading3"/>
              <w:numPr>
                <w:ilvl w:val="0"/>
                <w:numId w:val="0"/>
              </w:numPr>
              <w:spacing w:before="60" w:after="60"/>
              <w:ind w:left="37"/>
              <w:jc w:val="center"/>
            </w:pPr>
            <w:r>
              <w:t>C</w:t>
            </w:r>
            <w:r w:rsidR="00130F35" w:rsidRPr="001E51C7">
              <w:t xml:space="preserve"> = </w:t>
            </w:r>
            <w:r w:rsidR="00915153" w:rsidRPr="001E51C7">
              <w:t xml:space="preserve">(H1 + </w:t>
            </w:r>
            <w:proofErr w:type="gramStart"/>
            <w:r w:rsidR="00130F35" w:rsidRPr="001E51C7">
              <w:t>A</w:t>
            </w:r>
            <w:r w:rsidR="00915153" w:rsidRPr="001E51C7">
              <w:t>)</w:t>
            </w:r>
            <w:r w:rsidR="00130F35" w:rsidRPr="001E51C7">
              <w:t>*</w:t>
            </w:r>
            <w:proofErr w:type="gramEnd"/>
            <w:r w:rsidR="00130F35" w:rsidRPr="001E51C7">
              <w:t>CPI</w:t>
            </w:r>
            <w:r w:rsidR="008E09F7" w:rsidRPr="001E51C7">
              <w:t xml:space="preserve"> </w:t>
            </w:r>
          </w:p>
          <w:p w14:paraId="0346A804" w14:textId="1B8C5731" w:rsidR="00130F35" w:rsidRPr="001E51C7" w:rsidRDefault="00F2573C" w:rsidP="001609EB">
            <w:pPr>
              <w:pStyle w:val="Heading3"/>
              <w:numPr>
                <w:ilvl w:val="0"/>
                <w:numId w:val="0"/>
              </w:numPr>
              <w:spacing w:before="60" w:after="60"/>
              <w:ind w:left="37"/>
              <w:jc w:val="center"/>
            </w:pPr>
            <w:r>
              <w:t>D</w:t>
            </w:r>
            <w:r w:rsidR="00130F35" w:rsidRPr="001E51C7">
              <w:t xml:space="preserve"> = </w:t>
            </w:r>
            <w:r>
              <w:t>C</w:t>
            </w:r>
            <w:r w:rsidR="00130F35" w:rsidRPr="001E51C7">
              <w:t xml:space="preserve"> + IMDQ</w:t>
            </w:r>
          </w:p>
        </w:tc>
      </w:tr>
      <w:tr w:rsidR="00130F35" w:rsidRPr="001E51C7" w14:paraId="52552A23" w14:textId="48A85707" w:rsidTr="00F2573C">
        <w:tc>
          <w:tcPr>
            <w:tcW w:w="1418" w:type="dxa"/>
          </w:tcPr>
          <w:p w14:paraId="7899749A" w14:textId="60B4DE5E" w:rsidR="00130F35" w:rsidRPr="001E51C7" w:rsidRDefault="00130F35" w:rsidP="003F3FAC">
            <w:pPr>
              <w:pStyle w:val="Heading3"/>
              <w:numPr>
                <w:ilvl w:val="0"/>
                <w:numId w:val="0"/>
              </w:numPr>
              <w:spacing w:before="60" w:after="60"/>
            </w:pPr>
            <w:r w:rsidRPr="001E51C7">
              <w:t>1 July 2026</w:t>
            </w:r>
          </w:p>
        </w:tc>
        <w:tc>
          <w:tcPr>
            <w:tcW w:w="1585" w:type="dxa"/>
          </w:tcPr>
          <w:p w14:paraId="3749F2DB" w14:textId="1D6CF902" w:rsidR="00130F35" w:rsidRPr="001E51C7" w:rsidRDefault="00130F35" w:rsidP="003F3FAC">
            <w:pPr>
              <w:pStyle w:val="Heading3"/>
              <w:numPr>
                <w:ilvl w:val="0"/>
                <w:numId w:val="0"/>
              </w:numPr>
              <w:spacing w:before="60" w:after="60"/>
            </w:pPr>
            <w:r w:rsidRPr="001E51C7">
              <w:t>1 July 2026 to 30 June 2027</w:t>
            </w:r>
          </w:p>
        </w:tc>
        <w:tc>
          <w:tcPr>
            <w:tcW w:w="3370" w:type="dxa"/>
          </w:tcPr>
          <w:p w14:paraId="2AF69F97" w14:textId="67A3FC97" w:rsidR="00130F35" w:rsidRPr="0008475F" w:rsidRDefault="00130F35" w:rsidP="003F3FAC">
            <w:pPr>
              <w:pStyle w:val="Heading3"/>
              <w:numPr>
                <w:ilvl w:val="0"/>
                <w:numId w:val="0"/>
              </w:numPr>
              <w:spacing w:before="60" w:after="60"/>
              <w:ind w:left="37"/>
            </w:pPr>
            <w:r w:rsidRPr="0008475F">
              <w:t xml:space="preserve">Amount </w:t>
            </w:r>
            <w:r w:rsidR="00F2573C">
              <w:t>C</w:t>
            </w:r>
            <w:r w:rsidRPr="0008475F">
              <w:t xml:space="preserve"> is indexed by CPI (per clause </w:t>
            </w:r>
            <w:r w:rsidRPr="0008475F">
              <w:fldChar w:fldCharType="begin"/>
            </w:r>
            <w:r w:rsidRPr="0008475F">
              <w:instrText xml:space="preserve"> REF _Ref176846007 \r \h  \* MERGEFORMAT </w:instrText>
            </w:r>
            <w:r w:rsidRPr="0008475F">
              <w:fldChar w:fldCharType="separate"/>
            </w:r>
            <w:r w:rsidR="005C0514">
              <w:t>3.1.5</w:t>
            </w:r>
            <w:r w:rsidRPr="0008475F">
              <w:fldChar w:fldCharType="end"/>
            </w:r>
            <w:r w:rsidRPr="0008475F">
              <w:t xml:space="preserve">), to which </w:t>
            </w:r>
            <w:r w:rsidR="003E4812" w:rsidRPr="0008475F">
              <w:t>the</w:t>
            </w:r>
            <w:r w:rsidRPr="0008475F">
              <w:t xml:space="preserve"> S100 and EGS</w:t>
            </w:r>
            <w:r w:rsidR="003E4812" w:rsidRPr="0008475F">
              <w:t xml:space="preserve"> are added</w:t>
            </w:r>
            <w:r w:rsidRPr="0008475F">
              <w:t xml:space="preserve">, giving </w:t>
            </w:r>
            <w:r w:rsidRPr="0008475F">
              <w:rPr>
                <w:b/>
                <w:bCs/>
              </w:rPr>
              <w:t>Amount </w:t>
            </w:r>
            <w:r w:rsidR="00F2573C">
              <w:rPr>
                <w:b/>
                <w:bCs/>
              </w:rPr>
              <w:t>E</w:t>
            </w:r>
            <w:r w:rsidRPr="0008475F">
              <w:t>.</w:t>
            </w:r>
          </w:p>
        </w:tc>
        <w:tc>
          <w:tcPr>
            <w:tcW w:w="3118" w:type="dxa"/>
          </w:tcPr>
          <w:p w14:paraId="7D1F7C83" w14:textId="02325098" w:rsidR="00130F35" w:rsidRPr="001E51C7" w:rsidRDefault="00F2573C" w:rsidP="001609EB">
            <w:pPr>
              <w:pStyle w:val="Heading3"/>
              <w:numPr>
                <w:ilvl w:val="0"/>
                <w:numId w:val="0"/>
              </w:numPr>
              <w:spacing w:before="60" w:after="60"/>
              <w:ind w:left="37"/>
              <w:jc w:val="center"/>
            </w:pPr>
            <w:r>
              <w:t>E</w:t>
            </w:r>
            <w:r w:rsidR="00130F35" w:rsidRPr="001E51C7">
              <w:t xml:space="preserve"> = </w:t>
            </w:r>
            <w:r>
              <w:t>C</w:t>
            </w:r>
            <w:r w:rsidR="00130F35" w:rsidRPr="001E51C7">
              <w:t>*CPI + S100 + EGS</w:t>
            </w:r>
          </w:p>
        </w:tc>
      </w:tr>
      <w:tr w:rsidR="00130F35" w:rsidRPr="001E51C7" w14:paraId="5EF2BB27" w14:textId="3BF89DAF" w:rsidTr="00F2573C">
        <w:tc>
          <w:tcPr>
            <w:tcW w:w="1418" w:type="dxa"/>
          </w:tcPr>
          <w:p w14:paraId="5571A7BA" w14:textId="2FC6310A" w:rsidR="00130F35" w:rsidRPr="001E51C7" w:rsidRDefault="00130F35" w:rsidP="003F3FAC">
            <w:pPr>
              <w:pStyle w:val="Heading3"/>
              <w:numPr>
                <w:ilvl w:val="0"/>
                <w:numId w:val="0"/>
              </w:numPr>
              <w:spacing w:before="60" w:after="60"/>
            </w:pPr>
            <w:r w:rsidRPr="001E51C7">
              <w:t>1 July 2027</w:t>
            </w:r>
          </w:p>
        </w:tc>
        <w:tc>
          <w:tcPr>
            <w:tcW w:w="1585" w:type="dxa"/>
          </w:tcPr>
          <w:p w14:paraId="283E6917" w14:textId="321B1E99" w:rsidR="00130F35" w:rsidRPr="001E51C7" w:rsidRDefault="00130F35" w:rsidP="003F3FAC">
            <w:pPr>
              <w:pStyle w:val="Heading3"/>
              <w:numPr>
                <w:ilvl w:val="0"/>
                <w:numId w:val="0"/>
              </w:numPr>
              <w:spacing w:before="60" w:after="60"/>
            </w:pPr>
            <w:r w:rsidRPr="001E51C7">
              <w:t>1 July 2027 to 30 June 2028</w:t>
            </w:r>
          </w:p>
        </w:tc>
        <w:tc>
          <w:tcPr>
            <w:tcW w:w="3370" w:type="dxa"/>
          </w:tcPr>
          <w:p w14:paraId="7D52722A" w14:textId="30550BEE" w:rsidR="00130F35" w:rsidRPr="001E51C7" w:rsidRDefault="00130F35" w:rsidP="003F3FAC">
            <w:pPr>
              <w:pStyle w:val="Heading3"/>
              <w:numPr>
                <w:ilvl w:val="0"/>
                <w:numId w:val="0"/>
              </w:numPr>
              <w:spacing w:before="60" w:after="60"/>
              <w:ind w:left="37"/>
            </w:pPr>
            <w:proofErr w:type="gramStart"/>
            <w:r w:rsidRPr="001E51C7">
              <w:t>At</w:t>
            </w:r>
            <w:proofErr w:type="gramEnd"/>
            <w:r w:rsidRPr="001E51C7">
              <w:t xml:space="preserve"> 1 July 2027, Amount </w:t>
            </w:r>
            <w:r w:rsidR="00F2573C">
              <w:t>E</w:t>
            </w:r>
            <w:r w:rsidRPr="001E51C7">
              <w:t xml:space="preserve"> is indexed by CPI (per clause </w:t>
            </w:r>
            <w:r w:rsidRPr="001E51C7">
              <w:fldChar w:fldCharType="begin"/>
            </w:r>
            <w:r w:rsidRPr="001E51C7">
              <w:instrText xml:space="preserve"> REF _Ref176846007 \r \h  \* MERGEFORMAT </w:instrText>
            </w:r>
            <w:r w:rsidRPr="001E51C7">
              <w:fldChar w:fldCharType="separate"/>
            </w:r>
            <w:r w:rsidR="005C0514">
              <w:t>3.1.5</w:t>
            </w:r>
            <w:r w:rsidRPr="001E51C7">
              <w:fldChar w:fldCharType="end"/>
            </w:r>
            <w:r w:rsidRPr="001E51C7">
              <w:t xml:space="preserve">) giving </w:t>
            </w:r>
            <w:r w:rsidRPr="001E51C7">
              <w:rPr>
                <w:b/>
                <w:bCs/>
              </w:rPr>
              <w:t>Amount</w:t>
            </w:r>
            <w:r w:rsidR="001609EB" w:rsidRPr="001E51C7">
              <w:rPr>
                <w:b/>
                <w:bCs/>
              </w:rPr>
              <w:t> </w:t>
            </w:r>
            <w:r w:rsidR="00F2573C">
              <w:rPr>
                <w:b/>
                <w:bCs/>
              </w:rPr>
              <w:t>F</w:t>
            </w:r>
            <w:r w:rsidRPr="001E51C7">
              <w:t xml:space="preserve">. </w:t>
            </w:r>
          </w:p>
        </w:tc>
        <w:tc>
          <w:tcPr>
            <w:tcW w:w="3118" w:type="dxa"/>
          </w:tcPr>
          <w:p w14:paraId="4BC61239" w14:textId="124AD77E" w:rsidR="00130F35" w:rsidRPr="001E51C7" w:rsidRDefault="00F2573C" w:rsidP="001609EB">
            <w:pPr>
              <w:pStyle w:val="Heading3"/>
              <w:numPr>
                <w:ilvl w:val="0"/>
                <w:numId w:val="0"/>
              </w:numPr>
              <w:spacing w:before="60" w:after="60"/>
              <w:ind w:left="37"/>
              <w:jc w:val="center"/>
            </w:pPr>
            <w:r>
              <w:t>F</w:t>
            </w:r>
            <w:r w:rsidR="00130F35" w:rsidRPr="001E51C7">
              <w:t xml:space="preserve"> = </w:t>
            </w:r>
            <w:r>
              <w:t>E</w:t>
            </w:r>
            <w:r w:rsidR="00130F35" w:rsidRPr="001E51C7">
              <w:t>*CPI</w:t>
            </w:r>
          </w:p>
        </w:tc>
      </w:tr>
      <w:tr w:rsidR="00130F35" w:rsidRPr="001E51C7" w14:paraId="4FDF3035" w14:textId="08B5F1C6" w:rsidTr="00F2573C">
        <w:tc>
          <w:tcPr>
            <w:tcW w:w="1418" w:type="dxa"/>
          </w:tcPr>
          <w:p w14:paraId="1BCB02FC" w14:textId="34A2B80A" w:rsidR="00130F35" w:rsidRPr="001E51C7" w:rsidRDefault="00130F35" w:rsidP="003F3FAC">
            <w:pPr>
              <w:pStyle w:val="Heading3"/>
              <w:numPr>
                <w:ilvl w:val="0"/>
                <w:numId w:val="0"/>
              </w:numPr>
              <w:spacing w:before="60" w:after="60"/>
            </w:pPr>
            <w:r w:rsidRPr="001E51C7">
              <w:t>1 July 2028</w:t>
            </w:r>
          </w:p>
        </w:tc>
        <w:tc>
          <w:tcPr>
            <w:tcW w:w="1585" w:type="dxa"/>
          </w:tcPr>
          <w:p w14:paraId="2102B7CA" w14:textId="043C63BD" w:rsidR="00130F35" w:rsidRPr="001E51C7" w:rsidRDefault="00130F35" w:rsidP="003F3FAC">
            <w:pPr>
              <w:pStyle w:val="Heading3"/>
              <w:numPr>
                <w:ilvl w:val="0"/>
                <w:numId w:val="0"/>
              </w:numPr>
              <w:spacing w:before="60" w:after="60"/>
            </w:pPr>
            <w:r w:rsidRPr="001E51C7">
              <w:t>1 July 2028 to 30 June 2029</w:t>
            </w:r>
          </w:p>
        </w:tc>
        <w:tc>
          <w:tcPr>
            <w:tcW w:w="3370" w:type="dxa"/>
          </w:tcPr>
          <w:p w14:paraId="00517416" w14:textId="1C13223D" w:rsidR="00130F35" w:rsidRPr="001E51C7" w:rsidRDefault="00130F35" w:rsidP="006849B9">
            <w:pPr>
              <w:pStyle w:val="Heading3"/>
              <w:numPr>
                <w:ilvl w:val="0"/>
                <w:numId w:val="0"/>
              </w:numPr>
              <w:spacing w:before="60" w:after="60"/>
              <w:ind w:left="37"/>
            </w:pPr>
            <w:proofErr w:type="gramStart"/>
            <w:r w:rsidRPr="001E51C7">
              <w:t>At</w:t>
            </w:r>
            <w:proofErr w:type="gramEnd"/>
            <w:r w:rsidRPr="001E51C7">
              <w:t xml:space="preserve"> 1 July 2028, Amount </w:t>
            </w:r>
            <w:r w:rsidR="00F2573C">
              <w:t>F</w:t>
            </w:r>
            <w:r w:rsidRPr="001E51C7">
              <w:t xml:space="preserve"> is indexed by CPI (per clause </w:t>
            </w:r>
            <w:r w:rsidRPr="001E51C7">
              <w:fldChar w:fldCharType="begin"/>
            </w:r>
            <w:r w:rsidRPr="001E51C7">
              <w:instrText xml:space="preserve"> REF _Ref176846007 \r \h  \* MERGEFORMAT </w:instrText>
            </w:r>
            <w:r w:rsidRPr="001E51C7">
              <w:fldChar w:fldCharType="separate"/>
            </w:r>
            <w:r w:rsidR="005C0514">
              <w:t>3.1.5</w:t>
            </w:r>
            <w:r w:rsidRPr="001E51C7">
              <w:fldChar w:fldCharType="end"/>
            </w:r>
            <w:r w:rsidRPr="001E51C7">
              <w:t xml:space="preserve">), giving </w:t>
            </w:r>
            <w:r w:rsidRPr="001E51C7">
              <w:rPr>
                <w:b/>
                <w:bCs/>
              </w:rPr>
              <w:t>Amount</w:t>
            </w:r>
            <w:r w:rsidR="001609EB" w:rsidRPr="001E51C7">
              <w:rPr>
                <w:b/>
                <w:bCs/>
              </w:rPr>
              <w:t> </w:t>
            </w:r>
            <w:r w:rsidR="00F2573C">
              <w:rPr>
                <w:b/>
                <w:bCs/>
              </w:rPr>
              <w:t>G</w:t>
            </w:r>
            <w:r w:rsidRPr="001E51C7">
              <w:t xml:space="preserve">. </w:t>
            </w:r>
          </w:p>
        </w:tc>
        <w:tc>
          <w:tcPr>
            <w:tcW w:w="3118" w:type="dxa"/>
          </w:tcPr>
          <w:p w14:paraId="4708DCF8" w14:textId="55F026CD" w:rsidR="00130F35" w:rsidRPr="001E51C7" w:rsidRDefault="00F2573C" w:rsidP="001609EB">
            <w:pPr>
              <w:pStyle w:val="Heading3"/>
              <w:numPr>
                <w:ilvl w:val="0"/>
                <w:numId w:val="0"/>
              </w:numPr>
              <w:spacing w:before="60" w:after="60"/>
              <w:ind w:left="37"/>
              <w:jc w:val="center"/>
            </w:pPr>
            <w:r>
              <w:t>G</w:t>
            </w:r>
            <w:r w:rsidR="001609EB" w:rsidRPr="001E51C7">
              <w:t xml:space="preserve"> = </w:t>
            </w:r>
            <w:r>
              <w:t>F</w:t>
            </w:r>
            <w:r w:rsidR="001609EB" w:rsidRPr="001E51C7">
              <w:t>*CPI</w:t>
            </w:r>
          </w:p>
        </w:tc>
      </w:tr>
      <w:tr w:rsidR="00130F35" w14:paraId="47FBD695" w14:textId="3A11FE18" w:rsidTr="00F2573C">
        <w:tc>
          <w:tcPr>
            <w:tcW w:w="1418" w:type="dxa"/>
          </w:tcPr>
          <w:p w14:paraId="2AA967D4" w14:textId="02D52C86" w:rsidR="00130F35" w:rsidRPr="001E51C7" w:rsidRDefault="00130F35" w:rsidP="003F3FAC">
            <w:pPr>
              <w:pStyle w:val="Heading3"/>
              <w:numPr>
                <w:ilvl w:val="0"/>
                <w:numId w:val="0"/>
              </w:numPr>
              <w:spacing w:before="60" w:after="60"/>
            </w:pPr>
            <w:r w:rsidRPr="001E51C7">
              <w:t>1 July 2029</w:t>
            </w:r>
          </w:p>
        </w:tc>
        <w:tc>
          <w:tcPr>
            <w:tcW w:w="1585" w:type="dxa"/>
          </w:tcPr>
          <w:p w14:paraId="40492E48" w14:textId="563E2F4C" w:rsidR="00130F35" w:rsidRPr="001E51C7" w:rsidRDefault="00130F35" w:rsidP="003F3FAC">
            <w:pPr>
              <w:pStyle w:val="Heading3"/>
              <w:numPr>
                <w:ilvl w:val="0"/>
                <w:numId w:val="0"/>
              </w:numPr>
              <w:spacing w:before="60" w:after="60"/>
            </w:pPr>
            <w:r w:rsidRPr="001E51C7">
              <w:t>1 July 2029 to 31 December 2029</w:t>
            </w:r>
          </w:p>
        </w:tc>
        <w:tc>
          <w:tcPr>
            <w:tcW w:w="3370" w:type="dxa"/>
          </w:tcPr>
          <w:p w14:paraId="52815DE4" w14:textId="3C1AA97D" w:rsidR="00130F35" w:rsidRPr="001E51C7" w:rsidRDefault="00130F35" w:rsidP="006849B9">
            <w:pPr>
              <w:pStyle w:val="Heading3"/>
              <w:numPr>
                <w:ilvl w:val="0"/>
                <w:numId w:val="0"/>
              </w:numPr>
              <w:spacing w:before="60" w:after="60"/>
              <w:ind w:left="37"/>
            </w:pPr>
            <w:r w:rsidRPr="001E51C7">
              <w:t xml:space="preserve">At 1 July 2029, Amount </w:t>
            </w:r>
            <w:r w:rsidR="00F2573C">
              <w:t>G</w:t>
            </w:r>
            <w:r w:rsidRPr="001E51C7">
              <w:t xml:space="preserve"> is indexed by CPI, (per clause </w:t>
            </w:r>
            <w:r w:rsidRPr="001E51C7">
              <w:fldChar w:fldCharType="begin"/>
            </w:r>
            <w:r w:rsidRPr="001E51C7">
              <w:instrText xml:space="preserve"> REF _Ref176846007 \r \h  \* MERGEFORMAT </w:instrText>
            </w:r>
            <w:r w:rsidRPr="001E51C7">
              <w:fldChar w:fldCharType="separate"/>
            </w:r>
            <w:r w:rsidR="005C0514">
              <w:t>3.1.5</w:t>
            </w:r>
            <w:r w:rsidRPr="001E51C7">
              <w:fldChar w:fldCharType="end"/>
            </w:r>
            <w:r w:rsidRPr="001E51C7">
              <w:t>) and then halved</w:t>
            </w:r>
            <w:r w:rsidR="001609EB" w:rsidRPr="001E51C7">
              <w:t xml:space="preserve">, giving </w:t>
            </w:r>
            <w:r w:rsidR="001609EB" w:rsidRPr="001E51C7">
              <w:rPr>
                <w:b/>
                <w:bCs/>
              </w:rPr>
              <w:t>Amount</w:t>
            </w:r>
            <w:r w:rsidR="00F2573C">
              <w:rPr>
                <w:b/>
                <w:bCs/>
              </w:rPr>
              <w:t> H</w:t>
            </w:r>
            <w:r w:rsidRPr="001E51C7">
              <w:t>.</w:t>
            </w:r>
            <w:r w:rsidR="00F2573C">
              <w:t xml:space="preserve"> Half of MSM2 (indexed from FY24-25 to end FY28/29) is added, giving </w:t>
            </w:r>
            <w:r w:rsidR="00F2573C" w:rsidRPr="00F2573C">
              <w:rPr>
                <w:b/>
                <w:bCs/>
              </w:rPr>
              <w:t>Amount</w:t>
            </w:r>
            <w:r w:rsidR="00185C2E">
              <w:rPr>
                <w:b/>
                <w:bCs/>
              </w:rPr>
              <w:t> </w:t>
            </w:r>
            <w:r w:rsidR="00F2573C" w:rsidRPr="00F2573C">
              <w:rPr>
                <w:b/>
                <w:bCs/>
              </w:rPr>
              <w:t>I</w:t>
            </w:r>
            <w:r w:rsidR="00F2573C">
              <w:t xml:space="preserve">. </w:t>
            </w:r>
          </w:p>
        </w:tc>
        <w:tc>
          <w:tcPr>
            <w:tcW w:w="3118" w:type="dxa"/>
          </w:tcPr>
          <w:p w14:paraId="4C2B190C" w14:textId="259865FB" w:rsidR="00130F35" w:rsidRDefault="00414C10" w:rsidP="001609EB">
            <w:pPr>
              <w:pStyle w:val="Heading3"/>
              <w:numPr>
                <w:ilvl w:val="0"/>
                <w:numId w:val="0"/>
              </w:numPr>
              <w:spacing w:before="60" w:after="60"/>
              <w:ind w:left="37"/>
              <w:jc w:val="center"/>
            </w:pPr>
            <w:r>
              <w:t>H</w:t>
            </w:r>
            <w:r w:rsidR="001609EB" w:rsidRPr="001E51C7">
              <w:t xml:space="preserve"> = </w:t>
            </w:r>
            <w:r>
              <w:t>G</w:t>
            </w:r>
            <w:r w:rsidR="001609EB" w:rsidRPr="001E51C7">
              <w:t>*CPI/2</w:t>
            </w:r>
          </w:p>
          <w:p w14:paraId="5F4DBD0D" w14:textId="436AD385" w:rsidR="00F2573C" w:rsidRPr="001E51C7" w:rsidRDefault="00F2573C" w:rsidP="001609EB">
            <w:pPr>
              <w:pStyle w:val="Heading3"/>
              <w:numPr>
                <w:ilvl w:val="0"/>
                <w:numId w:val="0"/>
              </w:numPr>
              <w:spacing w:before="60" w:after="60"/>
              <w:ind w:left="37"/>
              <w:jc w:val="center"/>
            </w:pPr>
            <w:r>
              <w:t xml:space="preserve">I = </w:t>
            </w:r>
            <w:r w:rsidR="00414C10">
              <w:t>H</w:t>
            </w:r>
            <w:r>
              <w:t xml:space="preserve"> + MSM2*compound CPI</w:t>
            </w:r>
          </w:p>
        </w:tc>
      </w:tr>
    </w:tbl>
    <w:p w14:paraId="69E5CE88" w14:textId="4077EAF8" w:rsidR="0092386C" w:rsidRDefault="00BE75D9" w:rsidP="0092386C">
      <w:pPr>
        <w:pStyle w:val="Heading3"/>
      </w:pPr>
      <w:bookmarkStart w:id="171" w:name="_Ref183513641"/>
      <w:r>
        <w:t>The parties acknowledge and agree that</w:t>
      </w:r>
      <w:r w:rsidR="0092386C">
        <w:t>:</w:t>
      </w:r>
      <w:bookmarkEnd w:id="170"/>
      <w:bookmarkEnd w:id="171"/>
      <w:r>
        <w:t xml:space="preserve"> </w:t>
      </w:r>
    </w:p>
    <w:p w14:paraId="000519C6" w14:textId="311402D9" w:rsidR="0092386C" w:rsidRDefault="00BE75D9" w:rsidP="0092386C">
      <w:pPr>
        <w:pStyle w:val="Heading4"/>
      </w:pPr>
      <w:proofErr w:type="gramStart"/>
      <w:r>
        <w:t>as a result of</w:t>
      </w:r>
      <w:proofErr w:type="gramEnd"/>
      <w:r>
        <w:t xml:space="preserve"> transitioning from the Wholesale Mark-Up as described in Table 2, to the Wholesale Mark-Up as described in Table 3, the Commonwealth anticipates achieving a Government Saving</w:t>
      </w:r>
      <w:r w:rsidR="0092386C">
        <w:t xml:space="preserve">; </w:t>
      </w:r>
    </w:p>
    <w:p w14:paraId="047DDEB6" w14:textId="1902E1B9" w:rsidR="0092386C" w:rsidRPr="00CF5832" w:rsidRDefault="0092386C" w:rsidP="0092386C">
      <w:pPr>
        <w:pStyle w:val="Heading4"/>
      </w:pPr>
      <w:r>
        <w:t xml:space="preserve">the quantum of any </w:t>
      </w:r>
      <w:r w:rsidRPr="00CF5832">
        <w:t xml:space="preserve">Government Saving (including as applied pursuant to clause </w:t>
      </w:r>
      <w:r w:rsidRPr="00CF5832">
        <w:fldChar w:fldCharType="begin"/>
      </w:r>
      <w:r w:rsidRPr="00CF5832">
        <w:instrText xml:space="preserve"> REF _Ref176845631 \r \h </w:instrText>
      </w:r>
      <w:r w:rsidR="00CF5832">
        <w:instrText xml:space="preserve"> \* MERGEFORMAT </w:instrText>
      </w:r>
      <w:r w:rsidRPr="00CF5832">
        <w:fldChar w:fldCharType="separate"/>
      </w:r>
      <w:r w:rsidR="005C0514">
        <w:t>3.1.2</w:t>
      </w:r>
      <w:r w:rsidRPr="00CF5832">
        <w:fldChar w:fldCharType="end"/>
      </w:r>
      <w:r w:rsidRPr="00CF5832">
        <w:t>) will be as calculated by the Commonwealth on or before 1 July 2026</w:t>
      </w:r>
      <w:r w:rsidR="00A25A41" w:rsidRPr="00CF5832">
        <w:t xml:space="preserve"> (and may rely on estimates, extrapolations, or both, made by the Commonwealth)</w:t>
      </w:r>
      <w:r w:rsidR="001E156B">
        <w:t xml:space="preserve">. </w:t>
      </w:r>
      <w:r w:rsidR="0066207A">
        <w:t>For clarity, t</w:t>
      </w:r>
      <w:r w:rsidR="001E156B">
        <w:t xml:space="preserve">he Government Saving calculation will occur on a like for like basis (i.e. Section 85 volumes and values only) </w:t>
      </w:r>
      <w:r w:rsidR="004E0D1C">
        <w:t xml:space="preserve">only </w:t>
      </w:r>
      <w:r w:rsidR="001E156B">
        <w:t xml:space="preserve">using </w:t>
      </w:r>
      <w:r w:rsidR="004E0D1C">
        <w:t xml:space="preserve">the Pack </w:t>
      </w:r>
      <w:proofErr w:type="gramStart"/>
      <w:r w:rsidR="004E0D1C">
        <w:t>Quantity( not</w:t>
      </w:r>
      <w:proofErr w:type="gramEnd"/>
      <w:r w:rsidR="004E0D1C">
        <w:t xml:space="preserve"> the Relevant Quantity) </w:t>
      </w:r>
      <w:r w:rsidR="001E156B">
        <w:t>for FY26</w:t>
      </w:r>
      <w:r w:rsidRPr="00CF5832">
        <w:t xml:space="preserve">; and </w:t>
      </w:r>
    </w:p>
    <w:p w14:paraId="2CF7D078" w14:textId="2BD9582A" w:rsidR="00BE75D9" w:rsidRPr="00CF5832" w:rsidRDefault="0092386C" w:rsidP="0092386C">
      <w:pPr>
        <w:pStyle w:val="Heading4"/>
      </w:pPr>
      <w:r w:rsidRPr="00CF5832">
        <w:t>for the purposes of this Agreement, the Commonwealth’s calculation of the Government Saving</w:t>
      </w:r>
      <w:r w:rsidR="00690E06">
        <w:t xml:space="preserve"> will be </w:t>
      </w:r>
      <w:proofErr w:type="gramStart"/>
      <w:r w:rsidR="00690E06">
        <w:t>conclusive, and</w:t>
      </w:r>
      <w:proofErr w:type="gramEnd"/>
      <w:r w:rsidR="00690E06">
        <w:t xml:space="preserve"> is not a matter that is open to dispute by the Association</w:t>
      </w:r>
      <w:r w:rsidR="002F3238">
        <w:t>.</w:t>
      </w:r>
      <w:r w:rsidR="00BE75D9" w:rsidRPr="00CF5832">
        <w:t xml:space="preserve">  </w:t>
      </w:r>
    </w:p>
    <w:p w14:paraId="3A055061" w14:textId="1C7A2206" w:rsidR="00BE75D9" w:rsidRPr="00CF5832" w:rsidRDefault="0092386C" w:rsidP="00BE75D9">
      <w:pPr>
        <w:pStyle w:val="Heading3"/>
        <w:ind w:left="1707" w:hanging="839"/>
      </w:pPr>
      <w:r w:rsidRPr="00CF5832">
        <w:t xml:space="preserve">All figures stated in this clause </w:t>
      </w:r>
      <w:r w:rsidRPr="00CF5832">
        <w:fldChar w:fldCharType="begin"/>
      </w:r>
      <w:r w:rsidRPr="00CF5832">
        <w:instrText xml:space="preserve"> REF _Ref176845674 \r \h </w:instrText>
      </w:r>
      <w:r w:rsidR="00CF5832">
        <w:instrText xml:space="preserve"> \* MERGEFORMAT </w:instrText>
      </w:r>
      <w:r w:rsidRPr="00CF5832">
        <w:fldChar w:fldCharType="separate"/>
      </w:r>
      <w:r w:rsidR="005C0514">
        <w:t>3.1</w:t>
      </w:r>
      <w:r w:rsidRPr="00CF5832">
        <w:fldChar w:fldCharType="end"/>
      </w:r>
      <w:r w:rsidRPr="00CF5832">
        <w:t xml:space="preserve"> are on a GST exclusive basis</w:t>
      </w:r>
      <w:r w:rsidR="005F3AEE" w:rsidRPr="00CF5832">
        <w:t xml:space="preserve"> unless otherwise stated</w:t>
      </w:r>
      <w:r w:rsidRPr="00CF5832">
        <w:t xml:space="preserve">. </w:t>
      </w:r>
      <w:r w:rsidR="00BE75D9" w:rsidRPr="00CF5832">
        <w:t xml:space="preserve"> </w:t>
      </w:r>
    </w:p>
    <w:p w14:paraId="068E19AE" w14:textId="5278EC19" w:rsidR="0092386C" w:rsidRDefault="0092386C" w:rsidP="0092386C">
      <w:pPr>
        <w:pStyle w:val="Heading3"/>
        <w:spacing w:after="120"/>
        <w:ind w:left="1707" w:hanging="839"/>
      </w:pPr>
      <w:bookmarkStart w:id="172" w:name="_Ref176846007"/>
      <w:r w:rsidRPr="00CF5832">
        <w:lastRenderedPageBreak/>
        <w:t xml:space="preserve">To index the </w:t>
      </w:r>
      <w:r w:rsidR="00F7577B">
        <w:t xml:space="preserve">relevant components of the </w:t>
      </w:r>
      <w:r w:rsidRPr="00CF5832">
        <w:t>CSO Wholesale Funding Pool by CPI</w:t>
      </w:r>
      <w:r w:rsidR="001015AF">
        <w:t>,</w:t>
      </w:r>
      <w:r w:rsidRPr="00CF5832">
        <w:t xml:space="preserve"> </w:t>
      </w:r>
      <w:r w:rsidR="00206E74" w:rsidRPr="00CF5832">
        <w:t>as required by</w:t>
      </w:r>
      <w:r w:rsidR="00206E74">
        <w:t xml:space="preserve"> </w:t>
      </w:r>
      <w:r>
        <w:t>clause</w:t>
      </w:r>
      <w:r w:rsidR="00206E74">
        <w:t> </w:t>
      </w:r>
      <w:r w:rsidR="00C928B4">
        <w:fldChar w:fldCharType="begin"/>
      </w:r>
      <w:r w:rsidR="00C928B4">
        <w:instrText xml:space="preserve"> REF _Ref176845631 \r \h </w:instrText>
      </w:r>
      <w:r w:rsidR="00C928B4">
        <w:fldChar w:fldCharType="separate"/>
      </w:r>
      <w:r w:rsidR="005C0514">
        <w:t>3.1.2</w:t>
      </w:r>
      <w:r w:rsidR="00C928B4">
        <w:fldChar w:fldCharType="end"/>
      </w:r>
      <w:r>
        <w:t xml:space="preserve">, the following formula will be applied as at the </w:t>
      </w:r>
      <w:r w:rsidR="00206E74">
        <w:t xml:space="preserve">relevant </w:t>
      </w:r>
      <w:r>
        <w:t>Adjustment Date:</w:t>
      </w:r>
      <w:bookmarkEnd w:id="172"/>
      <w:r>
        <w:t xml:space="preserve"> </w:t>
      </w:r>
    </w:p>
    <w:tbl>
      <w:tblPr>
        <w:tblW w:w="4741" w:type="dxa"/>
        <w:tblInd w:w="2445" w:type="dxa"/>
        <w:tblLayout w:type="fixed"/>
        <w:tblLook w:val="0000" w:firstRow="0" w:lastRow="0" w:firstColumn="0" w:lastColumn="0" w:noHBand="0" w:noVBand="0"/>
      </w:tblPr>
      <w:tblGrid>
        <w:gridCol w:w="1661"/>
        <w:gridCol w:w="1661"/>
        <w:gridCol w:w="309"/>
        <w:gridCol w:w="728"/>
        <w:gridCol w:w="382"/>
      </w:tblGrid>
      <w:tr w:rsidR="0092386C" w:rsidRPr="00CF5832" w14:paraId="324214DA" w14:textId="77777777" w:rsidTr="00A25A41">
        <w:trPr>
          <w:trHeight w:val="522"/>
        </w:trPr>
        <w:tc>
          <w:tcPr>
            <w:tcW w:w="1661" w:type="dxa"/>
            <w:vMerge w:val="restart"/>
            <w:vAlign w:val="center"/>
          </w:tcPr>
          <w:p w14:paraId="6945C656" w14:textId="77777777" w:rsidR="0092386C" w:rsidRPr="00CF5832" w:rsidRDefault="0092386C" w:rsidP="00016562">
            <w:pPr>
              <w:pStyle w:val="BodyIndent2"/>
              <w:keepNext/>
              <w:ind w:left="0"/>
            </w:pPr>
            <w:r w:rsidRPr="00CF5832">
              <w:t>New Amount =</w:t>
            </w:r>
          </w:p>
        </w:tc>
        <w:tc>
          <w:tcPr>
            <w:tcW w:w="1661" w:type="dxa"/>
            <w:vMerge w:val="restart"/>
            <w:vAlign w:val="center"/>
          </w:tcPr>
          <w:p w14:paraId="34D6B2CD" w14:textId="77777777" w:rsidR="0092386C" w:rsidRPr="00CF5832" w:rsidRDefault="0092386C" w:rsidP="00016562">
            <w:pPr>
              <w:pStyle w:val="BodyIndent2"/>
              <w:keepNext/>
              <w:ind w:left="0"/>
              <w:rPr>
                <w:b/>
              </w:rPr>
            </w:pPr>
            <w:r w:rsidRPr="00CF5832">
              <w:t xml:space="preserve">Last </w:t>
            </w:r>
            <w:proofErr w:type="gramStart"/>
            <w:r w:rsidRPr="00CF5832">
              <w:t>Amount  x</w:t>
            </w:r>
            <w:proofErr w:type="gramEnd"/>
          </w:p>
        </w:tc>
        <w:tc>
          <w:tcPr>
            <w:tcW w:w="309" w:type="dxa"/>
            <w:vMerge w:val="restart"/>
            <w:vAlign w:val="center"/>
          </w:tcPr>
          <w:p w14:paraId="2B9628FB" w14:textId="77777777" w:rsidR="0092386C" w:rsidRPr="00CF5832" w:rsidRDefault="0092386C" w:rsidP="00016562">
            <w:pPr>
              <w:pStyle w:val="BodyIndent2"/>
              <w:keepNext/>
              <w:spacing w:before="0"/>
              <w:ind w:left="-41"/>
              <w:rPr>
                <w:bCs/>
                <w:sz w:val="40"/>
                <w:szCs w:val="40"/>
              </w:rPr>
            </w:pPr>
            <w:r w:rsidRPr="00CF5832">
              <w:rPr>
                <w:bCs/>
                <w:sz w:val="40"/>
                <w:szCs w:val="40"/>
              </w:rPr>
              <w:t>(</w:t>
            </w:r>
          </w:p>
        </w:tc>
        <w:tc>
          <w:tcPr>
            <w:tcW w:w="728" w:type="dxa"/>
            <w:tcBorders>
              <w:bottom w:val="single" w:sz="4" w:space="0" w:color="auto"/>
            </w:tcBorders>
            <w:vAlign w:val="center"/>
          </w:tcPr>
          <w:p w14:paraId="3AAEFC1A" w14:textId="77777777" w:rsidR="0092386C" w:rsidRPr="00CF5832" w:rsidRDefault="0092386C" w:rsidP="00016562">
            <w:pPr>
              <w:pStyle w:val="BodyIndent2"/>
              <w:keepNext/>
              <w:ind w:left="0"/>
              <w:jc w:val="center"/>
              <w:rPr>
                <w:bCs/>
              </w:rPr>
            </w:pPr>
            <w:r w:rsidRPr="00CF5832">
              <w:rPr>
                <w:bCs/>
              </w:rPr>
              <w:t>MRIN</w:t>
            </w:r>
          </w:p>
        </w:tc>
        <w:tc>
          <w:tcPr>
            <w:tcW w:w="382" w:type="dxa"/>
            <w:vMerge w:val="restart"/>
            <w:vAlign w:val="center"/>
          </w:tcPr>
          <w:p w14:paraId="660A3FE5" w14:textId="77777777" w:rsidR="0092386C" w:rsidRPr="00CF5832" w:rsidRDefault="0092386C" w:rsidP="00016562">
            <w:pPr>
              <w:pStyle w:val="BodyIndent2"/>
              <w:keepNext/>
              <w:spacing w:before="0"/>
              <w:ind w:left="0"/>
              <w:rPr>
                <w:bCs/>
                <w:sz w:val="40"/>
                <w:szCs w:val="40"/>
              </w:rPr>
            </w:pPr>
            <w:r w:rsidRPr="00CF5832">
              <w:rPr>
                <w:bCs/>
                <w:sz w:val="40"/>
                <w:szCs w:val="40"/>
              </w:rPr>
              <w:t>)</w:t>
            </w:r>
          </w:p>
        </w:tc>
      </w:tr>
      <w:tr w:rsidR="0092386C" w:rsidRPr="00CF5832" w14:paraId="2A353516" w14:textId="77777777" w:rsidTr="00A25A41">
        <w:trPr>
          <w:trHeight w:val="159"/>
        </w:trPr>
        <w:tc>
          <w:tcPr>
            <w:tcW w:w="1661" w:type="dxa"/>
            <w:vMerge/>
          </w:tcPr>
          <w:p w14:paraId="2C26AED0" w14:textId="77777777" w:rsidR="0092386C" w:rsidRPr="00CF5832" w:rsidRDefault="0092386C" w:rsidP="00016562">
            <w:pPr>
              <w:pStyle w:val="BodyIndent2"/>
              <w:ind w:left="0"/>
              <w:rPr>
                <w:b/>
              </w:rPr>
            </w:pPr>
          </w:p>
        </w:tc>
        <w:tc>
          <w:tcPr>
            <w:tcW w:w="1661" w:type="dxa"/>
            <w:vMerge/>
          </w:tcPr>
          <w:p w14:paraId="630D1D34" w14:textId="77777777" w:rsidR="0092386C" w:rsidRPr="00CF5832" w:rsidRDefault="0092386C" w:rsidP="00016562">
            <w:pPr>
              <w:pStyle w:val="BodyIndent2"/>
              <w:ind w:left="0"/>
              <w:rPr>
                <w:b/>
              </w:rPr>
            </w:pPr>
          </w:p>
        </w:tc>
        <w:tc>
          <w:tcPr>
            <w:tcW w:w="309" w:type="dxa"/>
            <w:vMerge/>
          </w:tcPr>
          <w:p w14:paraId="09264436" w14:textId="77777777" w:rsidR="0092386C" w:rsidRPr="00CF5832" w:rsidRDefault="0092386C" w:rsidP="00016562">
            <w:pPr>
              <w:pStyle w:val="BodyIndent2"/>
              <w:spacing w:before="0"/>
              <w:ind w:left="0"/>
              <w:rPr>
                <w:bCs/>
              </w:rPr>
            </w:pPr>
          </w:p>
        </w:tc>
        <w:tc>
          <w:tcPr>
            <w:tcW w:w="728" w:type="dxa"/>
            <w:tcBorders>
              <w:top w:val="single" w:sz="4" w:space="0" w:color="auto"/>
            </w:tcBorders>
            <w:vAlign w:val="center"/>
          </w:tcPr>
          <w:p w14:paraId="1C1389CF" w14:textId="77777777" w:rsidR="0092386C" w:rsidRPr="00CF5832" w:rsidRDefault="0092386C" w:rsidP="00016562">
            <w:pPr>
              <w:pStyle w:val="BodyIndent2"/>
              <w:spacing w:before="0"/>
              <w:ind w:left="0"/>
              <w:jc w:val="center"/>
              <w:rPr>
                <w:bCs/>
              </w:rPr>
            </w:pPr>
            <w:r w:rsidRPr="00CF5832">
              <w:rPr>
                <w:bCs/>
              </w:rPr>
              <w:t>LIN</w:t>
            </w:r>
          </w:p>
        </w:tc>
        <w:tc>
          <w:tcPr>
            <w:tcW w:w="382" w:type="dxa"/>
            <w:vMerge/>
          </w:tcPr>
          <w:p w14:paraId="349A9AE6" w14:textId="77777777" w:rsidR="0092386C" w:rsidRPr="00CF5832" w:rsidRDefault="0092386C" w:rsidP="00016562">
            <w:pPr>
              <w:pStyle w:val="BodyIndent2"/>
              <w:spacing w:before="0"/>
              <w:ind w:left="0"/>
              <w:rPr>
                <w:b/>
              </w:rPr>
            </w:pPr>
          </w:p>
        </w:tc>
      </w:tr>
    </w:tbl>
    <w:p w14:paraId="5CA0A9E1" w14:textId="4C182005" w:rsidR="0092386C" w:rsidRPr="00CF5832" w:rsidRDefault="003F2006" w:rsidP="000A1E34">
      <w:pPr>
        <w:pStyle w:val="Heading3"/>
        <w:keepNext/>
        <w:spacing w:after="120"/>
        <w:ind w:left="1707" w:hanging="839"/>
      </w:pPr>
      <w:r>
        <w:t>For the purposes of</w:t>
      </w:r>
      <w:r w:rsidR="005D4054" w:rsidRPr="00CF5832">
        <w:t xml:space="preserve"> clause </w:t>
      </w:r>
      <w:r w:rsidR="005D4054" w:rsidRPr="00CF5832">
        <w:fldChar w:fldCharType="begin"/>
      </w:r>
      <w:r w:rsidR="005D4054" w:rsidRPr="00CF5832">
        <w:instrText xml:space="preserve"> REF _Ref176846007 \r \h </w:instrText>
      </w:r>
      <w:r w:rsidR="00CF5832">
        <w:instrText xml:space="preserve"> \* MERGEFORMAT </w:instrText>
      </w:r>
      <w:r w:rsidR="005D4054" w:rsidRPr="00CF5832">
        <w:fldChar w:fldCharType="separate"/>
      </w:r>
      <w:r w:rsidR="005C0514">
        <w:t>3.1.5</w:t>
      </w:r>
      <w:r w:rsidR="005D4054" w:rsidRPr="00CF5832">
        <w:fldChar w:fldCharType="end"/>
      </w:r>
      <w:r w:rsidR="005D4054" w:rsidRPr="00CF5832">
        <w:t>:</w:t>
      </w:r>
    </w:p>
    <w:p w14:paraId="03D1E449" w14:textId="2302883E" w:rsidR="005D4054" w:rsidRPr="005D4054" w:rsidRDefault="005D4054" w:rsidP="005D4054">
      <w:pPr>
        <w:pStyle w:val="Heading4"/>
      </w:pPr>
      <w:r w:rsidRPr="005D4054">
        <w:rPr>
          <w:b/>
          <w:bCs/>
        </w:rPr>
        <w:t>index number</w:t>
      </w:r>
      <w:r w:rsidRPr="005D4054">
        <w:t xml:space="preserve"> means the </w:t>
      </w:r>
      <w:proofErr w:type="gramStart"/>
      <w:r w:rsidRPr="005D4054">
        <w:t>All Groups</w:t>
      </w:r>
      <w:proofErr w:type="gramEnd"/>
      <w:r w:rsidRPr="005D4054">
        <w:t xml:space="preserve"> Consumer Price Index number that is the weighted average of the eight capital cities published by the Australian Bureau of Statistics in respect of </w:t>
      </w:r>
      <w:r>
        <w:t>the</w:t>
      </w:r>
      <w:r w:rsidRPr="005D4054">
        <w:t xml:space="preserve"> quarter</w:t>
      </w:r>
      <w:r>
        <w:t xml:space="preserve"> that ends on the last day of March in a calendar year</w:t>
      </w:r>
      <w:r w:rsidRPr="005D4054">
        <w:t>.</w:t>
      </w:r>
    </w:p>
    <w:p w14:paraId="262F796C" w14:textId="4893CFBA" w:rsidR="005D4054" w:rsidRPr="005D4054" w:rsidRDefault="005D4054" w:rsidP="005D4054">
      <w:pPr>
        <w:pStyle w:val="Heading4"/>
      </w:pPr>
      <w:r w:rsidRPr="005D4054">
        <w:rPr>
          <w:b/>
          <w:bCs/>
        </w:rPr>
        <w:t xml:space="preserve">Last Amount </w:t>
      </w:r>
      <w:r w:rsidRPr="005D4054">
        <w:t xml:space="preserve">means the amount of the </w:t>
      </w:r>
      <w:r w:rsidR="00F7577B">
        <w:t xml:space="preserve">relevant component of the </w:t>
      </w:r>
      <w:r w:rsidRPr="005D4054">
        <w:t xml:space="preserve">CSO Wholesale Funding Pool immediately </w:t>
      </w:r>
      <w:r>
        <w:t>after</w:t>
      </w:r>
      <w:r w:rsidRPr="005D4054">
        <w:t xml:space="preserve"> the </w:t>
      </w:r>
      <w:r>
        <w:t xml:space="preserve">last adjustment step was applied in accordance with clause </w:t>
      </w:r>
      <w:r>
        <w:fldChar w:fldCharType="begin"/>
      </w:r>
      <w:r>
        <w:instrText xml:space="preserve"> REF _Ref176845631 \r \h </w:instrText>
      </w:r>
      <w:r>
        <w:fldChar w:fldCharType="separate"/>
      </w:r>
      <w:r w:rsidR="005C0514">
        <w:t>3.1.2</w:t>
      </w:r>
      <w:r>
        <w:fldChar w:fldCharType="end"/>
      </w:r>
      <w:r w:rsidRPr="005D4054">
        <w:t>.</w:t>
      </w:r>
    </w:p>
    <w:p w14:paraId="0651E0DB" w14:textId="365E9CF3" w:rsidR="005D4054" w:rsidRPr="005D4054" w:rsidRDefault="005D4054" w:rsidP="005D4054">
      <w:pPr>
        <w:pStyle w:val="Heading4"/>
      </w:pPr>
      <w:r w:rsidRPr="005D4054">
        <w:rPr>
          <w:b/>
          <w:bCs/>
        </w:rPr>
        <w:t xml:space="preserve">LIN </w:t>
      </w:r>
      <w:r w:rsidRPr="005D4054">
        <w:t>means the quarterly index number, as published for the same quarter as the MRIN in the year immediately preceding the year of the MRIN.</w:t>
      </w:r>
    </w:p>
    <w:p w14:paraId="0E2BE304" w14:textId="4E17A937" w:rsidR="005D4054" w:rsidRPr="005D4054" w:rsidRDefault="005D4054" w:rsidP="005D4054">
      <w:pPr>
        <w:pStyle w:val="Heading4"/>
      </w:pPr>
      <w:r w:rsidRPr="005D4054">
        <w:rPr>
          <w:b/>
          <w:bCs/>
        </w:rPr>
        <w:t xml:space="preserve">MRIN </w:t>
      </w:r>
      <w:r w:rsidRPr="005D4054">
        <w:t xml:space="preserve">means the most recently published index number as at the </w:t>
      </w:r>
      <w:r>
        <w:t xml:space="preserve">Adjustment </w:t>
      </w:r>
      <w:r w:rsidRPr="005D4054">
        <w:t>Date.</w:t>
      </w:r>
    </w:p>
    <w:p w14:paraId="44B0BF6F" w14:textId="0EAEE74E" w:rsidR="005D4054" w:rsidRDefault="005D4054" w:rsidP="005D4054">
      <w:pPr>
        <w:pStyle w:val="Heading4"/>
      </w:pPr>
      <w:r>
        <w:rPr>
          <w:b/>
          <w:bCs/>
        </w:rPr>
        <w:t xml:space="preserve">New Amount </w:t>
      </w:r>
      <w:r>
        <w:t xml:space="preserve">means the amount, rounded to the nearest cent, of the </w:t>
      </w:r>
      <w:r w:rsidR="00F7577B">
        <w:t xml:space="preserve">relevant component of the </w:t>
      </w:r>
      <w:r>
        <w:t xml:space="preserve">CSO Wholesale Funding Pool, that will apply following the application of the formula in clause </w:t>
      </w:r>
      <w:r>
        <w:fldChar w:fldCharType="begin"/>
      </w:r>
      <w:r>
        <w:instrText xml:space="preserve"> REF _Ref176846007 \r \h </w:instrText>
      </w:r>
      <w:r>
        <w:fldChar w:fldCharType="separate"/>
      </w:r>
      <w:r w:rsidR="005C0514">
        <w:t>3.1.5</w:t>
      </w:r>
      <w:r>
        <w:fldChar w:fldCharType="end"/>
      </w:r>
      <w:r>
        <w:t>.</w:t>
      </w:r>
    </w:p>
    <w:p w14:paraId="78C8E3E4" w14:textId="0735444C" w:rsidR="004855A6" w:rsidRDefault="004855A6" w:rsidP="004855A6">
      <w:pPr>
        <w:pStyle w:val="Heading3"/>
      </w:pPr>
      <w:r>
        <w:t xml:space="preserve">The </w:t>
      </w:r>
      <w:r w:rsidR="008E27D1">
        <w:t xml:space="preserve">Estimated </w:t>
      </w:r>
      <w:r>
        <w:t xml:space="preserve">CSO </w:t>
      </w:r>
      <w:r w:rsidR="00C47795">
        <w:t xml:space="preserve">Wholesale Funding </w:t>
      </w:r>
      <w:r w:rsidR="00C067CA">
        <w:t xml:space="preserve">Pool Value over the Agreement Term </w:t>
      </w:r>
      <w:r>
        <w:t>is further illustrated in Appendix B.</w:t>
      </w:r>
    </w:p>
    <w:p w14:paraId="6EF82FB6" w14:textId="5644C46E" w:rsidR="006F108E" w:rsidRPr="000C0845" w:rsidRDefault="006F108E" w:rsidP="009A2868">
      <w:pPr>
        <w:pStyle w:val="Headingpara2"/>
        <w:keepNext/>
        <w:rPr>
          <w:b/>
          <w:bCs/>
        </w:rPr>
      </w:pPr>
      <w:r w:rsidRPr="000C0845">
        <w:rPr>
          <w:b/>
          <w:bCs/>
        </w:rPr>
        <w:t xml:space="preserve">CSO </w:t>
      </w:r>
      <w:r w:rsidR="002F1A80" w:rsidRPr="000C0845">
        <w:rPr>
          <w:b/>
          <w:bCs/>
        </w:rPr>
        <w:t>Payments</w:t>
      </w:r>
      <w:r w:rsidRPr="000C0845">
        <w:rPr>
          <w:b/>
          <w:bCs/>
        </w:rPr>
        <w:t xml:space="preserve"> </w:t>
      </w:r>
    </w:p>
    <w:p w14:paraId="18BF3A0E" w14:textId="19A6C015" w:rsidR="004503F0" w:rsidRPr="004503F0" w:rsidRDefault="004503F0" w:rsidP="003D1A5B">
      <w:pPr>
        <w:pStyle w:val="Heading3"/>
        <w:keepNext/>
        <w:spacing w:after="120"/>
        <w:ind w:left="1707" w:hanging="839"/>
      </w:pPr>
      <w:r w:rsidRPr="004503F0">
        <w:t xml:space="preserve">The following provisions summarise the basis on which CSO Payments are currently made, and are intended in the future to be made, to Eligible National Pharmaceutical Wholesalers and Eligible State Pharmaceutical Wholesalers under Wholesaler Deeds. To the extent of any inconsistency, the Wholesaler Deeds will take precedence over this Agreement. </w:t>
      </w:r>
    </w:p>
    <w:p w14:paraId="5E9028CC" w14:textId="2D702056" w:rsidR="00610F30" w:rsidRPr="00653853" w:rsidRDefault="00610F30" w:rsidP="003D1A5B">
      <w:pPr>
        <w:pStyle w:val="Heading3"/>
        <w:keepNext/>
        <w:spacing w:after="120"/>
        <w:ind w:left="1707" w:hanging="839"/>
      </w:pPr>
      <w:r w:rsidRPr="00653853">
        <w:t xml:space="preserve">CSO Payments will be made to </w:t>
      </w:r>
      <w:r w:rsidR="00BC1988" w:rsidRPr="00653853">
        <w:t>E</w:t>
      </w:r>
      <w:r w:rsidR="007B5F76" w:rsidRPr="00653853">
        <w:t xml:space="preserve">ligible </w:t>
      </w:r>
      <w:r w:rsidR="009D77AD" w:rsidRPr="00653853">
        <w:t xml:space="preserve">National </w:t>
      </w:r>
      <w:r w:rsidRPr="00653853">
        <w:t>Pharmaceutical Wholesalers out of the</w:t>
      </w:r>
      <w:r w:rsidR="00AE755A" w:rsidRPr="00653853">
        <w:t xml:space="preserve"> portion of the</w:t>
      </w:r>
      <w:r w:rsidRPr="00653853">
        <w:t xml:space="preserve"> CSO Wholesale Funding Pool </w:t>
      </w:r>
      <w:r w:rsidR="00AE755A" w:rsidRPr="00653853">
        <w:t xml:space="preserve">allocated to </w:t>
      </w:r>
      <w:r w:rsidR="0020095E" w:rsidRPr="00653853">
        <w:t xml:space="preserve">Eligible </w:t>
      </w:r>
      <w:r w:rsidR="00AE755A" w:rsidRPr="00653853">
        <w:t xml:space="preserve">National Pharmaceutical Wholesalers for that Financial Year </w:t>
      </w:r>
      <w:r w:rsidRPr="00653853">
        <w:t xml:space="preserve">in accordance with the following process: </w:t>
      </w:r>
    </w:p>
    <w:p w14:paraId="77043DF6" w14:textId="155B736C" w:rsidR="005A0CBE" w:rsidRPr="00653853" w:rsidRDefault="005A0CBE" w:rsidP="00610F30">
      <w:pPr>
        <w:pStyle w:val="Heading4"/>
      </w:pPr>
      <w:bookmarkStart w:id="173" w:name="_Ref183429913"/>
      <w:r w:rsidRPr="00653853">
        <w:t xml:space="preserve">Subject to clause </w:t>
      </w:r>
      <w:r w:rsidRPr="00653853">
        <w:fldChar w:fldCharType="begin"/>
      </w:r>
      <w:r w:rsidRPr="00653853">
        <w:instrText xml:space="preserve"> REF _Ref183429245 \w \h </w:instrText>
      </w:r>
      <w:r w:rsidR="00B829B8" w:rsidRPr="00653853">
        <w:instrText xml:space="preserve"> \* MERGEFORMAT </w:instrText>
      </w:r>
      <w:r w:rsidRPr="00653853">
        <w:fldChar w:fldCharType="separate"/>
      </w:r>
      <w:r w:rsidR="005C0514">
        <w:t>3.2.2(b)</w:t>
      </w:r>
      <w:r w:rsidRPr="00653853">
        <w:fldChar w:fldCharType="end"/>
      </w:r>
      <w:r w:rsidRPr="00653853">
        <w:t>, in each month,</w:t>
      </w:r>
      <w:r w:rsidR="00E00CB0" w:rsidRPr="00653853">
        <w:t xml:space="preserve"> </w:t>
      </w:r>
      <w:r w:rsidR="00AE755A" w:rsidRPr="00653853">
        <w:t>t</w:t>
      </w:r>
      <w:r w:rsidR="00B829B8" w:rsidRPr="00653853">
        <w:t xml:space="preserve">he amount payable </w:t>
      </w:r>
      <w:r w:rsidR="00F7577B">
        <w:t xml:space="preserve">to an </w:t>
      </w:r>
      <w:r w:rsidR="00F7577B" w:rsidRPr="00653853">
        <w:t xml:space="preserve">Eligible National Pharmaceutical Wholesaler </w:t>
      </w:r>
      <w:r w:rsidR="00B829B8" w:rsidRPr="00653853">
        <w:t xml:space="preserve">will be </w:t>
      </w:r>
      <w:r w:rsidRPr="00653853">
        <w:t>equal to the volume of Pharmaceutical Benefits supplied</w:t>
      </w:r>
      <w:r w:rsidR="00B829B8" w:rsidRPr="00653853">
        <w:t xml:space="preserve"> by that </w:t>
      </w:r>
      <w:r w:rsidR="0020095E" w:rsidRPr="00653853">
        <w:t xml:space="preserve">Eligible </w:t>
      </w:r>
      <w:r w:rsidR="00B829B8" w:rsidRPr="00653853">
        <w:t xml:space="preserve">National Pharmaceutical Wholesaler to </w:t>
      </w:r>
      <w:r w:rsidR="00CF5832" w:rsidRPr="00653853">
        <w:t>Approved P</w:t>
      </w:r>
      <w:r w:rsidR="00B829B8" w:rsidRPr="00653853">
        <w:t>harmac</w:t>
      </w:r>
      <w:r w:rsidR="00CF5832" w:rsidRPr="00653853">
        <w:t>ists</w:t>
      </w:r>
      <w:r w:rsidR="00B829B8" w:rsidRPr="00653853">
        <w:t>,</w:t>
      </w:r>
      <w:r w:rsidRPr="00653853">
        <w:t xml:space="preserve"> as a percentage of</w:t>
      </w:r>
      <w:r w:rsidR="00946DF3" w:rsidRPr="00653853">
        <w:t xml:space="preserve"> the total volume of</w:t>
      </w:r>
      <w:r w:rsidRPr="00653853">
        <w:t xml:space="preserve"> Pharmaceutical Benefits supplied by all </w:t>
      </w:r>
      <w:r w:rsidR="0020095E" w:rsidRPr="00653853">
        <w:t xml:space="preserve">Eligible </w:t>
      </w:r>
      <w:r w:rsidR="008C6E39" w:rsidRPr="00653853">
        <w:t xml:space="preserve">National </w:t>
      </w:r>
      <w:r w:rsidRPr="00653853">
        <w:t xml:space="preserve">Pharmaceutical Wholesalers </w:t>
      </w:r>
      <w:r w:rsidR="00B829B8" w:rsidRPr="00653853">
        <w:t xml:space="preserve">to </w:t>
      </w:r>
      <w:r w:rsidR="00CF5832" w:rsidRPr="00653853">
        <w:t>Approved P</w:t>
      </w:r>
      <w:r w:rsidR="00B829B8" w:rsidRPr="00653853">
        <w:t>harmaci</w:t>
      </w:r>
      <w:r w:rsidR="00CF5832" w:rsidRPr="00653853">
        <w:t>sts</w:t>
      </w:r>
      <w:r w:rsidR="00B829B8" w:rsidRPr="00653853">
        <w:t xml:space="preserve"> </w:t>
      </w:r>
      <w:r w:rsidRPr="00653853">
        <w:t xml:space="preserve">in that same </w:t>
      </w:r>
      <w:r w:rsidR="00AE755A" w:rsidRPr="00653853">
        <w:t>month</w:t>
      </w:r>
      <w:r w:rsidRPr="00653853">
        <w:t>.</w:t>
      </w:r>
      <w:bookmarkEnd w:id="173"/>
      <w:r w:rsidRPr="00653853">
        <w:t xml:space="preserve"> </w:t>
      </w:r>
    </w:p>
    <w:p w14:paraId="7D9CA15E" w14:textId="77777777" w:rsidR="0038029C" w:rsidRPr="00653853" w:rsidRDefault="005A0CBE" w:rsidP="0038029C">
      <w:pPr>
        <w:pStyle w:val="Heading4"/>
        <w:keepNext/>
        <w:numPr>
          <w:ilvl w:val="0"/>
          <w:numId w:val="0"/>
        </w:numPr>
        <w:ind w:left="3259" w:hanging="991"/>
      </w:pPr>
      <w:r w:rsidRPr="00653853">
        <w:rPr>
          <w:i/>
          <w:iCs/>
        </w:rPr>
        <w:t>Example</w:t>
      </w:r>
      <w:r w:rsidRPr="00653853">
        <w:t xml:space="preserve">: </w:t>
      </w:r>
      <w:r w:rsidRPr="00653853">
        <w:tab/>
      </w:r>
      <w:r w:rsidR="0038029C" w:rsidRPr="00653853">
        <w:t>If:</w:t>
      </w:r>
    </w:p>
    <w:p w14:paraId="5C240DB7" w14:textId="4195404F" w:rsidR="0038029C" w:rsidRPr="00653853" w:rsidRDefault="0005190D" w:rsidP="0097156D">
      <w:pPr>
        <w:pStyle w:val="Heading4"/>
        <w:numPr>
          <w:ilvl w:val="0"/>
          <w:numId w:val="20"/>
        </w:numPr>
        <w:ind w:left="2628"/>
      </w:pPr>
      <w:r w:rsidRPr="00653853">
        <w:t>t</w:t>
      </w:r>
      <w:r w:rsidR="005A0CBE" w:rsidRPr="00653853">
        <w:t xml:space="preserve">he CSO Wholesale Funding Pool </w:t>
      </w:r>
      <w:r w:rsidR="00AE755A" w:rsidRPr="00653853">
        <w:t xml:space="preserve">allocated to </w:t>
      </w:r>
      <w:r w:rsidR="0020095E" w:rsidRPr="00653853">
        <w:t xml:space="preserve">Eligible </w:t>
      </w:r>
      <w:r w:rsidR="00AE755A" w:rsidRPr="00653853">
        <w:t xml:space="preserve">National Pharmaceutical Wholesalers </w:t>
      </w:r>
      <w:r w:rsidR="00281AE9" w:rsidRPr="00653853">
        <w:t xml:space="preserve">was </w:t>
      </w:r>
      <w:r w:rsidR="005A0CBE" w:rsidRPr="00653853">
        <w:t>$</w:t>
      </w:r>
      <w:r w:rsidR="00CF5832" w:rsidRPr="00653853">
        <w:t>18</w:t>
      </w:r>
      <w:r w:rsidR="0038029C" w:rsidRPr="00653853">
        <w:t>0</w:t>
      </w:r>
      <w:r w:rsidR="005A0CBE" w:rsidRPr="00653853">
        <w:t xml:space="preserve"> million</w:t>
      </w:r>
      <w:r w:rsidR="008C6E39" w:rsidRPr="00653853">
        <w:t xml:space="preserve"> </w:t>
      </w:r>
      <w:r w:rsidR="006849B9" w:rsidRPr="00653853">
        <w:t xml:space="preserve">for the relevant </w:t>
      </w:r>
      <w:r w:rsidR="00281AE9" w:rsidRPr="00653853">
        <w:t xml:space="preserve">financial </w:t>
      </w:r>
      <w:r w:rsidR="006849B9" w:rsidRPr="00653853">
        <w:t>year</w:t>
      </w:r>
      <w:r w:rsidR="0038029C" w:rsidRPr="00653853">
        <w:t>;</w:t>
      </w:r>
      <w:r w:rsidR="005A0CBE" w:rsidRPr="00653853">
        <w:t xml:space="preserve"> and</w:t>
      </w:r>
      <w:r w:rsidR="00A25A41" w:rsidRPr="00653853">
        <w:t xml:space="preserve"> </w:t>
      </w:r>
    </w:p>
    <w:p w14:paraId="3AD93201" w14:textId="15D0F1F7" w:rsidR="005A0CBE" w:rsidRPr="00653853" w:rsidRDefault="00A25A41" w:rsidP="0097156D">
      <w:pPr>
        <w:pStyle w:val="Heading4"/>
        <w:numPr>
          <w:ilvl w:val="0"/>
          <w:numId w:val="20"/>
        </w:numPr>
        <w:ind w:left="2628"/>
      </w:pPr>
      <w:r w:rsidRPr="00653853">
        <w:t>in September,</w:t>
      </w:r>
      <w:r w:rsidR="005A0CBE" w:rsidRPr="00653853">
        <w:t xml:space="preserve"> </w:t>
      </w:r>
      <w:r w:rsidR="0020095E" w:rsidRPr="00653853">
        <w:t xml:space="preserve">Eligible </w:t>
      </w:r>
      <w:r w:rsidR="005A0CBE" w:rsidRPr="00653853">
        <w:t xml:space="preserve">National Pharmaceutical Wholesale </w:t>
      </w:r>
      <w:r w:rsidR="0038029C" w:rsidRPr="00653853">
        <w:t xml:space="preserve">ABC </w:t>
      </w:r>
      <w:r w:rsidR="005A0CBE" w:rsidRPr="00653853">
        <w:t xml:space="preserve">supplied </w:t>
      </w:r>
      <w:r w:rsidR="0038029C" w:rsidRPr="00653853">
        <w:t xml:space="preserve">10% </w:t>
      </w:r>
      <w:r w:rsidR="00F7577B">
        <w:t xml:space="preserve">(by volume) </w:t>
      </w:r>
      <w:r w:rsidR="005A0CBE" w:rsidRPr="00653853">
        <w:t>of all Pharmaceutical Benefits supplied by</w:t>
      </w:r>
      <w:r w:rsidRPr="00653853">
        <w:t xml:space="preserve"> all</w:t>
      </w:r>
      <w:r w:rsidR="005A0CBE" w:rsidRPr="00653853">
        <w:t xml:space="preserve"> </w:t>
      </w:r>
      <w:r w:rsidR="0020095E" w:rsidRPr="00653853">
        <w:t xml:space="preserve">Eligible </w:t>
      </w:r>
      <w:r w:rsidR="008C6E39" w:rsidRPr="00653853">
        <w:t xml:space="preserve">National </w:t>
      </w:r>
      <w:r w:rsidR="005A0CBE" w:rsidRPr="00653853">
        <w:t>Pharmaceutical Wholesalers</w:t>
      </w:r>
      <w:r w:rsidR="0038029C" w:rsidRPr="00653853">
        <w:t xml:space="preserve"> in that month,</w:t>
      </w:r>
    </w:p>
    <w:p w14:paraId="3F06B058" w14:textId="549134B6" w:rsidR="006849B9" w:rsidRPr="00653853" w:rsidRDefault="0038029C" w:rsidP="004503F0">
      <w:pPr>
        <w:pStyle w:val="Heading4"/>
        <w:numPr>
          <w:ilvl w:val="0"/>
          <w:numId w:val="0"/>
        </w:numPr>
        <w:ind w:left="2268"/>
      </w:pPr>
      <w:r w:rsidRPr="00653853">
        <w:lastRenderedPageBreak/>
        <w:t xml:space="preserve">then ABC would </w:t>
      </w:r>
      <w:r w:rsidR="005A0CBE" w:rsidRPr="00653853">
        <w:t xml:space="preserve">be entitled to </w:t>
      </w:r>
      <w:r w:rsidR="00A25A41" w:rsidRPr="00653853">
        <w:t xml:space="preserve">a </w:t>
      </w:r>
      <w:r w:rsidR="005A0CBE" w:rsidRPr="00653853">
        <w:t xml:space="preserve">payment of </w:t>
      </w:r>
      <w:r w:rsidR="006849B9" w:rsidRPr="00653853">
        <w:t>$</w:t>
      </w:r>
      <w:r w:rsidRPr="00653853">
        <w:t>180</w:t>
      </w:r>
      <w:r w:rsidR="006849B9" w:rsidRPr="00653853">
        <w:t xml:space="preserve">M </w:t>
      </w:r>
      <w:r w:rsidR="006849B9" w:rsidRPr="00653853">
        <w:rPr>
          <w:rFonts w:cs="Arial"/>
        </w:rPr>
        <w:t>÷</w:t>
      </w:r>
      <w:r w:rsidR="006849B9" w:rsidRPr="00653853">
        <w:t xml:space="preserve"> 12 x 10% = </w:t>
      </w:r>
      <w:r w:rsidRPr="00653853">
        <w:t>$1.5M</w:t>
      </w:r>
      <w:r w:rsidR="004503F0" w:rsidRPr="00653853">
        <w:t xml:space="preserve"> (subject to </w:t>
      </w:r>
      <w:r w:rsidR="00586603">
        <w:t>clause</w:t>
      </w:r>
      <w:r w:rsidR="00586603" w:rsidRPr="00653853">
        <w:t xml:space="preserve"> </w:t>
      </w:r>
      <w:r w:rsidR="004503F0" w:rsidRPr="00653853">
        <w:fldChar w:fldCharType="begin"/>
      </w:r>
      <w:r w:rsidR="004503F0" w:rsidRPr="00653853">
        <w:instrText xml:space="preserve"> REF _Ref184202258 \w \h </w:instrText>
      </w:r>
      <w:r w:rsidR="00653853">
        <w:instrText xml:space="preserve"> \* MERGEFORMAT </w:instrText>
      </w:r>
      <w:r w:rsidR="004503F0" w:rsidRPr="00653853">
        <w:fldChar w:fldCharType="separate"/>
      </w:r>
      <w:r w:rsidR="005C0514">
        <w:t>3.2.2(b)</w:t>
      </w:r>
      <w:r w:rsidR="004503F0" w:rsidRPr="00653853">
        <w:fldChar w:fldCharType="end"/>
      </w:r>
      <w:r w:rsidR="004503F0" w:rsidRPr="00653853">
        <w:t>)</w:t>
      </w:r>
      <w:r w:rsidRPr="00653853">
        <w:t>.</w:t>
      </w:r>
    </w:p>
    <w:p w14:paraId="144C8FFA" w14:textId="5722578B" w:rsidR="00B829B8" w:rsidRPr="00653853" w:rsidRDefault="00B77E54" w:rsidP="004503F0">
      <w:pPr>
        <w:pStyle w:val="Heading4"/>
        <w:keepNext/>
      </w:pPr>
      <w:bookmarkStart w:id="174" w:name="_Ref184202258"/>
      <w:bookmarkStart w:id="175" w:name="_Ref183429245"/>
      <w:r w:rsidRPr="00653853">
        <w:t xml:space="preserve">The amount </w:t>
      </w:r>
      <w:r w:rsidR="00B829B8" w:rsidRPr="00653853">
        <w:t xml:space="preserve">payable to </w:t>
      </w:r>
      <w:r w:rsidR="0020095E" w:rsidRPr="00653853">
        <w:t xml:space="preserve">Eligible </w:t>
      </w:r>
      <w:r w:rsidR="00B829B8" w:rsidRPr="00653853">
        <w:t>National Pharmaceutical Wholesalers under clause</w:t>
      </w:r>
      <w:r w:rsidR="0038029C" w:rsidRPr="00653853">
        <w:t> </w:t>
      </w:r>
      <w:r w:rsidR="00B829B8" w:rsidRPr="00653853">
        <w:fldChar w:fldCharType="begin"/>
      </w:r>
      <w:r w:rsidR="00B829B8" w:rsidRPr="00653853">
        <w:instrText xml:space="preserve"> REF _Ref183429913 \w \h  \* MERGEFORMAT </w:instrText>
      </w:r>
      <w:r w:rsidR="00B829B8" w:rsidRPr="00653853">
        <w:fldChar w:fldCharType="separate"/>
      </w:r>
      <w:r w:rsidR="005C0514">
        <w:t>3.2.2(a)</w:t>
      </w:r>
      <w:r w:rsidR="00B829B8" w:rsidRPr="00653853">
        <w:fldChar w:fldCharType="end"/>
      </w:r>
      <w:r w:rsidR="00B829B8" w:rsidRPr="00653853">
        <w:t xml:space="preserve"> may, from time to time, as notified by the Department to </w:t>
      </w:r>
      <w:r w:rsidR="0038029C" w:rsidRPr="00653853">
        <w:t xml:space="preserve">the relevant </w:t>
      </w:r>
      <w:r w:rsidR="0020095E" w:rsidRPr="00653853">
        <w:t xml:space="preserve">Eligible </w:t>
      </w:r>
      <w:r w:rsidR="00B829B8" w:rsidRPr="00653853">
        <w:t>National Pharmaceutical Wholesalers:</w:t>
      </w:r>
      <w:bookmarkEnd w:id="174"/>
    </w:p>
    <w:p w14:paraId="6C3AE936" w14:textId="440BC510" w:rsidR="00B829B8" w:rsidRPr="00653853" w:rsidRDefault="00B829B8" w:rsidP="00B829B8">
      <w:pPr>
        <w:pStyle w:val="Heading5"/>
      </w:pPr>
      <w:r w:rsidRPr="00653853">
        <w:t xml:space="preserve">reduce </w:t>
      </w:r>
      <w:proofErr w:type="gramStart"/>
      <w:r w:rsidRPr="00653853">
        <w:t>as a result of</w:t>
      </w:r>
      <w:proofErr w:type="gramEnd"/>
      <w:r w:rsidRPr="00653853">
        <w:t xml:space="preserve"> the application of</w:t>
      </w:r>
      <w:r w:rsidR="00A25A41" w:rsidRPr="00653853">
        <w:t xml:space="preserve"> one or more</w:t>
      </w:r>
      <w:r w:rsidRPr="00653853">
        <w:t xml:space="preserve"> financial sanctions imposed on</w:t>
      </w:r>
      <w:r w:rsidR="0020095E" w:rsidRPr="00653853">
        <w:t xml:space="preserve"> Eligible</w:t>
      </w:r>
      <w:r w:rsidRPr="00653853">
        <w:t xml:space="preserve"> National Pharmaceutical Wholesaler</w:t>
      </w:r>
      <w:r w:rsidR="0038029C" w:rsidRPr="00653853">
        <w:t>s</w:t>
      </w:r>
      <w:r w:rsidRPr="00653853">
        <w:t xml:space="preserve"> in accordance with the Operational Guidelines; and </w:t>
      </w:r>
    </w:p>
    <w:p w14:paraId="60C9C1F1" w14:textId="10A72727" w:rsidR="00B829B8" w:rsidRPr="00653853" w:rsidRDefault="00B829B8" w:rsidP="001A7ADE">
      <w:pPr>
        <w:pStyle w:val="Heading5"/>
      </w:pPr>
      <w:r w:rsidRPr="00653853">
        <w:t xml:space="preserve">increase, if the amount of the CSO Wholesale Funding Pool allocated to </w:t>
      </w:r>
      <w:r w:rsidR="0020095E" w:rsidRPr="00653853">
        <w:t xml:space="preserve">Eligible </w:t>
      </w:r>
      <w:r w:rsidRPr="00653853">
        <w:t>State</w:t>
      </w:r>
      <w:r w:rsidR="00736B41" w:rsidRPr="00653853">
        <w:t xml:space="preserve"> </w:t>
      </w:r>
      <w:r w:rsidRPr="00653853">
        <w:t xml:space="preserve">Pharmaceutical Wholesalers is not exhausted, and remaining funds from that amount are reallocated to the portion of the CSO Wholesale Funding Pool allocated to </w:t>
      </w:r>
      <w:r w:rsidR="0020095E" w:rsidRPr="00653853">
        <w:t xml:space="preserve">Eligible </w:t>
      </w:r>
      <w:r w:rsidRPr="00653853">
        <w:t>National Pharmaceutical Wholesalers.</w:t>
      </w:r>
    </w:p>
    <w:bookmarkEnd w:id="175"/>
    <w:p w14:paraId="101E246C" w14:textId="174D9FF6" w:rsidR="003A7F30" w:rsidRPr="00653853" w:rsidRDefault="00804510" w:rsidP="003D1A5B">
      <w:pPr>
        <w:pStyle w:val="Heading3"/>
        <w:keepNext/>
        <w:spacing w:after="120"/>
        <w:ind w:left="1707" w:hanging="839"/>
      </w:pPr>
      <w:r w:rsidRPr="00653853">
        <w:t xml:space="preserve">Subject to clause </w:t>
      </w:r>
      <w:r w:rsidRPr="00653853">
        <w:fldChar w:fldCharType="begin"/>
      </w:r>
      <w:r w:rsidRPr="00653853">
        <w:instrText xml:space="preserve"> REF _Ref184307787 \r \h </w:instrText>
      </w:r>
      <w:r w:rsidR="00653853">
        <w:instrText xml:space="preserve"> \* MERGEFORMAT </w:instrText>
      </w:r>
      <w:r w:rsidRPr="00653853">
        <w:fldChar w:fldCharType="separate"/>
      </w:r>
      <w:r w:rsidR="005C0514">
        <w:t>3.2.4</w:t>
      </w:r>
      <w:r w:rsidRPr="00653853">
        <w:fldChar w:fldCharType="end"/>
      </w:r>
      <w:r w:rsidRPr="00653853">
        <w:t xml:space="preserve">, </w:t>
      </w:r>
      <w:r w:rsidR="003A7F30" w:rsidRPr="00653853">
        <w:t xml:space="preserve">CSO payments will be made to </w:t>
      </w:r>
      <w:r w:rsidR="0020095E" w:rsidRPr="00653853">
        <w:t>E</w:t>
      </w:r>
      <w:r w:rsidR="003A7F30" w:rsidRPr="00653853">
        <w:t xml:space="preserve">ligible </w:t>
      </w:r>
      <w:r w:rsidR="00736B41" w:rsidRPr="00653853">
        <w:t>S</w:t>
      </w:r>
      <w:r w:rsidR="003A7F30" w:rsidRPr="00653853">
        <w:t>tate Pharmaceutical Wholesalers</w:t>
      </w:r>
      <w:r w:rsidR="001A7ADE" w:rsidRPr="00653853">
        <w:t xml:space="preserve"> out of the </w:t>
      </w:r>
      <w:r w:rsidR="007473F1" w:rsidRPr="00653853">
        <w:t xml:space="preserve">portion of the </w:t>
      </w:r>
      <w:r w:rsidR="001A7ADE" w:rsidRPr="00653853">
        <w:t xml:space="preserve">CSO Wholesale Funding Pool allocated to </w:t>
      </w:r>
      <w:r w:rsidR="0020095E" w:rsidRPr="00653853">
        <w:t xml:space="preserve">Eligible </w:t>
      </w:r>
      <w:r w:rsidR="001A7ADE" w:rsidRPr="00653853">
        <w:t xml:space="preserve">State Pharmaceutical Wholesalers </w:t>
      </w:r>
      <w:r w:rsidR="00883471" w:rsidRPr="00653853">
        <w:t>as follows</w:t>
      </w:r>
      <w:r w:rsidR="00A23433" w:rsidRPr="00653853">
        <w:t>:</w:t>
      </w:r>
    </w:p>
    <w:p w14:paraId="7023A24F" w14:textId="44E0315F" w:rsidR="00883471" w:rsidRPr="00653853" w:rsidRDefault="00883471" w:rsidP="00883471">
      <w:pPr>
        <w:pStyle w:val="Heading4"/>
      </w:pPr>
      <w:bookmarkStart w:id="176" w:name="_Ref183434823"/>
      <w:r w:rsidRPr="00653853">
        <w:t>A percentage of the</w:t>
      </w:r>
      <w:r w:rsidR="00F7577B">
        <w:t xml:space="preserve"> total</w:t>
      </w:r>
      <w:r w:rsidRPr="00653853">
        <w:t xml:space="preserve"> CSO Wholesale Funding Pool </w:t>
      </w:r>
      <w:r w:rsidR="00F7577B">
        <w:t xml:space="preserve">available to </w:t>
      </w:r>
      <w:r w:rsidR="00F7577B" w:rsidRPr="00653853">
        <w:t xml:space="preserve">Eligible State Pharmaceutical Wholesalers </w:t>
      </w:r>
      <w:r w:rsidRPr="00653853">
        <w:t xml:space="preserve">will be allocated to each State or Territory. This </w:t>
      </w:r>
      <w:r w:rsidR="00F7577B">
        <w:t xml:space="preserve">percentage </w:t>
      </w:r>
      <w:r w:rsidRPr="00653853">
        <w:t xml:space="preserve">will be equal to the volume of Pharmaceutical Benefits supplied by </w:t>
      </w:r>
      <w:r w:rsidR="0020095E" w:rsidRPr="00653853">
        <w:t xml:space="preserve">Eligible </w:t>
      </w:r>
      <w:r w:rsidRPr="00653853">
        <w:t xml:space="preserve">State Pharmaceutical Wholesalers </w:t>
      </w:r>
      <w:r w:rsidR="004F2E52" w:rsidRPr="00653853">
        <w:t>to Approved Pharmacis</w:t>
      </w:r>
      <w:r w:rsidR="00CF5832" w:rsidRPr="00653853">
        <w:t>ts</w:t>
      </w:r>
      <w:r w:rsidR="004F2E52" w:rsidRPr="00653853">
        <w:t xml:space="preserve"> </w:t>
      </w:r>
      <w:r w:rsidRPr="00653853">
        <w:t>in that State or Territory</w:t>
      </w:r>
      <w:r w:rsidR="00AE755A" w:rsidRPr="00653853">
        <w:t>,</w:t>
      </w:r>
      <w:r w:rsidRPr="00653853">
        <w:t xml:space="preserve"> as a percentage of the volume of Pharmaceutical Benefits supplied by </w:t>
      </w:r>
      <w:r w:rsidR="00902008" w:rsidRPr="00653853">
        <w:t xml:space="preserve">all </w:t>
      </w:r>
      <w:r w:rsidR="0020095E" w:rsidRPr="00653853">
        <w:t xml:space="preserve">Eligible </w:t>
      </w:r>
      <w:r w:rsidRPr="00653853">
        <w:t>State Pharmaceutical Wholesalers</w:t>
      </w:r>
      <w:r w:rsidR="004F2E52" w:rsidRPr="00653853">
        <w:t xml:space="preserve"> to Approved Pharmacists</w:t>
      </w:r>
      <w:r w:rsidRPr="00653853">
        <w:t xml:space="preserve"> nationally.</w:t>
      </w:r>
      <w:bookmarkEnd w:id="176"/>
      <w:r w:rsidRPr="00653853">
        <w:t xml:space="preserve"> </w:t>
      </w:r>
    </w:p>
    <w:p w14:paraId="27569548" w14:textId="3AFA90FB" w:rsidR="00883471" w:rsidRPr="00653853" w:rsidRDefault="00D054EE" w:rsidP="00883471">
      <w:pPr>
        <w:pStyle w:val="Heading4"/>
      </w:pPr>
      <w:bookmarkStart w:id="177" w:name="_Ref184311647"/>
      <w:r w:rsidRPr="00653853">
        <w:t xml:space="preserve">Subject to clause </w:t>
      </w:r>
      <w:r w:rsidR="00F7577B">
        <w:fldChar w:fldCharType="begin"/>
      </w:r>
      <w:r w:rsidR="00F7577B">
        <w:instrText xml:space="preserve"> REF _Ref184202198 \w \h </w:instrText>
      </w:r>
      <w:r w:rsidR="00F7577B">
        <w:fldChar w:fldCharType="separate"/>
      </w:r>
      <w:r w:rsidR="005C0514">
        <w:t>3.2.3(c)</w:t>
      </w:r>
      <w:r w:rsidR="00F7577B">
        <w:fldChar w:fldCharType="end"/>
      </w:r>
      <w:r w:rsidRPr="00653853">
        <w:t>, e</w:t>
      </w:r>
      <w:r w:rsidR="00883471" w:rsidRPr="00653853">
        <w:t xml:space="preserve">ach </w:t>
      </w:r>
      <w:r w:rsidR="0020095E" w:rsidRPr="00653853">
        <w:t xml:space="preserve">Eligible </w:t>
      </w:r>
      <w:r w:rsidR="00883471" w:rsidRPr="00653853">
        <w:t>State Pharmaceutical Wholesaler</w:t>
      </w:r>
      <w:r w:rsidR="00AE755A" w:rsidRPr="00653853">
        <w:t xml:space="preserve"> in a State or Territory</w:t>
      </w:r>
      <w:r w:rsidR="00883471" w:rsidRPr="00653853">
        <w:t xml:space="preserve"> will then receive a percentage of the funding </w:t>
      </w:r>
      <w:r w:rsidR="00AE755A" w:rsidRPr="00653853">
        <w:t>allocated</w:t>
      </w:r>
      <w:r w:rsidR="00883471" w:rsidRPr="00653853">
        <w:t xml:space="preserve"> </w:t>
      </w:r>
      <w:r w:rsidR="00F7577B">
        <w:t xml:space="preserve">to that State </w:t>
      </w:r>
      <w:r w:rsidR="003D1A5B">
        <w:t xml:space="preserve">or Territory </w:t>
      </w:r>
      <w:r w:rsidR="00883471" w:rsidRPr="00653853">
        <w:t xml:space="preserve">under clause </w:t>
      </w:r>
      <w:r w:rsidR="00883471" w:rsidRPr="00653853">
        <w:fldChar w:fldCharType="begin"/>
      </w:r>
      <w:r w:rsidR="00883471" w:rsidRPr="00653853">
        <w:instrText xml:space="preserve"> REF _Ref183434823 \w \h </w:instrText>
      </w:r>
      <w:r w:rsidR="008C6E39" w:rsidRPr="00653853">
        <w:instrText xml:space="preserve"> \* MERGEFORMAT </w:instrText>
      </w:r>
      <w:r w:rsidR="00883471" w:rsidRPr="00653853">
        <w:fldChar w:fldCharType="separate"/>
      </w:r>
      <w:r w:rsidR="005C0514">
        <w:t>3.2.3(a)</w:t>
      </w:r>
      <w:r w:rsidR="00883471" w:rsidRPr="00653853">
        <w:fldChar w:fldCharType="end"/>
      </w:r>
      <w:r w:rsidR="00902008" w:rsidRPr="00653853">
        <w:t>,</w:t>
      </w:r>
      <w:r w:rsidR="00883471" w:rsidRPr="00653853">
        <w:t xml:space="preserve"> equal to the volume of Pharmaceutical Benefits supplied by that </w:t>
      </w:r>
      <w:r w:rsidR="0020095E" w:rsidRPr="00653853">
        <w:t xml:space="preserve">Eligible </w:t>
      </w:r>
      <w:r w:rsidR="00883471" w:rsidRPr="00653853">
        <w:t xml:space="preserve">State Pharmaceutical Wholesaler to </w:t>
      </w:r>
      <w:r w:rsidR="004F2E52" w:rsidRPr="00653853">
        <w:t>Approved Pharmacists</w:t>
      </w:r>
      <w:r w:rsidR="00AE755A" w:rsidRPr="00653853">
        <w:t>,</w:t>
      </w:r>
      <w:r w:rsidR="00883471" w:rsidRPr="00653853">
        <w:t xml:space="preserve"> as a percentage of</w:t>
      </w:r>
      <w:r w:rsidR="00183149" w:rsidRPr="00653853">
        <w:t xml:space="preserve"> the total volume of</w:t>
      </w:r>
      <w:r w:rsidR="00883471" w:rsidRPr="00653853">
        <w:t xml:space="preserve"> Pharmaceutical Benefits supplied by all </w:t>
      </w:r>
      <w:r w:rsidR="0020095E" w:rsidRPr="00653853">
        <w:t xml:space="preserve">Eligible </w:t>
      </w:r>
      <w:r w:rsidR="00883471" w:rsidRPr="00653853">
        <w:t xml:space="preserve">State Pharmaceutical Wholesalers </w:t>
      </w:r>
      <w:r w:rsidR="004F2E52" w:rsidRPr="00653853">
        <w:t xml:space="preserve">to Approved Pharmacists </w:t>
      </w:r>
      <w:r w:rsidR="00883471" w:rsidRPr="00653853">
        <w:t>in that same State or Territory.</w:t>
      </w:r>
      <w:bookmarkEnd w:id="177"/>
      <w:r w:rsidR="00883471" w:rsidRPr="00653853">
        <w:t xml:space="preserve">  </w:t>
      </w:r>
    </w:p>
    <w:p w14:paraId="75082840" w14:textId="77777777" w:rsidR="0005190D" w:rsidRPr="00653853" w:rsidRDefault="008C6E39" w:rsidP="006D0DE4">
      <w:pPr>
        <w:pStyle w:val="Heading4"/>
        <w:keepNext/>
        <w:numPr>
          <w:ilvl w:val="0"/>
          <w:numId w:val="0"/>
        </w:numPr>
        <w:ind w:left="3259" w:hanging="991"/>
      </w:pPr>
      <w:r w:rsidRPr="00653853">
        <w:rPr>
          <w:i/>
          <w:iCs/>
        </w:rPr>
        <w:t>Example</w:t>
      </w:r>
      <w:r w:rsidRPr="00653853">
        <w:t>:</w:t>
      </w:r>
      <w:r w:rsidR="0005190D" w:rsidRPr="00653853">
        <w:tab/>
        <w:t>If:</w:t>
      </w:r>
    </w:p>
    <w:p w14:paraId="7B478BBA" w14:textId="67D2F422" w:rsidR="008C6E39" w:rsidRPr="00653853" w:rsidRDefault="0005190D" w:rsidP="0097156D">
      <w:pPr>
        <w:pStyle w:val="Heading4"/>
        <w:numPr>
          <w:ilvl w:val="0"/>
          <w:numId w:val="20"/>
        </w:numPr>
        <w:ind w:left="2628"/>
      </w:pPr>
      <w:r w:rsidRPr="00653853">
        <w:t xml:space="preserve">the CSO Wholesale Funding Pool allocated to </w:t>
      </w:r>
      <w:r w:rsidR="0020095E" w:rsidRPr="00653853">
        <w:t xml:space="preserve">Eligible </w:t>
      </w:r>
      <w:r w:rsidRPr="00653853">
        <w:t xml:space="preserve">State Pharmaceutical Wholesalers was </w:t>
      </w:r>
      <w:r w:rsidR="008C6E39" w:rsidRPr="00653853">
        <w:t>$1</w:t>
      </w:r>
      <w:r w:rsidRPr="00653853">
        <w:t>8</w:t>
      </w:r>
      <w:r w:rsidR="008C6E39" w:rsidRPr="00653853">
        <w:t xml:space="preserve"> million </w:t>
      </w:r>
      <w:r w:rsidRPr="00653853">
        <w:t>for the relevant financial year;</w:t>
      </w:r>
    </w:p>
    <w:p w14:paraId="273F2FB3" w14:textId="5B0BCE58" w:rsidR="008C6E39" w:rsidRPr="00653853" w:rsidRDefault="0020095E" w:rsidP="0097156D">
      <w:pPr>
        <w:pStyle w:val="Heading4"/>
        <w:numPr>
          <w:ilvl w:val="0"/>
          <w:numId w:val="20"/>
        </w:numPr>
        <w:ind w:left="2628"/>
      </w:pPr>
      <w:r w:rsidRPr="00653853">
        <w:t xml:space="preserve">Eligible </w:t>
      </w:r>
      <w:r w:rsidR="008C6E39" w:rsidRPr="00653853">
        <w:t xml:space="preserve">State Pharmaceutical Wholesaler </w:t>
      </w:r>
      <w:r w:rsidR="0005190D" w:rsidRPr="00653853">
        <w:t xml:space="preserve">XYZ </w:t>
      </w:r>
      <w:proofErr w:type="gramStart"/>
      <w:r w:rsidR="008C6E39" w:rsidRPr="00653853">
        <w:t>is located in</w:t>
      </w:r>
      <w:proofErr w:type="gramEnd"/>
      <w:r w:rsidR="008C6E39" w:rsidRPr="00653853">
        <w:t xml:space="preserve"> N</w:t>
      </w:r>
      <w:r w:rsidR="0005190D" w:rsidRPr="00653853">
        <w:t>SW;</w:t>
      </w:r>
      <w:r w:rsidR="008C6E39" w:rsidRPr="00653853">
        <w:t xml:space="preserve"> </w:t>
      </w:r>
    </w:p>
    <w:p w14:paraId="1B41C852" w14:textId="379EB928" w:rsidR="008C6E39" w:rsidRPr="00653853" w:rsidRDefault="0005190D" w:rsidP="0097156D">
      <w:pPr>
        <w:pStyle w:val="Heading4"/>
        <w:numPr>
          <w:ilvl w:val="0"/>
          <w:numId w:val="20"/>
        </w:numPr>
        <w:ind w:left="2628"/>
      </w:pPr>
      <w:r w:rsidRPr="00653853">
        <w:t>s</w:t>
      </w:r>
      <w:r w:rsidR="008C6E39" w:rsidRPr="00653853">
        <w:t xml:space="preserve">upply of Pharmaceutical Benefits by </w:t>
      </w:r>
      <w:r w:rsidR="0020095E" w:rsidRPr="00653853">
        <w:t xml:space="preserve">Eligible </w:t>
      </w:r>
      <w:r w:rsidR="008C6E39" w:rsidRPr="00653853">
        <w:t xml:space="preserve">State Pharmaceutical Wholesalers </w:t>
      </w:r>
      <w:r w:rsidR="004F2E52" w:rsidRPr="00653853">
        <w:t xml:space="preserve">to Approved Pharmacists </w:t>
      </w:r>
      <w:r w:rsidR="008C6E39" w:rsidRPr="00653853">
        <w:t>in N</w:t>
      </w:r>
      <w:r w:rsidRPr="00653853">
        <w:t xml:space="preserve">SW </w:t>
      </w:r>
      <w:r w:rsidR="008C6E39" w:rsidRPr="00653853">
        <w:t>accounts for 40</w:t>
      </w:r>
      <w:r w:rsidRPr="00653853">
        <w:t>%</w:t>
      </w:r>
      <w:r w:rsidR="008C6E39" w:rsidRPr="00653853">
        <w:t xml:space="preserve"> </w:t>
      </w:r>
      <w:r w:rsidR="003D1A5B">
        <w:t xml:space="preserve">(by volume) </w:t>
      </w:r>
      <w:r w:rsidR="008C6E39" w:rsidRPr="00653853">
        <w:t xml:space="preserve">of the supply of Pharmaceutical Benefits by </w:t>
      </w:r>
      <w:r w:rsidR="0020095E" w:rsidRPr="00653853">
        <w:t xml:space="preserve">Eligible </w:t>
      </w:r>
      <w:r w:rsidR="008C6E39" w:rsidRPr="00653853">
        <w:t xml:space="preserve">State Pharmaceutical Wholesalers </w:t>
      </w:r>
      <w:r w:rsidR="004F2E52" w:rsidRPr="00653853">
        <w:t xml:space="preserve">to Approved Pharmacists </w:t>
      </w:r>
      <w:r w:rsidR="008C6E39" w:rsidRPr="00653853">
        <w:t>nationally</w:t>
      </w:r>
      <w:r w:rsidRPr="00653853">
        <w:t>;</w:t>
      </w:r>
      <w:r w:rsidR="008C6E39" w:rsidRPr="00653853">
        <w:t xml:space="preserve"> </w:t>
      </w:r>
    </w:p>
    <w:p w14:paraId="660AE07C" w14:textId="0466749C" w:rsidR="008C6E39" w:rsidRPr="00653853" w:rsidRDefault="0005190D" w:rsidP="0097156D">
      <w:pPr>
        <w:pStyle w:val="Heading4"/>
        <w:numPr>
          <w:ilvl w:val="0"/>
          <w:numId w:val="20"/>
        </w:numPr>
        <w:ind w:left="2628"/>
      </w:pPr>
      <w:r w:rsidRPr="00653853">
        <w:t xml:space="preserve">XYZ </w:t>
      </w:r>
      <w:r w:rsidR="008C6E39" w:rsidRPr="00653853">
        <w:t>supplied 30</w:t>
      </w:r>
      <w:r w:rsidRPr="00653853">
        <w:t xml:space="preserve">% </w:t>
      </w:r>
      <w:r w:rsidR="003D1A5B">
        <w:t xml:space="preserve">(by volume) </w:t>
      </w:r>
      <w:r w:rsidR="008C6E39" w:rsidRPr="00653853">
        <w:t xml:space="preserve">of the Pharmaceutical Benefits supplied by </w:t>
      </w:r>
      <w:r w:rsidR="0020095E" w:rsidRPr="00653853">
        <w:t xml:space="preserve">Eligible </w:t>
      </w:r>
      <w:r w:rsidR="008C6E39" w:rsidRPr="00653853">
        <w:t>State Pharmaceutical Wholesaler</w:t>
      </w:r>
      <w:r w:rsidRPr="00653853">
        <w:t>s</w:t>
      </w:r>
      <w:r w:rsidR="008C6E39" w:rsidRPr="00653853">
        <w:t xml:space="preserve"> </w:t>
      </w:r>
      <w:r w:rsidR="004F2E52" w:rsidRPr="00653853">
        <w:t xml:space="preserve">to Approved Pharmacists </w:t>
      </w:r>
      <w:r w:rsidR="008C6E39" w:rsidRPr="00653853">
        <w:t>in N</w:t>
      </w:r>
      <w:r w:rsidRPr="00653853">
        <w:t>SW,</w:t>
      </w:r>
    </w:p>
    <w:p w14:paraId="6518ABBA" w14:textId="321FBB28" w:rsidR="0020095E" w:rsidRPr="00653853" w:rsidRDefault="0005190D" w:rsidP="00D054EE">
      <w:pPr>
        <w:spacing w:before="240"/>
        <w:ind w:left="2268"/>
      </w:pPr>
      <w:r w:rsidRPr="00653853">
        <w:t xml:space="preserve">then XYZ </w:t>
      </w:r>
      <w:r w:rsidR="008C6E39" w:rsidRPr="00653853">
        <w:t xml:space="preserve">would be entitled to a monthly payment of </w:t>
      </w:r>
      <w:r w:rsidRPr="00653853">
        <w:t xml:space="preserve">$18M </w:t>
      </w:r>
      <w:r w:rsidRPr="00653853">
        <w:rPr>
          <w:rFonts w:cs="Arial"/>
        </w:rPr>
        <w:t>÷</w:t>
      </w:r>
      <w:r w:rsidRPr="00653853">
        <w:t xml:space="preserve"> 12 x 40% x 30% = </w:t>
      </w:r>
      <w:r w:rsidR="008C6E39" w:rsidRPr="00653853">
        <w:t>$1</w:t>
      </w:r>
      <w:r w:rsidRPr="00653853">
        <w:t>8</w:t>
      </w:r>
      <w:r w:rsidR="008C6E39" w:rsidRPr="00653853">
        <w:t>0,000</w:t>
      </w:r>
      <w:r w:rsidR="004503F0" w:rsidRPr="00653853">
        <w:t xml:space="preserve"> (subject to paragraph </w:t>
      </w:r>
      <w:r w:rsidR="004503F0" w:rsidRPr="00653853">
        <w:fldChar w:fldCharType="begin"/>
      </w:r>
      <w:r w:rsidR="004503F0" w:rsidRPr="00653853">
        <w:instrText xml:space="preserve"> REF _Ref184202198 \w \h </w:instrText>
      </w:r>
      <w:r w:rsidR="00653853">
        <w:instrText xml:space="preserve"> \* MERGEFORMAT </w:instrText>
      </w:r>
      <w:r w:rsidR="004503F0" w:rsidRPr="00653853">
        <w:fldChar w:fldCharType="separate"/>
      </w:r>
      <w:r w:rsidR="005C0514">
        <w:t>3.2.3(c)</w:t>
      </w:r>
      <w:r w:rsidR="004503F0" w:rsidRPr="00653853">
        <w:fldChar w:fldCharType="end"/>
      </w:r>
      <w:r w:rsidR="00586603">
        <w:t>)</w:t>
      </w:r>
      <w:r w:rsidR="008C6E39" w:rsidRPr="00653853">
        <w:t>.</w:t>
      </w:r>
    </w:p>
    <w:p w14:paraId="3D718B29" w14:textId="619FFC3D" w:rsidR="00D054EE" w:rsidRPr="00653853" w:rsidRDefault="00D054EE" w:rsidP="006D0DE4">
      <w:pPr>
        <w:pStyle w:val="Heading4"/>
        <w:keepNext/>
      </w:pPr>
      <w:bookmarkStart w:id="178" w:name="_Ref184202198"/>
      <w:r w:rsidRPr="00653853">
        <w:t xml:space="preserve">The amount payable to </w:t>
      </w:r>
      <w:r w:rsidR="006D0DE4">
        <w:t xml:space="preserve">one or more </w:t>
      </w:r>
      <w:r w:rsidR="0020095E" w:rsidRPr="00653853">
        <w:t xml:space="preserve">Eligible </w:t>
      </w:r>
      <w:r w:rsidRPr="00653853">
        <w:t>State Pharmaceutical Wholesaler</w:t>
      </w:r>
      <w:r w:rsidR="006D0DE4">
        <w:t>(s)</w:t>
      </w:r>
      <w:r w:rsidRPr="00653853">
        <w:t xml:space="preserve"> under clause</w:t>
      </w:r>
      <w:r w:rsidR="003D1A5B">
        <w:t> </w:t>
      </w:r>
      <w:r w:rsidR="00586603">
        <w:fldChar w:fldCharType="begin"/>
      </w:r>
      <w:r w:rsidR="00586603">
        <w:instrText xml:space="preserve"> REF _Ref184311647 \w \h </w:instrText>
      </w:r>
      <w:r w:rsidR="00586603">
        <w:fldChar w:fldCharType="separate"/>
      </w:r>
      <w:r w:rsidR="00586603">
        <w:t>3.2.3(b)</w:t>
      </w:r>
      <w:r w:rsidR="00586603">
        <w:fldChar w:fldCharType="end"/>
      </w:r>
      <w:r w:rsidRPr="00653853">
        <w:t xml:space="preserve"> may, from time to time, as notified by the Department to the relevant </w:t>
      </w:r>
      <w:r w:rsidR="0020095E" w:rsidRPr="00653853">
        <w:t xml:space="preserve">Eligible </w:t>
      </w:r>
      <w:r w:rsidRPr="00653853">
        <w:t>State Pharmaceutical Wholesaler</w:t>
      </w:r>
      <w:r w:rsidR="006D0DE4">
        <w:t>(</w:t>
      </w:r>
      <w:r w:rsidRPr="00653853">
        <w:t>s</w:t>
      </w:r>
      <w:r w:rsidR="006D0DE4">
        <w:t>)</w:t>
      </w:r>
      <w:r w:rsidRPr="00653853">
        <w:t xml:space="preserve">, reduce as a result of the application of one or more financial sanctions </w:t>
      </w:r>
      <w:r w:rsidRPr="00653853">
        <w:lastRenderedPageBreak/>
        <w:t xml:space="preserve">imposed on </w:t>
      </w:r>
      <w:r w:rsidR="00A87619">
        <w:t xml:space="preserve">that </w:t>
      </w:r>
      <w:r w:rsidR="006D0DE4">
        <w:t xml:space="preserve">or those </w:t>
      </w:r>
      <w:r w:rsidR="0020095E" w:rsidRPr="00653853">
        <w:t xml:space="preserve">Eligible </w:t>
      </w:r>
      <w:r w:rsidRPr="00653853">
        <w:t>State Pharmaceutical Wholesaler</w:t>
      </w:r>
      <w:r w:rsidR="006D0DE4">
        <w:t>(s)</w:t>
      </w:r>
      <w:r w:rsidRPr="00653853">
        <w:t xml:space="preserve"> in accordance with the Operational Guidelines.</w:t>
      </w:r>
      <w:bookmarkEnd w:id="178"/>
    </w:p>
    <w:p w14:paraId="226B995C" w14:textId="6F81D54C" w:rsidR="00804510" w:rsidRDefault="00804510" w:rsidP="006B6918">
      <w:pPr>
        <w:pStyle w:val="Heading3"/>
        <w:ind w:left="1707" w:hanging="839"/>
      </w:pPr>
      <w:bookmarkStart w:id="179" w:name="_Ref184308017"/>
      <w:bookmarkStart w:id="180" w:name="_Ref184307787"/>
      <w:bookmarkStart w:id="181" w:name="_Ref176855674"/>
      <w:r>
        <w:t xml:space="preserve">CSO payments to Eligible State Pharmaceutical Wholesalers will be </w:t>
      </w:r>
      <w:r w:rsidR="00AD513B">
        <w:t xml:space="preserve">subject to a National Cap, to ensure that the </w:t>
      </w:r>
      <w:r w:rsidR="001015AF">
        <w:t xml:space="preserve">amount of the </w:t>
      </w:r>
      <w:r w:rsidR="00AD513B">
        <w:t xml:space="preserve">per-Unit payment to each Eligible State Pharmaceutical Wholesaler does not exceed the </w:t>
      </w:r>
      <w:r w:rsidR="001015AF">
        <w:t xml:space="preserve">amount of the </w:t>
      </w:r>
      <w:r w:rsidR="00AD513B">
        <w:t>per-Unit payment made to each Eligible National Pharmaceutical Wholesaler.</w:t>
      </w:r>
      <w:bookmarkEnd w:id="179"/>
      <w:r w:rsidR="00AD513B">
        <w:t xml:space="preserve"> </w:t>
      </w:r>
    </w:p>
    <w:p w14:paraId="7A9A5684" w14:textId="77777777" w:rsidR="00AD513B" w:rsidRDefault="00AD513B" w:rsidP="006B6918">
      <w:pPr>
        <w:pStyle w:val="Heading3"/>
        <w:ind w:left="1707" w:hanging="839"/>
      </w:pPr>
      <w:bookmarkStart w:id="182" w:name="_Ref184308018"/>
      <w:r>
        <w:t>The</w:t>
      </w:r>
      <w:bookmarkEnd w:id="182"/>
      <w:r>
        <w:t xml:space="preserve"> National Cap will be calculated: </w:t>
      </w:r>
    </w:p>
    <w:p w14:paraId="02F77D72" w14:textId="3A88D446" w:rsidR="00AD513B" w:rsidRDefault="00AD513B" w:rsidP="00AD513B">
      <w:pPr>
        <w:pStyle w:val="Heading4"/>
      </w:pPr>
      <w:r>
        <w:t>monthly, prior to the application of any financial sanctions, or the distribution of any previous financial sanctions; and</w:t>
      </w:r>
    </w:p>
    <w:p w14:paraId="3AF98B06" w14:textId="6B12C2BD" w:rsidR="00AD513B" w:rsidRPr="00BC57E4" w:rsidRDefault="00AD513B" w:rsidP="00AD513B">
      <w:pPr>
        <w:pStyle w:val="Heading4"/>
      </w:pPr>
      <w:r w:rsidRPr="00BC57E4">
        <w:t xml:space="preserve">by dividing the portion of the CSO Wholesale Funding Pool allocated to Eligible National Pharmaceutical Wholesalers in a month by the aggregate number of Units supplied by all Eligible National Pharmaceutical Wholesalers in that same month. </w:t>
      </w:r>
    </w:p>
    <w:p w14:paraId="2BC0FF46" w14:textId="77777777" w:rsidR="00AD513B" w:rsidRPr="00BC57E4" w:rsidRDefault="00AD513B" w:rsidP="00AD513B">
      <w:pPr>
        <w:pStyle w:val="Heading4"/>
        <w:numPr>
          <w:ilvl w:val="0"/>
          <w:numId w:val="0"/>
        </w:numPr>
        <w:ind w:left="3259" w:hanging="991"/>
      </w:pPr>
      <w:r w:rsidRPr="00BC57E4">
        <w:rPr>
          <w:i/>
          <w:iCs/>
        </w:rPr>
        <w:t>Example</w:t>
      </w:r>
      <w:r w:rsidRPr="00BC57E4">
        <w:t>:</w:t>
      </w:r>
      <w:r w:rsidRPr="00BC57E4">
        <w:tab/>
        <w:t>If:</w:t>
      </w:r>
    </w:p>
    <w:p w14:paraId="220C1A9E" w14:textId="49C5B21D" w:rsidR="00BC57E4" w:rsidRPr="00BC57E4" w:rsidRDefault="00BC57E4" w:rsidP="00AD513B">
      <w:pPr>
        <w:pStyle w:val="Heading4"/>
        <w:numPr>
          <w:ilvl w:val="0"/>
          <w:numId w:val="20"/>
        </w:numPr>
        <w:ind w:left="2628"/>
      </w:pPr>
      <w:r w:rsidRPr="00BC57E4">
        <w:t xml:space="preserve">the </w:t>
      </w:r>
      <w:r w:rsidR="00123D89">
        <w:t xml:space="preserve">value </w:t>
      </w:r>
      <w:r w:rsidRPr="00BC57E4">
        <w:t xml:space="preserve">for a particular month of the portion of the CSO Wholesale Funding Pool allocated to Eligible National Pharmaceutical Wholesalers was $15 million; </w:t>
      </w:r>
      <w:r w:rsidR="00123D89">
        <w:t>and</w:t>
      </w:r>
    </w:p>
    <w:p w14:paraId="4B167DB2" w14:textId="4C963025" w:rsidR="00BC57E4" w:rsidRPr="00BC57E4" w:rsidRDefault="00BC57E4" w:rsidP="00AD513B">
      <w:pPr>
        <w:pStyle w:val="Heading4"/>
        <w:numPr>
          <w:ilvl w:val="0"/>
          <w:numId w:val="20"/>
        </w:numPr>
        <w:ind w:left="2628"/>
      </w:pPr>
      <w:r w:rsidRPr="00BC57E4">
        <w:t>collectively, all Eligible National Pharmaceutical Wholesalers sold 25.1 million Units in that month</w:t>
      </w:r>
      <w:r w:rsidR="00123D89">
        <w:t>,</w:t>
      </w:r>
      <w:r w:rsidRPr="00BC57E4">
        <w:t xml:space="preserve"> </w:t>
      </w:r>
    </w:p>
    <w:p w14:paraId="37DC85E2" w14:textId="6FFFAA73" w:rsidR="00BC57E4" w:rsidRPr="00123D89" w:rsidRDefault="00123D89" w:rsidP="00123D89">
      <w:pPr>
        <w:spacing w:before="240"/>
        <w:ind w:left="2268"/>
      </w:pPr>
      <w:r>
        <w:t xml:space="preserve">then </w:t>
      </w:r>
      <w:r w:rsidR="00BC57E4" w:rsidRPr="00BC57E4">
        <w:t>the National Cap for that month</w:t>
      </w:r>
      <w:r>
        <w:t xml:space="preserve"> </w:t>
      </w:r>
      <w:r w:rsidR="00BC57E4" w:rsidRPr="00BC57E4">
        <w:t xml:space="preserve">$15 million </w:t>
      </w:r>
      <w:r w:rsidR="00BC57E4" w:rsidRPr="00123D89">
        <w:rPr>
          <w:rFonts w:cs="Arial"/>
        </w:rPr>
        <w:t>÷ 25.1 million = $0.60.</w:t>
      </w:r>
    </w:p>
    <w:p w14:paraId="59885A09" w14:textId="1B4A072F" w:rsidR="00BC57E4" w:rsidRDefault="00BC57E4" w:rsidP="00BC57E4">
      <w:pPr>
        <w:pStyle w:val="Heading4"/>
        <w:numPr>
          <w:ilvl w:val="0"/>
          <w:numId w:val="0"/>
        </w:numPr>
        <w:ind w:left="2268"/>
      </w:pPr>
      <w:r>
        <w:t xml:space="preserve">If in a month, Eligible State National Pharmaceutical Wholesalers would otherwise be entitled to a CSO payment of </w:t>
      </w:r>
      <w:r w:rsidR="001015AF">
        <w:t xml:space="preserve">an amount greater than </w:t>
      </w:r>
      <w:r>
        <w:t>$0.6</w:t>
      </w:r>
      <w:r w:rsidR="001015AF">
        <w:t>0</w:t>
      </w:r>
      <w:r>
        <w:t xml:space="preserve"> per Unit, </w:t>
      </w:r>
      <w:r w:rsidR="00123D89">
        <w:t xml:space="preserve">then, </w:t>
      </w:r>
      <w:r>
        <w:t xml:space="preserve">with the application of the National Cap, the CSO payment to these Eligible State National Pharmaceutical Wholesalers would be limited to $0.60 per Unit.   </w:t>
      </w:r>
    </w:p>
    <w:p w14:paraId="75510FA8" w14:textId="65950EF4" w:rsidR="008E1E69" w:rsidRDefault="008E1E69" w:rsidP="006D0DE4">
      <w:pPr>
        <w:pStyle w:val="Heading3"/>
        <w:keepNext/>
        <w:ind w:left="1707" w:hanging="839"/>
      </w:pPr>
      <w:bookmarkStart w:id="183" w:name="_Ref184311793"/>
      <w:bookmarkEnd w:id="180"/>
      <w:r>
        <w:t>The parties acknowledge that:</w:t>
      </w:r>
      <w:bookmarkEnd w:id="181"/>
      <w:bookmarkEnd w:id="183"/>
      <w:r>
        <w:t xml:space="preserve"> </w:t>
      </w:r>
    </w:p>
    <w:p w14:paraId="4942950F" w14:textId="404EDA47" w:rsidR="0020095E" w:rsidRPr="00653853" w:rsidRDefault="0020095E" w:rsidP="0020095E">
      <w:pPr>
        <w:pStyle w:val="Heading4"/>
      </w:pPr>
      <w:r w:rsidRPr="00653853">
        <w:t xml:space="preserve">the CSO Payments provide </w:t>
      </w:r>
      <w:r w:rsidR="00123D89">
        <w:t>payments</w:t>
      </w:r>
      <w:r w:rsidRPr="00653853">
        <w:t xml:space="preserve"> to Eligible Pharmaceutical Wholesalers to </w:t>
      </w:r>
      <w:r w:rsidR="00123D89">
        <w:t>assist them to meet</w:t>
      </w:r>
      <w:r w:rsidR="00123D89" w:rsidRPr="00653853">
        <w:t xml:space="preserve"> </w:t>
      </w:r>
      <w:r w:rsidRPr="00653853">
        <w:t xml:space="preserve">operational and maintenance costs associated with meeting the CSO </w:t>
      </w:r>
      <w:r w:rsidR="00037AF9">
        <w:t>Operational Guidelines</w:t>
      </w:r>
      <w:r w:rsidR="00CC30D3">
        <w:t xml:space="preserve">, including the </w:t>
      </w:r>
      <w:r w:rsidR="00CC30D3" w:rsidRPr="00653853">
        <w:t xml:space="preserve">CSO Service Standards and </w:t>
      </w:r>
      <w:r w:rsidRPr="00653853">
        <w:t>Compliance Requirements</w:t>
      </w:r>
      <w:r w:rsidR="004503F0" w:rsidRPr="00653853">
        <w:t>;</w:t>
      </w:r>
    </w:p>
    <w:p w14:paraId="33970AAA" w14:textId="00944D8A" w:rsidR="008E1E69" w:rsidRDefault="008E1E69" w:rsidP="008E1E69">
      <w:pPr>
        <w:pStyle w:val="Heading4"/>
      </w:pPr>
      <w:r>
        <w:t xml:space="preserve">from the Commencement Date: </w:t>
      </w:r>
    </w:p>
    <w:p w14:paraId="1D5A06FF" w14:textId="485EDF4F" w:rsidR="008E1E69" w:rsidRDefault="008E1E69" w:rsidP="008E1E69">
      <w:pPr>
        <w:pStyle w:val="Heading5"/>
      </w:pPr>
      <w:r>
        <w:t>CSO Payments will continue to be made to</w:t>
      </w:r>
      <w:r w:rsidR="0020095E">
        <w:t xml:space="preserve"> Eligible</w:t>
      </w:r>
      <w:r>
        <w:t xml:space="preserve"> Pharmaceutical Wholesalers in accordance with existing </w:t>
      </w:r>
      <w:r w:rsidR="007E1D35">
        <w:t xml:space="preserve">Wholesaler </w:t>
      </w:r>
      <w:proofErr w:type="gramStart"/>
      <w:r w:rsidR="007E1D35">
        <w:t xml:space="preserve">Deeds </w:t>
      </w:r>
      <w:r>
        <w:t>;</w:t>
      </w:r>
      <w:proofErr w:type="gramEnd"/>
      <w:r w:rsidR="008056A0">
        <w:t xml:space="preserve"> and</w:t>
      </w:r>
      <w:r>
        <w:t xml:space="preserve"> </w:t>
      </w:r>
    </w:p>
    <w:p w14:paraId="32D9470E" w14:textId="2A23DF93" w:rsidR="008E1E69" w:rsidRDefault="008E1E69" w:rsidP="008E1E69">
      <w:pPr>
        <w:pStyle w:val="Heading5"/>
      </w:pPr>
      <w:r>
        <w:t>the Commonwealth will take steps</w:t>
      </w:r>
      <w:r w:rsidR="008056A0">
        <w:t xml:space="preserve"> as necessary</w:t>
      </w:r>
      <w:r>
        <w:t xml:space="preserve"> to address any inconsistencies between existing Wholesaler Deeds and this Agreement;</w:t>
      </w:r>
    </w:p>
    <w:p w14:paraId="77DD1EBA" w14:textId="76D7145B" w:rsidR="008056A0" w:rsidRDefault="00ED665A" w:rsidP="008E1E69">
      <w:pPr>
        <w:pStyle w:val="Heading4"/>
      </w:pPr>
      <w:bookmarkStart w:id="184" w:name="_Ref176847844"/>
      <w:r>
        <w:t xml:space="preserve">the Commonwealth </w:t>
      </w:r>
      <w:r w:rsidR="00D532F0">
        <w:t>intends</w:t>
      </w:r>
      <w:r>
        <w:t xml:space="preserve">, </w:t>
      </w:r>
      <w:r w:rsidR="00AE0C8C">
        <w:t xml:space="preserve">as soon as reasonably practicable </w:t>
      </w:r>
      <w:r w:rsidR="008E1E69">
        <w:t>following the Commencement Date</w:t>
      </w:r>
      <w:r w:rsidR="008056A0">
        <w:t>,</w:t>
      </w:r>
      <w:r w:rsidR="00D532F0">
        <w:t xml:space="preserve"> to</w:t>
      </w:r>
      <w:r w:rsidR="00206E74">
        <w:t xml:space="preserve"> </w:t>
      </w:r>
      <w:r>
        <w:t xml:space="preserve">conduct </w:t>
      </w:r>
      <w:r w:rsidR="00EC7210">
        <w:t>an ATM Process</w:t>
      </w:r>
      <w:r w:rsidR="008E1E69">
        <w:t xml:space="preserve"> </w:t>
      </w:r>
      <w:r w:rsidR="008056A0">
        <w:t>to establish new Wholesaler Deeds that will eventually replace the existing Wholesaler Deeds</w:t>
      </w:r>
      <w:r w:rsidR="00EC7210">
        <w:t xml:space="preserve">, as described in clause </w:t>
      </w:r>
      <w:r w:rsidR="00EC7210">
        <w:fldChar w:fldCharType="begin"/>
      </w:r>
      <w:r w:rsidR="00EC7210">
        <w:instrText xml:space="preserve"> REF _Ref184450648 \w \h </w:instrText>
      </w:r>
      <w:r w:rsidR="00EC7210">
        <w:fldChar w:fldCharType="separate"/>
      </w:r>
      <w:r w:rsidR="005C0514">
        <w:t>5</w:t>
      </w:r>
      <w:r w:rsidR="00EC7210">
        <w:fldChar w:fldCharType="end"/>
      </w:r>
      <w:r w:rsidR="00037AF9">
        <w:t xml:space="preserve">. The </w:t>
      </w:r>
      <w:r w:rsidR="00D532F0">
        <w:t xml:space="preserve">Commonwealth intends to prepare the </w:t>
      </w:r>
      <w:r w:rsidR="00037AF9">
        <w:t>new Wholesaler Deeds in a way that is consistent with the relevant provisions of this Agreement</w:t>
      </w:r>
      <w:r w:rsidR="00D532F0">
        <w:t>,</w:t>
      </w:r>
      <w:r w:rsidR="0056602C">
        <w:t xml:space="preserve"> including the term of this Agreement</w:t>
      </w:r>
      <w:r w:rsidR="008056A0">
        <w:t>; and</w:t>
      </w:r>
      <w:bookmarkEnd w:id="184"/>
      <w:r w:rsidR="008056A0">
        <w:t xml:space="preserve"> </w:t>
      </w:r>
    </w:p>
    <w:p w14:paraId="4A0C2531" w14:textId="6A206389" w:rsidR="008E1E69" w:rsidRDefault="008056A0" w:rsidP="008E1E69">
      <w:pPr>
        <w:pStyle w:val="Heading4"/>
      </w:pPr>
      <w:r>
        <w:t xml:space="preserve">following the establishment of new Wholesaler Deeds as contemplated by clause </w:t>
      </w:r>
      <w:r>
        <w:fldChar w:fldCharType="begin"/>
      </w:r>
      <w:r>
        <w:instrText xml:space="preserve"> REF _Ref176847844 \w \h </w:instrText>
      </w:r>
      <w:r>
        <w:fldChar w:fldCharType="separate"/>
      </w:r>
      <w:r w:rsidR="005C0514">
        <w:t>3.2.6(c)</w:t>
      </w:r>
      <w:r>
        <w:fldChar w:fldCharType="end"/>
      </w:r>
      <w:r>
        <w:t xml:space="preserve">, CSO Payments will be made to </w:t>
      </w:r>
      <w:r w:rsidR="0020095E">
        <w:t xml:space="preserve">Eligible </w:t>
      </w:r>
      <w:r>
        <w:t xml:space="preserve">Pharmaceutical Wholesalers in accordance with the terms of those new Wholesaler Deeds.  </w:t>
      </w:r>
      <w:r w:rsidR="008E1E69">
        <w:t xml:space="preserve"> </w:t>
      </w:r>
    </w:p>
    <w:p w14:paraId="012C8A39" w14:textId="75CC7DC1" w:rsidR="0008475F" w:rsidRDefault="0008475F" w:rsidP="0008475F">
      <w:pPr>
        <w:pStyle w:val="Heading2"/>
      </w:pPr>
      <w:r>
        <w:lastRenderedPageBreak/>
        <w:t xml:space="preserve">NDSS Payments </w:t>
      </w:r>
    </w:p>
    <w:p w14:paraId="7BEC4E27" w14:textId="5140B474" w:rsidR="0008475F" w:rsidRDefault="0008475F" w:rsidP="0008475F">
      <w:pPr>
        <w:pStyle w:val="Heading3"/>
        <w:ind w:left="1707" w:hanging="839"/>
      </w:pPr>
      <w:bookmarkStart w:id="185" w:name="_Ref184307088"/>
      <w:r>
        <w:t xml:space="preserve">Under this Agreement, the Commonwealth will continue </w:t>
      </w:r>
      <w:r w:rsidR="00123D89">
        <w:t>providing payments to support</w:t>
      </w:r>
      <w:r>
        <w:t xml:space="preserve"> the distribution of products made available under the National Diabetes Services Scheme (</w:t>
      </w:r>
      <w:r w:rsidRPr="00945AED">
        <w:rPr>
          <w:b/>
          <w:bCs/>
        </w:rPr>
        <w:t>NDSS</w:t>
      </w:r>
      <w:r>
        <w:t>) until 1 July 2026.</w:t>
      </w:r>
      <w:bookmarkEnd w:id="185"/>
      <w:r>
        <w:t xml:space="preserve"> </w:t>
      </w:r>
    </w:p>
    <w:p w14:paraId="337F30FE" w14:textId="010CCCA4" w:rsidR="0008475F" w:rsidRDefault="0008475F" w:rsidP="0008475F">
      <w:pPr>
        <w:pStyle w:val="Heading3"/>
        <w:ind w:left="1707" w:hanging="839"/>
      </w:pPr>
      <w:bookmarkStart w:id="186" w:name="_Ref184307378"/>
      <w:r>
        <w:t xml:space="preserve">Eligible Pharmaceutical Wholesalers will be entitled to a </w:t>
      </w:r>
      <w:r w:rsidR="00123D89">
        <w:t xml:space="preserve">payment of </w:t>
      </w:r>
      <w:r>
        <w:t xml:space="preserve">$1 per </w:t>
      </w:r>
      <w:r w:rsidR="00945AED">
        <w:t xml:space="preserve">Unit </w:t>
      </w:r>
      <w:r>
        <w:t xml:space="preserve">for each NDSS product </w:t>
      </w:r>
      <w:r w:rsidR="00804510">
        <w:t xml:space="preserve">that </w:t>
      </w:r>
      <w:r>
        <w:t>they supply through the CSO arrangements. Such payments will be made to Eligible Pharmaceutical Wholesalers in accordance</w:t>
      </w:r>
      <w:r w:rsidR="00804510">
        <w:t xml:space="preserve"> with the terms of </w:t>
      </w:r>
      <w:r w:rsidR="00945AED">
        <w:t xml:space="preserve">the </w:t>
      </w:r>
      <w:r w:rsidR="00804510">
        <w:t>applicable</w:t>
      </w:r>
      <w:r>
        <w:t xml:space="preserve"> </w:t>
      </w:r>
      <w:r w:rsidR="00804510">
        <w:t>Wholesaler Deeds</w:t>
      </w:r>
      <w:r>
        <w:t>.</w:t>
      </w:r>
      <w:bookmarkEnd w:id="186"/>
    </w:p>
    <w:p w14:paraId="237945F3" w14:textId="77777777" w:rsidR="00804510" w:rsidRDefault="0008475F" w:rsidP="00945AED">
      <w:pPr>
        <w:pStyle w:val="Heading3"/>
        <w:keepNext/>
        <w:ind w:left="1707" w:hanging="839"/>
      </w:pPr>
      <w:r>
        <w:t>For clarity</w:t>
      </w:r>
      <w:r w:rsidR="00804510">
        <w:t>:</w:t>
      </w:r>
      <w:r>
        <w:t xml:space="preserve"> </w:t>
      </w:r>
    </w:p>
    <w:p w14:paraId="118D2E0A" w14:textId="322107E5" w:rsidR="0008475F" w:rsidRDefault="0008475F" w:rsidP="00804510">
      <w:pPr>
        <w:pStyle w:val="Heading4"/>
      </w:pPr>
      <w:r>
        <w:t xml:space="preserve">the </w:t>
      </w:r>
      <w:r w:rsidR="00123D89">
        <w:t>payments</w:t>
      </w:r>
      <w:r>
        <w:t xml:space="preserve"> referred to in clause </w:t>
      </w:r>
      <w:r>
        <w:fldChar w:fldCharType="begin"/>
      </w:r>
      <w:r>
        <w:instrText xml:space="preserve"> REF _Ref184307088 \r \h </w:instrText>
      </w:r>
      <w:r>
        <w:fldChar w:fldCharType="separate"/>
      </w:r>
      <w:r w:rsidR="00586603">
        <w:t>3.3.1</w:t>
      </w:r>
      <w:r>
        <w:fldChar w:fldCharType="end"/>
      </w:r>
      <w:r>
        <w:t xml:space="preserve"> </w:t>
      </w:r>
      <w:r w:rsidR="00123D89">
        <w:t xml:space="preserve">are </w:t>
      </w:r>
      <w:r>
        <w:t>separate to, and not accounted for, in the quantum of the CSO Wholesale Funding Pool described in clauses</w:t>
      </w:r>
      <w:r w:rsidR="00945AED">
        <w:t> </w:t>
      </w:r>
      <w:r>
        <w:fldChar w:fldCharType="begin"/>
      </w:r>
      <w:r>
        <w:instrText xml:space="preserve"> REF _Ref184307168 \r \h </w:instrText>
      </w:r>
      <w:r>
        <w:fldChar w:fldCharType="separate"/>
      </w:r>
      <w:r w:rsidR="005C0514">
        <w:t>1.1</w:t>
      </w:r>
      <w:r>
        <w:fldChar w:fldCharType="end"/>
      </w:r>
      <w:r>
        <w:t xml:space="preserve"> and </w:t>
      </w:r>
      <w:r>
        <w:fldChar w:fldCharType="begin"/>
      </w:r>
      <w:r>
        <w:instrText xml:space="preserve"> REF _Ref176845674 \r \h </w:instrText>
      </w:r>
      <w:r>
        <w:fldChar w:fldCharType="separate"/>
      </w:r>
      <w:r w:rsidR="005C0514">
        <w:t>3.1</w:t>
      </w:r>
      <w:r>
        <w:fldChar w:fldCharType="end"/>
      </w:r>
      <w:r w:rsidR="00804510">
        <w:t>; and</w:t>
      </w:r>
    </w:p>
    <w:p w14:paraId="3A1002BD" w14:textId="72437880" w:rsidR="00804510" w:rsidRDefault="00804510" w:rsidP="00804510">
      <w:pPr>
        <w:pStyle w:val="Heading4"/>
      </w:pPr>
      <w:r>
        <w:t>the amount of the payment</w:t>
      </w:r>
      <w:r w:rsidR="006D7F96">
        <w:t>s</w:t>
      </w:r>
      <w:r>
        <w:t xml:space="preserve"> </w:t>
      </w:r>
      <w:r w:rsidR="006D7F96">
        <w:t xml:space="preserve">described in </w:t>
      </w:r>
      <w:r>
        <w:t xml:space="preserve">clause </w:t>
      </w:r>
      <w:r>
        <w:fldChar w:fldCharType="begin"/>
      </w:r>
      <w:r>
        <w:instrText xml:space="preserve"> REF _Ref184307378 \r \h </w:instrText>
      </w:r>
      <w:r>
        <w:fldChar w:fldCharType="separate"/>
      </w:r>
      <w:r w:rsidR="005C0514">
        <w:t>3.3.2</w:t>
      </w:r>
      <w:r>
        <w:fldChar w:fldCharType="end"/>
      </w:r>
      <w:r>
        <w:t xml:space="preserve"> will remain fixed until </w:t>
      </w:r>
      <w:proofErr w:type="gramStart"/>
      <w:r>
        <w:t>1 July 2026, and</w:t>
      </w:r>
      <w:proofErr w:type="gramEnd"/>
      <w:r>
        <w:t xml:space="preserve"> will not be subject to indexation. </w:t>
      </w:r>
    </w:p>
    <w:p w14:paraId="208C77AC" w14:textId="050EB623" w:rsidR="00230B10" w:rsidRPr="00C978B2" w:rsidRDefault="00230B10" w:rsidP="00230B10">
      <w:pPr>
        <w:pStyle w:val="Heading1"/>
        <w:keepNext w:val="0"/>
      </w:pPr>
      <w:bookmarkStart w:id="187" w:name="_Ref183986729"/>
      <w:bookmarkStart w:id="188" w:name="_Toc185417671"/>
      <w:bookmarkStart w:id="189" w:name="_Hlk40005224"/>
      <w:r w:rsidRPr="00C978B2">
        <w:t xml:space="preserve">Administration of the </w:t>
      </w:r>
      <w:r w:rsidR="00795462">
        <w:t xml:space="preserve">CSO Wholesale </w:t>
      </w:r>
      <w:r w:rsidRPr="00C978B2">
        <w:t xml:space="preserve">Funding </w:t>
      </w:r>
      <w:r w:rsidR="00795462">
        <w:t xml:space="preserve">Pool </w:t>
      </w:r>
      <w:r w:rsidRPr="00C978B2">
        <w:t>arrangements</w:t>
      </w:r>
      <w:bookmarkEnd w:id="187"/>
      <w:bookmarkEnd w:id="188"/>
    </w:p>
    <w:p w14:paraId="47D7D674" w14:textId="701F9D48" w:rsidR="00230B10" w:rsidRDefault="00230B10" w:rsidP="00234B4B">
      <w:pPr>
        <w:pStyle w:val="Heading2"/>
        <w:rPr>
          <w:b w:val="0"/>
          <w:bCs/>
        </w:rPr>
      </w:pPr>
      <w:r w:rsidRPr="00234B4B">
        <w:rPr>
          <w:b w:val="0"/>
          <w:bCs/>
        </w:rPr>
        <w:t xml:space="preserve">The cost of administering </w:t>
      </w:r>
      <w:r w:rsidR="00DB25FC" w:rsidRPr="00234B4B">
        <w:rPr>
          <w:b w:val="0"/>
          <w:bCs/>
        </w:rPr>
        <w:t xml:space="preserve">arrangements relating to </w:t>
      </w:r>
      <w:r w:rsidRPr="00234B4B">
        <w:rPr>
          <w:b w:val="0"/>
          <w:bCs/>
        </w:rPr>
        <w:t xml:space="preserve">the </w:t>
      </w:r>
      <w:r w:rsidR="00DB25FC" w:rsidRPr="00234B4B">
        <w:rPr>
          <w:b w:val="0"/>
          <w:bCs/>
        </w:rPr>
        <w:t xml:space="preserve">CSO Wholesale Funding Pool and CSO Payments </w:t>
      </w:r>
      <w:r w:rsidRPr="00234B4B">
        <w:rPr>
          <w:b w:val="0"/>
          <w:bCs/>
        </w:rPr>
        <w:t xml:space="preserve">will be met from </w:t>
      </w:r>
      <w:r w:rsidR="00DB25FC" w:rsidRPr="00234B4B">
        <w:rPr>
          <w:b w:val="0"/>
          <w:bCs/>
        </w:rPr>
        <w:t>the CSO Wholesale Funding Pool</w:t>
      </w:r>
      <w:r w:rsidRPr="00234B4B">
        <w:rPr>
          <w:b w:val="0"/>
          <w:bCs/>
        </w:rPr>
        <w:t>.</w:t>
      </w:r>
    </w:p>
    <w:p w14:paraId="52906833" w14:textId="283F8428" w:rsidR="00F110D7" w:rsidRPr="0019091D" w:rsidRDefault="00795462" w:rsidP="00234B4B">
      <w:pPr>
        <w:pStyle w:val="Heading1"/>
        <w:keepNext w:val="0"/>
      </w:pPr>
      <w:bookmarkStart w:id="190" w:name="_Ref184450648"/>
      <w:bookmarkStart w:id="191" w:name="_Ref185404791"/>
      <w:bookmarkStart w:id="192" w:name="_Toc185417672"/>
      <w:bookmarkStart w:id="193" w:name="_Ref29299247"/>
      <w:r w:rsidRPr="0019091D">
        <w:t xml:space="preserve">Approach to </w:t>
      </w:r>
      <w:r w:rsidR="00ED665A" w:rsidRPr="0019091D">
        <w:t>M</w:t>
      </w:r>
      <w:r w:rsidRPr="0019091D">
        <w:t>arket</w:t>
      </w:r>
      <w:bookmarkEnd w:id="190"/>
      <w:r w:rsidR="00EC7210">
        <w:t xml:space="preserve"> Process</w:t>
      </w:r>
      <w:bookmarkEnd w:id="191"/>
      <w:bookmarkEnd w:id="192"/>
    </w:p>
    <w:p w14:paraId="477BD248" w14:textId="4C462D3D" w:rsidR="00795462" w:rsidRDefault="00F434E0" w:rsidP="00795462">
      <w:pPr>
        <w:pStyle w:val="Heading2"/>
        <w:rPr>
          <w:b w:val="0"/>
          <w:bCs/>
        </w:rPr>
      </w:pPr>
      <w:r>
        <w:rPr>
          <w:b w:val="0"/>
          <w:bCs/>
        </w:rPr>
        <w:t>Further to clause</w:t>
      </w:r>
      <w:r w:rsidR="006D7F96">
        <w:rPr>
          <w:b w:val="0"/>
          <w:bCs/>
        </w:rPr>
        <w:t> </w:t>
      </w:r>
      <w:r w:rsidR="006D7F96">
        <w:rPr>
          <w:b w:val="0"/>
          <w:bCs/>
        </w:rPr>
        <w:fldChar w:fldCharType="begin"/>
      </w:r>
      <w:r w:rsidR="006D7F96">
        <w:rPr>
          <w:b w:val="0"/>
          <w:bCs/>
        </w:rPr>
        <w:instrText xml:space="preserve"> REF _Ref184311793 \w \h </w:instrText>
      </w:r>
      <w:r w:rsidR="006D7F96">
        <w:rPr>
          <w:b w:val="0"/>
          <w:bCs/>
        </w:rPr>
      </w:r>
      <w:r w:rsidR="006D7F96">
        <w:rPr>
          <w:b w:val="0"/>
          <w:bCs/>
        </w:rPr>
        <w:fldChar w:fldCharType="separate"/>
      </w:r>
      <w:r w:rsidR="005C0514">
        <w:rPr>
          <w:b w:val="0"/>
          <w:bCs/>
        </w:rPr>
        <w:t>3.2.6</w:t>
      </w:r>
      <w:r w:rsidR="006D7F96">
        <w:rPr>
          <w:b w:val="0"/>
          <w:bCs/>
        </w:rPr>
        <w:fldChar w:fldCharType="end"/>
      </w:r>
      <w:r>
        <w:rPr>
          <w:b w:val="0"/>
          <w:bCs/>
        </w:rPr>
        <w:t>, t</w:t>
      </w:r>
      <w:r w:rsidR="00795462" w:rsidRPr="00795462">
        <w:rPr>
          <w:b w:val="0"/>
          <w:bCs/>
        </w:rPr>
        <w:t>he parties</w:t>
      </w:r>
      <w:r w:rsidR="00795462">
        <w:rPr>
          <w:b w:val="0"/>
          <w:bCs/>
        </w:rPr>
        <w:t xml:space="preserve"> acknowledge and agree that</w:t>
      </w:r>
      <w:r w:rsidR="00DA2A2D">
        <w:rPr>
          <w:b w:val="0"/>
          <w:bCs/>
        </w:rPr>
        <w:t>,</w:t>
      </w:r>
      <w:r w:rsidR="00795462">
        <w:rPr>
          <w:b w:val="0"/>
          <w:bCs/>
        </w:rPr>
        <w:t xml:space="preserve"> after the Commencement Date: </w:t>
      </w:r>
    </w:p>
    <w:p w14:paraId="1D294AB8" w14:textId="003CF1FA" w:rsidR="00795462" w:rsidRDefault="00795462" w:rsidP="00795462">
      <w:pPr>
        <w:pStyle w:val="Heading3"/>
      </w:pPr>
      <w:r>
        <w:t xml:space="preserve">the Commonwealth intends to conduct </w:t>
      </w:r>
      <w:r w:rsidR="00EC7210">
        <w:t xml:space="preserve">an ATM Process to establish new Wholesaler </w:t>
      </w:r>
      <w:proofErr w:type="gramStart"/>
      <w:r w:rsidR="00EC7210">
        <w:t>Deeds</w:t>
      </w:r>
      <w:proofErr w:type="gramEnd"/>
      <w:r w:rsidR="004855A6">
        <w:t xml:space="preserve"> and </w:t>
      </w:r>
      <w:r w:rsidR="004855A6" w:rsidRPr="00613AA2">
        <w:t xml:space="preserve">the Commonwealth will use its best endeavours to conduct </w:t>
      </w:r>
      <w:r w:rsidR="00AE7923">
        <w:t xml:space="preserve">and complete </w:t>
      </w:r>
      <w:r w:rsidR="004855A6">
        <w:t xml:space="preserve">that </w:t>
      </w:r>
      <w:r w:rsidR="004855A6" w:rsidRPr="00613AA2">
        <w:t>ATM Process as soon as reasonably practicable after the Commencement Date</w:t>
      </w:r>
      <w:r>
        <w:t xml:space="preserve">; </w:t>
      </w:r>
    </w:p>
    <w:p w14:paraId="4053B79B" w14:textId="77777777" w:rsidR="00422DDC" w:rsidRDefault="00EC7210" w:rsidP="00795462">
      <w:pPr>
        <w:pStyle w:val="Heading3"/>
      </w:pPr>
      <w:r>
        <w:t>the Commonwealth intends that</w:t>
      </w:r>
      <w:r w:rsidR="00422DDC">
        <w:t>:</w:t>
      </w:r>
      <w:r>
        <w:t xml:space="preserve"> </w:t>
      </w:r>
    </w:p>
    <w:p w14:paraId="306A26C0" w14:textId="6C42FC68" w:rsidR="00422DDC" w:rsidRDefault="00EC7210" w:rsidP="00422DDC">
      <w:pPr>
        <w:pStyle w:val="Heading4"/>
      </w:pPr>
      <w:r>
        <w:t xml:space="preserve">the new Wholesaler Deeds will be </w:t>
      </w:r>
      <w:r w:rsidR="00072A94" w:rsidRPr="00C31789">
        <w:t xml:space="preserve">substantially </w:t>
      </w:r>
      <w:r w:rsidRPr="00C31789">
        <w:t>based on the current Wholesaler Deeds</w:t>
      </w:r>
      <w:r w:rsidR="00072A94" w:rsidRPr="00C31789">
        <w:t xml:space="preserve"> and consistent with the principles set out in this Agreement</w:t>
      </w:r>
      <w:r w:rsidR="00192A44" w:rsidRPr="00C31789">
        <w:t xml:space="preserve"> (subject to clause </w:t>
      </w:r>
      <w:r w:rsidR="00D532F0">
        <w:fldChar w:fldCharType="begin"/>
      </w:r>
      <w:r w:rsidR="00D532F0">
        <w:instrText xml:space="preserve"> REF _Ref185400001 \w \h </w:instrText>
      </w:r>
      <w:r w:rsidR="00D532F0">
        <w:fldChar w:fldCharType="separate"/>
      </w:r>
      <w:r w:rsidR="005C0514">
        <w:t>5.1.4</w:t>
      </w:r>
      <w:r w:rsidR="00D532F0">
        <w:fldChar w:fldCharType="end"/>
      </w:r>
      <w:r w:rsidR="00192A44" w:rsidRPr="00C31789">
        <w:t>)</w:t>
      </w:r>
      <w:r w:rsidR="00422DDC">
        <w:t>;</w:t>
      </w:r>
      <w:r>
        <w:t xml:space="preserve"> </w:t>
      </w:r>
    </w:p>
    <w:p w14:paraId="6E419E03" w14:textId="77777777" w:rsidR="00422DDC" w:rsidRDefault="00EC7210" w:rsidP="00422DDC">
      <w:pPr>
        <w:pStyle w:val="Heading4"/>
      </w:pPr>
      <w:r>
        <w:t>the assessment of responses to the ATM Process will consider, amongst other matters, the experience and performance of the signatories of current Wholesaler Deeds</w:t>
      </w:r>
      <w:r w:rsidR="00422DDC">
        <w:t xml:space="preserve">; and </w:t>
      </w:r>
    </w:p>
    <w:p w14:paraId="00AA6382" w14:textId="4A778642" w:rsidR="00EC7210" w:rsidRDefault="00422DDC" w:rsidP="00422DDC">
      <w:pPr>
        <w:pStyle w:val="Heading4"/>
      </w:pPr>
      <w:r>
        <w:t>the new Wholesaler Deeds will not operate beyond the expiry of this Agreement in a manner that would inhibit the operation of any agreement intended to replace this Agreement</w:t>
      </w:r>
      <w:r w:rsidR="00A554BF">
        <w:t>.</w:t>
      </w:r>
      <w:r w:rsidR="00EC7210">
        <w:t>;</w:t>
      </w:r>
    </w:p>
    <w:p w14:paraId="721DD616" w14:textId="01D8A763" w:rsidR="00ED665A" w:rsidRDefault="00EC7210" w:rsidP="00795462">
      <w:pPr>
        <w:pStyle w:val="Heading3"/>
      </w:pPr>
      <w:r>
        <w:t xml:space="preserve">it is possible that </w:t>
      </w:r>
      <w:r w:rsidR="00ED665A">
        <w:t xml:space="preserve">the outcomes of the </w:t>
      </w:r>
      <w:r>
        <w:t>ATM Process</w:t>
      </w:r>
      <w:r w:rsidR="00ED665A">
        <w:t xml:space="preserve"> </w:t>
      </w:r>
      <w:r>
        <w:t xml:space="preserve">will </w:t>
      </w:r>
      <w:r w:rsidR="00ED665A">
        <w:t xml:space="preserve">have implications for matters contemplated by this Agreement, including the CSO Wholesale Funding Pool; </w:t>
      </w:r>
    </w:p>
    <w:p w14:paraId="7B9B83D2" w14:textId="02650920" w:rsidR="00FC4ED7" w:rsidRDefault="00ED665A" w:rsidP="00795462">
      <w:pPr>
        <w:pStyle w:val="Heading3"/>
      </w:pPr>
      <w:bookmarkStart w:id="194" w:name="_Ref185400001"/>
      <w:r>
        <w:t xml:space="preserve">as a result, it might be appropriate or desirable for the parties to amend this Agreement </w:t>
      </w:r>
      <w:r w:rsidR="0019091D">
        <w:t xml:space="preserve">(in accordance with clause </w:t>
      </w:r>
      <w:r w:rsidR="006D7F96">
        <w:fldChar w:fldCharType="begin"/>
      </w:r>
      <w:r w:rsidR="006D7F96">
        <w:instrText xml:space="preserve"> REF _Ref184313939 \w \h </w:instrText>
      </w:r>
      <w:r w:rsidR="006D7F96">
        <w:fldChar w:fldCharType="separate"/>
      </w:r>
      <w:r w:rsidR="008F5D42">
        <w:t>14.3</w:t>
      </w:r>
      <w:r w:rsidR="006D7F96">
        <w:fldChar w:fldCharType="end"/>
      </w:r>
      <w:r w:rsidR="0019091D">
        <w:t xml:space="preserve">) </w:t>
      </w:r>
      <w:r w:rsidR="00DA2A2D" w:rsidRPr="0019091D">
        <w:t>to</w:t>
      </w:r>
      <w:r w:rsidR="00DA2A2D">
        <w:t xml:space="preserve"> </w:t>
      </w:r>
      <w:r>
        <w:t>support, or otherwise reflect, outcomes</w:t>
      </w:r>
      <w:r w:rsidR="00F434E0">
        <w:t xml:space="preserve"> of the </w:t>
      </w:r>
      <w:r w:rsidR="00EC7210">
        <w:t>ATM Process</w:t>
      </w:r>
      <w:r w:rsidR="00422DDC">
        <w:t>; and</w:t>
      </w:r>
      <w:bookmarkEnd w:id="194"/>
      <w:r w:rsidR="00422DDC">
        <w:t xml:space="preserve"> </w:t>
      </w:r>
    </w:p>
    <w:p w14:paraId="408A5C6C" w14:textId="778AFAA0" w:rsidR="00ED665A" w:rsidRDefault="00D532F0" w:rsidP="00795462">
      <w:pPr>
        <w:pStyle w:val="Heading3"/>
      </w:pPr>
      <w:r>
        <w:lastRenderedPageBreak/>
        <w:t>they do</w:t>
      </w:r>
      <w:r w:rsidR="00FC4ED7">
        <w:t xml:space="preserve"> not intend </w:t>
      </w:r>
      <w:r>
        <w:t>that</w:t>
      </w:r>
      <w:r w:rsidR="00FC4ED7">
        <w:t xml:space="preserve"> the ATM Process </w:t>
      </w:r>
      <w:r>
        <w:t>will</w:t>
      </w:r>
      <w:r w:rsidR="00FC4ED7">
        <w:t xml:space="preserve"> result in a reduction in the overall funding envelope available to Pharmaceutical Wholesalers</w:t>
      </w:r>
      <w:r w:rsidR="0056602C">
        <w:t xml:space="preserve"> or </w:t>
      </w:r>
      <w:r>
        <w:t>a</w:t>
      </w:r>
      <w:r w:rsidR="0056602C">
        <w:t xml:space="preserve"> change </w:t>
      </w:r>
      <w:r>
        <w:t xml:space="preserve">in </w:t>
      </w:r>
      <w:r w:rsidR="0056602C">
        <w:t>the term of this Agreement</w:t>
      </w:r>
      <w:r w:rsidR="00FC4ED7">
        <w:t>.</w:t>
      </w:r>
      <w:r w:rsidR="00ED665A">
        <w:t xml:space="preserve"> </w:t>
      </w:r>
    </w:p>
    <w:p w14:paraId="35BF3DBD" w14:textId="6DED5ADB" w:rsidR="00CB1DF2" w:rsidRDefault="00ED665A" w:rsidP="00ED665A">
      <w:pPr>
        <w:pStyle w:val="Heading2"/>
        <w:rPr>
          <w:b w:val="0"/>
          <w:bCs/>
        </w:rPr>
      </w:pPr>
      <w:bookmarkStart w:id="195" w:name="_Ref176854962"/>
      <w:r>
        <w:rPr>
          <w:b w:val="0"/>
          <w:bCs/>
        </w:rPr>
        <w:t>Subject to clause</w:t>
      </w:r>
      <w:r w:rsidR="00CB1DF2">
        <w:rPr>
          <w:b w:val="0"/>
          <w:bCs/>
        </w:rPr>
        <w:t>s</w:t>
      </w:r>
      <w:r w:rsidR="0056602C">
        <w:rPr>
          <w:b w:val="0"/>
          <w:bCs/>
        </w:rPr>
        <w:t xml:space="preserve"> </w:t>
      </w:r>
      <w:r w:rsidR="00CB1DF2">
        <w:rPr>
          <w:b w:val="0"/>
          <w:bCs/>
        </w:rPr>
        <w:fldChar w:fldCharType="begin"/>
      </w:r>
      <w:r w:rsidR="00CB1DF2">
        <w:rPr>
          <w:b w:val="0"/>
          <w:bCs/>
        </w:rPr>
        <w:instrText xml:space="preserve"> REF _Ref176855317 \w \h </w:instrText>
      </w:r>
      <w:r w:rsidR="00CB1DF2">
        <w:rPr>
          <w:b w:val="0"/>
          <w:bCs/>
        </w:rPr>
      </w:r>
      <w:r w:rsidR="00CB1DF2">
        <w:rPr>
          <w:b w:val="0"/>
          <w:bCs/>
        </w:rPr>
        <w:fldChar w:fldCharType="separate"/>
      </w:r>
      <w:r w:rsidR="008F5D42">
        <w:rPr>
          <w:b w:val="0"/>
          <w:bCs/>
        </w:rPr>
        <w:t>5.3</w:t>
      </w:r>
      <w:r w:rsidR="00CB1DF2">
        <w:rPr>
          <w:b w:val="0"/>
          <w:bCs/>
        </w:rPr>
        <w:fldChar w:fldCharType="end"/>
      </w:r>
      <w:r w:rsidR="00CB1DF2">
        <w:rPr>
          <w:b w:val="0"/>
          <w:bCs/>
        </w:rPr>
        <w:t xml:space="preserve"> and </w:t>
      </w:r>
      <w:r w:rsidR="00CB1DF2">
        <w:rPr>
          <w:b w:val="0"/>
          <w:bCs/>
        </w:rPr>
        <w:fldChar w:fldCharType="begin"/>
      </w:r>
      <w:r w:rsidR="00CB1DF2">
        <w:rPr>
          <w:b w:val="0"/>
          <w:bCs/>
        </w:rPr>
        <w:instrText xml:space="preserve"> REF _Ref176855321 \w \h </w:instrText>
      </w:r>
      <w:r w:rsidR="00CB1DF2">
        <w:rPr>
          <w:b w:val="0"/>
          <w:bCs/>
        </w:rPr>
      </w:r>
      <w:r w:rsidR="00CB1DF2">
        <w:rPr>
          <w:b w:val="0"/>
          <w:bCs/>
        </w:rPr>
        <w:fldChar w:fldCharType="separate"/>
      </w:r>
      <w:r w:rsidR="008F5D42">
        <w:rPr>
          <w:b w:val="0"/>
          <w:bCs/>
        </w:rPr>
        <w:t>5.4</w:t>
      </w:r>
      <w:r w:rsidR="00CB1DF2">
        <w:rPr>
          <w:b w:val="0"/>
          <w:bCs/>
        </w:rPr>
        <w:fldChar w:fldCharType="end"/>
      </w:r>
      <w:r>
        <w:rPr>
          <w:b w:val="0"/>
          <w:bCs/>
        </w:rPr>
        <w:t xml:space="preserve">, as soon as practicable after becoming aware that </w:t>
      </w:r>
      <w:r w:rsidR="00EC7210">
        <w:rPr>
          <w:b w:val="0"/>
          <w:bCs/>
        </w:rPr>
        <w:t xml:space="preserve">the </w:t>
      </w:r>
      <w:r w:rsidR="00EC7210" w:rsidRPr="00EC7210">
        <w:rPr>
          <w:b w:val="0"/>
          <w:bCs/>
        </w:rPr>
        <w:t>ATM Process</w:t>
      </w:r>
      <w:r>
        <w:rPr>
          <w:b w:val="0"/>
          <w:bCs/>
        </w:rPr>
        <w:t xml:space="preserve"> </w:t>
      </w:r>
      <w:r w:rsidR="00EC7210">
        <w:rPr>
          <w:b w:val="0"/>
          <w:bCs/>
        </w:rPr>
        <w:t xml:space="preserve">may </w:t>
      </w:r>
      <w:r>
        <w:rPr>
          <w:b w:val="0"/>
          <w:bCs/>
        </w:rPr>
        <w:t xml:space="preserve">have implications for matters contemplated by this Agreement, the Commonwealth will notify the Association </w:t>
      </w:r>
      <w:r w:rsidR="00CB1DF2">
        <w:rPr>
          <w:b w:val="0"/>
          <w:bCs/>
        </w:rPr>
        <w:t>of th</w:t>
      </w:r>
      <w:r w:rsidR="00EC7210">
        <w:rPr>
          <w:b w:val="0"/>
          <w:bCs/>
        </w:rPr>
        <w:t>os</w:t>
      </w:r>
      <w:r w:rsidR="00CB1DF2">
        <w:rPr>
          <w:b w:val="0"/>
          <w:bCs/>
        </w:rPr>
        <w:t xml:space="preserve">e </w:t>
      </w:r>
      <w:r w:rsidR="00EC7210">
        <w:rPr>
          <w:b w:val="0"/>
          <w:bCs/>
        </w:rPr>
        <w:t xml:space="preserve">possible </w:t>
      </w:r>
      <w:r w:rsidR="00CB1DF2">
        <w:rPr>
          <w:b w:val="0"/>
          <w:bCs/>
        </w:rPr>
        <w:t xml:space="preserve">implications. The parties will then cooperate in good faith to determine what, if any, changes to this Agreement </w:t>
      </w:r>
      <w:r w:rsidR="0066444D">
        <w:rPr>
          <w:b w:val="0"/>
          <w:bCs/>
        </w:rPr>
        <w:t>should be made</w:t>
      </w:r>
      <w:r w:rsidR="00CB1DF2">
        <w:rPr>
          <w:b w:val="0"/>
          <w:bCs/>
        </w:rPr>
        <w:t>, and to promptly implement those changes.</w:t>
      </w:r>
      <w:bookmarkEnd w:id="195"/>
      <w:r w:rsidR="00CB1DF2">
        <w:rPr>
          <w:b w:val="0"/>
          <w:bCs/>
        </w:rPr>
        <w:t xml:space="preserve"> </w:t>
      </w:r>
    </w:p>
    <w:p w14:paraId="33926722" w14:textId="74A34FA0" w:rsidR="00CB1DF2" w:rsidRDefault="00CB1DF2" w:rsidP="00ED665A">
      <w:pPr>
        <w:pStyle w:val="Heading2"/>
        <w:rPr>
          <w:b w:val="0"/>
          <w:bCs/>
        </w:rPr>
      </w:pPr>
      <w:bookmarkStart w:id="196" w:name="_Ref176855317"/>
      <w:r>
        <w:rPr>
          <w:b w:val="0"/>
          <w:bCs/>
        </w:rPr>
        <w:t xml:space="preserve">Nothing in clause </w:t>
      </w:r>
      <w:r>
        <w:rPr>
          <w:b w:val="0"/>
          <w:bCs/>
        </w:rPr>
        <w:fldChar w:fldCharType="begin"/>
      </w:r>
      <w:r>
        <w:rPr>
          <w:b w:val="0"/>
          <w:bCs/>
        </w:rPr>
        <w:instrText xml:space="preserve"> REF _Ref176854962 \w \h </w:instrText>
      </w:r>
      <w:r>
        <w:rPr>
          <w:b w:val="0"/>
          <w:bCs/>
        </w:rPr>
      </w:r>
      <w:r>
        <w:rPr>
          <w:b w:val="0"/>
          <w:bCs/>
        </w:rPr>
        <w:fldChar w:fldCharType="separate"/>
      </w:r>
      <w:r w:rsidR="008F5D42">
        <w:rPr>
          <w:b w:val="0"/>
          <w:bCs/>
        </w:rPr>
        <w:t>5.2</w:t>
      </w:r>
      <w:r>
        <w:rPr>
          <w:b w:val="0"/>
          <w:bCs/>
        </w:rPr>
        <w:fldChar w:fldCharType="end"/>
      </w:r>
      <w:r>
        <w:rPr>
          <w:b w:val="0"/>
          <w:bCs/>
        </w:rPr>
        <w:t xml:space="preserve"> </w:t>
      </w:r>
      <w:r w:rsidR="006D7F96">
        <w:rPr>
          <w:b w:val="0"/>
          <w:bCs/>
        </w:rPr>
        <w:t xml:space="preserve">requires </w:t>
      </w:r>
      <w:r>
        <w:rPr>
          <w:b w:val="0"/>
          <w:bCs/>
        </w:rPr>
        <w:t>the Commonwealth to disclose any information to the Association that:</w:t>
      </w:r>
      <w:bookmarkEnd w:id="196"/>
      <w:r>
        <w:rPr>
          <w:b w:val="0"/>
          <w:bCs/>
        </w:rPr>
        <w:t xml:space="preserve"> </w:t>
      </w:r>
    </w:p>
    <w:p w14:paraId="653BBBEB" w14:textId="77777777" w:rsidR="00CB1DF2" w:rsidRDefault="00CB1DF2" w:rsidP="00CB1DF2">
      <w:pPr>
        <w:pStyle w:val="Heading3"/>
      </w:pPr>
      <w:r>
        <w:t xml:space="preserve">is confidential to the Commonwealth or a third party; </w:t>
      </w:r>
    </w:p>
    <w:p w14:paraId="5A746E8E" w14:textId="703E29CC" w:rsidR="00CB1DF2" w:rsidRDefault="00CB1DF2" w:rsidP="00CB1DF2">
      <w:pPr>
        <w:pStyle w:val="Heading3"/>
      </w:pPr>
      <w:r>
        <w:t xml:space="preserve">if disclosed, could jeopardise </w:t>
      </w:r>
      <w:r w:rsidR="00EC7210">
        <w:t>any ATM Process</w:t>
      </w:r>
      <w:r>
        <w:t>;</w:t>
      </w:r>
      <w:r w:rsidR="00D310D6">
        <w:t xml:space="preserve"> or</w:t>
      </w:r>
    </w:p>
    <w:p w14:paraId="1EFD57D6" w14:textId="5C7C997D" w:rsidR="00CB1DF2" w:rsidRDefault="00CB1DF2" w:rsidP="00CB1DF2">
      <w:pPr>
        <w:pStyle w:val="Heading3"/>
      </w:pPr>
      <w:r>
        <w:t xml:space="preserve">the Commonwealth otherwise determines is not appropriate to be disclosed to the Association (for example, because it might be contrary to a Commonwealth policy, or provide </w:t>
      </w:r>
      <w:r w:rsidR="00D310D6">
        <w:t xml:space="preserve">an </w:t>
      </w:r>
      <w:r>
        <w:t xml:space="preserve">unfair </w:t>
      </w:r>
      <w:r w:rsidR="00D310D6">
        <w:t xml:space="preserve">market </w:t>
      </w:r>
      <w:r>
        <w:t>advantage or disadvantage to some Pharmaceutical Wholesalers over others).</w:t>
      </w:r>
    </w:p>
    <w:p w14:paraId="163D4727" w14:textId="07CF0845" w:rsidR="00795462" w:rsidRDefault="00CB1DF2" w:rsidP="00CB1DF2">
      <w:pPr>
        <w:pStyle w:val="Heading2"/>
        <w:rPr>
          <w:b w:val="0"/>
          <w:bCs/>
        </w:rPr>
      </w:pPr>
      <w:bookmarkStart w:id="197" w:name="_Ref176855321"/>
      <w:r>
        <w:rPr>
          <w:b w:val="0"/>
          <w:bCs/>
        </w:rPr>
        <w:t xml:space="preserve">The Commonwealth may make its disclosure of information </w:t>
      </w:r>
      <w:r w:rsidR="006D7F96">
        <w:rPr>
          <w:b w:val="0"/>
          <w:bCs/>
        </w:rPr>
        <w:t xml:space="preserve">pursuant to </w:t>
      </w:r>
      <w:r>
        <w:rPr>
          <w:b w:val="0"/>
          <w:bCs/>
        </w:rPr>
        <w:t xml:space="preserve">clause </w:t>
      </w:r>
      <w:r>
        <w:rPr>
          <w:b w:val="0"/>
          <w:bCs/>
        </w:rPr>
        <w:fldChar w:fldCharType="begin"/>
      </w:r>
      <w:r>
        <w:rPr>
          <w:b w:val="0"/>
          <w:bCs/>
        </w:rPr>
        <w:instrText xml:space="preserve"> REF _Ref176854962 \w \h </w:instrText>
      </w:r>
      <w:r>
        <w:rPr>
          <w:b w:val="0"/>
          <w:bCs/>
        </w:rPr>
      </w:r>
      <w:r>
        <w:rPr>
          <w:b w:val="0"/>
          <w:bCs/>
        </w:rPr>
        <w:fldChar w:fldCharType="separate"/>
      </w:r>
      <w:r w:rsidR="008F5D42">
        <w:rPr>
          <w:b w:val="0"/>
          <w:bCs/>
        </w:rPr>
        <w:t>5.2</w:t>
      </w:r>
      <w:r>
        <w:rPr>
          <w:b w:val="0"/>
          <w:bCs/>
        </w:rPr>
        <w:fldChar w:fldCharType="end"/>
      </w:r>
      <w:r>
        <w:rPr>
          <w:b w:val="0"/>
          <w:bCs/>
        </w:rPr>
        <w:t xml:space="preserve"> subject to </w:t>
      </w:r>
      <w:r w:rsidR="00D310D6">
        <w:rPr>
          <w:b w:val="0"/>
          <w:bCs/>
        </w:rPr>
        <w:t xml:space="preserve">such </w:t>
      </w:r>
      <w:r>
        <w:rPr>
          <w:b w:val="0"/>
          <w:bCs/>
        </w:rPr>
        <w:t>conditions</w:t>
      </w:r>
      <w:r w:rsidR="00D310D6">
        <w:rPr>
          <w:b w:val="0"/>
          <w:bCs/>
        </w:rPr>
        <w:t xml:space="preserve"> as it determines are appropriate</w:t>
      </w:r>
      <w:r>
        <w:rPr>
          <w:b w:val="0"/>
          <w:bCs/>
        </w:rPr>
        <w:t>, including in relation to</w:t>
      </w:r>
      <w:r w:rsidR="00D310D6">
        <w:rPr>
          <w:b w:val="0"/>
          <w:bCs/>
        </w:rPr>
        <w:t xml:space="preserve"> the</w:t>
      </w:r>
      <w:r>
        <w:rPr>
          <w:b w:val="0"/>
          <w:bCs/>
        </w:rPr>
        <w:t>:</w:t>
      </w:r>
      <w:bookmarkEnd w:id="197"/>
      <w:r>
        <w:rPr>
          <w:b w:val="0"/>
          <w:bCs/>
        </w:rPr>
        <w:t xml:space="preserve"> </w:t>
      </w:r>
    </w:p>
    <w:p w14:paraId="1A946B05" w14:textId="765B2889" w:rsidR="00CB1DF2" w:rsidRDefault="00CB1DF2" w:rsidP="00CB1DF2">
      <w:pPr>
        <w:pStyle w:val="Heading3"/>
      </w:pPr>
      <w:r>
        <w:t xml:space="preserve">provision of confidentiality or other undertakings by the Association, or personnel representing the Association; and </w:t>
      </w:r>
    </w:p>
    <w:p w14:paraId="4FD74B37" w14:textId="7041A897" w:rsidR="00CB1DF2" w:rsidRDefault="00CB1DF2" w:rsidP="00CB1DF2">
      <w:pPr>
        <w:pStyle w:val="Heading3"/>
      </w:pPr>
      <w:r>
        <w:t xml:space="preserve">storage, handling, destruction, and return, of the information.  </w:t>
      </w:r>
    </w:p>
    <w:p w14:paraId="048434A9" w14:textId="39E2B033" w:rsidR="00F110D7" w:rsidRPr="009878C1" w:rsidRDefault="00F110D7" w:rsidP="00F110D7">
      <w:pPr>
        <w:pStyle w:val="Heading1"/>
      </w:pPr>
      <w:bookmarkStart w:id="198" w:name="_Toc40020063"/>
      <w:bookmarkStart w:id="199" w:name="_Toc40020245"/>
      <w:bookmarkStart w:id="200" w:name="_Toc40020065"/>
      <w:bookmarkStart w:id="201" w:name="_Toc40020247"/>
      <w:bookmarkStart w:id="202" w:name="_Toc40020067"/>
      <w:bookmarkStart w:id="203" w:name="_Toc40020249"/>
      <w:bookmarkStart w:id="204" w:name="_Toc41328583"/>
      <w:bookmarkStart w:id="205" w:name="_Toc41335134"/>
      <w:bookmarkStart w:id="206" w:name="_Toc41335303"/>
      <w:bookmarkStart w:id="207" w:name="_Toc41340130"/>
      <w:bookmarkStart w:id="208" w:name="_Toc41345990"/>
      <w:bookmarkStart w:id="209" w:name="_Toc41328587"/>
      <w:bookmarkStart w:id="210" w:name="_Toc41335138"/>
      <w:bookmarkStart w:id="211" w:name="_Toc41335307"/>
      <w:bookmarkStart w:id="212" w:name="_Toc41340134"/>
      <w:bookmarkStart w:id="213" w:name="_Toc41345994"/>
      <w:bookmarkStart w:id="214" w:name="_Toc41328589"/>
      <w:bookmarkStart w:id="215" w:name="_Toc41335140"/>
      <w:bookmarkStart w:id="216" w:name="_Toc41335309"/>
      <w:bookmarkStart w:id="217" w:name="_Toc41340136"/>
      <w:bookmarkStart w:id="218" w:name="_Toc41345996"/>
      <w:bookmarkStart w:id="219" w:name="_Toc41328592"/>
      <w:bookmarkStart w:id="220" w:name="_Toc41335143"/>
      <w:bookmarkStart w:id="221" w:name="_Toc41335312"/>
      <w:bookmarkStart w:id="222" w:name="_Toc41340139"/>
      <w:bookmarkStart w:id="223" w:name="_Toc41345999"/>
      <w:bookmarkStart w:id="224" w:name="_Toc41328594"/>
      <w:bookmarkStart w:id="225" w:name="_Toc41335145"/>
      <w:bookmarkStart w:id="226" w:name="_Toc41335314"/>
      <w:bookmarkStart w:id="227" w:name="_Toc41340141"/>
      <w:bookmarkStart w:id="228" w:name="_Toc41346001"/>
      <w:bookmarkStart w:id="229" w:name="_Toc29646220"/>
      <w:bookmarkStart w:id="230" w:name="_Toc41328597"/>
      <w:bookmarkStart w:id="231" w:name="_Toc41335148"/>
      <w:bookmarkStart w:id="232" w:name="_Toc41335317"/>
      <w:bookmarkStart w:id="233" w:name="_Toc41340144"/>
      <w:bookmarkStart w:id="234" w:name="_Toc41346004"/>
      <w:bookmarkStart w:id="235" w:name="_Toc41328598"/>
      <w:bookmarkStart w:id="236" w:name="_Toc41335149"/>
      <w:bookmarkStart w:id="237" w:name="_Toc41335318"/>
      <w:bookmarkStart w:id="238" w:name="_Toc41340145"/>
      <w:bookmarkStart w:id="239" w:name="_Toc41346005"/>
      <w:bookmarkStart w:id="240" w:name="_Toc41325137"/>
      <w:bookmarkStart w:id="241" w:name="_Toc41328604"/>
      <w:bookmarkStart w:id="242" w:name="_Toc41335155"/>
      <w:bookmarkStart w:id="243" w:name="_Toc41335324"/>
      <w:bookmarkStart w:id="244" w:name="_Toc41340151"/>
      <w:bookmarkStart w:id="245" w:name="_Toc41346011"/>
      <w:bookmarkStart w:id="246" w:name="_Toc41325138"/>
      <w:bookmarkStart w:id="247" w:name="_Toc41328605"/>
      <w:bookmarkStart w:id="248" w:name="_Toc41335156"/>
      <w:bookmarkStart w:id="249" w:name="_Toc41335325"/>
      <w:bookmarkStart w:id="250" w:name="_Toc41340152"/>
      <w:bookmarkStart w:id="251" w:name="_Toc41346012"/>
      <w:bookmarkStart w:id="252" w:name="_Toc40020070"/>
      <w:bookmarkStart w:id="253" w:name="_Toc40020252"/>
      <w:bookmarkStart w:id="254" w:name="_Toc41325139"/>
      <w:bookmarkStart w:id="255" w:name="_Toc41328606"/>
      <w:bookmarkStart w:id="256" w:name="_Toc41335157"/>
      <w:bookmarkStart w:id="257" w:name="_Toc41335326"/>
      <w:bookmarkStart w:id="258" w:name="_Toc41340153"/>
      <w:bookmarkStart w:id="259" w:name="_Toc41346013"/>
      <w:bookmarkStart w:id="260" w:name="_Toc29300749"/>
      <w:bookmarkStart w:id="261" w:name="_Toc29314577"/>
      <w:bookmarkStart w:id="262" w:name="_Toc29314700"/>
      <w:bookmarkStart w:id="263" w:name="_Toc29315744"/>
      <w:bookmarkStart w:id="264" w:name="_Toc29315865"/>
      <w:bookmarkStart w:id="265" w:name="_Ref169620394"/>
      <w:bookmarkStart w:id="266" w:name="_Toc185417673"/>
      <w:bookmarkEnd w:id="193"/>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t xml:space="preserve">Availability of PBS </w:t>
      </w:r>
      <w:r w:rsidRPr="009878C1">
        <w:t>medicines</w:t>
      </w:r>
      <w:bookmarkEnd w:id="265"/>
      <w:bookmarkEnd w:id="266"/>
    </w:p>
    <w:p w14:paraId="142EE1AB" w14:textId="440C01E1" w:rsidR="006D7F96" w:rsidRPr="006D7F96" w:rsidRDefault="00F110D7" w:rsidP="000C0845">
      <w:pPr>
        <w:pStyle w:val="Headingpara2"/>
        <w:rPr>
          <w:b/>
        </w:rPr>
      </w:pPr>
      <w:bookmarkStart w:id="267" w:name="_Toc166502904"/>
      <w:r w:rsidRPr="009878C1">
        <w:t>The Association agrees to take reasonable steps</w:t>
      </w:r>
      <w:r w:rsidR="00FA08BC">
        <w:t>,</w:t>
      </w:r>
      <w:r w:rsidR="00FC4ED7">
        <w:t xml:space="preserve"> to the extent lawful</w:t>
      </w:r>
      <w:r w:rsidR="00FA08BC">
        <w:t>,</w:t>
      </w:r>
      <w:r w:rsidRPr="009878C1">
        <w:t xml:space="preserve"> to</w:t>
      </w:r>
      <w:r w:rsidR="006D7F96">
        <w:t>:</w:t>
      </w:r>
      <w:r w:rsidRPr="009878C1">
        <w:t xml:space="preserve"> </w:t>
      </w:r>
    </w:p>
    <w:p w14:paraId="2712A33C" w14:textId="47701E39" w:rsidR="006D7F96" w:rsidRPr="006D7F96" w:rsidRDefault="00F110D7" w:rsidP="006D7F96">
      <w:pPr>
        <w:pStyle w:val="Heading3"/>
        <w:rPr>
          <w:b/>
        </w:rPr>
      </w:pPr>
      <w:r w:rsidRPr="009878C1">
        <w:t xml:space="preserve">ensure that </w:t>
      </w:r>
      <w:r w:rsidR="00EB2A66" w:rsidRPr="009878C1">
        <w:t>Association Wholesaler</w:t>
      </w:r>
      <w:r w:rsidRPr="009878C1">
        <w:t>s</w:t>
      </w:r>
      <w:r w:rsidR="006D7F96">
        <w:t>;</w:t>
      </w:r>
      <w:r w:rsidR="00597322">
        <w:t xml:space="preserve"> and </w:t>
      </w:r>
    </w:p>
    <w:p w14:paraId="63A2F00D" w14:textId="77777777" w:rsidR="006D7F96" w:rsidRPr="006D7F96" w:rsidRDefault="00597322" w:rsidP="00954BF2">
      <w:pPr>
        <w:pStyle w:val="Heading3"/>
        <w:keepNext/>
        <w:rPr>
          <w:b/>
        </w:rPr>
      </w:pPr>
      <w:r>
        <w:t>encourage Industry Wholesalers</w:t>
      </w:r>
      <w:r w:rsidR="006D7F96">
        <w:t>,</w:t>
      </w:r>
      <w:r>
        <w:t xml:space="preserve"> </w:t>
      </w:r>
    </w:p>
    <w:p w14:paraId="5EE4EBB1" w14:textId="01CE5516" w:rsidR="00F110D7" w:rsidRPr="009878C1" w:rsidRDefault="00597322" w:rsidP="00954BF2">
      <w:pPr>
        <w:keepNext/>
        <w:spacing w:before="240"/>
        <w:ind w:left="851"/>
        <w:rPr>
          <w:b/>
        </w:rPr>
      </w:pPr>
      <w:r>
        <w:t>to</w:t>
      </w:r>
      <w:r w:rsidR="00F110D7" w:rsidRPr="009878C1">
        <w:t>:</w:t>
      </w:r>
      <w:bookmarkEnd w:id="267"/>
      <w:r w:rsidR="00F110D7" w:rsidRPr="009878C1">
        <w:t xml:space="preserve"> </w:t>
      </w:r>
    </w:p>
    <w:p w14:paraId="0F32DD44" w14:textId="2DF74815" w:rsidR="00F110D7" w:rsidRPr="009878C1" w:rsidRDefault="00F110D7" w:rsidP="009A2868">
      <w:pPr>
        <w:pStyle w:val="Heading3"/>
      </w:pPr>
      <w:r w:rsidRPr="009878C1">
        <w:t>purchase and maintain adequate medicine stocks of Pharmaceutical Benefits; and</w:t>
      </w:r>
    </w:p>
    <w:p w14:paraId="2D5F25C3" w14:textId="2DCA8745" w:rsidR="00F110D7" w:rsidRPr="009878C1" w:rsidRDefault="00F110D7" w:rsidP="009A2868">
      <w:pPr>
        <w:pStyle w:val="Heading3"/>
      </w:pPr>
      <w:r w:rsidRPr="009878C1">
        <w:t>maintain and continuously improve efficient, effective and reliable systems and processes for the supply of Pharmaceutical Benefits,</w:t>
      </w:r>
    </w:p>
    <w:p w14:paraId="36387C30" w14:textId="06184A64" w:rsidR="00F110D7" w:rsidRDefault="00F110D7" w:rsidP="009A2868">
      <w:pPr>
        <w:spacing w:before="240"/>
        <w:ind w:left="851"/>
      </w:pPr>
      <w:proofErr w:type="gramStart"/>
      <w:r w:rsidRPr="009878C1">
        <w:t>so as to</w:t>
      </w:r>
      <w:proofErr w:type="gramEnd"/>
      <w:r w:rsidRPr="009878C1">
        <w:t xml:space="preserve"> facilitate reasonable and timely access to Pharmaceutical Benefits by patients to the extent that the demand for those Pharmaceutical Benefits is, or should reasonably have been, anticipated by </w:t>
      </w:r>
      <w:r w:rsidR="00DB25FC">
        <w:t xml:space="preserve">Pharmaceutical </w:t>
      </w:r>
      <w:r w:rsidRPr="009878C1">
        <w:t>Wholesaler</w:t>
      </w:r>
      <w:r w:rsidR="00A24083">
        <w:t>s</w:t>
      </w:r>
      <w:r w:rsidRPr="009878C1">
        <w:t>.</w:t>
      </w:r>
    </w:p>
    <w:p w14:paraId="50CD476D" w14:textId="31256675" w:rsidR="008E4505" w:rsidRPr="0019091D" w:rsidRDefault="0019091D" w:rsidP="000C0845">
      <w:pPr>
        <w:pStyle w:val="Headingpara2"/>
      </w:pPr>
      <w:r w:rsidRPr="0019091D">
        <w:t xml:space="preserve">The parties acknowledge that the Operational Guidelines contain provisions setting out the </w:t>
      </w:r>
      <w:r w:rsidR="008E4505" w:rsidRPr="0019091D">
        <w:t xml:space="preserve">consequences of default </w:t>
      </w:r>
      <w:r w:rsidRPr="0019091D">
        <w:t>by</w:t>
      </w:r>
      <w:r>
        <w:t xml:space="preserve"> Eligible</w:t>
      </w:r>
      <w:r w:rsidRPr="0019091D">
        <w:t xml:space="preserve"> Pharmaceutical Wholesalers </w:t>
      </w:r>
      <w:r w:rsidR="008E4505" w:rsidRPr="0019091D">
        <w:t>in meeting service standards</w:t>
      </w:r>
      <w:r w:rsidRPr="0019091D">
        <w:t>.</w:t>
      </w:r>
    </w:p>
    <w:p w14:paraId="300108D1" w14:textId="77777777" w:rsidR="00F110D7" w:rsidRPr="0016680C" w:rsidRDefault="00F110D7" w:rsidP="00F110D7">
      <w:pPr>
        <w:pStyle w:val="Heading1"/>
        <w:rPr>
          <w:rFonts w:eastAsia="Calibri"/>
          <w:lang w:eastAsia="zh-CN"/>
        </w:rPr>
      </w:pPr>
      <w:bookmarkStart w:id="268" w:name="_Toc41328609"/>
      <w:bookmarkStart w:id="269" w:name="_Toc41335160"/>
      <w:bookmarkStart w:id="270" w:name="_Toc41335329"/>
      <w:bookmarkStart w:id="271" w:name="_Toc41340156"/>
      <w:bookmarkStart w:id="272" w:name="_Toc41346016"/>
      <w:bookmarkStart w:id="273" w:name="_Toc185417674"/>
      <w:bookmarkEnd w:id="268"/>
      <w:bookmarkEnd w:id="269"/>
      <w:bookmarkEnd w:id="270"/>
      <w:bookmarkEnd w:id="271"/>
      <w:bookmarkEnd w:id="272"/>
      <w:r>
        <w:rPr>
          <w:rFonts w:eastAsia="Calibri"/>
          <w:lang w:eastAsia="zh-CN"/>
        </w:rPr>
        <w:lastRenderedPageBreak/>
        <w:t>Managing medicine shortages</w:t>
      </w:r>
      <w:bookmarkEnd w:id="273"/>
    </w:p>
    <w:p w14:paraId="614911A0" w14:textId="14F49771" w:rsidR="003049C7" w:rsidRPr="0019091D" w:rsidRDefault="00B16C38" w:rsidP="00F110D7">
      <w:pPr>
        <w:pStyle w:val="Headingpara2"/>
        <w:keepNext/>
      </w:pPr>
      <w:bookmarkStart w:id="274" w:name="_Ref169620446"/>
      <w:r w:rsidRPr="0019091D">
        <w:t>The parties acknowledge</w:t>
      </w:r>
      <w:r w:rsidR="001F3955" w:rsidRPr="0019091D">
        <w:t xml:space="preserve"> that</w:t>
      </w:r>
      <w:r w:rsidRPr="0019091D">
        <w:t>:</w:t>
      </w:r>
    </w:p>
    <w:p w14:paraId="4F9F8705" w14:textId="03D5BC64" w:rsidR="001F3955" w:rsidRPr="0019091D" w:rsidRDefault="001F3955" w:rsidP="00B16C38">
      <w:pPr>
        <w:pStyle w:val="Heading3"/>
      </w:pPr>
      <w:r w:rsidRPr="0019091D">
        <w:t>S</w:t>
      </w:r>
      <w:r w:rsidR="00B16C38" w:rsidRPr="0019091D">
        <w:t>hortages have a significant impact on the health and wellbeing of Australians</w:t>
      </w:r>
      <w:r w:rsidRPr="0019091D">
        <w:t xml:space="preserve"> and</w:t>
      </w:r>
      <w:r w:rsidR="00DA2A2D" w:rsidRPr="0019091D">
        <w:t>,</w:t>
      </w:r>
      <w:r w:rsidRPr="0019091D">
        <w:t xml:space="preserve"> when they occur, it places pressure on other parts of the health care system as patients seek alternate support from primary and acute care settings;</w:t>
      </w:r>
    </w:p>
    <w:p w14:paraId="7BDE3172" w14:textId="048CB2BF" w:rsidR="00E16D3D" w:rsidRPr="0019091D" w:rsidRDefault="001F3955" w:rsidP="00E16D3D">
      <w:pPr>
        <w:pStyle w:val="Heading3"/>
      </w:pPr>
      <w:r w:rsidRPr="0019091D">
        <w:t>the parties</w:t>
      </w:r>
      <w:r w:rsidR="00E16D3D" w:rsidRPr="0019091D">
        <w:t xml:space="preserve"> hold a shared </w:t>
      </w:r>
      <w:r w:rsidR="00DA2A2D" w:rsidRPr="0019091D">
        <w:t>desire</w:t>
      </w:r>
      <w:r w:rsidR="00E16D3D" w:rsidRPr="0019091D">
        <w:t xml:space="preserve"> to minimise the impact of </w:t>
      </w:r>
      <w:r w:rsidRPr="0019091D">
        <w:t>S</w:t>
      </w:r>
      <w:r w:rsidR="00E16D3D" w:rsidRPr="0019091D">
        <w:t>hortages on Australians</w:t>
      </w:r>
      <w:r w:rsidRPr="0019091D">
        <w:t xml:space="preserve">; </w:t>
      </w:r>
    </w:p>
    <w:p w14:paraId="798F35E5" w14:textId="7FD5164F" w:rsidR="001F3955" w:rsidRPr="0019091D" w:rsidRDefault="00DD2030" w:rsidP="00E16D3D">
      <w:pPr>
        <w:pStyle w:val="Heading3"/>
      </w:pPr>
      <w:r w:rsidRPr="0019091D">
        <w:t xml:space="preserve">Pharmaceutical </w:t>
      </w:r>
      <w:r w:rsidR="001F3955" w:rsidRPr="0019091D">
        <w:t>W</w:t>
      </w:r>
      <w:r w:rsidRPr="0019091D">
        <w:t xml:space="preserve">holesalers provide several vital services </w:t>
      </w:r>
      <w:r w:rsidR="001F3955" w:rsidRPr="0019091D">
        <w:t>that</w:t>
      </w:r>
      <w:r w:rsidRPr="0019091D">
        <w:t xml:space="preserve"> support the Commonwealth’s management of </w:t>
      </w:r>
      <w:r w:rsidR="001F3955" w:rsidRPr="0019091D">
        <w:t>S</w:t>
      </w:r>
      <w:r w:rsidRPr="0019091D">
        <w:t>hortages and their impact on Australians</w:t>
      </w:r>
      <w:r w:rsidR="001F3955" w:rsidRPr="0019091D">
        <w:t>; and</w:t>
      </w:r>
    </w:p>
    <w:p w14:paraId="3077E9D7" w14:textId="03DF870B" w:rsidR="00351EB9" w:rsidRPr="0019091D" w:rsidRDefault="001F3955" w:rsidP="00E16D3D">
      <w:pPr>
        <w:pStyle w:val="Heading3"/>
      </w:pPr>
      <w:r w:rsidRPr="0019091D">
        <w:t xml:space="preserve">through the MSM Top-Ups, the Commonwealth is </w:t>
      </w:r>
      <w:r w:rsidR="00D4307A" w:rsidRPr="0019091D">
        <w:t>providing additional assistance to</w:t>
      </w:r>
      <w:r w:rsidR="0020095E">
        <w:t xml:space="preserve"> Eligible</w:t>
      </w:r>
      <w:r w:rsidRPr="0019091D">
        <w:t xml:space="preserve"> Pharmaceutical Wholesalers to </w:t>
      </w:r>
      <w:r w:rsidR="00D4307A" w:rsidRPr="0019091D">
        <w:t xml:space="preserve">contend </w:t>
      </w:r>
      <w:r w:rsidRPr="0019091D">
        <w:t xml:space="preserve">with the growing cost of managing Shortages amidst the growth of the PBS, and </w:t>
      </w:r>
      <w:r w:rsidR="00D4307A" w:rsidRPr="0019091D">
        <w:t>uncertain global supply chains</w:t>
      </w:r>
      <w:r w:rsidR="00DD2030" w:rsidRPr="0019091D">
        <w:t>.</w:t>
      </w:r>
    </w:p>
    <w:p w14:paraId="32BC096D" w14:textId="4EA2C4FD" w:rsidR="00F110D7" w:rsidRPr="0019091D" w:rsidRDefault="00D4307A" w:rsidP="00F110D7">
      <w:pPr>
        <w:pStyle w:val="Headingpara2"/>
        <w:keepNext/>
      </w:pPr>
      <w:r w:rsidRPr="0019091D">
        <w:t>W</w:t>
      </w:r>
      <w:r w:rsidR="003842C9" w:rsidRPr="0019091D">
        <w:t xml:space="preserve">ithout limiting clause </w:t>
      </w:r>
      <w:r w:rsidR="003842C9" w:rsidRPr="0019091D">
        <w:fldChar w:fldCharType="begin"/>
      </w:r>
      <w:r w:rsidR="003842C9" w:rsidRPr="0019091D">
        <w:instrText xml:space="preserve"> REF _Ref169620394 \w \h  \* MERGEFORMAT </w:instrText>
      </w:r>
      <w:r w:rsidR="003842C9" w:rsidRPr="0019091D">
        <w:fldChar w:fldCharType="separate"/>
      </w:r>
      <w:r w:rsidR="008F5D42">
        <w:t>6</w:t>
      </w:r>
      <w:r w:rsidR="003842C9" w:rsidRPr="0019091D">
        <w:fldChar w:fldCharType="end"/>
      </w:r>
      <w:r w:rsidR="003842C9" w:rsidRPr="0019091D">
        <w:t>, t</w:t>
      </w:r>
      <w:r w:rsidR="00EB58DD" w:rsidRPr="0019091D">
        <w:t>he Association must use its best endeavours</w:t>
      </w:r>
      <w:r w:rsidR="00FA08BC">
        <w:t>,</w:t>
      </w:r>
      <w:r w:rsidR="00EB58DD" w:rsidRPr="0019091D">
        <w:t xml:space="preserve"> </w:t>
      </w:r>
      <w:r w:rsidR="00FC4ED7">
        <w:t>to the extent lawful</w:t>
      </w:r>
      <w:r w:rsidR="00FA08BC">
        <w:t>,</w:t>
      </w:r>
      <w:r w:rsidR="00FC4ED7">
        <w:t xml:space="preserve"> </w:t>
      </w:r>
      <w:r w:rsidR="00EB58DD" w:rsidRPr="0019091D">
        <w:t>to:</w:t>
      </w:r>
      <w:bookmarkEnd w:id="274"/>
      <w:r w:rsidR="00EB58DD" w:rsidRPr="0019091D">
        <w:t xml:space="preserve"> </w:t>
      </w:r>
    </w:p>
    <w:p w14:paraId="203B1B3E" w14:textId="33444933" w:rsidR="00D4307A" w:rsidRPr="0019091D" w:rsidRDefault="00D4307A" w:rsidP="00EB58DD">
      <w:pPr>
        <w:pStyle w:val="Heading3"/>
      </w:pPr>
      <w:r w:rsidRPr="0019091D">
        <w:t xml:space="preserve">provide </w:t>
      </w:r>
      <w:r w:rsidR="00DA2A2D" w:rsidRPr="0019091D">
        <w:t xml:space="preserve">to </w:t>
      </w:r>
      <w:r w:rsidRPr="0019091D">
        <w:t xml:space="preserve">the </w:t>
      </w:r>
      <w:r w:rsidR="00814E46" w:rsidRPr="0019091D">
        <w:t>Department</w:t>
      </w:r>
      <w:r w:rsidRPr="0019091D">
        <w:t xml:space="preserve"> advance warning of any Shortages </w:t>
      </w:r>
      <w:r w:rsidR="00DA2A2D" w:rsidRPr="0019091D">
        <w:t xml:space="preserve">of which </w:t>
      </w:r>
      <w:r w:rsidR="009F702A" w:rsidRPr="0019091D">
        <w:t xml:space="preserve">the Association becomes aware, or </w:t>
      </w:r>
      <w:r w:rsidR="006D7F96">
        <w:t xml:space="preserve">that it </w:t>
      </w:r>
      <w:r w:rsidR="009F702A" w:rsidRPr="0019091D">
        <w:t xml:space="preserve">believes </w:t>
      </w:r>
      <w:r w:rsidR="006D7F96">
        <w:t>are</w:t>
      </w:r>
      <w:r w:rsidR="006D7F96" w:rsidRPr="0019091D">
        <w:t xml:space="preserve"> </w:t>
      </w:r>
      <w:r w:rsidR="009F702A" w:rsidRPr="0019091D">
        <w:t>likely to occur;</w:t>
      </w:r>
    </w:p>
    <w:p w14:paraId="427DC764" w14:textId="66F950DD" w:rsidR="00EB58DD" w:rsidRPr="0019091D" w:rsidRDefault="00D4307A" w:rsidP="00EB58DD">
      <w:pPr>
        <w:pStyle w:val="Heading3"/>
      </w:pPr>
      <w:r w:rsidRPr="0019091D">
        <w:t>s</w:t>
      </w:r>
      <w:r w:rsidR="00587AB6" w:rsidRPr="0019091D">
        <w:t xml:space="preserve">upport the Commonwealth </w:t>
      </w:r>
      <w:r w:rsidR="00D06562" w:rsidRPr="0019091D">
        <w:t xml:space="preserve">in managing </w:t>
      </w:r>
      <w:r w:rsidRPr="0019091D">
        <w:t>S</w:t>
      </w:r>
      <w:r w:rsidR="00D06562" w:rsidRPr="0019091D">
        <w:t>hortages</w:t>
      </w:r>
      <w:r w:rsidR="009F702A" w:rsidRPr="0019091D">
        <w:t xml:space="preserve"> (including resultant risks, and any increases in severity or longevity)</w:t>
      </w:r>
      <w:r w:rsidRPr="0019091D">
        <w:t>;</w:t>
      </w:r>
    </w:p>
    <w:p w14:paraId="27C81A32" w14:textId="79EC3F7C" w:rsidR="00D06562" w:rsidRPr="0019091D" w:rsidRDefault="00D4307A" w:rsidP="00EB58DD">
      <w:pPr>
        <w:pStyle w:val="Heading3"/>
      </w:pPr>
      <w:r w:rsidRPr="0019091D">
        <w:t>p</w:t>
      </w:r>
      <w:r w:rsidR="00D06562" w:rsidRPr="0019091D">
        <w:t>roactively mana</w:t>
      </w:r>
      <w:r w:rsidR="00581693" w:rsidRPr="0019091D">
        <w:t xml:space="preserve">ge </w:t>
      </w:r>
      <w:r w:rsidR="009F702A" w:rsidRPr="0019091D">
        <w:t xml:space="preserve">the </w:t>
      </w:r>
      <w:r w:rsidR="00581693" w:rsidRPr="0019091D">
        <w:t xml:space="preserve">supply </w:t>
      </w:r>
      <w:r w:rsidR="009F702A" w:rsidRPr="0019091D">
        <w:t xml:space="preserve">of Pharmaceutical Benefits </w:t>
      </w:r>
      <w:r w:rsidR="00581693" w:rsidRPr="0019091D">
        <w:t>into regional</w:t>
      </w:r>
      <w:r w:rsidRPr="0019091D">
        <w:t xml:space="preserve">, </w:t>
      </w:r>
      <w:r w:rsidR="00581693" w:rsidRPr="0019091D">
        <w:t>rural</w:t>
      </w:r>
      <w:r w:rsidRPr="0019091D">
        <w:t xml:space="preserve"> and</w:t>
      </w:r>
      <w:r w:rsidR="00581693" w:rsidRPr="0019091D">
        <w:t xml:space="preserve"> remote areas </w:t>
      </w:r>
      <w:r w:rsidRPr="0019091D">
        <w:t>of Australia</w:t>
      </w:r>
      <w:r w:rsidR="00DA2A2D" w:rsidRPr="0019091D">
        <w:t>,</w:t>
      </w:r>
      <w:r w:rsidRPr="0019091D">
        <w:t xml:space="preserve"> </w:t>
      </w:r>
      <w:r w:rsidR="00581693" w:rsidRPr="0019091D">
        <w:t xml:space="preserve">to ensure </w:t>
      </w:r>
      <w:r w:rsidRPr="0019091D">
        <w:t xml:space="preserve">that </w:t>
      </w:r>
      <w:r w:rsidR="00581693" w:rsidRPr="0019091D">
        <w:t xml:space="preserve">access to </w:t>
      </w:r>
      <w:r w:rsidRPr="0019091D">
        <w:t xml:space="preserve">Pharmaceutical Benefits </w:t>
      </w:r>
      <w:r w:rsidR="00581693" w:rsidRPr="0019091D">
        <w:t>is maintained</w:t>
      </w:r>
      <w:r w:rsidRPr="0019091D">
        <w:t xml:space="preserve"> in </w:t>
      </w:r>
      <w:proofErr w:type="gramStart"/>
      <w:r w:rsidRPr="0019091D">
        <w:t>all of</w:t>
      </w:r>
      <w:proofErr w:type="gramEnd"/>
      <w:r w:rsidRPr="0019091D">
        <w:t xml:space="preserve"> these areas; </w:t>
      </w:r>
    </w:p>
    <w:p w14:paraId="059E91D9" w14:textId="774C7CE4" w:rsidR="008002E7" w:rsidRPr="0019091D" w:rsidRDefault="00D4307A" w:rsidP="00EB58DD">
      <w:pPr>
        <w:pStyle w:val="Heading3"/>
      </w:pPr>
      <w:r w:rsidRPr="0019091D">
        <w:t>t</w:t>
      </w:r>
      <w:r w:rsidR="008002E7" w:rsidRPr="0019091D">
        <w:t xml:space="preserve">riage inventory </w:t>
      </w:r>
      <w:r w:rsidR="00AC56CA" w:rsidRPr="0019091D">
        <w:t>orders to support the guiding principles of the National Medicines Policy</w:t>
      </w:r>
      <w:r w:rsidRPr="0019091D">
        <w:t>;</w:t>
      </w:r>
    </w:p>
    <w:p w14:paraId="7F9D1D47" w14:textId="3B5A0927" w:rsidR="00AC56CA" w:rsidRPr="0019091D" w:rsidRDefault="00D4307A" w:rsidP="00EB58DD">
      <w:pPr>
        <w:pStyle w:val="Heading3"/>
      </w:pPr>
      <w:r w:rsidRPr="0019091D">
        <w:t>s</w:t>
      </w:r>
      <w:r w:rsidR="00AC56CA" w:rsidRPr="0019091D">
        <w:t>upport the Commonwealth</w:t>
      </w:r>
      <w:r w:rsidRPr="0019091D">
        <w:t>,</w:t>
      </w:r>
      <w:r w:rsidR="00AC56CA" w:rsidRPr="0019091D">
        <w:t xml:space="preserve"> and</w:t>
      </w:r>
      <w:r w:rsidRPr="0019091D">
        <w:t xml:space="preserve"> </w:t>
      </w:r>
      <w:r w:rsidR="00AC56CA" w:rsidRPr="0019091D">
        <w:t xml:space="preserve">State and Territory </w:t>
      </w:r>
      <w:r w:rsidRPr="0019091D">
        <w:t xml:space="preserve">Government Agencies, </w:t>
      </w:r>
      <w:r w:rsidR="006408E7" w:rsidRPr="0019091D">
        <w:t>in times of natural disaster</w:t>
      </w:r>
      <w:r w:rsidRPr="0019091D">
        <w:t xml:space="preserve"> or</w:t>
      </w:r>
      <w:r w:rsidR="006408E7" w:rsidRPr="0019091D">
        <w:t xml:space="preserve"> emergency</w:t>
      </w:r>
      <w:r w:rsidRPr="0019091D">
        <w:t>,</w:t>
      </w:r>
      <w:r w:rsidR="006408E7" w:rsidRPr="0019091D">
        <w:t xml:space="preserve"> to ensure </w:t>
      </w:r>
      <w:r w:rsidRPr="0019091D">
        <w:t xml:space="preserve">the uninterrupted and continuing </w:t>
      </w:r>
      <w:r w:rsidR="006408E7" w:rsidRPr="0019091D">
        <w:t xml:space="preserve">supply of </w:t>
      </w:r>
      <w:r w:rsidRPr="0019091D">
        <w:t xml:space="preserve">Pharmaceutical Benefits </w:t>
      </w:r>
      <w:r w:rsidR="006408E7" w:rsidRPr="0019091D">
        <w:t xml:space="preserve">and other health related products </w:t>
      </w:r>
      <w:r w:rsidRPr="0019091D">
        <w:t xml:space="preserve">to Australians living in areas affected by those natural disasters or emergencies;  </w:t>
      </w:r>
    </w:p>
    <w:p w14:paraId="2FEBDD99" w14:textId="29757B13" w:rsidR="007F5800" w:rsidRPr="0019091D" w:rsidRDefault="00D4307A" w:rsidP="00EB58DD">
      <w:pPr>
        <w:pStyle w:val="Heading3"/>
      </w:pPr>
      <w:r w:rsidRPr="0019091D">
        <w:t>s</w:t>
      </w:r>
      <w:r w:rsidR="007F5800" w:rsidRPr="0019091D">
        <w:t xml:space="preserve">tock and supply non-PBS vaccines to </w:t>
      </w:r>
      <w:r w:rsidRPr="0019091D">
        <w:t>Approved Pharmacists</w:t>
      </w:r>
      <w:r w:rsidR="00100D65" w:rsidRPr="0019091D">
        <w:t xml:space="preserve"> in a safe, secure and timely manner</w:t>
      </w:r>
      <w:r w:rsidRPr="0019091D">
        <w:t>; and</w:t>
      </w:r>
    </w:p>
    <w:p w14:paraId="72C269B8" w14:textId="243DD938" w:rsidR="00F110D7" w:rsidRPr="00317D12" w:rsidRDefault="00D4307A" w:rsidP="00317D12">
      <w:pPr>
        <w:pStyle w:val="Heading3"/>
      </w:pPr>
      <w:r w:rsidRPr="0019091D">
        <w:t>w</w:t>
      </w:r>
      <w:r w:rsidR="00D915F1" w:rsidRPr="0019091D">
        <w:t xml:space="preserve">ork collaboratively with the Commonwealth towards </w:t>
      </w:r>
      <w:r w:rsidR="009F702A" w:rsidRPr="0019091D">
        <w:t xml:space="preserve">the Commonwealth’s </w:t>
      </w:r>
      <w:r w:rsidR="00D915F1" w:rsidRPr="0019091D">
        <w:t xml:space="preserve">implementation of new policy measures that will reduce the impact of </w:t>
      </w:r>
      <w:r w:rsidRPr="0019091D">
        <w:t>S</w:t>
      </w:r>
      <w:r w:rsidR="00D915F1" w:rsidRPr="0019091D">
        <w:t>hortages on Australians</w:t>
      </w:r>
      <w:r w:rsidR="00CD5485" w:rsidRPr="0019091D">
        <w:t xml:space="preserve">. </w:t>
      </w:r>
    </w:p>
    <w:p w14:paraId="189C5F7C" w14:textId="72EA86BA" w:rsidR="00DB25FC" w:rsidRDefault="00F110D7" w:rsidP="00F110D7">
      <w:pPr>
        <w:pStyle w:val="Headingpara2"/>
        <w:keepNext/>
        <w:keepLines/>
      </w:pPr>
      <w:bookmarkStart w:id="275" w:name="_Ref166498648"/>
      <w:r>
        <w:t>The Association</w:t>
      </w:r>
      <w:r w:rsidR="00FA08BC">
        <w:t>,</w:t>
      </w:r>
      <w:r w:rsidR="00FC4ED7">
        <w:t xml:space="preserve"> to the extent lawful</w:t>
      </w:r>
      <w:r w:rsidR="00DB25FC">
        <w:t>:</w:t>
      </w:r>
      <w:r>
        <w:t xml:space="preserve"> </w:t>
      </w:r>
    </w:p>
    <w:p w14:paraId="613153E5" w14:textId="189ED4EB" w:rsidR="00DB25FC" w:rsidRDefault="00DB25FC" w:rsidP="00DB25FC">
      <w:pPr>
        <w:pStyle w:val="Heading3"/>
      </w:pPr>
      <w:r>
        <w:t>r</w:t>
      </w:r>
      <w:r w:rsidR="00F110D7">
        <w:t>ecognise</w:t>
      </w:r>
      <w:r w:rsidR="00A24083">
        <w:t>s</w:t>
      </w:r>
      <w:r>
        <w:t>;</w:t>
      </w:r>
      <w:r w:rsidR="00A24083">
        <w:t xml:space="preserve"> </w:t>
      </w:r>
    </w:p>
    <w:p w14:paraId="237132A3" w14:textId="205B0388" w:rsidR="00DB25FC" w:rsidRDefault="00A24083" w:rsidP="00DB25FC">
      <w:pPr>
        <w:pStyle w:val="Heading3"/>
      </w:pPr>
      <w:r>
        <w:t>must ensure that Association Wholesalers</w:t>
      </w:r>
      <w:r w:rsidR="00F110D7">
        <w:t xml:space="preserve"> </w:t>
      </w:r>
      <w:r>
        <w:t>understand</w:t>
      </w:r>
      <w:r w:rsidR="00DB25FC">
        <w:t>; and</w:t>
      </w:r>
    </w:p>
    <w:p w14:paraId="2F9732ED" w14:textId="0ED2B8D0" w:rsidR="00DB25FC" w:rsidRDefault="00DB25FC" w:rsidP="00DB25FC">
      <w:pPr>
        <w:pStyle w:val="Heading3"/>
      </w:pPr>
      <w:r>
        <w:t>must take reasonable steps to assist Industry Wholesalers to understand</w:t>
      </w:r>
      <w:r w:rsidR="00A24083">
        <w:t xml:space="preserve">, </w:t>
      </w:r>
    </w:p>
    <w:p w14:paraId="275EB0DB" w14:textId="081DE75A" w:rsidR="00F110D7" w:rsidRPr="007E77E4" w:rsidRDefault="00F110D7" w:rsidP="005C0514">
      <w:pPr>
        <w:pStyle w:val="Heading3"/>
        <w:keepNext/>
        <w:numPr>
          <w:ilvl w:val="0"/>
          <w:numId w:val="0"/>
        </w:numPr>
        <w:ind w:left="851"/>
      </w:pPr>
      <w:r>
        <w:t>that,</w:t>
      </w:r>
      <w:r w:rsidR="009B2809">
        <w:t xml:space="preserve"> by</w:t>
      </w:r>
      <w:r>
        <w:t xml:space="preserve"> </w:t>
      </w:r>
      <w:r w:rsidR="007257BC">
        <w:t xml:space="preserve">accepting payments </w:t>
      </w:r>
      <w:r w:rsidR="00A24083">
        <w:t xml:space="preserve">in accordance with </w:t>
      </w:r>
      <w:r w:rsidR="007257BC">
        <w:t>this Agreement</w:t>
      </w:r>
      <w:r>
        <w:t xml:space="preserve">, </w:t>
      </w:r>
      <w:r w:rsidR="00DB25FC">
        <w:t xml:space="preserve">Pharmaceutical </w:t>
      </w:r>
      <w:r w:rsidR="00EB2A66">
        <w:t>Wholesaler</w:t>
      </w:r>
      <w:r>
        <w:t xml:space="preserve">s </w:t>
      </w:r>
      <w:r w:rsidR="00A24083">
        <w:t xml:space="preserve">will be taken to be </w:t>
      </w:r>
      <w:r>
        <w:t xml:space="preserve">acknowledging </w:t>
      </w:r>
      <w:r w:rsidRPr="007E77E4">
        <w:t xml:space="preserve">that they have complied with all relevant </w:t>
      </w:r>
      <w:r>
        <w:lastRenderedPageBreak/>
        <w:t xml:space="preserve">Commonwealth, </w:t>
      </w:r>
      <w:r w:rsidRPr="007E77E4">
        <w:t xml:space="preserve">State and Territory legislative requirements for the </w:t>
      </w:r>
      <w:r>
        <w:t>supply and distribution of</w:t>
      </w:r>
      <w:r w:rsidRPr="007E77E4">
        <w:t xml:space="preserve"> PBS </w:t>
      </w:r>
      <w:r w:rsidR="00234B4B">
        <w:t xml:space="preserve">or RPBS </w:t>
      </w:r>
      <w:r w:rsidRPr="007E77E4">
        <w:t>medicine</w:t>
      </w:r>
      <w:r w:rsidR="00A24083">
        <w:t>s</w:t>
      </w:r>
      <w:r w:rsidRPr="007E77E4">
        <w:t>, including:</w:t>
      </w:r>
      <w:bookmarkEnd w:id="275"/>
    </w:p>
    <w:p w14:paraId="76B38285" w14:textId="77777777" w:rsidR="00F110D7" w:rsidRDefault="00F110D7" w:rsidP="00F110D7">
      <w:pPr>
        <w:pStyle w:val="Heading3"/>
        <w:keepNext/>
        <w:keepLines/>
      </w:pPr>
      <w:r>
        <w:t xml:space="preserve">the </w:t>
      </w:r>
      <w:r>
        <w:rPr>
          <w:i/>
          <w:iCs/>
        </w:rPr>
        <w:t xml:space="preserve">National Health Act 1953 </w:t>
      </w:r>
      <w:r>
        <w:t>(Cth);</w:t>
      </w:r>
    </w:p>
    <w:p w14:paraId="5FA314A9" w14:textId="77777777" w:rsidR="00F110D7" w:rsidRPr="00A80135" w:rsidRDefault="00F110D7" w:rsidP="00F110D7">
      <w:pPr>
        <w:pStyle w:val="Heading3"/>
        <w:keepNext/>
        <w:keepLines/>
      </w:pPr>
      <w:r>
        <w:t xml:space="preserve">the </w:t>
      </w:r>
      <w:r w:rsidRPr="000B4D6D">
        <w:t>Australian Code of Good Wholesaling Practice for</w:t>
      </w:r>
      <w:r>
        <w:t xml:space="preserve"> Medicines in Schedules 2, 3, 4 and 8; </w:t>
      </w:r>
    </w:p>
    <w:p w14:paraId="4031BC3F" w14:textId="4EB36E19" w:rsidR="00F110D7" w:rsidRPr="009B2809" w:rsidRDefault="00F110D7" w:rsidP="00F110D7">
      <w:pPr>
        <w:pStyle w:val="Heading3"/>
        <w:keepLines/>
      </w:pPr>
      <w:r w:rsidRPr="009B2809">
        <w:t xml:space="preserve">the standards and requirements as established by other authorities, including the </w:t>
      </w:r>
      <w:r w:rsidRPr="009B2809">
        <w:rPr>
          <w:rStyle w:val="IntenseReference"/>
          <w:b w:val="0"/>
          <w:bCs w:val="0"/>
          <w:i w:val="0"/>
          <w:smallCaps w:val="0"/>
          <w:color w:val="auto"/>
          <w:spacing w:val="0"/>
        </w:rPr>
        <w:t>Therapeutic Goods Administration</w:t>
      </w:r>
      <w:r w:rsidRPr="009B2809">
        <w:t>;</w:t>
      </w:r>
    </w:p>
    <w:p w14:paraId="4F0F95E7" w14:textId="408C5C32" w:rsidR="00F110D7" w:rsidRPr="009B2809" w:rsidRDefault="00F110D7" w:rsidP="00F110D7">
      <w:pPr>
        <w:pStyle w:val="Heading3"/>
      </w:pPr>
      <w:r w:rsidRPr="009B2809">
        <w:t>any regulations or requirements as established by States and Territories with respect to one or more of the registration, practice or handling of medicines established within that State or Territory;</w:t>
      </w:r>
      <w:r w:rsidR="007257BC">
        <w:t xml:space="preserve"> and</w:t>
      </w:r>
    </w:p>
    <w:p w14:paraId="23F690AB" w14:textId="77777777" w:rsidR="00F110D7" w:rsidRPr="009B2809" w:rsidRDefault="00F110D7" w:rsidP="00F110D7">
      <w:pPr>
        <w:pStyle w:val="Heading3"/>
        <w:rPr>
          <w:rFonts w:cs="Arial"/>
          <w:i/>
          <w:iCs/>
          <w:sz w:val="18"/>
          <w:szCs w:val="18"/>
        </w:rPr>
      </w:pPr>
      <w:r w:rsidRPr="009B2809">
        <w:t>all applicable State, Territory and Commonwealth laws with respect to the conduct of their function</w:t>
      </w:r>
      <w:bookmarkStart w:id="276" w:name="_Hlk26815603"/>
      <w:r w:rsidRPr="009B2809">
        <w:t>.</w:t>
      </w:r>
    </w:p>
    <w:p w14:paraId="72EEFBCC" w14:textId="6EE19592" w:rsidR="00DB25FC" w:rsidRDefault="00DB25FC" w:rsidP="005C081D">
      <w:pPr>
        <w:pStyle w:val="Heading1"/>
      </w:pPr>
      <w:bookmarkStart w:id="277" w:name="_Toc41328616"/>
      <w:bookmarkStart w:id="278" w:name="_Toc41335167"/>
      <w:bookmarkStart w:id="279" w:name="_Toc41335336"/>
      <w:bookmarkStart w:id="280" w:name="_Toc41340163"/>
      <w:bookmarkStart w:id="281" w:name="_Toc41346023"/>
      <w:bookmarkStart w:id="282" w:name="_Toc41328617"/>
      <w:bookmarkStart w:id="283" w:name="_Toc41335168"/>
      <w:bookmarkStart w:id="284" w:name="_Toc41335337"/>
      <w:bookmarkStart w:id="285" w:name="_Toc41340164"/>
      <w:bookmarkStart w:id="286" w:name="_Toc41346024"/>
      <w:bookmarkStart w:id="287" w:name="_Toc41328620"/>
      <w:bookmarkStart w:id="288" w:name="_Toc41335171"/>
      <w:bookmarkStart w:id="289" w:name="_Toc41335340"/>
      <w:bookmarkStart w:id="290" w:name="_Toc41340167"/>
      <w:bookmarkStart w:id="291" w:name="_Toc41346027"/>
      <w:bookmarkStart w:id="292" w:name="_Toc41328621"/>
      <w:bookmarkStart w:id="293" w:name="_Toc41335172"/>
      <w:bookmarkStart w:id="294" w:name="_Toc41335341"/>
      <w:bookmarkStart w:id="295" w:name="_Toc41340168"/>
      <w:bookmarkStart w:id="296" w:name="_Toc41346028"/>
      <w:bookmarkStart w:id="297" w:name="_Toc41328623"/>
      <w:bookmarkStart w:id="298" w:name="_Toc41335174"/>
      <w:bookmarkStart w:id="299" w:name="_Toc41335343"/>
      <w:bookmarkStart w:id="300" w:name="_Toc41340170"/>
      <w:bookmarkStart w:id="301" w:name="_Toc41346030"/>
      <w:bookmarkStart w:id="302" w:name="_Toc41328626"/>
      <w:bookmarkStart w:id="303" w:name="_Toc41335177"/>
      <w:bookmarkStart w:id="304" w:name="_Toc41335346"/>
      <w:bookmarkStart w:id="305" w:name="_Toc41340173"/>
      <w:bookmarkStart w:id="306" w:name="_Toc41346033"/>
      <w:bookmarkStart w:id="307" w:name="_Toc41328628"/>
      <w:bookmarkStart w:id="308" w:name="_Toc41335179"/>
      <w:bookmarkStart w:id="309" w:name="_Toc41335348"/>
      <w:bookmarkStart w:id="310" w:name="_Toc41340175"/>
      <w:bookmarkStart w:id="311" w:name="_Toc41346035"/>
      <w:bookmarkStart w:id="312" w:name="_Toc41335181"/>
      <w:bookmarkStart w:id="313" w:name="_Toc41335350"/>
      <w:bookmarkStart w:id="314" w:name="_Toc41340177"/>
      <w:bookmarkStart w:id="315" w:name="_Toc41346037"/>
      <w:bookmarkStart w:id="316" w:name="_Toc37179793"/>
      <w:bookmarkStart w:id="317" w:name="_Toc37179795"/>
      <w:bookmarkStart w:id="318" w:name="_Toc37179796"/>
      <w:bookmarkStart w:id="319" w:name="_Toc41335185"/>
      <w:bookmarkStart w:id="320" w:name="_Toc41335354"/>
      <w:bookmarkStart w:id="321" w:name="_Toc41340181"/>
      <w:bookmarkStart w:id="322" w:name="_Toc41346041"/>
      <w:bookmarkStart w:id="323" w:name="_Toc41335186"/>
      <w:bookmarkStart w:id="324" w:name="_Toc41335355"/>
      <w:bookmarkStart w:id="325" w:name="_Toc41340182"/>
      <w:bookmarkStart w:id="326" w:name="_Toc41346042"/>
      <w:bookmarkStart w:id="327" w:name="_Toc41335187"/>
      <w:bookmarkStart w:id="328" w:name="_Toc41335356"/>
      <w:bookmarkStart w:id="329" w:name="_Toc41340183"/>
      <w:bookmarkStart w:id="330" w:name="_Toc41346043"/>
      <w:bookmarkStart w:id="331" w:name="_Toc41335188"/>
      <w:bookmarkStart w:id="332" w:name="_Toc41335357"/>
      <w:bookmarkStart w:id="333" w:name="_Toc41340184"/>
      <w:bookmarkStart w:id="334" w:name="_Toc41346044"/>
      <w:bookmarkStart w:id="335" w:name="_Toc41335189"/>
      <w:bookmarkStart w:id="336" w:name="_Toc41335358"/>
      <w:bookmarkStart w:id="337" w:name="_Toc41340185"/>
      <w:bookmarkStart w:id="338" w:name="_Toc41346045"/>
      <w:bookmarkStart w:id="339" w:name="_Toc41335193"/>
      <w:bookmarkStart w:id="340" w:name="_Toc41335362"/>
      <w:bookmarkStart w:id="341" w:name="_Toc41340189"/>
      <w:bookmarkStart w:id="342" w:name="_Toc41346049"/>
      <w:bookmarkStart w:id="343" w:name="_Toc419754418"/>
      <w:bookmarkStart w:id="344" w:name="_Toc420157575"/>
      <w:bookmarkStart w:id="345" w:name="_Toc420160281"/>
      <w:bookmarkStart w:id="346" w:name="_Toc419972412"/>
      <w:bookmarkStart w:id="347" w:name="_Toc419972413"/>
      <w:bookmarkStart w:id="348" w:name="_Toc419972414"/>
      <w:bookmarkStart w:id="349" w:name="_Toc419972415"/>
      <w:bookmarkStart w:id="350" w:name="_Toc419972416"/>
      <w:bookmarkStart w:id="351" w:name="_Toc419754421"/>
      <w:bookmarkStart w:id="352" w:name="_Toc419754422"/>
      <w:bookmarkStart w:id="353" w:name="_Toc419754423"/>
      <w:bookmarkStart w:id="354" w:name="_Toc419754424"/>
      <w:bookmarkStart w:id="355" w:name="_Toc419754425"/>
      <w:bookmarkStart w:id="356" w:name="_Toc29314608"/>
      <w:bookmarkStart w:id="357" w:name="_Toc29314731"/>
      <w:bookmarkStart w:id="358" w:name="_Toc29315775"/>
      <w:bookmarkStart w:id="359" w:name="_Toc29315896"/>
      <w:bookmarkStart w:id="360" w:name="_Toc40020097"/>
      <w:bookmarkStart w:id="361" w:name="_Toc40020279"/>
      <w:bookmarkStart w:id="362" w:name="_Toc40020099"/>
      <w:bookmarkStart w:id="363" w:name="_Toc40020281"/>
      <w:bookmarkStart w:id="364" w:name="_Toc40020101"/>
      <w:bookmarkStart w:id="365" w:name="_Toc40020283"/>
      <w:bookmarkStart w:id="366" w:name="_Toc40020102"/>
      <w:bookmarkStart w:id="367" w:name="_Toc40020284"/>
      <w:bookmarkStart w:id="368" w:name="_Toc40020104"/>
      <w:bookmarkStart w:id="369" w:name="_Toc40020286"/>
      <w:bookmarkStart w:id="370" w:name="_Toc29314616"/>
      <w:bookmarkStart w:id="371" w:name="_Toc29314739"/>
      <w:bookmarkStart w:id="372" w:name="_Toc29315783"/>
      <w:bookmarkStart w:id="373" w:name="_Toc29315904"/>
      <w:bookmarkStart w:id="374" w:name="_Toc29646245"/>
      <w:bookmarkStart w:id="375" w:name="_Toc29646246"/>
      <w:bookmarkStart w:id="376" w:name="_Toc29646244"/>
      <w:bookmarkStart w:id="377" w:name="_Toc29646248"/>
      <w:bookmarkStart w:id="378" w:name="_Toc419972419"/>
      <w:bookmarkStart w:id="379" w:name="_Toc420157594"/>
      <w:bookmarkStart w:id="380" w:name="_Toc420160300"/>
      <w:bookmarkStart w:id="381" w:name="_Toc420157595"/>
      <w:bookmarkStart w:id="382" w:name="_Toc420160301"/>
      <w:bookmarkStart w:id="383" w:name="_Toc420157596"/>
      <w:bookmarkStart w:id="384" w:name="_Toc420160302"/>
      <w:bookmarkStart w:id="385" w:name="_Toc419754447"/>
      <w:bookmarkStart w:id="386" w:name="_Toc29300793"/>
      <w:bookmarkStart w:id="387" w:name="_Toc29314625"/>
      <w:bookmarkStart w:id="388" w:name="_Toc29314748"/>
      <w:bookmarkStart w:id="389" w:name="_Toc29315792"/>
      <w:bookmarkStart w:id="390" w:name="_Toc29315913"/>
      <w:bookmarkStart w:id="391" w:name="_Toc29300794"/>
      <w:bookmarkStart w:id="392" w:name="_Toc29314626"/>
      <w:bookmarkStart w:id="393" w:name="_Toc29314749"/>
      <w:bookmarkStart w:id="394" w:name="_Toc29315793"/>
      <w:bookmarkStart w:id="395" w:name="_Toc29315914"/>
      <w:bookmarkStart w:id="396" w:name="_Toc29300797"/>
      <w:bookmarkStart w:id="397" w:name="_Toc29314629"/>
      <w:bookmarkStart w:id="398" w:name="_Toc29314752"/>
      <w:bookmarkStart w:id="399" w:name="_Toc29315796"/>
      <w:bookmarkStart w:id="400" w:name="_Toc29315917"/>
      <w:bookmarkStart w:id="401" w:name="_Toc29300798"/>
      <w:bookmarkStart w:id="402" w:name="_Toc29314630"/>
      <w:bookmarkStart w:id="403" w:name="_Toc29314753"/>
      <w:bookmarkStart w:id="404" w:name="_Toc29315797"/>
      <w:bookmarkStart w:id="405" w:name="_Toc29315918"/>
      <w:bookmarkStart w:id="406" w:name="_Toc29300799"/>
      <w:bookmarkStart w:id="407" w:name="_Toc29314631"/>
      <w:bookmarkStart w:id="408" w:name="_Toc29314754"/>
      <w:bookmarkStart w:id="409" w:name="_Toc29315798"/>
      <w:bookmarkStart w:id="410" w:name="_Toc29315919"/>
      <w:bookmarkStart w:id="411" w:name="_Toc29300800"/>
      <w:bookmarkStart w:id="412" w:name="_Toc29314632"/>
      <w:bookmarkStart w:id="413" w:name="_Toc29314755"/>
      <w:bookmarkStart w:id="414" w:name="_Toc29315799"/>
      <w:bookmarkStart w:id="415" w:name="_Toc29315920"/>
      <w:bookmarkStart w:id="416" w:name="_Toc29300801"/>
      <w:bookmarkStart w:id="417" w:name="_Toc29314633"/>
      <w:bookmarkStart w:id="418" w:name="_Toc29314756"/>
      <w:bookmarkStart w:id="419" w:name="_Toc29315800"/>
      <w:bookmarkStart w:id="420" w:name="_Toc29315921"/>
      <w:bookmarkStart w:id="421" w:name="_Toc29300803"/>
      <w:bookmarkStart w:id="422" w:name="_Toc29314635"/>
      <w:bookmarkStart w:id="423" w:name="_Toc29314758"/>
      <w:bookmarkStart w:id="424" w:name="_Toc29315802"/>
      <w:bookmarkStart w:id="425" w:name="_Toc29315923"/>
      <w:bookmarkStart w:id="426" w:name="_Toc29300804"/>
      <w:bookmarkStart w:id="427" w:name="_Toc29314636"/>
      <w:bookmarkStart w:id="428" w:name="_Toc29314759"/>
      <w:bookmarkStart w:id="429" w:name="_Toc29315803"/>
      <w:bookmarkStart w:id="430" w:name="_Toc29315924"/>
      <w:bookmarkStart w:id="431" w:name="_Toc29300809"/>
      <w:bookmarkStart w:id="432" w:name="_Toc29314641"/>
      <w:bookmarkStart w:id="433" w:name="_Toc29314764"/>
      <w:bookmarkStart w:id="434" w:name="_Toc29315808"/>
      <w:bookmarkStart w:id="435" w:name="_Toc29315929"/>
      <w:bookmarkStart w:id="436" w:name="_Toc29300789"/>
      <w:bookmarkStart w:id="437" w:name="_Toc29314621"/>
      <w:bookmarkStart w:id="438" w:name="_Toc29314744"/>
      <w:bookmarkStart w:id="439" w:name="_Toc29315788"/>
      <w:bookmarkStart w:id="440" w:name="_Toc29315909"/>
      <w:bookmarkStart w:id="441" w:name="_Toc29300790"/>
      <w:bookmarkStart w:id="442" w:name="_Toc29314622"/>
      <w:bookmarkStart w:id="443" w:name="_Toc29314745"/>
      <w:bookmarkStart w:id="444" w:name="_Toc29315789"/>
      <w:bookmarkStart w:id="445" w:name="_Toc29315910"/>
      <w:bookmarkStart w:id="446" w:name="_Toc41335196"/>
      <w:bookmarkStart w:id="447" w:name="_Toc41335365"/>
      <w:bookmarkStart w:id="448" w:name="_Toc41340192"/>
      <w:bookmarkStart w:id="449" w:name="_Toc41346052"/>
      <w:bookmarkStart w:id="450" w:name="_Toc29300795"/>
      <w:bookmarkStart w:id="451" w:name="_Toc29314627"/>
      <w:bookmarkStart w:id="452" w:name="_Toc29314750"/>
      <w:bookmarkStart w:id="453" w:name="_Toc29315794"/>
      <w:bookmarkStart w:id="454" w:name="_Toc29315915"/>
      <w:bookmarkStart w:id="455" w:name="_Toc29300806"/>
      <w:bookmarkStart w:id="456" w:name="_Toc29314638"/>
      <w:bookmarkStart w:id="457" w:name="_Toc29314761"/>
      <w:bookmarkStart w:id="458" w:name="_Toc29315805"/>
      <w:bookmarkStart w:id="459" w:name="_Toc29315926"/>
      <w:bookmarkStart w:id="460" w:name="_Toc29300807"/>
      <w:bookmarkStart w:id="461" w:name="_Toc29314639"/>
      <w:bookmarkStart w:id="462" w:name="_Toc29314762"/>
      <w:bookmarkStart w:id="463" w:name="_Toc29315806"/>
      <w:bookmarkStart w:id="464" w:name="_Toc29315927"/>
      <w:bookmarkStart w:id="465" w:name="_Toc29300812"/>
      <w:bookmarkStart w:id="466" w:name="_Toc29314644"/>
      <w:bookmarkStart w:id="467" w:name="_Toc29314767"/>
      <w:bookmarkStart w:id="468" w:name="_Toc29315811"/>
      <w:bookmarkStart w:id="469" w:name="_Toc29315932"/>
      <w:bookmarkStart w:id="470" w:name="_Toc35167780"/>
      <w:bookmarkStart w:id="471" w:name="_Toc35167863"/>
      <w:bookmarkStart w:id="472" w:name="_Toc35168016"/>
      <w:bookmarkStart w:id="473" w:name="_Toc35171546"/>
      <w:bookmarkStart w:id="474" w:name="_Toc419754449"/>
      <w:bookmarkStart w:id="475" w:name="_Toc419754450"/>
      <w:bookmarkStart w:id="476" w:name="_Toc420157600"/>
      <w:bookmarkStart w:id="477" w:name="_Toc420160306"/>
      <w:bookmarkStart w:id="478" w:name="_Toc419754454"/>
      <w:bookmarkStart w:id="479" w:name="_Toc41335376"/>
      <w:bookmarkStart w:id="480" w:name="_Toc41340203"/>
      <w:bookmarkStart w:id="481" w:name="_Toc41346063"/>
      <w:bookmarkStart w:id="482" w:name="_Toc41335207"/>
      <w:bookmarkStart w:id="483" w:name="_Toc41335377"/>
      <w:bookmarkStart w:id="484" w:name="_Toc41340204"/>
      <w:bookmarkStart w:id="485" w:name="_Toc41346064"/>
      <w:bookmarkStart w:id="486" w:name="_Toc41335209"/>
      <w:bookmarkStart w:id="487" w:name="_Toc41335379"/>
      <w:bookmarkStart w:id="488" w:name="_Toc41340206"/>
      <w:bookmarkStart w:id="489" w:name="_Toc41346066"/>
      <w:bookmarkStart w:id="490" w:name="_Toc42266494"/>
      <w:bookmarkStart w:id="491" w:name="_Toc185417675"/>
      <w:bookmarkStart w:id="492" w:name="_Ref41331776"/>
      <w:bookmarkStart w:id="493" w:name="_Ref419536204"/>
      <w:bookmarkEnd w:id="166"/>
      <w:bookmarkEnd w:id="189"/>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r>
        <w:t>Wholesaler Deeds</w:t>
      </w:r>
      <w:bookmarkEnd w:id="491"/>
      <w:r>
        <w:t xml:space="preserve"> </w:t>
      </w:r>
    </w:p>
    <w:p w14:paraId="2390F1D3" w14:textId="5989822F" w:rsidR="00DB25FC" w:rsidRDefault="00DB25FC" w:rsidP="00DA2A2D">
      <w:pPr>
        <w:pStyle w:val="Headingpara2"/>
        <w:keepNext/>
      </w:pPr>
      <w:r>
        <w:t>Without limiting any other provision of this Agreement, t</w:t>
      </w:r>
      <w:r w:rsidRPr="00DB25FC">
        <w:t>he parties acknowledge and agree that:</w:t>
      </w:r>
    </w:p>
    <w:p w14:paraId="2BCCA336" w14:textId="18115607" w:rsidR="00DB25FC" w:rsidRDefault="00DB25FC" w:rsidP="00DB25FC">
      <w:pPr>
        <w:pStyle w:val="Heading3"/>
      </w:pPr>
      <w:r>
        <w:t xml:space="preserve">this Agreement establishes broad principles intended to apply in relation to the payment of WMU Payments and CSO Payments to all Pharmaceutical Wholesalers, </w:t>
      </w:r>
    </w:p>
    <w:p w14:paraId="0980302D" w14:textId="78252ADE" w:rsidR="00DB25FC" w:rsidRDefault="00DB25FC" w:rsidP="0048333E">
      <w:pPr>
        <w:pStyle w:val="Heading3"/>
        <w:keepNext/>
        <w:numPr>
          <w:ilvl w:val="0"/>
          <w:numId w:val="0"/>
        </w:numPr>
        <w:ind w:left="851"/>
      </w:pPr>
      <w:r>
        <w:t xml:space="preserve">but: </w:t>
      </w:r>
    </w:p>
    <w:p w14:paraId="24C33947" w14:textId="77777777" w:rsidR="00DB25FC" w:rsidRDefault="00DB25FC" w:rsidP="00DB25FC">
      <w:pPr>
        <w:pStyle w:val="Heading3"/>
      </w:pPr>
      <w:r>
        <w:t xml:space="preserve">the Association and the Commonwealth are the only entities that are parties to this Agreement; </w:t>
      </w:r>
    </w:p>
    <w:p w14:paraId="78A3664D" w14:textId="088EDA93" w:rsidR="00DB25FC" w:rsidRDefault="00DB25FC" w:rsidP="00DB25FC">
      <w:pPr>
        <w:pStyle w:val="Heading3"/>
      </w:pPr>
      <w:r>
        <w:t xml:space="preserve">Pharmaceutical Wholesalers are separate legal entities to the Association; </w:t>
      </w:r>
    </w:p>
    <w:p w14:paraId="4FF40835" w14:textId="629E8756" w:rsidR="00DB25FC" w:rsidRDefault="00DB25FC" w:rsidP="00DB25FC">
      <w:pPr>
        <w:pStyle w:val="Heading3"/>
      </w:pPr>
      <w:r>
        <w:t xml:space="preserve">the Association only represents a portion of Pharmaceutical Wholesalers (being Association Wholesalers); and </w:t>
      </w:r>
    </w:p>
    <w:p w14:paraId="6849BA4F" w14:textId="7F98ACD2" w:rsidR="00DB25FC" w:rsidRDefault="00DB25FC" w:rsidP="00DB25FC">
      <w:pPr>
        <w:pStyle w:val="Heading3"/>
      </w:pPr>
      <w:r>
        <w:t xml:space="preserve">it will be necessary for the Commonwealth to </w:t>
      </w:r>
      <w:proofErr w:type="gramStart"/>
      <w:r>
        <w:t>enter into</w:t>
      </w:r>
      <w:proofErr w:type="gramEnd"/>
      <w:r>
        <w:t xml:space="preserve"> Wholesaler Deeds with Pharmaceutical Wholesalers to give effect to the principles established by this Agreement, and to facilitate the payment of WMU Payments and CSO Payments to </w:t>
      </w:r>
      <w:r w:rsidR="006D7F96">
        <w:t xml:space="preserve">Eligible </w:t>
      </w:r>
      <w:r>
        <w:t xml:space="preserve">Pharmaceutical Wholesalers. </w:t>
      </w:r>
    </w:p>
    <w:p w14:paraId="17953C7F" w14:textId="4B201C55" w:rsidR="00DB25FC" w:rsidRDefault="00DB25FC" w:rsidP="00954BF2">
      <w:pPr>
        <w:pStyle w:val="Headingpara2"/>
        <w:keepNext/>
      </w:pPr>
      <w:r w:rsidRPr="00DB25FC">
        <w:t>The Association</w:t>
      </w:r>
      <w:r>
        <w:t xml:space="preserve"> agrees</w:t>
      </w:r>
      <w:r w:rsidR="00FA08BC">
        <w:t>,</w:t>
      </w:r>
      <w:r>
        <w:t xml:space="preserve"> </w:t>
      </w:r>
      <w:r w:rsidR="00FC4ED7">
        <w:t>to the extent lawful</w:t>
      </w:r>
      <w:r w:rsidR="00FA08BC">
        <w:t>,</w:t>
      </w:r>
      <w:r w:rsidR="00FC4ED7">
        <w:t xml:space="preserve"> </w:t>
      </w:r>
      <w:r>
        <w:t xml:space="preserve">to provide reasonable assistance to the Commonwealth to negotiate and </w:t>
      </w:r>
      <w:proofErr w:type="gramStart"/>
      <w:r>
        <w:t>enter into</w:t>
      </w:r>
      <w:proofErr w:type="gramEnd"/>
      <w:r>
        <w:t xml:space="preserve"> </w:t>
      </w:r>
      <w:r w:rsidR="003834B9">
        <w:t xml:space="preserve">Wholesaler Deeds </w:t>
      </w:r>
      <w:r>
        <w:t xml:space="preserve">with Pharmaceutical Wholesalers, including by: </w:t>
      </w:r>
    </w:p>
    <w:p w14:paraId="5C52188A" w14:textId="0C5FF25B" w:rsidR="00DB25FC" w:rsidRDefault="00DB25FC" w:rsidP="00DB25FC">
      <w:pPr>
        <w:pStyle w:val="Heading3"/>
      </w:pPr>
      <w:r>
        <w:t xml:space="preserve">providing information to the Commonwealth in relation to the pharmaceutical wholesale industry, Association Wholesalers, and Industry Wholesalers (to the extent the Association holds such information); </w:t>
      </w:r>
    </w:p>
    <w:p w14:paraId="61848824" w14:textId="558E25B3" w:rsidR="00DB25FC" w:rsidRDefault="00DB25FC" w:rsidP="00DB25FC">
      <w:pPr>
        <w:pStyle w:val="Heading3"/>
      </w:pPr>
      <w:r>
        <w:t xml:space="preserve">assisting with the distribution of information to Pharmaceutical Wholesalers in relation to this Agreement, WMU Payments, CSO Payments, and the need for Pharmaceutical Wholesalers to </w:t>
      </w:r>
      <w:proofErr w:type="gramStart"/>
      <w:r>
        <w:t>enter into</w:t>
      </w:r>
      <w:proofErr w:type="gramEnd"/>
      <w:r>
        <w:t xml:space="preserve"> </w:t>
      </w:r>
      <w:r w:rsidR="003834B9">
        <w:t xml:space="preserve">Wholesaler Deeds </w:t>
      </w:r>
      <w:r>
        <w:t xml:space="preserve">to receive WMU Payments and CSO Payments; </w:t>
      </w:r>
    </w:p>
    <w:p w14:paraId="48CACA46" w14:textId="18EE3294" w:rsidR="00DB25FC" w:rsidRDefault="00DB25FC" w:rsidP="00DB25FC">
      <w:pPr>
        <w:pStyle w:val="Heading3"/>
      </w:pPr>
      <w:r>
        <w:t xml:space="preserve">encouraging Pharmaceutical Wholesalers to act reasonably and promptly in considering, and taking steps to enter, </w:t>
      </w:r>
      <w:r w:rsidR="003834B9">
        <w:t>Wholesaler Deeds</w:t>
      </w:r>
      <w:r>
        <w:t>; and</w:t>
      </w:r>
    </w:p>
    <w:p w14:paraId="05E4AA77" w14:textId="7E41146D" w:rsidR="00DB25FC" w:rsidRPr="00DB25FC" w:rsidRDefault="00DB25FC" w:rsidP="00DB25FC">
      <w:pPr>
        <w:pStyle w:val="Heading3"/>
      </w:pPr>
      <w:r>
        <w:t>providing such other assistance as reasonably requested by the Commonwealth</w:t>
      </w:r>
      <w:r w:rsidR="00FC4ED7">
        <w:t>.</w:t>
      </w:r>
      <w:r>
        <w:t xml:space="preserve">   </w:t>
      </w:r>
      <w:r w:rsidRPr="00DB25FC">
        <w:t xml:space="preserve">  </w:t>
      </w:r>
    </w:p>
    <w:p w14:paraId="08F81547" w14:textId="7E84FDDD" w:rsidR="005C081D" w:rsidRPr="0019091D" w:rsidRDefault="009A7C97" w:rsidP="005C081D">
      <w:pPr>
        <w:pStyle w:val="Heading1"/>
      </w:pPr>
      <w:bookmarkStart w:id="494" w:name="_Ref183512412"/>
      <w:bookmarkStart w:id="495" w:name="_Toc185417676"/>
      <w:bookmarkEnd w:id="492"/>
      <w:r w:rsidRPr="0019091D">
        <w:lastRenderedPageBreak/>
        <w:t>Agreement Oversight Committee</w:t>
      </w:r>
      <w:bookmarkEnd w:id="494"/>
      <w:bookmarkEnd w:id="495"/>
    </w:p>
    <w:p w14:paraId="6E4B34B6" w14:textId="1AA7E23F" w:rsidR="009A7C97" w:rsidRPr="0019091D" w:rsidRDefault="009318B8" w:rsidP="009A7C97">
      <w:pPr>
        <w:pStyle w:val="Heading2"/>
        <w:rPr>
          <w:b w:val="0"/>
          <w:bCs/>
        </w:rPr>
      </w:pPr>
      <w:r w:rsidRPr="0019091D">
        <w:rPr>
          <w:b w:val="0"/>
          <w:bCs/>
        </w:rPr>
        <w:t xml:space="preserve">The Department </w:t>
      </w:r>
      <w:r w:rsidR="004807FF" w:rsidRPr="0019091D">
        <w:rPr>
          <w:b w:val="0"/>
          <w:bCs/>
        </w:rPr>
        <w:t xml:space="preserve">will </w:t>
      </w:r>
      <w:r w:rsidRPr="0019091D">
        <w:rPr>
          <w:b w:val="0"/>
          <w:bCs/>
        </w:rPr>
        <w:t>establish</w:t>
      </w:r>
      <w:r w:rsidR="00814E46" w:rsidRPr="0019091D">
        <w:rPr>
          <w:b w:val="0"/>
          <w:bCs/>
        </w:rPr>
        <w:t xml:space="preserve">, at </w:t>
      </w:r>
      <w:r w:rsidR="007B16BA" w:rsidRPr="0019091D">
        <w:rPr>
          <w:b w:val="0"/>
          <w:bCs/>
        </w:rPr>
        <w:t>the Commencement Date,</w:t>
      </w:r>
      <w:r w:rsidR="00814E46" w:rsidRPr="0019091D">
        <w:rPr>
          <w:b w:val="0"/>
          <w:bCs/>
        </w:rPr>
        <w:t xml:space="preserve"> </w:t>
      </w:r>
      <w:r w:rsidRPr="0019091D">
        <w:rPr>
          <w:b w:val="0"/>
          <w:bCs/>
        </w:rPr>
        <w:t>an Agreement Oversight Committee to facilitate regular discussions</w:t>
      </w:r>
      <w:r w:rsidR="009E1577" w:rsidRPr="0019091D">
        <w:rPr>
          <w:b w:val="0"/>
          <w:bCs/>
        </w:rPr>
        <w:t xml:space="preserve"> between </w:t>
      </w:r>
      <w:r w:rsidR="009A7C97" w:rsidRPr="0019091D">
        <w:rPr>
          <w:b w:val="0"/>
          <w:bCs/>
        </w:rPr>
        <w:t>the parties</w:t>
      </w:r>
      <w:r w:rsidR="009E1577" w:rsidRPr="0019091D">
        <w:rPr>
          <w:b w:val="0"/>
          <w:bCs/>
        </w:rPr>
        <w:t xml:space="preserve">. </w:t>
      </w:r>
    </w:p>
    <w:p w14:paraId="424B876D" w14:textId="4868BA6B" w:rsidR="007B16BA" w:rsidRPr="0019091D" w:rsidRDefault="007B16BA" w:rsidP="009A7C97">
      <w:pPr>
        <w:pStyle w:val="Heading2"/>
        <w:rPr>
          <w:b w:val="0"/>
          <w:bCs/>
        </w:rPr>
      </w:pPr>
      <w:r w:rsidRPr="0019091D">
        <w:rPr>
          <w:b w:val="0"/>
          <w:bCs/>
        </w:rPr>
        <w:t xml:space="preserve">The Terms of Reference for the Committee are as set out in Appendix </w:t>
      </w:r>
      <w:r w:rsidR="004855A6">
        <w:rPr>
          <w:b w:val="0"/>
          <w:bCs/>
        </w:rPr>
        <w:t>C</w:t>
      </w:r>
      <w:r w:rsidRPr="0019091D">
        <w:rPr>
          <w:b w:val="0"/>
          <w:bCs/>
        </w:rPr>
        <w:t xml:space="preserve">.  </w:t>
      </w:r>
    </w:p>
    <w:p w14:paraId="563A926F" w14:textId="69D2C18D" w:rsidR="009A7C97" w:rsidRPr="0019091D" w:rsidRDefault="009E1577" w:rsidP="009A7C97">
      <w:pPr>
        <w:pStyle w:val="Heading2"/>
        <w:rPr>
          <w:b w:val="0"/>
          <w:bCs/>
        </w:rPr>
      </w:pPr>
      <w:r w:rsidRPr="0019091D">
        <w:rPr>
          <w:b w:val="0"/>
          <w:bCs/>
        </w:rPr>
        <w:t>The Committee will</w:t>
      </w:r>
      <w:r w:rsidR="00F65DE3" w:rsidRPr="0019091D">
        <w:rPr>
          <w:b w:val="0"/>
          <w:bCs/>
        </w:rPr>
        <w:t xml:space="preserve"> be chaired by an official from the Department, and comprise</w:t>
      </w:r>
      <w:r w:rsidR="009A7C97" w:rsidRPr="0019091D">
        <w:rPr>
          <w:b w:val="0"/>
          <w:bCs/>
        </w:rPr>
        <w:t>:</w:t>
      </w:r>
      <w:r w:rsidRPr="0019091D">
        <w:rPr>
          <w:b w:val="0"/>
          <w:bCs/>
        </w:rPr>
        <w:t xml:space="preserve"> </w:t>
      </w:r>
    </w:p>
    <w:p w14:paraId="2E66BD60" w14:textId="3C11E901" w:rsidR="00F65DE3" w:rsidRPr="0019091D" w:rsidRDefault="00F65DE3" w:rsidP="00F65DE3">
      <w:pPr>
        <w:pStyle w:val="Heading3"/>
      </w:pPr>
      <w:r w:rsidRPr="0019091D">
        <w:t xml:space="preserve">officials from the Department; </w:t>
      </w:r>
    </w:p>
    <w:p w14:paraId="0330EBE1" w14:textId="607C2BC5" w:rsidR="00F65DE3" w:rsidRPr="0019091D" w:rsidRDefault="00AD116E" w:rsidP="00F65DE3">
      <w:pPr>
        <w:pStyle w:val="Heading3"/>
      </w:pPr>
      <w:r w:rsidRPr="0019091D">
        <w:t>representatives from the Association</w:t>
      </w:r>
      <w:r w:rsidR="00F65DE3" w:rsidRPr="0019091D">
        <w:t>; and</w:t>
      </w:r>
    </w:p>
    <w:p w14:paraId="6AF86668" w14:textId="686248B3" w:rsidR="00650420" w:rsidRPr="008F5D42" w:rsidRDefault="00F65DE3" w:rsidP="00F65DE3">
      <w:pPr>
        <w:pStyle w:val="Heading3"/>
      </w:pPr>
      <w:r w:rsidRPr="008F5D42">
        <w:t xml:space="preserve">if required, </w:t>
      </w:r>
      <w:r w:rsidR="009A7C97" w:rsidRPr="008F5D42">
        <w:t xml:space="preserve">others approved by the </w:t>
      </w:r>
      <w:r w:rsidRPr="008F5D42">
        <w:t>Chair</w:t>
      </w:r>
      <w:r w:rsidR="009A7C97" w:rsidRPr="008F5D42">
        <w:t xml:space="preserve"> from time to time</w:t>
      </w:r>
      <w:r w:rsidR="00650420" w:rsidRPr="008F5D42">
        <w:t>.</w:t>
      </w:r>
    </w:p>
    <w:p w14:paraId="2C2D3DF0" w14:textId="6006DF10" w:rsidR="009A7C97" w:rsidRPr="008F5D42" w:rsidRDefault="009A7C97" w:rsidP="009A7C97">
      <w:pPr>
        <w:pStyle w:val="Heading1"/>
      </w:pPr>
      <w:bookmarkStart w:id="496" w:name="_Toc185417677"/>
      <w:r w:rsidRPr="008F5D42">
        <w:t>Consultation</w:t>
      </w:r>
      <w:bookmarkEnd w:id="496"/>
    </w:p>
    <w:p w14:paraId="711AD628" w14:textId="0DFE774D" w:rsidR="007257BC" w:rsidRPr="002C6D15" w:rsidRDefault="00A4339F" w:rsidP="000C0845">
      <w:pPr>
        <w:pStyle w:val="Headingpara2"/>
        <w:rPr>
          <w:b/>
        </w:rPr>
      </w:pPr>
      <w:r w:rsidRPr="007257BC">
        <w:t>Nothing in this Agreement, or any other document connected with this Agreement, limits the ability of the</w:t>
      </w:r>
      <w:r w:rsidR="00EC6DE3">
        <w:t xml:space="preserve"> Commonwealth, or any </w:t>
      </w:r>
      <w:r w:rsidR="00EC6DE3" w:rsidRPr="002C6D15">
        <w:t xml:space="preserve">other </w:t>
      </w:r>
      <w:r w:rsidR="00CF2B39" w:rsidRPr="002C6D15">
        <w:t xml:space="preserve">part </w:t>
      </w:r>
      <w:r w:rsidR="00EC6DE3" w:rsidRPr="002C6D15">
        <w:t>of the</w:t>
      </w:r>
      <w:r w:rsidRPr="002C6D15">
        <w:t xml:space="preserve"> Australian Government</w:t>
      </w:r>
      <w:r w:rsidR="00EC6DE3" w:rsidRPr="002C6D15">
        <w:t>,</w:t>
      </w:r>
      <w:r w:rsidRPr="002C6D15">
        <w:t xml:space="preserve"> to</w:t>
      </w:r>
      <w:r w:rsidR="007257BC" w:rsidRPr="002C6D15">
        <w:t>:</w:t>
      </w:r>
      <w:r w:rsidRPr="002C6D15">
        <w:t xml:space="preserve"> </w:t>
      </w:r>
    </w:p>
    <w:p w14:paraId="265F7A00" w14:textId="76337FA3" w:rsidR="00EC6DE3" w:rsidRDefault="00D310D6" w:rsidP="007257BC">
      <w:pPr>
        <w:pStyle w:val="Heading3"/>
      </w:pPr>
      <w:r w:rsidRPr="002C6D15">
        <w:t>a</w:t>
      </w:r>
      <w:r w:rsidR="00A4339F" w:rsidRPr="002C6D15">
        <w:t>nnounce or implement policy reforms</w:t>
      </w:r>
      <w:r w:rsidR="00A4339F" w:rsidRPr="007257BC">
        <w:t xml:space="preserve"> that may </w:t>
      </w:r>
      <w:r w:rsidR="00A24083">
        <w:t>hav</w:t>
      </w:r>
      <w:r w:rsidR="00597322">
        <w:t>e</w:t>
      </w:r>
      <w:r w:rsidR="00A24083">
        <w:t xml:space="preserve"> </w:t>
      </w:r>
      <w:r w:rsidR="00A24083">
        <w:rPr>
          <w:bCs/>
        </w:rPr>
        <w:t xml:space="preserve">an </w:t>
      </w:r>
      <w:r w:rsidR="00A4339F" w:rsidRPr="007257BC">
        <w:t xml:space="preserve">impact </w:t>
      </w:r>
      <w:r w:rsidR="00A24083">
        <w:t xml:space="preserve">on any industry, profession or sector, including </w:t>
      </w:r>
      <w:r w:rsidR="00597322">
        <w:t xml:space="preserve">Pharmaceutical </w:t>
      </w:r>
      <w:r w:rsidR="009B2809" w:rsidRPr="007257BC">
        <w:t xml:space="preserve">Wholesalers, </w:t>
      </w:r>
      <w:r w:rsidR="00A4339F" w:rsidRPr="007257BC">
        <w:t>the community pharmacy sector or the pharmacy profession</w:t>
      </w:r>
      <w:r w:rsidR="00EC6DE3">
        <w:t xml:space="preserve">; or </w:t>
      </w:r>
    </w:p>
    <w:p w14:paraId="3464A673" w14:textId="46BB4AA0" w:rsidR="00A4339F" w:rsidRPr="007257BC" w:rsidRDefault="00EC6DE3" w:rsidP="007257BC">
      <w:pPr>
        <w:pStyle w:val="Heading3"/>
      </w:pPr>
      <w:r>
        <w:t>consult with any person in relation to any matter at any time</w:t>
      </w:r>
      <w:r w:rsidR="00A4339F" w:rsidRPr="007257BC">
        <w:t>.</w:t>
      </w:r>
    </w:p>
    <w:p w14:paraId="72D5D333" w14:textId="7D270853" w:rsidR="001F6621" w:rsidRDefault="00555D5F" w:rsidP="00E850B4">
      <w:pPr>
        <w:pStyle w:val="Heading1"/>
      </w:pPr>
      <w:bookmarkStart w:id="497" w:name="_Toc41335231"/>
      <w:bookmarkStart w:id="498" w:name="_Toc41335401"/>
      <w:bookmarkStart w:id="499" w:name="_Toc41340228"/>
      <w:bookmarkStart w:id="500" w:name="_Toc41346088"/>
      <w:bookmarkStart w:id="501" w:name="_Toc41335233"/>
      <w:bookmarkStart w:id="502" w:name="_Toc41335403"/>
      <w:bookmarkStart w:id="503" w:name="_Toc41340230"/>
      <w:bookmarkStart w:id="504" w:name="_Toc41346090"/>
      <w:bookmarkStart w:id="505" w:name="_Toc41328671"/>
      <w:bookmarkStart w:id="506" w:name="_Toc41335234"/>
      <w:bookmarkStart w:id="507" w:name="_Toc41335404"/>
      <w:bookmarkStart w:id="508" w:name="_Toc41340231"/>
      <w:bookmarkStart w:id="509" w:name="_Toc41346091"/>
      <w:bookmarkStart w:id="510" w:name="_Toc41328672"/>
      <w:bookmarkStart w:id="511" w:name="_Toc41335235"/>
      <w:bookmarkStart w:id="512" w:name="_Toc41335405"/>
      <w:bookmarkStart w:id="513" w:name="_Toc41340232"/>
      <w:bookmarkStart w:id="514" w:name="_Toc41346092"/>
      <w:bookmarkStart w:id="515" w:name="_Toc41328673"/>
      <w:bookmarkStart w:id="516" w:name="_Toc41335236"/>
      <w:bookmarkStart w:id="517" w:name="_Toc41335406"/>
      <w:bookmarkStart w:id="518" w:name="_Toc41340233"/>
      <w:bookmarkStart w:id="519" w:name="_Toc41346093"/>
      <w:bookmarkStart w:id="520" w:name="_Toc41328675"/>
      <w:bookmarkStart w:id="521" w:name="_Toc41335238"/>
      <w:bookmarkStart w:id="522" w:name="_Toc41335408"/>
      <w:bookmarkStart w:id="523" w:name="_Toc41340235"/>
      <w:bookmarkStart w:id="524" w:name="_Toc41346095"/>
      <w:bookmarkStart w:id="525" w:name="_Toc41328681"/>
      <w:bookmarkStart w:id="526" w:name="_Toc41335244"/>
      <w:bookmarkStart w:id="527" w:name="_Toc41335414"/>
      <w:bookmarkStart w:id="528" w:name="_Toc41340241"/>
      <w:bookmarkStart w:id="529" w:name="_Toc41346101"/>
      <w:bookmarkStart w:id="530" w:name="_Toc41328691"/>
      <w:bookmarkStart w:id="531" w:name="_Toc41335254"/>
      <w:bookmarkStart w:id="532" w:name="_Toc41335424"/>
      <w:bookmarkStart w:id="533" w:name="_Toc41340251"/>
      <w:bookmarkStart w:id="534" w:name="_Toc41346111"/>
      <w:bookmarkStart w:id="535" w:name="_Ref185399394"/>
      <w:bookmarkStart w:id="536" w:name="_Toc185417678"/>
      <w:bookmarkStart w:id="537" w:name="_Ref29207164"/>
      <w:bookmarkStart w:id="538" w:name="_Ref29314178"/>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r>
        <w:t xml:space="preserve">Improving access to </w:t>
      </w:r>
      <w:r w:rsidR="00026E39">
        <w:t xml:space="preserve">the </w:t>
      </w:r>
      <w:r>
        <w:t xml:space="preserve">Repatriation Pharmaceutical Benefits </w:t>
      </w:r>
      <w:r w:rsidR="00026E39">
        <w:t>Scheme (RPBS)</w:t>
      </w:r>
      <w:bookmarkEnd w:id="535"/>
      <w:bookmarkEnd w:id="536"/>
    </w:p>
    <w:p w14:paraId="61CA1F20" w14:textId="71FE812D" w:rsidR="00461C26" w:rsidRPr="002C6D15" w:rsidRDefault="003C0189" w:rsidP="00461C26">
      <w:pPr>
        <w:pStyle w:val="Heading2"/>
        <w:rPr>
          <w:b w:val="0"/>
          <w:bCs/>
        </w:rPr>
      </w:pPr>
      <w:r>
        <w:rPr>
          <w:b w:val="0"/>
          <w:bCs/>
        </w:rPr>
        <w:t xml:space="preserve">The parties </w:t>
      </w:r>
      <w:r w:rsidR="00461C26" w:rsidRPr="002C6D15">
        <w:rPr>
          <w:b w:val="0"/>
          <w:bCs/>
        </w:rPr>
        <w:t>acknowledge</w:t>
      </w:r>
      <w:r w:rsidR="0019191C" w:rsidRPr="002C6D15">
        <w:rPr>
          <w:b w:val="0"/>
          <w:bCs/>
        </w:rPr>
        <w:t xml:space="preserve"> and agree that</w:t>
      </w:r>
      <w:r w:rsidR="00461C26" w:rsidRPr="002C6D15">
        <w:rPr>
          <w:b w:val="0"/>
          <w:bCs/>
        </w:rPr>
        <w:t>:</w:t>
      </w:r>
    </w:p>
    <w:p w14:paraId="52C6C472" w14:textId="46D76FBD" w:rsidR="00461C26" w:rsidRPr="002C6D15" w:rsidRDefault="0019191C" w:rsidP="00461C26">
      <w:pPr>
        <w:pStyle w:val="Heading3"/>
      </w:pPr>
      <w:r w:rsidRPr="002C6D15">
        <w:t>w</w:t>
      </w:r>
      <w:r w:rsidR="00C87502" w:rsidRPr="002C6D15">
        <w:t xml:space="preserve">hile </w:t>
      </w:r>
      <w:r w:rsidR="00E165E9" w:rsidRPr="002C6D15">
        <w:t xml:space="preserve">many veterans benefit from access to </w:t>
      </w:r>
      <w:r w:rsidRPr="002C6D15">
        <w:t>Pharmaceutical Benefits</w:t>
      </w:r>
      <w:r w:rsidR="00E165E9" w:rsidRPr="002C6D15">
        <w:t xml:space="preserve"> via the CSO, </w:t>
      </w:r>
      <w:r w:rsidR="00C669C7" w:rsidRPr="002C6D15">
        <w:t>RPBS-only</w:t>
      </w:r>
      <w:r w:rsidRPr="002C6D15">
        <w:t xml:space="preserve"> listed</w:t>
      </w:r>
      <w:r w:rsidR="00C669C7" w:rsidRPr="002C6D15">
        <w:t xml:space="preserve"> products are not covered by </w:t>
      </w:r>
      <w:r w:rsidRPr="002C6D15">
        <w:t>this Agreement; and</w:t>
      </w:r>
    </w:p>
    <w:p w14:paraId="3EEB3A06" w14:textId="1362309E" w:rsidR="001F6621" w:rsidRPr="002C6D15" w:rsidRDefault="0019191C" w:rsidP="006E555F">
      <w:pPr>
        <w:pStyle w:val="Heading3"/>
      </w:pPr>
      <w:r w:rsidRPr="002C6D15">
        <w:t xml:space="preserve">the parties share an intent </w:t>
      </w:r>
      <w:r w:rsidR="00F67581" w:rsidRPr="002C6D15">
        <w:t>to</w:t>
      </w:r>
      <w:r w:rsidR="003170C2" w:rsidRPr="002C6D15">
        <w:t xml:space="preserve"> work towards </w:t>
      </w:r>
      <w:r w:rsidRPr="002C6D15">
        <w:t>including</w:t>
      </w:r>
      <w:r w:rsidR="003170C2" w:rsidRPr="002C6D15">
        <w:t xml:space="preserve"> </w:t>
      </w:r>
      <w:r w:rsidR="00D51D69" w:rsidRPr="002C6D15">
        <w:t xml:space="preserve">RPBS-only </w:t>
      </w:r>
      <w:r w:rsidRPr="002C6D15">
        <w:t xml:space="preserve">listed </w:t>
      </w:r>
      <w:r w:rsidR="00D51D69" w:rsidRPr="002C6D15">
        <w:t>products</w:t>
      </w:r>
      <w:r w:rsidR="003170C2" w:rsidRPr="002C6D15">
        <w:t xml:space="preserve"> wit</w:t>
      </w:r>
      <w:r w:rsidR="006D21B9" w:rsidRPr="002C6D15">
        <w:t xml:space="preserve">hin the </w:t>
      </w:r>
      <w:r w:rsidR="002C6D15">
        <w:t xml:space="preserve">scope of the </w:t>
      </w:r>
      <w:r w:rsidR="006D21B9" w:rsidRPr="002C6D15">
        <w:t xml:space="preserve">CSO </w:t>
      </w:r>
      <w:r w:rsidR="002C6D15">
        <w:t xml:space="preserve">arrangements </w:t>
      </w:r>
      <w:r w:rsidR="006D21B9" w:rsidRPr="002C6D15">
        <w:t xml:space="preserve">during the term of </w:t>
      </w:r>
      <w:r w:rsidRPr="002C6D15">
        <w:t>this</w:t>
      </w:r>
      <w:r w:rsidR="006D21B9" w:rsidRPr="002C6D15">
        <w:t xml:space="preserve"> </w:t>
      </w:r>
      <w:r w:rsidRPr="002C6D15">
        <w:t>A</w:t>
      </w:r>
      <w:r w:rsidR="006D21B9" w:rsidRPr="002C6D15">
        <w:t>greement</w:t>
      </w:r>
      <w:r w:rsidRPr="002C6D15">
        <w:t>,</w:t>
      </w:r>
      <w:r w:rsidR="003F6173" w:rsidRPr="002C6D15">
        <w:t xml:space="preserve"> with an </w:t>
      </w:r>
      <w:r w:rsidRPr="002C6D15">
        <w:t xml:space="preserve">anticipated corresponding </w:t>
      </w:r>
      <w:r w:rsidR="003F6173" w:rsidRPr="002C6D15">
        <w:t>increas</w:t>
      </w:r>
      <w:r w:rsidR="004B698B" w:rsidRPr="002C6D15">
        <w:t>e</w:t>
      </w:r>
      <w:r w:rsidR="003F6173" w:rsidRPr="002C6D15">
        <w:t xml:space="preserve"> </w:t>
      </w:r>
      <w:r w:rsidRPr="002C6D15">
        <w:t xml:space="preserve">to </w:t>
      </w:r>
      <w:r w:rsidR="003F6173" w:rsidRPr="002C6D15">
        <w:t>the CSO Funding Pool</w:t>
      </w:r>
      <w:r w:rsidR="007F0968" w:rsidRPr="002C6D15">
        <w:t>.</w:t>
      </w:r>
      <w:r w:rsidR="002C6D15">
        <w:t xml:space="preserve"> Any such changes would be made in accordance with clause</w:t>
      </w:r>
      <w:r w:rsidR="006D0DE4">
        <w:t> </w:t>
      </w:r>
      <w:r w:rsidR="006D0DE4">
        <w:fldChar w:fldCharType="begin"/>
      </w:r>
      <w:r w:rsidR="006D0DE4">
        <w:instrText xml:space="preserve"> REF _Ref184313939 \w \h </w:instrText>
      </w:r>
      <w:r w:rsidR="006D0DE4">
        <w:fldChar w:fldCharType="separate"/>
      </w:r>
      <w:r w:rsidR="008F5D42">
        <w:t>14.3</w:t>
      </w:r>
      <w:r w:rsidR="006D0DE4">
        <w:fldChar w:fldCharType="end"/>
      </w:r>
      <w:r w:rsidR="002C6D15">
        <w:t>.</w:t>
      </w:r>
    </w:p>
    <w:p w14:paraId="42885FA8" w14:textId="41FF1BAF" w:rsidR="00E9176D" w:rsidRDefault="00CC7B6D" w:rsidP="00E850B4">
      <w:pPr>
        <w:pStyle w:val="Heading1"/>
      </w:pPr>
      <w:bookmarkStart w:id="539" w:name="_Toc185417679"/>
      <w:r w:rsidRPr="009D3B53">
        <w:t xml:space="preserve">Issue </w:t>
      </w:r>
      <w:r w:rsidR="00E9176D" w:rsidRPr="009D3B53">
        <w:t>resolution</w:t>
      </w:r>
      <w:bookmarkEnd w:id="493"/>
      <w:bookmarkEnd w:id="537"/>
      <w:bookmarkEnd w:id="538"/>
      <w:bookmarkEnd w:id="539"/>
    </w:p>
    <w:p w14:paraId="6D894F06" w14:textId="5A398FA9" w:rsidR="000C0845" w:rsidRPr="009D3B53" w:rsidRDefault="000C0845" w:rsidP="000C0845">
      <w:pPr>
        <w:pStyle w:val="Headingpara2"/>
        <w:keepNext/>
      </w:pPr>
      <w:bookmarkStart w:id="540" w:name="_Ref419467550"/>
      <w:r w:rsidRPr="009D3B53">
        <w:t xml:space="preserve">Any </w:t>
      </w:r>
      <w:r>
        <w:t>I</w:t>
      </w:r>
      <w:r w:rsidRPr="009D3B53">
        <w:t>ssue</w:t>
      </w:r>
      <w:r>
        <w:t xml:space="preserve"> arising in connection with, or </w:t>
      </w:r>
      <w:r w:rsidRPr="009D3B53">
        <w:t>from the operation of</w:t>
      </w:r>
      <w:r>
        <w:t>,</w:t>
      </w:r>
      <w:r w:rsidRPr="009D3B53">
        <w:t xml:space="preserve"> this Agreement will be resolved as follows:</w:t>
      </w:r>
      <w:bookmarkEnd w:id="540"/>
    </w:p>
    <w:p w14:paraId="47A988AC" w14:textId="77777777" w:rsidR="000C0845" w:rsidRPr="009D3B53" w:rsidRDefault="000C0845" w:rsidP="000C0845">
      <w:pPr>
        <w:pStyle w:val="Heading3"/>
      </w:pPr>
      <w:bookmarkStart w:id="541" w:name="_Ref419467597"/>
      <w:r w:rsidRPr="009D3B53">
        <w:t xml:space="preserve">the </w:t>
      </w:r>
      <w:r>
        <w:t>Signatory</w:t>
      </w:r>
      <w:r w:rsidRPr="009D3B53">
        <w:t xml:space="preserve"> with the </w:t>
      </w:r>
      <w:r>
        <w:t>I</w:t>
      </w:r>
      <w:r w:rsidRPr="009D3B53">
        <w:t xml:space="preserve">ssue will send </w:t>
      </w:r>
      <w:r>
        <w:t xml:space="preserve">the other Signatory </w:t>
      </w:r>
      <w:r w:rsidRPr="009D3B53">
        <w:t xml:space="preserve">a notice setting out the nature of the </w:t>
      </w:r>
      <w:r>
        <w:t>I</w:t>
      </w:r>
      <w:r w:rsidRPr="009D3B53">
        <w:t>ssue</w:t>
      </w:r>
      <w:r>
        <w:t xml:space="preserve"> (</w:t>
      </w:r>
      <w:r>
        <w:rPr>
          <w:b/>
        </w:rPr>
        <w:t xml:space="preserve">Issue </w:t>
      </w:r>
      <w:r w:rsidRPr="000877E7">
        <w:rPr>
          <w:b/>
        </w:rPr>
        <w:t>Notice</w:t>
      </w:r>
      <w:r>
        <w:t>)</w:t>
      </w:r>
      <w:r w:rsidRPr="009D3B53">
        <w:t>;</w:t>
      </w:r>
      <w:bookmarkEnd w:id="541"/>
    </w:p>
    <w:p w14:paraId="4DED131D" w14:textId="77777777" w:rsidR="000C0845" w:rsidRPr="009D3B53" w:rsidRDefault="000C0845" w:rsidP="000C0845">
      <w:pPr>
        <w:pStyle w:val="Heading3"/>
      </w:pPr>
      <w:bookmarkStart w:id="542" w:name="_Ref419536356"/>
      <w:bookmarkStart w:id="543" w:name="_Ref29319804"/>
      <w:r w:rsidRPr="009D3B53">
        <w:t>the</w:t>
      </w:r>
      <w:r>
        <w:t xml:space="preserve"> Signatories’ Representatives </w:t>
      </w:r>
      <w:r w:rsidRPr="009D3B53">
        <w:t xml:space="preserve">will </w:t>
      </w:r>
      <w:r>
        <w:t xml:space="preserve">attempt </w:t>
      </w:r>
      <w:r w:rsidRPr="009D3B53">
        <w:t xml:space="preserve">to resolve the </w:t>
      </w:r>
      <w:r>
        <w:t>I</w:t>
      </w:r>
      <w:r w:rsidRPr="009D3B53">
        <w:t>ssue by direct negotiation;</w:t>
      </w:r>
      <w:bookmarkEnd w:id="542"/>
      <w:bookmarkEnd w:id="543"/>
      <w:r w:rsidRPr="009D3B53">
        <w:t xml:space="preserve"> </w:t>
      </w:r>
      <w:r>
        <w:t>and</w:t>
      </w:r>
    </w:p>
    <w:p w14:paraId="1B031734" w14:textId="0270E850" w:rsidR="000C0845" w:rsidRDefault="000C0845" w:rsidP="000C0845">
      <w:pPr>
        <w:pStyle w:val="Heading3"/>
      </w:pPr>
      <w:bookmarkStart w:id="544" w:name="_Ref18420141"/>
      <w:bookmarkStart w:id="545" w:name="_Ref419971686"/>
      <w:bookmarkStart w:id="546" w:name="_Ref30585438"/>
      <w:r w:rsidRPr="009D3B53">
        <w:t xml:space="preserve">if the </w:t>
      </w:r>
      <w:r>
        <w:t>I</w:t>
      </w:r>
      <w:r w:rsidRPr="009D3B53">
        <w:t>ssue is not so resolved by direct negotiation under clause</w:t>
      </w:r>
      <w:r>
        <w:t xml:space="preserve"> </w:t>
      </w:r>
      <w:r>
        <w:fldChar w:fldCharType="begin"/>
      </w:r>
      <w:r>
        <w:instrText xml:space="preserve"> REF _Ref29319804 \r \h </w:instrText>
      </w:r>
      <w:r>
        <w:fldChar w:fldCharType="separate"/>
      </w:r>
      <w:r w:rsidR="008F5D42">
        <w:t>12.1.2</w:t>
      </w:r>
      <w:r>
        <w:fldChar w:fldCharType="end"/>
      </w:r>
      <w:r>
        <w:t xml:space="preserve"> </w:t>
      </w:r>
      <w:r w:rsidRPr="009D3B53">
        <w:t xml:space="preserve">within </w:t>
      </w:r>
      <w:r>
        <w:t xml:space="preserve">three (3) months after an Issue Notice is given by a Signatory, or such longer period agreed between the Signatories, </w:t>
      </w:r>
      <w:bookmarkStart w:id="547" w:name="_Ref420153487"/>
      <w:bookmarkStart w:id="548" w:name="_Ref420254081"/>
      <w:bookmarkEnd w:id="544"/>
      <w:bookmarkEnd w:id="545"/>
      <w:r>
        <w:t>either Signatory may immediately request the Issue be referred to confidential mediation, to be conducted by a person agreed between the relevant Signatories.</w:t>
      </w:r>
      <w:bookmarkEnd w:id="547"/>
      <w:r>
        <w:t xml:space="preserve"> </w:t>
      </w:r>
      <w:r w:rsidRPr="0064734C">
        <w:t xml:space="preserve">If the </w:t>
      </w:r>
      <w:r>
        <w:t xml:space="preserve">relevant Signatories </w:t>
      </w:r>
      <w:r w:rsidRPr="0064734C">
        <w:t>cannot agree on a mediator within</w:t>
      </w:r>
      <w:r>
        <w:t xml:space="preserve"> 20 Business Days </w:t>
      </w:r>
      <w:r w:rsidRPr="0064734C">
        <w:t>after a request for mediation under this clause</w:t>
      </w:r>
      <w:r>
        <w:t> </w:t>
      </w:r>
      <w:r>
        <w:fldChar w:fldCharType="begin"/>
      </w:r>
      <w:r>
        <w:instrText xml:space="preserve"> REF _Ref420254081 \w \h </w:instrText>
      </w:r>
      <w:r>
        <w:fldChar w:fldCharType="separate"/>
      </w:r>
      <w:r w:rsidR="008F5D42">
        <w:t>12.1.3</w:t>
      </w:r>
      <w:r>
        <w:fldChar w:fldCharType="end"/>
      </w:r>
      <w:r w:rsidRPr="0064734C">
        <w:t xml:space="preserve">, </w:t>
      </w:r>
      <w:r>
        <w:t>a Signatory may ask the</w:t>
      </w:r>
      <w:r w:rsidRPr="0064734C">
        <w:t xml:space="preserve"> </w:t>
      </w:r>
      <w:r>
        <w:t xml:space="preserve">Chair of the Resolution Institute ACN 008 </w:t>
      </w:r>
      <w:r>
        <w:lastRenderedPageBreak/>
        <w:t>651 232 or their delegate to</w:t>
      </w:r>
      <w:r w:rsidRPr="0064734C">
        <w:t xml:space="preserve"> appoint a mediator.</w:t>
      </w:r>
      <w:bookmarkEnd w:id="548"/>
      <w:r>
        <w:t xml:space="preserve"> The mediation will be conducted in accordance with the rules specified by the mediator.</w:t>
      </w:r>
      <w:bookmarkEnd w:id="546"/>
    </w:p>
    <w:p w14:paraId="609DED4C" w14:textId="78F43127" w:rsidR="000C0845" w:rsidRDefault="000C0845" w:rsidP="000C0845">
      <w:pPr>
        <w:pStyle w:val="Headingpara2"/>
      </w:pPr>
      <w:r>
        <w:t xml:space="preserve">If an Issue is not resolved during a mediation conducted under clause </w:t>
      </w:r>
      <w:r>
        <w:fldChar w:fldCharType="begin"/>
      </w:r>
      <w:r>
        <w:instrText xml:space="preserve"> REF _Ref30585438 \r \h </w:instrText>
      </w:r>
      <w:r>
        <w:fldChar w:fldCharType="separate"/>
      </w:r>
      <w:r w:rsidR="008F5D42">
        <w:t>12.1.3</w:t>
      </w:r>
      <w:r>
        <w:fldChar w:fldCharType="end"/>
      </w:r>
      <w:r>
        <w:t xml:space="preserve">, or within ten Business Days after the conclusion of that mediation, then either Signatory may refer the matter for direct negotiation between the Minister and the Chief Executive Officer of the Association. </w:t>
      </w:r>
    </w:p>
    <w:p w14:paraId="153F4B84" w14:textId="09DCF6DB" w:rsidR="000C0845" w:rsidRPr="00E9018C" w:rsidRDefault="000C0845" w:rsidP="000C0845">
      <w:pPr>
        <w:pStyle w:val="Headingpara2"/>
      </w:pPr>
      <w:r w:rsidRPr="00E9018C">
        <w:t xml:space="preserve">Despite the reference of </w:t>
      </w:r>
      <w:r>
        <w:t>an</w:t>
      </w:r>
      <w:r w:rsidRPr="00E9018C">
        <w:t xml:space="preserve"> </w:t>
      </w:r>
      <w:r>
        <w:t>I</w:t>
      </w:r>
      <w:r w:rsidRPr="00E9018C">
        <w:t xml:space="preserve">ssue to </w:t>
      </w:r>
      <w:r>
        <w:t xml:space="preserve">negotiation or </w:t>
      </w:r>
      <w:r w:rsidRPr="00E9018C">
        <w:t>medi</w:t>
      </w:r>
      <w:r>
        <w:t>ation</w:t>
      </w:r>
      <w:r w:rsidRPr="00E9018C">
        <w:t xml:space="preserve"> under </w:t>
      </w:r>
      <w:r>
        <w:t xml:space="preserve">this </w:t>
      </w:r>
      <w:r w:rsidRPr="00E9018C">
        <w:t>clause</w:t>
      </w:r>
      <w:r>
        <w:t> </w:t>
      </w:r>
      <w:r>
        <w:fldChar w:fldCharType="begin"/>
      </w:r>
      <w:r>
        <w:instrText xml:space="preserve"> REF _Ref29314178 \r \h  \* MERGEFORMAT </w:instrText>
      </w:r>
      <w:r>
        <w:fldChar w:fldCharType="separate"/>
      </w:r>
      <w:r w:rsidR="008F5D42">
        <w:t>11</w:t>
      </w:r>
      <w:r>
        <w:fldChar w:fldCharType="end"/>
      </w:r>
      <w:r>
        <w:t xml:space="preserve">, </w:t>
      </w:r>
      <w:r w:rsidRPr="00E9018C">
        <w:t xml:space="preserve">the </w:t>
      </w:r>
      <w:r>
        <w:t>Signatories</w:t>
      </w:r>
      <w:r w:rsidRPr="00E9018C">
        <w:t xml:space="preserve"> must continue to perform their obligations under this Agreement. </w:t>
      </w:r>
    </w:p>
    <w:p w14:paraId="3840B1AA" w14:textId="2468595A" w:rsidR="000C0845" w:rsidRDefault="000C0845" w:rsidP="000C0845">
      <w:pPr>
        <w:pStyle w:val="Headingpara2"/>
      </w:pPr>
      <w:r w:rsidRPr="009D3B53">
        <w:t xml:space="preserve">Each </w:t>
      </w:r>
      <w:r>
        <w:t>Signatory</w:t>
      </w:r>
      <w:r w:rsidRPr="009D3B53">
        <w:t xml:space="preserve"> will bear its own costs arising from the process set out in this clause</w:t>
      </w:r>
      <w:r>
        <w:t xml:space="preserve"> </w:t>
      </w:r>
      <w:r>
        <w:fldChar w:fldCharType="begin"/>
      </w:r>
      <w:r>
        <w:instrText xml:space="preserve"> REF _Ref29314178 \r \h  \* MERGEFORMAT </w:instrText>
      </w:r>
      <w:r>
        <w:fldChar w:fldCharType="separate"/>
      </w:r>
      <w:r w:rsidR="008F5D42">
        <w:t>11</w:t>
      </w:r>
      <w:r>
        <w:fldChar w:fldCharType="end"/>
      </w:r>
      <w:r w:rsidRPr="009D3B53">
        <w:t>.</w:t>
      </w:r>
    </w:p>
    <w:p w14:paraId="1FF5E31D" w14:textId="3D8652DF" w:rsidR="00527DE8" w:rsidRDefault="00E96937" w:rsidP="000D6BB8">
      <w:pPr>
        <w:pStyle w:val="Heading1"/>
      </w:pPr>
      <w:bookmarkStart w:id="549" w:name="_Toc185417680"/>
      <w:bookmarkStart w:id="550" w:name="_Ref418233948"/>
      <w:r>
        <w:t>Assistance with inquiries</w:t>
      </w:r>
      <w:bookmarkEnd w:id="549"/>
    </w:p>
    <w:p w14:paraId="3101E6CD" w14:textId="1BC94637" w:rsidR="005C7BA1" w:rsidRDefault="005C7BA1" w:rsidP="00CD0BA1">
      <w:pPr>
        <w:pStyle w:val="Headingpara2"/>
      </w:pPr>
      <w:bookmarkStart w:id="551" w:name="_Ref37102307"/>
      <w:r>
        <w:t xml:space="preserve">The </w:t>
      </w:r>
      <w:r w:rsidR="00B40CB1">
        <w:t xml:space="preserve">Association </w:t>
      </w:r>
      <w:r>
        <w:t xml:space="preserve">will, in good faith, </w:t>
      </w:r>
      <w:r w:rsidR="00DB25FC">
        <w:t xml:space="preserve">provide reasonable assistance to the Commonwealth, as requested by the Commonwealth, </w:t>
      </w:r>
      <w:r>
        <w:t xml:space="preserve">to </w:t>
      </w:r>
      <w:r w:rsidR="00DB25FC">
        <w:t xml:space="preserve">address </w:t>
      </w:r>
      <w:r>
        <w:t xml:space="preserve">specific inquiries </w:t>
      </w:r>
      <w:r w:rsidR="00602524">
        <w:t xml:space="preserve">of </w:t>
      </w:r>
      <w:r w:rsidR="00EB2A66">
        <w:t>Association Wholesaler</w:t>
      </w:r>
      <w:r w:rsidR="00602524">
        <w:t xml:space="preserve">s that are </w:t>
      </w:r>
      <w:r>
        <w:t>identified by the Commonwealth</w:t>
      </w:r>
      <w:r w:rsidR="0092621C">
        <w:t>.</w:t>
      </w:r>
    </w:p>
    <w:p w14:paraId="132F921D" w14:textId="6C47A4DC" w:rsidR="005C081D" w:rsidRDefault="005C081D" w:rsidP="00E449B7">
      <w:pPr>
        <w:pStyle w:val="Heading1"/>
        <w:keepLines/>
      </w:pPr>
      <w:bookmarkStart w:id="552" w:name="_Toc185417681"/>
      <w:bookmarkStart w:id="553" w:name="_Ref40089020"/>
      <w:bookmarkEnd w:id="551"/>
      <w:r>
        <w:t>Other general matters</w:t>
      </w:r>
      <w:bookmarkEnd w:id="552"/>
    </w:p>
    <w:p w14:paraId="605DE3E7" w14:textId="77777777" w:rsidR="005C081D" w:rsidRPr="000C0845" w:rsidRDefault="005C081D" w:rsidP="0048333E">
      <w:pPr>
        <w:pStyle w:val="Headingpara2"/>
        <w:keepNext/>
        <w:rPr>
          <w:b/>
          <w:bCs/>
        </w:rPr>
      </w:pPr>
      <w:bookmarkStart w:id="554" w:name="_Ref41332467"/>
      <w:r w:rsidRPr="000C0845">
        <w:rPr>
          <w:b/>
          <w:bCs/>
        </w:rPr>
        <w:t>Term and commencement</w:t>
      </w:r>
      <w:bookmarkEnd w:id="554"/>
    </w:p>
    <w:p w14:paraId="0CFD0A56" w14:textId="142FC6AA" w:rsidR="005C081D" w:rsidRDefault="005C081D" w:rsidP="00E449B7">
      <w:pPr>
        <w:pStyle w:val="BodyIndent1"/>
        <w:keepNext/>
        <w:keepLines/>
      </w:pPr>
      <w:r>
        <w:t xml:space="preserve">This Agreement </w:t>
      </w:r>
      <w:r w:rsidRPr="002C6D15">
        <w:t xml:space="preserve">commences on </w:t>
      </w:r>
      <w:r w:rsidR="00E26901" w:rsidRPr="002C6D15">
        <w:t xml:space="preserve">the Commencement </w:t>
      </w:r>
      <w:proofErr w:type="gramStart"/>
      <w:r w:rsidR="00E26901" w:rsidRPr="002C6D15">
        <w:t>Date,</w:t>
      </w:r>
      <w:r w:rsidRPr="002C6D15">
        <w:t xml:space="preserve"> and</w:t>
      </w:r>
      <w:proofErr w:type="gramEnd"/>
      <w:r w:rsidRPr="002C6D15">
        <w:t xml:space="preserve"> expires on </w:t>
      </w:r>
      <w:r w:rsidR="00AF2270" w:rsidRPr="002C6D15">
        <w:t xml:space="preserve">31 </w:t>
      </w:r>
      <w:r w:rsidR="006229D1" w:rsidRPr="002C6D15">
        <w:t xml:space="preserve">December </w:t>
      </w:r>
      <w:r w:rsidR="00E26901" w:rsidRPr="002C6D15">
        <w:t>2029</w:t>
      </w:r>
      <w:r w:rsidRPr="002C6D15">
        <w:t>.</w:t>
      </w:r>
    </w:p>
    <w:p w14:paraId="56F16CA2" w14:textId="4A68A768" w:rsidR="00602524" w:rsidRPr="000C0845" w:rsidRDefault="00602524" w:rsidP="00EF7952">
      <w:pPr>
        <w:pStyle w:val="Headingpara2"/>
        <w:keepNext/>
        <w:rPr>
          <w:b/>
          <w:bCs/>
        </w:rPr>
      </w:pPr>
      <w:bookmarkStart w:id="555" w:name="_Ref184137446"/>
      <w:r w:rsidRPr="000C0845">
        <w:rPr>
          <w:b/>
          <w:bCs/>
        </w:rPr>
        <w:t>Transitional arrangements</w:t>
      </w:r>
      <w:bookmarkEnd w:id="555"/>
    </w:p>
    <w:p w14:paraId="26F60454" w14:textId="329F1143" w:rsidR="001F27EA" w:rsidRDefault="001F27EA" w:rsidP="001F27EA">
      <w:pPr>
        <w:pStyle w:val="Heading3"/>
        <w:keepNext/>
      </w:pPr>
      <w:r>
        <w:t>The parties acknowledge that steps may need to be taken to facilitate the effective transition of arrangements</w:t>
      </w:r>
      <w:r w:rsidR="002F2B71">
        <w:t xml:space="preserve"> </w:t>
      </w:r>
      <w:r>
        <w:t xml:space="preserve">from </w:t>
      </w:r>
      <w:r w:rsidR="0048333E">
        <w:t xml:space="preserve">those that apply under </w:t>
      </w:r>
      <w:r>
        <w:t>the Eighth CPA</w:t>
      </w:r>
      <w:r w:rsidR="0048333E">
        <w:t xml:space="preserve"> to those provided for in this Agreement</w:t>
      </w:r>
      <w:r>
        <w:t xml:space="preserve">. </w:t>
      </w:r>
    </w:p>
    <w:p w14:paraId="7F6D1C33" w14:textId="5FD7DDF2" w:rsidR="001F27EA" w:rsidRDefault="001F27EA" w:rsidP="001F27EA">
      <w:pPr>
        <w:pStyle w:val="Heading3"/>
        <w:keepNext/>
      </w:pPr>
      <w:r>
        <w:t xml:space="preserve">The parties agree to cooperate, and provide reasonable assistance to each other, to enable such steps to be taken, including as described in this clause </w:t>
      </w:r>
      <w:r>
        <w:fldChar w:fldCharType="begin"/>
      </w:r>
      <w:r>
        <w:instrText xml:space="preserve"> REF _Ref184137446 \r \h </w:instrText>
      </w:r>
      <w:r>
        <w:fldChar w:fldCharType="separate"/>
      </w:r>
      <w:r w:rsidR="008F5D42">
        <w:t>14.2</w:t>
      </w:r>
      <w:r>
        <w:fldChar w:fldCharType="end"/>
      </w:r>
      <w:r>
        <w:t>.</w:t>
      </w:r>
    </w:p>
    <w:p w14:paraId="53EC4C64" w14:textId="77777777" w:rsidR="002F2B71" w:rsidRDefault="001F27EA" w:rsidP="001F27EA">
      <w:pPr>
        <w:pStyle w:val="Heading3"/>
        <w:keepNext/>
      </w:pPr>
      <w:r>
        <w:t>In accordance with clause 3.2.6 of the Eighth CPA, the Department will consult with the Pharmacy Guild</w:t>
      </w:r>
      <w:r w:rsidR="002F2B71">
        <w:t xml:space="preserve"> of Australia</w:t>
      </w:r>
      <w:r>
        <w:t xml:space="preserve"> to assess whether any terms of this Agreement are likely to lead to a reduction in the total pharmacy remuneration provided for in the Eighth CPA. The Association will provide information and support as reasonably requested by the Department to conduct that consultation.</w:t>
      </w:r>
    </w:p>
    <w:p w14:paraId="720E59D9" w14:textId="48C3C279" w:rsidR="001F27EA" w:rsidRDefault="002F2B71" w:rsidP="008B5D25">
      <w:pPr>
        <w:pStyle w:val="Heading3"/>
        <w:keepNext/>
      </w:pPr>
      <w:r>
        <w:t xml:space="preserve">The Association will take reasonable steps to notify Pharmaceutical Wholesalers of </w:t>
      </w:r>
      <w:r w:rsidR="008B5D25">
        <w:t xml:space="preserve">the creation of this Agreement, and any implications that this Agreement’s terms might have for those Pharmaceutical Wholesalers (for example, changes to the Wholesale Markup in accordance with clause </w:t>
      </w:r>
      <w:r w:rsidR="008B5D25">
        <w:fldChar w:fldCharType="begin"/>
      </w:r>
      <w:r w:rsidR="008B5D25">
        <w:instrText xml:space="preserve"> REF _Ref184138818 \r \h </w:instrText>
      </w:r>
      <w:r w:rsidR="008B5D25">
        <w:fldChar w:fldCharType="separate"/>
      </w:r>
      <w:r w:rsidR="008F5D42">
        <w:t>2</w:t>
      </w:r>
      <w:r w:rsidR="008B5D25">
        <w:fldChar w:fldCharType="end"/>
      </w:r>
      <w:r w:rsidR="008B5D25">
        <w:t xml:space="preserve">).  </w:t>
      </w:r>
      <w:r w:rsidR="001F27EA">
        <w:t xml:space="preserve"> </w:t>
      </w:r>
    </w:p>
    <w:p w14:paraId="1C520EC1" w14:textId="713ED99F" w:rsidR="00E9176D" w:rsidRPr="000C0845" w:rsidRDefault="00E9176D" w:rsidP="000C0845">
      <w:pPr>
        <w:pStyle w:val="Headingpara2"/>
        <w:rPr>
          <w:b/>
          <w:bCs/>
        </w:rPr>
      </w:pPr>
      <w:bookmarkStart w:id="556" w:name="_Ref184313939"/>
      <w:r w:rsidRPr="000C0845">
        <w:rPr>
          <w:b/>
          <w:bCs/>
        </w:rPr>
        <w:t>Variation</w:t>
      </w:r>
      <w:bookmarkEnd w:id="550"/>
      <w:bookmarkEnd w:id="553"/>
      <w:bookmarkEnd w:id="556"/>
    </w:p>
    <w:p w14:paraId="130CD5E3" w14:textId="44A917E1" w:rsidR="00F06FCC" w:rsidRPr="00A8497F" w:rsidRDefault="005B270D" w:rsidP="00CB4434">
      <w:pPr>
        <w:pStyle w:val="BodyIndent1"/>
        <w:keepLines/>
      </w:pPr>
      <w:r w:rsidRPr="00A8497F">
        <w:t>This</w:t>
      </w:r>
      <w:r w:rsidR="00E9176D" w:rsidRPr="00A8497F">
        <w:t xml:space="preserve"> Agreement may only be varied </w:t>
      </w:r>
      <w:r w:rsidR="00B40CB1">
        <w:t xml:space="preserve">by a document signed by the Minister and the Association. </w:t>
      </w:r>
    </w:p>
    <w:p w14:paraId="5610F753" w14:textId="77777777" w:rsidR="005C081D" w:rsidRPr="009D3B53" w:rsidRDefault="005C081D" w:rsidP="009B2809">
      <w:pPr>
        <w:pStyle w:val="Heading1"/>
      </w:pPr>
      <w:bookmarkStart w:id="557" w:name="_Toc185417682"/>
      <w:r w:rsidRPr="009D3B53">
        <w:t>Notices</w:t>
      </w:r>
      <w:bookmarkEnd w:id="557"/>
    </w:p>
    <w:p w14:paraId="63ED14A6" w14:textId="12E8D19C" w:rsidR="005C081D" w:rsidRPr="009D3B53" w:rsidRDefault="005C081D" w:rsidP="000C0AE1">
      <w:pPr>
        <w:pStyle w:val="Headingpara2"/>
      </w:pPr>
      <w:r w:rsidRPr="009D3B53">
        <w:t xml:space="preserve">A notice under this Agreement is only effective if it is in </w:t>
      </w:r>
      <w:proofErr w:type="gramStart"/>
      <w:r w:rsidRPr="009D3B53">
        <w:t>writing, and</w:t>
      </w:r>
      <w:proofErr w:type="gramEnd"/>
      <w:r w:rsidRPr="009D3B53">
        <w:t xml:space="preserve"> </w:t>
      </w:r>
      <w:r>
        <w:t>addressed to the relevant Signatory as specified in Appendix A, or as otherwise notified by that Signatory to the other Signator</w:t>
      </w:r>
      <w:r w:rsidR="006C689D">
        <w:t>y</w:t>
      </w:r>
      <w:r>
        <w:t xml:space="preserve"> in writing from time to time.</w:t>
      </w:r>
    </w:p>
    <w:p w14:paraId="193E1AEB" w14:textId="77777777" w:rsidR="005C081D" w:rsidRPr="009D3B53" w:rsidRDefault="005C081D" w:rsidP="000C0AE1">
      <w:pPr>
        <w:pStyle w:val="Headingpara2"/>
      </w:pPr>
      <w:r w:rsidRPr="009D3B53">
        <w:lastRenderedPageBreak/>
        <w:t>A notice is to be:</w:t>
      </w:r>
    </w:p>
    <w:p w14:paraId="7E9B7173" w14:textId="77777777" w:rsidR="005C081D" w:rsidRPr="009D3B53" w:rsidRDefault="005C081D" w:rsidP="005C081D">
      <w:pPr>
        <w:pStyle w:val="Heading3"/>
        <w:keepNext/>
      </w:pPr>
      <w:r w:rsidRPr="009D3B53">
        <w:t>signed by the person giving the notice and delivered by hand;</w:t>
      </w:r>
    </w:p>
    <w:p w14:paraId="2C5C3EF1" w14:textId="77777777" w:rsidR="005C081D" w:rsidRPr="009D3B53" w:rsidRDefault="005C081D" w:rsidP="005C081D">
      <w:pPr>
        <w:pStyle w:val="Heading3"/>
      </w:pPr>
      <w:r w:rsidRPr="009D3B53">
        <w:t>signed by the person giving the notice and sent by pre-paid post; or</w:t>
      </w:r>
    </w:p>
    <w:p w14:paraId="69E76842" w14:textId="77777777" w:rsidR="005C081D" w:rsidRPr="009D3B53" w:rsidRDefault="005C081D" w:rsidP="005C081D">
      <w:pPr>
        <w:pStyle w:val="Heading3"/>
      </w:pPr>
      <w:r w:rsidRPr="009D3B53">
        <w:t xml:space="preserve">transmitted electronically by the person giving the notice by </w:t>
      </w:r>
      <w:r>
        <w:t>e</w:t>
      </w:r>
      <w:r w:rsidRPr="009D3B53">
        <w:t>mail.</w:t>
      </w:r>
    </w:p>
    <w:p w14:paraId="6D979B78" w14:textId="761753B5" w:rsidR="005C081D" w:rsidRPr="009D3B53" w:rsidRDefault="005C081D" w:rsidP="005C081D">
      <w:pPr>
        <w:pStyle w:val="Headingpara2"/>
      </w:pPr>
      <w:r w:rsidRPr="009D3B53">
        <w:t xml:space="preserve">Communications take effect from the time they are received or taken to be received under clause </w:t>
      </w:r>
      <w:r w:rsidR="0049528C">
        <w:fldChar w:fldCharType="begin"/>
      </w:r>
      <w:r w:rsidR="0049528C">
        <w:instrText xml:space="preserve"> REF _Ref41341750 \r \h </w:instrText>
      </w:r>
      <w:r w:rsidR="0049528C">
        <w:fldChar w:fldCharType="separate"/>
      </w:r>
      <w:r w:rsidR="008F5D42">
        <w:t>15.4</w:t>
      </w:r>
      <w:r w:rsidR="0049528C">
        <w:fldChar w:fldCharType="end"/>
      </w:r>
      <w:r w:rsidRPr="009D3B53">
        <w:t xml:space="preserve"> (whichever happens first) unless a later time is specified.</w:t>
      </w:r>
    </w:p>
    <w:p w14:paraId="6C342F38" w14:textId="77777777" w:rsidR="005C081D" w:rsidRPr="009D3B53" w:rsidRDefault="005C081D" w:rsidP="005C081D">
      <w:pPr>
        <w:pStyle w:val="Headingpara2"/>
        <w:keepNext/>
      </w:pPr>
      <w:bookmarkStart w:id="558" w:name="_Ref41341750"/>
      <w:r w:rsidRPr="009D3B53">
        <w:t>Communications are taken to be received:</w:t>
      </w:r>
      <w:bookmarkEnd w:id="558"/>
    </w:p>
    <w:p w14:paraId="29047573" w14:textId="77777777" w:rsidR="005C081D" w:rsidRPr="009D3B53" w:rsidRDefault="005C081D" w:rsidP="005C081D">
      <w:pPr>
        <w:pStyle w:val="Heading3"/>
        <w:keepNext/>
      </w:pPr>
      <w:r w:rsidRPr="009D3B53">
        <w:t xml:space="preserve">if sent by post, </w:t>
      </w:r>
      <w:r>
        <w:t>six (6)</w:t>
      </w:r>
      <w:r w:rsidRPr="009D3B53">
        <w:t xml:space="preserve"> days after posting (or </w:t>
      </w:r>
      <w:r>
        <w:t>ten</w:t>
      </w:r>
      <w:r w:rsidRPr="009D3B53">
        <w:t xml:space="preserve"> </w:t>
      </w:r>
      <w:r>
        <w:t xml:space="preserve">(10) </w:t>
      </w:r>
      <w:r w:rsidRPr="009D3B53">
        <w:t>days after posting if sent from one country to another); or</w:t>
      </w:r>
    </w:p>
    <w:p w14:paraId="2B1A8B3B" w14:textId="34899CE6" w:rsidR="005C081D" w:rsidRPr="009D3B53" w:rsidRDefault="005C081D" w:rsidP="00CA07B0">
      <w:pPr>
        <w:pStyle w:val="Heading3"/>
        <w:keepNext/>
      </w:pPr>
      <w:r w:rsidRPr="009D3B53">
        <w:t>if sent by email</w:t>
      </w:r>
      <w:r w:rsidR="006C689D">
        <w:t>:</w:t>
      </w:r>
    </w:p>
    <w:p w14:paraId="345C10BB" w14:textId="77777777" w:rsidR="005C081D" w:rsidRPr="009D3B53" w:rsidRDefault="005C081D" w:rsidP="00CA07B0">
      <w:pPr>
        <w:pStyle w:val="Heading4"/>
        <w:keepNext/>
      </w:pPr>
      <w:r w:rsidRPr="009D3B53">
        <w:t>when the sender receives an automated message confirming delivery; or</w:t>
      </w:r>
    </w:p>
    <w:p w14:paraId="4AFA958C" w14:textId="6BB87696" w:rsidR="005C081D" w:rsidRPr="009D3B53" w:rsidRDefault="00305D38" w:rsidP="005C081D">
      <w:pPr>
        <w:pStyle w:val="Heading4"/>
      </w:pPr>
      <w:r>
        <w:t>four (</w:t>
      </w:r>
      <w:r w:rsidR="005C081D">
        <w:t>4</w:t>
      </w:r>
      <w:r>
        <w:t>)</w:t>
      </w:r>
      <w:r w:rsidR="005C081D" w:rsidRPr="009D3B53">
        <w:t xml:space="preserve"> hours after the time sent (as recorded on the device from which the sender sent the email) unless the sender receives an automated message that the email has not been delivered, </w:t>
      </w:r>
    </w:p>
    <w:p w14:paraId="0A47FDDF" w14:textId="77777777" w:rsidR="005C081D" w:rsidRPr="009D3B53" w:rsidRDefault="005C081D" w:rsidP="005C081D">
      <w:pPr>
        <w:pStyle w:val="BodyIndent2"/>
      </w:pPr>
      <w:r w:rsidRPr="009D3B53">
        <w:t>whichever happens first.</w:t>
      </w:r>
    </w:p>
    <w:p w14:paraId="06E2F79B" w14:textId="49DC436D" w:rsidR="005C081D" w:rsidRDefault="005C081D" w:rsidP="005C081D">
      <w:pPr>
        <w:pStyle w:val="Headingpara2"/>
      </w:pPr>
      <w:r w:rsidRPr="009D3B53">
        <w:t>A notice received, or taken to be received</w:t>
      </w:r>
      <w:r>
        <w:t>,</w:t>
      </w:r>
      <w:r w:rsidRPr="009D3B53">
        <w:t xml:space="preserve"> under clause </w:t>
      </w:r>
      <w:r w:rsidR="0049528C">
        <w:fldChar w:fldCharType="begin"/>
      </w:r>
      <w:r w:rsidR="0049528C">
        <w:instrText xml:space="preserve"> REF _Ref41341750 \r \h </w:instrText>
      </w:r>
      <w:r w:rsidR="0049528C">
        <w:fldChar w:fldCharType="separate"/>
      </w:r>
      <w:r w:rsidR="008F5D42">
        <w:t>15.4</w:t>
      </w:r>
      <w:r w:rsidR="0049528C">
        <w:fldChar w:fldCharType="end"/>
      </w:r>
      <w:r w:rsidRPr="009D3B53">
        <w:t xml:space="preserve"> after 5.00 pm, or on a day that is not a </w:t>
      </w:r>
      <w:r>
        <w:t>Business D</w:t>
      </w:r>
      <w:r w:rsidRPr="009D3B53">
        <w:t xml:space="preserve">ay, is deemed to be </w:t>
      </w:r>
      <w:proofErr w:type="gramStart"/>
      <w:r w:rsidRPr="009D3B53">
        <w:t>effected</w:t>
      </w:r>
      <w:proofErr w:type="gramEnd"/>
      <w:r w:rsidRPr="009D3B53">
        <w:t xml:space="preserve"> on the next </w:t>
      </w:r>
      <w:r>
        <w:t>B</w:t>
      </w:r>
      <w:r w:rsidRPr="009D3B53">
        <w:t xml:space="preserve">usiness </w:t>
      </w:r>
      <w:r>
        <w:t>D</w:t>
      </w:r>
      <w:r w:rsidRPr="009D3B53">
        <w:t xml:space="preserve">ay. </w:t>
      </w:r>
    </w:p>
    <w:p w14:paraId="7D479A9F" w14:textId="474D59DE" w:rsidR="002A78FF" w:rsidRDefault="002A78FF" w:rsidP="000D6BB8">
      <w:pPr>
        <w:pStyle w:val="Heading1"/>
      </w:pPr>
      <w:bookmarkStart w:id="559" w:name="_Toc185417683"/>
      <w:r>
        <w:t>Interpretation</w:t>
      </w:r>
      <w:bookmarkEnd w:id="559"/>
    </w:p>
    <w:p w14:paraId="6DBD6AD3" w14:textId="396DDA33" w:rsidR="007F6E59" w:rsidRPr="000C0845" w:rsidRDefault="007F6E59" w:rsidP="000C0845">
      <w:pPr>
        <w:pStyle w:val="Headingpara2"/>
        <w:rPr>
          <w:b/>
          <w:bCs/>
        </w:rPr>
      </w:pPr>
      <w:bookmarkStart w:id="560" w:name="_Toc40020136"/>
      <w:bookmarkStart w:id="561" w:name="_Toc40020318"/>
      <w:bookmarkStart w:id="562" w:name="_Toc29314666"/>
      <w:bookmarkStart w:id="563" w:name="_Toc29314789"/>
      <w:bookmarkStart w:id="564" w:name="_Toc29315833"/>
      <w:bookmarkStart w:id="565" w:name="_Toc29315954"/>
      <w:bookmarkEnd w:id="560"/>
      <w:bookmarkEnd w:id="561"/>
      <w:bookmarkEnd w:id="562"/>
      <w:bookmarkEnd w:id="563"/>
      <w:bookmarkEnd w:id="564"/>
      <w:bookmarkEnd w:id="565"/>
      <w:r w:rsidRPr="000C0845">
        <w:rPr>
          <w:b/>
          <w:bCs/>
        </w:rPr>
        <w:t>Words and headings</w:t>
      </w:r>
    </w:p>
    <w:p w14:paraId="16B81AA3" w14:textId="77777777" w:rsidR="007F6E59" w:rsidRPr="009D3B53" w:rsidRDefault="007F6E59" w:rsidP="005B270D">
      <w:pPr>
        <w:pStyle w:val="BodyIndent1"/>
        <w:keepNext/>
      </w:pPr>
      <w:r w:rsidRPr="009D3B53">
        <w:t xml:space="preserve">In this Agreement, unless expressed to the contrary: </w:t>
      </w:r>
    </w:p>
    <w:p w14:paraId="2FE2ADF7" w14:textId="77777777" w:rsidR="007F6E59" w:rsidRPr="009D3B53" w:rsidRDefault="007F6E59" w:rsidP="009338EF">
      <w:pPr>
        <w:pStyle w:val="Heading3"/>
        <w:ind w:left="1708" w:hanging="840"/>
      </w:pPr>
      <w:r w:rsidRPr="009D3B53">
        <w:t>words denoting the singular include the plural and vice versa;</w:t>
      </w:r>
    </w:p>
    <w:p w14:paraId="2638B2E6" w14:textId="53B1C837" w:rsidR="007F6E59" w:rsidRPr="009D3B53" w:rsidRDefault="007F6E59" w:rsidP="009338EF">
      <w:pPr>
        <w:pStyle w:val="Heading3"/>
        <w:ind w:left="1708" w:hanging="840"/>
      </w:pPr>
      <w:r w:rsidRPr="009D3B53">
        <w:t xml:space="preserve">the word </w:t>
      </w:r>
      <w:r w:rsidR="007257BC">
        <w:t>‘</w:t>
      </w:r>
      <w:r w:rsidRPr="009D3B53">
        <w:t>includes</w:t>
      </w:r>
      <w:r w:rsidR="007257BC">
        <w:t>’</w:t>
      </w:r>
      <w:r w:rsidRPr="009D3B53">
        <w:t xml:space="preserve"> in any form is not a word of limitation;</w:t>
      </w:r>
    </w:p>
    <w:p w14:paraId="6833F70C" w14:textId="77777777" w:rsidR="007F6E59" w:rsidRPr="009D3B53" w:rsidRDefault="007F6E59" w:rsidP="009338EF">
      <w:pPr>
        <w:pStyle w:val="Heading3"/>
        <w:ind w:left="1708" w:hanging="840"/>
      </w:pPr>
      <w:r w:rsidRPr="009D3B53">
        <w:t xml:space="preserve">where a word or phrase is defined, another part of speech or grammatical form of that word or phrase has a corresponding meaning; </w:t>
      </w:r>
    </w:p>
    <w:p w14:paraId="2C996ADE" w14:textId="77777777" w:rsidR="007F6E59" w:rsidRPr="009D3B53" w:rsidRDefault="007F6E59" w:rsidP="009338EF">
      <w:pPr>
        <w:pStyle w:val="Heading3"/>
        <w:ind w:left="1708" w:hanging="840"/>
      </w:pPr>
      <w:r w:rsidRPr="009D3B53">
        <w:t>headings and sub-headings are for ease of reference only and do not affect the interpretation of this Agreement; and</w:t>
      </w:r>
    </w:p>
    <w:p w14:paraId="14A58285" w14:textId="77777777" w:rsidR="007F6E59" w:rsidRPr="009D3B53" w:rsidRDefault="007F6E59" w:rsidP="009338EF">
      <w:pPr>
        <w:pStyle w:val="Heading3"/>
        <w:ind w:left="1708" w:hanging="840"/>
      </w:pPr>
      <w:r w:rsidRPr="009D3B53">
        <w:t xml:space="preserve">no rule of construction applies to the disadvantage of the </w:t>
      </w:r>
      <w:r w:rsidR="00223700">
        <w:t xml:space="preserve">person </w:t>
      </w:r>
      <w:r w:rsidRPr="009D3B53">
        <w:t>preparing this Agreement on the basis that it prepared or put forward this Agreement or any part of it.</w:t>
      </w:r>
    </w:p>
    <w:p w14:paraId="2C8CE0D0" w14:textId="3B1D0AE9" w:rsidR="007F6E59" w:rsidRPr="000C0845" w:rsidRDefault="007F6E59" w:rsidP="005C0514">
      <w:pPr>
        <w:pStyle w:val="Headingpara2"/>
        <w:keepNext/>
        <w:rPr>
          <w:b/>
          <w:bCs/>
        </w:rPr>
      </w:pPr>
      <w:r w:rsidRPr="000C0845">
        <w:rPr>
          <w:b/>
          <w:bCs/>
        </w:rPr>
        <w:lastRenderedPageBreak/>
        <w:t>Specific references</w:t>
      </w:r>
    </w:p>
    <w:p w14:paraId="339963C1" w14:textId="77777777" w:rsidR="007F6E59" w:rsidRPr="009D3B53" w:rsidRDefault="007F6E59" w:rsidP="00305D38">
      <w:pPr>
        <w:pStyle w:val="BodyIndent1"/>
        <w:keepNext/>
        <w:keepLines/>
      </w:pPr>
      <w:r w:rsidRPr="009D3B53">
        <w:t xml:space="preserve">In this Agreement, unless expressed to the contrary, a reference to: </w:t>
      </w:r>
    </w:p>
    <w:p w14:paraId="1E94B4F0" w14:textId="77777777" w:rsidR="00B26022" w:rsidRPr="00B26022" w:rsidRDefault="00B26022" w:rsidP="00305D38">
      <w:pPr>
        <w:pStyle w:val="Heading3"/>
        <w:keepNext/>
        <w:keepLines/>
        <w:ind w:left="1708" w:hanging="840"/>
        <w:rPr>
          <w:rStyle w:val="IntenseReference"/>
          <w:b w:val="0"/>
          <w:bCs w:val="0"/>
          <w:i w:val="0"/>
          <w:smallCaps w:val="0"/>
          <w:color w:val="auto"/>
          <w:spacing w:val="0"/>
        </w:rPr>
      </w:pPr>
      <w:r>
        <w:rPr>
          <w:rStyle w:val="IntenseReference"/>
          <w:b w:val="0"/>
          <w:bCs w:val="0"/>
          <w:i w:val="0"/>
          <w:smallCaps w:val="0"/>
          <w:color w:val="auto"/>
          <w:spacing w:val="0"/>
        </w:rPr>
        <w:t>a decision or a determination of the Minister includes a decision or determination of the Minister’s delegate;</w:t>
      </w:r>
    </w:p>
    <w:p w14:paraId="2CE37719" w14:textId="1EF09331" w:rsidR="003C5D61" w:rsidRPr="003C5D61" w:rsidRDefault="003C5D61" w:rsidP="00305D38">
      <w:pPr>
        <w:pStyle w:val="Heading3"/>
        <w:keepNext/>
        <w:keepLines/>
        <w:ind w:left="1708" w:hanging="840"/>
        <w:rPr>
          <w:rStyle w:val="IntenseReference"/>
          <w:b w:val="0"/>
          <w:bCs w:val="0"/>
          <w:i w:val="0"/>
          <w:smallCaps w:val="0"/>
          <w:color w:val="auto"/>
          <w:spacing w:val="0"/>
        </w:rPr>
      </w:pPr>
      <w:r w:rsidRPr="003C5D61">
        <w:rPr>
          <w:rStyle w:val="IntenseReference"/>
          <w:b w:val="0"/>
          <w:bCs w:val="0"/>
          <w:i w:val="0"/>
          <w:smallCaps w:val="0"/>
          <w:color w:val="auto"/>
          <w:spacing w:val="0"/>
        </w:rPr>
        <w:t>consult</w:t>
      </w:r>
      <w:r>
        <w:rPr>
          <w:rStyle w:val="IntenseReference"/>
          <w:b w:val="0"/>
          <w:bCs w:val="0"/>
          <w:i w:val="0"/>
          <w:smallCaps w:val="0"/>
          <w:color w:val="auto"/>
          <w:spacing w:val="0"/>
        </w:rPr>
        <w:t>ing</w:t>
      </w:r>
      <w:r w:rsidRPr="003C5D61">
        <w:rPr>
          <w:rStyle w:val="IntenseReference"/>
          <w:b w:val="0"/>
          <w:bCs w:val="0"/>
          <w:i w:val="0"/>
          <w:smallCaps w:val="0"/>
          <w:color w:val="auto"/>
          <w:spacing w:val="0"/>
        </w:rPr>
        <w:t xml:space="preserve"> on a matter, </w:t>
      </w:r>
      <w:r>
        <w:rPr>
          <w:rStyle w:val="IntenseReference"/>
          <w:b w:val="0"/>
          <w:bCs w:val="0"/>
          <w:i w:val="0"/>
          <w:smallCaps w:val="0"/>
          <w:color w:val="auto"/>
          <w:spacing w:val="0"/>
        </w:rPr>
        <w:t xml:space="preserve">means </w:t>
      </w:r>
      <w:r w:rsidRPr="003C5D61">
        <w:rPr>
          <w:rStyle w:val="IntenseReference"/>
          <w:b w:val="0"/>
          <w:bCs w:val="0"/>
          <w:i w:val="0"/>
          <w:smallCaps w:val="0"/>
          <w:color w:val="auto"/>
          <w:spacing w:val="0"/>
        </w:rPr>
        <w:t>seek</w:t>
      </w:r>
      <w:r>
        <w:rPr>
          <w:rStyle w:val="IntenseReference"/>
          <w:b w:val="0"/>
          <w:bCs w:val="0"/>
          <w:i w:val="0"/>
          <w:smallCaps w:val="0"/>
          <w:color w:val="auto"/>
          <w:spacing w:val="0"/>
        </w:rPr>
        <w:t>ing</w:t>
      </w:r>
      <w:r w:rsidRPr="003C5D61">
        <w:rPr>
          <w:rStyle w:val="IntenseReference"/>
          <w:b w:val="0"/>
          <w:bCs w:val="0"/>
          <w:i w:val="0"/>
          <w:smallCaps w:val="0"/>
          <w:color w:val="auto"/>
          <w:spacing w:val="0"/>
        </w:rPr>
        <w:t xml:space="preserve"> the views of the relevant other Signatory or third party and is not an obligation to seek or obtain the agreement of any other Signatory or third party</w:t>
      </w:r>
      <w:r>
        <w:rPr>
          <w:rStyle w:val="IntenseReference"/>
          <w:b w:val="0"/>
          <w:bCs w:val="0"/>
          <w:i w:val="0"/>
          <w:smallCaps w:val="0"/>
          <w:color w:val="auto"/>
          <w:spacing w:val="0"/>
        </w:rPr>
        <w:t>;</w:t>
      </w:r>
    </w:p>
    <w:p w14:paraId="49EE1C26" w14:textId="5511F4A6" w:rsidR="007F6E59" w:rsidRPr="009D3B53" w:rsidRDefault="007F6E59" w:rsidP="009338EF">
      <w:pPr>
        <w:pStyle w:val="Heading3"/>
        <w:ind w:left="1708" w:hanging="840"/>
      </w:pPr>
      <w:r w:rsidRPr="009D3B53">
        <w:rPr>
          <w:rStyle w:val="IntenseReference"/>
          <w:rFonts w:cs="Arial"/>
          <w:b w:val="0"/>
          <w:bCs w:val="0"/>
          <w:i w:val="0"/>
          <w:smallCaps w:val="0"/>
          <w:color w:val="auto"/>
          <w:spacing w:val="0"/>
        </w:rPr>
        <w:t xml:space="preserve">a section </w:t>
      </w:r>
      <w:r w:rsidRPr="00597B93">
        <w:t>is a reference to a section of the Act;</w:t>
      </w:r>
    </w:p>
    <w:p w14:paraId="4EBACA27" w14:textId="77777777" w:rsidR="007F6E59" w:rsidRPr="009D3B53" w:rsidRDefault="007F6E59" w:rsidP="009338EF">
      <w:pPr>
        <w:pStyle w:val="Heading3"/>
        <w:ind w:left="1708" w:hanging="840"/>
      </w:pPr>
      <w:r w:rsidRPr="009D3B53">
        <w:t>any legislation (including subordinate legislation) is to that legislation as amended, re-enacted or replaced and includes any subordinate legislation issued under it;</w:t>
      </w:r>
    </w:p>
    <w:p w14:paraId="6EEA06AB" w14:textId="77777777" w:rsidR="007F6E59" w:rsidRPr="009D3B53" w:rsidRDefault="007F6E59" w:rsidP="009338EF">
      <w:pPr>
        <w:pStyle w:val="Heading3"/>
        <w:ind w:left="1708" w:hanging="840"/>
      </w:pPr>
      <w:r w:rsidRPr="009D3B53">
        <w:t xml:space="preserve">any document (such as a deed, agreement or other document) is to that document (or, if required by the context, to a part of it) as amended, novated, substituted or supplemented at any time; </w:t>
      </w:r>
    </w:p>
    <w:p w14:paraId="230EB96C" w14:textId="77777777" w:rsidR="007F6E59" w:rsidRPr="009D3B53" w:rsidRDefault="007F6E59" w:rsidP="009338EF">
      <w:pPr>
        <w:pStyle w:val="Heading3"/>
        <w:ind w:left="1708" w:hanging="840"/>
      </w:pPr>
      <w:r w:rsidRPr="009D3B53">
        <w:t xml:space="preserve">writing includes writing in digital form; </w:t>
      </w:r>
    </w:p>
    <w:p w14:paraId="06EC1BE9" w14:textId="77777777" w:rsidR="007F6E59" w:rsidRPr="009D3B53" w:rsidRDefault="007F6E59" w:rsidP="009338EF">
      <w:pPr>
        <w:pStyle w:val="Heading3"/>
        <w:ind w:left="1708" w:hanging="840"/>
      </w:pPr>
      <w:r w:rsidRPr="009D3B53">
        <w:t>‘</w:t>
      </w:r>
      <w:proofErr w:type="gramStart"/>
      <w:r w:rsidRPr="009D3B53">
        <w:t>this</w:t>
      </w:r>
      <w:proofErr w:type="gramEnd"/>
      <w:r w:rsidRPr="009D3B53">
        <w:t xml:space="preserve"> Agreement’ is to this Agreement as amended from time to time;</w:t>
      </w:r>
    </w:p>
    <w:p w14:paraId="2AF76B8C" w14:textId="3CACA1A4" w:rsidR="007F6E59" w:rsidRPr="009D3B53" w:rsidRDefault="007257BC" w:rsidP="009338EF">
      <w:pPr>
        <w:pStyle w:val="Heading3"/>
        <w:ind w:left="1708" w:hanging="840"/>
      </w:pPr>
      <w:r>
        <w:t>‘</w:t>
      </w:r>
      <w:r w:rsidR="007F6E59" w:rsidRPr="009D3B53">
        <w:t>A$</w:t>
      </w:r>
      <w:r>
        <w:t>’</w:t>
      </w:r>
      <w:r w:rsidR="007F6E59" w:rsidRPr="009D3B53">
        <w:t xml:space="preserve">, </w:t>
      </w:r>
      <w:r>
        <w:t>‘</w:t>
      </w:r>
      <w:r w:rsidR="007F6E59" w:rsidRPr="009D3B53">
        <w:t>$</w:t>
      </w:r>
      <w:r>
        <w:t>’</w:t>
      </w:r>
      <w:r w:rsidR="007F6E59" w:rsidRPr="009D3B53">
        <w:t xml:space="preserve">, </w:t>
      </w:r>
      <w:r>
        <w:t>‘</w:t>
      </w:r>
      <w:r w:rsidR="007F6E59" w:rsidRPr="009D3B53">
        <w:t>AUD</w:t>
      </w:r>
      <w:r>
        <w:t>’</w:t>
      </w:r>
      <w:r w:rsidR="002D6CEF" w:rsidRPr="009D3B53">
        <w:t>,</w:t>
      </w:r>
      <w:r w:rsidR="007F6E59" w:rsidRPr="009D3B53">
        <w:t xml:space="preserve"> </w:t>
      </w:r>
      <w:r>
        <w:t>‘</w:t>
      </w:r>
      <w:r w:rsidR="007F6E59" w:rsidRPr="009D3B53">
        <w:t>dollars</w:t>
      </w:r>
      <w:r>
        <w:t>’</w:t>
      </w:r>
      <w:r w:rsidR="007F6E59" w:rsidRPr="009D3B53">
        <w:t xml:space="preserve"> </w:t>
      </w:r>
      <w:r w:rsidR="002D6CEF" w:rsidRPr="009D3B53">
        <w:t xml:space="preserve">or </w:t>
      </w:r>
      <w:r>
        <w:t>‘</w:t>
      </w:r>
      <w:r w:rsidR="002D6CEF" w:rsidRPr="009D3B53">
        <w:t>cents</w:t>
      </w:r>
      <w:r>
        <w:t>’</w:t>
      </w:r>
      <w:r w:rsidR="002D6CEF" w:rsidRPr="009D3B53">
        <w:t xml:space="preserve"> </w:t>
      </w:r>
      <w:r w:rsidR="007F6E59" w:rsidRPr="009D3B53">
        <w:t xml:space="preserve">is a reference to Australian </w:t>
      </w:r>
      <w:r w:rsidR="002D6CEF" w:rsidRPr="009D3B53">
        <w:t>units of currency</w:t>
      </w:r>
      <w:r w:rsidR="007F6E59" w:rsidRPr="009D3B53">
        <w:t>;</w:t>
      </w:r>
    </w:p>
    <w:p w14:paraId="70E5B2A6" w14:textId="77777777" w:rsidR="007F6E59" w:rsidRPr="009D3B53" w:rsidRDefault="007F6E59" w:rsidP="009338EF">
      <w:pPr>
        <w:pStyle w:val="Heading3"/>
        <w:ind w:left="1708" w:hanging="840"/>
      </w:pPr>
      <w:r w:rsidRPr="009D3B53">
        <w:t xml:space="preserve">a clause, </w:t>
      </w:r>
      <w:r w:rsidR="007E4F56">
        <w:t>appendix, part</w:t>
      </w:r>
      <w:r w:rsidR="005D75D9" w:rsidRPr="009D3B53">
        <w:t>, table</w:t>
      </w:r>
      <w:r w:rsidRPr="009D3B53">
        <w:t xml:space="preserve"> or attachment is a reference to a clause, </w:t>
      </w:r>
      <w:r w:rsidR="007E4F56">
        <w:t>appendix, part</w:t>
      </w:r>
      <w:r w:rsidR="005D75D9" w:rsidRPr="009D3B53">
        <w:t>, table</w:t>
      </w:r>
      <w:r w:rsidRPr="009D3B53">
        <w:t xml:space="preserve"> or attachment in or to this Agreement; </w:t>
      </w:r>
    </w:p>
    <w:p w14:paraId="37036D83" w14:textId="77777777" w:rsidR="007F6E59" w:rsidRPr="009D3B53" w:rsidRDefault="007F6E59" w:rsidP="009338EF">
      <w:pPr>
        <w:pStyle w:val="Heading3"/>
        <w:ind w:left="1708" w:hanging="840"/>
      </w:pPr>
      <w:r w:rsidRPr="00597B93">
        <w:t>to a ‘</w:t>
      </w:r>
      <w:r w:rsidRPr="009D3B53">
        <w:t>person’</w:t>
      </w:r>
      <w:r w:rsidRPr="00597B93">
        <w:t xml:space="preserve"> includes an individual</w:t>
      </w:r>
      <w:r w:rsidRPr="009338EF">
        <w:t xml:space="preserve">, a firm, a body corporate, a partnership, a joint venture, an unincorporated body or association, or any Government Agency; </w:t>
      </w:r>
      <w:r w:rsidRPr="009D3B53">
        <w:t>and</w:t>
      </w:r>
    </w:p>
    <w:p w14:paraId="198D00F3" w14:textId="77777777" w:rsidR="007F6E59" w:rsidRPr="009D3B53" w:rsidRDefault="007F6E59" w:rsidP="009338EF">
      <w:pPr>
        <w:pStyle w:val="Heading3"/>
        <w:ind w:left="1708" w:hanging="840"/>
      </w:pPr>
      <w:r w:rsidRPr="009D3B53">
        <w:t>any body (</w:t>
      </w:r>
      <w:r w:rsidRPr="009216B1">
        <w:rPr>
          <w:b/>
        </w:rPr>
        <w:t>Original Body</w:t>
      </w:r>
      <w:r w:rsidRPr="009D3B53">
        <w:t xml:space="preserve">) which no longer exists or has been reconstituted, renamed, replaced or whose powers or functions have been removed or transferred to another body or agency, is a reference to the body which most closely serves the purposes or objects of the Original Body. </w:t>
      </w:r>
    </w:p>
    <w:p w14:paraId="04B72EF1" w14:textId="5AF9F908" w:rsidR="00A41B45" w:rsidRDefault="00A41B45" w:rsidP="00A8497F">
      <w:pPr>
        <w:pStyle w:val="Heading1"/>
      </w:pPr>
      <w:bookmarkStart w:id="566" w:name="_Toc41335267"/>
      <w:bookmarkStart w:id="567" w:name="_Toc41335437"/>
      <w:bookmarkStart w:id="568" w:name="_Toc41340264"/>
      <w:bookmarkStart w:id="569" w:name="_Toc41346124"/>
      <w:bookmarkStart w:id="570" w:name="_Toc41335277"/>
      <w:bookmarkStart w:id="571" w:name="_Toc41335447"/>
      <w:bookmarkStart w:id="572" w:name="_Toc41340274"/>
      <w:bookmarkStart w:id="573" w:name="_Toc41346134"/>
      <w:bookmarkStart w:id="574" w:name="_Ref41387127"/>
      <w:bookmarkStart w:id="575" w:name="_Ref41326717"/>
      <w:bookmarkStart w:id="576" w:name="_Ref41423320"/>
      <w:bookmarkStart w:id="577" w:name="_Toc185417684"/>
      <w:bookmarkEnd w:id="566"/>
      <w:bookmarkEnd w:id="567"/>
      <w:bookmarkEnd w:id="568"/>
      <w:bookmarkEnd w:id="569"/>
      <w:bookmarkEnd w:id="570"/>
      <w:bookmarkEnd w:id="571"/>
      <w:bookmarkEnd w:id="572"/>
      <w:bookmarkEnd w:id="573"/>
      <w:r>
        <w:t>Definitions</w:t>
      </w:r>
      <w:bookmarkEnd w:id="574"/>
      <w:bookmarkEnd w:id="575"/>
      <w:bookmarkEnd w:id="576"/>
      <w:bookmarkEnd w:id="577"/>
    </w:p>
    <w:p w14:paraId="62A8C772" w14:textId="77777777" w:rsidR="00A41B45" w:rsidRPr="009D3B53" w:rsidRDefault="00A41B45" w:rsidP="00A8497F">
      <w:pPr>
        <w:pStyle w:val="Headingpara2"/>
        <w:keepNext/>
      </w:pPr>
      <w:r w:rsidRPr="009D3B53">
        <w:t>In this Agreement, unless the contrary intention appears:</w:t>
      </w:r>
    </w:p>
    <w:p w14:paraId="053511E6" w14:textId="77777777" w:rsidR="00A41B45" w:rsidRDefault="00A41B45" w:rsidP="00A8497F">
      <w:pPr>
        <w:pStyle w:val="BodyIndent1"/>
        <w:keepNext/>
        <w:rPr>
          <w:rStyle w:val="IntenseReference"/>
          <w:b w:val="0"/>
          <w:bCs w:val="0"/>
          <w:i w:val="0"/>
          <w:smallCaps w:val="0"/>
          <w:color w:val="auto"/>
        </w:rPr>
      </w:pPr>
      <w:r w:rsidRPr="009D3B53">
        <w:rPr>
          <w:rStyle w:val="IntenseReference"/>
          <w:bCs w:val="0"/>
          <w:i w:val="0"/>
          <w:smallCaps w:val="0"/>
          <w:color w:val="auto"/>
        </w:rPr>
        <w:t xml:space="preserve">Act </w:t>
      </w:r>
      <w:r w:rsidRPr="009D3B53">
        <w:t>means</w:t>
      </w:r>
      <w:r w:rsidRPr="009D3B53">
        <w:rPr>
          <w:rStyle w:val="IntenseReference"/>
          <w:b w:val="0"/>
          <w:bCs w:val="0"/>
          <w:i w:val="0"/>
          <w:smallCaps w:val="0"/>
          <w:color w:val="auto"/>
        </w:rPr>
        <w:t xml:space="preserve"> the </w:t>
      </w:r>
      <w:r w:rsidRPr="009D3B53">
        <w:rPr>
          <w:rStyle w:val="IntenseReference"/>
          <w:b w:val="0"/>
          <w:bCs w:val="0"/>
          <w:smallCaps w:val="0"/>
          <w:color w:val="auto"/>
        </w:rPr>
        <w:t xml:space="preserve">National Health Act </w:t>
      </w:r>
      <w:r w:rsidRPr="005B0279">
        <w:rPr>
          <w:rStyle w:val="IntenseReference"/>
          <w:b w:val="0"/>
          <w:bCs w:val="0"/>
          <w:smallCaps w:val="0"/>
          <w:color w:val="auto"/>
        </w:rPr>
        <w:t>1953</w:t>
      </w:r>
      <w:r>
        <w:rPr>
          <w:rStyle w:val="IntenseReference"/>
          <w:b w:val="0"/>
          <w:bCs w:val="0"/>
          <w:smallCaps w:val="0"/>
          <w:color w:val="auto"/>
        </w:rPr>
        <w:t xml:space="preserve"> </w:t>
      </w:r>
      <w:r>
        <w:t>(Cth)</w:t>
      </w:r>
      <w:r w:rsidRPr="009D3B53">
        <w:rPr>
          <w:rStyle w:val="IntenseReference"/>
          <w:b w:val="0"/>
          <w:bCs w:val="0"/>
          <w:i w:val="0"/>
          <w:smallCaps w:val="0"/>
          <w:color w:val="auto"/>
        </w:rPr>
        <w:t>.</w:t>
      </w:r>
    </w:p>
    <w:p w14:paraId="47CD0E0E" w14:textId="23A3E2C9" w:rsidR="0056602C" w:rsidRPr="0056602C" w:rsidRDefault="0056602C" w:rsidP="00A8497F">
      <w:pPr>
        <w:pStyle w:val="BodyIndent1"/>
        <w:keepNext/>
        <w:rPr>
          <w:rStyle w:val="IntenseReference"/>
          <w:b w:val="0"/>
          <w:i w:val="0"/>
          <w:smallCaps w:val="0"/>
          <w:color w:val="auto"/>
        </w:rPr>
      </w:pPr>
      <w:r>
        <w:rPr>
          <w:rStyle w:val="IntenseReference"/>
          <w:bCs w:val="0"/>
          <w:i w:val="0"/>
          <w:smallCaps w:val="0"/>
          <w:color w:val="auto"/>
        </w:rPr>
        <w:t xml:space="preserve">Adjustment Date </w:t>
      </w:r>
      <w:r w:rsidRPr="0056602C">
        <w:rPr>
          <w:rStyle w:val="IntenseReference"/>
          <w:b w:val="0"/>
          <w:i w:val="0"/>
          <w:smallCaps w:val="0"/>
          <w:color w:val="auto"/>
        </w:rPr>
        <w:t xml:space="preserve">means each </w:t>
      </w:r>
      <w:proofErr w:type="gramStart"/>
      <w:r w:rsidR="00234B4B">
        <w:rPr>
          <w:rStyle w:val="IntenseReference"/>
          <w:b w:val="0"/>
          <w:i w:val="0"/>
          <w:smallCaps w:val="0"/>
          <w:color w:val="auto"/>
        </w:rPr>
        <w:t>period of time</w:t>
      </w:r>
      <w:proofErr w:type="gramEnd"/>
      <w:r w:rsidRPr="0056602C">
        <w:rPr>
          <w:rStyle w:val="IntenseReference"/>
          <w:b w:val="0"/>
          <w:i w:val="0"/>
          <w:smallCaps w:val="0"/>
          <w:color w:val="auto"/>
        </w:rPr>
        <w:t xml:space="preserve"> set out in table 5 in clause </w:t>
      </w:r>
      <w:r w:rsidR="00D532F0">
        <w:rPr>
          <w:rStyle w:val="IntenseReference"/>
          <w:b w:val="0"/>
          <w:i w:val="0"/>
          <w:smallCaps w:val="0"/>
          <w:color w:val="auto"/>
        </w:rPr>
        <w:fldChar w:fldCharType="begin"/>
      </w:r>
      <w:r w:rsidR="00D532F0">
        <w:rPr>
          <w:rStyle w:val="IntenseReference"/>
          <w:b w:val="0"/>
          <w:i w:val="0"/>
          <w:smallCaps w:val="0"/>
          <w:color w:val="auto"/>
        </w:rPr>
        <w:instrText xml:space="preserve"> REF _Ref185400308 \w \h </w:instrText>
      </w:r>
      <w:r w:rsidR="00D532F0">
        <w:rPr>
          <w:rStyle w:val="IntenseReference"/>
          <w:b w:val="0"/>
          <w:i w:val="0"/>
          <w:smallCaps w:val="0"/>
          <w:color w:val="auto"/>
        </w:rPr>
      </w:r>
      <w:r w:rsidR="00D532F0">
        <w:rPr>
          <w:rStyle w:val="IntenseReference"/>
          <w:b w:val="0"/>
          <w:i w:val="0"/>
          <w:smallCaps w:val="0"/>
          <w:color w:val="auto"/>
        </w:rPr>
        <w:fldChar w:fldCharType="separate"/>
      </w:r>
      <w:r w:rsidR="008F5D42">
        <w:rPr>
          <w:rStyle w:val="IntenseReference"/>
          <w:b w:val="0"/>
          <w:i w:val="0"/>
          <w:smallCaps w:val="0"/>
          <w:color w:val="auto"/>
        </w:rPr>
        <w:t>3.1.2</w:t>
      </w:r>
      <w:r w:rsidR="00D532F0">
        <w:rPr>
          <w:rStyle w:val="IntenseReference"/>
          <w:b w:val="0"/>
          <w:i w:val="0"/>
          <w:smallCaps w:val="0"/>
          <w:color w:val="auto"/>
        </w:rPr>
        <w:fldChar w:fldCharType="end"/>
      </w:r>
      <w:r w:rsidR="00B70EDB">
        <w:rPr>
          <w:rStyle w:val="IntenseReference"/>
          <w:b w:val="0"/>
          <w:i w:val="0"/>
          <w:smallCaps w:val="0"/>
          <w:color w:val="auto"/>
        </w:rPr>
        <w:t>.</w:t>
      </w:r>
    </w:p>
    <w:p w14:paraId="63D76123" w14:textId="0E0B3831" w:rsidR="00A41B45" w:rsidRDefault="00A41B45" w:rsidP="00A41B45">
      <w:pPr>
        <w:pStyle w:val="BodyIndent1"/>
      </w:pPr>
      <w:r w:rsidRPr="009D3B53">
        <w:rPr>
          <w:b/>
        </w:rPr>
        <w:t xml:space="preserve">Agreement </w:t>
      </w:r>
      <w:r w:rsidRPr="009D3B53">
        <w:t xml:space="preserve">means this </w:t>
      </w:r>
      <w:r w:rsidR="006C689D">
        <w:t>Pharmaceutical Wholesaler</w:t>
      </w:r>
      <w:r w:rsidRPr="009D3B53">
        <w:t xml:space="preserve"> Agreement.</w:t>
      </w:r>
    </w:p>
    <w:p w14:paraId="58B654F4" w14:textId="77777777" w:rsidR="00A41B45" w:rsidRPr="00F24378" w:rsidRDefault="00A41B45" w:rsidP="00A41B45">
      <w:pPr>
        <w:pStyle w:val="BodyIndent1"/>
        <w:rPr>
          <w:rStyle w:val="IntenseReference"/>
          <w:b w:val="0"/>
          <w:bCs w:val="0"/>
          <w:i w:val="0"/>
          <w:smallCaps w:val="0"/>
          <w:color w:val="auto"/>
        </w:rPr>
      </w:pPr>
      <w:r>
        <w:rPr>
          <w:rStyle w:val="IntenseReference"/>
          <w:bCs w:val="0"/>
          <w:i w:val="0"/>
          <w:smallCaps w:val="0"/>
          <w:color w:val="auto"/>
        </w:rPr>
        <w:t>Appendix</w:t>
      </w:r>
      <w:r>
        <w:rPr>
          <w:rStyle w:val="IntenseReference"/>
          <w:b w:val="0"/>
          <w:bCs w:val="0"/>
          <w:i w:val="0"/>
          <w:smallCaps w:val="0"/>
          <w:color w:val="auto"/>
        </w:rPr>
        <w:t xml:space="preserve"> means an </w:t>
      </w:r>
      <w:r w:rsidRPr="00A41B45">
        <w:t>appendix</w:t>
      </w:r>
      <w:r>
        <w:rPr>
          <w:rStyle w:val="IntenseReference"/>
          <w:b w:val="0"/>
          <w:bCs w:val="0"/>
          <w:i w:val="0"/>
          <w:smallCaps w:val="0"/>
          <w:color w:val="auto"/>
        </w:rPr>
        <w:t xml:space="preserve"> to this Agreement.</w:t>
      </w:r>
    </w:p>
    <w:p w14:paraId="65E5FB4A" w14:textId="6BF1F6B1" w:rsidR="00A41B45" w:rsidRPr="000C0845" w:rsidRDefault="00A41B45" w:rsidP="00A41B45">
      <w:pPr>
        <w:pStyle w:val="BodyIndent1"/>
      </w:pPr>
      <w:r w:rsidRPr="000C0845">
        <w:rPr>
          <w:b/>
        </w:rPr>
        <w:t>Approved Ex-Manufacturer Price</w:t>
      </w:r>
      <w:r w:rsidRPr="000C0845">
        <w:t xml:space="preserve"> has the meaning given in Part VII of the Act.</w:t>
      </w:r>
    </w:p>
    <w:p w14:paraId="42E6403E" w14:textId="77777777" w:rsidR="00A41B45" w:rsidRPr="009D3B53" w:rsidRDefault="00A41B45" w:rsidP="00A41B45">
      <w:pPr>
        <w:pStyle w:val="BodyIndent1"/>
      </w:pPr>
      <w:r w:rsidRPr="009D3B53">
        <w:rPr>
          <w:b/>
        </w:rPr>
        <w:t>Approved Pharmacist</w:t>
      </w:r>
      <w:r w:rsidRPr="009D3B53">
        <w:t xml:space="preserve"> has the meaning given in Part VII of the Act.</w:t>
      </w:r>
    </w:p>
    <w:p w14:paraId="6C308464" w14:textId="0CF400A1" w:rsidR="009B36BD" w:rsidRPr="009B36BD" w:rsidRDefault="009B36BD" w:rsidP="00A41B45">
      <w:pPr>
        <w:pStyle w:val="BodyIndent1"/>
        <w:rPr>
          <w:bCs/>
        </w:rPr>
      </w:pPr>
      <w:r>
        <w:rPr>
          <w:b/>
        </w:rPr>
        <w:t>Association</w:t>
      </w:r>
      <w:r>
        <w:rPr>
          <w:bCs/>
        </w:rPr>
        <w:t xml:space="preserve"> means the National Pharmac</w:t>
      </w:r>
      <w:r w:rsidR="00602524">
        <w:rPr>
          <w:bCs/>
        </w:rPr>
        <w:t>eutical</w:t>
      </w:r>
      <w:r>
        <w:rPr>
          <w:bCs/>
        </w:rPr>
        <w:t xml:space="preserve"> Services Association.  </w:t>
      </w:r>
    </w:p>
    <w:p w14:paraId="36EA4F7B" w14:textId="7C27A7C5" w:rsidR="002665C5" w:rsidRPr="009D3B53" w:rsidRDefault="002665C5" w:rsidP="002665C5">
      <w:pPr>
        <w:pStyle w:val="BodyIndent1"/>
        <w:keepNext/>
        <w:rPr>
          <w:rStyle w:val="IntenseReference"/>
          <w:b w:val="0"/>
          <w:bCs w:val="0"/>
          <w:i w:val="0"/>
          <w:smallCaps w:val="0"/>
          <w:color w:val="auto"/>
          <w:spacing w:val="0"/>
        </w:rPr>
      </w:pPr>
      <w:r>
        <w:rPr>
          <w:rStyle w:val="IntenseReference"/>
          <w:bCs w:val="0"/>
          <w:i w:val="0"/>
          <w:smallCaps w:val="0"/>
          <w:color w:val="auto"/>
          <w:spacing w:val="0"/>
        </w:rPr>
        <w:lastRenderedPageBreak/>
        <w:t>Association</w:t>
      </w:r>
      <w:r w:rsidRPr="009D3B53">
        <w:rPr>
          <w:rStyle w:val="IntenseReference"/>
          <w:bCs w:val="0"/>
          <w:i w:val="0"/>
          <w:smallCaps w:val="0"/>
          <w:color w:val="auto"/>
          <w:spacing w:val="0"/>
        </w:rPr>
        <w:t xml:space="preserve"> Representative</w:t>
      </w:r>
      <w:r w:rsidRPr="009D3B53">
        <w:rPr>
          <w:rStyle w:val="IntenseReference"/>
          <w:b w:val="0"/>
          <w:bCs w:val="0"/>
          <w:i w:val="0"/>
          <w:smallCaps w:val="0"/>
          <w:color w:val="auto"/>
          <w:spacing w:val="0"/>
        </w:rPr>
        <w:t xml:space="preserve"> </w:t>
      </w:r>
      <w:r w:rsidRPr="00A41B45">
        <w:t>means</w:t>
      </w:r>
      <w:r w:rsidRPr="009D3B53">
        <w:rPr>
          <w:rStyle w:val="IntenseReference"/>
          <w:b w:val="0"/>
          <w:bCs w:val="0"/>
          <w:i w:val="0"/>
          <w:smallCaps w:val="0"/>
          <w:color w:val="auto"/>
          <w:spacing w:val="0"/>
        </w:rPr>
        <w:t>:</w:t>
      </w:r>
    </w:p>
    <w:p w14:paraId="55F7E81D" w14:textId="05CB7F55" w:rsidR="002665C5" w:rsidRPr="009D3B53" w:rsidRDefault="002665C5" w:rsidP="0097156D">
      <w:pPr>
        <w:pStyle w:val="legalDefinition"/>
        <w:keepNext/>
        <w:numPr>
          <w:ilvl w:val="0"/>
          <w:numId w:val="17"/>
        </w:numPr>
      </w:pPr>
      <w:r w:rsidRPr="009D3B53">
        <w:t xml:space="preserve">the person from time to time holding or acting in the position of </w:t>
      </w:r>
      <w:r w:rsidR="00192A44" w:rsidRPr="00C31789">
        <w:t>Chairper</w:t>
      </w:r>
      <w:r w:rsidR="00BB6408">
        <w:t>s</w:t>
      </w:r>
      <w:r w:rsidR="00192A44" w:rsidRPr="00C31789">
        <w:t>on</w:t>
      </w:r>
      <w:r w:rsidR="00192A44">
        <w:t xml:space="preserve"> </w:t>
      </w:r>
      <w:r w:rsidRPr="009D3B53">
        <w:t xml:space="preserve">of the </w:t>
      </w:r>
      <w:r>
        <w:t>Association</w:t>
      </w:r>
      <w:r w:rsidRPr="009D3B53">
        <w:t>; or</w:t>
      </w:r>
    </w:p>
    <w:p w14:paraId="229096D9" w14:textId="5FAC4EDF" w:rsidR="002665C5" w:rsidRPr="009D3B53" w:rsidRDefault="002665C5" w:rsidP="0014037B">
      <w:pPr>
        <w:pStyle w:val="legalDefinition"/>
      </w:pPr>
      <w:r w:rsidRPr="009D3B53">
        <w:t xml:space="preserve">a person from time to time holding </w:t>
      </w:r>
      <w:r w:rsidR="00BB6408">
        <w:t>a senior executive position of the Association</w:t>
      </w:r>
      <w:r w:rsidR="0042234F">
        <w:t xml:space="preserve">, </w:t>
      </w:r>
      <w:r w:rsidR="001803FB">
        <w:t xml:space="preserve">as is </w:t>
      </w:r>
      <w:r w:rsidRPr="009D3B53">
        <w:t xml:space="preserve">notified by the </w:t>
      </w:r>
      <w:r>
        <w:t>Association</w:t>
      </w:r>
      <w:r w:rsidRPr="009D3B53">
        <w:t xml:space="preserve"> to the </w:t>
      </w:r>
      <w:r>
        <w:t xml:space="preserve">Department </w:t>
      </w:r>
      <w:r w:rsidR="00DE27F5">
        <w:t xml:space="preserve">Representative </w:t>
      </w:r>
      <w:r w:rsidRPr="009D3B53">
        <w:t>in writing from time to time.</w:t>
      </w:r>
    </w:p>
    <w:p w14:paraId="29E1FFFD" w14:textId="58809E44" w:rsidR="00444866" w:rsidRDefault="00444866" w:rsidP="00444866">
      <w:pPr>
        <w:pStyle w:val="BodyIndent1"/>
        <w:rPr>
          <w:bCs/>
        </w:rPr>
      </w:pPr>
      <w:r>
        <w:rPr>
          <w:b/>
        </w:rPr>
        <w:t>Association Wholesalers</w:t>
      </w:r>
      <w:r>
        <w:rPr>
          <w:bCs/>
        </w:rPr>
        <w:t xml:space="preserve"> means the pharmaceutical wholesalers represented by the Association.</w:t>
      </w:r>
    </w:p>
    <w:p w14:paraId="26DD6A3C" w14:textId="44C6D8A0" w:rsidR="00EC7210" w:rsidRDefault="00EC7210" w:rsidP="00EC7210">
      <w:pPr>
        <w:pStyle w:val="BodyIndent1"/>
        <w:rPr>
          <w:bCs/>
        </w:rPr>
      </w:pPr>
      <w:r>
        <w:rPr>
          <w:b/>
        </w:rPr>
        <w:t>ATM Process</w:t>
      </w:r>
      <w:r w:rsidRPr="00D2657A">
        <w:rPr>
          <w:bCs/>
        </w:rPr>
        <w:t xml:space="preserve"> means any one</w:t>
      </w:r>
      <w:r w:rsidR="00FA08BC">
        <w:rPr>
          <w:bCs/>
        </w:rPr>
        <w:t xml:space="preserve"> or more</w:t>
      </w:r>
      <w:r w:rsidRPr="00D2657A">
        <w:rPr>
          <w:bCs/>
        </w:rPr>
        <w:t xml:space="preserve"> approach</w:t>
      </w:r>
      <w:r w:rsidR="00FA08BC">
        <w:rPr>
          <w:bCs/>
        </w:rPr>
        <w:t>es</w:t>
      </w:r>
      <w:r w:rsidRPr="00D2657A">
        <w:rPr>
          <w:bCs/>
        </w:rPr>
        <w:t xml:space="preserve"> to market conducted by the Department (</w:t>
      </w:r>
      <w:r w:rsidR="00FA08BC">
        <w:rPr>
          <w:bCs/>
        </w:rPr>
        <w:t xml:space="preserve">at times, and </w:t>
      </w:r>
      <w:r w:rsidRPr="00D2657A">
        <w:rPr>
          <w:bCs/>
        </w:rPr>
        <w:t>in the manner, determined by the Commonwealth</w:t>
      </w:r>
      <w:r w:rsidR="00AE7923">
        <w:rPr>
          <w:bCs/>
        </w:rPr>
        <w:t xml:space="preserve"> but consistent with </w:t>
      </w:r>
      <w:r w:rsidR="00E81606">
        <w:rPr>
          <w:bCs/>
        </w:rPr>
        <w:t>c</w:t>
      </w:r>
      <w:r w:rsidR="00AE7923">
        <w:rPr>
          <w:bCs/>
        </w:rPr>
        <w:t>lause</w:t>
      </w:r>
      <w:r w:rsidR="008F5D42">
        <w:rPr>
          <w:bCs/>
        </w:rPr>
        <w:t> </w:t>
      </w:r>
      <w:r w:rsidR="00E81606">
        <w:rPr>
          <w:bCs/>
        </w:rPr>
        <w:fldChar w:fldCharType="begin"/>
      </w:r>
      <w:r w:rsidR="00E81606">
        <w:rPr>
          <w:bCs/>
        </w:rPr>
        <w:instrText xml:space="preserve"> REF _Ref185404791 \w \h </w:instrText>
      </w:r>
      <w:r w:rsidR="00E81606">
        <w:rPr>
          <w:bCs/>
        </w:rPr>
      </w:r>
      <w:r w:rsidR="00E81606">
        <w:rPr>
          <w:bCs/>
        </w:rPr>
        <w:fldChar w:fldCharType="separate"/>
      </w:r>
      <w:r w:rsidR="005C0514">
        <w:rPr>
          <w:bCs/>
        </w:rPr>
        <w:t>5</w:t>
      </w:r>
      <w:r w:rsidR="00E81606">
        <w:rPr>
          <w:bCs/>
        </w:rPr>
        <w:fldChar w:fldCharType="end"/>
      </w:r>
      <w:r w:rsidRPr="00D2657A">
        <w:rPr>
          <w:bCs/>
        </w:rPr>
        <w:t>), with a view to establishing arrangements to support, or that might otherwise relate to, the supply of:</w:t>
      </w:r>
      <w:r>
        <w:rPr>
          <w:bCs/>
        </w:rPr>
        <w:t xml:space="preserve"> </w:t>
      </w:r>
    </w:p>
    <w:p w14:paraId="174140C3" w14:textId="77777777" w:rsidR="00EC7210" w:rsidRDefault="00EC7210" w:rsidP="00EC7210">
      <w:pPr>
        <w:pStyle w:val="legalDefinition"/>
        <w:keepNext/>
        <w:rPr>
          <w:bCs/>
        </w:rPr>
      </w:pPr>
      <w:r>
        <w:rPr>
          <w:bCs/>
        </w:rPr>
        <w:t>Pharmaceutical Benefits; or</w:t>
      </w:r>
    </w:p>
    <w:p w14:paraId="3D5E3ED3" w14:textId="77777777" w:rsidR="00EC7210" w:rsidRPr="00795462" w:rsidRDefault="00EC7210" w:rsidP="00EC7210">
      <w:pPr>
        <w:pStyle w:val="legalDefinition"/>
      </w:pPr>
      <w:r>
        <w:t xml:space="preserve">other pharmaceutical-related or pharmaceutical-adjacent products or services.  </w:t>
      </w:r>
    </w:p>
    <w:p w14:paraId="7D558EAC" w14:textId="45C1EE3D" w:rsidR="00A41B45" w:rsidRPr="009D3B53" w:rsidRDefault="00A41B45" w:rsidP="00444866">
      <w:pPr>
        <w:pStyle w:val="BodyIndent1"/>
      </w:pPr>
      <w:r w:rsidRPr="009D3B53">
        <w:rPr>
          <w:b/>
        </w:rPr>
        <w:t>Business Day</w:t>
      </w:r>
      <w:r w:rsidRPr="009D3B53">
        <w:t xml:space="preserve"> means a day other than a Saturday, Sunday or public holiday in the Australian Capital Territory.</w:t>
      </w:r>
    </w:p>
    <w:p w14:paraId="29E2F91B" w14:textId="7965637D" w:rsidR="00610F30" w:rsidRPr="00610F30" w:rsidRDefault="00610F30" w:rsidP="00A41B45">
      <w:pPr>
        <w:pStyle w:val="BodyIndent1"/>
        <w:rPr>
          <w:bCs/>
        </w:rPr>
      </w:pPr>
      <w:r>
        <w:rPr>
          <w:b/>
        </w:rPr>
        <w:t>Commencement Date</w:t>
      </w:r>
      <w:r>
        <w:rPr>
          <w:bCs/>
        </w:rPr>
        <w:t xml:space="preserve"> means the date that this Agreement is executed by the last party to do so. </w:t>
      </w:r>
    </w:p>
    <w:p w14:paraId="564F5A37" w14:textId="5366CD68" w:rsidR="00A41B45" w:rsidRPr="007A14DD" w:rsidRDefault="00A41B45" w:rsidP="00A41B45">
      <w:pPr>
        <w:pStyle w:val="BodyIndent1"/>
      </w:pPr>
      <w:r>
        <w:rPr>
          <w:b/>
        </w:rPr>
        <w:t>Commonwealth</w:t>
      </w:r>
      <w:r>
        <w:t xml:space="preserve"> means the Minister</w:t>
      </w:r>
      <w:r w:rsidR="001803FB">
        <w:t>,</w:t>
      </w:r>
      <w:r>
        <w:t xml:space="preserve"> </w:t>
      </w:r>
      <w:r w:rsidR="00EC6DE3">
        <w:t>or the Department</w:t>
      </w:r>
      <w:r w:rsidR="001803FB">
        <w:t>,</w:t>
      </w:r>
      <w:r w:rsidR="00EC6DE3">
        <w:t xml:space="preserve"> </w:t>
      </w:r>
      <w:r>
        <w:t>on behalf of the Commonwealth of Australia.</w:t>
      </w:r>
    </w:p>
    <w:p w14:paraId="600D8A7F" w14:textId="35C25789" w:rsidR="00AF74EC" w:rsidRDefault="00AF74EC" w:rsidP="00A41B45">
      <w:pPr>
        <w:pStyle w:val="BodyIndent1"/>
        <w:rPr>
          <w:b/>
        </w:rPr>
      </w:pPr>
      <w:r>
        <w:rPr>
          <w:b/>
        </w:rPr>
        <w:t xml:space="preserve">Commonwealth Price </w:t>
      </w:r>
      <w:r w:rsidRPr="00AF74EC">
        <w:rPr>
          <w:bCs/>
        </w:rPr>
        <w:t>means</w:t>
      </w:r>
      <w:r>
        <w:rPr>
          <w:bCs/>
        </w:rPr>
        <w:t xml:space="preserve"> the price for a Pharmaceutical Benefit of a particular quantity or number of units, as set out in the Determination. </w:t>
      </w:r>
      <w:r>
        <w:rPr>
          <w:b/>
        </w:rPr>
        <w:t xml:space="preserve"> </w:t>
      </w:r>
    </w:p>
    <w:p w14:paraId="11D45C6A" w14:textId="786544CE" w:rsidR="00A41B45" w:rsidRPr="007255D7" w:rsidRDefault="00A41B45" w:rsidP="00A41B45">
      <w:pPr>
        <w:pStyle w:val="BodyIndent1"/>
      </w:pPr>
      <w:r w:rsidRPr="00C000D3">
        <w:rPr>
          <w:b/>
        </w:rPr>
        <w:t>Community Service Obligation</w:t>
      </w:r>
      <w:r>
        <w:t xml:space="preserve"> </w:t>
      </w:r>
      <w:r w:rsidR="00DE27F5">
        <w:t xml:space="preserve">or </w:t>
      </w:r>
      <w:r w:rsidR="00DE27F5" w:rsidRPr="00DE27F5">
        <w:rPr>
          <w:b/>
          <w:bCs/>
        </w:rPr>
        <w:t>CSO</w:t>
      </w:r>
      <w:r w:rsidR="00DE27F5">
        <w:t xml:space="preserve"> </w:t>
      </w:r>
      <w:r>
        <w:t xml:space="preserve">means the Commonwealth prescribed timeframes and services standards </w:t>
      </w:r>
      <w:r w:rsidR="00DE27F5">
        <w:t>that</w:t>
      </w:r>
      <w:r w:rsidR="0020095E">
        <w:t xml:space="preserve"> Eligible</w:t>
      </w:r>
      <w:r w:rsidR="00DE27F5">
        <w:t xml:space="preserve"> </w:t>
      </w:r>
      <w:r w:rsidR="00597322">
        <w:t>P</w:t>
      </w:r>
      <w:r>
        <w:t xml:space="preserve">harmaceutical </w:t>
      </w:r>
      <w:r w:rsidR="00EB2A66">
        <w:t>Wholesaler</w:t>
      </w:r>
      <w:r w:rsidR="00DE27F5">
        <w:t xml:space="preserve">s </w:t>
      </w:r>
      <w:r>
        <w:t xml:space="preserve">must satisfy when providing the full range of PBS medicines to pharmacies </w:t>
      </w:r>
      <w:proofErr w:type="gramStart"/>
      <w:r>
        <w:t>in order to</w:t>
      </w:r>
      <w:proofErr w:type="gramEnd"/>
      <w:r>
        <w:t xml:space="preserve"> be eligible for Commonwealth funding. </w:t>
      </w:r>
    </w:p>
    <w:p w14:paraId="6FE86389" w14:textId="21D1C0F1" w:rsidR="007257BC" w:rsidRPr="007257BC" w:rsidRDefault="007257BC" w:rsidP="00A41B45">
      <w:pPr>
        <w:pStyle w:val="BodyIndent1"/>
      </w:pPr>
      <w:r>
        <w:rPr>
          <w:b/>
          <w:bCs/>
        </w:rPr>
        <w:t>CSO Compliance Requirements</w:t>
      </w:r>
      <w:r>
        <w:t xml:space="preserve"> means the </w:t>
      </w:r>
      <w:r w:rsidR="00B21198">
        <w:t xml:space="preserve">requirements </w:t>
      </w:r>
      <w:r w:rsidR="00E81606">
        <w:t xml:space="preserve">of </w:t>
      </w:r>
      <w:r w:rsidR="00B21198">
        <w:t>that name</w:t>
      </w:r>
      <w:r w:rsidR="00E81606">
        <w:t xml:space="preserve"> that are contained in the Operational Guidelines</w:t>
      </w:r>
      <w:r w:rsidR="00B21198">
        <w:t>,</w:t>
      </w:r>
      <w:r>
        <w:t xml:space="preserve"> as published by the Department from time to time. </w:t>
      </w:r>
    </w:p>
    <w:p w14:paraId="315DC0EA" w14:textId="7CFF704B" w:rsidR="00597322" w:rsidDel="007257BC" w:rsidRDefault="00597322" w:rsidP="00597322">
      <w:pPr>
        <w:pStyle w:val="BodyIndent1"/>
        <w:rPr>
          <w:b/>
        </w:rPr>
      </w:pPr>
      <w:r w:rsidRPr="00444866" w:rsidDel="007257BC">
        <w:rPr>
          <w:b/>
          <w:bCs/>
        </w:rPr>
        <w:t>CSO Payments</w:t>
      </w:r>
      <w:r w:rsidRPr="00444866" w:rsidDel="007257BC">
        <w:rPr>
          <w:b/>
        </w:rPr>
        <w:t xml:space="preserve"> </w:t>
      </w:r>
      <w:r w:rsidDel="007257BC">
        <w:rPr>
          <w:bCs/>
        </w:rPr>
        <w:t>means the p</w:t>
      </w:r>
      <w:r w:rsidRPr="00444866" w:rsidDel="007257BC">
        <w:t>ayments</w:t>
      </w:r>
      <w:r w:rsidDel="007257BC">
        <w:t xml:space="preserve"> by the Commonwealth to </w:t>
      </w:r>
      <w:r w:rsidR="0020095E">
        <w:t xml:space="preserve">Eligible </w:t>
      </w:r>
      <w:r>
        <w:t>Pharmaceutical</w:t>
      </w:r>
      <w:r w:rsidDel="007257BC">
        <w:t xml:space="preserve"> Wholesalers referred to in clause </w:t>
      </w:r>
      <w:r w:rsidDel="007257BC">
        <w:fldChar w:fldCharType="begin"/>
      </w:r>
      <w:r w:rsidDel="007257BC">
        <w:instrText xml:space="preserve"> REF _Ref166426587 \r \h </w:instrText>
      </w:r>
      <w:r w:rsidDel="007257BC">
        <w:fldChar w:fldCharType="separate"/>
      </w:r>
      <w:r w:rsidR="008F5D42">
        <w:t>3</w:t>
      </w:r>
      <w:r w:rsidDel="007257BC">
        <w:fldChar w:fldCharType="end"/>
      </w:r>
      <w:r w:rsidDel="007257BC">
        <w:t>.</w:t>
      </w:r>
    </w:p>
    <w:p w14:paraId="01DC525C" w14:textId="24E86342" w:rsidR="007257BC" w:rsidRPr="007257BC" w:rsidRDefault="007257BC" w:rsidP="00A41B45">
      <w:pPr>
        <w:pStyle w:val="BodyIndent1"/>
        <w:rPr>
          <w:bCs/>
        </w:rPr>
      </w:pPr>
      <w:r>
        <w:rPr>
          <w:b/>
        </w:rPr>
        <w:t>CSO Service Standards</w:t>
      </w:r>
      <w:r>
        <w:rPr>
          <w:bCs/>
        </w:rPr>
        <w:t xml:space="preserve"> means </w:t>
      </w:r>
      <w:r w:rsidRPr="007257BC">
        <w:t xml:space="preserve">the </w:t>
      </w:r>
      <w:r>
        <w:t xml:space="preserve">standards by that name as published by the Department from time to time.  </w:t>
      </w:r>
      <w:r>
        <w:rPr>
          <w:bCs/>
        </w:rPr>
        <w:t xml:space="preserve"> </w:t>
      </w:r>
    </w:p>
    <w:p w14:paraId="67DC43DC" w14:textId="05F1ED91" w:rsidR="00610F30" w:rsidRPr="00610F30" w:rsidRDefault="00610F30" w:rsidP="00A41B45">
      <w:pPr>
        <w:pStyle w:val="BodyIndent1"/>
        <w:rPr>
          <w:bCs/>
        </w:rPr>
      </w:pPr>
      <w:r>
        <w:rPr>
          <w:b/>
        </w:rPr>
        <w:t>CSO Wholesale Funding Pool</w:t>
      </w:r>
      <w:r>
        <w:rPr>
          <w:bCs/>
        </w:rPr>
        <w:t xml:space="preserve"> means the Commonwealth funding available to remunerate </w:t>
      </w:r>
      <w:r w:rsidR="0020095E">
        <w:rPr>
          <w:bCs/>
        </w:rPr>
        <w:t xml:space="preserve">Eligible </w:t>
      </w:r>
      <w:r>
        <w:rPr>
          <w:bCs/>
        </w:rPr>
        <w:t xml:space="preserve">Pharmaceutical Wholesalers through CSO Payments. </w:t>
      </w:r>
    </w:p>
    <w:p w14:paraId="3D314DD7" w14:textId="52F5F607" w:rsidR="00A41B45" w:rsidRPr="009D3B53" w:rsidRDefault="00A41B45" w:rsidP="0092621C">
      <w:pPr>
        <w:pStyle w:val="BodyIndent1"/>
        <w:keepNext/>
      </w:pPr>
      <w:r w:rsidRPr="009D3B53">
        <w:rPr>
          <w:b/>
        </w:rPr>
        <w:t>Department</w:t>
      </w:r>
      <w:r w:rsidRPr="009D3B53">
        <w:t xml:space="preserve"> means:</w:t>
      </w:r>
    </w:p>
    <w:p w14:paraId="2784095F" w14:textId="14119AC4" w:rsidR="00A41B45" w:rsidRPr="009D3B53" w:rsidRDefault="00A41B45" w:rsidP="0097156D">
      <w:pPr>
        <w:pStyle w:val="legalDefinition"/>
        <w:keepNext/>
        <w:numPr>
          <w:ilvl w:val="0"/>
          <w:numId w:val="12"/>
        </w:numPr>
      </w:pPr>
      <w:r w:rsidRPr="009D3B53">
        <w:t>the Department of Health</w:t>
      </w:r>
      <w:r w:rsidR="002665C5">
        <w:t xml:space="preserve"> and Aged Care</w:t>
      </w:r>
      <w:r w:rsidRPr="009D3B53">
        <w:t>; or</w:t>
      </w:r>
    </w:p>
    <w:p w14:paraId="0F685A4E" w14:textId="77777777" w:rsidR="00A41B45" w:rsidRPr="009D3B53" w:rsidRDefault="00A41B45" w:rsidP="0014037B">
      <w:pPr>
        <w:pStyle w:val="legalDefinition"/>
      </w:pPr>
      <w:r w:rsidRPr="009D3B53">
        <w:t>any successor department or agency of the Commonwealth having responsibility for the administration of Part VII of the Act.</w:t>
      </w:r>
    </w:p>
    <w:p w14:paraId="315D1F2E" w14:textId="77777777" w:rsidR="00A41B45" w:rsidRPr="009D3B53" w:rsidRDefault="00A41B45" w:rsidP="00661BF2">
      <w:pPr>
        <w:pStyle w:val="BodyIndent1"/>
        <w:keepNext/>
      </w:pPr>
      <w:r w:rsidRPr="009D3B53">
        <w:rPr>
          <w:b/>
        </w:rPr>
        <w:lastRenderedPageBreak/>
        <w:t>Department</w:t>
      </w:r>
      <w:r w:rsidRPr="009D3B53">
        <w:t xml:space="preserve"> </w:t>
      </w:r>
      <w:r w:rsidRPr="009D3B53">
        <w:rPr>
          <w:b/>
        </w:rPr>
        <w:t xml:space="preserve">Representative </w:t>
      </w:r>
      <w:r w:rsidRPr="009D3B53">
        <w:t>means:</w:t>
      </w:r>
    </w:p>
    <w:p w14:paraId="5C81EE11" w14:textId="77777777" w:rsidR="00A41B45" w:rsidRPr="009D3B53" w:rsidRDefault="00A41B45" w:rsidP="0097156D">
      <w:pPr>
        <w:pStyle w:val="legalDefinition"/>
        <w:keepNext/>
        <w:numPr>
          <w:ilvl w:val="0"/>
          <w:numId w:val="13"/>
        </w:numPr>
      </w:pPr>
      <w:r w:rsidRPr="009D3B53">
        <w:t xml:space="preserve">the person from time to </w:t>
      </w:r>
      <w:r w:rsidRPr="009338EF">
        <w:t xml:space="preserve">time holding or acting in the position of First Assistant Secretary, Technology Assessment </w:t>
      </w:r>
      <w:r>
        <w:t>and</w:t>
      </w:r>
      <w:r w:rsidRPr="009338EF">
        <w:t xml:space="preserve"> Access Division</w:t>
      </w:r>
      <w:r w:rsidRPr="009D3B53">
        <w:t xml:space="preserve"> within the Department; or</w:t>
      </w:r>
    </w:p>
    <w:p w14:paraId="7F96F184" w14:textId="0FC9F487" w:rsidR="00A41B45" w:rsidRPr="00E45FE8" w:rsidRDefault="00A41B45" w:rsidP="0097156D">
      <w:pPr>
        <w:pStyle w:val="legalDefinition"/>
        <w:keepNext/>
        <w:numPr>
          <w:ilvl w:val="0"/>
          <w:numId w:val="13"/>
        </w:numPr>
      </w:pPr>
      <w:r w:rsidRPr="009D3B53">
        <w:t xml:space="preserve">a person from time to time holding or acting in such other position notified by the </w:t>
      </w:r>
      <w:r w:rsidR="00CF2B39" w:rsidRPr="00E45FE8">
        <w:t xml:space="preserve">Department </w:t>
      </w:r>
      <w:r w:rsidRPr="00E45FE8">
        <w:t xml:space="preserve">to the </w:t>
      </w:r>
      <w:r w:rsidR="002665C5" w:rsidRPr="00E45FE8">
        <w:t xml:space="preserve">Association </w:t>
      </w:r>
      <w:r w:rsidR="00DE27F5" w:rsidRPr="00E45FE8">
        <w:t xml:space="preserve">Representative </w:t>
      </w:r>
      <w:r w:rsidRPr="00E45FE8">
        <w:t>in writing from time to time.</w:t>
      </w:r>
    </w:p>
    <w:p w14:paraId="262EADCC" w14:textId="1300D296" w:rsidR="004B35CC" w:rsidRPr="004B35CC" w:rsidRDefault="004B35CC" w:rsidP="009F769A">
      <w:pPr>
        <w:pStyle w:val="BodyIndent1"/>
      </w:pPr>
      <w:r>
        <w:rPr>
          <w:b/>
        </w:rPr>
        <w:t xml:space="preserve">Determination </w:t>
      </w:r>
      <w:r>
        <w:t xml:space="preserve">means the determination in force from time to time under paragraph 98B(1)(a) of the Act.  </w:t>
      </w:r>
    </w:p>
    <w:p w14:paraId="68E31F68" w14:textId="7498D4F5" w:rsidR="00BC1988" w:rsidRPr="00BC1988" w:rsidRDefault="00BC1988" w:rsidP="009F769A">
      <w:pPr>
        <w:pStyle w:val="BodyIndent1"/>
        <w:rPr>
          <w:bCs/>
        </w:rPr>
      </w:pPr>
      <w:r w:rsidRPr="00E45FE8">
        <w:rPr>
          <w:b/>
        </w:rPr>
        <w:t>Eligible</w:t>
      </w:r>
      <w:r w:rsidR="0020095E" w:rsidRPr="0020095E">
        <w:rPr>
          <w:bCs/>
        </w:rPr>
        <w:t>, in relation</w:t>
      </w:r>
      <w:r w:rsidR="0020095E">
        <w:rPr>
          <w:bCs/>
        </w:rPr>
        <w:t xml:space="preserve"> to any kind of</w:t>
      </w:r>
      <w:r w:rsidRPr="00E45FE8">
        <w:rPr>
          <w:b/>
        </w:rPr>
        <w:t xml:space="preserve"> </w:t>
      </w:r>
      <w:r w:rsidRPr="0020095E">
        <w:rPr>
          <w:bCs/>
        </w:rPr>
        <w:t>Pharmaceutical Wholesaler</w:t>
      </w:r>
      <w:r w:rsidR="0020095E">
        <w:rPr>
          <w:bCs/>
        </w:rPr>
        <w:t>,</w:t>
      </w:r>
      <w:r w:rsidRPr="00E45FE8">
        <w:rPr>
          <w:b/>
        </w:rPr>
        <w:t xml:space="preserve"> </w:t>
      </w:r>
      <w:r w:rsidRPr="00E45FE8">
        <w:rPr>
          <w:bCs/>
        </w:rPr>
        <w:t xml:space="preserve">means a Pharmaceutical Wholesaler that is eligible to receive payments </w:t>
      </w:r>
      <w:r w:rsidR="00F82575" w:rsidRPr="00E45FE8">
        <w:rPr>
          <w:bCs/>
        </w:rPr>
        <w:t xml:space="preserve">in accordance with this Agreement </w:t>
      </w:r>
      <w:r w:rsidRPr="00E45FE8">
        <w:rPr>
          <w:bCs/>
        </w:rPr>
        <w:t xml:space="preserve">because it has signed a </w:t>
      </w:r>
      <w:r w:rsidR="00F82575" w:rsidRPr="00E45FE8">
        <w:rPr>
          <w:bCs/>
        </w:rPr>
        <w:t>Wholesaler</w:t>
      </w:r>
      <w:r w:rsidRPr="00E45FE8">
        <w:rPr>
          <w:bCs/>
        </w:rPr>
        <w:t xml:space="preserve"> Deed with the Commonwealth.</w:t>
      </w:r>
    </w:p>
    <w:p w14:paraId="411E6215" w14:textId="6CAAA0AE" w:rsidR="009F769A" w:rsidRPr="006D11FB" w:rsidRDefault="009F769A" w:rsidP="009F769A">
      <w:pPr>
        <w:pStyle w:val="BodyIndent1"/>
      </w:pPr>
      <w:r>
        <w:rPr>
          <w:b/>
        </w:rPr>
        <w:t>Eighth</w:t>
      </w:r>
      <w:r w:rsidRPr="006D11FB">
        <w:rPr>
          <w:b/>
        </w:rPr>
        <w:t xml:space="preserve"> C</w:t>
      </w:r>
      <w:r>
        <w:rPr>
          <w:b/>
        </w:rPr>
        <w:t>PA</w:t>
      </w:r>
      <w:r w:rsidRPr="006D11FB">
        <w:t xml:space="preserve"> means the </w:t>
      </w:r>
      <w:r>
        <w:t>Eighth</w:t>
      </w:r>
      <w:r w:rsidRPr="006D11FB">
        <w:t xml:space="preserve"> Community Pharmacy Agreement between the Commonwealth and the </w:t>
      </w:r>
      <w:r>
        <w:t xml:space="preserve">Pharmacy </w:t>
      </w:r>
      <w:r w:rsidRPr="006D11FB">
        <w:t xml:space="preserve">Guild </w:t>
      </w:r>
      <w:r>
        <w:t xml:space="preserve">of Australia </w:t>
      </w:r>
      <w:r w:rsidRPr="006D11FB">
        <w:t>for the purposes of section 98</w:t>
      </w:r>
      <w:proofErr w:type="gramStart"/>
      <w:r w:rsidRPr="006D11FB">
        <w:t>BAA</w:t>
      </w:r>
      <w:r>
        <w:t>(</w:t>
      </w:r>
      <w:proofErr w:type="gramEnd"/>
      <w:r>
        <w:t>1)</w:t>
      </w:r>
      <w:r w:rsidRPr="006D11FB">
        <w:t xml:space="preserve"> of the Act and for related purposes.  </w:t>
      </w:r>
    </w:p>
    <w:p w14:paraId="69DF71BE" w14:textId="681F1316" w:rsidR="00A41B45" w:rsidRPr="000C0845" w:rsidRDefault="00A41B45" w:rsidP="00DE27F5">
      <w:pPr>
        <w:pStyle w:val="BodyIndent1"/>
        <w:keepNext/>
      </w:pPr>
      <w:r w:rsidRPr="000C0845">
        <w:rPr>
          <w:b/>
        </w:rPr>
        <w:t xml:space="preserve">Ex-Manufacturer Price </w:t>
      </w:r>
      <w:r w:rsidRPr="000C0845">
        <w:t xml:space="preserve">means, </w:t>
      </w:r>
      <w:r w:rsidR="00C80EF9">
        <w:t xml:space="preserve">the </w:t>
      </w:r>
      <w:r w:rsidRPr="000C0845">
        <w:t>applicable:</w:t>
      </w:r>
    </w:p>
    <w:p w14:paraId="3C1B66C2" w14:textId="77777777" w:rsidR="00A41B45" w:rsidRPr="000C0845" w:rsidRDefault="00A41B45" w:rsidP="0097156D">
      <w:pPr>
        <w:pStyle w:val="legalDefinition"/>
        <w:keepNext/>
        <w:numPr>
          <w:ilvl w:val="0"/>
          <w:numId w:val="14"/>
        </w:numPr>
      </w:pPr>
      <w:r w:rsidRPr="000C0845">
        <w:t xml:space="preserve">Approved Ex-Manufacturer Price; or </w:t>
      </w:r>
    </w:p>
    <w:p w14:paraId="0241E710" w14:textId="5884A48E" w:rsidR="00A41B45" w:rsidRPr="000C0845" w:rsidRDefault="00A41B45" w:rsidP="0097156D">
      <w:pPr>
        <w:pStyle w:val="legalDefinition"/>
        <w:keepNext/>
        <w:numPr>
          <w:ilvl w:val="0"/>
          <w:numId w:val="14"/>
        </w:numPr>
      </w:pPr>
      <w:r w:rsidRPr="000C0845">
        <w:t xml:space="preserve">Proportional Ex-Manufacturer Price for </w:t>
      </w:r>
      <w:r w:rsidR="00E81606">
        <w:t>a</w:t>
      </w:r>
      <w:r w:rsidRPr="000C0845">
        <w:t xml:space="preserve"> Pack Quantity (other than the Pricing Quantity),</w:t>
      </w:r>
    </w:p>
    <w:p w14:paraId="354A0856" w14:textId="3C8CC27B" w:rsidR="00A41B45" w:rsidRPr="000C0845" w:rsidRDefault="00A41B45" w:rsidP="00A41B45">
      <w:pPr>
        <w:pStyle w:val="BodyIndent1"/>
      </w:pPr>
      <w:r w:rsidRPr="000C0845">
        <w:t>of a Listed Brand.</w:t>
      </w:r>
    </w:p>
    <w:p w14:paraId="742E9592" w14:textId="194F5BF8" w:rsidR="00A41B45" w:rsidRPr="009D3B53" w:rsidRDefault="00A41B45" w:rsidP="00A41B45">
      <w:pPr>
        <w:pStyle w:val="BodyIndent1"/>
        <w:rPr>
          <w:rStyle w:val="IntenseReference"/>
          <w:b w:val="0"/>
          <w:bCs w:val="0"/>
          <w:i w:val="0"/>
          <w:smallCaps w:val="0"/>
          <w:color w:val="auto"/>
        </w:rPr>
      </w:pPr>
      <w:r w:rsidRPr="00E45FE8">
        <w:rPr>
          <w:rStyle w:val="IntenseReference"/>
          <w:bCs w:val="0"/>
          <w:i w:val="0"/>
          <w:smallCaps w:val="0"/>
          <w:color w:val="auto"/>
        </w:rPr>
        <w:t>Financial Year</w:t>
      </w:r>
      <w:r w:rsidRPr="00E45FE8">
        <w:rPr>
          <w:rStyle w:val="IntenseReference"/>
          <w:b w:val="0"/>
          <w:bCs w:val="0"/>
          <w:i w:val="0"/>
          <w:smallCaps w:val="0"/>
          <w:color w:val="auto"/>
        </w:rPr>
        <w:t xml:space="preserve"> </w:t>
      </w:r>
      <w:r w:rsidRPr="00E45FE8">
        <w:t>means</w:t>
      </w:r>
      <w:r w:rsidRPr="00E45FE8">
        <w:rPr>
          <w:rStyle w:val="IntenseReference"/>
          <w:b w:val="0"/>
          <w:bCs w:val="0"/>
          <w:i w:val="0"/>
          <w:smallCaps w:val="0"/>
          <w:color w:val="auto"/>
        </w:rPr>
        <w:t xml:space="preserve"> each </w:t>
      </w:r>
      <w:r w:rsidRPr="00E45FE8">
        <w:t>successive period of twelve (12) months during the Term commencing on 1 July and ending on the immediately following 30 June</w:t>
      </w:r>
      <w:r w:rsidRPr="00E45FE8">
        <w:rPr>
          <w:rStyle w:val="IntenseReference"/>
          <w:b w:val="0"/>
          <w:bCs w:val="0"/>
          <w:i w:val="0"/>
          <w:smallCaps w:val="0"/>
          <w:color w:val="auto"/>
        </w:rPr>
        <w:t>.</w:t>
      </w:r>
    </w:p>
    <w:p w14:paraId="3A2CFA13" w14:textId="77777777" w:rsidR="00A41B45" w:rsidRDefault="00A41B45" w:rsidP="00A41B45">
      <w:pPr>
        <w:pStyle w:val="BodyIndent1"/>
      </w:pPr>
      <w:r w:rsidRPr="00C05AAC">
        <w:rPr>
          <w:b/>
        </w:rPr>
        <w:t>Government Agency</w:t>
      </w:r>
      <w:r w:rsidRPr="009216B1">
        <w:t xml:space="preserve"> means any governmental, semi-governmental, administrative, fiscal, judicial or quasi-judicial body, </w:t>
      </w:r>
      <w:r w:rsidRPr="00A41B45">
        <w:t>department</w:t>
      </w:r>
      <w:r w:rsidRPr="009216B1">
        <w:t>, commission, authority, tribunal, agency or entity.</w:t>
      </w:r>
    </w:p>
    <w:p w14:paraId="506C2DF0" w14:textId="52E92C99" w:rsidR="00D91F1B" w:rsidRPr="00D91F1B" w:rsidRDefault="00D91F1B" w:rsidP="00A41B45">
      <w:pPr>
        <w:pStyle w:val="BodyIndent1"/>
        <w:rPr>
          <w:bCs/>
        </w:rPr>
      </w:pPr>
      <w:r>
        <w:rPr>
          <w:b/>
        </w:rPr>
        <w:t>Government Saving</w:t>
      </w:r>
      <w:r>
        <w:rPr>
          <w:bCs/>
        </w:rPr>
        <w:t xml:space="preserve"> means a quantum of funds </w:t>
      </w:r>
      <w:r w:rsidR="00340614">
        <w:rPr>
          <w:bCs/>
        </w:rPr>
        <w:t xml:space="preserve">(as calculated by the Commonwealth) </w:t>
      </w:r>
      <w:r>
        <w:rPr>
          <w:bCs/>
        </w:rPr>
        <w:t xml:space="preserve">that, as a result of transitioning from the Wholesale Mark-Up as described in Table 2, to the Wholesale Mark-Up as described in Table 3, the Commonwealth </w:t>
      </w:r>
      <w:r w:rsidR="00340614">
        <w:rPr>
          <w:bCs/>
        </w:rPr>
        <w:t>has not spent</w:t>
      </w:r>
      <w:r w:rsidR="00BE75D9">
        <w:rPr>
          <w:bCs/>
        </w:rPr>
        <w:t xml:space="preserve">, that it otherwise would have </w:t>
      </w:r>
      <w:r w:rsidR="00340614">
        <w:rPr>
          <w:bCs/>
        </w:rPr>
        <w:t xml:space="preserve">spent, had the </w:t>
      </w:r>
      <w:r w:rsidR="00BE75D9">
        <w:rPr>
          <w:bCs/>
        </w:rPr>
        <w:t xml:space="preserve">transition </w:t>
      </w:r>
      <w:r w:rsidR="00340614">
        <w:rPr>
          <w:bCs/>
        </w:rPr>
        <w:t>not occurred</w:t>
      </w:r>
      <w:r w:rsidR="00206E74">
        <w:rPr>
          <w:bCs/>
        </w:rPr>
        <w:t xml:space="preserve">, as </w:t>
      </w:r>
      <w:r w:rsidR="0042234F">
        <w:rPr>
          <w:bCs/>
        </w:rPr>
        <w:t>conclusively determined by the Commonwealth</w:t>
      </w:r>
      <w:r w:rsidR="00206E74">
        <w:rPr>
          <w:bCs/>
        </w:rPr>
        <w:t xml:space="preserve"> in accordance with clause </w:t>
      </w:r>
      <w:r w:rsidR="00E45FE8" w:rsidRPr="00D403CE">
        <w:fldChar w:fldCharType="begin"/>
      </w:r>
      <w:r w:rsidR="00E45FE8" w:rsidRPr="00D403CE">
        <w:instrText xml:space="preserve"> REF _Ref183513641 \w \h  \* MERGEFORMAT </w:instrText>
      </w:r>
      <w:r w:rsidR="00E45FE8" w:rsidRPr="00D403CE">
        <w:fldChar w:fldCharType="separate"/>
      </w:r>
      <w:r w:rsidR="008F5D42">
        <w:t>3.1.3</w:t>
      </w:r>
      <w:r w:rsidR="00E45FE8" w:rsidRPr="00D403CE">
        <w:fldChar w:fldCharType="end"/>
      </w:r>
      <w:r w:rsidR="00BE75D9">
        <w:rPr>
          <w:bCs/>
        </w:rPr>
        <w:t xml:space="preserve">. </w:t>
      </w:r>
      <w:r>
        <w:rPr>
          <w:bCs/>
        </w:rPr>
        <w:t xml:space="preserve">  </w:t>
      </w:r>
    </w:p>
    <w:p w14:paraId="2D4D54FB" w14:textId="77777777" w:rsidR="00597322" w:rsidRPr="00EC6DE3" w:rsidRDefault="00597322" w:rsidP="00597322">
      <w:pPr>
        <w:pStyle w:val="BodyIndent1"/>
      </w:pPr>
      <w:r>
        <w:rPr>
          <w:b/>
          <w:bCs/>
        </w:rPr>
        <w:t>Industry Wholesaler</w:t>
      </w:r>
      <w:r>
        <w:t xml:space="preserve"> means a pharmaceutical wholesaler that is not an Association Wholesaler. </w:t>
      </w:r>
    </w:p>
    <w:p w14:paraId="7E5CFF4C" w14:textId="6506B174" w:rsidR="00A41B45" w:rsidRPr="000C0845" w:rsidRDefault="00A41B45" w:rsidP="00A41B45">
      <w:pPr>
        <w:pStyle w:val="BodyIndent1"/>
        <w:rPr>
          <w:rStyle w:val="IntenseReference"/>
          <w:b w:val="0"/>
          <w:bCs w:val="0"/>
          <w:i w:val="0"/>
          <w:smallCaps w:val="0"/>
          <w:color w:val="auto"/>
          <w:spacing w:val="0"/>
        </w:rPr>
      </w:pPr>
      <w:r w:rsidRPr="000C0845">
        <w:rPr>
          <w:rStyle w:val="IntenseReference"/>
          <w:bCs w:val="0"/>
          <w:i w:val="0"/>
          <w:smallCaps w:val="0"/>
          <w:color w:val="auto"/>
          <w:spacing w:val="0"/>
        </w:rPr>
        <w:t>Listed Brand</w:t>
      </w:r>
      <w:r w:rsidRPr="000C0845">
        <w:rPr>
          <w:rStyle w:val="IntenseReference"/>
          <w:b w:val="0"/>
          <w:bCs w:val="0"/>
          <w:i w:val="0"/>
          <w:smallCaps w:val="0"/>
          <w:color w:val="auto"/>
          <w:spacing w:val="0"/>
        </w:rPr>
        <w:t xml:space="preserve"> has the </w:t>
      </w:r>
      <w:r w:rsidRPr="000C0845">
        <w:rPr>
          <w:iCs/>
        </w:rPr>
        <w:t>meaning</w:t>
      </w:r>
      <w:r w:rsidRPr="000C0845">
        <w:rPr>
          <w:rStyle w:val="IntenseReference"/>
          <w:b w:val="0"/>
          <w:bCs w:val="0"/>
          <w:i w:val="0"/>
          <w:smallCaps w:val="0"/>
          <w:color w:val="auto"/>
          <w:spacing w:val="0"/>
        </w:rPr>
        <w:t xml:space="preserve"> given in Part VII of the Act.</w:t>
      </w:r>
    </w:p>
    <w:p w14:paraId="473FFF48" w14:textId="77777777" w:rsidR="00A41B45" w:rsidRDefault="00A41B45" w:rsidP="00A41B45">
      <w:pPr>
        <w:pStyle w:val="BodyIndent1"/>
        <w:rPr>
          <w:rStyle w:val="IntenseReference"/>
          <w:b w:val="0"/>
          <w:bCs w:val="0"/>
          <w:i w:val="0"/>
          <w:smallCaps w:val="0"/>
          <w:color w:val="auto"/>
          <w:spacing w:val="0"/>
        </w:rPr>
      </w:pPr>
      <w:r w:rsidRPr="002849B0">
        <w:rPr>
          <w:rStyle w:val="IntenseReference"/>
          <w:bCs w:val="0"/>
          <w:i w:val="0"/>
          <w:smallCaps w:val="0"/>
          <w:color w:val="auto"/>
          <w:spacing w:val="0"/>
        </w:rPr>
        <w:t xml:space="preserve">Minister </w:t>
      </w:r>
      <w:r w:rsidRPr="002849B0">
        <w:t>means</w:t>
      </w:r>
      <w:r w:rsidRPr="002849B0">
        <w:rPr>
          <w:rStyle w:val="IntenseReference"/>
          <w:b w:val="0"/>
          <w:bCs w:val="0"/>
          <w:i w:val="0"/>
          <w:smallCaps w:val="0"/>
          <w:color w:val="auto"/>
          <w:spacing w:val="0"/>
        </w:rPr>
        <w:t xml:space="preserve"> the Minister </w:t>
      </w:r>
      <w:r w:rsidRPr="002849B0">
        <w:t>who</w:t>
      </w:r>
      <w:r w:rsidRPr="002849B0">
        <w:rPr>
          <w:rStyle w:val="IntenseReference"/>
          <w:b w:val="0"/>
          <w:bCs w:val="0"/>
          <w:i w:val="0"/>
          <w:smallCaps w:val="0"/>
          <w:color w:val="auto"/>
          <w:spacing w:val="0"/>
        </w:rPr>
        <w:t xml:space="preserve"> administers the Act.</w:t>
      </w:r>
    </w:p>
    <w:p w14:paraId="14C80C1C" w14:textId="3C7E7346" w:rsidR="00AD513B" w:rsidRPr="00AD513B" w:rsidRDefault="00AD513B" w:rsidP="00A41B45">
      <w:pPr>
        <w:pStyle w:val="BodyIndent1"/>
        <w:rPr>
          <w:rStyle w:val="IntenseReference"/>
          <w:b w:val="0"/>
          <w:i w:val="0"/>
          <w:smallCaps w:val="0"/>
          <w:color w:val="auto"/>
          <w:spacing w:val="0"/>
        </w:rPr>
      </w:pPr>
      <w:r>
        <w:rPr>
          <w:rStyle w:val="IntenseReference"/>
          <w:bCs w:val="0"/>
          <w:i w:val="0"/>
          <w:smallCaps w:val="0"/>
          <w:color w:val="auto"/>
          <w:spacing w:val="0"/>
        </w:rPr>
        <w:t>National Cap</w:t>
      </w:r>
      <w:r>
        <w:rPr>
          <w:rStyle w:val="IntenseReference"/>
          <w:b w:val="0"/>
          <w:i w:val="0"/>
          <w:smallCaps w:val="0"/>
          <w:color w:val="auto"/>
          <w:spacing w:val="0"/>
        </w:rPr>
        <w:t xml:space="preserve"> means the cap on CSO payments to Eligible State Pharmaceutical Wholesalers that is calculated and applied in accordance with clauses </w:t>
      </w:r>
      <w:r>
        <w:rPr>
          <w:rStyle w:val="IntenseReference"/>
          <w:b w:val="0"/>
          <w:i w:val="0"/>
          <w:smallCaps w:val="0"/>
          <w:color w:val="auto"/>
          <w:spacing w:val="0"/>
        </w:rPr>
        <w:fldChar w:fldCharType="begin"/>
      </w:r>
      <w:r>
        <w:rPr>
          <w:rStyle w:val="IntenseReference"/>
          <w:b w:val="0"/>
          <w:i w:val="0"/>
          <w:smallCaps w:val="0"/>
          <w:color w:val="auto"/>
          <w:spacing w:val="0"/>
        </w:rPr>
        <w:instrText xml:space="preserve"> REF _Ref184308017 \r \h </w:instrText>
      </w:r>
      <w:r>
        <w:rPr>
          <w:rStyle w:val="IntenseReference"/>
          <w:b w:val="0"/>
          <w:i w:val="0"/>
          <w:smallCaps w:val="0"/>
          <w:color w:val="auto"/>
          <w:spacing w:val="0"/>
        </w:rPr>
      </w:r>
      <w:r>
        <w:rPr>
          <w:rStyle w:val="IntenseReference"/>
          <w:b w:val="0"/>
          <w:i w:val="0"/>
          <w:smallCaps w:val="0"/>
          <w:color w:val="auto"/>
          <w:spacing w:val="0"/>
        </w:rPr>
        <w:fldChar w:fldCharType="separate"/>
      </w:r>
      <w:r w:rsidR="008F5D42">
        <w:rPr>
          <w:rStyle w:val="IntenseReference"/>
          <w:b w:val="0"/>
          <w:i w:val="0"/>
          <w:smallCaps w:val="0"/>
          <w:color w:val="auto"/>
          <w:spacing w:val="0"/>
        </w:rPr>
        <w:t>3.2.4</w:t>
      </w:r>
      <w:r>
        <w:rPr>
          <w:rStyle w:val="IntenseReference"/>
          <w:b w:val="0"/>
          <w:i w:val="0"/>
          <w:smallCaps w:val="0"/>
          <w:color w:val="auto"/>
          <w:spacing w:val="0"/>
        </w:rPr>
        <w:fldChar w:fldCharType="end"/>
      </w:r>
      <w:r>
        <w:rPr>
          <w:rStyle w:val="IntenseReference"/>
          <w:b w:val="0"/>
          <w:i w:val="0"/>
          <w:smallCaps w:val="0"/>
          <w:color w:val="auto"/>
          <w:spacing w:val="0"/>
        </w:rPr>
        <w:t xml:space="preserve"> and </w:t>
      </w:r>
      <w:r>
        <w:rPr>
          <w:rStyle w:val="IntenseReference"/>
          <w:b w:val="0"/>
          <w:i w:val="0"/>
          <w:smallCaps w:val="0"/>
          <w:color w:val="auto"/>
          <w:spacing w:val="0"/>
        </w:rPr>
        <w:fldChar w:fldCharType="begin"/>
      </w:r>
      <w:r>
        <w:rPr>
          <w:rStyle w:val="IntenseReference"/>
          <w:b w:val="0"/>
          <w:i w:val="0"/>
          <w:smallCaps w:val="0"/>
          <w:color w:val="auto"/>
          <w:spacing w:val="0"/>
        </w:rPr>
        <w:instrText xml:space="preserve"> REF _Ref184308018 \r \h </w:instrText>
      </w:r>
      <w:r>
        <w:rPr>
          <w:rStyle w:val="IntenseReference"/>
          <w:b w:val="0"/>
          <w:i w:val="0"/>
          <w:smallCaps w:val="0"/>
          <w:color w:val="auto"/>
          <w:spacing w:val="0"/>
        </w:rPr>
      </w:r>
      <w:r>
        <w:rPr>
          <w:rStyle w:val="IntenseReference"/>
          <w:b w:val="0"/>
          <w:i w:val="0"/>
          <w:smallCaps w:val="0"/>
          <w:color w:val="auto"/>
          <w:spacing w:val="0"/>
        </w:rPr>
        <w:fldChar w:fldCharType="separate"/>
      </w:r>
      <w:r w:rsidR="008F5D42">
        <w:rPr>
          <w:rStyle w:val="IntenseReference"/>
          <w:b w:val="0"/>
          <w:i w:val="0"/>
          <w:smallCaps w:val="0"/>
          <w:color w:val="auto"/>
          <w:spacing w:val="0"/>
        </w:rPr>
        <w:t>3.2.5</w:t>
      </w:r>
      <w:r>
        <w:rPr>
          <w:rStyle w:val="IntenseReference"/>
          <w:b w:val="0"/>
          <w:i w:val="0"/>
          <w:smallCaps w:val="0"/>
          <w:color w:val="auto"/>
          <w:spacing w:val="0"/>
        </w:rPr>
        <w:fldChar w:fldCharType="end"/>
      </w:r>
      <w:r>
        <w:rPr>
          <w:rStyle w:val="IntenseReference"/>
          <w:b w:val="0"/>
          <w:i w:val="0"/>
          <w:smallCaps w:val="0"/>
          <w:color w:val="auto"/>
          <w:spacing w:val="0"/>
        </w:rPr>
        <w:t>.</w:t>
      </w:r>
    </w:p>
    <w:p w14:paraId="554B1A3D" w14:textId="22C5AE9A" w:rsidR="00AB4C37" w:rsidRPr="00E45FE8" w:rsidRDefault="00AB4C37" w:rsidP="00A41B45">
      <w:pPr>
        <w:pStyle w:val="BodyIndent1"/>
        <w:rPr>
          <w:rStyle w:val="IntenseReference"/>
          <w:b w:val="0"/>
          <w:i w:val="0"/>
          <w:smallCaps w:val="0"/>
          <w:color w:val="auto"/>
          <w:spacing w:val="0"/>
        </w:rPr>
      </w:pPr>
      <w:r w:rsidRPr="00E45FE8">
        <w:rPr>
          <w:rStyle w:val="IntenseReference"/>
          <w:bCs w:val="0"/>
          <w:i w:val="0"/>
          <w:smallCaps w:val="0"/>
          <w:color w:val="auto"/>
          <w:spacing w:val="0"/>
        </w:rPr>
        <w:t>National Pharmaceutical Wholesaler</w:t>
      </w:r>
      <w:r w:rsidRPr="00E45FE8">
        <w:rPr>
          <w:rStyle w:val="IntenseReference"/>
          <w:b w:val="0"/>
          <w:i w:val="0"/>
          <w:smallCaps w:val="0"/>
          <w:color w:val="auto"/>
          <w:spacing w:val="0"/>
        </w:rPr>
        <w:t xml:space="preserve"> means a Pharmaceutical Wholesaler that delivers Pharmaceutical Benefits to all States and Territories in Australia. </w:t>
      </w:r>
    </w:p>
    <w:p w14:paraId="629EB2BE" w14:textId="7D3D55AD" w:rsidR="00D4307A" w:rsidRPr="00E45FE8" w:rsidRDefault="00D4307A" w:rsidP="00A41B45">
      <w:pPr>
        <w:pStyle w:val="BodyIndent1"/>
        <w:rPr>
          <w:rStyle w:val="IntenseReference"/>
          <w:b w:val="0"/>
          <w:i w:val="0"/>
          <w:smallCaps w:val="0"/>
          <w:color w:val="auto"/>
        </w:rPr>
      </w:pPr>
      <w:r w:rsidRPr="00E45FE8">
        <w:rPr>
          <w:rStyle w:val="IntenseReference"/>
          <w:bCs w:val="0"/>
          <w:i w:val="0"/>
          <w:smallCaps w:val="0"/>
          <w:color w:val="auto"/>
          <w:spacing w:val="0"/>
        </w:rPr>
        <w:t xml:space="preserve">National Medicines Policy </w:t>
      </w:r>
      <w:r w:rsidRPr="00E45FE8">
        <w:rPr>
          <w:rStyle w:val="IntenseReference"/>
          <w:b w:val="0"/>
          <w:i w:val="0"/>
          <w:smallCaps w:val="0"/>
          <w:color w:val="auto"/>
          <w:spacing w:val="0"/>
        </w:rPr>
        <w:t xml:space="preserve">means the National Medicines Policy 2022 published by the Department, as amended or replaced from time to time. </w:t>
      </w:r>
    </w:p>
    <w:p w14:paraId="3F3B6257" w14:textId="64FEB7C9" w:rsidR="00B829B8" w:rsidRPr="00B829B8" w:rsidRDefault="00B829B8" w:rsidP="00A41B45">
      <w:pPr>
        <w:pStyle w:val="BodyIndent1"/>
        <w:rPr>
          <w:rStyle w:val="IntenseReference"/>
          <w:b w:val="0"/>
          <w:i w:val="0"/>
          <w:smallCaps w:val="0"/>
          <w:color w:val="auto"/>
          <w:spacing w:val="0"/>
        </w:rPr>
      </w:pPr>
      <w:r w:rsidRPr="00E45FE8">
        <w:rPr>
          <w:rStyle w:val="IntenseReference"/>
          <w:bCs w:val="0"/>
          <w:i w:val="0"/>
          <w:smallCaps w:val="0"/>
          <w:color w:val="auto"/>
          <w:spacing w:val="0"/>
        </w:rPr>
        <w:t>Operational Guidelines</w:t>
      </w:r>
      <w:r w:rsidRPr="00E45FE8">
        <w:rPr>
          <w:rStyle w:val="IntenseReference"/>
          <w:b w:val="0"/>
          <w:i w:val="0"/>
          <w:smallCaps w:val="0"/>
          <w:color w:val="auto"/>
          <w:spacing w:val="0"/>
        </w:rPr>
        <w:t xml:space="preserve"> means the </w:t>
      </w:r>
      <w:r w:rsidRPr="00E45FE8">
        <w:rPr>
          <w:rStyle w:val="IntenseReference"/>
          <w:b w:val="0"/>
          <w:iCs/>
          <w:smallCaps w:val="0"/>
          <w:color w:val="auto"/>
          <w:spacing w:val="0"/>
        </w:rPr>
        <w:t xml:space="preserve">Community Service Obligation Operational Guidelines </w:t>
      </w:r>
      <w:r w:rsidRPr="00E45FE8">
        <w:rPr>
          <w:rStyle w:val="IntenseReference"/>
          <w:b w:val="0"/>
          <w:i w:val="0"/>
          <w:smallCaps w:val="0"/>
          <w:color w:val="auto"/>
          <w:spacing w:val="0"/>
        </w:rPr>
        <w:t>published by the Department, as amended or replaced from time to time.</w:t>
      </w:r>
      <w:r>
        <w:rPr>
          <w:rStyle w:val="IntenseReference"/>
          <w:b w:val="0"/>
          <w:i w:val="0"/>
          <w:smallCaps w:val="0"/>
          <w:color w:val="auto"/>
          <w:spacing w:val="0"/>
        </w:rPr>
        <w:t xml:space="preserve"> </w:t>
      </w:r>
    </w:p>
    <w:p w14:paraId="118BB5A1" w14:textId="63E0B98E" w:rsidR="00A41B45" w:rsidRPr="009D3B53" w:rsidRDefault="00A41B45" w:rsidP="00A41B45">
      <w:pPr>
        <w:pStyle w:val="BodyIndent1"/>
        <w:rPr>
          <w:rStyle w:val="IntenseReference"/>
          <w:b w:val="0"/>
          <w:bCs w:val="0"/>
          <w:i w:val="0"/>
          <w:smallCaps w:val="0"/>
          <w:color w:val="auto"/>
          <w:spacing w:val="0"/>
        </w:rPr>
      </w:pPr>
      <w:r w:rsidRPr="002849B0">
        <w:rPr>
          <w:rStyle w:val="IntenseReference"/>
          <w:bCs w:val="0"/>
          <w:i w:val="0"/>
          <w:smallCaps w:val="0"/>
          <w:color w:val="auto"/>
          <w:spacing w:val="0"/>
        </w:rPr>
        <w:t xml:space="preserve">Pack Quantity </w:t>
      </w:r>
      <w:r w:rsidRPr="002849B0">
        <w:rPr>
          <w:rStyle w:val="IntenseReference"/>
          <w:b w:val="0"/>
          <w:bCs w:val="0"/>
          <w:i w:val="0"/>
          <w:smallCaps w:val="0"/>
          <w:color w:val="auto"/>
          <w:spacing w:val="0"/>
        </w:rPr>
        <w:t xml:space="preserve">has the meaning </w:t>
      </w:r>
      <w:r w:rsidRPr="002849B0">
        <w:t>given</w:t>
      </w:r>
      <w:r w:rsidRPr="002849B0">
        <w:rPr>
          <w:rStyle w:val="IntenseReference"/>
          <w:b w:val="0"/>
          <w:bCs w:val="0"/>
          <w:i w:val="0"/>
          <w:smallCaps w:val="0"/>
          <w:color w:val="auto"/>
          <w:spacing w:val="0"/>
        </w:rPr>
        <w:t xml:space="preserve"> in Part VII of the Act.</w:t>
      </w:r>
    </w:p>
    <w:p w14:paraId="31F9BE6A" w14:textId="649B0AC8" w:rsidR="00A41B45" w:rsidRDefault="00A41B45" w:rsidP="00A41B45">
      <w:pPr>
        <w:pStyle w:val="BodyIndent1"/>
        <w:rPr>
          <w:rStyle w:val="IntenseReference"/>
          <w:b w:val="0"/>
          <w:bCs w:val="0"/>
          <w:i w:val="0"/>
          <w:smallCaps w:val="0"/>
          <w:color w:val="auto"/>
          <w:spacing w:val="0"/>
        </w:rPr>
      </w:pPr>
      <w:r w:rsidRPr="009D3B53">
        <w:rPr>
          <w:rStyle w:val="IntenseReference"/>
          <w:bCs w:val="0"/>
          <w:i w:val="0"/>
          <w:smallCaps w:val="0"/>
          <w:color w:val="auto"/>
          <w:spacing w:val="0"/>
        </w:rPr>
        <w:lastRenderedPageBreak/>
        <w:t>PBS</w:t>
      </w:r>
      <w:r w:rsidRPr="009D3B53">
        <w:rPr>
          <w:rStyle w:val="IntenseReference"/>
          <w:b w:val="0"/>
          <w:bCs w:val="0"/>
          <w:i w:val="0"/>
          <w:smallCaps w:val="0"/>
          <w:color w:val="auto"/>
          <w:spacing w:val="0"/>
        </w:rPr>
        <w:t xml:space="preserve"> </w:t>
      </w:r>
      <w:r w:rsidR="00596D6F">
        <w:rPr>
          <w:rStyle w:val="IntenseReference"/>
          <w:b w:val="0"/>
          <w:bCs w:val="0"/>
          <w:i w:val="0"/>
          <w:smallCaps w:val="0"/>
          <w:color w:val="auto"/>
          <w:spacing w:val="0"/>
        </w:rPr>
        <w:t xml:space="preserve">or Pharmaceutical Benefits Scheme </w:t>
      </w:r>
      <w:r w:rsidRPr="009D3B53">
        <w:rPr>
          <w:rStyle w:val="IntenseReference"/>
          <w:b w:val="0"/>
          <w:bCs w:val="0"/>
          <w:i w:val="0"/>
          <w:smallCaps w:val="0"/>
          <w:color w:val="auto"/>
          <w:spacing w:val="0"/>
        </w:rPr>
        <w:t xml:space="preserve">means the </w:t>
      </w:r>
      <w:r w:rsidRPr="00A41B45">
        <w:t>Pharmaceutical</w:t>
      </w:r>
      <w:r w:rsidRPr="009D3B53">
        <w:rPr>
          <w:rStyle w:val="IntenseReference"/>
          <w:b w:val="0"/>
          <w:bCs w:val="0"/>
          <w:i w:val="0"/>
          <w:smallCaps w:val="0"/>
          <w:color w:val="auto"/>
          <w:spacing w:val="0"/>
        </w:rPr>
        <w:t xml:space="preserve"> Benefits Scheme established under Part VII of the Act.</w:t>
      </w:r>
    </w:p>
    <w:p w14:paraId="175EB28F" w14:textId="77777777" w:rsidR="00A41B45" w:rsidRDefault="00A41B45" w:rsidP="00A41B45">
      <w:pPr>
        <w:pStyle w:val="BodyIndent1"/>
        <w:rPr>
          <w:rStyle w:val="IntenseReference"/>
          <w:bCs w:val="0"/>
          <w:i w:val="0"/>
          <w:smallCaps w:val="0"/>
          <w:color w:val="auto"/>
          <w:spacing w:val="0"/>
        </w:rPr>
      </w:pPr>
      <w:r w:rsidRPr="009839BC">
        <w:rPr>
          <w:b/>
        </w:rPr>
        <w:t>PGPA Act</w:t>
      </w:r>
      <w:r>
        <w:t xml:space="preserve"> means the </w:t>
      </w:r>
      <w:r w:rsidRPr="00705249">
        <w:rPr>
          <w:i/>
        </w:rPr>
        <w:t xml:space="preserve">Public Governance, Performance and Accountability Act </w:t>
      </w:r>
      <w:r w:rsidRPr="005B0279">
        <w:rPr>
          <w:i/>
        </w:rPr>
        <w:t>2013</w:t>
      </w:r>
      <w:r>
        <w:rPr>
          <w:rStyle w:val="IntenseReference"/>
          <w:b w:val="0"/>
          <w:bCs w:val="0"/>
          <w:smallCaps w:val="0"/>
          <w:color w:val="auto"/>
        </w:rPr>
        <w:t xml:space="preserve"> </w:t>
      </w:r>
      <w:r>
        <w:t>(Cth)</w:t>
      </w:r>
      <w:r w:rsidRPr="00F330B5">
        <w:t>.</w:t>
      </w:r>
    </w:p>
    <w:p w14:paraId="64A58A17" w14:textId="74101731" w:rsidR="0059260C" w:rsidRDefault="00A41B45" w:rsidP="00A41B45">
      <w:pPr>
        <w:pStyle w:val="BodyIndent1"/>
        <w:rPr>
          <w:rStyle w:val="IntenseReference"/>
          <w:b w:val="0"/>
          <w:bCs w:val="0"/>
          <w:i w:val="0"/>
          <w:smallCaps w:val="0"/>
          <w:color w:val="auto"/>
          <w:spacing w:val="0"/>
        </w:rPr>
      </w:pPr>
      <w:r w:rsidRPr="009D3B53">
        <w:rPr>
          <w:rStyle w:val="IntenseReference"/>
          <w:bCs w:val="0"/>
          <w:i w:val="0"/>
          <w:smallCaps w:val="0"/>
          <w:color w:val="auto"/>
          <w:spacing w:val="0"/>
        </w:rPr>
        <w:t xml:space="preserve">Pharmaceutical Benefit </w:t>
      </w:r>
      <w:r w:rsidRPr="009D3B53">
        <w:rPr>
          <w:rStyle w:val="IntenseReference"/>
          <w:b w:val="0"/>
          <w:bCs w:val="0"/>
          <w:i w:val="0"/>
          <w:smallCaps w:val="0"/>
          <w:color w:val="auto"/>
          <w:spacing w:val="0"/>
        </w:rPr>
        <w:t>has the meaning given in Part VII of the Act.</w:t>
      </w:r>
    </w:p>
    <w:p w14:paraId="0502679D" w14:textId="6B5D150B" w:rsidR="00180112" w:rsidRPr="00E26901" w:rsidRDefault="00180112" w:rsidP="00A41B45">
      <w:pPr>
        <w:pStyle w:val="BodyIndent1"/>
        <w:rPr>
          <w:rStyle w:val="IntenseReference"/>
          <w:b w:val="0"/>
          <w:i w:val="0"/>
          <w:smallCaps w:val="0"/>
          <w:color w:val="auto"/>
          <w:spacing w:val="0"/>
        </w:rPr>
      </w:pPr>
      <w:r>
        <w:rPr>
          <w:rStyle w:val="IntenseReference"/>
          <w:bCs w:val="0"/>
          <w:i w:val="0"/>
          <w:smallCaps w:val="0"/>
          <w:color w:val="auto"/>
          <w:spacing w:val="0"/>
        </w:rPr>
        <w:t>Pharmaceutical Wholesaler</w:t>
      </w:r>
      <w:r w:rsidR="00E26901">
        <w:rPr>
          <w:rStyle w:val="IntenseReference"/>
          <w:bCs w:val="0"/>
          <w:i w:val="0"/>
          <w:smallCaps w:val="0"/>
          <w:color w:val="auto"/>
          <w:spacing w:val="0"/>
        </w:rPr>
        <w:t>s</w:t>
      </w:r>
      <w:r w:rsidR="00E26901">
        <w:rPr>
          <w:rStyle w:val="IntenseReference"/>
          <w:b w:val="0"/>
          <w:i w:val="0"/>
          <w:smallCaps w:val="0"/>
          <w:color w:val="auto"/>
          <w:spacing w:val="0"/>
        </w:rPr>
        <w:t xml:space="preserve"> means Association Wholesaler and Industry Wholesalers. </w:t>
      </w:r>
    </w:p>
    <w:p w14:paraId="7D67C95F" w14:textId="7263446B" w:rsidR="00A41B45" w:rsidRPr="000C0845" w:rsidRDefault="00A41B45" w:rsidP="00A41B45">
      <w:pPr>
        <w:pStyle w:val="BodyIndent1"/>
        <w:rPr>
          <w:rStyle w:val="IntenseReference"/>
          <w:b w:val="0"/>
          <w:bCs w:val="0"/>
          <w:i w:val="0"/>
          <w:smallCaps w:val="0"/>
          <w:color w:val="auto"/>
        </w:rPr>
      </w:pPr>
      <w:r w:rsidRPr="000C0845">
        <w:rPr>
          <w:rStyle w:val="IntenseReference"/>
          <w:bCs w:val="0"/>
          <w:i w:val="0"/>
          <w:smallCaps w:val="0"/>
          <w:color w:val="auto"/>
        </w:rPr>
        <w:t>Pricing Quantity</w:t>
      </w:r>
      <w:r w:rsidRPr="000C0845">
        <w:rPr>
          <w:rStyle w:val="IntenseReference"/>
          <w:b w:val="0"/>
          <w:bCs w:val="0"/>
          <w:i w:val="0"/>
          <w:smallCaps w:val="0"/>
          <w:color w:val="auto"/>
        </w:rPr>
        <w:t xml:space="preserve"> has the </w:t>
      </w:r>
      <w:r w:rsidRPr="000C0845">
        <w:rPr>
          <w:iCs/>
        </w:rPr>
        <w:t>meaning</w:t>
      </w:r>
      <w:r w:rsidRPr="000C0845">
        <w:rPr>
          <w:rStyle w:val="IntenseReference"/>
          <w:b w:val="0"/>
          <w:bCs w:val="0"/>
          <w:i w:val="0"/>
          <w:smallCaps w:val="0"/>
          <w:color w:val="auto"/>
        </w:rPr>
        <w:t xml:space="preserve"> given in Part VII of the Act.</w:t>
      </w:r>
    </w:p>
    <w:p w14:paraId="0B751FA1" w14:textId="4A4B04B5" w:rsidR="00A41B45" w:rsidRDefault="00A41B45" w:rsidP="00A41B45">
      <w:pPr>
        <w:pStyle w:val="BodyIndent1"/>
      </w:pPr>
      <w:r w:rsidRPr="000C0845">
        <w:rPr>
          <w:b/>
        </w:rPr>
        <w:t xml:space="preserve">Proportional Ex-Manufacturer Price </w:t>
      </w:r>
      <w:r w:rsidRPr="000C0845">
        <w:t>has the meaning given in Part VII of the Act.</w:t>
      </w:r>
    </w:p>
    <w:p w14:paraId="1F8E0187" w14:textId="3D8F20E1" w:rsidR="004B35CC" w:rsidRPr="004B35CC" w:rsidRDefault="004B35CC" w:rsidP="008F5D42">
      <w:pPr>
        <w:pStyle w:val="BodyIndent1"/>
      </w:pPr>
      <w:r>
        <w:rPr>
          <w:rStyle w:val="IntenseReference"/>
          <w:bCs w:val="0"/>
          <w:i w:val="0"/>
          <w:smallCaps w:val="0"/>
          <w:color w:val="auto"/>
        </w:rPr>
        <w:t>Relevant Quantity</w:t>
      </w:r>
      <w:r>
        <w:t xml:space="preserve"> has the meaning given in Part 2 of the Determination. </w:t>
      </w:r>
    </w:p>
    <w:p w14:paraId="1B1CD0D1" w14:textId="06A4AA3B" w:rsidR="00A41B45" w:rsidDel="004B35CC" w:rsidRDefault="00A41B45" w:rsidP="00E449B7">
      <w:pPr>
        <w:pStyle w:val="BodyIndent1"/>
        <w:keepNext/>
        <w:rPr>
          <w:rStyle w:val="IntenseReference"/>
          <w:b w:val="0"/>
          <w:bCs w:val="0"/>
          <w:i w:val="0"/>
          <w:smallCaps w:val="0"/>
          <w:color w:val="auto"/>
        </w:rPr>
      </w:pPr>
      <w:r w:rsidDel="004B35CC">
        <w:rPr>
          <w:rStyle w:val="IntenseReference"/>
          <w:bCs w:val="0"/>
          <w:i w:val="0"/>
          <w:smallCaps w:val="0"/>
          <w:color w:val="auto"/>
        </w:rPr>
        <w:t>Representative</w:t>
      </w:r>
      <w:r w:rsidDel="004B35CC">
        <w:rPr>
          <w:rStyle w:val="IntenseReference"/>
          <w:b w:val="0"/>
          <w:bCs w:val="0"/>
          <w:i w:val="0"/>
          <w:smallCaps w:val="0"/>
          <w:color w:val="auto"/>
        </w:rPr>
        <w:t xml:space="preserve"> means, as the context </w:t>
      </w:r>
      <w:r w:rsidRPr="00A41B45" w:rsidDel="004B35CC">
        <w:t>requires</w:t>
      </w:r>
      <w:r w:rsidDel="004B35CC">
        <w:rPr>
          <w:rStyle w:val="IntenseReference"/>
          <w:b w:val="0"/>
          <w:bCs w:val="0"/>
          <w:i w:val="0"/>
          <w:smallCaps w:val="0"/>
          <w:color w:val="auto"/>
        </w:rPr>
        <w:t>, one or more of:</w:t>
      </w:r>
    </w:p>
    <w:p w14:paraId="3B83ADE7" w14:textId="0BEDD1DC" w:rsidR="00A41B45" w:rsidRPr="00196173" w:rsidDel="004B35CC" w:rsidRDefault="00A41B45" w:rsidP="0097156D">
      <w:pPr>
        <w:pStyle w:val="legalDefinition"/>
        <w:keepNext/>
        <w:numPr>
          <w:ilvl w:val="0"/>
          <w:numId w:val="15"/>
        </w:numPr>
        <w:ind w:left="1702" w:hanging="851"/>
      </w:pPr>
      <w:r w:rsidRPr="00196173" w:rsidDel="004B35CC">
        <w:t>the Department Representative;</w:t>
      </w:r>
      <w:r w:rsidR="001B4922" w:rsidDel="004B35CC">
        <w:t xml:space="preserve"> and</w:t>
      </w:r>
    </w:p>
    <w:p w14:paraId="0C3C27FF" w14:textId="47ED3D72" w:rsidR="00A41B45" w:rsidRPr="00196173" w:rsidDel="004B35CC" w:rsidRDefault="00A41B45" w:rsidP="0097156D">
      <w:pPr>
        <w:pStyle w:val="legalDefinition"/>
        <w:keepNext/>
        <w:numPr>
          <w:ilvl w:val="0"/>
          <w:numId w:val="11"/>
        </w:numPr>
        <w:ind w:left="1702" w:hanging="851"/>
      </w:pPr>
      <w:r w:rsidRPr="00196173" w:rsidDel="004B35CC">
        <w:t xml:space="preserve">the </w:t>
      </w:r>
      <w:r w:rsidR="001B4922" w:rsidDel="004B35CC">
        <w:t>Association</w:t>
      </w:r>
      <w:r w:rsidR="001B4922" w:rsidRPr="00196173" w:rsidDel="004B35CC">
        <w:t xml:space="preserve"> </w:t>
      </w:r>
      <w:r w:rsidRPr="00196173" w:rsidDel="004B35CC">
        <w:t>Representative.</w:t>
      </w:r>
    </w:p>
    <w:p w14:paraId="7AD710EA" w14:textId="77777777" w:rsidR="00A41B45" w:rsidRDefault="00A41B45" w:rsidP="00777134">
      <w:pPr>
        <w:pStyle w:val="BodyIndent1"/>
        <w:keepNext/>
        <w:keepLines/>
        <w:rPr>
          <w:rStyle w:val="IntenseReference"/>
          <w:b w:val="0"/>
          <w:bCs w:val="0"/>
          <w:i w:val="0"/>
          <w:smallCaps w:val="0"/>
          <w:color w:val="auto"/>
        </w:rPr>
      </w:pPr>
      <w:r w:rsidRPr="009D3B53">
        <w:rPr>
          <w:rStyle w:val="IntenseReference"/>
          <w:bCs w:val="0"/>
          <w:i w:val="0"/>
          <w:smallCaps w:val="0"/>
          <w:color w:val="auto"/>
        </w:rPr>
        <w:t>RPBS</w:t>
      </w:r>
      <w:r w:rsidRPr="009D3B53">
        <w:rPr>
          <w:rStyle w:val="IntenseReference"/>
          <w:b w:val="0"/>
          <w:bCs w:val="0"/>
          <w:i w:val="0"/>
          <w:smallCaps w:val="0"/>
          <w:color w:val="auto"/>
        </w:rPr>
        <w:t xml:space="preserve"> means the Repatriation </w:t>
      </w:r>
      <w:r w:rsidRPr="00A41B45">
        <w:t>Pharmaceutical</w:t>
      </w:r>
      <w:r w:rsidRPr="009D3B53">
        <w:rPr>
          <w:rStyle w:val="IntenseReference"/>
          <w:b w:val="0"/>
          <w:bCs w:val="0"/>
          <w:i w:val="0"/>
          <w:smallCaps w:val="0"/>
          <w:color w:val="auto"/>
        </w:rPr>
        <w:t xml:space="preserve"> Benefits Scheme established under the</w:t>
      </w:r>
      <w:r>
        <w:rPr>
          <w:rStyle w:val="IntenseReference"/>
          <w:b w:val="0"/>
          <w:bCs w:val="0"/>
          <w:i w:val="0"/>
          <w:smallCaps w:val="0"/>
          <w:color w:val="auto"/>
        </w:rPr>
        <w:t xml:space="preserve">: </w:t>
      </w:r>
    </w:p>
    <w:p w14:paraId="27B0D273" w14:textId="77777777" w:rsidR="00A41B45" w:rsidRPr="006D11FB" w:rsidRDefault="00A41B45" w:rsidP="0097156D">
      <w:pPr>
        <w:pStyle w:val="legalDefinition"/>
        <w:keepNext/>
        <w:keepLines/>
        <w:numPr>
          <w:ilvl w:val="0"/>
          <w:numId w:val="16"/>
        </w:numPr>
      </w:pPr>
      <w:r w:rsidRPr="006D11FB">
        <w:rPr>
          <w:i/>
        </w:rPr>
        <w:t xml:space="preserve">Veterans’ Entitlements Act 1986 </w:t>
      </w:r>
      <w:r>
        <w:t>(Cth)</w:t>
      </w:r>
      <w:r w:rsidRPr="006D11FB">
        <w:t xml:space="preserve">; </w:t>
      </w:r>
    </w:p>
    <w:p w14:paraId="45865FEB" w14:textId="77777777" w:rsidR="00A41B45" w:rsidRPr="006D11FB" w:rsidRDefault="00A41B45" w:rsidP="0097156D">
      <w:pPr>
        <w:pStyle w:val="legalDefinition"/>
        <w:keepNext/>
        <w:keepLines/>
        <w:numPr>
          <w:ilvl w:val="0"/>
          <w:numId w:val="11"/>
        </w:numPr>
      </w:pPr>
      <w:r w:rsidRPr="006D11FB">
        <w:rPr>
          <w:i/>
        </w:rPr>
        <w:t xml:space="preserve">Military Rehabilitation and Compensation Act 2004 </w:t>
      </w:r>
      <w:r>
        <w:t>(Cth)</w:t>
      </w:r>
      <w:r w:rsidRPr="006D11FB">
        <w:t>; and</w:t>
      </w:r>
    </w:p>
    <w:p w14:paraId="4F1A818D" w14:textId="77777777" w:rsidR="00A41B45" w:rsidRPr="006D11FB" w:rsidRDefault="00A41B45" w:rsidP="0097156D">
      <w:pPr>
        <w:pStyle w:val="legalDefinition"/>
        <w:keepNext/>
        <w:numPr>
          <w:ilvl w:val="0"/>
          <w:numId w:val="11"/>
        </w:numPr>
      </w:pPr>
      <w:r w:rsidRPr="006D11FB">
        <w:rPr>
          <w:i/>
        </w:rPr>
        <w:t xml:space="preserve">Australian Participants in British Nuclear Tests and British Commonwealth Occupation Force (Treatment) Act 2006 </w:t>
      </w:r>
      <w:r>
        <w:t>(Cth)</w:t>
      </w:r>
      <w:r w:rsidRPr="006D11FB">
        <w:t>.</w:t>
      </w:r>
    </w:p>
    <w:p w14:paraId="3CFCE4F3" w14:textId="38517F69" w:rsidR="00A41B45" w:rsidRPr="006D11FB" w:rsidRDefault="009E6842" w:rsidP="00A41B45">
      <w:pPr>
        <w:pStyle w:val="BodyIndent1"/>
      </w:pPr>
      <w:r w:rsidRPr="006D11FB">
        <w:rPr>
          <w:b/>
        </w:rPr>
        <w:t xml:space="preserve">Signatory </w:t>
      </w:r>
      <w:r w:rsidR="00A41B45" w:rsidRPr="006D11FB">
        <w:t xml:space="preserve">means, as the context </w:t>
      </w:r>
      <w:r w:rsidR="00A41B45" w:rsidRPr="00A41B45">
        <w:t>requires</w:t>
      </w:r>
      <w:r w:rsidR="00A41B45" w:rsidRPr="006D11FB">
        <w:t xml:space="preserve"> in respect of </w:t>
      </w:r>
      <w:r w:rsidR="001B4922">
        <w:t>this Agreement</w:t>
      </w:r>
      <w:r w:rsidR="00A41B45" w:rsidRPr="006D11FB">
        <w:t xml:space="preserve">, </w:t>
      </w:r>
      <w:r w:rsidR="001B4922">
        <w:t xml:space="preserve">either </w:t>
      </w:r>
      <w:r w:rsidR="00A41B45" w:rsidRPr="006D11FB">
        <w:t xml:space="preserve">the Commonwealth, </w:t>
      </w:r>
      <w:r w:rsidR="001B4922">
        <w:t xml:space="preserve">or the Association. </w:t>
      </w:r>
    </w:p>
    <w:p w14:paraId="3CCD30B5" w14:textId="3BF681A1" w:rsidR="00EB58DD" w:rsidRPr="00EB58DD" w:rsidRDefault="00EB58DD" w:rsidP="00A41B45">
      <w:pPr>
        <w:pStyle w:val="BodyIndent1"/>
      </w:pPr>
      <w:r w:rsidRPr="00484D37">
        <w:rPr>
          <w:b/>
          <w:bCs/>
        </w:rPr>
        <w:t>Shortage</w:t>
      </w:r>
      <w:r w:rsidRPr="00484D37">
        <w:t xml:space="preserve"> means a circumstance </w:t>
      </w:r>
      <w:r w:rsidR="001803FB">
        <w:t>in which</w:t>
      </w:r>
      <w:r w:rsidR="001803FB" w:rsidRPr="00484D37">
        <w:t xml:space="preserve"> </w:t>
      </w:r>
      <w:r w:rsidR="001E5325" w:rsidRPr="00484D37">
        <w:t>there is or may be</w:t>
      </w:r>
      <w:r w:rsidRPr="00484D37">
        <w:t xml:space="preserve"> an insufficient </w:t>
      </w:r>
      <w:proofErr w:type="gramStart"/>
      <w:r w:rsidRPr="00484D37">
        <w:t>amount</w:t>
      </w:r>
      <w:proofErr w:type="gramEnd"/>
      <w:r w:rsidRPr="00484D37">
        <w:t xml:space="preserve"> of Pharmaceutical Benefits to meet the demand for those Pharmaceutical Benefits</w:t>
      </w:r>
      <w:r w:rsidR="004B0B70" w:rsidRPr="00484D37">
        <w:t xml:space="preserve"> in </w:t>
      </w:r>
      <w:r w:rsidR="001803FB">
        <w:t xml:space="preserve">all or part of </w:t>
      </w:r>
      <w:r w:rsidR="004B0B70" w:rsidRPr="00484D37">
        <w:t>Australia</w:t>
      </w:r>
      <w:r w:rsidRPr="00484D37">
        <w:t>.</w:t>
      </w:r>
      <w:r>
        <w:t xml:space="preserve">    </w:t>
      </w:r>
    </w:p>
    <w:p w14:paraId="47F9DB60" w14:textId="77777777" w:rsidR="00A94D95" w:rsidRDefault="00AB4C37" w:rsidP="00A41B45">
      <w:pPr>
        <w:pStyle w:val="BodyIndent1"/>
        <w:rPr>
          <w:bCs/>
        </w:rPr>
      </w:pPr>
      <w:r w:rsidRPr="00E45FE8">
        <w:rPr>
          <w:b/>
        </w:rPr>
        <w:t>State Pharmaceutical Wholesaler</w:t>
      </w:r>
      <w:r w:rsidRPr="00E45FE8">
        <w:rPr>
          <w:bCs/>
        </w:rPr>
        <w:t xml:space="preserve"> means </w:t>
      </w:r>
      <w:r w:rsidR="0020095E">
        <w:rPr>
          <w:bCs/>
        </w:rPr>
        <w:t>a</w:t>
      </w:r>
      <w:r w:rsidRPr="00E45FE8">
        <w:rPr>
          <w:bCs/>
        </w:rPr>
        <w:t xml:space="preserve"> Pharmaceutical Wholesaler that delivers Pharmaceutical Benefits to one or more States or Territories (or both) in Australia, but not to all States and Territories in Australia.</w:t>
      </w:r>
    </w:p>
    <w:p w14:paraId="0A872393" w14:textId="28B41831" w:rsidR="00A41B45" w:rsidRPr="009D3B53" w:rsidRDefault="00A41B45" w:rsidP="00A41B45">
      <w:pPr>
        <w:pStyle w:val="BodyIndent1"/>
        <w:rPr>
          <w:rStyle w:val="IntenseReference"/>
          <w:b w:val="0"/>
          <w:bCs w:val="0"/>
          <w:i w:val="0"/>
          <w:smallCaps w:val="0"/>
          <w:color w:val="auto"/>
        </w:rPr>
      </w:pPr>
      <w:r w:rsidRPr="006D11FB">
        <w:rPr>
          <w:b/>
        </w:rPr>
        <w:t>Term</w:t>
      </w:r>
      <w:r w:rsidRPr="006D11FB">
        <w:t xml:space="preserve"> means the term of this Agreement</w:t>
      </w:r>
      <w:r w:rsidR="00661BF2" w:rsidRPr="006D11FB">
        <w:t xml:space="preserve"> as set out in clause </w:t>
      </w:r>
      <w:r w:rsidR="00661BF2">
        <w:rPr>
          <w:rStyle w:val="IntenseReference"/>
          <w:b w:val="0"/>
          <w:bCs w:val="0"/>
          <w:i w:val="0"/>
          <w:smallCaps w:val="0"/>
          <w:color w:val="auto"/>
        </w:rPr>
        <w:fldChar w:fldCharType="begin"/>
      </w:r>
      <w:r w:rsidR="00661BF2">
        <w:rPr>
          <w:rStyle w:val="IntenseReference"/>
          <w:b w:val="0"/>
          <w:bCs w:val="0"/>
          <w:i w:val="0"/>
          <w:smallCaps w:val="0"/>
          <w:color w:val="auto"/>
        </w:rPr>
        <w:instrText xml:space="preserve"> REF _Ref41332467 \w \h </w:instrText>
      </w:r>
      <w:r w:rsidR="00196173">
        <w:rPr>
          <w:rStyle w:val="IntenseReference"/>
          <w:b w:val="0"/>
          <w:bCs w:val="0"/>
          <w:i w:val="0"/>
          <w:smallCaps w:val="0"/>
          <w:color w:val="auto"/>
        </w:rPr>
        <w:instrText xml:space="preserve"> \* MERGEFORMAT </w:instrText>
      </w:r>
      <w:r w:rsidR="00661BF2">
        <w:rPr>
          <w:rStyle w:val="IntenseReference"/>
          <w:b w:val="0"/>
          <w:bCs w:val="0"/>
          <w:i w:val="0"/>
          <w:smallCaps w:val="0"/>
          <w:color w:val="auto"/>
        </w:rPr>
      </w:r>
      <w:r w:rsidR="00661BF2">
        <w:rPr>
          <w:rStyle w:val="IntenseReference"/>
          <w:b w:val="0"/>
          <w:bCs w:val="0"/>
          <w:i w:val="0"/>
          <w:smallCaps w:val="0"/>
          <w:color w:val="auto"/>
        </w:rPr>
        <w:fldChar w:fldCharType="separate"/>
      </w:r>
      <w:r w:rsidR="008F5D42">
        <w:rPr>
          <w:rStyle w:val="IntenseReference"/>
          <w:b w:val="0"/>
          <w:bCs w:val="0"/>
          <w:i w:val="0"/>
          <w:smallCaps w:val="0"/>
          <w:color w:val="auto"/>
        </w:rPr>
        <w:t>14.1</w:t>
      </w:r>
      <w:r w:rsidR="00661BF2">
        <w:rPr>
          <w:rStyle w:val="IntenseReference"/>
          <w:b w:val="0"/>
          <w:bCs w:val="0"/>
          <w:i w:val="0"/>
          <w:smallCaps w:val="0"/>
          <w:color w:val="auto"/>
        </w:rPr>
        <w:fldChar w:fldCharType="end"/>
      </w:r>
      <w:r>
        <w:rPr>
          <w:rStyle w:val="IntenseReference"/>
          <w:b w:val="0"/>
          <w:bCs w:val="0"/>
          <w:i w:val="0"/>
          <w:smallCaps w:val="0"/>
          <w:color w:val="auto"/>
        </w:rPr>
        <w:t>.</w:t>
      </w:r>
    </w:p>
    <w:p w14:paraId="40C17394" w14:textId="24DBF061" w:rsidR="000C0AE1" w:rsidRPr="000C0845" w:rsidRDefault="000C0AE1" w:rsidP="00A41B45">
      <w:pPr>
        <w:pStyle w:val="BodyIndent1"/>
      </w:pPr>
      <w:r w:rsidRPr="000C0845">
        <w:rPr>
          <w:b/>
        </w:rPr>
        <w:t xml:space="preserve">Unit </w:t>
      </w:r>
      <w:r w:rsidRPr="000C0845">
        <w:t xml:space="preserve">means a </w:t>
      </w:r>
      <w:r w:rsidR="001E5325" w:rsidRPr="000C0845">
        <w:t>P</w:t>
      </w:r>
      <w:r w:rsidRPr="000C0845">
        <w:t xml:space="preserve">ack </w:t>
      </w:r>
      <w:r w:rsidR="001E5325" w:rsidRPr="000C0845">
        <w:t>Q</w:t>
      </w:r>
      <w:r w:rsidRPr="000C0845">
        <w:t xml:space="preserve">uantity </w:t>
      </w:r>
      <w:r w:rsidR="004B0B70" w:rsidRPr="000C0845">
        <w:t>of a Pharmaceutical Benefit</w:t>
      </w:r>
      <w:r w:rsidR="00B70EDB">
        <w:t>.</w:t>
      </w:r>
      <w:r w:rsidR="006A5572">
        <w:t xml:space="preserve"> </w:t>
      </w:r>
      <w:r w:rsidRPr="000C0845">
        <w:t xml:space="preserve">  </w:t>
      </w:r>
    </w:p>
    <w:p w14:paraId="2FBB90F1" w14:textId="35D0E824" w:rsidR="00DB25FC" w:rsidRDefault="00DB25FC" w:rsidP="00DB25FC">
      <w:pPr>
        <w:pStyle w:val="BodyIndent1"/>
        <w:rPr>
          <w:b/>
          <w:bCs/>
        </w:rPr>
      </w:pPr>
      <w:r>
        <w:rPr>
          <w:b/>
          <w:bCs/>
        </w:rPr>
        <w:t xml:space="preserve">Wholesaler Deed </w:t>
      </w:r>
      <w:r>
        <w:t xml:space="preserve">means a deed between the Commonwealth and a Pharmaceutical Wholesaler for the payment of the WMU Payments, CSO Payments, </w:t>
      </w:r>
      <w:r w:rsidR="00804510">
        <w:t xml:space="preserve">or </w:t>
      </w:r>
      <w:r>
        <w:t>other matters.</w:t>
      </w:r>
    </w:p>
    <w:p w14:paraId="3863DB00" w14:textId="43926DBE" w:rsidR="00444866" w:rsidRDefault="00444866" w:rsidP="00A41B45">
      <w:pPr>
        <w:pStyle w:val="BodyIndent1"/>
      </w:pPr>
      <w:r>
        <w:rPr>
          <w:b/>
          <w:bCs/>
        </w:rPr>
        <w:t xml:space="preserve">WMU Payments </w:t>
      </w:r>
      <w:r>
        <w:t xml:space="preserve">means the </w:t>
      </w:r>
      <w:r w:rsidR="00A5114E">
        <w:t xml:space="preserve">Wholesale Mark-Up payments </w:t>
      </w:r>
      <w:r>
        <w:t xml:space="preserve">by the Commonwealth to </w:t>
      </w:r>
      <w:r w:rsidR="00597322">
        <w:t xml:space="preserve">Pharmaceutical </w:t>
      </w:r>
      <w:r w:rsidR="00EB2A66">
        <w:t>Wholesaler</w:t>
      </w:r>
      <w:r>
        <w:t>s referred to in clause </w:t>
      </w:r>
      <w:r w:rsidR="009F769A">
        <w:fldChar w:fldCharType="begin"/>
      </w:r>
      <w:r w:rsidR="009F769A">
        <w:instrText xml:space="preserve"> REF _Ref166426631 \r \h </w:instrText>
      </w:r>
      <w:r w:rsidR="009F769A">
        <w:fldChar w:fldCharType="separate"/>
      </w:r>
      <w:r w:rsidR="008F5D42">
        <w:t>2</w:t>
      </w:r>
      <w:r w:rsidR="009F769A">
        <w:fldChar w:fldCharType="end"/>
      </w:r>
      <w:r>
        <w:t xml:space="preserve">. </w:t>
      </w:r>
    </w:p>
    <w:p w14:paraId="493C5021" w14:textId="77777777" w:rsidR="00A41B45" w:rsidRPr="00BF6D50" w:rsidRDefault="00A41B45" w:rsidP="00BF6D50">
      <w:pPr>
        <w:pStyle w:val="Headingpara2"/>
        <w:keepNext/>
      </w:pPr>
      <w:r w:rsidRPr="00BF6D50">
        <w:t xml:space="preserve">Unless otherwise defined in this Agreement, a term (including a term that is not capitalised) that is given a particular meaning in Part VII of the Act has the same meaning in </w:t>
      </w:r>
      <w:r w:rsidRPr="009D3B53">
        <w:t>this</w:t>
      </w:r>
      <w:r w:rsidRPr="00BF6D50">
        <w:rPr>
          <w:b/>
        </w:rPr>
        <w:t xml:space="preserve"> </w:t>
      </w:r>
      <w:r w:rsidRPr="00BF6D50">
        <w:t>Agreement as it has in Part VII of the Act.</w:t>
      </w:r>
    </w:p>
    <w:p w14:paraId="182EBA76" w14:textId="77777777" w:rsidR="00FE782D" w:rsidRDefault="00FE782D" w:rsidP="005A5FD0">
      <w:pPr>
        <w:pStyle w:val="legalPart"/>
        <w:rPr>
          <w:rStyle w:val="IntenseReference"/>
          <w:b/>
          <w:bCs w:val="0"/>
          <w:i w:val="0"/>
          <w:smallCaps w:val="0"/>
          <w:color w:val="82002A"/>
          <w:spacing w:val="0"/>
        </w:rPr>
        <w:sectPr w:rsidR="00FE782D" w:rsidSect="00F42B88">
          <w:pgSz w:w="11906" w:h="16838" w:code="9"/>
          <w:pgMar w:top="1276" w:right="1418" w:bottom="1134" w:left="1418" w:header="567" w:footer="659" w:gutter="0"/>
          <w:cols w:space="708"/>
          <w:docGrid w:linePitch="360"/>
        </w:sectPr>
      </w:pPr>
    </w:p>
    <w:p w14:paraId="3F98D4B6" w14:textId="718A6C3B" w:rsidR="00FE782D" w:rsidRDefault="00FE782D" w:rsidP="00FE782D">
      <w:pPr>
        <w:pStyle w:val="mainTitle"/>
      </w:pPr>
      <w:bookmarkStart w:id="578" w:name="_Toc185417685"/>
      <w:bookmarkStart w:id="579" w:name="_Toc161754153"/>
      <w:r>
        <w:lastRenderedPageBreak/>
        <w:t>Signing page</w:t>
      </w:r>
      <w:bookmarkEnd w:id="578"/>
      <w:r>
        <w:t xml:space="preserve"> </w:t>
      </w:r>
      <w:bookmarkEnd w:id="579"/>
    </w:p>
    <w:p w14:paraId="65252095" w14:textId="77777777" w:rsidR="00FE782D" w:rsidRDefault="00FE782D" w:rsidP="00FE782D"/>
    <w:p w14:paraId="5C5FE57E" w14:textId="77777777" w:rsidR="00FE782D" w:rsidRDefault="00FE782D" w:rsidP="00FE782D"/>
    <w:p w14:paraId="65F40C28" w14:textId="77777777" w:rsidR="00FE782D" w:rsidRDefault="00FE782D" w:rsidP="00FE782D"/>
    <w:p w14:paraId="5E833E42" w14:textId="77777777" w:rsidR="00FE782D" w:rsidRPr="009D3B53" w:rsidRDefault="00FE782D" w:rsidP="00FE782D"/>
    <w:tbl>
      <w:tblPr>
        <w:tblW w:w="9408" w:type="dxa"/>
        <w:tblInd w:w="-336" w:type="dxa"/>
        <w:tblLayout w:type="fixed"/>
        <w:tblCellMar>
          <w:left w:w="360" w:type="dxa"/>
          <w:right w:w="360" w:type="dxa"/>
        </w:tblCellMar>
        <w:tblLook w:val="0000" w:firstRow="0" w:lastRow="0" w:firstColumn="0" w:lastColumn="0" w:noHBand="0" w:noVBand="0"/>
      </w:tblPr>
      <w:tblGrid>
        <w:gridCol w:w="4873"/>
        <w:gridCol w:w="4535"/>
      </w:tblGrid>
      <w:tr w:rsidR="00FE782D" w:rsidRPr="009D3B53" w14:paraId="1C4A0509" w14:textId="77777777" w:rsidTr="00376936">
        <w:tc>
          <w:tcPr>
            <w:tcW w:w="4873" w:type="dxa"/>
          </w:tcPr>
          <w:p w14:paraId="6BF8611C" w14:textId="77777777" w:rsidR="00FE782D" w:rsidRPr="009D3B53" w:rsidRDefault="00FE782D" w:rsidP="00376936">
            <w:pPr>
              <w:keepNext/>
              <w:keepLines/>
            </w:pPr>
            <w:r w:rsidRPr="009D3B53">
              <w:rPr>
                <w:b/>
              </w:rPr>
              <w:t xml:space="preserve">Signed </w:t>
            </w:r>
            <w:r w:rsidRPr="009D3B53">
              <w:t xml:space="preserve">by </w:t>
            </w:r>
            <w:r w:rsidRPr="000D1D2A">
              <w:rPr>
                <w:b/>
              </w:rPr>
              <w:t xml:space="preserve">The Hon Mark Butler MP, Minister for Health and Aged Care </w:t>
            </w:r>
            <w:r w:rsidRPr="009D3B53">
              <w:t xml:space="preserve">on behalf of the </w:t>
            </w:r>
            <w:r w:rsidRPr="009D3B53">
              <w:rPr>
                <w:b/>
              </w:rPr>
              <w:t>Commonwealth of Australia</w:t>
            </w:r>
            <w:r w:rsidRPr="009D3B53">
              <w:t xml:space="preserve"> </w:t>
            </w:r>
          </w:p>
          <w:p w14:paraId="32B26808" w14:textId="77777777" w:rsidR="00FE782D" w:rsidRPr="009D3B53" w:rsidRDefault="00FE782D" w:rsidP="00376936">
            <w:pPr>
              <w:keepNext/>
              <w:keepLines/>
            </w:pPr>
          </w:p>
          <w:p w14:paraId="014DD44D" w14:textId="77777777" w:rsidR="00FE782D" w:rsidRPr="009D3B53" w:rsidRDefault="00FE782D" w:rsidP="00376936">
            <w:pPr>
              <w:keepNext/>
              <w:keepLines/>
            </w:pPr>
            <w:r w:rsidRPr="009D3B53">
              <w:t>in the presence of:</w:t>
            </w:r>
          </w:p>
        </w:tc>
        <w:tc>
          <w:tcPr>
            <w:tcW w:w="4535" w:type="dxa"/>
          </w:tcPr>
          <w:p w14:paraId="21D635D6" w14:textId="77777777" w:rsidR="00FE782D" w:rsidRPr="009D3B53" w:rsidRDefault="00FE782D" w:rsidP="00376936">
            <w:pPr>
              <w:keepNext/>
              <w:keepLines/>
            </w:pPr>
          </w:p>
          <w:p w14:paraId="31DC1E7F" w14:textId="77777777" w:rsidR="00FE782D" w:rsidRPr="009D3B53" w:rsidRDefault="00FE782D" w:rsidP="00376936">
            <w:pPr>
              <w:keepNext/>
              <w:keepLines/>
            </w:pPr>
          </w:p>
          <w:p w14:paraId="648AC59D" w14:textId="77777777" w:rsidR="00FE782D" w:rsidRDefault="00FE782D" w:rsidP="00376936">
            <w:pPr>
              <w:keepNext/>
              <w:keepLines/>
              <w:tabs>
                <w:tab w:val="left" w:pos="227"/>
                <w:tab w:val="left" w:leader="dot" w:pos="4253"/>
              </w:tabs>
            </w:pPr>
          </w:p>
          <w:p w14:paraId="3ACC0791" w14:textId="77777777" w:rsidR="00FE782D" w:rsidRPr="009D3B53" w:rsidRDefault="00FE782D" w:rsidP="00376936">
            <w:pPr>
              <w:keepNext/>
              <w:keepLines/>
              <w:tabs>
                <w:tab w:val="left" w:pos="227"/>
                <w:tab w:val="left" w:leader="dot" w:pos="4253"/>
              </w:tabs>
            </w:pPr>
          </w:p>
          <w:p w14:paraId="404B1AA5" w14:textId="77777777" w:rsidR="00FE782D" w:rsidRPr="009D3B53" w:rsidRDefault="00FE782D" w:rsidP="00376936">
            <w:pPr>
              <w:keepNext/>
              <w:keepLines/>
              <w:tabs>
                <w:tab w:val="left" w:leader="dot" w:pos="4536"/>
              </w:tabs>
              <w:rPr>
                <w:rFonts w:ascii="CG Times (W1)" w:hAnsi="CG Times (W1)"/>
                <w:spacing w:val="-3"/>
              </w:rPr>
            </w:pPr>
            <w:r w:rsidRPr="009D3B53">
              <w:tab/>
            </w:r>
          </w:p>
        </w:tc>
      </w:tr>
    </w:tbl>
    <w:p w14:paraId="5EAFDC9F" w14:textId="77777777" w:rsidR="00FE782D" w:rsidRPr="009D3B53" w:rsidRDefault="00FE782D" w:rsidP="00FE782D">
      <w:pPr>
        <w:keepNext/>
        <w:keepLines/>
      </w:pPr>
    </w:p>
    <w:p w14:paraId="1BAF9C00" w14:textId="77777777" w:rsidR="00FE782D" w:rsidRPr="009D3B53" w:rsidRDefault="00FE782D" w:rsidP="00FE782D">
      <w:pPr>
        <w:keepNext/>
        <w:keepLines/>
      </w:pPr>
    </w:p>
    <w:p w14:paraId="3B00767B" w14:textId="77777777" w:rsidR="00FE782D" w:rsidRPr="009D3B53" w:rsidRDefault="00FE782D" w:rsidP="00FE782D">
      <w:pPr>
        <w:keepNext/>
        <w:keepLines/>
        <w:tabs>
          <w:tab w:val="left" w:leader="dot" w:pos="4536"/>
        </w:tabs>
      </w:pPr>
      <w:r w:rsidRPr="009D3B53">
        <w:tab/>
      </w:r>
    </w:p>
    <w:p w14:paraId="1BCE154B" w14:textId="77777777" w:rsidR="00FE782D" w:rsidRPr="009D3B53" w:rsidRDefault="00FE782D" w:rsidP="00FE782D">
      <w:pPr>
        <w:keepLines/>
      </w:pPr>
      <w:r w:rsidRPr="009D3B53">
        <w:t>Witness</w:t>
      </w:r>
    </w:p>
    <w:p w14:paraId="4C139219" w14:textId="77777777" w:rsidR="00FE782D" w:rsidRPr="009D3B53" w:rsidRDefault="00FE782D" w:rsidP="00FE782D"/>
    <w:p w14:paraId="25D8973C" w14:textId="77777777" w:rsidR="00FE782D" w:rsidRDefault="00FE782D" w:rsidP="00FE782D">
      <w:pPr>
        <w:keepNext/>
        <w:keepLines/>
        <w:suppressAutoHyphens/>
      </w:pPr>
    </w:p>
    <w:p w14:paraId="012E9D96" w14:textId="77777777" w:rsidR="00FE782D" w:rsidRPr="009D3B53" w:rsidRDefault="00FE782D" w:rsidP="00FE782D">
      <w:pPr>
        <w:keepNext/>
        <w:keepLines/>
        <w:tabs>
          <w:tab w:val="left" w:leader="dot" w:pos="4536"/>
        </w:tabs>
      </w:pPr>
      <w:r w:rsidRPr="009D3B53">
        <w:tab/>
      </w:r>
    </w:p>
    <w:p w14:paraId="74602D39" w14:textId="77777777" w:rsidR="00FE782D" w:rsidRPr="009D3B53" w:rsidRDefault="00FE782D" w:rsidP="00FE782D">
      <w:pPr>
        <w:keepLines/>
      </w:pPr>
      <w:r>
        <w:t>Name of w</w:t>
      </w:r>
      <w:r w:rsidRPr="009D3B53">
        <w:t>itness</w:t>
      </w:r>
    </w:p>
    <w:p w14:paraId="28B3EA95" w14:textId="77777777" w:rsidR="00FE782D" w:rsidRDefault="00FE782D" w:rsidP="00FE782D">
      <w:pPr>
        <w:keepNext/>
        <w:keepLines/>
        <w:suppressAutoHyphens/>
      </w:pPr>
    </w:p>
    <w:p w14:paraId="193B1359" w14:textId="77777777" w:rsidR="00FE782D" w:rsidRDefault="00FE782D" w:rsidP="00FE782D">
      <w:pPr>
        <w:keepNext/>
        <w:keepLines/>
        <w:suppressAutoHyphens/>
      </w:pPr>
    </w:p>
    <w:p w14:paraId="0A62002C" w14:textId="77777777" w:rsidR="00FE782D" w:rsidRPr="009D3B53" w:rsidRDefault="00FE782D" w:rsidP="00FE782D">
      <w:pPr>
        <w:keepNext/>
        <w:keepLines/>
        <w:tabs>
          <w:tab w:val="left" w:leader="dot" w:pos="4536"/>
        </w:tabs>
      </w:pPr>
      <w:r w:rsidRPr="009D3B53">
        <w:tab/>
      </w:r>
    </w:p>
    <w:p w14:paraId="6CAD4C5B" w14:textId="77777777" w:rsidR="00FE782D" w:rsidRPr="009D3B53" w:rsidRDefault="00FE782D" w:rsidP="00FE782D">
      <w:pPr>
        <w:keepLines/>
      </w:pPr>
      <w:r>
        <w:t>Date</w:t>
      </w:r>
    </w:p>
    <w:p w14:paraId="4F573DFD" w14:textId="77777777" w:rsidR="00FE782D" w:rsidRDefault="00FE782D" w:rsidP="00FE782D">
      <w:pPr>
        <w:keepNext/>
        <w:keepLines/>
        <w:suppressAutoHyphens/>
      </w:pPr>
    </w:p>
    <w:p w14:paraId="60F1E15C" w14:textId="77777777" w:rsidR="00FE782D" w:rsidRDefault="00FE782D" w:rsidP="00FE782D">
      <w:pPr>
        <w:keepNext/>
        <w:keepLines/>
        <w:suppressAutoHyphens/>
      </w:pPr>
    </w:p>
    <w:p w14:paraId="3A5F6714" w14:textId="77777777" w:rsidR="00FE782D" w:rsidRDefault="00FE782D" w:rsidP="00FE782D">
      <w:pPr>
        <w:keepNext/>
        <w:keepLines/>
        <w:suppressAutoHyphens/>
      </w:pPr>
    </w:p>
    <w:p w14:paraId="7902503D" w14:textId="77777777" w:rsidR="00FE782D" w:rsidRDefault="00FE782D" w:rsidP="00FE782D">
      <w:pPr>
        <w:keepNext/>
        <w:keepLines/>
        <w:suppressAutoHyphens/>
      </w:pPr>
    </w:p>
    <w:tbl>
      <w:tblPr>
        <w:tblW w:w="8931" w:type="dxa"/>
        <w:tblLayout w:type="fixed"/>
        <w:tblCellMar>
          <w:left w:w="0" w:type="dxa"/>
          <w:right w:w="0" w:type="dxa"/>
        </w:tblCellMar>
        <w:tblLook w:val="0000" w:firstRow="0" w:lastRow="0" w:firstColumn="0" w:lastColumn="0" w:noHBand="0" w:noVBand="0"/>
      </w:tblPr>
      <w:tblGrid>
        <w:gridCol w:w="4873"/>
        <w:gridCol w:w="4058"/>
      </w:tblGrid>
      <w:tr w:rsidR="00FE782D" w14:paraId="04892CEC" w14:textId="77777777" w:rsidTr="00376936">
        <w:tc>
          <w:tcPr>
            <w:tcW w:w="4873" w:type="dxa"/>
          </w:tcPr>
          <w:p w14:paraId="68CD3C87" w14:textId="714620A9" w:rsidR="00FE782D" w:rsidRPr="006C58CB" w:rsidRDefault="00FE782D" w:rsidP="00376936">
            <w:pPr>
              <w:keepNext/>
              <w:keepLines/>
            </w:pPr>
            <w:r>
              <w:rPr>
                <w:b/>
              </w:rPr>
              <w:t>Signed</w:t>
            </w:r>
            <w:r>
              <w:t xml:space="preserve"> by </w:t>
            </w:r>
            <w:r>
              <w:rPr>
                <w:b/>
              </w:rPr>
              <w:t xml:space="preserve">the National Pharmaceutical Services Association Limited </w:t>
            </w:r>
            <w:r w:rsidRPr="007E4F56">
              <w:t xml:space="preserve">ACN </w:t>
            </w:r>
            <w:r w:rsidR="00B74886">
              <w:t>087 033 216</w:t>
            </w:r>
            <w:r>
              <w:rPr>
                <w:b/>
              </w:rPr>
              <w:t xml:space="preserve"> </w:t>
            </w:r>
            <w:r>
              <w:t>by</w:t>
            </w:r>
            <w:r w:rsidRPr="006C58CB">
              <w:t>:</w:t>
            </w:r>
          </w:p>
        </w:tc>
        <w:tc>
          <w:tcPr>
            <w:tcW w:w="4058" w:type="dxa"/>
          </w:tcPr>
          <w:p w14:paraId="2497F75D" w14:textId="66DD78FC" w:rsidR="00FE782D" w:rsidRDefault="00FE782D" w:rsidP="00376936">
            <w:pPr>
              <w:keepNext/>
              <w:keepLines/>
            </w:pPr>
          </w:p>
          <w:p w14:paraId="74F968F9" w14:textId="59773DA0" w:rsidR="00FE782D" w:rsidRDefault="00FE782D" w:rsidP="00376936">
            <w:pPr>
              <w:keepNext/>
              <w:keepLines/>
            </w:pPr>
          </w:p>
          <w:p w14:paraId="1F3D0F85" w14:textId="4E841A69" w:rsidR="00FE782D" w:rsidRDefault="00FE782D" w:rsidP="00376936">
            <w:pPr>
              <w:keepNext/>
              <w:keepLines/>
            </w:pPr>
          </w:p>
        </w:tc>
      </w:tr>
    </w:tbl>
    <w:p w14:paraId="1D8D17C7" w14:textId="77777777" w:rsidR="00FE782D" w:rsidRDefault="00FE782D" w:rsidP="00FE782D">
      <w:pPr>
        <w:keepNext/>
        <w:keepLines/>
      </w:pPr>
    </w:p>
    <w:p w14:paraId="48D5F00E" w14:textId="77777777" w:rsidR="00FE782D" w:rsidRDefault="00FE782D" w:rsidP="00FE782D">
      <w:pPr>
        <w:keepNext/>
        <w:keepLines/>
      </w:pPr>
    </w:p>
    <w:p w14:paraId="52671CDB" w14:textId="77777777" w:rsidR="00FE782D" w:rsidRDefault="00FE782D" w:rsidP="00FE782D">
      <w:pPr>
        <w:keepNext/>
        <w:keepLines/>
        <w:tabs>
          <w:tab w:val="left" w:leader="dot" w:pos="4253"/>
          <w:tab w:val="left" w:pos="4536"/>
          <w:tab w:val="left" w:leader="dot" w:pos="8789"/>
        </w:tabs>
      </w:pPr>
      <w:r>
        <w:tab/>
      </w:r>
      <w:r>
        <w:tab/>
      </w:r>
      <w:r>
        <w:tab/>
      </w:r>
    </w:p>
    <w:p w14:paraId="663B0ADD" w14:textId="676F9639" w:rsidR="00FE782D" w:rsidRDefault="0042234F" w:rsidP="0042234F">
      <w:pPr>
        <w:keepNext/>
        <w:keepLines/>
        <w:tabs>
          <w:tab w:val="left" w:pos="4536"/>
        </w:tabs>
      </w:pPr>
      <w:r>
        <w:t>Richard Vincent</w:t>
      </w:r>
      <w:r w:rsidR="00FE782D" w:rsidRPr="009D3B53">
        <w:tab/>
      </w:r>
      <w:r>
        <w:t>Elizabeth Cuming</w:t>
      </w:r>
    </w:p>
    <w:p w14:paraId="021C9EC6" w14:textId="77777777" w:rsidR="00FE782D" w:rsidRDefault="00FE782D" w:rsidP="00FE782D">
      <w:pPr>
        <w:keepNext/>
        <w:keepLines/>
        <w:tabs>
          <w:tab w:val="left" w:pos="4510"/>
        </w:tabs>
      </w:pPr>
    </w:p>
    <w:p w14:paraId="1F03C748" w14:textId="77777777" w:rsidR="00FE782D" w:rsidRDefault="00FE782D" w:rsidP="00FE782D">
      <w:pPr>
        <w:keepNext/>
        <w:keepLines/>
        <w:tabs>
          <w:tab w:val="left" w:pos="4510"/>
        </w:tabs>
      </w:pPr>
    </w:p>
    <w:p w14:paraId="6F00D538" w14:textId="77777777" w:rsidR="00FE782D" w:rsidRDefault="00FE782D" w:rsidP="00FE782D">
      <w:pPr>
        <w:keepNext/>
        <w:keepLines/>
        <w:tabs>
          <w:tab w:val="left" w:leader="dot" w:pos="4253"/>
          <w:tab w:val="left" w:pos="4536"/>
          <w:tab w:val="left" w:leader="dot" w:pos="8789"/>
        </w:tabs>
      </w:pPr>
      <w:r>
        <w:tab/>
      </w:r>
      <w:r>
        <w:tab/>
      </w:r>
      <w:r>
        <w:tab/>
      </w:r>
    </w:p>
    <w:p w14:paraId="0E00C1CE" w14:textId="77777777" w:rsidR="00FE782D" w:rsidRDefault="00FE782D" w:rsidP="00FE782D">
      <w:pPr>
        <w:keepNext/>
        <w:keepLines/>
        <w:tabs>
          <w:tab w:val="left" w:pos="4510"/>
        </w:tabs>
      </w:pPr>
      <w:r>
        <w:t>Date</w:t>
      </w:r>
      <w:r>
        <w:tab/>
        <w:t>Date</w:t>
      </w:r>
    </w:p>
    <w:p w14:paraId="4E17A412" w14:textId="77777777" w:rsidR="00FE782D" w:rsidRDefault="00FE782D" w:rsidP="00FE782D">
      <w:r>
        <w:br w:type="page"/>
      </w:r>
    </w:p>
    <w:p w14:paraId="29DAEFD6" w14:textId="77777777" w:rsidR="00A41B45" w:rsidRPr="005A5FD0" w:rsidRDefault="00A41B45" w:rsidP="005A5FD0">
      <w:pPr>
        <w:pStyle w:val="legalPart"/>
        <w:rPr>
          <w:rStyle w:val="IntenseReference"/>
          <w:b/>
          <w:bCs w:val="0"/>
          <w:i w:val="0"/>
          <w:smallCaps w:val="0"/>
          <w:color w:val="82002A"/>
          <w:spacing w:val="0"/>
        </w:rPr>
        <w:sectPr w:rsidR="00A41B45" w:rsidRPr="005A5FD0" w:rsidSect="00F42B88">
          <w:pgSz w:w="11906" w:h="16838" w:code="9"/>
          <w:pgMar w:top="1276" w:right="1418" w:bottom="1134" w:left="1418" w:header="567" w:footer="659" w:gutter="0"/>
          <w:cols w:space="708"/>
          <w:docGrid w:linePitch="360"/>
        </w:sectPr>
      </w:pPr>
    </w:p>
    <w:p w14:paraId="71437BB9" w14:textId="07BFDB1B" w:rsidR="00B35BBA" w:rsidRDefault="00B35BBA" w:rsidP="00B35BBA">
      <w:pPr>
        <w:pStyle w:val="mainTitle"/>
      </w:pPr>
      <w:bookmarkStart w:id="580" w:name="_Toc185417686"/>
      <w:r>
        <w:lastRenderedPageBreak/>
        <w:t>Appendix A – Signatories</w:t>
      </w:r>
      <w:bookmarkEnd w:id="580"/>
    </w:p>
    <w:p w14:paraId="6C0BF58A" w14:textId="5F0A86A1" w:rsidR="00B35BBA" w:rsidRDefault="00B35BBA" w:rsidP="00B35BBA">
      <w:pPr>
        <w:pStyle w:val="mainTitle"/>
      </w:pPr>
    </w:p>
    <w:p w14:paraId="31DBA69B" w14:textId="77777777" w:rsidR="00F744CC" w:rsidRPr="00F744CC" w:rsidRDefault="00F744CC" w:rsidP="00F744CC"/>
    <w:tbl>
      <w:tblPr>
        <w:tblW w:w="0" w:type="auto"/>
        <w:tblInd w:w="-851" w:type="dxa"/>
        <w:tblLook w:val="01E0" w:firstRow="1" w:lastRow="1" w:firstColumn="1" w:lastColumn="1" w:noHBand="0" w:noVBand="0"/>
      </w:tblPr>
      <w:tblGrid>
        <w:gridCol w:w="2088"/>
        <w:gridCol w:w="7198"/>
      </w:tblGrid>
      <w:tr w:rsidR="00B35BBA" w:rsidRPr="009D3B53" w14:paraId="2C3F1167" w14:textId="77777777" w:rsidTr="00072C9B">
        <w:tc>
          <w:tcPr>
            <w:tcW w:w="2088" w:type="dxa"/>
            <w:tcBorders>
              <w:top w:val="nil"/>
              <w:left w:val="nil"/>
              <w:bottom w:val="nil"/>
              <w:right w:val="single" w:sz="4" w:space="0" w:color="auto"/>
            </w:tcBorders>
            <w:shd w:val="clear" w:color="auto" w:fill="auto"/>
          </w:tcPr>
          <w:p w14:paraId="21D79809" w14:textId="77777777" w:rsidR="00B35BBA" w:rsidRPr="009D3B53" w:rsidRDefault="00B35BBA" w:rsidP="00B35BBA">
            <w:pPr>
              <w:spacing w:after="120"/>
              <w:ind w:left="851"/>
              <w:jc w:val="both"/>
              <w:rPr>
                <w:b/>
                <w:sz w:val="18"/>
                <w:szCs w:val="18"/>
              </w:rPr>
            </w:pPr>
            <w:r w:rsidRPr="009D3B53">
              <w:rPr>
                <w:sz w:val="18"/>
                <w:szCs w:val="18"/>
              </w:rPr>
              <w:t>Name</w:t>
            </w:r>
          </w:p>
        </w:tc>
        <w:tc>
          <w:tcPr>
            <w:tcW w:w="7198" w:type="dxa"/>
            <w:tcBorders>
              <w:top w:val="nil"/>
              <w:left w:val="single" w:sz="4" w:space="0" w:color="auto"/>
              <w:bottom w:val="nil"/>
              <w:right w:val="nil"/>
            </w:tcBorders>
            <w:shd w:val="clear" w:color="auto" w:fill="auto"/>
          </w:tcPr>
          <w:p w14:paraId="5579F2D7" w14:textId="07396EA0" w:rsidR="00B35BBA" w:rsidRDefault="00B35BBA" w:rsidP="00B35BBA">
            <w:pPr>
              <w:ind w:left="210"/>
              <w:rPr>
                <w:b/>
                <w:spacing w:val="-3"/>
              </w:rPr>
            </w:pPr>
            <w:r w:rsidRPr="009D3B53">
              <w:rPr>
                <w:b/>
                <w:spacing w:val="-3"/>
              </w:rPr>
              <w:t xml:space="preserve">The Honourable </w:t>
            </w:r>
            <w:r w:rsidR="001B4922">
              <w:rPr>
                <w:b/>
                <w:spacing w:val="-3"/>
              </w:rPr>
              <w:t>Mark Butler</w:t>
            </w:r>
            <w:r w:rsidRPr="009D3B53">
              <w:rPr>
                <w:b/>
                <w:spacing w:val="-3"/>
              </w:rPr>
              <w:t xml:space="preserve"> MP</w:t>
            </w:r>
            <w:r w:rsidR="00212C19">
              <w:rPr>
                <w:b/>
                <w:spacing w:val="-3"/>
              </w:rPr>
              <w:t>,</w:t>
            </w:r>
            <w:r w:rsidRPr="009D3B53">
              <w:rPr>
                <w:b/>
                <w:spacing w:val="-3"/>
              </w:rPr>
              <w:t xml:space="preserve"> Minister </w:t>
            </w:r>
            <w:r>
              <w:rPr>
                <w:b/>
                <w:spacing w:val="-3"/>
              </w:rPr>
              <w:t>f</w:t>
            </w:r>
            <w:r w:rsidRPr="009D3B53">
              <w:rPr>
                <w:b/>
                <w:spacing w:val="-3"/>
              </w:rPr>
              <w:t>or Health</w:t>
            </w:r>
            <w:r w:rsidR="001B4922">
              <w:rPr>
                <w:b/>
                <w:spacing w:val="-3"/>
              </w:rPr>
              <w:t xml:space="preserve"> and Aged Care</w:t>
            </w:r>
            <w:r w:rsidRPr="009D3B53">
              <w:rPr>
                <w:spacing w:val="-3"/>
              </w:rPr>
              <w:t xml:space="preserve"> </w:t>
            </w:r>
            <w:r w:rsidRPr="00A405F7">
              <w:rPr>
                <w:spacing w:val="-3"/>
              </w:rPr>
              <w:t>on</w:t>
            </w:r>
            <w:r>
              <w:rPr>
                <w:spacing w:val="-3"/>
              </w:rPr>
              <w:t> </w:t>
            </w:r>
            <w:r w:rsidRPr="009D3B53">
              <w:rPr>
                <w:spacing w:val="-3"/>
              </w:rPr>
              <w:t xml:space="preserve">behalf of the </w:t>
            </w:r>
            <w:r w:rsidRPr="009D3B53">
              <w:rPr>
                <w:b/>
                <w:spacing w:val="-3"/>
              </w:rPr>
              <w:t>Commonwealth of Australia</w:t>
            </w:r>
          </w:p>
          <w:p w14:paraId="66F05022" w14:textId="027173F3" w:rsidR="008662DD" w:rsidRPr="009D3B53" w:rsidRDefault="008662DD" w:rsidP="00B35BBA">
            <w:pPr>
              <w:ind w:left="210"/>
              <w:rPr>
                <w:b/>
                <w:spacing w:val="-3"/>
              </w:rPr>
            </w:pPr>
          </w:p>
        </w:tc>
      </w:tr>
      <w:tr w:rsidR="008662DD" w:rsidRPr="009D3B53" w14:paraId="44AB9194" w14:textId="77777777" w:rsidTr="00072C9B">
        <w:tc>
          <w:tcPr>
            <w:tcW w:w="2088" w:type="dxa"/>
            <w:tcBorders>
              <w:top w:val="nil"/>
              <w:left w:val="nil"/>
              <w:bottom w:val="nil"/>
              <w:right w:val="single" w:sz="4" w:space="0" w:color="auto"/>
            </w:tcBorders>
            <w:shd w:val="clear" w:color="auto" w:fill="auto"/>
          </w:tcPr>
          <w:p w14:paraId="1DA19720" w14:textId="3BE4B67D" w:rsidR="008662DD" w:rsidRPr="009D3B53" w:rsidRDefault="008662DD" w:rsidP="008662DD">
            <w:pPr>
              <w:spacing w:before="120" w:after="120"/>
              <w:ind w:left="851"/>
              <w:rPr>
                <w:sz w:val="18"/>
                <w:szCs w:val="18"/>
              </w:rPr>
            </w:pPr>
            <w:r>
              <w:rPr>
                <w:sz w:val="18"/>
                <w:szCs w:val="18"/>
              </w:rPr>
              <w:t>Address for notices</w:t>
            </w:r>
          </w:p>
        </w:tc>
        <w:tc>
          <w:tcPr>
            <w:tcW w:w="7198" w:type="dxa"/>
            <w:tcBorders>
              <w:top w:val="nil"/>
              <w:left w:val="single" w:sz="4" w:space="0" w:color="auto"/>
              <w:bottom w:val="nil"/>
              <w:right w:val="nil"/>
            </w:tcBorders>
            <w:shd w:val="clear" w:color="auto" w:fill="auto"/>
          </w:tcPr>
          <w:p w14:paraId="1B849E19" w14:textId="0570D0CD" w:rsidR="008662DD" w:rsidRDefault="008662DD" w:rsidP="008662DD">
            <w:pPr>
              <w:pStyle w:val="BodyIndent2"/>
              <w:keepNext/>
              <w:keepLines/>
              <w:spacing w:before="120"/>
              <w:ind w:left="209"/>
            </w:pPr>
            <w:r w:rsidRPr="009D3B53">
              <w:t>First Assistant Secretary</w:t>
            </w:r>
            <w:r>
              <w:br/>
              <w:t>Technology Assessment and Access</w:t>
            </w:r>
            <w:r w:rsidRPr="009D3B53">
              <w:t xml:space="preserve"> Division</w:t>
            </w:r>
            <w:r>
              <w:br/>
              <w:t>Department of Health</w:t>
            </w:r>
            <w:r w:rsidR="001B4922">
              <w:t xml:space="preserve"> and Aged Care</w:t>
            </w:r>
            <w:r w:rsidRPr="009D3B53">
              <w:t xml:space="preserve"> </w:t>
            </w:r>
            <w:r>
              <w:br/>
              <w:t xml:space="preserve">Email: </w:t>
            </w:r>
            <w:r w:rsidR="005B1D7B">
              <w:rPr>
                <w:rStyle w:val="Hyperlink"/>
              </w:rPr>
              <w:t>duncan.mcintyre@health.gov.au</w:t>
            </w:r>
          </w:p>
          <w:p w14:paraId="38F6B414" w14:textId="77777777" w:rsidR="008662DD" w:rsidRDefault="008662DD" w:rsidP="008662DD">
            <w:pPr>
              <w:pStyle w:val="BodyIndent2"/>
              <w:keepNext/>
              <w:ind w:left="209"/>
            </w:pPr>
            <w:r w:rsidRPr="005C0514">
              <w:t>MDP 900</w:t>
            </w:r>
            <w:r w:rsidRPr="005C0514">
              <w:br/>
              <w:t>GPO Box 9848</w:t>
            </w:r>
            <w:r w:rsidRPr="005C0514">
              <w:br/>
            </w:r>
            <w:proofErr w:type="gramStart"/>
            <w:r w:rsidRPr="005C0514">
              <w:t>CANBERRA  ACT</w:t>
            </w:r>
            <w:proofErr w:type="gramEnd"/>
            <w:r w:rsidRPr="005C0514">
              <w:t xml:space="preserve">  2601</w:t>
            </w:r>
            <w:r>
              <w:br/>
            </w:r>
          </w:p>
          <w:p w14:paraId="5B2F67BD" w14:textId="26A5929F" w:rsidR="00072C9B" w:rsidRPr="008662DD" w:rsidRDefault="00072C9B" w:rsidP="008662DD">
            <w:pPr>
              <w:pStyle w:val="BodyIndent2"/>
              <w:keepNext/>
              <w:ind w:left="209"/>
            </w:pPr>
          </w:p>
        </w:tc>
      </w:tr>
    </w:tbl>
    <w:p w14:paraId="51D1979B" w14:textId="168DE6A4" w:rsidR="00B35BBA" w:rsidRDefault="00B35BBA" w:rsidP="00B35BBA"/>
    <w:p w14:paraId="5CD5D61A" w14:textId="77777777" w:rsidR="00072C9B" w:rsidRPr="009D3B53" w:rsidRDefault="00072C9B" w:rsidP="00B35BBA"/>
    <w:p w14:paraId="70B2065F" w14:textId="77777777" w:rsidR="00B35BBA" w:rsidRPr="009D3B53" w:rsidRDefault="00B35BBA" w:rsidP="00B35BBA"/>
    <w:tbl>
      <w:tblPr>
        <w:tblW w:w="0" w:type="auto"/>
        <w:tblInd w:w="-851" w:type="dxa"/>
        <w:tblLook w:val="01E0" w:firstRow="1" w:lastRow="1" w:firstColumn="1" w:lastColumn="1" w:noHBand="0" w:noVBand="0"/>
      </w:tblPr>
      <w:tblGrid>
        <w:gridCol w:w="2075"/>
        <w:gridCol w:w="6995"/>
      </w:tblGrid>
      <w:tr w:rsidR="00B35BBA" w:rsidRPr="009D3B53" w14:paraId="6F37B646" w14:textId="77777777" w:rsidTr="00072C9B">
        <w:tc>
          <w:tcPr>
            <w:tcW w:w="2075" w:type="dxa"/>
            <w:tcBorders>
              <w:top w:val="nil"/>
              <w:left w:val="nil"/>
              <w:bottom w:val="nil"/>
              <w:right w:val="single" w:sz="4" w:space="0" w:color="auto"/>
            </w:tcBorders>
            <w:shd w:val="clear" w:color="auto" w:fill="auto"/>
          </w:tcPr>
          <w:p w14:paraId="78AB6E62" w14:textId="77777777" w:rsidR="00B35BBA" w:rsidRPr="009D3B53" w:rsidRDefault="00B35BBA" w:rsidP="00B35BBA">
            <w:pPr>
              <w:spacing w:after="120"/>
              <w:ind w:left="851"/>
              <w:jc w:val="both"/>
              <w:rPr>
                <w:b/>
                <w:sz w:val="18"/>
                <w:szCs w:val="18"/>
              </w:rPr>
            </w:pPr>
            <w:r w:rsidRPr="009D3B53">
              <w:rPr>
                <w:sz w:val="18"/>
                <w:szCs w:val="18"/>
              </w:rPr>
              <w:t>Name</w:t>
            </w:r>
          </w:p>
        </w:tc>
        <w:tc>
          <w:tcPr>
            <w:tcW w:w="6995" w:type="dxa"/>
            <w:tcBorders>
              <w:top w:val="nil"/>
              <w:left w:val="single" w:sz="4" w:space="0" w:color="auto"/>
              <w:bottom w:val="nil"/>
              <w:right w:val="nil"/>
            </w:tcBorders>
            <w:shd w:val="clear" w:color="auto" w:fill="auto"/>
          </w:tcPr>
          <w:p w14:paraId="4AB45018" w14:textId="68AF0B21" w:rsidR="00B35BBA" w:rsidRDefault="00B35BBA" w:rsidP="00B35BBA">
            <w:pPr>
              <w:ind w:left="210"/>
              <w:rPr>
                <w:b/>
                <w:spacing w:val="-3"/>
              </w:rPr>
            </w:pPr>
            <w:bookmarkStart w:id="581" w:name="_Hlk39924838"/>
            <w:r w:rsidRPr="009D3B53">
              <w:rPr>
                <w:b/>
                <w:spacing w:val="-3"/>
              </w:rPr>
              <w:t xml:space="preserve">The </w:t>
            </w:r>
            <w:bookmarkEnd w:id="581"/>
            <w:r w:rsidR="001B4922">
              <w:rPr>
                <w:b/>
                <w:spacing w:val="-3"/>
              </w:rPr>
              <w:t>National Pharmaceutical Services Association</w:t>
            </w:r>
            <w:r w:rsidR="00B74886">
              <w:rPr>
                <w:b/>
                <w:spacing w:val="-3"/>
              </w:rPr>
              <w:t xml:space="preserve"> Limited</w:t>
            </w:r>
          </w:p>
          <w:p w14:paraId="63B699D0" w14:textId="5E6458EC" w:rsidR="008662DD" w:rsidRPr="009D3B53" w:rsidRDefault="008662DD" w:rsidP="00B35BBA">
            <w:pPr>
              <w:ind w:left="210"/>
              <w:rPr>
                <w:b/>
                <w:spacing w:val="-3"/>
              </w:rPr>
            </w:pPr>
          </w:p>
        </w:tc>
      </w:tr>
      <w:tr w:rsidR="008662DD" w:rsidRPr="009D3B53" w14:paraId="14ED70C5" w14:textId="77777777" w:rsidTr="00072C9B">
        <w:tc>
          <w:tcPr>
            <w:tcW w:w="2075" w:type="dxa"/>
            <w:tcBorders>
              <w:top w:val="nil"/>
              <w:left w:val="nil"/>
              <w:bottom w:val="nil"/>
              <w:right w:val="single" w:sz="4" w:space="0" w:color="auto"/>
            </w:tcBorders>
            <w:shd w:val="clear" w:color="auto" w:fill="auto"/>
          </w:tcPr>
          <w:p w14:paraId="15D67116" w14:textId="5132FD7C" w:rsidR="008662DD" w:rsidRPr="009D3B53" w:rsidRDefault="008662DD" w:rsidP="008662DD">
            <w:pPr>
              <w:spacing w:after="120"/>
              <w:ind w:left="851"/>
              <w:rPr>
                <w:sz w:val="18"/>
                <w:szCs w:val="18"/>
              </w:rPr>
            </w:pPr>
            <w:r>
              <w:rPr>
                <w:sz w:val="18"/>
                <w:szCs w:val="18"/>
              </w:rPr>
              <w:t>Address for notices</w:t>
            </w:r>
          </w:p>
        </w:tc>
        <w:tc>
          <w:tcPr>
            <w:tcW w:w="6995" w:type="dxa"/>
            <w:tcBorders>
              <w:top w:val="nil"/>
              <w:left w:val="single" w:sz="4" w:space="0" w:color="auto"/>
              <w:bottom w:val="nil"/>
              <w:right w:val="nil"/>
            </w:tcBorders>
            <w:shd w:val="clear" w:color="auto" w:fill="auto"/>
          </w:tcPr>
          <w:p w14:paraId="6967CBE1" w14:textId="77777777" w:rsidR="003947A9" w:rsidRDefault="00A94D95" w:rsidP="008662DD">
            <w:pPr>
              <w:pStyle w:val="BodyIndent2"/>
              <w:keepNext/>
              <w:keepLines/>
              <w:spacing w:before="0"/>
              <w:ind w:left="232"/>
            </w:pPr>
            <w:r>
              <w:t xml:space="preserve">Elizabeth Cuming </w:t>
            </w:r>
          </w:p>
          <w:p w14:paraId="295DC421" w14:textId="61433282" w:rsidR="00072C9B" w:rsidRDefault="005B1D7B" w:rsidP="008662DD">
            <w:pPr>
              <w:pStyle w:val="BodyIndent2"/>
              <w:keepNext/>
              <w:keepLines/>
              <w:spacing w:before="0"/>
              <w:ind w:left="232"/>
            </w:pPr>
            <w:hyperlink r:id="rId18" w:history="1">
              <w:r w:rsidRPr="00EE3679">
                <w:rPr>
                  <w:rStyle w:val="Hyperlink"/>
                </w:rPr>
                <w:t>elizabeth@npsa.org.au</w:t>
              </w:r>
            </w:hyperlink>
            <w:r>
              <w:t xml:space="preserve"> </w:t>
            </w:r>
            <w:r w:rsidR="00A94D95">
              <w:rPr>
                <w:highlight w:val="yellow"/>
              </w:rPr>
              <w:t xml:space="preserve"> </w:t>
            </w:r>
            <w:r w:rsidR="001B4922" w:rsidRPr="001B4922">
              <w:rPr>
                <w:highlight w:val="yellow"/>
              </w:rPr>
              <w:t xml:space="preserve"> </w:t>
            </w:r>
          </w:p>
          <w:p w14:paraId="3DEDE47C" w14:textId="77777777" w:rsidR="00A94D95" w:rsidRDefault="00A94D95" w:rsidP="008662DD">
            <w:pPr>
              <w:pStyle w:val="BodyIndent2"/>
              <w:keepNext/>
              <w:keepLines/>
              <w:spacing w:before="0"/>
              <w:ind w:left="232"/>
            </w:pPr>
          </w:p>
          <w:p w14:paraId="2AB8883F" w14:textId="0995CC86" w:rsidR="00A94D95" w:rsidRDefault="00A94D95" w:rsidP="008662DD">
            <w:pPr>
              <w:pStyle w:val="BodyIndent2"/>
              <w:keepNext/>
              <w:keepLines/>
              <w:spacing w:before="0"/>
              <w:ind w:left="232"/>
            </w:pPr>
            <w:r>
              <w:t>73 Liddiard Street Hawthorn Vic 3122</w:t>
            </w:r>
          </w:p>
          <w:p w14:paraId="5EBD081F" w14:textId="69FF8852" w:rsidR="00072C9B" w:rsidRPr="009D3B53" w:rsidRDefault="008662DD" w:rsidP="00A94D95">
            <w:pPr>
              <w:pStyle w:val="BodyIndent2"/>
              <w:ind w:left="232"/>
              <w:rPr>
                <w:b/>
              </w:rPr>
            </w:pPr>
            <w:r>
              <w:br/>
            </w:r>
          </w:p>
        </w:tc>
      </w:tr>
    </w:tbl>
    <w:p w14:paraId="07526A02" w14:textId="77777777" w:rsidR="00263053" w:rsidRDefault="00263053"/>
    <w:p w14:paraId="54005FF5" w14:textId="77777777" w:rsidR="004855A6" w:rsidRDefault="004855A6" w:rsidP="004855A6">
      <w:r>
        <w:br w:type="page"/>
      </w:r>
    </w:p>
    <w:p w14:paraId="2D6E2873" w14:textId="77777777" w:rsidR="004855A6" w:rsidRPr="005A5FD0" w:rsidRDefault="004855A6" w:rsidP="004855A6">
      <w:pPr>
        <w:pStyle w:val="legalPart"/>
        <w:rPr>
          <w:rStyle w:val="IntenseReference"/>
          <w:b/>
          <w:bCs w:val="0"/>
          <w:i w:val="0"/>
          <w:smallCaps w:val="0"/>
          <w:color w:val="82002A"/>
          <w:spacing w:val="0"/>
        </w:rPr>
        <w:sectPr w:rsidR="004855A6" w:rsidRPr="005A5FD0" w:rsidSect="00F42B88">
          <w:pgSz w:w="11906" w:h="16838" w:code="9"/>
          <w:pgMar w:top="1276" w:right="1418" w:bottom="1134" w:left="1418" w:header="567" w:footer="659" w:gutter="0"/>
          <w:cols w:space="708"/>
          <w:docGrid w:linePitch="360"/>
        </w:sectPr>
      </w:pPr>
    </w:p>
    <w:p w14:paraId="76129393" w14:textId="1BDA9A98" w:rsidR="004855A6" w:rsidRDefault="004855A6" w:rsidP="007F2426">
      <w:pPr>
        <w:pStyle w:val="mainTitle"/>
        <w:spacing w:before="120" w:after="120"/>
      </w:pPr>
      <w:bookmarkStart w:id="582" w:name="_Toc185417687"/>
      <w:r>
        <w:lastRenderedPageBreak/>
        <w:t xml:space="preserve">Appendix B – </w:t>
      </w:r>
      <w:r w:rsidR="00351747" w:rsidRPr="00351747">
        <w:t xml:space="preserve">Estimated CSO </w:t>
      </w:r>
      <w:r w:rsidR="00C067CA">
        <w:t>Pool Value</w:t>
      </w:r>
      <w:r w:rsidR="00351747" w:rsidRPr="00351747">
        <w:t xml:space="preserve"> over </w:t>
      </w:r>
      <w:r w:rsidR="00351747">
        <w:t xml:space="preserve">the Agreement </w:t>
      </w:r>
      <w:r w:rsidR="00351747" w:rsidRPr="00351747">
        <w:t>Term</w:t>
      </w:r>
      <w:bookmarkEnd w:id="582"/>
    </w:p>
    <w:p w14:paraId="15EC4CEE" w14:textId="77777777" w:rsidR="00807494" w:rsidRDefault="00807494" w:rsidP="00807494">
      <w:pPr>
        <w:pStyle w:val="BodyText"/>
        <w:spacing w:before="7"/>
        <w:ind w:left="0"/>
        <w:rPr>
          <w:sz w:val="4"/>
        </w:rPr>
      </w:pPr>
    </w:p>
    <w:tbl>
      <w:tblPr>
        <w:tblW w:w="14175"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276"/>
        <w:gridCol w:w="2126"/>
        <w:gridCol w:w="1795"/>
        <w:gridCol w:w="1796"/>
        <w:gridCol w:w="1795"/>
        <w:gridCol w:w="1796"/>
        <w:gridCol w:w="1795"/>
        <w:gridCol w:w="1796"/>
      </w:tblGrid>
      <w:tr w:rsidR="00AD22C5" w:rsidRPr="00185C2E" w14:paraId="44F0653A" w14:textId="6FF1A15F" w:rsidTr="00AD22C5">
        <w:trPr>
          <w:trHeight w:val="543"/>
        </w:trPr>
        <w:tc>
          <w:tcPr>
            <w:tcW w:w="1276" w:type="dxa"/>
            <w:tcBorders>
              <w:top w:val="nil"/>
              <w:bottom w:val="single" w:sz="24" w:space="0" w:color="FFFFFF"/>
              <w:tl2br w:val="single" w:sz="4" w:space="0" w:color="auto"/>
            </w:tcBorders>
            <w:shd w:val="clear" w:color="auto" w:fill="155F82"/>
          </w:tcPr>
          <w:p w14:paraId="62E1DCAF" w14:textId="457E7F58" w:rsidR="00AD22C5" w:rsidRPr="00185C2E" w:rsidRDefault="00AD22C5" w:rsidP="00CD1BAE">
            <w:pPr>
              <w:pStyle w:val="TableParagraph"/>
              <w:spacing w:before="40" w:after="40"/>
              <w:ind w:left="134"/>
              <w:rPr>
                <w:rFonts w:asciiTheme="minorHAnsi" w:hAnsiTheme="minorHAnsi" w:cstheme="minorHAnsi"/>
                <w:sz w:val="24"/>
                <w:szCs w:val="24"/>
              </w:rPr>
            </w:pPr>
            <w:r w:rsidRPr="00185C2E">
              <w:rPr>
                <w:rFonts w:asciiTheme="minorHAnsi" w:hAnsiTheme="minorHAnsi" w:cstheme="minorHAnsi"/>
                <w:sz w:val="24"/>
                <w:szCs w:val="24"/>
              </w:rPr>
              <w:t xml:space="preserve">       </w:t>
            </w:r>
            <w:r w:rsidRPr="00185C2E">
              <w:rPr>
                <w:rFonts w:asciiTheme="minorHAnsi" w:hAnsiTheme="minorHAnsi" w:cstheme="minorHAnsi"/>
                <w:b/>
                <w:bCs/>
                <w:color w:val="FFFFFF" w:themeColor="background1"/>
                <w:sz w:val="24"/>
                <w:szCs w:val="24"/>
              </w:rPr>
              <w:t>Year</w:t>
            </w:r>
          </w:p>
          <w:p w14:paraId="254FF8E4" w14:textId="7EA9474A" w:rsidR="00AD22C5" w:rsidRPr="00185C2E" w:rsidRDefault="00185C2E" w:rsidP="00CD1BAE">
            <w:pPr>
              <w:pStyle w:val="TableParagraph"/>
              <w:spacing w:before="40" w:after="40"/>
              <w:ind w:left="134"/>
              <w:rPr>
                <w:rFonts w:asciiTheme="minorHAnsi" w:hAnsiTheme="minorHAnsi" w:cstheme="minorHAnsi"/>
                <w:b/>
                <w:bCs/>
                <w:sz w:val="24"/>
                <w:szCs w:val="24"/>
              </w:rPr>
            </w:pPr>
            <w:r w:rsidRPr="00185C2E">
              <w:rPr>
                <w:rFonts w:asciiTheme="minorHAnsi" w:hAnsiTheme="minorHAnsi" w:cstheme="minorHAnsi"/>
                <w:b/>
                <w:bCs/>
                <w:color w:val="FFFFFF" w:themeColor="background1"/>
                <w:sz w:val="24"/>
                <w:szCs w:val="24"/>
              </w:rPr>
              <w:t>Code</w:t>
            </w:r>
          </w:p>
        </w:tc>
        <w:tc>
          <w:tcPr>
            <w:tcW w:w="2126" w:type="dxa"/>
            <w:tcBorders>
              <w:top w:val="nil"/>
              <w:bottom w:val="single" w:sz="24" w:space="0" w:color="FFFFFF"/>
            </w:tcBorders>
            <w:shd w:val="clear" w:color="auto" w:fill="155F82"/>
          </w:tcPr>
          <w:p w14:paraId="080BFFAC" w14:textId="3381A7CE" w:rsidR="00AD22C5" w:rsidRPr="00185C2E" w:rsidRDefault="00185C2E" w:rsidP="00CD1BAE">
            <w:pPr>
              <w:pStyle w:val="TableParagraph"/>
              <w:spacing w:before="40" w:after="40"/>
              <w:ind w:left="134"/>
              <w:rPr>
                <w:rFonts w:asciiTheme="minorHAnsi" w:hAnsiTheme="minorHAnsi" w:cstheme="minorHAnsi"/>
                <w:b/>
                <w:sz w:val="24"/>
                <w:szCs w:val="24"/>
              </w:rPr>
            </w:pPr>
            <w:r w:rsidRPr="00185C2E">
              <w:rPr>
                <w:rFonts w:asciiTheme="minorHAnsi" w:hAnsiTheme="minorHAnsi" w:cstheme="minorHAnsi"/>
                <w:b/>
                <w:color w:val="FFFFFF" w:themeColor="background1"/>
                <w:sz w:val="24"/>
                <w:szCs w:val="24"/>
              </w:rPr>
              <w:t>ITEM</w:t>
            </w:r>
          </w:p>
        </w:tc>
        <w:tc>
          <w:tcPr>
            <w:tcW w:w="1795" w:type="dxa"/>
            <w:tcBorders>
              <w:top w:val="nil"/>
              <w:bottom w:val="single" w:sz="24" w:space="0" w:color="FFFFFF"/>
            </w:tcBorders>
            <w:shd w:val="clear" w:color="auto" w:fill="155F82"/>
          </w:tcPr>
          <w:p w14:paraId="1EA43A74" w14:textId="3AFD34CF" w:rsidR="00AD22C5" w:rsidRPr="00185C2E" w:rsidRDefault="00AD22C5" w:rsidP="00CD1BAE">
            <w:pPr>
              <w:pStyle w:val="TableParagraph"/>
              <w:spacing w:before="40" w:after="40"/>
              <w:ind w:left="134"/>
              <w:rPr>
                <w:rFonts w:asciiTheme="minorHAnsi" w:hAnsiTheme="minorHAnsi" w:cstheme="minorHAnsi"/>
                <w:b/>
                <w:sz w:val="24"/>
                <w:szCs w:val="24"/>
              </w:rPr>
            </w:pPr>
            <w:r w:rsidRPr="00185C2E">
              <w:rPr>
                <w:rFonts w:asciiTheme="minorHAnsi" w:hAnsiTheme="minorHAnsi" w:cstheme="minorHAnsi"/>
                <w:b/>
                <w:color w:val="FFFFFF"/>
                <w:w w:val="105"/>
                <w:sz w:val="24"/>
                <w:szCs w:val="24"/>
              </w:rPr>
              <w:t>2024-25</w:t>
            </w:r>
            <w:r w:rsidRPr="00185C2E">
              <w:rPr>
                <w:rFonts w:asciiTheme="minorHAnsi" w:hAnsiTheme="minorHAnsi" w:cstheme="minorHAnsi"/>
                <w:b/>
                <w:color w:val="FFFFFF"/>
                <w:spacing w:val="-13"/>
                <w:w w:val="105"/>
                <w:sz w:val="24"/>
                <w:szCs w:val="24"/>
              </w:rPr>
              <w:t xml:space="preserve"> </w:t>
            </w:r>
            <w:r w:rsidRPr="00185C2E">
              <w:rPr>
                <w:rFonts w:asciiTheme="minorHAnsi" w:hAnsiTheme="minorHAnsi" w:cstheme="minorHAnsi"/>
                <w:b/>
                <w:color w:val="FFFFFF"/>
                <w:spacing w:val="-5"/>
                <w:w w:val="105"/>
                <w:sz w:val="24"/>
                <w:szCs w:val="24"/>
              </w:rPr>
              <w:t>H2</w:t>
            </w:r>
          </w:p>
        </w:tc>
        <w:tc>
          <w:tcPr>
            <w:tcW w:w="1796" w:type="dxa"/>
            <w:tcBorders>
              <w:top w:val="nil"/>
              <w:bottom w:val="single" w:sz="24" w:space="0" w:color="FFFFFF"/>
            </w:tcBorders>
            <w:shd w:val="clear" w:color="auto" w:fill="155F82"/>
          </w:tcPr>
          <w:p w14:paraId="1D632479" w14:textId="41F88619" w:rsidR="00AD22C5" w:rsidRPr="00185C2E" w:rsidRDefault="00AD22C5" w:rsidP="00CD1BAE">
            <w:pPr>
              <w:pStyle w:val="TableParagraph"/>
              <w:spacing w:before="40" w:after="40"/>
              <w:ind w:left="134"/>
              <w:rPr>
                <w:rFonts w:asciiTheme="minorHAnsi" w:hAnsiTheme="minorHAnsi" w:cstheme="minorHAnsi"/>
                <w:b/>
                <w:sz w:val="24"/>
                <w:szCs w:val="24"/>
              </w:rPr>
            </w:pPr>
            <w:r w:rsidRPr="00185C2E">
              <w:rPr>
                <w:rFonts w:asciiTheme="minorHAnsi" w:hAnsiTheme="minorHAnsi" w:cstheme="minorHAnsi"/>
                <w:b/>
                <w:color w:val="FFFFFF"/>
                <w:spacing w:val="-2"/>
                <w:w w:val="105"/>
                <w:sz w:val="24"/>
                <w:szCs w:val="24"/>
              </w:rPr>
              <w:t>2025-</w:t>
            </w:r>
            <w:r w:rsidRPr="00185C2E">
              <w:rPr>
                <w:rFonts w:asciiTheme="minorHAnsi" w:hAnsiTheme="minorHAnsi" w:cstheme="minorHAnsi"/>
                <w:b/>
                <w:color w:val="FFFFFF"/>
                <w:spacing w:val="-5"/>
                <w:w w:val="105"/>
                <w:sz w:val="24"/>
                <w:szCs w:val="24"/>
              </w:rPr>
              <w:t>26</w:t>
            </w:r>
          </w:p>
        </w:tc>
        <w:tc>
          <w:tcPr>
            <w:tcW w:w="1795" w:type="dxa"/>
            <w:tcBorders>
              <w:top w:val="nil"/>
              <w:bottom w:val="single" w:sz="24" w:space="0" w:color="FFFFFF"/>
            </w:tcBorders>
            <w:shd w:val="clear" w:color="auto" w:fill="155F82"/>
          </w:tcPr>
          <w:p w14:paraId="7F7AEF80" w14:textId="10906915" w:rsidR="00AD22C5" w:rsidRPr="00185C2E" w:rsidRDefault="00AD22C5" w:rsidP="00CD1BAE">
            <w:pPr>
              <w:pStyle w:val="TableParagraph"/>
              <w:spacing w:before="40" w:after="40"/>
              <w:ind w:left="134"/>
              <w:rPr>
                <w:rFonts w:asciiTheme="minorHAnsi" w:hAnsiTheme="minorHAnsi" w:cstheme="minorHAnsi"/>
                <w:b/>
                <w:sz w:val="24"/>
                <w:szCs w:val="24"/>
              </w:rPr>
            </w:pPr>
            <w:r w:rsidRPr="00185C2E">
              <w:rPr>
                <w:rFonts w:asciiTheme="minorHAnsi" w:hAnsiTheme="minorHAnsi" w:cstheme="minorHAnsi"/>
                <w:b/>
                <w:color w:val="FFFFFF"/>
                <w:spacing w:val="-2"/>
                <w:w w:val="105"/>
                <w:sz w:val="24"/>
                <w:szCs w:val="24"/>
              </w:rPr>
              <w:t>2026-</w:t>
            </w:r>
            <w:r w:rsidRPr="00185C2E">
              <w:rPr>
                <w:rFonts w:asciiTheme="minorHAnsi" w:hAnsiTheme="minorHAnsi" w:cstheme="minorHAnsi"/>
                <w:b/>
                <w:color w:val="FFFFFF"/>
                <w:spacing w:val="-5"/>
                <w:w w:val="105"/>
                <w:sz w:val="24"/>
                <w:szCs w:val="24"/>
              </w:rPr>
              <w:t>27</w:t>
            </w:r>
          </w:p>
        </w:tc>
        <w:tc>
          <w:tcPr>
            <w:tcW w:w="1796" w:type="dxa"/>
            <w:tcBorders>
              <w:top w:val="nil"/>
              <w:bottom w:val="single" w:sz="24" w:space="0" w:color="FFFFFF"/>
            </w:tcBorders>
            <w:shd w:val="clear" w:color="auto" w:fill="155F82"/>
          </w:tcPr>
          <w:p w14:paraId="2A42EE86" w14:textId="6C6564E9" w:rsidR="00AD22C5" w:rsidRPr="00185C2E" w:rsidRDefault="00AD22C5" w:rsidP="00CD1BAE">
            <w:pPr>
              <w:pStyle w:val="TableParagraph"/>
              <w:spacing w:before="40" w:after="40"/>
              <w:ind w:left="134"/>
              <w:rPr>
                <w:rFonts w:asciiTheme="minorHAnsi" w:hAnsiTheme="minorHAnsi" w:cstheme="minorHAnsi"/>
                <w:b/>
                <w:sz w:val="24"/>
                <w:szCs w:val="24"/>
              </w:rPr>
            </w:pPr>
            <w:r w:rsidRPr="00185C2E">
              <w:rPr>
                <w:rFonts w:asciiTheme="minorHAnsi" w:hAnsiTheme="minorHAnsi" w:cstheme="minorHAnsi"/>
                <w:b/>
                <w:color w:val="FFFFFF"/>
                <w:spacing w:val="-2"/>
                <w:w w:val="105"/>
                <w:sz w:val="24"/>
                <w:szCs w:val="24"/>
              </w:rPr>
              <w:t>2027-</w:t>
            </w:r>
            <w:r w:rsidRPr="00185C2E">
              <w:rPr>
                <w:rFonts w:asciiTheme="minorHAnsi" w:hAnsiTheme="minorHAnsi" w:cstheme="minorHAnsi"/>
                <w:b/>
                <w:color w:val="FFFFFF"/>
                <w:spacing w:val="-5"/>
                <w:w w:val="105"/>
                <w:sz w:val="24"/>
                <w:szCs w:val="24"/>
              </w:rPr>
              <w:t>28</w:t>
            </w:r>
          </w:p>
        </w:tc>
        <w:tc>
          <w:tcPr>
            <w:tcW w:w="1795" w:type="dxa"/>
            <w:tcBorders>
              <w:top w:val="nil"/>
              <w:bottom w:val="single" w:sz="24" w:space="0" w:color="FFFFFF"/>
            </w:tcBorders>
            <w:shd w:val="clear" w:color="auto" w:fill="155F82"/>
          </w:tcPr>
          <w:p w14:paraId="64C5493E" w14:textId="559EB52D" w:rsidR="00AD22C5" w:rsidRPr="00185C2E" w:rsidRDefault="00AD22C5" w:rsidP="00CD1BAE">
            <w:pPr>
              <w:pStyle w:val="TableParagraph"/>
              <w:spacing w:before="40" w:after="40"/>
              <w:ind w:left="134"/>
              <w:rPr>
                <w:rFonts w:asciiTheme="minorHAnsi" w:hAnsiTheme="minorHAnsi" w:cstheme="minorHAnsi"/>
                <w:b/>
                <w:sz w:val="24"/>
                <w:szCs w:val="24"/>
              </w:rPr>
            </w:pPr>
            <w:r w:rsidRPr="00185C2E">
              <w:rPr>
                <w:rFonts w:asciiTheme="minorHAnsi" w:hAnsiTheme="minorHAnsi" w:cstheme="minorHAnsi"/>
                <w:b/>
                <w:color w:val="FFFFFF"/>
                <w:spacing w:val="-2"/>
                <w:w w:val="105"/>
                <w:sz w:val="24"/>
                <w:szCs w:val="24"/>
              </w:rPr>
              <w:t>2028-</w:t>
            </w:r>
            <w:r w:rsidRPr="00185C2E">
              <w:rPr>
                <w:rFonts w:asciiTheme="minorHAnsi" w:hAnsiTheme="minorHAnsi" w:cstheme="minorHAnsi"/>
                <w:b/>
                <w:color w:val="FFFFFF"/>
                <w:spacing w:val="-5"/>
                <w:w w:val="105"/>
                <w:sz w:val="24"/>
                <w:szCs w:val="24"/>
              </w:rPr>
              <w:t>29</w:t>
            </w:r>
          </w:p>
        </w:tc>
        <w:tc>
          <w:tcPr>
            <w:tcW w:w="1796" w:type="dxa"/>
            <w:tcBorders>
              <w:top w:val="nil"/>
              <w:bottom w:val="single" w:sz="24" w:space="0" w:color="FFFFFF"/>
            </w:tcBorders>
            <w:shd w:val="clear" w:color="auto" w:fill="155F82"/>
          </w:tcPr>
          <w:p w14:paraId="23C8A962" w14:textId="3DFFEB00" w:rsidR="00AD22C5" w:rsidRPr="00185C2E" w:rsidRDefault="00AD22C5" w:rsidP="00CD1BAE">
            <w:pPr>
              <w:pStyle w:val="TableParagraph"/>
              <w:spacing w:before="40" w:after="40"/>
              <w:ind w:left="134"/>
              <w:rPr>
                <w:rFonts w:asciiTheme="minorHAnsi" w:hAnsiTheme="minorHAnsi" w:cstheme="minorHAnsi"/>
                <w:b/>
                <w:color w:val="FFFFFF"/>
                <w:spacing w:val="-2"/>
                <w:w w:val="105"/>
                <w:sz w:val="24"/>
                <w:szCs w:val="24"/>
              </w:rPr>
            </w:pPr>
            <w:r w:rsidRPr="00185C2E">
              <w:rPr>
                <w:rFonts w:asciiTheme="minorHAnsi" w:hAnsiTheme="minorHAnsi" w:cstheme="minorHAnsi"/>
                <w:b/>
                <w:color w:val="FFFFFF"/>
                <w:spacing w:val="-2"/>
                <w:w w:val="105"/>
                <w:sz w:val="24"/>
                <w:szCs w:val="24"/>
              </w:rPr>
              <w:t>1/7</w:t>
            </w:r>
            <w:r w:rsidRPr="00185C2E">
              <w:rPr>
                <w:rFonts w:asciiTheme="minorHAnsi" w:hAnsiTheme="minorHAnsi" w:cstheme="minorHAnsi"/>
                <w:b/>
                <w:color w:val="FFFFFF"/>
                <w:spacing w:val="-5"/>
                <w:w w:val="105"/>
                <w:sz w:val="24"/>
                <w:szCs w:val="24"/>
              </w:rPr>
              <w:t>29-31/12/29</w:t>
            </w:r>
          </w:p>
        </w:tc>
      </w:tr>
      <w:tr w:rsidR="00AD22C5" w:rsidRPr="00185C2E" w14:paraId="2011BDDF" w14:textId="6416CF6B" w:rsidTr="00AD22C5">
        <w:trPr>
          <w:trHeight w:val="649"/>
        </w:trPr>
        <w:tc>
          <w:tcPr>
            <w:tcW w:w="1276" w:type="dxa"/>
            <w:tcBorders>
              <w:top w:val="single" w:sz="24" w:space="0" w:color="FFFFFF"/>
            </w:tcBorders>
            <w:shd w:val="clear" w:color="auto" w:fill="CCD2D7"/>
          </w:tcPr>
          <w:p w14:paraId="7C231A18" w14:textId="740F2481" w:rsidR="00AD22C5" w:rsidRPr="00185C2E" w:rsidRDefault="00AD22C5" w:rsidP="00CD1BAE">
            <w:pPr>
              <w:pStyle w:val="TableParagraph"/>
              <w:spacing w:before="60" w:after="60"/>
              <w:ind w:left="134"/>
              <w:rPr>
                <w:rFonts w:asciiTheme="minorHAnsi" w:hAnsiTheme="minorHAnsi" w:cstheme="minorHAnsi"/>
                <w:b/>
                <w:sz w:val="24"/>
                <w:szCs w:val="24"/>
              </w:rPr>
            </w:pPr>
            <w:r w:rsidRPr="00185C2E">
              <w:rPr>
                <w:rFonts w:asciiTheme="minorHAnsi" w:hAnsiTheme="minorHAnsi" w:cstheme="minorHAnsi"/>
                <w:b/>
                <w:sz w:val="24"/>
                <w:szCs w:val="24"/>
              </w:rPr>
              <w:t>CSO</w:t>
            </w:r>
          </w:p>
        </w:tc>
        <w:tc>
          <w:tcPr>
            <w:tcW w:w="2126" w:type="dxa"/>
            <w:tcBorders>
              <w:top w:val="single" w:sz="24" w:space="0" w:color="FFFFFF"/>
            </w:tcBorders>
            <w:shd w:val="clear" w:color="auto" w:fill="CCD2D7"/>
          </w:tcPr>
          <w:p w14:paraId="69AD1077" w14:textId="689388FF" w:rsidR="00AD22C5" w:rsidRPr="00185C2E" w:rsidRDefault="00AD22C5" w:rsidP="00CD1BAE">
            <w:pPr>
              <w:pStyle w:val="TableParagraph"/>
              <w:spacing w:before="60" w:after="60"/>
              <w:ind w:left="134"/>
              <w:rPr>
                <w:rFonts w:asciiTheme="minorHAnsi" w:hAnsiTheme="minorHAnsi" w:cstheme="minorHAnsi"/>
                <w:bCs/>
                <w:sz w:val="20"/>
                <w:szCs w:val="20"/>
              </w:rPr>
            </w:pPr>
            <w:r w:rsidRPr="00185C2E">
              <w:rPr>
                <w:rFonts w:asciiTheme="minorHAnsi" w:hAnsiTheme="minorHAnsi" w:cstheme="minorHAnsi"/>
                <w:bCs/>
                <w:sz w:val="20"/>
                <w:szCs w:val="20"/>
              </w:rPr>
              <w:t>Baseline CSO</w:t>
            </w:r>
          </w:p>
        </w:tc>
        <w:tc>
          <w:tcPr>
            <w:tcW w:w="1795" w:type="dxa"/>
            <w:tcBorders>
              <w:top w:val="single" w:sz="24" w:space="0" w:color="FFFFFF"/>
            </w:tcBorders>
            <w:shd w:val="clear" w:color="auto" w:fill="CCD2D7"/>
          </w:tcPr>
          <w:p w14:paraId="3233D7F4" w14:textId="0E30401F" w:rsidR="00AD22C5" w:rsidRPr="00185C2E" w:rsidRDefault="00AD22C5" w:rsidP="00CD1BAE">
            <w:pPr>
              <w:pStyle w:val="TableParagraph"/>
              <w:spacing w:before="60" w:after="60"/>
              <w:ind w:left="134"/>
              <w:jc w:val="center"/>
              <w:rPr>
                <w:rFonts w:asciiTheme="minorHAnsi" w:hAnsiTheme="minorHAnsi" w:cstheme="minorHAnsi"/>
                <w:bCs/>
                <w:sz w:val="20"/>
                <w:szCs w:val="20"/>
              </w:rPr>
            </w:pPr>
            <w:r w:rsidRPr="00185C2E">
              <w:rPr>
                <w:rFonts w:asciiTheme="minorHAnsi" w:hAnsiTheme="minorHAnsi" w:cstheme="minorHAnsi"/>
                <w:bCs/>
                <w:sz w:val="20"/>
                <w:szCs w:val="20"/>
              </w:rPr>
              <w:t>$107,500,000</w:t>
            </w:r>
          </w:p>
        </w:tc>
        <w:tc>
          <w:tcPr>
            <w:tcW w:w="1796" w:type="dxa"/>
            <w:tcBorders>
              <w:top w:val="single" w:sz="24" w:space="0" w:color="FFFFFF"/>
            </w:tcBorders>
            <w:shd w:val="clear" w:color="auto" w:fill="CCD2D7"/>
          </w:tcPr>
          <w:p w14:paraId="09F06B1C" w14:textId="1B7916B1" w:rsidR="00AD22C5" w:rsidRPr="00185C2E" w:rsidRDefault="00AD22C5" w:rsidP="00CD1BAE">
            <w:pPr>
              <w:pStyle w:val="TableParagraph"/>
              <w:spacing w:before="60" w:after="60"/>
              <w:ind w:left="134"/>
              <w:jc w:val="center"/>
              <w:rPr>
                <w:rFonts w:asciiTheme="minorHAnsi" w:hAnsiTheme="minorHAnsi" w:cstheme="minorHAnsi"/>
                <w:bCs/>
                <w:sz w:val="20"/>
                <w:szCs w:val="20"/>
              </w:rPr>
            </w:pPr>
            <w:r w:rsidRPr="00185C2E">
              <w:rPr>
                <w:rFonts w:asciiTheme="minorHAnsi" w:hAnsiTheme="minorHAnsi" w:cstheme="minorHAnsi"/>
                <w:bCs/>
                <w:sz w:val="20"/>
                <w:szCs w:val="20"/>
              </w:rPr>
              <w:t>$215,000,000*</w:t>
            </w:r>
          </w:p>
        </w:tc>
        <w:tc>
          <w:tcPr>
            <w:tcW w:w="1795" w:type="dxa"/>
            <w:tcBorders>
              <w:top w:val="single" w:sz="24" w:space="0" w:color="FFFFFF"/>
            </w:tcBorders>
            <w:shd w:val="clear" w:color="auto" w:fill="CCD2D7"/>
          </w:tcPr>
          <w:p w14:paraId="6749BEE0" w14:textId="2C645CA3" w:rsidR="00AD22C5" w:rsidRPr="00185C2E" w:rsidRDefault="00AD22C5" w:rsidP="00CD1BAE">
            <w:pPr>
              <w:pStyle w:val="TableParagraph"/>
              <w:spacing w:before="60" w:after="60"/>
              <w:ind w:left="134"/>
              <w:jc w:val="center"/>
              <w:rPr>
                <w:rFonts w:asciiTheme="minorHAnsi" w:hAnsiTheme="minorHAnsi" w:cstheme="minorHAnsi"/>
                <w:bCs/>
                <w:sz w:val="20"/>
                <w:szCs w:val="20"/>
              </w:rPr>
            </w:pPr>
            <w:r w:rsidRPr="00185C2E">
              <w:rPr>
                <w:rFonts w:asciiTheme="minorHAnsi" w:hAnsiTheme="minorHAnsi" w:cstheme="minorHAnsi"/>
                <w:bCs/>
                <w:sz w:val="20"/>
                <w:szCs w:val="20"/>
              </w:rPr>
              <w:t>$215,000,000*</w:t>
            </w:r>
          </w:p>
        </w:tc>
        <w:tc>
          <w:tcPr>
            <w:tcW w:w="1796" w:type="dxa"/>
            <w:tcBorders>
              <w:top w:val="single" w:sz="24" w:space="0" w:color="FFFFFF"/>
            </w:tcBorders>
            <w:shd w:val="clear" w:color="auto" w:fill="CCD2D7"/>
          </w:tcPr>
          <w:p w14:paraId="132C8FF0" w14:textId="172C6E24" w:rsidR="00AD22C5" w:rsidRPr="00185C2E" w:rsidRDefault="00AD22C5" w:rsidP="00CD1BAE">
            <w:pPr>
              <w:pStyle w:val="TableParagraph"/>
              <w:spacing w:before="60" w:after="60"/>
              <w:ind w:left="134"/>
              <w:jc w:val="center"/>
              <w:rPr>
                <w:rFonts w:asciiTheme="minorHAnsi" w:hAnsiTheme="minorHAnsi" w:cstheme="minorHAnsi"/>
                <w:bCs/>
                <w:sz w:val="20"/>
                <w:szCs w:val="20"/>
              </w:rPr>
            </w:pPr>
            <w:r w:rsidRPr="00185C2E">
              <w:rPr>
                <w:rFonts w:asciiTheme="minorHAnsi" w:hAnsiTheme="minorHAnsi" w:cstheme="minorHAnsi"/>
                <w:bCs/>
                <w:sz w:val="20"/>
                <w:szCs w:val="20"/>
              </w:rPr>
              <w:t>$215,000,000*</w:t>
            </w:r>
          </w:p>
        </w:tc>
        <w:tc>
          <w:tcPr>
            <w:tcW w:w="1795" w:type="dxa"/>
            <w:tcBorders>
              <w:top w:val="single" w:sz="24" w:space="0" w:color="FFFFFF"/>
            </w:tcBorders>
            <w:shd w:val="clear" w:color="auto" w:fill="CCD2D7"/>
          </w:tcPr>
          <w:p w14:paraId="2F9AA7A1" w14:textId="3140708D" w:rsidR="00AD22C5" w:rsidRPr="00185C2E" w:rsidRDefault="00AD22C5" w:rsidP="00CD1BAE">
            <w:pPr>
              <w:pStyle w:val="TableParagraph"/>
              <w:spacing w:before="60" w:after="60"/>
              <w:ind w:left="134"/>
              <w:jc w:val="center"/>
              <w:rPr>
                <w:rFonts w:asciiTheme="minorHAnsi" w:hAnsiTheme="minorHAnsi" w:cstheme="minorHAnsi"/>
                <w:bCs/>
                <w:sz w:val="20"/>
                <w:szCs w:val="20"/>
              </w:rPr>
            </w:pPr>
            <w:r w:rsidRPr="00185C2E">
              <w:rPr>
                <w:rFonts w:asciiTheme="minorHAnsi" w:hAnsiTheme="minorHAnsi" w:cstheme="minorHAnsi"/>
                <w:bCs/>
                <w:sz w:val="20"/>
                <w:szCs w:val="20"/>
              </w:rPr>
              <w:t>$215,000,000*</w:t>
            </w:r>
          </w:p>
        </w:tc>
        <w:tc>
          <w:tcPr>
            <w:tcW w:w="1796" w:type="dxa"/>
            <w:tcBorders>
              <w:top w:val="single" w:sz="24" w:space="0" w:color="FFFFFF"/>
            </w:tcBorders>
            <w:shd w:val="clear" w:color="auto" w:fill="CCD2D7"/>
          </w:tcPr>
          <w:p w14:paraId="5A202C43" w14:textId="3071E9B1" w:rsidR="00AD22C5" w:rsidRPr="00185C2E" w:rsidRDefault="00AD22C5" w:rsidP="00CD1BAE">
            <w:pPr>
              <w:pStyle w:val="TableParagraph"/>
              <w:spacing w:before="60" w:after="60"/>
              <w:ind w:left="134"/>
              <w:jc w:val="center"/>
              <w:rPr>
                <w:rFonts w:asciiTheme="minorHAnsi" w:hAnsiTheme="minorHAnsi" w:cstheme="minorHAnsi"/>
                <w:bCs/>
                <w:sz w:val="20"/>
                <w:szCs w:val="20"/>
              </w:rPr>
            </w:pPr>
            <w:r w:rsidRPr="00185C2E">
              <w:rPr>
                <w:rFonts w:asciiTheme="minorHAnsi" w:hAnsiTheme="minorHAnsi" w:cstheme="minorHAnsi"/>
                <w:sz w:val="20"/>
                <w:szCs w:val="20"/>
              </w:rPr>
              <w:t>$107,500,000*</w:t>
            </w:r>
          </w:p>
        </w:tc>
      </w:tr>
      <w:tr w:rsidR="00AD22C5" w:rsidRPr="00185C2E" w14:paraId="65F11BED" w14:textId="1F4EF1DD" w:rsidTr="00AD22C5">
        <w:trPr>
          <w:trHeight w:val="843"/>
        </w:trPr>
        <w:tc>
          <w:tcPr>
            <w:tcW w:w="1276" w:type="dxa"/>
            <w:shd w:val="clear" w:color="auto" w:fill="E7EAEC"/>
          </w:tcPr>
          <w:p w14:paraId="1B0BDCD0" w14:textId="415CE8F0" w:rsidR="00AD22C5" w:rsidRPr="00185C2E" w:rsidRDefault="00AD22C5" w:rsidP="00CD1BAE">
            <w:pPr>
              <w:pStyle w:val="TableParagraph"/>
              <w:spacing w:before="60" w:after="60" w:line="235" w:lineRule="auto"/>
              <w:ind w:left="134"/>
              <w:rPr>
                <w:rFonts w:asciiTheme="minorHAnsi" w:hAnsiTheme="minorHAnsi" w:cstheme="minorHAnsi"/>
                <w:b/>
                <w:sz w:val="24"/>
                <w:szCs w:val="24"/>
              </w:rPr>
            </w:pPr>
            <w:r w:rsidRPr="00185C2E">
              <w:rPr>
                <w:rFonts w:asciiTheme="minorHAnsi" w:hAnsiTheme="minorHAnsi" w:cstheme="minorHAnsi"/>
                <w:b/>
                <w:sz w:val="24"/>
                <w:szCs w:val="24"/>
              </w:rPr>
              <w:t>EGS</w:t>
            </w:r>
          </w:p>
        </w:tc>
        <w:tc>
          <w:tcPr>
            <w:tcW w:w="2126" w:type="dxa"/>
            <w:shd w:val="clear" w:color="auto" w:fill="E7EAEC"/>
          </w:tcPr>
          <w:p w14:paraId="3122CAE4" w14:textId="3C185292" w:rsidR="00AD22C5" w:rsidRPr="00185C2E" w:rsidRDefault="00AD22C5" w:rsidP="00CD1BAE">
            <w:pPr>
              <w:pStyle w:val="TableParagraph"/>
              <w:spacing w:before="60" w:after="60"/>
              <w:ind w:left="134"/>
              <w:rPr>
                <w:rFonts w:asciiTheme="minorHAnsi" w:hAnsiTheme="minorHAnsi" w:cstheme="minorHAnsi"/>
                <w:bCs/>
                <w:sz w:val="20"/>
                <w:szCs w:val="20"/>
              </w:rPr>
            </w:pPr>
            <w:r w:rsidRPr="00185C2E">
              <w:rPr>
                <w:rFonts w:asciiTheme="minorHAnsi" w:hAnsiTheme="minorHAnsi" w:cstheme="minorHAnsi"/>
                <w:bCs/>
                <w:sz w:val="20"/>
                <w:szCs w:val="20"/>
              </w:rPr>
              <w:t xml:space="preserve">Est. Gov. Saving from WMU reforms </w:t>
            </w:r>
            <w:r w:rsidRPr="00185C2E">
              <w:rPr>
                <w:rFonts w:asciiTheme="minorHAnsi" w:hAnsiTheme="minorHAnsi" w:cstheme="minorHAnsi"/>
                <w:bCs/>
                <w:spacing w:val="-2"/>
                <w:w w:val="110"/>
                <w:sz w:val="20"/>
                <w:szCs w:val="20"/>
              </w:rPr>
              <w:t>top-up</w:t>
            </w:r>
          </w:p>
        </w:tc>
        <w:tc>
          <w:tcPr>
            <w:tcW w:w="1795" w:type="dxa"/>
            <w:shd w:val="clear" w:color="auto" w:fill="E7EAEC"/>
          </w:tcPr>
          <w:p w14:paraId="6BF585F1" w14:textId="0D629305" w:rsidR="00AD22C5" w:rsidRPr="00185C2E" w:rsidRDefault="00AD22C5" w:rsidP="00CD1BAE">
            <w:pPr>
              <w:pStyle w:val="TableParagraph"/>
              <w:spacing w:before="60" w:after="60"/>
              <w:ind w:left="134"/>
              <w:jc w:val="center"/>
              <w:rPr>
                <w:rFonts w:asciiTheme="minorHAnsi" w:hAnsiTheme="minorHAnsi" w:cstheme="minorHAnsi"/>
                <w:bCs/>
                <w:sz w:val="20"/>
                <w:szCs w:val="20"/>
              </w:rPr>
            </w:pPr>
            <w:r w:rsidRPr="00185C2E">
              <w:rPr>
                <w:rFonts w:asciiTheme="minorHAnsi" w:hAnsiTheme="minorHAnsi" w:cstheme="minorHAnsi"/>
                <w:bCs/>
                <w:spacing w:val="-5"/>
                <w:sz w:val="20"/>
                <w:szCs w:val="20"/>
              </w:rPr>
              <w:t>N/A</w:t>
            </w:r>
          </w:p>
        </w:tc>
        <w:tc>
          <w:tcPr>
            <w:tcW w:w="1796" w:type="dxa"/>
            <w:shd w:val="clear" w:color="auto" w:fill="E7EAEC"/>
          </w:tcPr>
          <w:p w14:paraId="45206264" w14:textId="666EC498" w:rsidR="00AD22C5" w:rsidRPr="00185C2E" w:rsidRDefault="00AD22C5" w:rsidP="00CD1BAE">
            <w:pPr>
              <w:pStyle w:val="TableParagraph"/>
              <w:spacing w:before="60" w:after="60"/>
              <w:ind w:left="134"/>
              <w:jc w:val="center"/>
              <w:rPr>
                <w:rFonts w:asciiTheme="minorHAnsi" w:hAnsiTheme="minorHAnsi" w:cstheme="minorHAnsi"/>
                <w:bCs/>
                <w:sz w:val="20"/>
                <w:szCs w:val="20"/>
              </w:rPr>
            </w:pPr>
            <w:r w:rsidRPr="00185C2E">
              <w:rPr>
                <w:rFonts w:asciiTheme="minorHAnsi" w:hAnsiTheme="minorHAnsi" w:cstheme="minorHAnsi"/>
                <w:bCs/>
                <w:spacing w:val="-5"/>
                <w:sz w:val="20"/>
                <w:szCs w:val="20"/>
              </w:rPr>
              <w:t>N/A</w:t>
            </w:r>
          </w:p>
        </w:tc>
        <w:tc>
          <w:tcPr>
            <w:tcW w:w="1795" w:type="dxa"/>
            <w:shd w:val="clear" w:color="auto" w:fill="E7EAEC"/>
          </w:tcPr>
          <w:p w14:paraId="066B6947" w14:textId="333BB379" w:rsidR="00AD22C5" w:rsidRPr="00185C2E" w:rsidRDefault="00AD22C5" w:rsidP="00CD1BAE">
            <w:pPr>
              <w:pStyle w:val="TableParagraph"/>
              <w:spacing w:before="60" w:after="60"/>
              <w:ind w:left="134"/>
              <w:jc w:val="center"/>
              <w:rPr>
                <w:rFonts w:asciiTheme="minorHAnsi" w:hAnsiTheme="minorHAnsi" w:cstheme="minorHAnsi"/>
                <w:bCs/>
                <w:sz w:val="20"/>
                <w:szCs w:val="20"/>
              </w:rPr>
            </w:pPr>
            <w:r w:rsidRPr="00185C2E">
              <w:rPr>
                <w:rFonts w:asciiTheme="minorHAnsi" w:hAnsiTheme="minorHAnsi" w:cstheme="minorHAnsi"/>
                <w:bCs/>
                <w:spacing w:val="-2"/>
                <w:w w:val="105"/>
                <w:sz w:val="20"/>
                <w:szCs w:val="20"/>
              </w:rPr>
              <w:t>$115,535,892</w:t>
            </w:r>
          </w:p>
        </w:tc>
        <w:tc>
          <w:tcPr>
            <w:tcW w:w="1796" w:type="dxa"/>
            <w:shd w:val="clear" w:color="auto" w:fill="E7EAEC"/>
          </w:tcPr>
          <w:p w14:paraId="61B27F30" w14:textId="66005CF2" w:rsidR="00AD22C5" w:rsidRPr="00185C2E" w:rsidRDefault="00AD22C5" w:rsidP="00CD1BAE">
            <w:pPr>
              <w:pStyle w:val="TableParagraph"/>
              <w:spacing w:before="60" w:after="60"/>
              <w:ind w:left="134"/>
              <w:jc w:val="center"/>
              <w:rPr>
                <w:rFonts w:asciiTheme="minorHAnsi" w:hAnsiTheme="minorHAnsi" w:cstheme="minorHAnsi"/>
                <w:bCs/>
                <w:sz w:val="20"/>
                <w:szCs w:val="20"/>
              </w:rPr>
            </w:pPr>
            <w:r w:rsidRPr="00185C2E">
              <w:rPr>
                <w:rFonts w:asciiTheme="minorHAnsi" w:hAnsiTheme="minorHAnsi" w:cstheme="minorHAnsi"/>
                <w:bCs/>
                <w:spacing w:val="-2"/>
                <w:w w:val="105"/>
                <w:sz w:val="20"/>
                <w:szCs w:val="20"/>
              </w:rPr>
              <w:t>$115,535,892*</w:t>
            </w:r>
          </w:p>
        </w:tc>
        <w:tc>
          <w:tcPr>
            <w:tcW w:w="1795" w:type="dxa"/>
            <w:shd w:val="clear" w:color="auto" w:fill="E7EAEC"/>
          </w:tcPr>
          <w:p w14:paraId="17C64FB3" w14:textId="498E28B8" w:rsidR="00AD22C5" w:rsidRPr="00185C2E" w:rsidRDefault="00AD22C5" w:rsidP="00CD1BAE">
            <w:pPr>
              <w:pStyle w:val="TableParagraph"/>
              <w:spacing w:before="60" w:after="60"/>
              <w:ind w:left="134"/>
              <w:jc w:val="center"/>
              <w:rPr>
                <w:rFonts w:asciiTheme="minorHAnsi" w:hAnsiTheme="minorHAnsi" w:cstheme="minorHAnsi"/>
                <w:bCs/>
                <w:sz w:val="20"/>
                <w:szCs w:val="20"/>
              </w:rPr>
            </w:pPr>
            <w:r w:rsidRPr="00185C2E">
              <w:rPr>
                <w:rFonts w:asciiTheme="minorHAnsi" w:hAnsiTheme="minorHAnsi" w:cstheme="minorHAnsi"/>
                <w:bCs/>
                <w:spacing w:val="-2"/>
                <w:w w:val="105"/>
                <w:sz w:val="20"/>
                <w:szCs w:val="20"/>
              </w:rPr>
              <w:t>$115,535,892*</w:t>
            </w:r>
          </w:p>
        </w:tc>
        <w:tc>
          <w:tcPr>
            <w:tcW w:w="1796" w:type="dxa"/>
            <w:shd w:val="clear" w:color="auto" w:fill="E7EAEC"/>
          </w:tcPr>
          <w:p w14:paraId="32A177DD" w14:textId="017710B6" w:rsidR="00AD22C5" w:rsidRPr="00185C2E" w:rsidRDefault="00AD22C5" w:rsidP="00CD1BAE">
            <w:pPr>
              <w:pStyle w:val="TableParagraph"/>
              <w:spacing w:before="60" w:after="60"/>
              <w:ind w:left="134"/>
              <w:jc w:val="center"/>
              <w:rPr>
                <w:rFonts w:asciiTheme="minorHAnsi" w:hAnsiTheme="minorHAnsi" w:cstheme="minorHAnsi"/>
                <w:sz w:val="20"/>
                <w:szCs w:val="20"/>
              </w:rPr>
            </w:pPr>
            <w:r w:rsidRPr="00185C2E">
              <w:rPr>
                <w:rFonts w:asciiTheme="minorHAnsi" w:hAnsiTheme="minorHAnsi" w:cstheme="minorHAnsi"/>
                <w:color w:val="000000"/>
                <w:sz w:val="20"/>
                <w:szCs w:val="20"/>
              </w:rPr>
              <w:t>$57,767,946</w:t>
            </w:r>
            <w:r w:rsidRPr="00185C2E">
              <w:rPr>
                <w:rFonts w:asciiTheme="minorHAnsi" w:hAnsiTheme="minorHAnsi" w:cstheme="minorHAnsi"/>
                <w:sz w:val="20"/>
                <w:szCs w:val="20"/>
              </w:rPr>
              <w:t>*</w:t>
            </w:r>
          </w:p>
        </w:tc>
      </w:tr>
      <w:tr w:rsidR="00AD22C5" w:rsidRPr="00185C2E" w14:paraId="3A395842" w14:textId="7780252F" w:rsidTr="00AD22C5">
        <w:trPr>
          <w:trHeight w:val="675"/>
        </w:trPr>
        <w:tc>
          <w:tcPr>
            <w:tcW w:w="1276" w:type="dxa"/>
            <w:shd w:val="clear" w:color="auto" w:fill="CCD2D7"/>
          </w:tcPr>
          <w:p w14:paraId="593EC8DB" w14:textId="21052905" w:rsidR="00AD22C5" w:rsidRPr="00185C2E" w:rsidRDefault="00AD22C5" w:rsidP="00185C2E">
            <w:pPr>
              <w:pStyle w:val="TableParagraph"/>
              <w:spacing w:before="60" w:after="60" w:line="235" w:lineRule="auto"/>
              <w:ind w:left="134" w:right="-7"/>
              <w:rPr>
                <w:rFonts w:asciiTheme="minorHAnsi" w:hAnsiTheme="minorHAnsi" w:cstheme="minorHAnsi"/>
                <w:b/>
                <w:sz w:val="24"/>
                <w:szCs w:val="24"/>
              </w:rPr>
            </w:pPr>
            <w:r w:rsidRPr="00185C2E">
              <w:rPr>
                <w:rFonts w:asciiTheme="minorHAnsi" w:hAnsiTheme="minorHAnsi" w:cstheme="minorHAnsi"/>
                <w:b/>
                <w:spacing w:val="-2"/>
                <w:w w:val="105"/>
                <w:sz w:val="24"/>
                <w:szCs w:val="24"/>
              </w:rPr>
              <w:t>IMDQ</w:t>
            </w:r>
          </w:p>
        </w:tc>
        <w:tc>
          <w:tcPr>
            <w:tcW w:w="2126" w:type="dxa"/>
            <w:shd w:val="clear" w:color="auto" w:fill="CCD2D7"/>
          </w:tcPr>
          <w:p w14:paraId="58AC556B" w14:textId="4527BB56" w:rsidR="00AD22C5" w:rsidRPr="00185C2E" w:rsidRDefault="00AD22C5" w:rsidP="00CD1BAE">
            <w:pPr>
              <w:pStyle w:val="TableParagraph"/>
              <w:spacing w:before="60" w:after="60"/>
              <w:ind w:left="134"/>
              <w:rPr>
                <w:rFonts w:asciiTheme="minorHAnsi" w:hAnsiTheme="minorHAnsi" w:cstheme="minorHAnsi"/>
                <w:bCs/>
                <w:sz w:val="20"/>
                <w:szCs w:val="20"/>
              </w:rPr>
            </w:pPr>
            <w:r w:rsidRPr="00185C2E">
              <w:rPr>
                <w:rFonts w:asciiTheme="minorHAnsi" w:hAnsiTheme="minorHAnsi" w:cstheme="minorHAnsi"/>
                <w:bCs/>
                <w:spacing w:val="-2"/>
                <w:w w:val="105"/>
                <w:sz w:val="20"/>
                <w:szCs w:val="20"/>
              </w:rPr>
              <w:t>IMDQ</w:t>
            </w:r>
            <w:r w:rsidRPr="00185C2E">
              <w:rPr>
                <w:rFonts w:asciiTheme="minorHAnsi" w:hAnsiTheme="minorHAnsi" w:cstheme="minorHAnsi"/>
                <w:bCs/>
                <w:spacing w:val="-4"/>
                <w:w w:val="105"/>
                <w:sz w:val="20"/>
                <w:szCs w:val="20"/>
              </w:rPr>
              <w:t xml:space="preserve"> </w:t>
            </w:r>
            <w:r w:rsidRPr="00185C2E">
              <w:rPr>
                <w:rFonts w:asciiTheme="minorHAnsi" w:hAnsiTheme="minorHAnsi" w:cstheme="minorHAnsi"/>
                <w:bCs/>
                <w:spacing w:val="-2"/>
                <w:w w:val="105"/>
                <w:sz w:val="20"/>
                <w:szCs w:val="20"/>
              </w:rPr>
              <w:t>top-</w:t>
            </w:r>
            <w:r w:rsidRPr="00185C2E">
              <w:rPr>
                <w:rFonts w:asciiTheme="minorHAnsi" w:hAnsiTheme="minorHAnsi" w:cstheme="minorHAnsi"/>
                <w:bCs/>
                <w:spacing w:val="-7"/>
                <w:w w:val="105"/>
                <w:sz w:val="20"/>
                <w:szCs w:val="20"/>
              </w:rPr>
              <w:t>up</w:t>
            </w:r>
          </w:p>
        </w:tc>
        <w:tc>
          <w:tcPr>
            <w:tcW w:w="1795" w:type="dxa"/>
            <w:shd w:val="clear" w:color="auto" w:fill="CCD2D7"/>
          </w:tcPr>
          <w:p w14:paraId="073B8103" w14:textId="5887919E" w:rsidR="00AD22C5" w:rsidRPr="00185C2E" w:rsidRDefault="00AD22C5" w:rsidP="00CD1BAE">
            <w:pPr>
              <w:pStyle w:val="TableParagraph"/>
              <w:spacing w:before="60" w:after="60" w:line="340" w:lineRule="exact"/>
              <w:ind w:left="134"/>
              <w:jc w:val="center"/>
              <w:rPr>
                <w:rFonts w:asciiTheme="minorHAnsi" w:hAnsiTheme="minorHAnsi" w:cstheme="minorHAnsi"/>
                <w:bCs/>
                <w:sz w:val="20"/>
                <w:szCs w:val="20"/>
              </w:rPr>
            </w:pPr>
            <w:r w:rsidRPr="00185C2E">
              <w:rPr>
                <w:rFonts w:asciiTheme="minorHAnsi" w:hAnsiTheme="minorHAnsi" w:cstheme="minorHAnsi"/>
                <w:bCs/>
                <w:spacing w:val="-2"/>
                <w:w w:val="105"/>
                <w:sz w:val="20"/>
                <w:szCs w:val="20"/>
              </w:rPr>
              <w:t>$5,000,000</w:t>
            </w:r>
          </w:p>
        </w:tc>
        <w:tc>
          <w:tcPr>
            <w:tcW w:w="1796" w:type="dxa"/>
            <w:shd w:val="clear" w:color="auto" w:fill="CCD2D7"/>
          </w:tcPr>
          <w:p w14:paraId="10D10212" w14:textId="573A396C" w:rsidR="00AD22C5" w:rsidRPr="00185C2E" w:rsidRDefault="00AD22C5" w:rsidP="00CD1BAE">
            <w:pPr>
              <w:pStyle w:val="TableParagraph"/>
              <w:spacing w:before="60" w:after="60" w:line="340" w:lineRule="exact"/>
              <w:ind w:left="134"/>
              <w:jc w:val="center"/>
              <w:rPr>
                <w:rFonts w:asciiTheme="minorHAnsi" w:hAnsiTheme="minorHAnsi" w:cstheme="minorHAnsi"/>
                <w:bCs/>
                <w:sz w:val="20"/>
                <w:szCs w:val="20"/>
              </w:rPr>
            </w:pPr>
            <w:r w:rsidRPr="00185C2E">
              <w:rPr>
                <w:rFonts w:asciiTheme="minorHAnsi" w:hAnsiTheme="minorHAnsi" w:cstheme="minorHAnsi"/>
                <w:bCs/>
                <w:sz w:val="20"/>
                <w:szCs w:val="20"/>
              </w:rPr>
              <w:t>$10,000,000</w:t>
            </w:r>
          </w:p>
        </w:tc>
        <w:tc>
          <w:tcPr>
            <w:tcW w:w="1795" w:type="dxa"/>
            <w:shd w:val="clear" w:color="auto" w:fill="CCD2D7"/>
          </w:tcPr>
          <w:p w14:paraId="3D4925EF" w14:textId="7CFE2582" w:rsidR="00AD22C5" w:rsidRPr="00185C2E" w:rsidRDefault="00AD22C5" w:rsidP="00CD1BAE">
            <w:pPr>
              <w:pStyle w:val="TableParagraph"/>
              <w:spacing w:before="60" w:after="60"/>
              <w:ind w:left="134"/>
              <w:jc w:val="center"/>
              <w:rPr>
                <w:rFonts w:asciiTheme="minorHAnsi" w:hAnsiTheme="minorHAnsi" w:cstheme="minorHAnsi"/>
                <w:bCs/>
                <w:sz w:val="20"/>
                <w:szCs w:val="20"/>
              </w:rPr>
            </w:pPr>
            <w:r w:rsidRPr="00185C2E">
              <w:rPr>
                <w:rFonts w:asciiTheme="minorHAnsi" w:hAnsiTheme="minorHAnsi" w:cstheme="minorHAnsi"/>
                <w:bCs/>
                <w:spacing w:val="-5"/>
                <w:sz w:val="20"/>
                <w:szCs w:val="20"/>
              </w:rPr>
              <w:t>N/A</w:t>
            </w:r>
          </w:p>
        </w:tc>
        <w:tc>
          <w:tcPr>
            <w:tcW w:w="1796" w:type="dxa"/>
            <w:shd w:val="clear" w:color="auto" w:fill="CCD2D7"/>
          </w:tcPr>
          <w:p w14:paraId="3A4120E9" w14:textId="25D1C343" w:rsidR="00AD22C5" w:rsidRPr="00185C2E" w:rsidRDefault="00AD22C5" w:rsidP="00CD1BAE">
            <w:pPr>
              <w:pStyle w:val="TableParagraph"/>
              <w:spacing w:before="60" w:after="60"/>
              <w:ind w:left="134"/>
              <w:jc w:val="center"/>
              <w:rPr>
                <w:rFonts w:asciiTheme="minorHAnsi" w:hAnsiTheme="minorHAnsi" w:cstheme="minorHAnsi"/>
                <w:bCs/>
                <w:sz w:val="20"/>
                <w:szCs w:val="20"/>
              </w:rPr>
            </w:pPr>
            <w:r w:rsidRPr="00185C2E">
              <w:rPr>
                <w:rFonts w:asciiTheme="minorHAnsi" w:hAnsiTheme="minorHAnsi" w:cstheme="minorHAnsi"/>
                <w:bCs/>
                <w:spacing w:val="-5"/>
                <w:sz w:val="20"/>
                <w:szCs w:val="20"/>
              </w:rPr>
              <w:t>N/A</w:t>
            </w:r>
          </w:p>
        </w:tc>
        <w:tc>
          <w:tcPr>
            <w:tcW w:w="1795" w:type="dxa"/>
            <w:shd w:val="clear" w:color="auto" w:fill="CCD2D7"/>
          </w:tcPr>
          <w:p w14:paraId="6F985160" w14:textId="6119E595" w:rsidR="00AD22C5" w:rsidRPr="00185C2E" w:rsidRDefault="00AD22C5" w:rsidP="00CD1BAE">
            <w:pPr>
              <w:pStyle w:val="TableParagraph"/>
              <w:spacing w:before="60" w:after="60"/>
              <w:ind w:left="134"/>
              <w:jc w:val="center"/>
              <w:rPr>
                <w:rFonts w:asciiTheme="minorHAnsi" w:hAnsiTheme="minorHAnsi" w:cstheme="minorHAnsi"/>
                <w:bCs/>
                <w:sz w:val="20"/>
                <w:szCs w:val="20"/>
              </w:rPr>
            </w:pPr>
            <w:r w:rsidRPr="00185C2E">
              <w:rPr>
                <w:rFonts w:asciiTheme="minorHAnsi" w:hAnsiTheme="minorHAnsi" w:cstheme="minorHAnsi"/>
                <w:bCs/>
                <w:spacing w:val="-5"/>
                <w:sz w:val="20"/>
                <w:szCs w:val="20"/>
              </w:rPr>
              <w:t>N/A</w:t>
            </w:r>
          </w:p>
        </w:tc>
        <w:tc>
          <w:tcPr>
            <w:tcW w:w="1796" w:type="dxa"/>
            <w:shd w:val="clear" w:color="auto" w:fill="CCD2D7"/>
          </w:tcPr>
          <w:p w14:paraId="0A1F7C5B" w14:textId="11230C19" w:rsidR="00AD22C5" w:rsidRPr="00185C2E" w:rsidRDefault="00AD22C5" w:rsidP="00CD1BAE">
            <w:pPr>
              <w:pStyle w:val="TableParagraph"/>
              <w:spacing w:before="60" w:after="60"/>
              <w:ind w:left="134"/>
              <w:jc w:val="center"/>
              <w:rPr>
                <w:rFonts w:asciiTheme="minorHAnsi" w:hAnsiTheme="minorHAnsi" w:cstheme="minorHAnsi"/>
                <w:bCs/>
                <w:spacing w:val="-5"/>
                <w:sz w:val="20"/>
                <w:szCs w:val="20"/>
              </w:rPr>
            </w:pPr>
            <w:r w:rsidRPr="00185C2E">
              <w:rPr>
                <w:rFonts w:asciiTheme="minorHAnsi" w:hAnsiTheme="minorHAnsi" w:cstheme="minorHAnsi"/>
                <w:sz w:val="20"/>
                <w:szCs w:val="20"/>
              </w:rPr>
              <w:t>N/A</w:t>
            </w:r>
          </w:p>
        </w:tc>
      </w:tr>
      <w:tr w:rsidR="00AD22C5" w:rsidRPr="00185C2E" w14:paraId="21F84C95" w14:textId="74F26155" w:rsidTr="00AD22C5">
        <w:trPr>
          <w:trHeight w:val="816"/>
        </w:trPr>
        <w:tc>
          <w:tcPr>
            <w:tcW w:w="1276" w:type="dxa"/>
            <w:shd w:val="clear" w:color="auto" w:fill="E7EAEC"/>
          </w:tcPr>
          <w:p w14:paraId="432EA0CC" w14:textId="6EDA441D" w:rsidR="00AD22C5" w:rsidRPr="00185C2E" w:rsidRDefault="00AD22C5" w:rsidP="00CD1BAE">
            <w:pPr>
              <w:pStyle w:val="TableParagraph"/>
              <w:spacing w:before="60" w:after="60" w:line="235" w:lineRule="auto"/>
              <w:ind w:left="134"/>
              <w:rPr>
                <w:rFonts w:asciiTheme="minorHAnsi" w:hAnsiTheme="minorHAnsi" w:cstheme="minorHAnsi"/>
                <w:b/>
                <w:spacing w:val="-2"/>
                <w:w w:val="110"/>
                <w:sz w:val="24"/>
                <w:szCs w:val="24"/>
              </w:rPr>
            </w:pPr>
            <w:r w:rsidRPr="00185C2E">
              <w:rPr>
                <w:rFonts w:asciiTheme="minorHAnsi" w:hAnsiTheme="minorHAnsi" w:cstheme="minorHAnsi"/>
                <w:b/>
                <w:spacing w:val="-2"/>
                <w:w w:val="110"/>
                <w:sz w:val="24"/>
                <w:szCs w:val="24"/>
              </w:rPr>
              <w:t>MSM2</w:t>
            </w:r>
          </w:p>
          <w:p w14:paraId="030B8431" w14:textId="6EDB8AF9" w:rsidR="00AD22C5" w:rsidRPr="00185C2E" w:rsidRDefault="00AD22C5" w:rsidP="00CD1BAE">
            <w:pPr>
              <w:pStyle w:val="TableParagraph"/>
              <w:spacing w:before="60" w:after="60"/>
              <w:ind w:left="134"/>
              <w:rPr>
                <w:rFonts w:asciiTheme="minorHAnsi" w:hAnsiTheme="minorHAnsi" w:cstheme="minorHAnsi"/>
                <w:b/>
                <w:sz w:val="24"/>
                <w:szCs w:val="24"/>
              </w:rPr>
            </w:pPr>
            <w:r w:rsidRPr="00185C2E">
              <w:rPr>
                <w:rFonts w:asciiTheme="minorHAnsi" w:hAnsiTheme="minorHAnsi" w:cstheme="minorHAnsi"/>
                <w:b/>
                <w:spacing w:val="-2"/>
                <w:w w:val="110"/>
                <w:sz w:val="24"/>
                <w:szCs w:val="24"/>
              </w:rPr>
              <w:t>MSM1</w:t>
            </w:r>
          </w:p>
        </w:tc>
        <w:tc>
          <w:tcPr>
            <w:tcW w:w="2126" w:type="dxa"/>
            <w:shd w:val="clear" w:color="auto" w:fill="E7EAEC"/>
          </w:tcPr>
          <w:p w14:paraId="4DBC1EBB" w14:textId="4FEE4D47" w:rsidR="00AD22C5" w:rsidRPr="00185C2E" w:rsidRDefault="00AD22C5" w:rsidP="00CD1BAE">
            <w:pPr>
              <w:pStyle w:val="TableParagraph"/>
              <w:spacing w:before="60" w:after="60" w:line="267" w:lineRule="exact"/>
              <w:ind w:left="134"/>
              <w:rPr>
                <w:rFonts w:asciiTheme="minorHAnsi" w:hAnsiTheme="minorHAnsi" w:cstheme="minorHAnsi"/>
                <w:bCs/>
                <w:sz w:val="20"/>
                <w:szCs w:val="20"/>
              </w:rPr>
            </w:pPr>
            <w:r w:rsidRPr="00185C2E">
              <w:rPr>
                <w:rFonts w:asciiTheme="minorHAnsi" w:hAnsiTheme="minorHAnsi" w:cstheme="minorHAnsi"/>
                <w:bCs/>
                <w:spacing w:val="-2"/>
                <w:w w:val="110"/>
                <w:sz w:val="20"/>
                <w:szCs w:val="20"/>
              </w:rPr>
              <w:t>Medicine shortage support</w:t>
            </w:r>
            <w:r w:rsidRPr="00185C2E">
              <w:rPr>
                <w:rFonts w:asciiTheme="minorHAnsi" w:hAnsiTheme="minorHAnsi" w:cstheme="minorHAnsi"/>
                <w:bCs/>
                <w:spacing w:val="-16"/>
                <w:w w:val="110"/>
                <w:sz w:val="20"/>
                <w:szCs w:val="20"/>
              </w:rPr>
              <w:t xml:space="preserve"> </w:t>
            </w:r>
            <w:r w:rsidRPr="00185C2E">
              <w:rPr>
                <w:rFonts w:asciiTheme="minorHAnsi" w:hAnsiTheme="minorHAnsi" w:cstheme="minorHAnsi"/>
                <w:bCs/>
                <w:spacing w:val="-2"/>
                <w:w w:val="110"/>
                <w:sz w:val="20"/>
                <w:szCs w:val="20"/>
              </w:rPr>
              <w:t>top-up</w:t>
            </w:r>
          </w:p>
        </w:tc>
        <w:tc>
          <w:tcPr>
            <w:tcW w:w="1795" w:type="dxa"/>
            <w:shd w:val="clear" w:color="auto" w:fill="E7EAEC"/>
          </w:tcPr>
          <w:p w14:paraId="3315FD3A" w14:textId="77777777" w:rsidR="00AD22C5" w:rsidRPr="00185C2E" w:rsidRDefault="00AD22C5" w:rsidP="00CD1BAE">
            <w:pPr>
              <w:pStyle w:val="TableParagraph"/>
              <w:spacing w:before="60" w:after="60"/>
              <w:ind w:left="134"/>
              <w:jc w:val="center"/>
              <w:rPr>
                <w:rFonts w:asciiTheme="minorHAnsi" w:hAnsiTheme="minorHAnsi" w:cstheme="minorHAnsi"/>
                <w:bCs/>
                <w:spacing w:val="-2"/>
                <w:w w:val="105"/>
                <w:sz w:val="20"/>
                <w:szCs w:val="20"/>
              </w:rPr>
            </w:pPr>
            <w:r w:rsidRPr="00185C2E">
              <w:rPr>
                <w:rFonts w:asciiTheme="minorHAnsi" w:hAnsiTheme="minorHAnsi" w:cstheme="minorHAnsi"/>
                <w:bCs/>
                <w:spacing w:val="-2"/>
                <w:w w:val="105"/>
                <w:sz w:val="20"/>
                <w:szCs w:val="20"/>
              </w:rPr>
              <w:t>$21,000,000</w:t>
            </w:r>
          </w:p>
          <w:p w14:paraId="582D80A2" w14:textId="4674065E" w:rsidR="00AD22C5" w:rsidRPr="00185C2E" w:rsidRDefault="00AD22C5" w:rsidP="00CD1BAE">
            <w:pPr>
              <w:pStyle w:val="TableParagraph"/>
              <w:spacing w:before="60" w:after="60"/>
              <w:ind w:left="134"/>
              <w:jc w:val="center"/>
              <w:rPr>
                <w:rFonts w:asciiTheme="minorHAnsi" w:hAnsiTheme="minorHAnsi" w:cstheme="minorHAnsi"/>
                <w:bCs/>
                <w:sz w:val="20"/>
                <w:szCs w:val="20"/>
              </w:rPr>
            </w:pPr>
            <w:r w:rsidRPr="00185C2E">
              <w:rPr>
                <w:rFonts w:asciiTheme="minorHAnsi" w:hAnsiTheme="minorHAnsi" w:cstheme="minorHAnsi"/>
                <w:bCs/>
                <w:spacing w:val="-2"/>
                <w:w w:val="105"/>
                <w:sz w:val="20"/>
                <w:szCs w:val="20"/>
              </w:rPr>
              <w:t>$9,000,000</w:t>
            </w:r>
          </w:p>
        </w:tc>
        <w:tc>
          <w:tcPr>
            <w:tcW w:w="1796" w:type="dxa"/>
            <w:shd w:val="clear" w:color="auto" w:fill="E7EAEC"/>
          </w:tcPr>
          <w:p w14:paraId="64ACAF86" w14:textId="2D91B926" w:rsidR="00AD22C5" w:rsidRPr="00185C2E" w:rsidRDefault="00AD22C5" w:rsidP="00CD1BAE">
            <w:pPr>
              <w:pStyle w:val="TableParagraph"/>
              <w:spacing w:before="60" w:after="60"/>
              <w:ind w:left="134"/>
              <w:jc w:val="center"/>
              <w:rPr>
                <w:rFonts w:asciiTheme="minorHAnsi" w:hAnsiTheme="minorHAnsi" w:cstheme="minorHAnsi"/>
                <w:bCs/>
                <w:sz w:val="20"/>
                <w:szCs w:val="20"/>
              </w:rPr>
            </w:pPr>
            <w:r w:rsidRPr="00185C2E">
              <w:rPr>
                <w:rFonts w:asciiTheme="minorHAnsi" w:hAnsiTheme="minorHAnsi" w:cstheme="minorHAnsi"/>
                <w:bCs/>
                <w:spacing w:val="-2"/>
                <w:w w:val="105"/>
                <w:sz w:val="20"/>
                <w:szCs w:val="20"/>
              </w:rPr>
              <w:t>$21,000,000*</w:t>
            </w:r>
          </w:p>
        </w:tc>
        <w:tc>
          <w:tcPr>
            <w:tcW w:w="1795" w:type="dxa"/>
            <w:shd w:val="clear" w:color="auto" w:fill="E7EAEC"/>
          </w:tcPr>
          <w:p w14:paraId="4FD69E5E" w14:textId="4B1F4523" w:rsidR="00AD22C5" w:rsidRPr="00185C2E" w:rsidRDefault="00AD22C5" w:rsidP="00CD1BAE">
            <w:pPr>
              <w:pStyle w:val="TableParagraph"/>
              <w:spacing w:before="60" w:after="60"/>
              <w:ind w:left="134"/>
              <w:jc w:val="center"/>
              <w:rPr>
                <w:rFonts w:asciiTheme="minorHAnsi" w:hAnsiTheme="minorHAnsi" w:cstheme="minorHAnsi"/>
                <w:bCs/>
                <w:sz w:val="20"/>
                <w:szCs w:val="20"/>
              </w:rPr>
            </w:pPr>
            <w:r w:rsidRPr="00185C2E">
              <w:rPr>
                <w:rFonts w:asciiTheme="minorHAnsi" w:hAnsiTheme="minorHAnsi" w:cstheme="minorHAnsi"/>
                <w:bCs/>
                <w:spacing w:val="-2"/>
                <w:w w:val="105"/>
                <w:sz w:val="20"/>
                <w:szCs w:val="20"/>
              </w:rPr>
              <w:t>$21,000,000*</w:t>
            </w:r>
          </w:p>
        </w:tc>
        <w:tc>
          <w:tcPr>
            <w:tcW w:w="1796" w:type="dxa"/>
            <w:shd w:val="clear" w:color="auto" w:fill="E7EAEC"/>
          </w:tcPr>
          <w:p w14:paraId="77864B32" w14:textId="2F5540A5" w:rsidR="00AD22C5" w:rsidRPr="00185C2E" w:rsidRDefault="00AD22C5" w:rsidP="00CD1BAE">
            <w:pPr>
              <w:pStyle w:val="TableParagraph"/>
              <w:spacing w:before="60" w:after="60"/>
              <w:ind w:left="134"/>
              <w:jc w:val="center"/>
              <w:rPr>
                <w:rFonts w:asciiTheme="minorHAnsi" w:hAnsiTheme="minorHAnsi" w:cstheme="minorHAnsi"/>
                <w:bCs/>
                <w:sz w:val="20"/>
                <w:szCs w:val="20"/>
              </w:rPr>
            </w:pPr>
            <w:r w:rsidRPr="00185C2E">
              <w:rPr>
                <w:rFonts w:asciiTheme="minorHAnsi" w:hAnsiTheme="minorHAnsi" w:cstheme="minorHAnsi"/>
                <w:bCs/>
                <w:spacing w:val="-2"/>
                <w:w w:val="105"/>
                <w:sz w:val="20"/>
                <w:szCs w:val="20"/>
              </w:rPr>
              <w:t>$21,000,000*</w:t>
            </w:r>
          </w:p>
        </w:tc>
        <w:tc>
          <w:tcPr>
            <w:tcW w:w="1795" w:type="dxa"/>
            <w:shd w:val="clear" w:color="auto" w:fill="E7EAEC"/>
          </w:tcPr>
          <w:p w14:paraId="75FFAF34" w14:textId="624EB9CE" w:rsidR="00AD22C5" w:rsidRPr="00185C2E" w:rsidRDefault="00AD22C5" w:rsidP="00CD1BAE">
            <w:pPr>
              <w:pStyle w:val="TableParagraph"/>
              <w:spacing w:before="60" w:after="60"/>
              <w:ind w:left="134"/>
              <w:jc w:val="center"/>
              <w:rPr>
                <w:rFonts w:asciiTheme="minorHAnsi" w:hAnsiTheme="minorHAnsi" w:cstheme="minorHAnsi"/>
                <w:bCs/>
                <w:sz w:val="20"/>
                <w:szCs w:val="20"/>
              </w:rPr>
            </w:pPr>
            <w:r w:rsidRPr="00185C2E">
              <w:rPr>
                <w:rFonts w:asciiTheme="minorHAnsi" w:hAnsiTheme="minorHAnsi" w:cstheme="minorHAnsi"/>
                <w:bCs/>
                <w:spacing w:val="-2"/>
                <w:w w:val="105"/>
                <w:sz w:val="20"/>
                <w:szCs w:val="20"/>
              </w:rPr>
              <w:t>$21,000,000*</w:t>
            </w:r>
          </w:p>
        </w:tc>
        <w:tc>
          <w:tcPr>
            <w:tcW w:w="1796" w:type="dxa"/>
            <w:shd w:val="clear" w:color="auto" w:fill="E7EAEC"/>
          </w:tcPr>
          <w:p w14:paraId="118CF584" w14:textId="0893DCA6" w:rsidR="00AD22C5" w:rsidRPr="00185C2E" w:rsidRDefault="00AD22C5" w:rsidP="00CD1BAE">
            <w:pPr>
              <w:pStyle w:val="TableParagraph"/>
              <w:spacing w:before="60" w:after="60"/>
              <w:ind w:left="134"/>
              <w:jc w:val="center"/>
              <w:rPr>
                <w:rFonts w:asciiTheme="minorHAnsi" w:hAnsiTheme="minorHAnsi" w:cstheme="minorHAnsi"/>
                <w:bCs/>
                <w:spacing w:val="-2"/>
                <w:w w:val="105"/>
                <w:sz w:val="20"/>
                <w:szCs w:val="20"/>
              </w:rPr>
            </w:pPr>
            <w:r w:rsidRPr="00185C2E">
              <w:rPr>
                <w:rFonts w:asciiTheme="minorHAnsi" w:hAnsiTheme="minorHAnsi" w:cstheme="minorHAnsi"/>
                <w:sz w:val="20"/>
                <w:szCs w:val="20"/>
              </w:rPr>
              <w:t>$21,000,000*</w:t>
            </w:r>
          </w:p>
        </w:tc>
      </w:tr>
      <w:tr w:rsidR="00AD22C5" w:rsidRPr="00185C2E" w14:paraId="42C32D86" w14:textId="67B37156" w:rsidTr="00AD22C5">
        <w:trPr>
          <w:trHeight w:val="501"/>
        </w:trPr>
        <w:tc>
          <w:tcPr>
            <w:tcW w:w="1276" w:type="dxa"/>
            <w:shd w:val="clear" w:color="auto" w:fill="CCD2D7"/>
          </w:tcPr>
          <w:p w14:paraId="7F9A3428" w14:textId="7334731C" w:rsidR="00AD22C5" w:rsidRPr="00185C2E" w:rsidRDefault="00AD22C5" w:rsidP="00CD1BAE">
            <w:pPr>
              <w:pStyle w:val="TableParagraph"/>
              <w:spacing w:before="60" w:after="60" w:line="235" w:lineRule="auto"/>
              <w:ind w:left="134" w:right="287"/>
              <w:rPr>
                <w:rFonts w:asciiTheme="minorHAnsi" w:hAnsiTheme="minorHAnsi" w:cstheme="minorHAnsi"/>
                <w:b/>
                <w:sz w:val="24"/>
                <w:szCs w:val="24"/>
              </w:rPr>
            </w:pPr>
            <w:r w:rsidRPr="00185C2E">
              <w:rPr>
                <w:rFonts w:asciiTheme="minorHAnsi" w:hAnsiTheme="minorHAnsi" w:cstheme="minorHAnsi"/>
                <w:b/>
                <w:sz w:val="24"/>
                <w:szCs w:val="24"/>
              </w:rPr>
              <w:t>S100</w:t>
            </w:r>
          </w:p>
        </w:tc>
        <w:tc>
          <w:tcPr>
            <w:tcW w:w="2126" w:type="dxa"/>
            <w:shd w:val="clear" w:color="auto" w:fill="CCD2D7"/>
          </w:tcPr>
          <w:p w14:paraId="59CFDBD7" w14:textId="758E6435" w:rsidR="00AD22C5" w:rsidRPr="00185C2E" w:rsidRDefault="00AD22C5" w:rsidP="00CD1BAE">
            <w:pPr>
              <w:pStyle w:val="TableParagraph"/>
              <w:spacing w:before="60" w:after="60"/>
              <w:ind w:left="134"/>
              <w:rPr>
                <w:rFonts w:asciiTheme="minorHAnsi" w:hAnsiTheme="minorHAnsi" w:cstheme="minorHAnsi"/>
                <w:bCs/>
                <w:sz w:val="20"/>
                <w:szCs w:val="20"/>
              </w:rPr>
            </w:pPr>
            <w:r w:rsidRPr="00185C2E">
              <w:rPr>
                <w:rFonts w:asciiTheme="minorHAnsi" w:hAnsiTheme="minorHAnsi" w:cstheme="minorHAnsi"/>
                <w:bCs/>
                <w:sz w:val="20"/>
                <w:szCs w:val="20"/>
              </w:rPr>
              <w:t>s100</w:t>
            </w:r>
            <w:r w:rsidRPr="00185C2E">
              <w:rPr>
                <w:rFonts w:asciiTheme="minorHAnsi" w:hAnsiTheme="minorHAnsi" w:cstheme="minorHAnsi"/>
                <w:bCs/>
                <w:spacing w:val="79"/>
                <w:sz w:val="20"/>
                <w:szCs w:val="20"/>
              </w:rPr>
              <w:t xml:space="preserve"> </w:t>
            </w:r>
            <w:r w:rsidRPr="00185C2E">
              <w:rPr>
                <w:rFonts w:asciiTheme="minorHAnsi" w:hAnsiTheme="minorHAnsi" w:cstheme="minorHAnsi"/>
                <w:bCs/>
                <w:sz w:val="20"/>
                <w:szCs w:val="20"/>
              </w:rPr>
              <w:t>top-</w:t>
            </w:r>
            <w:r w:rsidRPr="00185C2E">
              <w:rPr>
                <w:rFonts w:asciiTheme="minorHAnsi" w:hAnsiTheme="minorHAnsi" w:cstheme="minorHAnsi"/>
                <w:bCs/>
                <w:spacing w:val="-5"/>
                <w:sz w:val="20"/>
                <w:szCs w:val="20"/>
              </w:rPr>
              <w:t>up</w:t>
            </w:r>
          </w:p>
        </w:tc>
        <w:tc>
          <w:tcPr>
            <w:tcW w:w="1795" w:type="dxa"/>
            <w:shd w:val="clear" w:color="auto" w:fill="CCD2D7"/>
          </w:tcPr>
          <w:p w14:paraId="096B306B" w14:textId="37032173" w:rsidR="00AD22C5" w:rsidRPr="00185C2E" w:rsidRDefault="00AD22C5" w:rsidP="00CD1BAE">
            <w:pPr>
              <w:pStyle w:val="TableParagraph"/>
              <w:spacing w:before="60" w:after="60"/>
              <w:ind w:left="134"/>
              <w:jc w:val="center"/>
              <w:rPr>
                <w:rFonts w:asciiTheme="minorHAnsi" w:hAnsiTheme="minorHAnsi" w:cstheme="minorHAnsi"/>
                <w:bCs/>
                <w:sz w:val="20"/>
                <w:szCs w:val="20"/>
              </w:rPr>
            </w:pPr>
            <w:r w:rsidRPr="00185C2E">
              <w:rPr>
                <w:rFonts w:asciiTheme="minorHAnsi" w:hAnsiTheme="minorHAnsi" w:cstheme="minorHAnsi"/>
                <w:bCs/>
                <w:spacing w:val="-5"/>
                <w:sz w:val="20"/>
                <w:szCs w:val="20"/>
              </w:rPr>
              <w:t>N/A</w:t>
            </w:r>
          </w:p>
        </w:tc>
        <w:tc>
          <w:tcPr>
            <w:tcW w:w="1796" w:type="dxa"/>
            <w:shd w:val="clear" w:color="auto" w:fill="CCD2D7"/>
          </w:tcPr>
          <w:p w14:paraId="702D2081" w14:textId="0C13484C" w:rsidR="00AD22C5" w:rsidRPr="00185C2E" w:rsidRDefault="00AD22C5" w:rsidP="00CD1BAE">
            <w:pPr>
              <w:pStyle w:val="TableParagraph"/>
              <w:spacing w:before="60" w:after="60"/>
              <w:ind w:left="134"/>
              <w:jc w:val="center"/>
              <w:rPr>
                <w:rFonts w:asciiTheme="minorHAnsi" w:hAnsiTheme="minorHAnsi" w:cstheme="minorHAnsi"/>
                <w:bCs/>
                <w:sz w:val="20"/>
                <w:szCs w:val="20"/>
              </w:rPr>
            </w:pPr>
            <w:r w:rsidRPr="00185C2E">
              <w:rPr>
                <w:rFonts w:asciiTheme="minorHAnsi" w:hAnsiTheme="minorHAnsi" w:cstheme="minorHAnsi"/>
                <w:bCs/>
                <w:spacing w:val="-5"/>
                <w:sz w:val="20"/>
                <w:szCs w:val="20"/>
              </w:rPr>
              <w:t>N/A</w:t>
            </w:r>
          </w:p>
        </w:tc>
        <w:tc>
          <w:tcPr>
            <w:tcW w:w="1795" w:type="dxa"/>
            <w:shd w:val="clear" w:color="auto" w:fill="CCD2D7"/>
          </w:tcPr>
          <w:p w14:paraId="0E44F871" w14:textId="777FE9E6" w:rsidR="00AD22C5" w:rsidRPr="00185C2E" w:rsidRDefault="00AD22C5" w:rsidP="00CD1BAE">
            <w:pPr>
              <w:pStyle w:val="TableParagraph"/>
              <w:spacing w:before="60" w:after="60"/>
              <w:ind w:left="134"/>
              <w:jc w:val="center"/>
              <w:rPr>
                <w:rFonts w:asciiTheme="minorHAnsi" w:hAnsiTheme="minorHAnsi" w:cstheme="minorHAnsi"/>
                <w:bCs/>
                <w:sz w:val="20"/>
                <w:szCs w:val="20"/>
              </w:rPr>
            </w:pPr>
            <w:r w:rsidRPr="00185C2E">
              <w:rPr>
                <w:rFonts w:asciiTheme="minorHAnsi" w:hAnsiTheme="minorHAnsi" w:cstheme="minorHAnsi"/>
                <w:bCs/>
                <w:spacing w:val="-2"/>
                <w:w w:val="105"/>
                <w:sz w:val="20"/>
                <w:szCs w:val="20"/>
              </w:rPr>
              <w:t>$78,624,234</w:t>
            </w:r>
          </w:p>
        </w:tc>
        <w:tc>
          <w:tcPr>
            <w:tcW w:w="1796" w:type="dxa"/>
            <w:shd w:val="clear" w:color="auto" w:fill="CCD2D7"/>
          </w:tcPr>
          <w:p w14:paraId="06FBB908" w14:textId="20FDCACB" w:rsidR="00AD22C5" w:rsidRPr="00185C2E" w:rsidRDefault="00AD22C5" w:rsidP="00CD1BAE">
            <w:pPr>
              <w:pStyle w:val="TableParagraph"/>
              <w:spacing w:before="60" w:after="60"/>
              <w:ind w:left="134"/>
              <w:jc w:val="center"/>
              <w:rPr>
                <w:rFonts w:asciiTheme="minorHAnsi" w:hAnsiTheme="minorHAnsi" w:cstheme="minorHAnsi"/>
                <w:bCs/>
                <w:sz w:val="20"/>
                <w:szCs w:val="20"/>
              </w:rPr>
            </w:pPr>
            <w:r w:rsidRPr="00185C2E">
              <w:rPr>
                <w:rFonts w:asciiTheme="minorHAnsi" w:hAnsiTheme="minorHAnsi" w:cstheme="minorHAnsi"/>
                <w:bCs/>
                <w:spacing w:val="-2"/>
                <w:w w:val="105"/>
                <w:sz w:val="20"/>
                <w:szCs w:val="20"/>
              </w:rPr>
              <w:t>$78,624,234*</w:t>
            </w:r>
          </w:p>
        </w:tc>
        <w:tc>
          <w:tcPr>
            <w:tcW w:w="1795" w:type="dxa"/>
            <w:shd w:val="clear" w:color="auto" w:fill="CCD2D7"/>
          </w:tcPr>
          <w:p w14:paraId="01F6214E" w14:textId="5F87F94C" w:rsidR="00AD22C5" w:rsidRPr="00185C2E" w:rsidRDefault="00AD22C5" w:rsidP="00CD1BAE">
            <w:pPr>
              <w:pStyle w:val="TableParagraph"/>
              <w:spacing w:before="60" w:after="60"/>
              <w:ind w:left="134"/>
              <w:jc w:val="center"/>
              <w:rPr>
                <w:rFonts w:asciiTheme="minorHAnsi" w:hAnsiTheme="minorHAnsi" w:cstheme="minorHAnsi"/>
                <w:bCs/>
                <w:sz w:val="20"/>
                <w:szCs w:val="20"/>
              </w:rPr>
            </w:pPr>
            <w:r w:rsidRPr="00185C2E">
              <w:rPr>
                <w:rFonts w:asciiTheme="minorHAnsi" w:hAnsiTheme="minorHAnsi" w:cstheme="minorHAnsi"/>
                <w:bCs/>
                <w:spacing w:val="-2"/>
                <w:w w:val="105"/>
                <w:sz w:val="20"/>
                <w:szCs w:val="20"/>
              </w:rPr>
              <w:t>$78,624,234*</w:t>
            </w:r>
          </w:p>
        </w:tc>
        <w:tc>
          <w:tcPr>
            <w:tcW w:w="1796" w:type="dxa"/>
            <w:shd w:val="clear" w:color="auto" w:fill="CCD2D7"/>
          </w:tcPr>
          <w:p w14:paraId="6A0FECC5" w14:textId="33D097B8" w:rsidR="00AD22C5" w:rsidRPr="00185C2E" w:rsidRDefault="00AD22C5" w:rsidP="00CD1BAE">
            <w:pPr>
              <w:pStyle w:val="TableParagraph"/>
              <w:spacing w:before="60" w:after="60"/>
              <w:ind w:left="134"/>
              <w:jc w:val="center"/>
              <w:rPr>
                <w:rFonts w:asciiTheme="minorHAnsi" w:hAnsiTheme="minorHAnsi" w:cstheme="minorHAnsi"/>
                <w:bCs/>
                <w:spacing w:val="-2"/>
                <w:w w:val="105"/>
                <w:sz w:val="20"/>
                <w:szCs w:val="20"/>
              </w:rPr>
            </w:pPr>
            <w:r w:rsidRPr="00185C2E">
              <w:rPr>
                <w:rFonts w:asciiTheme="minorHAnsi" w:hAnsiTheme="minorHAnsi" w:cstheme="minorHAnsi"/>
                <w:color w:val="000000"/>
                <w:sz w:val="20"/>
                <w:szCs w:val="20"/>
              </w:rPr>
              <w:t>$39,312,117*</w:t>
            </w:r>
          </w:p>
        </w:tc>
      </w:tr>
      <w:tr w:rsidR="00AD22C5" w:rsidRPr="00185C2E" w14:paraId="5B17B481" w14:textId="7FFB3D6B" w:rsidTr="00AD22C5">
        <w:trPr>
          <w:trHeight w:val="519"/>
        </w:trPr>
        <w:tc>
          <w:tcPr>
            <w:tcW w:w="1276" w:type="dxa"/>
            <w:shd w:val="clear" w:color="auto" w:fill="E7EAEC"/>
          </w:tcPr>
          <w:p w14:paraId="7220142E" w14:textId="6864DE93" w:rsidR="00AD22C5" w:rsidRPr="00185C2E" w:rsidRDefault="00AD22C5" w:rsidP="00A0105C">
            <w:pPr>
              <w:pStyle w:val="TableParagraph"/>
              <w:spacing w:before="60" w:after="60"/>
              <w:ind w:left="134"/>
              <w:rPr>
                <w:rFonts w:asciiTheme="minorHAnsi" w:hAnsiTheme="minorHAnsi" w:cstheme="minorHAnsi"/>
                <w:b/>
                <w:sz w:val="24"/>
                <w:szCs w:val="24"/>
              </w:rPr>
            </w:pPr>
            <w:r w:rsidRPr="00185C2E">
              <w:rPr>
                <w:rFonts w:asciiTheme="minorHAnsi" w:hAnsiTheme="minorHAnsi" w:cstheme="minorHAnsi"/>
                <w:b/>
                <w:w w:val="110"/>
                <w:sz w:val="24"/>
                <w:szCs w:val="24"/>
              </w:rPr>
              <w:t>IND</w:t>
            </w:r>
          </w:p>
        </w:tc>
        <w:tc>
          <w:tcPr>
            <w:tcW w:w="2126" w:type="dxa"/>
            <w:shd w:val="clear" w:color="auto" w:fill="E7EAEC"/>
          </w:tcPr>
          <w:p w14:paraId="53B32B89" w14:textId="3A8A0A49" w:rsidR="00AD22C5" w:rsidRPr="00185C2E" w:rsidRDefault="00AD22C5" w:rsidP="00A0105C">
            <w:pPr>
              <w:pStyle w:val="TableParagraph"/>
              <w:spacing w:before="60" w:after="60"/>
              <w:ind w:left="134"/>
              <w:rPr>
                <w:rFonts w:asciiTheme="minorHAnsi" w:hAnsiTheme="minorHAnsi" w:cstheme="minorHAnsi"/>
                <w:bCs/>
                <w:sz w:val="20"/>
                <w:szCs w:val="20"/>
              </w:rPr>
            </w:pPr>
            <w:r w:rsidRPr="00185C2E">
              <w:rPr>
                <w:rFonts w:asciiTheme="minorHAnsi" w:hAnsiTheme="minorHAnsi" w:cstheme="minorHAnsi"/>
                <w:bCs/>
                <w:spacing w:val="-2"/>
                <w:w w:val="110"/>
                <w:sz w:val="20"/>
                <w:szCs w:val="20"/>
              </w:rPr>
              <w:t xml:space="preserve">Forecasted Indexation </w:t>
            </w:r>
            <w:r w:rsidRPr="00185C2E">
              <w:rPr>
                <w:rFonts w:asciiTheme="minorHAnsi" w:hAnsiTheme="minorHAnsi" w:cstheme="minorHAnsi"/>
                <w:bCs/>
                <w:spacing w:val="-2"/>
                <w:sz w:val="20"/>
                <w:szCs w:val="20"/>
              </w:rPr>
              <w:t>contribution</w:t>
            </w:r>
          </w:p>
        </w:tc>
        <w:tc>
          <w:tcPr>
            <w:tcW w:w="1795" w:type="dxa"/>
            <w:shd w:val="clear" w:color="auto" w:fill="E7EAEC"/>
          </w:tcPr>
          <w:p w14:paraId="7EF0A883" w14:textId="08A8139D" w:rsidR="00AD22C5" w:rsidRPr="00185C2E" w:rsidRDefault="00AD22C5" w:rsidP="00A0105C">
            <w:pPr>
              <w:pStyle w:val="TableParagraph"/>
              <w:spacing w:before="60" w:after="60"/>
              <w:ind w:left="134"/>
              <w:jc w:val="center"/>
              <w:rPr>
                <w:rFonts w:asciiTheme="minorHAnsi" w:hAnsiTheme="minorHAnsi" w:cstheme="minorHAnsi"/>
                <w:bCs/>
                <w:sz w:val="20"/>
                <w:szCs w:val="20"/>
              </w:rPr>
            </w:pPr>
            <w:r w:rsidRPr="00185C2E">
              <w:rPr>
                <w:rFonts w:asciiTheme="minorHAnsi" w:hAnsiTheme="minorHAnsi" w:cstheme="minorHAnsi"/>
                <w:bCs/>
                <w:spacing w:val="-5"/>
                <w:sz w:val="20"/>
                <w:szCs w:val="20"/>
              </w:rPr>
              <w:t>N/A</w:t>
            </w:r>
          </w:p>
        </w:tc>
        <w:tc>
          <w:tcPr>
            <w:tcW w:w="1796" w:type="dxa"/>
            <w:shd w:val="clear" w:color="auto" w:fill="E7EAEC"/>
          </w:tcPr>
          <w:p w14:paraId="717DA30C" w14:textId="5C51C7AF" w:rsidR="00AD22C5" w:rsidRPr="00185C2E" w:rsidRDefault="00AD22C5" w:rsidP="00A0105C">
            <w:pPr>
              <w:pStyle w:val="TableParagraph"/>
              <w:spacing w:before="60" w:after="60"/>
              <w:ind w:left="134"/>
              <w:jc w:val="center"/>
              <w:rPr>
                <w:rFonts w:asciiTheme="minorHAnsi" w:hAnsiTheme="minorHAnsi" w:cstheme="minorHAnsi"/>
                <w:bCs/>
                <w:sz w:val="20"/>
                <w:szCs w:val="20"/>
              </w:rPr>
            </w:pPr>
            <w:r w:rsidRPr="00185C2E">
              <w:rPr>
                <w:rFonts w:asciiTheme="minorHAnsi" w:hAnsiTheme="minorHAnsi" w:cstheme="minorHAnsi"/>
                <w:color w:val="000000"/>
                <w:sz w:val="20"/>
                <w:szCs w:val="20"/>
              </w:rPr>
              <w:t>$7,316,000</w:t>
            </w:r>
            <w:r w:rsidRPr="00185C2E">
              <w:rPr>
                <w:rFonts w:asciiTheme="minorHAnsi" w:hAnsiTheme="minorHAnsi" w:cstheme="minorHAnsi"/>
                <w:b/>
                <w:spacing w:val="-2"/>
                <w:w w:val="105"/>
                <w:sz w:val="20"/>
                <w:szCs w:val="20"/>
                <w:vertAlign w:val="superscript"/>
              </w:rPr>
              <w:t>‡</w:t>
            </w:r>
          </w:p>
        </w:tc>
        <w:tc>
          <w:tcPr>
            <w:tcW w:w="1795" w:type="dxa"/>
            <w:shd w:val="clear" w:color="auto" w:fill="E7EAEC"/>
          </w:tcPr>
          <w:p w14:paraId="7BE4EE21" w14:textId="04F44474" w:rsidR="00AD22C5" w:rsidRPr="00185C2E" w:rsidRDefault="00AD22C5" w:rsidP="00A0105C">
            <w:pPr>
              <w:pStyle w:val="TableParagraph"/>
              <w:spacing w:before="60" w:after="60"/>
              <w:ind w:left="134"/>
              <w:jc w:val="center"/>
              <w:rPr>
                <w:rFonts w:asciiTheme="minorHAnsi" w:hAnsiTheme="minorHAnsi" w:cstheme="minorHAnsi"/>
                <w:bCs/>
                <w:sz w:val="20"/>
                <w:szCs w:val="20"/>
              </w:rPr>
            </w:pPr>
            <w:r w:rsidRPr="00185C2E">
              <w:rPr>
                <w:rFonts w:asciiTheme="minorHAnsi" w:hAnsiTheme="minorHAnsi" w:cstheme="minorHAnsi"/>
                <w:color w:val="000000"/>
                <w:sz w:val="20"/>
                <w:szCs w:val="20"/>
              </w:rPr>
              <w:t>$15,345,428</w:t>
            </w:r>
            <w:r w:rsidRPr="00185C2E">
              <w:rPr>
                <w:rFonts w:asciiTheme="minorHAnsi" w:hAnsiTheme="minorHAnsi" w:cstheme="minorHAnsi"/>
                <w:b/>
                <w:spacing w:val="-2"/>
                <w:w w:val="105"/>
                <w:sz w:val="20"/>
                <w:szCs w:val="20"/>
                <w:vertAlign w:val="superscript"/>
              </w:rPr>
              <w:t>‡</w:t>
            </w:r>
          </w:p>
        </w:tc>
        <w:tc>
          <w:tcPr>
            <w:tcW w:w="1796" w:type="dxa"/>
            <w:shd w:val="clear" w:color="auto" w:fill="E7EAEC"/>
          </w:tcPr>
          <w:p w14:paraId="1890620D" w14:textId="711D3D58" w:rsidR="00AD22C5" w:rsidRPr="00185C2E" w:rsidRDefault="00AD22C5" w:rsidP="00A0105C">
            <w:pPr>
              <w:pStyle w:val="TableParagraph"/>
              <w:spacing w:before="60" w:after="60"/>
              <w:ind w:left="134"/>
              <w:jc w:val="center"/>
              <w:rPr>
                <w:rFonts w:asciiTheme="minorHAnsi" w:hAnsiTheme="minorHAnsi" w:cstheme="minorHAnsi"/>
                <w:bCs/>
                <w:sz w:val="20"/>
                <w:szCs w:val="20"/>
              </w:rPr>
            </w:pPr>
            <w:r w:rsidRPr="00185C2E">
              <w:rPr>
                <w:rFonts w:asciiTheme="minorHAnsi" w:hAnsiTheme="minorHAnsi" w:cstheme="minorHAnsi"/>
                <w:color w:val="000000"/>
                <w:sz w:val="20"/>
                <w:szCs w:val="20"/>
              </w:rPr>
              <w:t>$25,146,550</w:t>
            </w:r>
            <w:r w:rsidRPr="00185C2E">
              <w:rPr>
                <w:rFonts w:asciiTheme="minorHAnsi" w:hAnsiTheme="minorHAnsi" w:cstheme="minorHAnsi"/>
                <w:b/>
                <w:spacing w:val="-2"/>
                <w:w w:val="105"/>
                <w:sz w:val="20"/>
                <w:szCs w:val="20"/>
                <w:vertAlign w:val="superscript"/>
              </w:rPr>
              <w:t>‡</w:t>
            </w:r>
          </w:p>
        </w:tc>
        <w:tc>
          <w:tcPr>
            <w:tcW w:w="1795" w:type="dxa"/>
            <w:shd w:val="clear" w:color="auto" w:fill="E7EAEC"/>
          </w:tcPr>
          <w:p w14:paraId="760E3C26" w14:textId="1CFE0E5A" w:rsidR="00AD22C5" w:rsidRPr="00185C2E" w:rsidRDefault="00AD22C5" w:rsidP="00A0105C">
            <w:pPr>
              <w:pStyle w:val="TableParagraph"/>
              <w:spacing w:before="60" w:after="60"/>
              <w:ind w:left="134"/>
              <w:jc w:val="center"/>
              <w:rPr>
                <w:rFonts w:asciiTheme="minorHAnsi" w:hAnsiTheme="minorHAnsi" w:cstheme="minorHAnsi"/>
                <w:bCs/>
                <w:sz w:val="20"/>
                <w:szCs w:val="20"/>
              </w:rPr>
            </w:pPr>
            <w:r w:rsidRPr="00185C2E">
              <w:rPr>
                <w:rFonts w:asciiTheme="minorHAnsi" w:hAnsiTheme="minorHAnsi" w:cstheme="minorHAnsi"/>
                <w:color w:val="000000"/>
                <w:sz w:val="20"/>
                <w:szCs w:val="20"/>
              </w:rPr>
              <w:t>$36,529,217</w:t>
            </w:r>
            <w:r w:rsidRPr="00185C2E">
              <w:rPr>
                <w:rFonts w:asciiTheme="minorHAnsi" w:hAnsiTheme="minorHAnsi" w:cstheme="minorHAnsi"/>
                <w:b/>
                <w:spacing w:val="-2"/>
                <w:w w:val="105"/>
                <w:sz w:val="20"/>
                <w:szCs w:val="20"/>
                <w:vertAlign w:val="superscript"/>
              </w:rPr>
              <w:t>‡</w:t>
            </w:r>
          </w:p>
        </w:tc>
        <w:tc>
          <w:tcPr>
            <w:tcW w:w="1796" w:type="dxa"/>
            <w:shd w:val="clear" w:color="auto" w:fill="E7EAEC"/>
          </w:tcPr>
          <w:p w14:paraId="64703BBD" w14:textId="3AC2AF51" w:rsidR="00AD22C5" w:rsidRPr="00185C2E" w:rsidRDefault="00AD22C5" w:rsidP="00A0105C">
            <w:pPr>
              <w:pStyle w:val="TableParagraph"/>
              <w:spacing w:before="60" w:after="60"/>
              <w:ind w:left="134"/>
              <w:jc w:val="center"/>
              <w:rPr>
                <w:rFonts w:asciiTheme="minorHAnsi" w:hAnsiTheme="minorHAnsi" w:cstheme="minorHAnsi"/>
                <w:bCs/>
                <w:spacing w:val="-2"/>
                <w:w w:val="105"/>
                <w:sz w:val="20"/>
                <w:szCs w:val="20"/>
              </w:rPr>
            </w:pPr>
            <w:r w:rsidRPr="00185C2E">
              <w:rPr>
                <w:rFonts w:asciiTheme="minorHAnsi" w:hAnsiTheme="minorHAnsi" w:cstheme="minorHAnsi"/>
                <w:color w:val="000000"/>
                <w:sz w:val="20"/>
                <w:szCs w:val="20"/>
              </w:rPr>
              <w:t>$25,605,568</w:t>
            </w:r>
            <w:r w:rsidRPr="00185C2E">
              <w:rPr>
                <w:rFonts w:asciiTheme="minorHAnsi" w:hAnsiTheme="minorHAnsi" w:cstheme="minorHAnsi"/>
                <w:b/>
                <w:spacing w:val="-2"/>
                <w:w w:val="105"/>
                <w:sz w:val="20"/>
                <w:szCs w:val="20"/>
                <w:vertAlign w:val="superscript"/>
              </w:rPr>
              <w:t>‡</w:t>
            </w:r>
          </w:p>
        </w:tc>
      </w:tr>
      <w:tr w:rsidR="00AD22C5" w:rsidRPr="00185C2E" w14:paraId="2A563A40" w14:textId="40B0A3E4" w:rsidTr="00AD22C5">
        <w:trPr>
          <w:trHeight w:val="635"/>
        </w:trPr>
        <w:tc>
          <w:tcPr>
            <w:tcW w:w="1276" w:type="dxa"/>
            <w:shd w:val="clear" w:color="auto" w:fill="CCD2D7"/>
          </w:tcPr>
          <w:p w14:paraId="2E9D45D3" w14:textId="54D99E93" w:rsidR="00AD22C5" w:rsidRPr="00185C2E" w:rsidRDefault="00AD22C5" w:rsidP="00A0105C">
            <w:pPr>
              <w:pStyle w:val="TableParagraph"/>
              <w:spacing w:before="60" w:after="60"/>
              <w:ind w:left="134"/>
              <w:rPr>
                <w:rFonts w:asciiTheme="minorHAnsi" w:hAnsiTheme="minorHAnsi" w:cstheme="minorHAnsi"/>
                <w:b/>
                <w:sz w:val="24"/>
                <w:szCs w:val="24"/>
              </w:rPr>
            </w:pPr>
            <w:r w:rsidRPr="00185C2E">
              <w:rPr>
                <w:rFonts w:asciiTheme="minorHAnsi" w:hAnsiTheme="minorHAnsi" w:cstheme="minorHAnsi"/>
                <w:b/>
                <w:w w:val="110"/>
                <w:sz w:val="24"/>
                <w:szCs w:val="24"/>
              </w:rPr>
              <w:t>TOT</w:t>
            </w:r>
          </w:p>
        </w:tc>
        <w:tc>
          <w:tcPr>
            <w:tcW w:w="2126" w:type="dxa"/>
            <w:shd w:val="clear" w:color="auto" w:fill="CCD2D7"/>
          </w:tcPr>
          <w:p w14:paraId="628C69A5" w14:textId="3419E269" w:rsidR="00AD22C5" w:rsidRPr="00185C2E" w:rsidRDefault="00AD22C5" w:rsidP="00A0105C">
            <w:pPr>
              <w:pStyle w:val="TableParagraph"/>
              <w:spacing w:before="60" w:after="60"/>
              <w:ind w:left="134"/>
              <w:rPr>
                <w:rFonts w:asciiTheme="minorHAnsi" w:hAnsiTheme="minorHAnsi" w:cstheme="minorHAnsi"/>
                <w:b/>
                <w:sz w:val="24"/>
                <w:szCs w:val="24"/>
              </w:rPr>
            </w:pPr>
            <w:r w:rsidRPr="00185C2E">
              <w:rPr>
                <w:rFonts w:asciiTheme="minorHAnsi" w:hAnsiTheme="minorHAnsi" w:cstheme="minorHAnsi"/>
                <w:b/>
                <w:w w:val="110"/>
                <w:sz w:val="24"/>
                <w:szCs w:val="24"/>
              </w:rPr>
              <w:t>TOTAL</w:t>
            </w:r>
            <w:r w:rsidRPr="00185C2E">
              <w:rPr>
                <w:rFonts w:asciiTheme="minorHAnsi" w:hAnsiTheme="minorHAnsi" w:cstheme="minorHAnsi"/>
                <w:b/>
                <w:spacing w:val="-8"/>
                <w:w w:val="110"/>
                <w:sz w:val="24"/>
                <w:szCs w:val="24"/>
              </w:rPr>
              <w:t xml:space="preserve"> </w:t>
            </w:r>
            <w:r w:rsidRPr="00185C2E">
              <w:rPr>
                <w:rFonts w:asciiTheme="minorHAnsi" w:hAnsiTheme="minorHAnsi" w:cstheme="minorHAnsi"/>
                <w:b/>
                <w:w w:val="110"/>
                <w:sz w:val="24"/>
                <w:szCs w:val="24"/>
              </w:rPr>
              <w:t>CSO</w:t>
            </w:r>
            <w:r w:rsidRPr="00185C2E">
              <w:rPr>
                <w:rFonts w:asciiTheme="minorHAnsi" w:hAnsiTheme="minorHAnsi" w:cstheme="minorHAnsi"/>
                <w:b/>
                <w:spacing w:val="-10"/>
                <w:w w:val="110"/>
                <w:sz w:val="24"/>
                <w:szCs w:val="24"/>
              </w:rPr>
              <w:t xml:space="preserve"> </w:t>
            </w:r>
            <w:r w:rsidRPr="00185C2E">
              <w:rPr>
                <w:rFonts w:asciiTheme="minorHAnsi" w:hAnsiTheme="minorHAnsi" w:cstheme="minorHAnsi"/>
                <w:b/>
                <w:spacing w:val="-4"/>
                <w:w w:val="110"/>
                <w:sz w:val="24"/>
                <w:szCs w:val="24"/>
              </w:rPr>
              <w:t>Pool</w:t>
            </w:r>
            <w:r w:rsidR="00185C2E">
              <w:rPr>
                <w:rFonts w:asciiTheme="minorHAnsi" w:hAnsiTheme="minorHAnsi" w:cstheme="minorHAnsi"/>
                <w:b/>
                <w:spacing w:val="-4"/>
                <w:w w:val="110"/>
                <w:sz w:val="24"/>
                <w:szCs w:val="24"/>
              </w:rPr>
              <w:t xml:space="preserve"> by year</w:t>
            </w:r>
          </w:p>
        </w:tc>
        <w:tc>
          <w:tcPr>
            <w:tcW w:w="1795" w:type="dxa"/>
            <w:shd w:val="clear" w:color="auto" w:fill="CCD2D7"/>
          </w:tcPr>
          <w:p w14:paraId="6FCABB45" w14:textId="59A1D641" w:rsidR="00AD22C5" w:rsidRPr="00185C2E" w:rsidRDefault="00AD22C5" w:rsidP="00A0105C">
            <w:pPr>
              <w:pStyle w:val="TableParagraph"/>
              <w:spacing w:before="60" w:after="60"/>
              <w:ind w:left="134"/>
              <w:jc w:val="center"/>
              <w:rPr>
                <w:rFonts w:asciiTheme="minorHAnsi" w:hAnsiTheme="minorHAnsi" w:cstheme="minorHAnsi"/>
                <w:b/>
                <w:sz w:val="24"/>
                <w:szCs w:val="24"/>
              </w:rPr>
            </w:pPr>
            <w:r w:rsidRPr="00185C2E">
              <w:rPr>
                <w:rFonts w:asciiTheme="minorHAnsi" w:hAnsiTheme="minorHAnsi" w:cstheme="minorHAnsi"/>
                <w:b/>
                <w:spacing w:val="-2"/>
                <w:w w:val="105"/>
                <w:sz w:val="24"/>
                <w:szCs w:val="24"/>
              </w:rPr>
              <w:t>$142,500,000</w:t>
            </w:r>
          </w:p>
        </w:tc>
        <w:tc>
          <w:tcPr>
            <w:tcW w:w="1796" w:type="dxa"/>
            <w:shd w:val="clear" w:color="auto" w:fill="CCD2D7"/>
          </w:tcPr>
          <w:p w14:paraId="4F7F34E2" w14:textId="2C8D1B82" w:rsidR="00AD22C5" w:rsidRPr="00185C2E" w:rsidRDefault="00AD22C5" w:rsidP="00A0105C">
            <w:pPr>
              <w:pStyle w:val="TableParagraph"/>
              <w:spacing w:before="60" w:after="60"/>
              <w:ind w:left="134"/>
              <w:jc w:val="center"/>
              <w:rPr>
                <w:rFonts w:asciiTheme="minorHAnsi" w:hAnsiTheme="minorHAnsi" w:cstheme="minorHAnsi"/>
                <w:b/>
                <w:sz w:val="24"/>
                <w:szCs w:val="24"/>
              </w:rPr>
            </w:pPr>
            <w:r w:rsidRPr="00185C2E">
              <w:rPr>
                <w:rFonts w:asciiTheme="minorHAnsi" w:hAnsiTheme="minorHAnsi" w:cstheme="minorHAnsi"/>
                <w:b/>
                <w:color w:val="000000"/>
                <w:sz w:val="24"/>
                <w:szCs w:val="24"/>
              </w:rPr>
              <w:t>$253,316,000</w:t>
            </w:r>
            <w:r w:rsidRPr="00185C2E">
              <w:rPr>
                <w:rFonts w:asciiTheme="minorHAnsi" w:hAnsiTheme="minorHAnsi" w:cstheme="minorHAnsi"/>
                <w:b/>
                <w:spacing w:val="-2"/>
                <w:w w:val="105"/>
                <w:sz w:val="24"/>
                <w:szCs w:val="24"/>
                <w:vertAlign w:val="superscript"/>
              </w:rPr>
              <w:t>‡</w:t>
            </w:r>
          </w:p>
        </w:tc>
        <w:tc>
          <w:tcPr>
            <w:tcW w:w="1795" w:type="dxa"/>
            <w:shd w:val="clear" w:color="auto" w:fill="CCD2D7"/>
          </w:tcPr>
          <w:p w14:paraId="5E1CB4D1" w14:textId="4BB8B22D" w:rsidR="00AD22C5" w:rsidRPr="00185C2E" w:rsidRDefault="00AD22C5" w:rsidP="00A0105C">
            <w:pPr>
              <w:pStyle w:val="TableParagraph"/>
              <w:spacing w:before="60" w:after="60"/>
              <w:ind w:left="134"/>
              <w:jc w:val="center"/>
              <w:rPr>
                <w:rFonts w:asciiTheme="minorHAnsi" w:hAnsiTheme="minorHAnsi" w:cstheme="minorHAnsi"/>
                <w:b/>
                <w:sz w:val="24"/>
                <w:szCs w:val="24"/>
              </w:rPr>
            </w:pPr>
            <w:r w:rsidRPr="00185C2E">
              <w:rPr>
                <w:rFonts w:asciiTheme="minorHAnsi" w:hAnsiTheme="minorHAnsi" w:cstheme="minorHAnsi"/>
                <w:b/>
                <w:color w:val="000000"/>
                <w:sz w:val="24"/>
                <w:szCs w:val="24"/>
              </w:rPr>
              <w:t>$445,505,55</w:t>
            </w:r>
            <w:r w:rsidR="00414C10">
              <w:rPr>
                <w:rFonts w:asciiTheme="minorHAnsi" w:hAnsiTheme="minorHAnsi" w:cstheme="minorHAnsi"/>
                <w:b/>
                <w:color w:val="000000"/>
                <w:sz w:val="24"/>
                <w:szCs w:val="24"/>
              </w:rPr>
              <w:t>3</w:t>
            </w:r>
            <w:r w:rsidRPr="00185C2E">
              <w:rPr>
                <w:rFonts w:asciiTheme="minorHAnsi" w:hAnsiTheme="minorHAnsi" w:cstheme="minorHAnsi"/>
                <w:b/>
                <w:spacing w:val="-2"/>
                <w:w w:val="105"/>
                <w:sz w:val="24"/>
                <w:szCs w:val="24"/>
                <w:vertAlign w:val="superscript"/>
              </w:rPr>
              <w:t>‡</w:t>
            </w:r>
          </w:p>
        </w:tc>
        <w:tc>
          <w:tcPr>
            <w:tcW w:w="1796" w:type="dxa"/>
            <w:shd w:val="clear" w:color="auto" w:fill="CCD2D7"/>
          </w:tcPr>
          <w:p w14:paraId="0E51934A" w14:textId="592D4E4E" w:rsidR="00AD22C5" w:rsidRPr="00185C2E" w:rsidRDefault="00AD22C5" w:rsidP="00A0105C">
            <w:pPr>
              <w:pStyle w:val="TableParagraph"/>
              <w:spacing w:before="60" w:after="60"/>
              <w:ind w:left="134"/>
              <w:jc w:val="center"/>
              <w:rPr>
                <w:rFonts w:asciiTheme="minorHAnsi" w:hAnsiTheme="minorHAnsi" w:cstheme="minorHAnsi"/>
                <w:b/>
                <w:sz w:val="24"/>
                <w:szCs w:val="24"/>
              </w:rPr>
            </w:pPr>
            <w:r w:rsidRPr="00185C2E">
              <w:rPr>
                <w:rFonts w:asciiTheme="minorHAnsi" w:hAnsiTheme="minorHAnsi" w:cstheme="minorHAnsi"/>
                <w:b/>
                <w:color w:val="000000"/>
                <w:sz w:val="24"/>
                <w:szCs w:val="24"/>
              </w:rPr>
              <w:t>$455,306,67</w:t>
            </w:r>
            <w:r w:rsidR="00414C10">
              <w:rPr>
                <w:rFonts w:asciiTheme="minorHAnsi" w:hAnsiTheme="minorHAnsi" w:cstheme="minorHAnsi"/>
                <w:b/>
                <w:color w:val="000000"/>
                <w:sz w:val="24"/>
                <w:szCs w:val="24"/>
              </w:rPr>
              <w:t>5</w:t>
            </w:r>
            <w:r w:rsidRPr="00185C2E">
              <w:rPr>
                <w:rFonts w:asciiTheme="minorHAnsi" w:hAnsiTheme="minorHAnsi" w:cstheme="minorHAnsi"/>
                <w:b/>
                <w:spacing w:val="-2"/>
                <w:w w:val="105"/>
                <w:sz w:val="24"/>
                <w:szCs w:val="24"/>
                <w:vertAlign w:val="superscript"/>
              </w:rPr>
              <w:t>‡</w:t>
            </w:r>
          </w:p>
        </w:tc>
        <w:tc>
          <w:tcPr>
            <w:tcW w:w="1795" w:type="dxa"/>
            <w:shd w:val="clear" w:color="auto" w:fill="CCD2D7"/>
          </w:tcPr>
          <w:p w14:paraId="6A8C3DCB" w14:textId="298DED24" w:rsidR="00AD22C5" w:rsidRPr="00185C2E" w:rsidRDefault="00AD22C5" w:rsidP="00A0105C">
            <w:pPr>
              <w:pStyle w:val="TableParagraph"/>
              <w:spacing w:before="60" w:after="60"/>
              <w:ind w:left="134"/>
              <w:jc w:val="center"/>
              <w:rPr>
                <w:rFonts w:asciiTheme="minorHAnsi" w:hAnsiTheme="minorHAnsi" w:cstheme="minorHAnsi"/>
                <w:b/>
                <w:sz w:val="24"/>
                <w:szCs w:val="24"/>
              </w:rPr>
            </w:pPr>
            <w:r w:rsidRPr="00185C2E">
              <w:rPr>
                <w:rFonts w:asciiTheme="minorHAnsi" w:hAnsiTheme="minorHAnsi" w:cstheme="minorHAnsi"/>
                <w:b/>
                <w:color w:val="000000"/>
                <w:sz w:val="24"/>
                <w:szCs w:val="24"/>
              </w:rPr>
              <w:t>$466,689,34</w:t>
            </w:r>
            <w:r w:rsidR="00414C10">
              <w:rPr>
                <w:rFonts w:asciiTheme="minorHAnsi" w:hAnsiTheme="minorHAnsi" w:cstheme="minorHAnsi"/>
                <w:b/>
                <w:color w:val="000000"/>
                <w:sz w:val="24"/>
                <w:szCs w:val="24"/>
              </w:rPr>
              <w:t>2</w:t>
            </w:r>
            <w:r w:rsidRPr="00185C2E">
              <w:rPr>
                <w:rFonts w:asciiTheme="minorHAnsi" w:hAnsiTheme="minorHAnsi" w:cstheme="minorHAnsi"/>
                <w:b/>
                <w:spacing w:val="-2"/>
                <w:w w:val="105"/>
                <w:sz w:val="24"/>
                <w:szCs w:val="24"/>
                <w:vertAlign w:val="superscript"/>
              </w:rPr>
              <w:t>‡</w:t>
            </w:r>
          </w:p>
        </w:tc>
        <w:tc>
          <w:tcPr>
            <w:tcW w:w="1796" w:type="dxa"/>
            <w:shd w:val="clear" w:color="auto" w:fill="CCD2D7"/>
          </w:tcPr>
          <w:p w14:paraId="538C40B0" w14:textId="125EC9FE" w:rsidR="00AD22C5" w:rsidRPr="00185C2E" w:rsidRDefault="00AD22C5" w:rsidP="00A0105C">
            <w:pPr>
              <w:pStyle w:val="TableParagraph"/>
              <w:spacing w:before="60" w:after="60"/>
              <w:ind w:left="134"/>
              <w:jc w:val="center"/>
              <w:rPr>
                <w:rFonts w:asciiTheme="minorHAnsi" w:hAnsiTheme="minorHAnsi" w:cstheme="minorHAnsi"/>
                <w:b/>
                <w:spacing w:val="-2"/>
                <w:w w:val="105"/>
                <w:sz w:val="24"/>
                <w:szCs w:val="24"/>
              </w:rPr>
            </w:pPr>
            <w:r w:rsidRPr="00185C2E">
              <w:rPr>
                <w:rFonts w:asciiTheme="minorHAnsi" w:hAnsiTheme="minorHAnsi" w:cstheme="minorHAnsi"/>
                <w:b/>
                <w:color w:val="000000"/>
                <w:sz w:val="24"/>
                <w:szCs w:val="24"/>
              </w:rPr>
              <w:t>$251,185,631</w:t>
            </w:r>
            <w:r w:rsidRPr="00185C2E">
              <w:rPr>
                <w:rFonts w:asciiTheme="minorHAnsi" w:hAnsiTheme="minorHAnsi" w:cstheme="minorHAnsi"/>
                <w:b/>
                <w:spacing w:val="-2"/>
                <w:w w:val="105"/>
                <w:sz w:val="24"/>
                <w:szCs w:val="24"/>
                <w:vertAlign w:val="superscript"/>
              </w:rPr>
              <w:t>‡</w:t>
            </w:r>
          </w:p>
        </w:tc>
      </w:tr>
      <w:tr w:rsidR="00AD22C5" w:rsidRPr="00185C2E" w14:paraId="2B140EC5" w14:textId="77777777" w:rsidTr="00AD22C5">
        <w:trPr>
          <w:trHeight w:val="635"/>
        </w:trPr>
        <w:tc>
          <w:tcPr>
            <w:tcW w:w="1276" w:type="dxa"/>
            <w:shd w:val="clear" w:color="auto" w:fill="CCD2D7"/>
          </w:tcPr>
          <w:p w14:paraId="573B7E5D" w14:textId="77777777" w:rsidR="00AD22C5" w:rsidRPr="00185C2E" w:rsidRDefault="00AD22C5" w:rsidP="00CD1BAE">
            <w:pPr>
              <w:pStyle w:val="TableParagraph"/>
              <w:spacing w:before="60" w:after="60"/>
              <w:ind w:left="134"/>
              <w:rPr>
                <w:rFonts w:asciiTheme="minorHAnsi" w:hAnsiTheme="minorHAnsi" w:cstheme="minorHAnsi"/>
                <w:b/>
                <w:w w:val="110"/>
                <w:sz w:val="20"/>
                <w:szCs w:val="20"/>
              </w:rPr>
            </w:pPr>
          </w:p>
        </w:tc>
        <w:tc>
          <w:tcPr>
            <w:tcW w:w="2126" w:type="dxa"/>
            <w:shd w:val="clear" w:color="auto" w:fill="CCD2D7"/>
          </w:tcPr>
          <w:p w14:paraId="206BA714" w14:textId="4C07CB8D" w:rsidR="00AD22C5" w:rsidRPr="00185C2E" w:rsidRDefault="00185C2E" w:rsidP="00CD1BAE">
            <w:pPr>
              <w:pStyle w:val="TableParagraph"/>
              <w:spacing w:before="60" w:after="60"/>
              <w:ind w:left="134"/>
              <w:rPr>
                <w:rFonts w:asciiTheme="minorHAnsi" w:hAnsiTheme="minorHAnsi" w:cstheme="minorHAnsi"/>
                <w:b/>
                <w:w w:val="110"/>
              </w:rPr>
            </w:pPr>
            <w:r>
              <w:rPr>
                <w:rFonts w:asciiTheme="minorHAnsi" w:hAnsiTheme="minorHAnsi" w:cstheme="minorHAnsi"/>
                <w:b/>
                <w:w w:val="110"/>
                <w:sz w:val="24"/>
                <w:szCs w:val="24"/>
              </w:rPr>
              <w:t xml:space="preserve">Overall </w:t>
            </w:r>
            <w:r w:rsidR="00AD22C5" w:rsidRPr="00185C2E">
              <w:rPr>
                <w:rFonts w:asciiTheme="minorHAnsi" w:hAnsiTheme="minorHAnsi" w:cstheme="minorHAnsi"/>
                <w:b/>
                <w:w w:val="110"/>
                <w:sz w:val="24"/>
                <w:szCs w:val="24"/>
              </w:rPr>
              <w:t>Total</w:t>
            </w:r>
            <w:r w:rsidR="00AD22C5" w:rsidRPr="00185C2E">
              <w:rPr>
                <w:rFonts w:asciiTheme="minorHAnsi" w:hAnsiTheme="minorHAnsi" w:cstheme="minorHAnsi"/>
                <w:b/>
                <w:w w:val="110"/>
              </w:rPr>
              <w:br/>
              <w:t>1/1/25 – 31/12</w:t>
            </w:r>
            <w:r w:rsidR="00E7296B">
              <w:rPr>
                <w:rFonts w:asciiTheme="minorHAnsi" w:hAnsiTheme="minorHAnsi" w:cstheme="minorHAnsi"/>
                <w:b/>
                <w:w w:val="110"/>
              </w:rPr>
              <w:t>/</w:t>
            </w:r>
            <w:r w:rsidR="00AD22C5" w:rsidRPr="00185C2E">
              <w:rPr>
                <w:rFonts w:asciiTheme="minorHAnsi" w:hAnsiTheme="minorHAnsi" w:cstheme="minorHAnsi"/>
                <w:b/>
                <w:w w:val="110"/>
              </w:rPr>
              <w:t>29</w:t>
            </w:r>
          </w:p>
        </w:tc>
        <w:tc>
          <w:tcPr>
            <w:tcW w:w="1795" w:type="dxa"/>
            <w:shd w:val="clear" w:color="auto" w:fill="CCD2D7"/>
          </w:tcPr>
          <w:p w14:paraId="4FC8E947" w14:textId="77777777" w:rsidR="00AD22C5" w:rsidRPr="00185C2E" w:rsidRDefault="00AD22C5" w:rsidP="00CD1BAE">
            <w:pPr>
              <w:pStyle w:val="TableParagraph"/>
              <w:spacing w:before="60" w:after="60"/>
              <w:ind w:left="134"/>
              <w:jc w:val="center"/>
              <w:rPr>
                <w:rFonts w:asciiTheme="minorHAnsi" w:hAnsiTheme="minorHAnsi" w:cstheme="minorHAnsi"/>
                <w:b/>
                <w:spacing w:val="-2"/>
                <w:w w:val="105"/>
              </w:rPr>
            </w:pPr>
          </w:p>
        </w:tc>
        <w:tc>
          <w:tcPr>
            <w:tcW w:w="1796" w:type="dxa"/>
            <w:shd w:val="clear" w:color="auto" w:fill="CCD2D7"/>
          </w:tcPr>
          <w:p w14:paraId="69AA1930" w14:textId="77777777" w:rsidR="00AD22C5" w:rsidRPr="00185C2E" w:rsidRDefault="00AD22C5" w:rsidP="00CD1BAE">
            <w:pPr>
              <w:pStyle w:val="TableParagraph"/>
              <w:spacing w:before="60" w:after="60"/>
              <w:ind w:left="134"/>
              <w:jc w:val="center"/>
              <w:rPr>
                <w:rFonts w:asciiTheme="minorHAnsi" w:hAnsiTheme="minorHAnsi" w:cstheme="minorHAnsi"/>
                <w:b/>
                <w:spacing w:val="-2"/>
                <w:w w:val="105"/>
              </w:rPr>
            </w:pPr>
          </w:p>
        </w:tc>
        <w:tc>
          <w:tcPr>
            <w:tcW w:w="1795" w:type="dxa"/>
            <w:shd w:val="clear" w:color="auto" w:fill="CCD2D7"/>
          </w:tcPr>
          <w:p w14:paraId="3D9542D2" w14:textId="77777777" w:rsidR="00AD22C5" w:rsidRPr="00185C2E" w:rsidRDefault="00AD22C5" w:rsidP="00CD1BAE">
            <w:pPr>
              <w:pStyle w:val="TableParagraph"/>
              <w:spacing w:before="60" w:after="60"/>
              <w:ind w:left="134"/>
              <w:jc w:val="center"/>
              <w:rPr>
                <w:rFonts w:asciiTheme="minorHAnsi" w:hAnsiTheme="minorHAnsi" w:cstheme="minorHAnsi"/>
                <w:b/>
                <w:spacing w:val="-2"/>
                <w:w w:val="105"/>
              </w:rPr>
            </w:pPr>
          </w:p>
        </w:tc>
        <w:tc>
          <w:tcPr>
            <w:tcW w:w="1796" w:type="dxa"/>
            <w:shd w:val="clear" w:color="auto" w:fill="CCD2D7"/>
          </w:tcPr>
          <w:p w14:paraId="223139D9" w14:textId="77777777" w:rsidR="00AD22C5" w:rsidRPr="00185C2E" w:rsidRDefault="00AD22C5" w:rsidP="00CD1BAE">
            <w:pPr>
              <w:pStyle w:val="TableParagraph"/>
              <w:spacing w:before="60" w:after="60"/>
              <w:ind w:left="134"/>
              <w:jc w:val="center"/>
              <w:rPr>
                <w:rFonts w:asciiTheme="minorHAnsi" w:hAnsiTheme="minorHAnsi" w:cstheme="minorHAnsi"/>
                <w:b/>
                <w:spacing w:val="-2"/>
                <w:w w:val="105"/>
              </w:rPr>
            </w:pPr>
          </w:p>
        </w:tc>
        <w:tc>
          <w:tcPr>
            <w:tcW w:w="1795" w:type="dxa"/>
            <w:shd w:val="clear" w:color="auto" w:fill="CCD2D7"/>
          </w:tcPr>
          <w:p w14:paraId="5584FF37" w14:textId="77777777" w:rsidR="00AD22C5" w:rsidRPr="00185C2E" w:rsidRDefault="00AD22C5" w:rsidP="00CD1BAE">
            <w:pPr>
              <w:pStyle w:val="TableParagraph"/>
              <w:spacing w:before="60" w:after="60"/>
              <w:ind w:left="134"/>
              <w:jc w:val="center"/>
              <w:rPr>
                <w:rFonts w:asciiTheme="minorHAnsi" w:hAnsiTheme="minorHAnsi" w:cstheme="minorHAnsi"/>
                <w:b/>
                <w:spacing w:val="-2"/>
                <w:w w:val="105"/>
              </w:rPr>
            </w:pPr>
          </w:p>
        </w:tc>
        <w:tc>
          <w:tcPr>
            <w:tcW w:w="1796" w:type="dxa"/>
            <w:shd w:val="clear" w:color="auto" w:fill="CCD2D7"/>
          </w:tcPr>
          <w:p w14:paraId="6A3FC276" w14:textId="63B245D6" w:rsidR="00AD22C5" w:rsidRPr="00185C2E" w:rsidRDefault="00AD22C5" w:rsidP="00A0105C">
            <w:pPr>
              <w:jc w:val="center"/>
              <w:rPr>
                <w:rFonts w:asciiTheme="minorHAnsi" w:hAnsiTheme="minorHAnsi" w:cstheme="minorHAnsi"/>
                <w:b/>
                <w:color w:val="000000"/>
                <w:sz w:val="22"/>
                <w:szCs w:val="22"/>
              </w:rPr>
            </w:pPr>
            <w:r w:rsidRPr="00185C2E">
              <w:rPr>
                <w:rFonts w:asciiTheme="minorHAnsi" w:hAnsiTheme="minorHAnsi" w:cstheme="minorHAnsi"/>
                <w:b/>
                <w:color w:val="000000"/>
                <w:sz w:val="22"/>
                <w:szCs w:val="22"/>
              </w:rPr>
              <w:t>$2,014,503,20</w:t>
            </w:r>
            <w:r w:rsidR="00414C10">
              <w:rPr>
                <w:rFonts w:asciiTheme="minorHAnsi" w:hAnsiTheme="minorHAnsi" w:cstheme="minorHAnsi"/>
                <w:b/>
                <w:color w:val="000000"/>
                <w:sz w:val="22"/>
                <w:szCs w:val="22"/>
              </w:rPr>
              <w:t>1</w:t>
            </w:r>
            <w:r w:rsidRPr="00185C2E">
              <w:rPr>
                <w:rFonts w:asciiTheme="minorHAnsi" w:hAnsiTheme="minorHAnsi" w:cstheme="minorHAnsi"/>
                <w:b/>
                <w:spacing w:val="-2"/>
                <w:w w:val="105"/>
                <w:sz w:val="22"/>
                <w:szCs w:val="22"/>
                <w:vertAlign w:val="superscript"/>
              </w:rPr>
              <w:t>‡</w:t>
            </w:r>
          </w:p>
        </w:tc>
      </w:tr>
    </w:tbl>
    <w:p w14:paraId="73F6DE4B" w14:textId="77777777" w:rsidR="00807494" w:rsidRDefault="00807494" w:rsidP="00807494">
      <w:pPr>
        <w:pStyle w:val="BodyText"/>
        <w:spacing w:before="27" w:line="266" w:lineRule="exact"/>
        <w:rPr>
          <w:spacing w:val="-2"/>
          <w:w w:val="110"/>
          <w:u w:val="single"/>
        </w:rPr>
      </w:pPr>
      <w:r>
        <w:rPr>
          <w:spacing w:val="-2"/>
          <w:w w:val="110"/>
          <w:u w:val="single"/>
        </w:rPr>
        <w:t xml:space="preserve">Notes: </w:t>
      </w:r>
    </w:p>
    <w:p w14:paraId="503C99A5" w14:textId="63B27527" w:rsidR="00807494" w:rsidRDefault="00C067CA" w:rsidP="00807494">
      <w:pPr>
        <w:pStyle w:val="BodyText"/>
        <w:spacing w:before="27" w:line="266" w:lineRule="exact"/>
      </w:pPr>
      <w:r w:rsidRPr="00984129">
        <w:rPr>
          <w:b/>
          <w:bCs/>
          <w:sz w:val="24"/>
          <w:szCs w:val="24"/>
        </w:rPr>
        <w:t>*</w:t>
      </w:r>
      <w:r>
        <w:t xml:space="preserve"> = </w:t>
      </w:r>
      <w:r w:rsidR="00AD22C5">
        <w:t xml:space="preserve">to be </w:t>
      </w:r>
      <w:r>
        <w:t>indexed from the previous year’s amount, as estimated in the IND row.</w:t>
      </w:r>
    </w:p>
    <w:p w14:paraId="52DD539B" w14:textId="7ADB51DE" w:rsidR="00C067CA" w:rsidRDefault="00984129" w:rsidP="00807494">
      <w:pPr>
        <w:pStyle w:val="BodyText"/>
        <w:spacing w:before="27" w:line="266" w:lineRule="exact"/>
      </w:pPr>
      <w:r w:rsidRPr="00984129">
        <w:rPr>
          <w:rFonts w:asciiTheme="minorHAnsi" w:hAnsiTheme="minorHAnsi" w:cstheme="minorHAnsi"/>
          <w:b/>
          <w:spacing w:val="-2"/>
          <w:w w:val="105"/>
          <w:sz w:val="20"/>
          <w:szCs w:val="20"/>
        </w:rPr>
        <w:t>‡</w:t>
      </w:r>
      <w:r w:rsidR="00C067CA">
        <w:t xml:space="preserve"> = forecast amount, to be replaced by actual when </w:t>
      </w:r>
      <w:r w:rsidR="00AD22C5">
        <w:t xml:space="preserve">indexation figures </w:t>
      </w:r>
      <w:r>
        <w:t>available</w:t>
      </w:r>
      <w:r w:rsidR="00C067CA">
        <w:t>.</w:t>
      </w:r>
    </w:p>
    <w:p w14:paraId="50C7D3C0" w14:textId="77777777" w:rsidR="004855A6" w:rsidRDefault="004855A6"/>
    <w:p w14:paraId="70A18953" w14:textId="77777777" w:rsidR="004855A6" w:rsidRDefault="004855A6">
      <w:pPr>
        <w:sectPr w:rsidR="004855A6" w:rsidSect="00AE060F">
          <w:pgSz w:w="16838" w:h="11906" w:orient="landscape" w:code="9"/>
          <w:pgMar w:top="1418" w:right="1560" w:bottom="1133" w:left="1418" w:header="567" w:footer="659" w:gutter="0"/>
          <w:cols w:space="708"/>
          <w:docGrid w:linePitch="360"/>
        </w:sectPr>
      </w:pPr>
    </w:p>
    <w:p w14:paraId="28796744" w14:textId="569C39BC" w:rsidR="004960EF" w:rsidRPr="000555F6" w:rsidRDefault="00263053" w:rsidP="00263053">
      <w:pPr>
        <w:pStyle w:val="mainTitle"/>
      </w:pPr>
      <w:bookmarkStart w:id="583" w:name="_Toc185417688"/>
      <w:r>
        <w:lastRenderedPageBreak/>
        <w:t xml:space="preserve">Appendix </w:t>
      </w:r>
      <w:r w:rsidR="004855A6">
        <w:t>C</w:t>
      </w:r>
      <w:r>
        <w:t xml:space="preserve"> – </w:t>
      </w:r>
      <w:r w:rsidRPr="000555F6">
        <w:t xml:space="preserve">Terms of </w:t>
      </w:r>
      <w:r w:rsidR="007B16BA" w:rsidRPr="000555F6">
        <w:t>R</w:t>
      </w:r>
      <w:r w:rsidRPr="000555F6">
        <w:t>eference for the Pharmaceutical Wholesaler Agreement Oversight Committee</w:t>
      </w:r>
      <w:bookmarkEnd w:id="583"/>
      <w:r w:rsidRPr="000555F6">
        <w:t xml:space="preserve"> </w:t>
      </w:r>
    </w:p>
    <w:p w14:paraId="4F05AEEF" w14:textId="77777777" w:rsidR="00B80ECF" w:rsidRPr="000555F6" w:rsidRDefault="00B80ECF" w:rsidP="00B80ECF"/>
    <w:p w14:paraId="7F71C81F" w14:textId="3A591BB6" w:rsidR="00B80ECF" w:rsidRPr="000555F6" w:rsidRDefault="00B80ECF" w:rsidP="00327AAB">
      <w:pPr>
        <w:pStyle w:val="ListParagraph"/>
        <w:numPr>
          <w:ilvl w:val="0"/>
          <w:numId w:val="18"/>
        </w:numPr>
        <w:spacing w:before="240"/>
        <w:ind w:left="284"/>
        <w:contextualSpacing w:val="0"/>
        <w:rPr>
          <w:b/>
          <w:bCs/>
        </w:rPr>
      </w:pPr>
      <w:r w:rsidRPr="000555F6">
        <w:rPr>
          <w:b/>
          <w:bCs/>
        </w:rPr>
        <w:t>Title of Committee</w:t>
      </w:r>
    </w:p>
    <w:p w14:paraId="1C1DF164" w14:textId="77F800A2" w:rsidR="00B80ECF" w:rsidRPr="000555F6" w:rsidRDefault="00B80ECF" w:rsidP="00327AAB">
      <w:pPr>
        <w:spacing w:before="240"/>
        <w:ind w:left="284"/>
      </w:pPr>
      <w:r w:rsidRPr="000555F6">
        <w:t>The Pharmaceutical Wholesaler Agreement Oversight Committee.</w:t>
      </w:r>
    </w:p>
    <w:p w14:paraId="2591CDC1" w14:textId="4566AAB6" w:rsidR="00B80ECF" w:rsidRPr="000555F6" w:rsidRDefault="00B80ECF" w:rsidP="00327AAB">
      <w:pPr>
        <w:pStyle w:val="ListParagraph"/>
        <w:numPr>
          <w:ilvl w:val="0"/>
          <w:numId w:val="18"/>
        </w:numPr>
        <w:spacing w:before="240"/>
        <w:ind w:left="284"/>
        <w:contextualSpacing w:val="0"/>
        <w:rPr>
          <w:b/>
          <w:bCs/>
        </w:rPr>
      </w:pPr>
      <w:r w:rsidRPr="000555F6">
        <w:rPr>
          <w:b/>
          <w:bCs/>
        </w:rPr>
        <w:t>Establishment</w:t>
      </w:r>
    </w:p>
    <w:p w14:paraId="4691D76D" w14:textId="2AA5344C" w:rsidR="007B16BA" w:rsidRPr="000555F6" w:rsidRDefault="00B80ECF" w:rsidP="00327AAB">
      <w:pPr>
        <w:spacing w:before="240"/>
        <w:ind w:left="284"/>
      </w:pPr>
      <w:r w:rsidRPr="000555F6">
        <w:t>The First Pharmaceutical Wholesaler Agreement (</w:t>
      </w:r>
      <w:r w:rsidRPr="000555F6">
        <w:rPr>
          <w:b/>
          <w:bCs/>
        </w:rPr>
        <w:t>1PWA</w:t>
      </w:r>
      <w:r w:rsidRPr="000555F6">
        <w:t xml:space="preserve">) is a five-year agreement between the Minister for </w:t>
      </w:r>
      <w:r w:rsidR="002F38AC" w:rsidRPr="000555F6">
        <w:t>Health and Aged Care</w:t>
      </w:r>
      <w:r w:rsidR="00CF2B39" w:rsidRPr="000555F6">
        <w:t>,</w:t>
      </w:r>
      <w:r w:rsidR="002F38AC" w:rsidRPr="000555F6">
        <w:t xml:space="preserve"> on behalf of the Commonwealth of Australia</w:t>
      </w:r>
      <w:r w:rsidR="00CF2B39" w:rsidRPr="000555F6">
        <w:t>,</w:t>
      </w:r>
      <w:r w:rsidR="002F38AC" w:rsidRPr="000555F6">
        <w:t xml:space="preserve"> and the National Pharmaceutical Services Association (</w:t>
      </w:r>
      <w:r w:rsidR="002F38AC" w:rsidRPr="000555F6">
        <w:rPr>
          <w:b/>
          <w:bCs/>
        </w:rPr>
        <w:t>NPSA</w:t>
      </w:r>
      <w:r w:rsidR="002F38AC" w:rsidRPr="000555F6">
        <w:t>)</w:t>
      </w:r>
      <w:r w:rsidR="00214A53" w:rsidRPr="000555F6">
        <w:t xml:space="preserve">, that governs, amongst other things, the </w:t>
      </w:r>
      <w:r w:rsidR="00123D89">
        <w:t>payment</w:t>
      </w:r>
      <w:r w:rsidR="00214A53" w:rsidRPr="000555F6">
        <w:t xml:space="preserve"> arrangements for Community Service Obligation </w:t>
      </w:r>
      <w:r w:rsidR="00BB7EC9" w:rsidRPr="000555F6">
        <w:t xml:space="preserve">Wholesalers for the supply of medicines listed on the Pharmaceutical Benefits Scheme. </w:t>
      </w:r>
    </w:p>
    <w:p w14:paraId="51B66788" w14:textId="77777777" w:rsidR="00327AAB" w:rsidRDefault="00EA3E56" w:rsidP="00327AAB">
      <w:pPr>
        <w:spacing w:before="240"/>
        <w:ind w:left="284"/>
      </w:pPr>
      <w:r w:rsidRPr="000555F6">
        <w:t>The Department of Health &amp; Aged Care (</w:t>
      </w:r>
      <w:r w:rsidR="007B16BA" w:rsidRPr="000555F6">
        <w:rPr>
          <w:b/>
          <w:bCs/>
        </w:rPr>
        <w:t>D</w:t>
      </w:r>
      <w:r w:rsidRPr="000555F6">
        <w:rPr>
          <w:b/>
          <w:bCs/>
        </w:rPr>
        <w:t>epartment</w:t>
      </w:r>
      <w:r w:rsidRPr="000555F6">
        <w:t>) has responsibility for the implementation and management of the 1PWA on behalf of the Commonwealth of Australia.</w:t>
      </w:r>
    </w:p>
    <w:p w14:paraId="0A580DEE" w14:textId="0B4E0F60" w:rsidR="00B80ECF" w:rsidRPr="000555F6" w:rsidRDefault="008F6DA3" w:rsidP="00327AAB">
      <w:pPr>
        <w:spacing w:before="240"/>
        <w:ind w:left="284"/>
      </w:pPr>
      <w:r w:rsidRPr="000555F6">
        <w:t xml:space="preserve">Clause </w:t>
      </w:r>
      <w:r w:rsidR="007B16BA" w:rsidRPr="000555F6">
        <w:fldChar w:fldCharType="begin"/>
      </w:r>
      <w:r w:rsidR="007B16BA" w:rsidRPr="000555F6">
        <w:instrText xml:space="preserve"> REF _Ref183512412 \w \h </w:instrText>
      </w:r>
      <w:r w:rsidR="00E85F44" w:rsidRPr="000555F6">
        <w:instrText xml:space="preserve"> \* MERGEFORMAT </w:instrText>
      </w:r>
      <w:r w:rsidR="007B16BA" w:rsidRPr="000555F6">
        <w:fldChar w:fldCharType="separate"/>
      </w:r>
      <w:r w:rsidR="008F5D42">
        <w:t>9</w:t>
      </w:r>
      <w:r w:rsidR="007B16BA" w:rsidRPr="000555F6">
        <w:fldChar w:fldCharType="end"/>
      </w:r>
      <w:r w:rsidRPr="000555F6">
        <w:t xml:space="preserve"> of the 1PWA establishes consultation arrangements for the term of the Agreement</w:t>
      </w:r>
      <w:r w:rsidR="007B16BA" w:rsidRPr="000555F6">
        <w:t>, including the Pharmaceutical Wholesaler Agreement Oversight Committee (</w:t>
      </w:r>
      <w:r w:rsidR="007B16BA" w:rsidRPr="000555F6">
        <w:rPr>
          <w:b/>
          <w:bCs/>
        </w:rPr>
        <w:t>PWAOC</w:t>
      </w:r>
      <w:r w:rsidR="007B16BA" w:rsidRPr="000555F6">
        <w:t>)</w:t>
      </w:r>
      <w:r w:rsidRPr="000555F6">
        <w:t>.</w:t>
      </w:r>
    </w:p>
    <w:p w14:paraId="382242DC" w14:textId="10C92824" w:rsidR="007B16BA" w:rsidRPr="000555F6" w:rsidRDefault="008F6DA3" w:rsidP="00327AAB">
      <w:pPr>
        <w:spacing w:before="240"/>
        <w:ind w:left="284"/>
      </w:pPr>
      <w:r w:rsidRPr="000555F6">
        <w:t xml:space="preserve">The </w:t>
      </w:r>
      <w:r w:rsidR="007B16BA" w:rsidRPr="000555F6">
        <w:t xml:space="preserve">PWOAC </w:t>
      </w:r>
      <w:r w:rsidRPr="000555F6">
        <w:t xml:space="preserve">is the primary consultation mechanism to support the achievement of the Commonwealth and the NPSA’s objectives under the </w:t>
      </w:r>
      <w:r w:rsidRPr="008931D4">
        <w:t>1PWA.</w:t>
      </w:r>
      <w:r w:rsidR="003E4812" w:rsidRPr="008931D4">
        <w:t xml:space="preserve"> The PWAOC is not a decision-making body, but the PWAOC may provide advice or options to the signatories to the 1PWA for the purposes of the 1PWA.</w:t>
      </w:r>
    </w:p>
    <w:p w14:paraId="2275793B" w14:textId="77777777" w:rsidR="00327AAB" w:rsidRDefault="00B27351" w:rsidP="00327AAB">
      <w:pPr>
        <w:spacing w:before="240"/>
        <w:ind w:left="284"/>
        <w:rPr>
          <w:b/>
          <w:bCs/>
        </w:rPr>
      </w:pPr>
      <w:r w:rsidRPr="000555F6">
        <w:rPr>
          <w:b/>
          <w:bCs/>
        </w:rPr>
        <w:t>3. Functions and Responsibilities</w:t>
      </w:r>
    </w:p>
    <w:p w14:paraId="4E91C592" w14:textId="54E7A8A1" w:rsidR="008C6A4F" w:rsidRPr="008931D4" w:rsidRDefault="00CE44F6" w:rsidP="00327AAB">
      <w:pPr>
        <w:spacing w:before="240"/>
        <w:ind w:left="284"/>
      </w:pPr>
      <w:r>
        <w:t xml:space="preserve">As the 1PWA </w:t>
      </w:r>
      <w:r w:rsidRPr="00CE44F6">
        <w:t xml:space="preserve">sets the foundation upon which the Australian Government and the National Pharmaceutical Services Association will pursue medicines-related outcomes aligned with the National Medicines Policy 2022 during the </w:t>
      </w:r>
      <w:r w:rsidR="001F36E4">
        <w:t>t</w:t>
      </w:r>
      <w:r w:rsidRPr="00CE44F6">
        <w:t>erm</w:t>
      </w:r>
      <w:r w:rsidR="001F36E4">
        <w:t xml:space="preserve"> of the 1PWA</w:t>
      </w:r>
      <w:r>
        <w:t>, t</w:t>
      </w:r>
      <w:r w:rsidR="003E4812" w:rsidRPr="008931D4">
        <w:t xml:space="preserve">he </w:t>
      </w:r>
      <w:r w:rsidR="008C6A4F" w:rsidRPr="008931D4">
        <w:t>D</w:t>
      </w:r>
      <w:r w:rsidR="003E4812" w:rsidRPr="008931D4">
        <w:t>epartment and the NPSA will undertake such consultations and discussions to assist them to fulfil their responsibilities under the 1PWA and to progress the achievement of the objectives of the 1PWA.</w:t>
      </w:r>
      <w:r>
        <w:t xml:space="preserve"> </w:t>
      </w:r>
    </w:p>
    <w:p w14:paraId="7D186E16" w14:textId="76FEC8D0" w:rsidR="00CE44F6" w:rsidRPr="008931D4" w:rsidRDefault="003E4812" w:rsidP="00CE44F6">
      <w:pPr>
        <w:spacing w:before="240"/>
        <w:ind w:left="284"/>
      </w:pPr>
      <w:r w:rsidRPr="008931D4">
        <w:t xml:space="preserve">The PWAOC provides a mechanism for open dialogue, in good faith, to allow for consultation on matters between </w:t>
      </w:r>
      <w:r w:rsidR="008C6A4F" w:rsidRPr="008931D4">
        <w:t>the signatories to</w:t>
      </w:r>
      <w:r w:rsidRPr="008931D4">
        <w:t xml:space="preserve"> the 1PWA.</w:t>
      </w:r>
      <w:r w:rsidR="00CE44F6">
        <w:t xml:space="preserve"> This may include</w:t>
      </w:r>
      <w:r w:rsidR="00006016">
        <w:t>,</w:t>
      </w:r>
      <w:r w:rsidR="00CE44F6">
        <w:t xml:space="preserve"> if necessary</w:t>
      </w:r>
      <w:r w:rsidR="00006016">
        <w:t>,</w:t>
      </w:r>
      <w:r w:rsidR="00CE44F6">
        <w:t xml:space="preserve"> recommending an amendment of the terms of the 1PWA by mutual agreement to clarify and confirm the intentions of the parties. </w:t>
      </w:r>
    </w:p>
    <w:p w14:paraId="4BB06C29" w14:textId="77777777" w:rsidR="00327AAB" w:rsidRDefault="00B27351" w:rsidP="00327AAB">
      <w:pPr>
        <w:spacing w:before="240"/>
        <w:rPr>
          <w:b/>
          <w:bCs/>
        </w:rPr>
      </w:pPr>
      <w:r w:rsidRPr="000555F6">
        <w:rPr>
          <w:b/>
          <w:bCs/>
        </w:rPr>
        <w:t>4. Composition</w:t>
      </w:r>
    </w:p>
    <w:p w14:paraId="444F726C" w14:textId="2FC24A7D" w:rsidR="008C6A4F" w:rsidRPr="008931D4" w:rsidRDefault="003E4812" w:rsidP="00327AAB">
      <w:pPr>
        <w:spacing w:before="240"/>
        <w:ind w:left="284"/>
      </w:pPr>
      <w:r w:rsidRPr="008931D4">
        <w:t xml:space="preserve">The design of the PWAOC seeks to increase transparency over the management of the 1PWA. </w:t>
      </w:r>
    </w:p>
    <w:p w14:paraId="21393F3B" w14:textId="5659D360" w:rsidR="008C6A4F" w:rsidRPr="008931D4" w:rsidRDefault="003E4812" w:rsidP="00327AAB">
      <w:pPr>
        <w:spacing w:before="240"/>
        <w:ind w:left="284"/>
      </w:pPr>
      <w:r w:rsidRPr="008931D4">
        <w:t xml:space="preserve">Each party will have discretion to determine their own representatives at the PWAOC, </w:t>
      </w:r>
      <w:proofErr w:type="gramStart"/>
      <w:r w:rsidRPr="008931D4">
        <w:t>provided that</w:t>
      </w:r>
      <w:proofErr w:type="gramEnd"/>
      <w:r w:rsidRPr="008931D4">
        <w:t xml:space="preserve"> representatives have suitable expertise and authority to participate effectively. </w:t>
      </w:r>
      <w:r w:rsidR="007C7BEE" w:rsidRPr="008931D4">
        <w:t xml:space="preserve">There will be a limit of three representatives from each side at any single meeting (not including the Chair) unless </w:t>
      </w:r>
      <w:r w:rsidR="008931D4" w:rsidRPr="008931D4">
        <w:t xml:space="preserve">otherwise </w:t>
      </w:r>
      <w:r w:rsidR="007C7BEE" w:rsidRPr="008931D4">
        <w:t xml:space="preserve">agreed </w:t>
      </w:r>
      <w:r w:rsidR="008931D4">
        <w:t xml:space="preserve">in advance </w:t>
      </w:r>
      <w:r w:rsidR="007C7BEE" w:rsidRPr="008931D4">
        <w:t xml:space="preserve">by the Chair.  </w:t>
      </w:r>
    </w:p>
    <w:p w14:paraId="17A549C9" w14:textId="52B70B8C" w:rsidR="00327AAB" w:rsidRDefault="003E4812" w:rsidP="00327AAB">
      <w:pPr>
        <w:spacing w:before="240"/>
        <w:ind w:left="284"/>
        <w:rPr>
          <w:b/>
          <w:bCs/>
        </w:rPr>
      </w:pPr>
      <w:r w:rsidRPr="008931D4">
        <w:t xml:space="preserve">The </w:t>
      </w:r>
      <w:r w:rsidR="008C6A4F" w:rsidRPr="008931D4">
        <w:t>D</w:t>
      </w:r>
      <w:r w:rsidRPr="008931D4">
        <w:t xml:space="preserve">epartment and/or NPSA may also propose additional attendees </w:t>
      </w:r>
      <w:r w:rsidR="008C6A4F" w:rsidRPr="008931D4">
        <w:t>for PWAOC meetings</w:t>
      </w:r>
      <w:r w:rsidR="00327AAB" w:rsidRPr="008931D4">
        <w:t>, if</w:t>
      </w:r>
      <w:r w:rsidRPr="008931D4">
        <w:t xml:space="preserve"> they consider such attendees could add to consultations between the </w:t>
      </w:r>
      <w:r w:rsidR="008C6A4F" w:rsidRPr="008931D4">
        <w:t>signatories</w:t>
      </w:r>
      <w:r w:rsidRPr="008931D4">
        <w:t xml:space="preserve"> on one or more matters. The </w:t>
      </w:r>
      <w:r w:rsidR="008C6A4F" w:rsidRPr="008931D4">
        <w:t>D</w:t>
      </w:r>
      <w:r w:rsidRPr="008931D4">
        <w:t>epartment and the NPSA will not unreasonably deny any such proposal from the other.</w:t>
      </w:r>
    </w:p>
    <w:p w14:paraId="0088F7BA" w14:textId="12C12B42" w:rsidR="008F6DA3" w:rsidRDefault="00B27351" w:rsidP="009E5EC7">
      <w:pPr>
        <w:spacing w:before="240"/>
        <w:rPr>
          <w:b/>
          <w:bCs/>
        </w:rPr>
      </w:pPr>
      <w:r w:rsidRPr="000555F6">
        <w:rPr>
          <w:b/>
          <w:bCs/>
        </w:rPr>
        <w:t>5. Chair of the PWAOC</w:t>
      </w:r>
    </w:p>
    <w:p w14:paraId="2F45EFFE" w14:textId="3D55F072" w:rsidR="00F10FA7" w:rsidRPr="008931D4" w:rsidRDefault="003E4812" w:rsidP="00327AAB">
      <w:pPr>
        <w:spacing w:before="240"/>
        <w:ind w:left="284"/>
      </w:pPr>
      <w:r w:rsidRPr="008931D4">
        <w:t xml:space="preserve">The Chair will be a representative of the </w:t>
      </w:r>
      <w:r w:rsidR="00F10FA7" w:rsidRPr="008931D4">
        <w:t>D</w:t>
      </w:r>
      <w:r w:rsidRPr="008931D4">
        <w:t>epartment</w:t>
      </w:r>
      <w:r w:rsidR="007C7BEE" w:rsidRPr="008931D4">
        <w:t xml:space="preserve"> at a minimum level of Executive Level 2</w:t>
      </w:r>
      <w:r w:rsidRPr="008931D4">
        <w:t>.</w:t>
      </w:r>
    </w:p>
    <w:p w14:paraId="1FA9A508" w14:textId="1A4628F7" w:rsidR="00F10FA7" w:rsidRPr="008931D4" w:rsidRDefault="003E4812" w:rsidP="00327AAB">
      <w:pPr>
        <w:spacing w:before="240"/>
        <w:ind w:left="284"/>
      </w:pPr>
      <w:r w:rsidRPr="008931D4">
        <w:lastRenderedPageBreak/>
        <w:t xml:space="preserve">The Chair’s role will be to lead and facilitate discussion on any items nominated for discussion and perform any other functions provided for under these Terms of Reference or designated by the Minister for Health &amp; Aged Care. </w:t>
      </w:r>
    </w:p>
    <w:p w14:paraId="6B9FCDA7" w14:textId="419C2E51" w:rsidR="003E4812" w:rsidRPr="008931D4" w:rsidRDefault="003E4812" w:rsidP="00327AAB">
      <w:pPr>
        <w:spacing w:before="240"/>
        <w:ind w:left="284"/>
        <w:rPr>
          <w:b/>
          <w:bCs/>
        </w:rPr>
      </w:pPr>
      <w:r w:rsidRPr="008931D4">
        <w:t>It will be the responsibility of the Chair to ensure any discussion and agreed outcomes are clearly communicated and agreed for inclusion in meeting minutes.</w:t>
      </w:r>
    </w:p>
    <w:p w14:paraId="543D911E" w14:textId="77777777" w:rsidR="00F65DE3" w:rsidRPr="008931D4" w:rsidRDefault="00B27351" w:rsidP="00327AAB">
      <w:pPr>
        <w:spacing w:before="240"/>
        <w:rPr>
          <w:b/>
          <w:bCs/>
        </w:rPr>
      </w:pPr>
      <w:r w:rsidRPr="008931D4">
        <w:rPr>
          <w:b/>
          <w:bCs/>
        </w:rPr>
        <w:t xml:space="preserve">6. Secretariat </w:t>
      </w:r>
    </w:p>
    <w:p w14:paraId="1FD23EE3" w14:textId="06A3FA33" w:rsidR="00F65DE3" w:rsidRPr="000555F6" w:rsidRDefault="003E4812" w:rsidP="00327AAB">
      <w:pPr>
        <w:spacing w:before="240"/>
        <w:ind w:left="284"/>
      </w:pPr>
      <w:r w:rsidRPr="008931D4">
        <w:t xml:space="preserve">The </w:t>
      </w:r>
      <w:r w:rsidR="00F10FA7" w:rsidRPr="008931D4">
        <w:t>D</w:t>
      </w:r>
      <w:r w:rsidRPr="008931D4">
        <w:t>epartment will provide secretariat support for the PWAOC</w:t>
      </w:r>
      <w:r w:rsidR="00A97A90">
        <w:t>.</w:t>
      </w:r>
      <w:r w:rsidRPr="008931D4" w:rsidDel="003E4812">
        <w:t xml:space="preserve"> </w:t>
      </w:r>
      <w:r w:rsidR="00F65DE3" w:rsidRPr="000555F6">
        <w:t xml:space="preserve">The Secretariat will: </w:t>
      </w:r>
    </w:p>
    <w:p w14:paraId="2D347C80" w14:textId="77777777" w:rsidR="00F65DE3" w:rsidRPr="000555F6" w:rsidRDefault="00F65DE3" w:rsidP="00327AAB">
      <w:pPr>
        <w:pStyle w:val="ListParagraph"/>
        <w:numPr>
          <w:ilvl w:val="1"/>
          <w:numId w:val="18"/>
        </w:numPr>
        <w:spacing w:before="240"/>
        <w:ind w:left="709" w:hanging="357"/>
        <w:contextualSpacing w:val="0"/>
      </w:pPr>
      <w:r w:rsidRPr="000555F6">
        <w:t xml:space="preserve">schedule meetings; </w:t>
      </w:r>
    </w:p>
    <w:p w14:paraId="3DC5AB3C" w14:textId="77777777" w:rsidR="00F65DE3" w:rsidRPr="000555F6" w:rsidRDefault="00F65DE3" w:rsidP="00327AAB">
      <w:pPr>
        <w:pStyle w:val="ListParagraph"/>
        <w:numPr>
          <w:ilvl w:val="1"/>
          <w:numId w:val="18"/>
        </w:numPr>
        <w:spacing w:before="240"/>
        <w:ind w:left="709" w:hanging="357"/>
        <w:contextualSpacing w:val="0"/>
      </w:pPr>
      <w:r w:rsidRPr="000555F6">
        <w:t xml:space="preserve">invite observers and other visitors to attend PWAOC meetings when required; </w:t>
      </w:r>
    </w:p>
    <w:p w14:paraId="18E74529" w14:textId="77777777" w:rsidR="00F65DE3" w:rsidRPr="000555F6" w:rsidRDefault="00F65DE3" w:rsidP="00327AAB">
      <w:pPr>
        <w:pStyle w:val="ListParagraph"/>
        <w:numPr>
          <w:ilvl w:val="1"/>
          <w:numId w:val="18"/>
        </w:numPr>
        <w:spacing w:before="240"/>
        <w:ind w:left="709" w:hanging="357"/>
        <w:contextualSpacing w:val="0"/>
      </w:pPr>
      <w:r w:rsidRPr="000555F6">
        <w:t xml:space="preserve">prepare agendas for meetings; </w:t>
      </w:r>
    </w:p>
    <w:p w14:paraId="51A2213C" w14:textId="77777777" w:rsidR="00F65DE3" w:rsidRPr="000555F6" w:rsidRDefault="00F65DE3" w:rsidP="00327AAB">
      <w:pPr>
        <w:pStyle w:val="ListParagraph"/>
        <w:numPr>
          <w:ilvl w:val="1"/>
          <w:numId w:val="18"/>
        </w:numPr>
        <w:spacing w:before="240"/>
        <w:ind w:left="709" w:hanging="357"/>
        <w:contextualSpacing w:val="0"/>
      </w:pPr>
      <w:r w:rsidRPr="000555F6">
        <w:t xml:space="preserve">distribute meeting papers before meetings; </w:t>
      </w:r>
    </w:p>
    <w:p w14:paraId="3EAB97E0" w14:textId="56FF1CC1" w:rsidR="00F65DE3" w:rsidRPr="000555F6" w:rsidRDefault="00F65DE3" w:rsidP="00327AAB">
      <w:pPr>
        <w:pStyle w:val="ListParagraph"/>
        <w:numPr>
          <w:ilvl w:val="1"/>
          <w:numId w:val="18"/>
        </w:numPr>
        <w:spacing w:before="240"/>
        <w:ind w:left="709" w:hanging="357"/>
        <w:contextualSpacing w:val="0"/>
      </w:pPr>
      <w:r w:rsidRPr="000555F6">
        <w:t>receive documents and information from third parties, and make these available to members of the PWAOC; and</w:t>
      </w:r>
    </w:p>
    <w:p w14:paraId="4CC690FC" w14:textId="77777777" w:rsidR="00F65DE3" w:rsidRPr="000555F6" w:rsidRDefault="00F65DE3" w:rsidP="00327AAB">
      <w:pPr>
        <w:pStyle w:val="ListParagraph"/>
        <w:numPr>
          <w:ilvl w:val="1"/>
          <w:numId w:val="18"/>
        </w:numPr>
        <w:spacing w:before="240"/>
        <w:ind w:left="709" w:hanging="357"/>
        <w:contextualSpacing w:val="0"/>
      </w:pPr>
      <w:r w:rsidRPr="000555F6">
        <w:t xml:space="preserve">record minutes of each PWAOC </w:t>
      </w:r>
      <w:proofErr w:type="gramStart"/>
      <w:r w:rsidRPr="000555F6">
        <w:t>meeting, and</w:t>
      </w:r>
      <w:proofErr w:type="gramEnd"/>
      <w:r w:rsidRPr="000555F6">
        <w:t xml:space="preserve"> maintain such other records in relation to the PWAOC’s activities and operations as are required.</w:t>
      </w:r>
    </w:p>
    <w:p w14:paraId="15D665F4" w14:textId="3F59690A" w:rsidR="00F65DE3" w:rsidRPr="000555F6" w:rsidRDefault="00F65DE3" w:rsidP="00327AAB">
      <w:pPr>
        <w:spacing w:before="240"/>
        <w:ind w:left="284"/>
      </w:pPr>
      <w:r w:rsidRPr="000555F6">
        <w:t xml:space="preserve">At the conclusion of each meeting, the Secretariat will circulate a copy of the draft minutes to each attendee of the meeting for review and settling. As soon as practicable after the minutes are settled, the Secretariat will cause the minutes to be published on the Department’s website. </w:t>
      </w:r>
    </w:p>
    <w:p w14:paraId="1E1D89EE" w14:textId="64FCF521" w:rsidR="007B16BA" w:rsidRPr="000555F6" w:rsidRDefault="00B27351" w:rsidP="00327AAB">
      <w:pPr>
        <w:spacing w:before="240"/>
        <w:rPr>
          <w:b/>
          <w:bCs/>
        </w:rPr>
      </w:pPr>
      <w:r w:rsidRPr="000555F6">
        <w:rPr>
          <w:b/>
          <w:bCs/>
        </w:rPr>
        <w:t>7. Meetings</w:t>
      </w:r>
    </w:p>
    <w:p w14:paraId="37CB17E9" w14:textId="77777777" w:rsidR="007B16BA" w:rsidRPr="000555F6" w:rsidRDefault="007B16BA" w:rsidP="00327AAB">
      <w:pPr>
        <w:spacing w:before="240"/>
        <w:ind w:left="284"/>
      </w:pPr>
      <w:r w:rsidRPr="000555F6">
        <w:t xml:space="preserve">The PWAOC will meet: </w:t>
      </w:r>
    </w:p>
    <w:p w14:paraId="0844FE5E" w14:textId="277E902E" w:rsidR="007B16BA" w:rsidRPr="000555F6" w:rsidRDefault="007B16BA" w:rsidP="00327AAB">
      <w:pPr>
        <w:pStyle w:val="Heading3"/>
        <w:numPr>
          <w:ilvl w:val="2"/>
          <w:numId w:val="19"/>
        </w:numPr>
        <w:ind w:left="709"/>
      </w:pPr>
      <w:r w:rsidRPr="000555F6">
        <w:t xml:space="preserve">at least three times between 1 January 2025 and 30 June 2026; </w:t>
      </w:r>
    </w:p>
    <w:p w14:paraId="59DF0B0D" w14:textId="2827F5DF" w:rsidR="007B16BA" w:rsidRPr="000555F6" w:rsidRDefault="007B16BA" w:rsidP="00327AAB">
      <w:pPr>
        <w:pStyle w:val="Heading3"/>
        <w:numPr>
          <w:ilvl w:val="2"/>
          <w:numId w:val="19"/>
        </w:numPr>
        <w:ind w:left="709"/>
      </w:pPr>
      <w:r w:rsidRPr="000555F6">
        <w:t>at least twice per Financial Year after 30 June 2026; and</w:t>
      </w:r>
    </w:p>
    <w:p w14:paraId="0CD6318E" w14:textId="33C132BC" w:rsidR="007B16BA" w:rsidRPr="000555F6" w:rsidRDefault="007B16BA" w:rsidP="00327AAB">
      <w:pPr>
        <w:pStyle w:val="Heading3"/>
        <w:numPr>
          <w:ilvl w:val="2"/>
          <w:numId w:val="19"/>
        </w:numPr>
        <w:ind w:left="709"/>
      </w:pPr>
      <w:r w:rsidRPr="000555F6">
        <w:t xml:space="preserve">at such other times as required by the Chair. </w:t>
      </w:r>
    </w:p>
    <w:p w14:paraId="2E7C9B6D" w14:textId="42450658" w:rsidR="00F65DE3" w:rsidRPr="000555F6" w:rsidRDefault="00F65DE3" w:rsidP="00327AAB">
      <w:pPr>
        <w:spacing w:before="240"/>
        <w:ind w:left="284"/>
      </w:pPr>
      <w:r w:rsidRPr="000555F6">
        <w:t xml:space="preserve">Meetings will be in person or via electronic means, as agreed by the Chair. </w:t>
      </w:r>
    </w:p>
    <w:p w14:paraId="0296E47A" w14:textId="5754CE8D" w:rsidR="00B27351" w:rsidRPr="000555F6" w:rsidRDefault="00B27351" w:rsidP="00327AAB">
      <w:pPr>
        <w:spacing w:before="240"/>
        <w:rPr>
          <w:b/>
          <w:bCs/>
        </w:rPr>
      </w:pPr>
      <w:r w:rsidRPr="000555F6">
        <w:rPr>
          <w:b/>
          <w:bCs/>
        </w:rPr>
        <w:t>8. Limitations of the PWAOC</w:t>
      </w:r>
    </w:p>
    <w:p w14:paraId="163F001B" w14:textId="77777777" w:rsidR="003E4812" w:rsidRPr="008931D4" w:rsidRDefault="003E4812" w:rsidP="00327AAB">
      <w:pPr>
        <w:spacing w:before="240"/>
        <w:ind w:left="360"/>
      </w:pPr>
      <w:r w:rsidRPr="008931D4">
        <w:t>The PWAOC participants must not:</w:t>
      </w:r>
    </w:p>
    <w:p w14:paraId="09F3D47E" w14:textId="30F13BD1" w:rsidR="003E4812" w:rsidRPr="008931D4" w:rsidRDefault="00327AAB" w:rsidP="00327AAB">
      <w:pPr>
        <w:pStyle w:val="ListParagraph"/>
        <w:numPr>
          <w:ilvl w:val="0"/>
          <w:numId w:val="21"/>
        </w:numPr>
        <w:spacing w:before="240"/>
        <w:contextualSpacing w:val="0"/>
      </w:pPr>
      <w:r w:rsidRPr="008931D4">
        <w:t>p</w:t>
      </w:r>
      <w:r w:rsidR="003E4812" w:rsidRPr="008931D4">
        <w:t>urport to make changes to the 1PWA. Additionally, the PWAOC cannot cease to conduct, or change the nature or scope of, the 1PWA arrangements; or</w:t>
      </w:r>
    </w:p>
    <w:p w14:paraId="6A2BA097" w14:textId="7BA43912" w:rsidR="003E4812" w:rsidRPr="008931D4" w:rsidRDefault="00327AAB" w:rsidP="00327AAB">
      <w:pPr>
        <w:pStyle w:val="ListParagraph"/>
        <w:numPr>
          <w:ilvl w:val="0"/>
          <w:numId w:val="21"/>
        </w:numPr>
        <w:spacing w:before="240"/>
        <w:contextualSpacing w:val="0"/>
      </w:pPr>
      <w:r w:rsidRPr="008931D4">
        <w:t>d</w:t>
      </w:r>
      <w:r w:rsidR="003E4812" w:rsidRPr="008931D4">
        <w:t>isclose confidential information shared or discussed at a meeting of the PWAOC to any third party, except that such confidential information may be disclosed:</w:t>
      </w:r>
    </w:p>
    <w:p w14:paraId="26BCB140" w14:textId="0B81AEC4" w:rsidR="003E4812" w:rsidRPr="008931D4" w:rsidRDefault="00F10FA7" w:rsidP="00327AAB">
      <w:pPr>
        <w:pStyle w:val="ListParagraph"/>
        <w:numPr>
          <w:ilvl w:val="1"/>
          <w:numId w:val="21"/>
        </w:numPr>
        <w:spacing w:before="240"/>
        <w:ind w:left="1080"/>
        <w:contextualSpacing w:val="0"/>
      </w:pPr>
      <w:r w:rsidRPr="008931D4">
        <w:t>b</w:t>
      </w:r>
      <w:r w:rsidR="003E4812" w:rsidRPr="008931D4">
        <w:t>y PWAOC participants to other persons within their organisation, and to their professional advisers who have a need to know such information and who are subject to an obligation of confidence;</w:t>
      </w:r>
    </w:p>
    <w:p w14:paraId="2FE8A969" w14:textId="31E3F3FB" w:rsidR="003E4812" w:rsidRPr="008931D4" w:rsidRDefault="00F10FA7" w:rsidP="00327AAB">
      <w:pPr>
        <w:pStyle w:val="ListParagraph"/>
        <w:numPr>
          <w:ilvl w:val="1"/>
          <w:numId w:val="21"/>
        </w:numPr>
        <w:spacing w:before="240"/>
        <w:ind w:left="1080"/>
        <w:contextualSpacing w:val="0"/>
      </w:pPr>
      <w:r w:rsidRPr="008931D4">
        <w:t>b</w:t>
      </w:r>
      <w:r w:rsidR="003E4812" w:rsidRPr="008931D4">
        <w:t xml:space="preserve">y the </w:t>
      </w:r>
      <w:r w:rsidRPr="008931D4">
        <w:t>D</w:t>
      </w:r>
      <w:r w:rsidR="003E4812" w:rsidRPr="008931D4">
        <w:t xml:space="preserve">epartment in response to a request by a </w:t>
      </w:r>
      <w:proofErr w:type="gramStart"/>
      <w:r w:rsidR="003E4812" w:rsidRPr="008931D4">
        <w:t>Commonwealth Minister</w:t>
      </w:r>
      <w:proofErr w:type="gramEnd"/>
      <w:r w:rsidR="003E4812" w:rsidRPr="008931D4">
        <w:t>, by a House or Committee of Parliament or by a Secretary of another Commonwealth department;</w:t>
      </w:r>
    </w:p>
    <w:p w14:paraId="0BB7EDBA" w14:textId="43ABD7D3" w:rsidR="003E4812" w:rsidRPr="008931D4" w:rsidRDefault="00F10FA7" w:rsidP="00327AAB">
      <w:pPr>
        <w:pStyle w:val="ListParagraph"/>
        <w:numPr>
          <w:ilvl w:val="1"/>
          <w:numId w:val="21"/>
        </w:numPr>
        <w:spacing w:before="240"/>
        <w:ind w:left="1080"/>
        <w:contextualSpacing w:val="0"/>
      </w:pPr>
      <w:r w:rsidRPr="008931D4">
        <w:t>b</w:t>
      </w:r>
      <w:r w:rsidR="003E4812" w:rsidRPr="008931D4">
        <w:t>y PWAOC participants whe</w:t>
      </w:r>
      <w:r w:rsidR="00327AAB" w:rsidRPr="008931D4">
        <w:t>n</w:t>
      </w:r>
      <w:r w:rsidR="003E4812" w:rsidRPr="008931D4">
        <w:t xml:space="preserve"> authorised or required by law; and</w:t>
      </w:r>
    </w:p>
    <w:p w14:paraId="2A279E1C" w14:textId="4ECB9204" w:rsidR="003E4812" w:rsidRPr="008931D4" w:rsidRDefault="00F10FA7" w:rsidP="00327AAB">
      <w:pPr>
        <w:pStyle w:val="ListParagraph"/>
        <w:numPr>
          <w:ilvl w:val="1"/>
          <w:numId w:val="21"/>
        </w:numPr>
        <w:spacing w:before="240"/>
        <w:ind w:left="1080"/>
        <w:contextualSpacing w:val="0"/>
      </w:pPr>
      <w:r w:rsidRPr="008931D4">
        <w:lastRenderedPageBreak/>
        <w:t>b</w:t>
      </w:r>
      <w:r w:rsidR="00327AAB" w:rsidRPr="008931D4">
        <w:t>y</w:t>
      </w:r>
      <w:r w:rsidR="003E4812" w:rsidRPr="008931D4">
        <w:t xml:space="preserve"> PWAOC participants who have the prior written consent of the organisation </w:t>
      </w:r>
      <w:r w:rsidR="00327AAB" w:rsidRPr="008931D4">
        <w:t xml:space="preserve">that </w:t>
      </w:r>
      <w:r w:rsidR="003E4812" w:rsidRPr="008931D4">
        <w:t>contributed the information to the meeting.</w:t>
      </w:r>
    </w:p>
    <w:p w14:paraId="030A5D47" w14:textId="163688BA" w:rsidR="00F10FA7" w:rsidRPr="008931D4" w:rsidRDefault="00F10FA7" w:rsidP="00327AAB">
      <w:pPr>
        <w:keepNext/>
        <w:spacing w:before="240"/>
        <w:ind w:left="420"/>
      </w:pPr>
      <w:r w:rsidRPr="008931D4">
        <w:t xml:space="preserve">In this section </w:t>
      </w:r>
      <w:r w:rsidR="00327AAB" w:rsidRPr="008931D4">
        <w:t>8</w:t>
      </w:r>
      <w:r w:rsidRPr="008931D4">
        <w:t xml:space="preserve">, ‘confidential information’ </w:t>
      </w:r>
      <w:r w:rsidR="00327AAB" w:rsidRPr="008931D4">
        <w:t xml:space="preserve">means </w:t>
      </w:r>
      <w:r w:rsidRPr="008931D4">
        <w:t>information that is by its nature confidential and:</w:t>
      </w:r>
    </w:p>
    <w:p w14:paraId="008A3797" w14:textId="05F55EA7" w:rsidR="00F10FA7" w:rsidRPr="008931D4" w:rsidRDefault="00F10FA7" w:rsidP="00327AAB">
      <w:pPr>
        <w:pStyle w:val="ListParagraph"/>
        <w:numPr>
          <w:ilvl w:val="0"/>
          <w:numId w:val="23"/>
        </w:numPr>
        <w:spacing w:before="240"/>
        <w:contextualSpacing w:val="0"/>
      </w:pPr>
      <w:r w:rsidRPr="008931D4">
        <w:t xml:space="preserve">identified by a PWAOC participant as being confidential; or </w:t>
      </w:r>
    </w:p>
    <w:p w14:paraId="02089983" w14:textId="34EFEEC8" w:rsidR="00F10FA7" w:rsidRPr="008931D4" w:rsidRDefault="00F10FA7" w:rsidP="00327AAB">
      <w:pPr>
        <w:pStyle w:val="ListParagraph"/>
        <w:numPr>
          <w:ilvl w:val="0"/>
          <w:numId w:val="23"/>
        </w:numPr>
        <w:spacing w:before="240"/>
      </w:pPr>
      <w:r w:rsidRPr="008931D4">
        <w:t xml:space="preserve">otherwise of a kind that the recipient knew, or ought to have known, </w:t>
      </w:r>
      <w:r w:rsidR="00327AAB" w:rsidRPr="008931D4">
        <w:t xml:space="preserve">was confidential, </w:t>
      </w:r>
      <w:r w:rsidR="0097156D" w:rsidRPr="008931D4">
        <w:t xml:space="preserve">based on the circumstances </w:t>
      </w:r>
      <w:r w:rsidR="00327AAB" w:rsidRPr="008931D4">
        <w:t>or the type if information</w:t>
      </w:r>
      <w:r w:rsidRPr="008931D4">
        <w:t xml:space="preserve">, </w:t>
      </w:r>
    </w:p>
    <w:p w14:paraId="50E56B7B" w14:textId="68C81753" w:rsidR="00F10FA7" w:rsidRPr="008931D4" w:rsidRDefault="00F10FA7" w:rsidP="00327AAB">
      <w:pPr>
        <w:spacing w:before="240"/>
        <w:ind w:left="420"/>
      </w:pPr>
      <w:r w:rsidRPr="008931D4">
        <w:t xml:space="preserve">but does not include information that is in the public domain without any breach of an obligation of confidence. </w:t>
      </w:r>
    </w:p>
    <w:p w14:paraId="3847DD2E" w14:textId="12405F25" w:rsidR="00B27351" w:rsidRPr="000555F6" w:rsidRDefault="004B1548" w:rsidP="00327AAB">
      <w:pPr>
        <w:spacing w:before="240"/>
        <w:rPr>
          <w:b/>
          <w:bCs/>
        </w:rPr>
      </w:pPr>
      <w:r w:rsidRPr="000555F6">
        <w:rPr>
          <w:b/>
          <w:bCs/>
        </w:rPr>
        <w:t>9. Establishment of working parties or subcommittees</w:t>
      </w:r>
    </w:p>
    <w:p w14:paraId="1676E9C5" w14:textId="33508C44" w:rsidR="003E4812" w:rsidRPr="008931D4" w:rsidRDefault="003E4812" w:rsidP="00327AAB">
      <w:pPr>
        <w:spacing w:before="240"/>
        <w:ind w:left="360"/>
      </w:pPr>
      <w:r w:rsidRPr="008931D4">
        <w:t xml:space="preserve">The PWAOC may from time-to-time appoint working parties or subcommittees as </w:t>
      </w:r>
      <w:r w:rsidR="0097156D" w:rsidRPr="008931D4">
        <w:t>it</w:t>
      </w:r>
      <w:r w:rsidRPr="008931D4">
        <w:t xml:space="preserve"> consider</w:t>
      </w:r>
      <w:r w:rsidR="0097156D" w:rsidRPr="008931D4">
        <w:t>s</w:t>
      </w:r>
      <w:r w:rsidRPr="008931D4">
        <w:t xml:space="preserve"> necessary. In this regard:</w:t>
      </w:r>
    </w:p>
    <w:p w14:paraId="6AF2DEB7" w14:textId="23313D75" w:rsidR="003E4812" w:rsidRPr="008931D4" w:rsidRDefault="003E4812" w:rsidP="00327AAB">
      <w:pPr>
        <w:pStyle w:val="ListParagraph"/>
        <w:numPr>
          <w:ilvl w:val="0"/>
          <w:numId w:val="22"/>
        </w:numPr>
        <w:spacing w:before="240"/>
        <w:contextualSpacing w:val="0"/>
      </w:pPr>
      <w:r w:rsidRPr="008931D4">
        <w:t xml:space="preserve">Subject to the 1PWA, the </w:t>
      </w:r>
      <w:r w:rsidR="0097156D" w:rsidRPr="008931D4">
        <w:t>Chair of the PWAOC</w:t>
      </w:r>
      <w:r w:rsidRPr="008931D4">
        <w:t xml:space="preserve"> may agree </w:t>
      </w:r>
      <w:r w:rsidR="0097156D" w:rsidRPr="008931D4">
        <w:t xml:space="preserve">to </w:t>
      </w:r>
      <w:r w:rsidRPr="008931D4">
        <w:t xml:space="preserve">a person </w:t>
      </w:r>
      <w:r w:rsidR="0097156D" w:rsidRPr="008931D4">
        <w:t>being the</w:t>
      </w:r>
      <w:r w:rsidRPr="008931D4">
        <w:t xml:space="preserve"> chair of a working party or </w:t>
      </w:r>
      <w:r w:rsidR="0097156D" w:rsidRPr="008931D4">
        <w:t>sub</w:t>
      </w:r>
      <w:r w:rsidRPr="008931D4">
        <w:t>committee.</w:t>
      </w:r>
    </w:p>
    <w:p w14:paraId="0256FC82" w14:textId="77777777" w:rsidR="003E4812" w:rsidRPr="008931D4" w:rsidRDefault="003E4812" w:rsidP="00327AAB">
      <w:pPr>
        <w:pStyle w:val="ListParagraph"/>
        <w:numPr>
          <w:ilvl w:val="0"/>
          <w:numId w:val="22"/>
        </w:numPr>
        <w:spacing w:before="240"/>
        <w:contextualSpacing w:val="0"/>
      </w:pPr>
      <w:r w:rsidRPr="008931D4">
        <w:t>Each working party or subcommittee (via its chair if one is appointed) must report its proceedings to the PWAOC and must conduct its business in accordance with any rules or directions of the PWAOC.</w:t>
      </w:r>
    </w:p>
    <w:p w14:paraId="5E21BB9A" w14:textId="4FE1FCB8" w:rsidR="003E4812" w:rsidRPr="008931D4" w:rsidRDefault="003E4812" w:rsidP="00327AAB">
      <w:pPr>
        <w:pStyle w:val="ListParagraph"/>
        <w:numPr>
          <w:ilvl w:val="0"/>
          <w:numId w:val="22"/>
        </w:numPr>
        <w:spacing w:before="240"/>
      </w:pPr>
      <w:r w:rsidRPr="008931D4">
        <w:t xml:space="preserve">The existence of, or delegation to, a working party </w:t>
      </w:r>
      <w:r w:rsidR="000E4EA7" w:rsidRPr="008931D4">
        <w:t>or subc</w:t>
      </w:r>
      <w:r w:rsidRPr="008931D4">
        <w:t>ommittee does not derogate from the powers to act in any manner consistent with th</w:t>
      </w:r>
      <w:r w:rsidR="000E4EA7" w:rsidRPr="008931D4">
        <w:t>ese</w:t>
      </w:r>
      <w:r w:rsidRPr="008931D4">
        <w:t xml:space="preserve"> Terms of Reference.</w:t>
      </w:r>
    </w:p>
    <w:p w14:paraId="7535C4A1" w14:textId="1051080A" w:rsidR="004B1548" w:rsidRPr="008931D4" w:rsidRDefault="004B1548" w:rsidP="00327AAB">
      <w:pPr>
        <w:spacing w:before="240"/>
        <w:rPr>
          <w:b/>
          <w:bCs/>
        </w:rPr>
      </w:pPr>
      <w:r w:rsidRPr="008931D4">
        <w:rPr>
          <w:b/>
          <w:bCs/>
        </w:rPr>
        <w:t>10. Conflict of interest</w:t>
      </w:r>
    </w:p>
    <w:p w14:paraId="07F54491" w14:textId="73AD09FD" w:rsidR="004B1548" w:rsidRPr="008931D4" w:rsidRDefault="003E4812" w:rsidP="00327AAB">
      <w:pPr>
        <w:spacing w:before="240"/>
        <w:ind w:left="426"/>
        <w:rPr>
          <w:b/>
          <w:bCs/>
        </w:rPr>
      </w:pPr>
      <w:r w:rsidRPr="008931D4">
        <w:t>A conflict of interest is where a financial or other interest of</w:t>
      </w:r>
      <w:r w:rsidR="000E4EA7" w:rsidRPr="008931D4">
        <w:t xml:space="preserve"> a representative to</w:t>
      </w:r>
      <w:r w:rsidRPr="008931D4">
        <w:t xml:space="preserve"> the PWAOC (or</w:t>
      </w:r>
      <w:r w:rsidR="000E4EA7" w:rsidRPr="008931D4">
        <w:t xml:space="preserve"> a working group or</w:t>
      </w:r>
      <w:r w:rsidRPr="008931D4">
        <w:t xml:space="preserve"> subcommittee) may reasonably be seen to </w:t>
      </w:r>
      <w:proofErr w:type="gramStart"/>
      <w:r w:rsidRPr="008931D4">
        <w:t>be in conflict with</w:t>
      </w:r>
      <w:proofErr w:type="gramEnd"/>
      <w:r w:rsidRPr="008931D4">
        <w:t xml:space="preserve"> duties undertaken as a </w:t>
      </w:r>
      <w:r w:rsidR="000E4EA7" w:rsidRPr="008931D4">
        <w:t xml:space="preserve">representative to </w:t>
      </w:r>
      <w:r w:rsidRPr="008931D4">
        <w:t xml:space="preserve">the PWAOC. Each </w:t>
      </w:r>
      <w:r w:rsidR="000E4EA7" w:rsidRPr="008931D4">
        <w:t xml:space="preserve">representative to the </w:t>
      </w:r>
      <w:r w:rsidRPr="008931D4">
        <w:t xml:space="preserve">PWAOC (or </w:t>
      </w:r>
      <w:r w:rsidR="000E4EA7" w:rsidRPr="008931D4">
        <w:t xml:space="preserve">a working group or </w:t>
      </w:r>
      <w:r w:rsidRPr="008931D4">
        <w:t xml:space="preserve">subcommittee) participant should be alert to any potential, actual or perceived conflicts of interest, financial or otherwise, and disclose these to the </w:t>
      </w:r>
      <w:r w:rsidR="000E4EA7" w:rsidRPr="008931D4">
        <w:t>PWAOC Chair</w:t>
      </w:r>
      <w:r w:rsidRPr="008931D4">
        <w:t xml:space="preserve">. This includes conflicts of interest that may arise between </w:t>
      </w:r>
      <w:r w:rsidR="000E4EA7" w:rsidRPr="008931D4">
        <w:t>representatives to the PWOAC (or a working group or subcommittee)</w:t>
      </w:r>
      <w:r w:rsidRPr="008931D4">
        <w:t>.</w:t>
      </w:r>
      <w:r w:rsidRPr="008931D4">
        <w:br/>
      </w:r>
      <w:r w:rsidRPr="008931D4">
        <w:br/>
        <w:t xml:space="preserve">A </w:t>
      </w:r>
      <w:r w:rsidR="000E4EA7" w:rsidRPr="008931D4">
        <w:t xml:space="preserve">representative to the </w:t>
      </w:r>
      <w:r w:rsidRPr="008931D4">
        <w:t xml:space="preserve">PWAOC must disclose any potential, actual or perceived conflict of interest at the earliest possible time. </w:t>
      </w:r>
      <w:r w:rsidRPr="008931D4">
        <w:br/>
      </w:r>
      <w:r w:rsidRPr="008931D4">
        <w:br/>
        <w:t xml:space="preserve">The </w:t>
      </w:r>
      <w:r w:rsidR="000E4EA7" w:rsidRPr="008931D4">
        <w:t>Chair</w:t>
      </w:r>
      <w:r w:rsidRPr="008931D4">
        <w:t xml:space="preserve"> may take any steps to resolve or otherwise deal with any disclosed conflicts in their absolute discretion.</w:t>
      </w:r>
    </w:p>
    <w:p w14:paraId="1478092F" w14:textId="276B7604" w:rsidR="004B1548" w:rsidRPr="008931D4" w:rsidRDefault="004B1548" w:rsidP="00327AAB">
      <w:pPr>
        <w:spacing w:before="240"/>
        <w:rPr>
          <w:b/>
          <w:bCs/>
        </w:rPr>
      </w:pPr>
      <w:r w:rsidRPr="008931D4">
        <w:rPr>
          <w:b/>
          <w:bCs/>
        </w:rPr>
        <w:t xml:space="preserve">11. Amendment </w:t>
      </w:r>
      <w:r w:rsidR="00567772" w:rsidRPr="008931D4">
        <w:rPr>
          <w:b/>
          <w:bCs/>
        </w:rPr>
        <w:t xml:space="preserve">of these Terms of </w:t>
      </w:r>
      <w:r w:rsidR="002B656E" w:rsidRPr="008931D4">
        <w:rPr>
          <w:b/>
          <w:bCs/>
        </w:rPr>
        <w:t>Reference</w:t>
      </w:r>
    </w:p>
    <w:p w14:paraId="540D261A" w14:textId="55EA420B" w:rsidR="003E4812" w:rsidRPr="002B656E" w:rsidRDefault="003E4812" w:rsidP="00327AAB">
      <w:pPr>
        <w:spacing w:before="240"/>
        <w:ind w:left="426"/>
        <w:rPr>
          <w:b/>
          <w:bCs/>
        </w:rPr>
      </w:pPr>
      <w:r w:rsidRPr="008931D4">
        <w:t xml:space="preserve">No variation of these Terms of Reference is permitted unless agreed by the </w:t>
      </w:r>
      <w:r w:rsidR="000E4EA7" w:rsidRPr="008931D4">
        <w:t>Department</w:t>
      </w:r>
      <w:r w:rsidRPr="008931D4">
        <w:t xml:space="preserve"> and the </w:t>
      </w:r>
      <w:proofErr w:type="gramStart"/>
      <w:r w:rsidRPr="008931D4">
        <w:t>NPSA</w:t>
      </w:r>
      <w:r w:rsidR="000E4EA7" w:rsidRPr="008931D4">
        <w:t>,</w:t>
      </w:r>
      <w:r w:rsidRPr="008931D4">
        <w:t xml:space="preserve"> and</w:t>
      </w:r>
      <w:proofErr w:type="gramEnd"/>
      <w:r w:rsidRPr="008931D4">
        <w:t xml:space="preserve"> endorsed by the Minister for Health &amp; Aged Care.</w:t>
      </w:r>
    </w:p>
    <w:sectPr w:rsidR="003E4812" w:rsidRPr="002B656E" w:rsidSect="00263053">
      <w:pgSz w:w="11906" w:h="16838" w:code="9"/>
      <w:pgMar w:top="1560" w:right="1133" w:bottom="1418" w:left="1418" w:header="567" w:footer="6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2BB45" w14:textId="77777777" w:rsidR="003C4532" w:rsidRDefault="003C4532" w:rsidP="009F2818">
      <w:r>
        <w:separator/>
      </w:r>
    </w:p>
    <w:p w14:paraId="4057436C" w14:textId="77777777" w:rsidR="003C4532" w:rsidRDefault="003C4532"/>
  </w:endnote>
  <w:endnote w:type="continuationSeparator" w:id="0">
    <w:p w14:paraId="3142F235" w14:textId="77777777" w:rsidR="003C4532" w:rsidRDefault="003C4532" w:rsidP="009F2818">
      <w:r>
        <w:continuationSeparator/>
      </w:r>
    </w:p>
    <w:p w14:paraId="70529B51" w14:textId="77777777" w:rsidR="003C4532" w:rsidRDefault="003C45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2E418" w14:textId="45A06BF8" w:rsidR="0012656C" w:rsidRDefault="008F31FD">
    <w:pPr>
      <w:pStyle w:val="Footer"/>
    </w:pPr>
    <w:r>
      <w:rPr>
        <w:noProof/>
      </w:rPr>
      <mc:AlternateContent>
        <mc:Choice Requires="wps">
          <w:drawing>
            <wp:anchor distT="0" distB="0" distL="0" distR="0" simplePos="0" relativeHeight="251665408" behindDoc="0" locked="0" layoutInCell="1" allowOverlap="1" wp14:anchorId="365AE063" wp14:editId="52D498B3">
              <wp:simplePos x="635" y="635"/>
              <wp:positionH relativeFrom="page">
                <wp:align>left</wp:align>
              </wp:positionH>
              <wp:positionV relativeFrom="page">
                <wp:align>bottom</wp:align>
              </wp:positionV>
              <wp:extent cx="1547495" cy="314325"/>
              <wp:effectExtent l="0" t="0" r="14605" b="0"/>
              <wp:wrapNone/>
              <wp:docPr id="359304014" name="Text Box 2" descr="Classification: Busines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47495" cy="314325"/>
                      </a:xfrm>
                      <a:prstGeom prst="rect">
                        <a:avLst/>
                      </a:prstGeom>
                      <a:noFill/>
                      <a:ln>
                        <a:noFill/>
                      </a:ln>
                    </wps:spPr>
                    <wps:txbx>
                      <w:txbxContent>
                        <w:p w14:paraId="3618BB60" w14:textId="6DD9226C" w:rsidR="008F31FD" w:rsidRPr="008F31FD" w:rsidRDefault="008F31FD" w:rsidP="008F31FD">
                          <w:pPr>
                            <w:rPr>
                              <w:rFonts w:ascii="Calibri" w:eastAsia="Calibri" w:hAnsi="Calibri" w:cs="Calibri"/>
                              <w:noProof/>
                              <w:color w:val="000000"/>
                              <w:sz w:val="16"/>
                              <w:szCs w:val="16"/>
                            </w:rPr>
                          </w:pPr>
                          <w:r w:rsidRPr="008F31FD">
                            <w:rPr>
                              <w:rFonts w:ascii="Calibri" w:eastAsia="Calibri" w:hAnsi="Calibri" w:cs="Calibri"/>
                              <w:noProof/>
                              <w:color w:val="000000"/>
                              <w:sz w:val="16"/>
                              <w:szCs w:val="16"/>
                            </w:rPr>
                            <w:t>Classification: Business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65AE063" id="_x0000_t202" coordsize="21600,21600" o:spt="202" path="m,l,21600r21600,l21600,xe">
              <v:stroke joinstyle="miter"/>
              <v:path gradientshapeok="t" o:connecttype="rect"/>
            </v:shapetype>
            <v:shape id="Text Box 2" o:spid="_x0000_s1026" type="#_x0000_t202" alt="Classification: Business General" style="position:absolute;margin-left:0;margin-top:0;width:121.85pt;height:24.7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" filled="f" stroked="f">
              <v:textbox style="mso-fit-shape-to-text:t" inset="20pt,0,0,15pt">
                <w:txbxContent>
                  <w:p w14:paraId="3618BB60" w14:textId="6DD9226C" w:rsidR="008F31FD" w:rsidRPr="008F31FD" w:rsidRDefault="008F31FD" w:rsidP="008F31FD">
                    <w:pPr>
                      <w:rPr>
                        <w:rFonts w:ascii="Calibri" w:eastAsia="Calibri" w:hAnsi="Calibri" w:cs="Calibri"/>
                        <w:noProof/>
                        <w:color w:val="000000"/>
                        <w:sz w:val="16"/>
                        <w:szCs w:val="16"/>
                      </w:rPr>
                    </w:pPr>
                    <w:r w:rsidRPr="008F31FD">
                      <w:rPr>
                        <w:rFonts w:ascii="Calibri" w:eastAsia="Calibri" w:hAnsi="Calibri" w:cs="Calibri"/>
                        <w:noProof/>
                        <w:color w:val="000000"/>
                        <w:sz w:val="16"/>
                        <w:szCs w:val="16"/>
                      </w:rPr>
                      <w:t>Classification: Business General</w:t>
                    </w:r>
                  </w:p>
                </w:txbxContent>
              </v:textbox>
              <w10:wrap anchorx="page" anchory="page"/>
            </v:shape>
          </w:pict>
        </mc:Fallback>
      </mc:AlternateContent>
    </w:r>
  </w:p>
  <w:p w14:paraId="7C0557A3" w14:textId="57AC61F9" w:rsidR="0012656C" w:rsidRPr="007C39BC" w:rsidRDefault="0012656C">
    <w:pPr>
      <w:pStyle w:val="Footer"/>
      <w:rPr>
        <w:rFonts w:cs="Arial"/>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AB52B" w14:textId="7988430E" w:rsidR="0012656C" w:rsidRDefault="008F31FD" w:rsidP="005964A2">
    <w:pPr>
      <w:pStyle w:val="pageNumber"/>
    </w:pPr>
    <w:r>
      <w:rPr>
        <w:noProof/>
      </w:rPr>
      <mc:AlternateContent>
        <mc:Choice Requires="wps">
          <w:drawing>
            <wp:anchor distT="0" distB="0" distL="0" distR="0" simplePos="0" relativeHeight="251666432" behindDoc="0" locked="0" layoutInCell="1" allowOverlap="1" wp14:anchorId="63E2A3ED" wp14:editId="0BCB9F4F">
              <wp:simplePos x="901065" y="10230485"/>
              <wp:positionH relativeFrom="page">
                <wp:align>left</wp:align>
              </wp:positionH>
              <wp:positionV relativeFrom="page">
                <wp:align>bottom</wp:align>
              </wp:positionV>
              <wp:extent cx="1547495" cy="314325"/>
              <wp:effectExtent l="0" t="0" r="14605" b="0"/>
              <wp:wrapNone/>
              <wp:docPr id="1944635867" name="Text Box 3" descr="Classification: Busines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47495" cy="314325"/>
                      </a:xfrm>
                      <a:prstGeom prst="rect">
                        <a:avLst/>
                      </a:prstGeom>
                      <a:noFill/>
                      <a:ln>
                        <a:noFill/>
                      </a:ln>
                    </wps:spPr>
                    <wps:txbx>
                      <w:txbxContent>
                        <w:p w14:paraId="5298B1F1" w14:textId="46EF3960" w:rsidR="008F31FD" w:rsidRPr="008F31FD" w:rsidRDefault="008F31FD" w:rsidP="008F31FD">
                          <w:pPr>
                            <w:rPr>
                              <w:rFonts w:ascii="Calibri" w:eastAsia="Calibri" w:hAnsi="Calibri" w:cs="Calibri"/>
                              <w:noProof/>
                              <w:color w:val="000000"/>
                              <w:sz w:val="16"/>
                              <w:szCs w:val="16"/>
                            </w:rPr>
                          </w:pPr>
                          <w:r w:rsidRPr="008F31FD">
                            <w:rPr>
                              <w:rFonts w:ascii="Calibri" w:eastAsia="Calibri" w:hAnsi="Calibri" w:cs="Calibri"/>
                              <w:noProof/>
                              <w:color w:val="000000"/>
                              <w:sz w:val="16"/>
                              <w:szCs w:val="16"/>
                            </w:rPr>
                            <w:t>Classification: Business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3E2A3ED" id="_x0000_t202" coordsize="21600,21600" o:spt="202" path="m,l,21600r21600,l21600,xe">
              <v:stroke joinstyle="miter"/>
              <v:path gradientshapeok="t" o:connecttype="rect"/>
            </v:shapetype>
            <v:shape id="Text Box 3" o:spid="_x0000_s1027" type="#_x0000_t202" alt="Classification: Business General" style="position:absolute;margin-left:0;margin-top:0;width:121.85pt;height:24.75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" filled="f" stroked="f">
              <v:textbox style="mso-fit-shape-to-text:t" inset="20pt,0,0,15pt">
                <w:txbxContent>
                  <w:p w14:paraId="5298B1F1" w14:textId="46EF3960" w:rsidR="008F31FD" w:rsidRPr="008F31FD" w:rsidRDefault="008F31FD" w:rsidP="008F31FD">
                    <w:pPr>
                      <w:rPr>
                        <w:rFonts w:ascii="Calibri" w:eastAsia="Calibri" w:hAnsi="Calibri" w:cs="Calibri"/>
                        <w:noProof/>
                        <w:color w:val="000000"/>
                        <w:sz w:val="16"/>
                        <w:szCs w:val="16"/>
                      </w:rPr>
                    </w:pPr>
                    <w:r w:rsidRPr="008F31FD">
                      <w:rPr>
                        <w:rFonts w:ascii="Calibri" w:eastAsia="Calibri" w:hAnsi="Calibri" w:cs="Calibri"/>
                        <w:noProof/>
                        <w:color w:val="000000"/>
                        <w:sz w:val="16"/>
                        <w:szCs w:val="16"/>
                      </w:rPr>
                      <w:t>Classification: Business General</w:t>
                    </w:r>
                  </w:p>
                </w:txbxContent>
              </v:textbox>
              <w10:wrap anchorx="page" anchory="page"/>
            </v:shape>
          </w:pict>
        </mc:Fallback>
      </mc:AlternateContent>
    </w:r>
    <w:r w:rsidR="008B1793">
      <w:fldChar w:fldCharType="begin"/>
    </w:r>
    <w:r w:rsidR="008B1793">
      <w:instrText xml:space="preserve"> DOCPROPERTY  iManageFooter </w:instrText>
    </w:r>
    <w:r w:rsidR="008B1793">
      <w:fldChar w:fldCharType="separate"/>
    </w:r>
    <w:r w:rsidR="008B1793">
      <w:t>[9238081.001:45144750_28]</w:t>
    </w:r>
    <w:r w:rsidR="008B1793">
      <w:fldChar w:fldCharType="end"/>
    </w:r>
    <w:r w:rsidR="0012656C">
      <w:tab/>
      <w:t xml:space="preserve">page </w:t>
    </w:r>
    <w:r w:rsidR="0012656C">
      <w:fldChar w:fldCharType="begin"/>
    </w:r>
    <w:r w:rsidR="0012656C">
      <w:instrText xml:space="preserve"> page </w:instrText>
    </w:r>
    <w:r w:rsidR="0012656C">
      <w:fldChar w:fldCharType="separate"/>
    </w:r>
    <w:r w:rsidR="0012656C">
      <w:rPr>
        <w:noProof/>
      </w:rPr>
      <w:t>11</w:t>
    </w:r>
    <w:r w:rsidR="0012656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F1FEA" w14:textId="7F2FEF6F" w:rsidR="0012656C" w:rsidRDefault="008F31FD" w:rsidP="00266A91">
    <w:pPr>
      <w:pStyle w:val="Footer"/>
      <w:rPr>
        <w:rFonts w:cs="Arial"/>
        <w:b/>
      </w:rPr>
    </w:pPr>
    <w:r>
      <w:rPr>
        <w:noProof/>
        <w:sz w:val="18"/>
        <w:szCs w:val="18"/>
      </w:rPr>
      <mc:AlternateContent>
        <mc:Choice Requires="wps">
          <w:drawing>
            <wp:anchor distT="0" distB="0" distL="0" distR="0" simplePos="0" relativeHeight="251664384" behindDoc="0" locked="0" layoutInCell="1" allowOverlap="1" wp14:anchorId="471684F1" wp14:editId="0820E1C5">
              <wp:simplePos x="904875" y="10096500"/>
              <wp:positionH relativeFrom="page">
                <wp:align>left</wp:align>
              </wp:positionH>
              <wp:positionV relativeFrom="page">
                <wp:align>bottom</wp:align>
              </wp:positionV>
              <wp:extent cx="1547495" cy="314325"/>
              <wp:effectExtent l="0" t="0" r="14605" b="0"/>
              <wp:wrapNone/>
              <wp:docPr id="1917642812" name="Text Box 1" descr="Classification: Busines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47495" cy="314325"/>
                      </a:xfrm>
                      <a:prstGeom prst="rect">
                        <a:avLst/>
                      </a:prstGeom>
                      <a:noFill/>
                      <a:ln>
                        <a:noFill/>
                      </a:ln>
                    </wps:spPr>
                    <wps:txbx>
                      <w:txbxContent>
                        <w:p w14:paraId="49915FC7" w14:textId="69143E44" w:rsidR="008F31FD" w:rsidRPr="008F31FD" w:rsidRDefault="008F31FD" w:rsidP="008F31FD">
                          <w:pPr>
                            <w:rPr>
                              <w:rFonts w:ascii="Calibri" w:eastAsia="Calibri" w:hAnsi="Calibri" w:cs="Calibri"/>
                              <w:noProof/>
                              <w:color w:val="000000"/>
                              <w:sz w:val="16"/>
                              <w:szCs w:val="16"/>
                            </w:rPr>
                          </w:pPr>
                          <w:r w:rsidRPr="008F31FD">
                            <w:rPr>
                              <w:rFonts w:ascii="Calibri" w:eastAsia="Calibri" w:hAnsi="Calibri" w:cs="Calibri"/>
                              <w:noProof/>
                              <w:color w:val="000000"/>
                              <w:sz w:val="16"/>
                              <w:szCs w:val="16"/>
                            </w:rPr>
                            <w:t>Classification: Business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71684F1" id="_x0000_t202" coordsize="21600,21600" o:spt="202" path="m,l,21600r21600,l21600,xe">
              <v:stroke joinstyle="miter"/>
              <v:path gradientshapeok="t" o:connecttype="rect"/>
            </v:shapetype>
            <v:shape id="Text Box 1" o:spid="_x0000_s1028" type="#_x0000_t202" alt="Classification: Business General" style="position:absolute;margin-left:0;margin-top:0;width:121.85pt;height:24.7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" filled="f" stroked="f">
              <v:textbox style="mso-fit-shape-to-text:t" inset="20pt,0,0,15pt">
                <w:txbxContent>
                  <w:p w14:paraId="49915FC7" w14:textId="69143E44" w:rsidR="008F31FD" w:rsidRPr="008F31FD" w:rsidRDefault="008F31FD" w:rsidP="008F31FD">
                    <w:pPr>
                      <w:rPr>
                        <w:rFonts w:ascii="Calibri" w:eastAsia="Calibri" w:hAnsi="Calibri" w:cs="Calibri"/>
                        <w:noProof/>
                        <w:color w:val="000000"/>
                        <w:sz w:val="16"/>
                        <w:szCs w:val="16"/>
                      </w:rPr>
                    </w:pPr>
                    <w:r w:rsidRPr="008F31FD">
                      <w:rPr>
                        <w:rFonts w:ascii="Calibri" w:eastAsia="Calibri" w:hAnsi="Calibri" w:cs="Calibri"/>
                        <w:noProof/>
                        <w:color w:val="000000"/>
                        <w:sz w:val="16"/>
                        <w:szCs w:val="16"/>
                      </w:rPr>
                      <w:t>Classification: Business General</w:t>
                    </w:r>
                  </w:p>
                </w:txbxContent>
              </v:textbox>
              <w10:wrap anchorx="page" anchory="page"/>
            </v:shape>
          </w:pict>
        </mc:Fallback>
      </mc:AlternateContent>
    </w:r>
    <w:r w:rsidR="00B74886">
      <w:rPr>
        <w:sz w:val="18"/>
        <w:szCs w:val="18"/>
      </w:rPr>
      <w:t xml:space="preserve">Draft — </w:t>
    </w:r>
    <w:r w:rsidR="00341F11">
      <w:rPr>
        <w:sz w:val="18"/>
        <w:szCs w:val="18"/>
      </w:rPr>
      <w:t>1</w:t>
    </w:r>
    <w:r w:rsidR="00A031C7">
      <w:rPr>
        <w:sz w:val="18"/>
        <w:szCs w:val="18"/>
      </w:rPr>
      <w:t>2</w:t>
    </w:r>
    <w:r w:rsidR="00CD410E">
      <w:rPr>
        <w:sz w:val="18"/>
        <w:szCs w:val="18"/>
      </w:rPr>
      <w:t xml:space="preserve"> December</w:t>
    </w:r>
    <w:r w:rsidR="00CD410E" w:rsidDel="00DB25FC">
      <w:rPr>
        <w:sz w:val="18"/>
        <w:szCs w:val="18"/>
      </w:rPr>
      <w:t xml:space="preserve"> </w:t>
    </w:r>
    <w:r w:rsidR="00B74886">
      <w:rPr>
        <w:sz w:val="18"/>
        <w:szCs w:val="18"/>
      </w:rPr>
      <w:t>2024</w:t>
    </w:r>
  </w:p>
  <w:p w14:paraId="1E66F391" w14:textId="4E02ED4C" w:rsidR="0012656C" w:rsidRPr="00DE27F5" w:rsidRDefault="00065A82" w:rsidP="00266A91">
    <w:pPr>
      <w:pStyle w:val="Footer"/>
      <w:rPr>
        <w:rFonts w:cs="Arial"/>
        <w:bCs/>
        <w:sz w:val="14"/>
      </w:rPr>
    </w:pPr>
    <w:r>
      <w:rPr>
        <w:rFonts w:cs="Arial"/>
        <w:bCs/>
        <w:sz w:val="14"/>
      </w:rPr>
      <w:fldChar w:fldCharType="begin"/>
    </w:r>
    <w:r>
      <w:rPr>
        <w:rFonts w:cs="Arial"/>
        <w:bCs/>
        <w:sz w:val="14"/>
      </w:rPr>
      <w:instrText xml:space="preserve"> DOCPROPERTY  iManageFooter </w:instrText>
    </w:r>
    <w:r>
      <w:rPr>
        <w:rFonts w:cs="Arial"/>
        <w:bCs/>
        <w:sz w:val="14"/>
      </w:rPr>
      <w:fldChar w:fldCharType="separate"/>
    </w:r>
    <w:r w:rsidR="008B1793">
      <w:rPr>
        <w:rFonts w:cs="Arial"/>
        <w:bCs/>
        <w:sz w:val="14"/>
      </w:rPr>
      <w:t>[9238081.001:45144750_28]</w:t>
    </w:r>
    <w:r>
      <w:rPr>
        <w:rFonts w:cs="Arial"/>
        <w:bCs/>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D7B27" w14:textId="77777777" w:rsidR="003C4532" w:rsidRDefault="003C4532" w:rsidP="009F2818">
      <w:r>
        <w:separator/>
      </w:r>
    </w:p>
    <w:p w14:paraId="415A717E" w14:textId="77777777" w:rsidR="003C4532" w:rsidRDefault="003C4532"/>
  </w:footnote>
  <w:footnote w:type="continuationSeparator" w:id="0">
    <w:p w14:paraId="0E6A3165" w14:textId="77777777" w:rsidR="003C4532" w:rsidRDefault="003C4532" w:rsidP="009F2818">
      <w:r>
        <w:continuationSeparator/>
      </w:r>
    </w:p>
    <w:p w14:paraId="1AF59D40" w14:textId="77777777" w:rsidR="003C4532" w:rsidRDefault="003C45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5B5EE" w14:textId="7A47268F" w:rsidR="008931D4" w:rsidRDefault="008931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32525" w14:textId="169F3663" w:rsidR="008931D4" w:rsidRDefault="008931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BDC8A" w14:textId="45DE3FEC" w:rsidR="0012656C" w:rsidRDefault="00347E70" w:rsidP="00347E70">
    <w:pPr>
      <w:jc w:val="center"/>
    </w:pPr>
    <w:r w:rsidRPr="00661B1A">
      <w:rPr>
        <w:rFonts w:ascii="Book Antiqua" w:hAnsi="Book Antiqua"/>
        <w:noProof/>
        <w:sz w:val="24"/>
        <w:szCs w:val="24"/>
      </w:rPr>
      <w:drawing>
        <wp:inline distT="0" distB="0" distL="0" distR="0" wp14:anchorId="3816DA2B" wp14:editId="5FBC6EFF">
          <wp:extent cx="1661822" cy="1296017"/>
          <wp:effectExtent l="0" t="0" r="0" b="0"/>
          <wp:docPr id="194604376" name="Picture 194604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87900" cy="1316355"/>
                  </a:xfrm>
                  <a:prstGeom prst="rect">
                    <a:avLst/>
                  </a:prstGeom>
                  <a:noFill/>
                  <a:ln>
                    <a:noFill/>
                  </a:ln>
                </pic:spPr>
              </pic:pic>
            </a:graphicData>
          </a:graphic>
        </wp:inline>
      </w:drawing>
    </w:r>
  </w:p>
  <w:p w14:paraId="45887386" w14:textId="77777777" w:rsidR="0012656C" w:rsidRDefault="0012656C" w:rsidP="00326A88">
    <w:pPr>
      <w:jc w:val="center"/>
    </w:pPr>
  </w:p>
  <w:p w14:paraId="1EC4A9E8" w14:textId="77777777" w:rsidR="0012656C" w:rsidRPr="00EC26EC" w:rsidRDefault="0012656C" w:rsidP="00EC26EC">
    <w:pP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A98864D2"/>
    <w:lvl w:ilvl="0">
      <w:start w:val="1"/>
      <w:numFmt w:val="decimal"/>
      <w:pStyle w:val="Heading1"/>
      <w:lvlText w:val="%1."/>
      <w:lvlJc w:val="left"/>
      <w:pPr>
        <w:ind w:left="851" w:hanging="851"/>
      </w:pPr>
      <w:rPr>
        <w:rFonts w:hint="default"/>
        <w:sz w:val="22"/>
        <w:szCs w:val="22"/>
      </w:rPr>
    </w:lvl>
    <w:lvl w:ilvl="1">
      <w:start w:val="1"/>
      <w:numFmt w:val="decimal"/>
      <w:pStyle w:val="Heading2"/>
      <w:lvlText w:val="%1.%2"/>
      <w:lvlJc w:val="left"/>
      <w:pPr>
        <w:ind w:left="851" w:hanging="851"/>
      </w:pPr>
      <w:rPr>
        <w:rFonts w:hint="default"/>
        <w:b w:val="0"/>
        <w:bCs/>
        <w:sz w:val="20"/>
        <w:szCs w:val="20"/>
      </w:rPr>
    </w:lvl>
    <w:lvl w:ilvl="2">
      <w:start w:val="1"/>
      <w:numFmt w:val="decimal"/>
      <w:pStyle w:val="Heading3"/>
      <w:lvlText w:val="%1.%2.%3"/>
      <w:lvlJc w:val="left"/>
      <w:pPr>
        <w:ind w:left="1701" w:hanging="850"/>
      </w:pPr>
      <w:rPr>
        <w:rFonts w:ascii="Arial" w:hAnsi="Arial" w:hint="default"/>
        <w:b w:val="0"/>
        <w:i w:val="0"/>
        <w:color w:val="auto"/>
        <w:sz w:val="20"/>
        <w:szCs w:val="20"/>
      </w:rPr>
    </w:lvl>
    <w:lvl w:ilvl="3">
      <w:start w:val="1"/>
      <w:numFmt w:val="lowerLetter"/>
      <w:pStyle w:val="Heading4"/>
      <w:lvlText w:val="(%4)"/>
      <w:lvlJc w:val="left"/>
      <w:pPr>
        <w:ind w:left="2268" w:hanging="567"/>
      </w:pPr>
      <w:rPr>
        <w:rFonts w:ascii="Arial" w:hAnsi="Arial" w:hint="default"/>
        <w:b w:val="0"/>
        <w:i w:val="0"/>
        <w:sz w:val="20"/>
        <w:szCs w:val="20"/>
      </w:rPr>
    </w:lvl>
    <w:lvl w:ilvl="4">
      <w:start w:val="1"/>
      <w:numFmt w:val="lowerRoman"/>
      <w:pStyle w:val="Heading5"/>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2245648"/>
    <w:multiLevelType w:val="multilevel"/>
    <w:tmpl w:val="2D8A6E32"/>
    <w:name w:val="MaddNumpara"/>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2" w15:restartNumberingAfterBreak="0">
    <w:nsid w:val="04764198"/>
    <w:multiLevelType w:val="multilevel"/>
    <w:tmpl w:val="28F6D512"/>
    <w:lvl w:ilvl="0">
      <w:start w:val="1"/>
      <w:numFmt w:val="decimal"/>
      <w:pStyle w:val="legalPart"/>
      <w:lvlText w:val="Part %1"/>
      <w:lvlJc w:val="left"/>
      <w:pPr>
        <w:tabs>
          <w:tab w:val="num" w:pos="3403"/>
        </w:tabs>
        <w:ind w:left="3403" w:hanging="1701"/>
      </w:pPr>
      <w:rPr>
        <w:rFonts w:ascii="Arial" w:hAnsi="Arial" w:cs="Times New Roman" w:hint="default"/>
        <w:b/>
        <w:i w:val="0"/>
        <w:color w:val="82002A"/>
        <w:sz w:val="36"/>
        <w:szCs w:val="36"/>
      </w:rPr>
    </w:lvl>
    <w:lvl w:ilvl="1">
      <w:start w:val="1"/>
      <w:numFmt w:val="none"/>
      <w:lvlText w:val=""/>
      <w:lvlJc w:val="left"/>
      <w:pPr>
        <w:ind w:left="2422" w:hanging="360"/>
      </w:pPr>
      <w:rPr>
        <w:rFonts w:cs="Times New Roman" w:hint="default"/>
      </w:rPr>
    </w:lvl>
    <w:lvl w:ilvl="2">
      <w:start w:val="1"/>
      <w:numFmt w:val="none"/>
      <w:lvlText w:val=""/>
      <w:lvlJc w:val="left"/>
      <w:pPr>
        <w:ind w:left="2782" w:hanging="360"/>
      </w:pPr>
      <w:rPr>
        <w:rFonts w:cs="Times New Roman" w:hint="default"/>
      </w:rPr>
    </w:lvl>
    <w:lvl w:ilvl="3">
      <w:start w:val="1"/>
      <w:numFmt w:val="none"/>
      <w:lvlText w:val=""/>
      <w:lvlJc w:val="left"/>
      <w:pPr>
        <w:ind w:left="3142" w:hanging="360"/>
      </w:pPr>
      <w:rPr>
        <w:rFonts w:cs="Times New Roman" w:hint="default"/>
      </w:rPr>
    </w:lvl>
    <w:lvl w:ilvl="4">
      <w:start w:val="1"/>
      <w:numFmt w:val="none"/>
      <w:lvlText w:val=""/>
      <w:lvlJc w:val="left"/>
      <w:pPr>
        <w:ind w:left="3502" w:hanging="360"/>
      </w:pPr>
      <w:rPr>
        <w:rFonts w:cs="Times New Roman" w:hint="default"/>
      </w:rPr>
    </w:lvl>
    <w:lvl w:ilvl="5">
      <w:start w:val="1"/>
      <w:numFmt w:val="none"/>
      <w:lvlText w:val=""/>
      <w:lvlJc w:val="left"/>
      <w:pPr>
        <w:ind w:left="3862" w:hanging="360"/>
      </w:pPr>
      <w:rPr>
        <w:rFonts w:cs="Times New Roman" w:hint="default"/>
      </w:rPr>
    </w:lvl>
    <w:lvl w:ilvl="6">
      <w:start w:val="1"/>
      <w:numFmt w:val="none"/>
      <w:lvlText w:val=""/>
      <w:lvlJc w:val="left"/>
      <w:pPr>
        <w:ind w:left="4222" w:hanging="360"/>
      </w:pPr>
      <w:rPr>
        <w:rFonts w:cs="Times New Roman" w:hint="default"/>
      </w:rPr>
    </w:lvl>
    <w:lvl w:ilvl="7">
      <w:start w:val="1"/>
      <w:numFmt w:val="none"/>
      <w:lvlText w:val=""/>
      <w:lvlJc w:val="left"/>
      <w:pPr>
        <w:ind w:left="4582" w:hanging="360"/>
      </w:pPr>
      <w:rPr>
        <w:rFonts w:cs="Times New Roman" w:hint="default"/>
      </w:rPr>
    </w:lvl>
    <w:lvl w:ilvl="8">
      <w:start w:val="1"/>
      <w:numFmt w:val="none"/>
      <w:lvlText w:val=""/>
      <w:lvlJc w:val="left"/>
      <w:pPr>
        <w:ind w:left="4942" w:hanging="360"/>
      </w:pPr>
      <w:rPr>
        <w:rFonts w:cs="Times New Roman" w:hint="default"/>
      </w:rPr>
    </w:lvl>
  </w:abstractNum>
  <w:abstractNum w:abstractNumId="3"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183487"/>
    <w:multiLevelType w:val="multilevel"/>
    <w:tmpl w:val="57CEFBC6"/>
    <w:lvl w:ilvl="0">
      <w:start w:val="1"/>
      <w:numFmt w:val="decimal"/>
      <w:pStyle w:val="legalAttachment"/>
      <w:lvlText w:val="Attachment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F6247EB"/>
    <w:multiLevelType w:val="hybridMultilevel"/>
    <w:tmpl w:val="690E9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7" w15:restartNumberingAfterBreak="0">
    <w:nsid w:val="169A47A3"/>
    <w:multiLevelType w:val="hybridMultilevel"/>
    <w:tmpl w:val="1688AFB6"/>
    <w:lvl w:ilvl="0" w:tplc="7C6CD564">
      <w:start w:val="2"/>
      <w:numFmt w:val="upperLetter"/>
      <w:lvlText w:val="(%1)"/>
      <w:lvlJc w:val="left"/>
      <w:pPr>
        <w:ind w:left="3195" w:hanging="360"/>
      </w:pPr>
      <w:rPr>
        <w:rFonts w:hint="default"/>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8" w15:restartNumberingAfterBreak="0">
    <w:nsid w:val="1A265184"/>
    <w:multiLevelType w:val="multilevel"/>
    <w:tmpl w:val="7562A7FC"/>
    <w:lvl w:ilvl="0">
      <w:start w:val="1"/>
      <w:numFmt w:val="decimal"/>
      <w:pStyle w:val="legalSchedule"/>
      <w:lvlText w:val="Schedule %1"/>
      <w:lvlJc w:val="left"/>
      <w:pPr>
        <w:ind w:left="2552" w:hanging="255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2D16FC4"/>
    <w:multiLevelType w:val="hybridMultilevel"/>
    <w:tmpl w:val="F920F4A0"/>
    <w:name w:val="MaddNumpara22222"/>
    <w:lvl w:ilvl="0" w:tplc="42146AF2">
      <w:numFmt w:val="bullet"/>
      <w:lvlText w:val="-"/>
      <w:lvlJc w:val="left"/>
      <w:pPr>
        <w:ind w:left="3997" w:hanging="360"/>
      </w:pPr>
      <w:rPr>
        <w:rFonts w:ascii="Arial" w:eastAsia="Times New Roman" w:hAnsi="Arial" w:cs="Arial" w:hint="default"/>
      </w:rPr>
    </w:lvl>
    <w:lvl w:ilvl="1" w:tplc="0C090003" w:tentative="1">
      <w:start w:val="1"/>
      <w:numFmt w:val="bullet"/>
      <w:lvlText w:val="o"/>
      <w:lvlJc w:val="left"/>
      <w:pPr>
        <w:ind w:left="5040" w:hanging="360"/>
      </w:pPr>
      <w:rPr>
        <w:rFonts w:ascii="Courier New" w:hAnsi="Courier New" w:cs="Courier New" w:hint="default"/>
      </w:rPr>
    </w:lvl>
    <w:lvl w:ilvl="2" w:tplc="0C090005" w:tentative="1">
      <w:start w:val="1"/>
      <w:numFmt w:val="bullet"/>
      <w:lvlText w:val=""/>
      <w:lvlJc w:val="left"/>
      <w:pPr>
        <w:ind w:left="5760" w:hanging="360"/>
      </w:pPr>
      <w:rPr>
        <w:rFonts w:ascii="Wingdings" w:hAnsi="Wingdings" w:hint="default"/>
      </w:rPr>
    </w:lvl>
    <w:lvl w:ilvl="3" w:tplc="0C090001" w:tentative="1">
      <w:start w:val="1"/>
      <w:numFmt w:val="bullet"/>
      <w:lvlText w:val=""/>
      <w:lvlJc w:val="left"/>
      <w:pPr>
        <w:ind w:left="6480" w:hanging="360"/>
      </w:pPr>
      <w:rPr>
        <w:rFonts w:ascii="Symbol" w:hAnsi="Symbol" w:hint="default"/>
      </w:rPr>
    </w:lvl>
    <w:lvl w:ilvl="4" w:tplc="0C090003" w:tentative="1">
      <w:start w:val="1"/>
      <w:numFmt w:val="bullet"/>
      <w:lvlText w:val="o"/>
      <w:lvlJc w:val="left"/>
      <w:pPr>
        <w:ind w:left="7200" w:hanging="360"/>
      </w:pPr>
      <w:rPr>
        <w:rFonts w:ascii="Courier New" w:hAnsi="Courier New" w:cs="Courier New" w:hint="default"/>
      </w:rPr>
    </w:lvl>
    <w:lvl w:ilvl="5" w:tplc="0C090005" w:tentative="1">
      <w:start w:val="1"/>
      <w:numFmt w:val="bullet"/>
      <w:lvlText w:val=""/>
      <w:lvlJc w:val="left"/>
      <w:pPr>
        <w:ind w:left="7920" w:hanging="360"/>
      </w:pPr>
      <w:rPr>
        <w:rFonts w:ascii="Wingdings" w:hAnsi="Wingdings" w:hint="default"/>
      </w:rPr>
    </w:lvl>
    <w:lvl w:ilvl="6" w:tplc="0C090001" w:tentative="1">
      <w:start w:val="1"/>
      <w:numFmt w:val="bullet"/>
      <w:lvlText w:val=""/>
      <w:lvlJc w:val="left"/>
      <w:pPr>
        <w:ind w:left="8640" w:hanging="360"/>
      </w:pPr>
      <w:rPr>
        <w:rFonts w:ascii="Symbol" w:hAnsi="Symbol" w:hint="default"/>
      </w:rPr>
    </w:lvl>
    <w:lvl w:ilvl="7" w:tplc="0C090003" w:tentative="1">
      <w:start w:val="1"/>
      <w:numFmt w:val="bullet"/>
      <w:lvlText w:val="o"/>
      <w:lvlJc w:val="left"/>
      <w:pPr>
        <w:ind w:left="9360" w:hanging="360"/>
      </w:pPr>
      <w:rPr>
        <w:rFonts w:ascii="Courier New" w:hAnsi="Courier New" w:cs="Courier New" w:hint="default"/>
      </w:rPr>
    </w:lvl>
    <w:lvl w:ilvl="8" w:tplc="0C090005" w:tentative="1">
      <w:start w:val="1"/>
      <w:numFmt w:val="bullet"/>
      <w:lvlText w:val=""/>
      <w:lvlJc w:val="left"/>
      <w:pPr>
        <w:ind w:left="10080" w:hanging="360"/>
      </w:pPr>
      <w:rPr>
        <w:rFonts w:ascii="Wingdings" w:hAnsi="Wingdings" w:hint="default"/>
      </w:rPr>
    </w:lvl>
  </w:abstractNum>
  <w:abstractNum w:abstractNumId="10" w15:restartNumberingAfterBreak="0">
    <w:nsid w:val="25486774"/>
    <w:multiLevelType w:val="hybridMultilevel"/>
    <w:tmpl w:val="42C62A4C"/>
    <w:name w:val="MaddNumpara2222"/>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11" w15:restartNumberingAfterBreak="0">
    <w:nsid w:val="279778CB"/>
    <w:multiLevelType w:val="hybridMultilevel"/>
    <w:tmpl w:val="C4129814"/>
    <w:lvl w:ilvl="0" w:tplc="0C09000F">
      <w:start w:val="1"/>
      <w:numFmt w:val="decimal"/>
      <w:lvlText w:val="%1."/>
      <w:lvlJc w:val="left"/>
      <w:pPr>
        <w:ind w:left="720" w:hanging="360"/>
      </w:pPr>
      <w:rPr>
        <w:rFonts w:hint="default"/>
      </w:rPr>
    </w:lvl>
    <w:lvl w:ilvl="1" w:tplc="0C090019">
      <w:start w:val="1"/>
      <w:numFmt w:val="lowerLetter"/>
      <w:lvlText w:val="%2."/>
      <w:lvlJc w:val="left"/>
      <w:pPr>
        <w:ind w:left="1004"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F0466A"/>
    <w:multiLevelType w:val="hybridMultilevel"/>
    <w:tmpl w:val="1C8ECAB0"/>
    <w:lvl w:ilvl="0" w:tplc="0C090001">
      <w:start w:val="1"/>
      <w:numFmt w:val="bullet"/>
      <w:lvlText w:val=""/>
      <w:lvlJc w:val="left"/>
      <w:pPr>
        <w:ind w:left="3273" w:hanging="360"/>
      </w:pPr>
      <w:rPr>
        <w:rFonts w:ascii="Symbol" w:hAnsi="Symbol" w:hint="default"/>
      </w:rPr>
    </w:lvl>
    <w:lvl w:ilvl="1" w:tplc="0C090003" w:tentative="1">
      <w:start w:val="1"/>
      <w:numFmt w:val="bullet"/>
      <w:lvlText w:val="o"/>
      <w:lvlJc w:val="left"/>
      <w:pPr>
        <w:ind w:left="3993" w:hanging="360"/>
      </w:pPr>
      <w:rPr>
        <w:rFonts w:ascii="Courier New" w:hAnsi="Courier New" w:cs="Courier New" w:hint="default"/>
      </w:rPr>
    </w:lvl>
    <w:lvl w:ilvl="2" w:tplc="0C090005" w:tentative="1">
      <w:start w:val="1"/>
      <w:numFmt w:val="bullet"/>
      <w:lvlText w:val=""/>
      <w:lvlJc w:val="left"/>
      <w:pPr>
        <w:ind w:left="4713" w:hanging="360"/>
      </w:pPr>
      <w:rPr>
        <w:rFonts w:ascii="Wingdings" w:hAnsi="Wingdings" w:hint="default"/>
      </w:rPr>
    </w:lvl>
    <w:lvl w:ilvl="3" w:tplc="0C090001" w:tentative="1">
      <w:start w:val="1"/>
      <w:numFmt w:val="bullet"/>
      <w:lvlText w:val=""/>
      <w:lvlJc w:val="left"/>
      <w:pPr>
        <w:ind w:left="5433" w:hanging="360"/>
      </w:pPr>
      <w:rPr>
        <w:rFonts w:ascii="Symbol" w:hAnsi="Symbol" w:hint="default"/>
      </w:rPr>
    </w:lvl>
    <w:lvl w:ilvl="4" w:tplc="0C090003" w:tentative="1">
      <w:start w:val="1"/>
      <w:numFmt w:val="bullet"/>
      <w:lvlText w:val="o"/>
      <w:lvlJc w:val="left"/>
      <w:pPr>
        <w:ind w:left="6153" w:hanging="360"/>
      </w:pPr>
      <w:rPr>
        <w:rFonts w:ascii="Courier New" w:hAnsi="Courier New" w:cs="Courier New" w:hint="default"/>
      </w:rPr>
    </w:lvl>
    <w:lvl w:ilvl="5" w:tplc="0C090005" w:tentative="1">
      <w:start w:val="1"/>
      <w:numFmt w:val="bullet"/>
      <w:lvlText w:val=""/>
      <w:lvlJc w:val="left"/>
      <w:pPr>
        <w:ind w:left="6873" w:hanging="360"/>
      </w:pPr>
      <w:rPr>
        <w:rFonts w:ascii="Wingdings" w:hAnsi="Wingdings" w:hint="default"/>
      </w:rPr>
    </w:lvl>
    <w:lvl w:ilvl="6" w:tplc="0C090001" w:tentative="1">
      <w:start w:val="1"/>
      <w:numFmt w:val="bullet"/>
      <w:lvlText w:val=""/>
      <w:lvlJc w:val="left"/>
      <w:pPr>
        <w:ind w:left="7593" w:hanging="360"/>
      </w:pPr>
      <w:rPr>
        <w:rFonts w:ascii="Symbol" w:hAnsi="Symbol" w:hint="default"/>
      </w:rPr>
    </w:lvl>
    <w:lvl w:ilvl="7" w:tplc="0C090003" w:tentative="1">
      <w:start w:val="1"/>
      <w:numFmt w:val="bullet"/>
      <w:lvlText w:val="o"/>
      <w:lvlJc w:val="left"/>
      <w:pPr>
        <w:ind w:left="8313" w:hanging="360"/>
      </w:pPr>
      <w:rPr>
        <w:rFonts w:ascii="Courier New" w:hAnsi="Courier New" w:cs="Courier New" w:hint="default"/>
      </w:rPr>
    </w:lvl>
    <w:lvl w:ilvl="8" w:tplc="0C090005" w:tentative="1">
      <w:start w:val="1"/>
      <w:numFmt w:val="bullet"/>
      <w:lvlText w:val=""/>
      <w:lvlJc w:val="left"/>
      <w:pPr>
        <w:ind w:left="9033" w:hanging="360"/>
      </w:pPr>
      <w:rPr>
        <w:rFonts w:ascii="Wingdings" w:hAnsi="Wingdings" w:hint="default"/>
      </w:rPr>
    </w:lvl>
  </w:abstractNum>
  <w:abstractNum w:abstractNumId="13" w15:restartNumberingAfterBreak="0">
    <w:nsid w:val="42E63972"/>
    <w:multiLevelType w:val="hybridMultilevel"/>
    <w:tmpl w:val="0DA038C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5D570EA9"/>
    <w:multiLevelType w:val="hybridMultilevel"/>
    <w:tmpl w:val="3E6893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6838FA"/>
    <w:multiLevelType w:val="multilevel"/>
    <w:tmpl w:val="E8906848"/>
    <w:lvl w:ilvl="0">
      <w:start w:val="1"/>
      <w:numFmt w:val="decimal"/>
      <w:lvlText w:val="%1."/>
      <w:lvlJc w:val="left"/>
      <w:pPr>
        <w:ind w:left="851" w:hanging="851"/>
      </w:pPr>
      <w:rPr>
        <w:rFonts w:hint="default"/>
        <w:sz w:val="22"/>
        <w:szCs w:val="22"/>
      </w:rPr>
    </w:lvl>
    <w:lvl w:ilvl="1">
      <w:start w:val="1"/>
      <w:numFmt w:val="decimal"/>
      <w:lvlText w:val="%1.%2"/>
      <w:lvlJc w:val="left"/>
      <w:pPr>
        <w:ind w:left="851" w:hanging="851"/>
      </w:pPr>
      <w:rPr>
        <w:rFonts w:hint="default"/>
        <w:b w:val="0"/>
        <w:bCs/>
        <w:sz w:val="20"/>
        <w:szCs w:val="20"/>
      </w:rPr>
    </w:lvl>
    <w:lvl w:ilvl="2">
      <w:start w:val="1"/>
      <w:numFmt w:val="lowerLetter"/>
      <w:lvlText w:val="%3."/>
      <w:lvlJc w:val="left"/>
      <w:pPr>
        <w:ind w:left="1211" w:hanging="360"/>
      </w:pPr>
    </w:lvl>
    <w:lvl w:ilvl="3">
      <w:start w:val="1"/>
      <w:numFmt w:val="lowerLetter"/>
      <w:lvlText w:val="(%4)"/>
      <w:lvlJc w:val="left"/>
      <w:pPr>
        <w:ind w:left="2268" w:hanging="567"/>
      </w:pPr>
      <w:rPr>
        <w:rFonts w:ascii="Arial" w:hAnsi="Arial" w:hint="default"/>
        <w:b w:val="0"/>
        <w:i w:val="0"/>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63CC510F"/>
    <w:multiLevelType w:val="hybridMultilevel"/>
    <w:tmpl w:val="0B5E82DC"/>
    <w:lvl w:ilvl="0" w:tplc="0C090001">
      <w:start w:val="1"/>
      <w:numFmt w:val="bullet"/>
      <w:lvlText w:val=""/>
      <w:lvlJc w:val="left"/>
      <w:pPr>
        <w:ind w:left="2988" w:hanging="360"/>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69D44A5"/>
    <w:multiLevelType w:val="multilevel"/>
    <w:tmpl w:val="503A4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Roman"/>
      <w:lvlText w:val="%5."/>
      <w:lvlJc w:val="right"/>
      <w:pPr>
        <w:tabs>
          <w:tab w:val="num" w:pos="3600"/>
        </w:tabs>
        <w:ind w:left="3600" w:hanging="360"/>
      </w:pPr>
    </w:lvl>
    <w:lvl w:ilvl="5">
      <w:start w:val="1"/>
      <w:numFmt w:val="upperLetter"/>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86E7240"/>
    <w:multiLevelType w:val="multilevel"/>
    <w:tmpl w:val="8A8C8786"/>
    <w:lvl w:ilvl="0">
      <w:start w:val="1"/>
      <w:numFmt w:val="lowerLetter"/>
      <w:pStyle w:val="legalDefinition"/>
      <w:lvlText w:val="(%1)"/>
      <w:lvlJc w:val="left"/>
      <w:pPr>
        <w:ind w:left="1701" w:hanging="850"/>
      </w:pPr>
      <w:rPr>
        <w:rFonts w:ascii="Arial" w:hAnsi="Aria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20"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85193979">
    <w:abstractNumId w:val="20"/>
  </w:num>
  <w:num w:numId="2" w16cid:durableId="1000349649">
    <w:abstractNumId w:val="0"/>
  </w:num>
  <w:num w:numId="3" w16cid:durableId="1655184315">
    <w:abstractNumId w:val="6"/>
  </w:num>
  <w:num w:numId="4" w16cid:durableId="802696012">
    <w:abstractNumId w:val="4"/>
  </w:num>
  <w:num w:numId="5" w16cid:durableId="1854296391">
    <w:abstractNumId w:val="3"/>
  </w:num>
  <w:num w:numId="6" w16cid:durableId="1755392291">
    <w:abstractNumId w:val="17"/>
  </w:num>
  <w:num w:numId="7" w16cid:durableId="2026244340">
    <w:abstractNumId w:val="2"/>
  </w:num>
  <w:num w:numId="8" w16cid:durableId="792023861">
    <w:abstractNumId w:val="19"/>
  </w:num>
  <w:num w:numId="9" w16cid:durableId="1988320973">
    <w:abstractNumId w:val="8"/>
  </w:num>
  <w:num w:numId="10" w16cid:durableId="775827457">
    <w:abstractNumId w:val="1"/>
  </w:num>
  <w:num w:numId="11" w16cid:durableId="17964887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079552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55493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922710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763989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693610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92361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996138">
    <w:abstractNumId w:val="11"/>
  </w:num>
  <w:num w:numId="19" w16cid:durableId="181017957">
    <w:abstractNumId w:val="15"/>
  </w:num>
  <w:num w:numId="20" w16cid:durableId="1706174505">
    <w:abstractNumId w:val="16"/>
  </w:num>
  <w:num w:numId="21" w16cid:durableId="1511599700">
    <w:abstractNumId w:val="14"/>
  </w:num>
  <w:num w:numId="22" w16cid:durableId="1274820000">
    <w:abstractNumId w:val="5"/>
  </w:num>
  <w:num w:numId="23" w16cid:durableId="1920098832">
    <w:abstractNumId w:val="13"/>
  </w:num>
  <w:num w:numId="24" w16cid:durableId="310017680">
    <w:abstractNumId w:val="12"/>
  </w:num>
  <w:num w:numId="25" w16cid:durableId="79066456">
    <w:abstractNumId w:val="0"/>
  </w:num>
  <w:num w:numId="26" w16cid:durableId="1821723789">
    <w:abstractNumId w:val="0"/>
  </w:num>
  <w:num w:numId="27" w16cid:durableId="448354940">
    <w:abstractNumId w:val="0"/>
  </w:num>
  <w:num w:numId="28" w16cid:durableId="202522340">
    <w:abstractNumId w:val="18"/>
  </w:num>
  <w:num w:numId="29" w16cid:durableId="1812361214">
    <w:abstractNumId w:val="7"/>
  </w:num>
  <w:num w:numId="30" w16cid:durableId="420832848">
    <w:abstractNumId w:val="0"/>
  </w:num>
  <w:num w:numId="31" w16cid:durableId="787164373">
    <w:abstractNumId w:val="0"/>
  </w:num>
  <w:num w:numId="32" w16cid:durableId="577636669">
    <w:abstractNumId w:val="0"/>
  </w:num>
  <w:num w:numId="33" w16cid:durableId="131489419">
    <w:abstractNumId w:val="0"/>
  </w:num>
  <w:num w:numId="34" w16cid:durableId="337343308">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ocumentProtection w:edit="readOnly" w:formatting="1" w:enforcement="0"/>
  <w:defaultTabStop w:val="85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76D"/>
    <w:rsid w:val="000005B9"/>
    <w:rsid w:val="00000CB9"/>
    <w:rsid w:val="000010BA"/>
    <w:rsid w:val="0000161C"/>
    <w:rsid w:val="000026EC"/>
    <w:rsid w:val="00003AEC"/>
    <w:rsid w:val="00003BA5"/>
    <w:rsid w:val="00003E5F"/>
    <w:rsid w:val="00005638"/>
    <w:rsid w:val="00006016"/>
    <w:rsid w:val="0000663E"/>
    <w:rsid w:val="00006E42"/>
    <w:rsid w:val="0000721E"/>
    <w:rsid w:val="0000737D"/>
    <w:rsid w:val="00007395"/>
    <w:rsid w:val="00007EAA"/>
    <w:rsid w:val="00010FAC"/>
    <w:rsid w:val="00011331"/>
    <w:rsid w:val="00011F8F"/>
    <w:rsid w:val="000121C4"/>
    <w:rsid w:val="000135C6"/>
    <w:rsid w:val="00014A7D"/>
    <w:rsid w:val="00014E81"/>
    <w:rsid w:val="000157D7"/>
    <w:rsid w:val="00015964"/>
    <w:rsid w:val="00015D11"/>
    <w:rsid w:val="000160E0"/>
    <w:rsid w:val="00016D61"/>
    <w:rsid w:val="000206B2"/>
    <w:rsid w:val="00021BBC"/>
    <w:rsid w:val="0002450B"/>
    <w:rsid w:val="00024D48"/>
    <w:rsid w:val="00025300"/>
    <w:rsid w:val="000260CC"/>
    <w:rsid w:val="0002635E"/>
    <w:rsid w:val="0002636E"/>
    <w:rsid w:val="00026E39"/>
    <w:rsid w:val="00027825"/>
    <w:rsid w:val="00027EAF"/>
    <w:rsid w:val="00030DC4"/>
    <w:rsid w:val="000343DD"/>
    <w:rsid w:val="000344EF"/>
    <w:rsid w:val="000353E0"/>
    <w:rsid w:val="0003616E"/>
    <w:rsid w:val="00036766"/>
    <w:rsid w:val="000367CE"/>
    <w:rsid w:val="000367F5"/>
    <w:rsid w:val="00036AB9"/>
    <w:rsid w:val="000378DA"/>
    <w:rsid w:val="00037AF9"/>
    <w:rsid w:val="000411D1"/>
    <w:rsid w:val="0004173E"/>
    <w:rsid w:val="00044655"/>
    <w:rsid w:val="00044987"/>
    <w:rsid w:val="0004533D"/>
    <w:rsid w:val="000472BB"/>
    <w:rsid w:val="0005108B"/>
    <w:rsid w:val="0005190D"/>
    <w:rsid w:val="00051A9B"/>
    <w:rsid w:val="00051E01"/>
    <w:rsid w:val="00052EC2"/>
    <w:rsid w:val="000530DA"/>
    <w:rsid w:val="00053803"/>
    <w:rsid w:val="00053CEE"/>
    <w:rsid w:val="00054CA7"/>
    <w:rsid w:val="000555F6"/>
    <w:rsid w:val="0005577C"/>
    <w:rsid w:val="000558DA"/>
    <w:rsid w:val="00055F6A"/>
    <w:rsid w:val="000569A8"/>
    <w:rsid w:val="00056E43"/>
    <w:rsid w:val="0006006D"/>
    <w:rsid w:val="00060555"/>
    <w:rsid w:val="000610CA"/>
    <w:rsid w:val="00062E7E"/>
    <w:rsid w:val="0006334C"/>
    <w:rsid w:val="00063AF5"/>
    <w:rsid w:val="00064E31"/>
    <w:rsid w:val="00065016"/>
    <w:rsid w:val="000657FB"/>
    <w:rsid w:val="00065A82"/>
    <w:rsid w:val="000665DD"/>
    <w:rsid w:val="0006662F"/>
    <w:rsid w:val="0006729F"/>
    <w:rsid w:val="0006768F"/>
    <w:rsid w:val="00067C7A"/>
    <w:rsid w:val="000702A4"/>
    <w:rsid w:val="000708D8"/>
    <w:rsid w:val="00072A94"/>
    <w:rsid w:val="00072C9B"/>
    <w:rsid w:val="00072CC8"/>
    <w:rsid w:val="00073DC6"/>
    <w:rsid w:val="0007603A"/>
    <w:rsid w:val="0007748F"/>
    <w:rsid w:val="00077524"/>
    <w:rsid w:val="000776D7"/>
    <w:rsid w:val="00077A1F"/>
    <w:rsid w:val="00077F25"/>
    <w:rsid w:val="000808E2"/>
    <w:rsid w:val="00081D11"/>
    <w:rsid w:val="0008233F"/>
    <w:rsid w:val="00082952"/>
    <w:rsid w:val="00084015"/>
    <w:rsid w:val="0008475F"/>
    <w:rsid w:val="00084BB0"/>
    <w:rsid w:val="0008557F"/>
    <w:rsid w:val="000857DD"/>
    <w:rsid w:val="00085A80"/>
    <w:rsid w:val="00086890"/>
    <w:rsid w:val="000877E7"/>
    <w:rsid w:val="000901EA"/>
    <w:rsid w:val="00090B2D"/>
    <w:rsid w:val="000922CE"/>
    <w:rsid w:val="000927A0"/>
    <w:rsid w:val="00095F58"/>
    <w:rsid w:val="00096ADD"/>
    <w:rsid w:val="00097736"/>
    <w:rsid w:val="000A1E34"/>
    <w:rsid w:val="000A2034"/>
    <w:rsid w:val="000A2979"/>
    <w:rsid w:val="000A2A86"/>
    <w:rsid w:val="000A2E97"/>
    <w:rsid w:val="000A2FEB"/>
    <w:rsid w:val="000A3920"/>
    <w:rsid w:val="000A415A"/>
    <w:rsid w:val="000A442F"/>
    <w:rsid w:val="000A5D53"/>
    <w:rsid w:val="000A70D5"/>
    <w:rsid w:val="000A7353"/>
    <w:rsid w:val="000A784C"/>
    <w:rsid w:val="000A7CB0"/>
    <w:rsid w:val="000B04E4"/>
    <w:rsid w:val="000B0E7D"/>
    <w:rsid w:val="000B24E4"/>
    <w:rsid w:val="000B2540"/>
    <w:rsid w:val="000B2601"/>
    <w:rsid w:val="000B2C4C"/>
    <w:rsid w:val="000B42FC"/>
    <w:rsid w:val="000B47A2"/>
    <w:rsid w:val="000B4A03"/>
    <w:rsid w:val="000B4D6D"/>
    <w:rsid w:val="000B6408"/>
    <w:rsid w:val="000B6E76"/>
    <w:rsid w:val="000B73EE"/>
    <w:rsid w:val="000B7733"/>
    <w:rsid w:val="000B7AE2"/>
    <w:rsid w:val="000C0845"/>
    <w:rsid w:val="000C0AE1"/>
    <w:rsid w:val="000C234B"/>
    <w:rsid w:val="000C244F"/>
    <w:rsid w:val="000C33E7"/>
    <w:rsid w:val="000C38E2"/>
    <w:rsid w:val="000C4459"/>
    <w:rsid w:val="000C5D46"/>
    <w:rsid w:val="000C60FA"/>
    <w:rsid w:val="000C611C"/>
    <w:rsid w:val="000C6631"/>
    <w:rsid w:val="000D0847"/>
    <w:rsid w:val="000D0D66"/>
    <w:rsid w:val="000D2010"/>
    <w:rsid w:val="000D2491"/>
    <w:rsid w:val="000D45F3"/>
    <w:rsid w:val="000D5083"/>
    <w:rsid w:val="000D549F"/>
    <w:rsid w:val="000D601E"/>
    <w:rsid w:val="000D647B"/>
    <w:rsid w:val="000D6BB8"/>
    <w:rsid w:val="000D6D0C"/>
    <w:rsid w:val="000D7157"/>
    <w:rsid w:val="000E0CB3"/>
    <w:rsid w:val="000E18CC"/>
    <w:rsid w:val="000E1B6D"/>
    <w:rsid w:val="000E1FD3"/>
    <w:rsid w:val="000E2180"/>
    <w:rsid w:val="000E25AC"/>
    <w:rsid w:val="000E25D6"/>
    <w:rsid w:val="000E3C8E"/>
    <w:rsid w:val="000E3D91"/>
    <w:rsid w:val="000E4322"/>
    <w:rsid w:val="000E4453"/>
    <w:rsid w:val="000E4EA7"/>
    <w:rsid w:val="000E534C"/>
    <w:rsid w:val="000E5C48"/>
    <w:rsid w:val="000E74EE"/>
    <w:rsid w:val="000E7C4A"/>
    <w:rsid w:val="000F02E9"/>
    <w:rsid w:val="000F2EC9"/>
    <w:rsid w:val="000F401B"/>
    <w:rsid w:val="000F41BE"/>
    <w:rsid w:val="000F5575"/>
    <w:rsid w:val="000F5A48"/>
    <w:rsid w:val="000F5DF2"/>
    <w:rsid w:val="000F6628"/>
    <w:rsid w:val="000F6845"/>
    <w:rsid w:val="000F6E07"/>
    <w:rsid w:val="000F7848"/>
    <w:rsid w:val="000F7AE3"/>
    <w:rsid w:val="00100D65"/>
    <w:rsid w:val="0010110F"/>
    <w:rsid w:val="001015AF"/>
    <w:rsid w:val="00101E2A"/>
    <w:rsid w:val="001039ED"/>
    <w:rsid w:val="00104B97"/>
    <w:rsid w:val="00105015"/>
    <w:rsid w:val="00105D30"/>
    <w:rsid w:val="001079C9"/>
    <w:rsid w:val="0011241C"/>
    <w:rsid w:val="001131FC"/>
    <w:rsid w:val="001139E2"/>
    <w:rsid w:val="001200CC"/>
    <w:rsid w:val="00120131"/>
    <w:rsid w:val="00120EBE"/>
    <w:rsid w:val="00121685"/>
    <w:rsid w:val="00122240"/>
    <w:rsid w:val="0012285B"/>
    <w:rsid w:val="0012308C"/>
    <w:rsid w:val="00123574"/>
    <w:rsid w:val="00123BDD"/>
    <w:rsid w:val="00123D89"/>
    <w:rsid w:val="001243A3"/>
    <w:rsid w:val="00124ADA"/>
    <w:rsid w:val="0012595F"/>
    <w:rsid w:val="00125BE5"/>
    <w:rsid w:val="0012656C"/>
    <w:rsid w:val="001279DE"/>
    <w:rsid w:val="00127CF4"/>
    <w:rsid w:val="00130F35"/>
    <w:rsid w:val="0013145A"/>
    <w:rsid w:val="00131CCC"/>
    <w:rsid w:val="00132291"/>
    <w:rsid w:val="00132809"/>
    <w:rsid w:val="00133643"/>
    <w:rsid w:val="00134039"/>
    <w:rsid w:val="0013437B"/>
    <w:rsid w:val="0013450B"/>
    <w:rsid w:val="00134CFB"/>
    <w:rsid w:val="00135097"/>
    <w:rsid w:val="00136DC1"/>
    <w:rsid w:val="001372B2"/>
    <w:rsid w:val="00137927"/>
    <w:rsid w:val="0014001E"/>
    <w:rsid w:val="0014037B"/>
    <w:rsid w:val="00140D98"/>
    <w:rsid w:val="00141C83"/>
    <w:rsid w:val="00142169"/>
    <w:rsid w:val="001426AA"/>
    <w:rsid w:val="001431DF"/>
    <w:rsid w:val="001437F5"/>
    <w:rsid w:val="00144B02"/>
    <w:rsid w:val="0014583C"/>
    <w:rsid w:val="00145E9C"/>
    <w:rsid w:val="00146A51"/>
    <w:rsid w:val="00147A5F"/>
    <w:rsid w:val="00147D26"/>
    <w:rsid w:val="001506B1"/>
    <w:rsid w:val="00151879"/>
    <w:rsid w:val="00151AAE"/>
    <w:rsid w:val="00152685"/>
    <w:rsid w:val="0015467C"/>
    <w:rsid w:val="00154806"/>
    <w:rsid w:val="00154CF7"/>
    <w:rsid w:val="0015545F"/>
    <w:rsid w:val="001564A4"/>
    <w:rsid w:val="00156821"/>
    <w:rsid w:val="001609EB"/>
    <w:rsid w:val="0016135C"/>
    <w:rsid w:val="00162547"/>
    <w:rsid w:val="00162717"/>
    <w:rsid w:val="0016310F"/>
    <w:rsid w:val="00164402"/>
    <w:rsid w:val="001645FF"/>
    <w:rsid w:val="00164B86"/>
    <w:rsid w:val="0016500D"/>
    <w:rsid w:val="0016523C"/>
    <w:rsid w:val="001654EF"/>
    <w:rsid w:val="00165A65"/>
    <w:rsid w:val="001663CD"/>
    <w:rsid w:val="00166754"/>
    <w:rsid w:val="0016680C"/>
    <w:rsid w:val="00166ED6"/>
    <w:rsid w:val="00167CBC"/>
    <w:rsid w:val="00172C18"/>
    <w:rsid w:val="00172C25"/>
    <w:rsid w:val="00172F95"/>
    <w:rsid w:val="0017315D"/>
    <w:rsid w:val="00175193"/>
    <w:rsid w:val="001754D6"/>
    <w:rsid w:val="00176B8C"/>
    <w:rsid w:val="00176C56"/>
    <w:rsid w:val="00177396"/>
    <w:rsid w:val="00177F4E"/>
    <w:rsid w:val="00180112"/>
    <w:rsid w:val="001802E3"/>
    <w:rsid w:val="001803FB"/>
    <w:rsid w:val="00181023"/>
    <w:rsid w:val="00181B18"/>
    <w:rsid w:val="00182F3A"/>
    <w:rsid w:val="00183149"/>
    <w:rsid w:val="001832BC"/>
    <w:rsid w:val="00184B12"/>
    <w:rsid w:val="00185C2E"/>
    <w:rsid w:val="00186312"/>
    <w:rsid w:val="00186602"/>
    <w:rsid w:val="00190035"/>
    <w:rsid w:val="00190315"/>
    <w:rsid w:val="0019091D"/>
    <w:rsid w:val="0019191C"/>
    <w:rsid w:val="0019216F"/>
    <w:rsid w:val="001924E9"/>
    <w:rsid w:val="00192A44"/>
    <w:rsid w:val="00193184"/>
    <w:rsid w:val="001937D3"/>
    <w:rsid w:val="001938A9"/>
    <w:rsid w:val="00193A67"/>
    <w:rsid w:val="00193A91"/>
    <w:rsid w:val="00194FF2"/>
    <w:rsid w:val="001956D6"/>
    <w:rsid w:val="00196173"/>
    <w:rsid w:val="0019704B"/>
    <w:rsid w:val="00197736"/>
    <w:rsid w:val="001A0062"/>
    <w:rsid w:val="001A0A02"/>
    <w:rsid w:val="001A138C"/>
    <w:rsid w:val="001A25C8"/>
    <w:rsid w:val="001A3380"/>
    <w:rsid w:val="001A3C5A"/>
    <w:rsid w:val="001A5BFD"/>
    <w:rsid w:val="001A6435"/>
    <w:rsid w:val="001A691B"/>
    <w:rsid w:val="001A7ADE"/>
    <w:rsid w:val="001B0779"/>
    <w:rsid w:val="001B0959"/>
    <w:rsid w:val="001B09BF"/>
    <w:rsid w:val="001B146D"/>
    <w:rsid w:val="001B1C55"/>
    <w:rsid w:val="001B1D05"/>
    <w:rsid w:val="001B1DD8"/>
    <w:rsid w:val="001B4922"/>
    <w:rsid w:val="001B4B44"/>
    <w:rsid w:val="001B5135"/>
    <w:rsid w:val="001B5257"/>
    <w:rsid w:val="001B5DCC"/>
    <w:rsid w:val="001B6219"/>
    <w:rsid w:val="001B6A58"/>
    <w:rsid w:val="001C0E07"/>
    <w:rsid w:val="001C236A"/>
    <w:rsid w:val="001C2AA0"/>
    <w:rsid w:val="001C2BBA"/>
    <w:rsid w:val="001C375D"/>
    <w:rsid w:val="001C3B21"/>
    <w:rsid w:val="001C40CE"/>
    <w:rsid w:val="001C519C"/>
    <w:rsid w:val="001D0DB1"/>
    <w:rsid w:val="001D16E5"/>
    <w:rsid w:val="001D232B"/>
    <w:rsid w:val="001D3FE3"/>
    <w:rsid w:val="001D4491"/>
    <w:rsid w:val="001D4DC8"/>
    <w:rsid w:val="001D549E"/>
    <w:rsid w:val="001D5D32"/>
    <w:rsid w:val="001D60E7"/>
    <w:rsid w:val="001E0341"/>
    <w:rsid w:val="001E0AE5"/>
    <w:rsid w:val="001E0F5A"/>
    <w:rsid w:val="001E156B"/>
    <w:rsid w:val="001E2E4D"/>
    <w:rsid w:val="001E3D37"/>
    <w:rsid w:val="001E48C6"/>
    <w:rsid w:val="001E4F1B"/>
    <w:rsid w:val="001E4FDD"/>
    <w:rsid w:val="001E50EA"/>
    <w:rsid w:val="001E51C7"/>
    <w:rsid w:val="001E5325"/>
    <w:rsid w:val="001E6061"/>
    <w:rsid w:val="001E6CA6"/>
    <w:rsid w:val="001E7ED2"/>
    <w:rsid w:val="001F06F5"/>
    <w:rsid w:val="001F0A77"/>
    <w:rsid w:val="001F1581"/>
    <w:rsid w:val="001F2288"/>
    <w:rsid w:val="001F27EA"/>
    <w:rsid w:val="001F341C"/>
    <w:rsid w:val="001F36E4"/>
    <w:rsid w:val="001F3955"/>
    <w:rsid w:val="001F3A46"/>
    <w:rsid w:val="001F3EC2"/>
    <w:rsid w:val="001F4206"/>
    <w:rsid w:val="001F45C4"/>
    <w:rsid w:val="001F4C76"/>
    <w:rsid w:val="001F6259"/>
    <w:rsid w:val="001F6571"/>
    <w:rsid w:val="001F6621"/>
    <w:rsid w:val="001F7D6F"/>
    <w:rsid w:val="0020073D"/>
    <w:rsid w:val="0020095E"/>
    <w:rsid w:val="002013B2"/>
    <w:rsid w:val="002014EA"/>
    <w:rsid w:val="00201740"/>
    <w:rsid w:val="002018D2"/>
    <w:rsid w:val="00201F8E"/>
    <w:rsid w:val="00202333"/>
    <w:rsid w:val="00203282"/>
    <w:rsid w:val="0020390F"/>
    <w:rsid w:val="00203FDD"/>
    <w:rsid w:val="00204872"/>
    <w:rsid w:val="00206E74"/>
    <w:rsid w:val="002076FE"/>
    <w:rsid w:val="0021019D"/>
    <w:rsid w:val="00211662"/>
    <w:rsid w:val="00212096"/>
    <w:rsid w:val="00212C19"/>
    <w:rsid w:val="00213008"/>
    <w:rsid w:val="00213071"/>
    <w:rsid w:val="00213449"/>
    <w:rsid w:val="0021393F"/>
    <w:rsid w:val="00214291"/>
    <w:rsid w:val="0021469A"/>
    <w:rsid w:val="00214A53"/>
    <w:rsid w:val="002167AC"/>
    <w:rsid w:val="002200CD"/>
    <w:rsid w:val="00220139"/>
    <w:rsid w:val="00222DA2"/>
    <w:rsid w:val="002236DB"/>
    <w:rsid w:val="00223700"/>
    <w:rsid w:val="00223A60"/>
    <w:rsid w:val="00224D35"/>
    <w:rsid w:val="00225085"/>
    <w:rsid w:val="0022541C"/>
    <w:rsid w:val="00225903"/>
    <w:rsid w:val="00225977"/>
    <w:rsid w:val="002260B4"/>
    <w:rsid w:val="00227557"/>
    <w:rsid w:val="00227D39"/>
    <w:rsid w:val="00227F86"/>
    <w:rsid w:val="00230B10"/>
    <w:rsid w:val="002315BE"/>
    <w:rsid w:val="00231722"/>
    <w:rsid w:val="0023178F"/>
    <w:rsid w:val="00231957"/>
    <w:rsid w:val="00231B3A"/>
    <w:rsid w:val="0023235B"/>
    <w:rsid w:val="00232C08"/>
    <w:rsid w:val="002339FF"/>
    <w:rsid w:val="00234B4B"/>
    <w:rsid w:val="00234F7C"/>
    <w:rsid w:val="002357A1"/>
    <w:rsid w:val="00235AAE"/>
    <w:rsid w:val="00236473"/>
    <w:rsid w:val="00236D9C"/>
    <w:rsid w:val="002371B7"/>
    <w:rsid w:val="0024047B"/>
    <w:rsid w:val="0024098C"/>
    <w:rsid w:val="00240B94"/>
    <w:rsid w:val="00241426"/>
    <w:rsid w:val="002414D5"/>
    <w:rsid w:val="0024206B"/>
    <w:rsid w:val="002421EB"/>
    <w:rsid w:val="00243B52"/>
    <w:rsid w:val="0024444E"/>
    <w:rsid w:val="00244C40"/>
    <w:rsid w:val="00245DCC"/>
    <w:rsid w:val="00250544"/>
    <w:rsid w:val="00250B68"/>
    <w:rsid w:val="002510CD"/>
    <w:rsid w:val="0025146D"/>
    <w:rsid w:val="002538F2"/>
    <w:rsid w:val="00253A5C"/>
    <w:rsid w:val="002547CC"/>
    <w:rsid w:val="002549E2"/>
    <w:rsid w:val="002554A4"/>
    <w:rsid w:val="0025568A"/>
    <w:rsid w:val="002558D3"/>
    <w:rsid w:val="00255B9D"/>
    <w:rsid w:val="00256258"/>
    <w:rsid w:val="002571D2"/>
    <w:rsid w:val="00257696"/>
    <w:rsid w:val="00260FC2"/>
    <w:rsid w:val="00261A05"/>
    <w:rsid w:val="00261C9A"/>
    <w:rsid w:val="00262FDA"/>
    <w:rsid w:val="00263053"/>
    <w:rsid w:val="00266306"/>
    <w:rsid w:val="002663B4"/>
    <w:rsid w:val="002665C5"/>
    <w:rsid w:val="00266A91"/>
    <w:rsid w:val="00267109"/>
    <w:rsid w:val="00267B49"/>
    <w:rsid w:val="002702A4"/>
    <w:rsid w:val="002714AE"/>
    <w:rsid w:val="00271633"/>
    <w:rsid w:val="00272D3E"/>
    <w:rsid w:val="002733B3"/>
    <w:rsid w:val="0027350E"/>
    <w:rsid w:val="002746F4"/>
    <w:rsid w:val="0027483A"/>
    <w:rsid w:val="00274FBC"/>
    <w:rsid w:val="00276817"/>
    <w:rsid w:val="00276D2D"/>
    <w:rsid w:val="00276E1D"/>
    <w:rsid w:val="002772FC"/>
    <w:rsid w:val="00280632"/>
    <w:rsid w:val="00280A57"/>
    <w:rsid w:val="0028172C"/>
    <w:rsid w:val="00281AE9"/>
    <w:rsid w:val="002823E0"/>
    <w:rsid w:val="00283453"/>
    <w:rsid w:val="00283CB1"/>
    <w:rsid w:val="002849B0"/>
    <w:rsid w:val="00285304"/>
    <w:rsid w:val="002855DD"/>
    <w:rsid w:val="00285964"/>
    <w:rsid w:val="00286117"/>
    <w:rsid w:val="00286973"/>
    <w:rsid w:val="00286C01"/>
    <w:rsid w:val="002870B6"/>
    <w:rsid w:val="00287AFC"/>
    <w:rsid w:val="00287DB9"/>
    <w:rsid w:val="002914F2"/>
    <w:rsid w:val="00291A97"/>
    <w:rsid w:val="00291EF1"/>
    <w:rsid w:val="00292046"/>
    <w:rsid w:val="00293223"/>
    <w:rsid w:val="00293730"/>
    <w:rsid w:val="002938B8"/>
    <w:rsid w:val="00293904"/>
    <w:rsid w:val="002939F0"/>
    <w:rsid w:val="0029484E"/>
    <w:rsid w:val="0029525E"/>
    <w:rsid w:val="002967CD"/>
    <w:rsid w:val="0029680C"/>
    <w:rsid w:val="0029697B"/>
    <w:rsid w:val="002970F8"/>
    <w:rsid w:val="002973E4"/>
    <w:rsid w:val="002A015A"/>
    <w:rsid w:val="002A0889"/>
    <w:rsid w:val="002A1AF1"/>
    <w:rsid w:val="002A1EA1"/>
    <w:rsid w:val="002A2010"/>
    <w:rsid w:val="002A273A"/>
    <w:rsid w:val="002A454B"/>
    <w:rsid w:val="002A4AB2"/>
    <w:rsid w:val="002A4C2A"/>
    <w:rsid w:val="002A5EA5"/>
    <w:rsid w:val="002A6A85"/>
    <w:rsid w:val="002A78FF"/>
    <w:rsid w:val="002A7A7D"/>
    <w:rsid w:val="002A7FBE"/>
    <w:rsid w:val="002B022A"/>
    <w:rsid w:val="002B024C"/>
    <w:rsid w:val="002B04F2"/>
    <w:rsid w:val="002B09A8"/>
    <w:rsid w:val="002B10B3"/>
    <w:rsid w:val="002B1363"/>
    <w:rsid w:val="002B1A5A"/>
    <w:rsid w:val="002B2CB9"/>
    <w:rsid w:val="002B325E"/>
    <w:rsid w:val="002B3B1D"/>
    <w:rsid w:val="002B3FC4"/>
    <w:rsid w:val="002B49DC"/>
    <w:rsid w:val="002B5318"/>
    <w:rsid w:val="002B55EC"/>
    <w:rsid w:val="002B6372"/>
    <w:rsid w:val="002B656E"/>
    <w:rsid w:val="002B6A43"/>
    <w:rsid w:val="002B6EF6"/>
    <w:rsid w:val="002B77CD"/>
    <w:rsid w:val="002C0C12"/>
    <w:rsid w:val="002C1A3A"/>
    <w:rsid w:val="002C1CDE"/>
    <w:rsid w:val="002C2795"/>
    <w:rsid w:val="002C319B"/>
    <w:rsid w:val="002C4432"/>
    <w:rsid w:val="002C4550"/>
    <w:rsid w:val="002C4A75"/>
    <w:rsid w:val="002C50C7"/>
    <w:rsid w:val="002C68C2"/>
    <w:rsid w:val="002C6907"/>
    <w:rsid w:val="002C6D15"/>
    <w:rsid w:val="002C7222"/>
    <w:rsid w:val="002D110F"/>
    <w:rsid w:val="002D140B"/>
    <w:rsid w:val="002D1D92"/>
    <w:rsid w:val="002D3387"/>
    <w:rsid w:val="002D400A"/>
    <w:rsid w:val="002D517F"/>
    <w:rsid w:val="002D5905"/>
    <w:rsid w:val="002D5A44"/>
    <w:rsid w:val="002D5CB7"/>
    <w:rsid w:val="002D61C6"/>
    <w:rsid w:val="002D6CEF"/>
    <w:rsid w:val="002D6D22"/>
    <w:rsid w:val="002D7897"/>
    <w:rsid w:val="002E0FA1"/>
    <w:rsid w:val="002E1133"/>
    <w:rsid w:val="002E1352"/>
    <w:rsid w:val="002E1D61"/>
    <w:rsid w:val="002E1F47"/>
    <w:rsid w:val="002E2430"/>
    <w:rsid w:val="002E2B65"/>
    <w:rsid w:val="002E3143"/>
    <w:rsid w:val="002E3299"/>
    <w:rsid w:val="002E33E0"/>
    <w:rsid w:val="002E3AD0"/>
    <w:rsid w:val="002E4397"/>
    <w:rsid w:val="002E4501"/>
    <w:rsid w:val="002E4918"/>
    <w:rsid w:val="002E5146"/>
    <w:rsid w:val="002E59D1"/>
    <w:rsid w:val="002E6081"/>
    <w:rsid w:val="002E7526"/>
    <w:rsid w:val="002E791E"/>
    <w:rsid w:val="002E7D0F"/>
    <w:rsid w:val="002F0527"/>
    <w:rsid w:val="002F0C6B"/>
    <w:rsid w:val="002F1460"/>
    <w:rsid w:val="002F1A80"/>
    <w:rsid w:val="002F23A2"/>
    <w:rsid w:val="002F287D"/>
    <w:rsid w:val="002F2B71"/>
    <w:rsid w:val="002F3238"/>
    <w:rsid w:val="002F38AC"/>
    <w:rsid w:val="002F3B9E"/>
    <w:rsid w:val="002F4620"/>
    <w:rsid w:val="002F4752"/>
    <w:rsid w:val="002F4E24"/>
    <w:rsid w:val="002F6EF0"/>
    <w:rsid w:val="002F7D82"/>
    <w:rsid w:val="00301538"/>
    <w:rsid w:val="00301904"/>
    <w:rsid w:val="00301ED3"/>
    <w:rsid w:val="003025BC"/>
    <w:rsid w:val="00303D4E"/>
    <w:rsid w:val="00304877"/>
    <w:rsid w:val="0030488A"/>
    <w:rsid w:val="003049C7"/>
    <w:rsid w:val="00304E07"/>
    <w:rsid w:val="003052DA"/>
    <w:rsid w:val="00305A33"/>
    <w:rsid w:val="00305D38"/>
    <w:rsid w:val="003102E3"/>
    <w:rsid w:val="00310BD7"/>
    <w:rsid w:val="003111EA"/>
    <w:rsid w:val="0031129A"/>
    <w:rsid w:val="003113E6"/>
    <w:rsid w:val="0031363A"/>
    <w:rsid w:val="0031490F"/>
    <w:rsid w:val="00314AFE"/>
    <w:rsid w:val="00314EA4"/>
    <w:rsid w:val="0031553E"/>
    <w:rsid w:val="00315885"/>
    <w:rsid w:val="00316350"/>
    <w:rsid w:val="00316736"/>
    <w:rsid w:val="003170C2"/>
    <w:rsid w:val="00317369"/>
    <w:rsid w:val="003176A1"/>
    <w:rsid w:val="003178C6"/>
    <w:rsid w:val="00317D12"/>
    <w:rsid w:val="00320975"/>
    <w:rsid w:val="003212EF"/>
    <w:rsid w:val="00321370"/>
    <w:rsid w:val="00321386"/>
    <w:rsid w:val="00322AEF"/>
    <w:rsid w:val="00323F94"/>
    <w:rsid w:val="00325429"/>
    <w:rsid w:val="00326000"/>
    <w:rsid w:val="00326A88"/>
    <w:rsid w:val="00327AAB"/>
    <w:rsid w:val="00330433"/>
    <w:rsid w:val="0033066F"/>
    <w:rsid w:val="0033128D"/>
    <w:rsid w:val="00331CDC"/>
    <w:rsid w:val="0033338B"/>
    <w:rsid w:val="003339D0"/>
    <w:rsid w:val="0033404D"/>
    <w:rsid w:val="0033447D"/>
    <w:rsid w:val="003355D7"/>
    <w:rsid w:val="003361D8"/>
    <w:rsid w:val="003367DF"/>
    <w:rsid w:val="00336B9D"/>
    <w:rsid w:val="00337C80"/>
    <w:rsid w:val="00337EF8"/>
    <w:rsid w:val="00340614"/>
    <w:rsid w:val="00341808"/>
    <w:rsid w:val="003418AD"/>
    <w:rsid w:val="00341D39"/>
    <w:rsid w:val="00341E4A"/>
    <w:rsid w:val="00341F11"/>
    <w:rsid w:val="003420DB"/>
    <w:rsid w:val="003423D6"/>
    <w:rsid w:val="00343C89"/>
    <w:rsid w:val="00344244"/>
    <w:rsid w:val="00344B12"/>
    <w:rsid w:val="00344B63"/>
    <w:rsid w:val="0034503A"/>
    <w:rsid w:val="0034521C"/>
    <w:rsid w:val="0034552C"/>
    <w:rsid w:val="00346A76"/>
    <w:rsid w:val="00346D22"/>
    <w:rsid w:val="00347082"/>
    <w:rsid w:val="00347D1D"/>
    <w:rsid w:val="00347E70"/>
    <w:rsid w:val="00350B3C"/>
    <w:rsid w:val="00350B44"/>
    <w:rsid w:val="00350DF4"/>
    <w:rsid w:val="00351747"/>
    <w:rsid w:val="003519B5"/>
    <w:rsid w:val="00351EB9"/>
    <w:rsid w:val="003521C1"/>
    <w:rsid w:val="00352A01"/>
    <w:rsid w:val="00352F67"/>
    <w:rsid w:val="003549A3"/>
    <w:rsid w:val="0035560A"/>
    <w:rsid w:val="0035572C"/>
    <w:rsid w:val="00355F28"/>
    <w:rsid w:val="00356083"/>
    <w:rsid w:val="00357560"/>
    <w:rsid w:val="00357A58"/>
    <w:rsid w:val="00357A98"/>
    <w:rsid w:val="003610F8"/>
    <w:rsid w:val="0036161F"/>
    <w:rsid w:val="00362BAD"/>
    <w:rsid w:val="003631E7"/>
    <w:rsid w:val="00365026"/>
    <w:rsid w:val="003663F9"/>
    <w:rsid w:val="00366CD6"/>
    <w:rsid w:val="00366FA0"/>
    <w:rsid w:val="0036753C"/>
    <w:rsid w:val="00367D46"/>
    <w:rsid w:val="003704CA"/>
    <w:rsid w:val="00370EDE"/>
    <w:rsid w:val="00371DB1"/>
    <w:rsid w:val="00373F8D"/>
    <w:rsid w:val="0037421F"/>
    <w:rsid w:val="00374880"/>
    <w:rsid w:val="003751AF"/>
    <w:rsid w:val="0037546F"/>
    <w:rsid w:val="00377C2E"/>
    <w:rsid w:val="00377F53"/>
    <w:rsid w:val="0038029C"/>
    <w:rsid w:val="0038093B"/>
    <w:rsid w:val="00380B75"/>
    <w:rsid w:val="00381FB9"/>
    <w:rsid w:val="0038209F"/>
    <w:rsid w:val="003829C2"/>
    <w:rsid w:val="00382E72"/>
    <w:rsid w:val="00382FDE"/>
    <w:rsid w:val="0038312C"/>
    <w:rsid w:val="00383451"/>
    <w:rsid w:val="003834B9"/>
    <w:rsid w:val="00383515"/>
    <w:rsid w:val="00383846"/>
    <w:rsid w:val="003842C9"/>
    <w:rsid w:val="003849F7"/>
    <w:rsid w:val="00384C44"/>
    <w:rsid w:val="003875C7"/>
    <w:rsid w:val="0039069D"/>
    <w:rsid w:val="00390B9A"/>
    <w:rsid w:val="00390F0C"/>
    <w:rsid w:val="0039235E"/>
    <w:rsid w:val="003929AF"/>
    <w:rsid w:val="003947A9"/>
    <w:rsid w:val="00394D54"/>
    <w:rsid w:val="00394D93"/>
    <w:rsid w:val="00395CB4"/>
    <w:rsid w:val="003A0132"/>
    <w:rsid w:val="003A0A96"/>
    <w:rsid w:val="003A0F94"/>
    <w:rsid w:val="003A1616"/>
    <w:rsid w:val="003A1D92"/>
    <w:rsid w:val="003A244D"/>
    <w:rsid w:val="003A2F76"/>
    <w:rsid w:val="003A300A"/>
    <w:rsid w:val="003A3EBE"/>
    <w:rsid w:val="003A4E21"/>
    <w:rsid w:val="003A6283"/>
    <w:rsid w:val="003A6788"/>
    <w:rsid w:val="003A76A4"/>
    <w:rsid w:val="003A7F30"/>
    <w:rsid w:val="003B05B1"/>
    <w:rsid w:val="003B2C70"/>
    <w:rsid w:val="003B3083"/>
    <w:rsid w:val="003B3749"/>
    <w:rsid w:val="003B3A8B"/>
    <w:rsid w:val="003B3D65"/>
    <w:rsid w:val="003B4641"/>
    <w:rsid w:val="003B4F4C"/>
    <w:rsid w:val="003B640F"/>
    <w:rsid w:val="003B6982"/>
    <w:rsid w:val="003B7067"/>
    <w:rsid w:val="003B7FC9"/>
    <w:rsid w:val="003C0189"/>
    <w:rsid w:val="003C0247"/>
    <w:rsid w:val="003C06D6"/>
    <w:rsid w:val="003C249A"/>
    <w:rsid w:val="003C25FE"/>
    <w:rsid w:val="003C27BD"/>
    <w:rsid w:val="003C3157"/>
    <w:rsid w:val="003C3A59"/>
    <w:rsid w:val="003C3B79"/>
    <w:rsid w:val="003C4532"/>
    <w:rsid w:val="003C5D61"/>
    <w:rsid w:val="003C635C"/>
    <w:rsid w:val="003C6B21"/>
    <w:rsid w:val="003C6C3E"/>
    <w:rsid w:val="003C6D84"/>
    <w:rsid w:val="003C7389"/>
    <w:rsid w:val="003D1A5B"/>
    <w:rsid w:val="003D2275"/>
    <w:rsid w:val="003D2619"/>
    <w:rsid w:val="003D2A10"/>
    <w:rsid w:val="003D3D96"/>
    <w:rsid w:val="003D46E7"/>
    <w:rsid w:val="003D626D"/>
    <w:rsid w:val="003D7C15"/>
    <w:rsid w:val="003E01E3"/>
    <w:rsid w:val="003E0881"/>
    <w:rsid w:val="003E0D92"/>
    <w:rsid w:val="003E1D40"/>
    <w:rsid w:val="003E3EE5"/>
    <w:rsid w:val="003E4812"/>
    <w:rsid w:val="003E4817"/>
    <w:rsid w:val="003E5899"/>
    <w:rsid w:val="003E5916"/>
    <w:rsid w:val="003E5BA5"/>
    <w:rsid w:val="003E6F66"/>
    <w:rsid w:val="003F17BB"/>
    <w:rsid w:val="003F2006"/>
    <w:rsid w:val="003F2670"/>
    <w:rsid w:val="003F3FAC"/>
    <w:rsid w:val="003F4296"/>
    <w:rsid w:val="003F4515"/>
    <w:rsid w:val="003F467B"/>
    <w:rsid w:val="003F482A"/>
    <w:rsid w:val="003F5D93"/>
    <w:rsid w:val="003F610A"/>
    <w:rsid w:val="003F6173"/>
    <w:rsid w:val="003F67B6"/>
    <w:rsid w:val="003F69CE"/>
    <w:rsid w:val="003F7C52"/>
    <w:rsid w:val="003F7F09"/>
    <w:rsid w:val="00400908"/>
    <w:rsid w:val="00400917"/>
    <w:rsid w:val="00400E12"/>
    <w:rsid w:val="00401428"/>
    <w:rsid w:val="0040174F"/>
    <w:rsid w:val="004028F2"/>
    <w:rsid w:val="0040313A"/>
    <w:rsid w:val="004066C3"/>
    <w:rsid w:val="004077DA"/>
    <w:rsid w:val="00410049"/>
    <w:rsid w:val="0041139A"/>
    <w:rsid w:val="004122A4"/>
    <w:rsid w:val="00413795"/>
    <w:rsid w:val="00414C10"/>
    <w:rsid w:val="00415511"/>
    <w:rsid w:val="004155C0"/>
    <w:rsid w:val="004162AA"/>
    <w:rsid w:val="00416F79"/>
    <w:rsid w:val="00417092"/>
    <w:rsid w:val="004176D5"/>
    <w:rsid w:val="00417B27"/>
    <w:rsid w:val="0042049B"/>
    <w:rsid w:val="0042049C"/>
    <w:rsid w:val="00420CDD"/>
    <w:rsid w:val="0042121D"/>
    <w:rsid w:val="0042234F"/>
    <w:rsid w:val="00422DDC"/>
    <w:rsid w:val="004232A4"/>
    <w:rsid w:val="00423C4A"/>
    <w:rsid w:val="004247C0"/>
    <w:rsid w:val="00424FFA"/>
    <w:rsid w:val="004255F1"/>
    <w:rsid w:val="00426FB0"/>
    <w:rsid w:val="00427EE6"/>
    <w:rsid w:val="00430115"/>
    <w:rsid w:val="00431113"/>
    <w:rsid w:val="0043173D"/>
    <w:rsid w:val="00431F4D"/>
    <w:rsid w:val="00432025"/>
    <w:rsid w:val="0043220E"/>
    <w:rsid w:val="004325DB"/>
    <w:rsid w:val="00432C70"/>
    <w:rsid w:val="00433CE1"/>
    <w:rsid w:val="004341F4"/>
    <w:rsid w:val="0043473A"/>
    <w:rsid w:val="00434CB0"/>
    <w:rsid w:val="00434DF0"/>
    <w:rsid w:val="00435638"/>
    <w:rsid w:val="00435934"/>
    <w:rsid w:val="00435D5B"/>
    <w:rsid w:val="00437245"/>
    <w:rsid w:val="0043726C"/>
    <w:rsid w:val="00437456"/>
    <w:rsid w:val="00441D90"/>
    <w:rsid w:val="00442138"/>
    <w:rsid w:val="00443F1C"/>
    <w:rsid w:val="00444866"/>
    <w:rsid w:val="00444AD8"/>
    <w:rsid w:val="00445256"/>
    <w:rsid w:val="00445F23"/>
    <w:rsid w:val="004472B6"/>
    <w:rsid w:val="00447818"/>
    <w:rsid w:val="00450261"/>
    <w:rsid w:val="004503F0"/>
    <w:rsid w:val="00450A16"/>
    <w:rsid w:val="00451746"/>
    <w:rsid w:val="00451B75"/>
    <w:rsid w:val="0045296A"/>
    <w:rsid w:val="00452F2E"/>
    <w:rsid w:val="00453D20"/>
    <w:rsid w:val="004545FE"/>
    <w:rsid w:val="00454833"/>
    <w:rsid w:val="00454A91"/>
    <w:rsid w:val="00455352"/>
    <w:rsid w:val="004558BB"/>
    <w:rsid w:val="00455BF2"/>
    <w:rsid w:val="0045630C"/>
    <w:rsid w:val="004572F8"/>
    <w:rsid w:val="004578F4"/>
    <w:rsid w:val="00460193"/>
    <w:rsid w:val="00460593"/>
    <w:rsid w:val="004610A1"/>
    <w:rsid w:val="00461515"/>
    <w:rsid w:val="00461C26"/>
    <w:rsid w:val="0046294F"/>
    <w:rsid w:val="00462D47"/>
    <w:rsid w:val="004634B9"/>
    <w:rsid w:val="004639A6"/>
    <w:rsid w:val="004660D2"/>
    <w:rsid w:val="004672DF"/>
    <w:rsid w:val="004675EA"/>
    <w:rsid w:val="00467F08"/>
    <w:rsid w:val="00471C29"/>
    <w:rsid w:val="004734D6"/>
    <w:rsid w:val="00474166"/>
    <w:rsid w:val="0047498F"/>
    <w:rsid w:val="0047534F"/>
    <w:rsid w:val="00475BBC"/>
    <w:rsid w:val="00475C57"/>
    <w:rsid w:val="00477214"/>
    <w:rsid w:val="004807FF"/>
    <w:rsid w:val="004812AB"/>
    <w:rsid w:val="00481702"/>
    <w:rsid w:val="004817F1"/>
    <w:rsid w:val="00481F3D"/>
    <w:rsid w:val="004829D7"/>
    <w:rsid w:val="00482B37"/>
    <w:rsid w:val="0048333E"/>
    <w:rsid w:val="00483C3F"/>
    <w:rsid w:val="0048406E"/>
    <w:rsid w:val="004841D2"/>
    <w:rsid w:val="004843BE"/>
    <w:rsid w:val="00484D37"/>
    <w:rsid w:val="00485454"/>
    <w:rsid w:val="004855A6"/>
    <w:rsid w:val="00485C3E"/>
    <w:rsid w:val="004868EA"/>
    <w:rsid w:val="00490AC3"/>
    <w:rsid w:val="00490F06"/>
    <w:rsid w:val="0049233F"/>
    <w:rsid w:val="004927AD"/>
    <w:rsid w:val="00492C01"/>
    <w:rsid w:val="004946E7"/>
    <w:rsid w:val="00494890"/>
    <w:rsid w:val="0049528C"/>
    <w:rsid w:val="00495C19"/>
    <w:rsid w:val="00495C46"/>
    <w:rsid w:val="004960EF"/>
    <w:rsid w:val="00496CCA"/>
    <w:rsid w:val="0049717C"/>
    <w:rsid w:val="004A03AA"/>
    <w:rsid w:val="004A0AFF"/>
    <w:rsid w:val="004A0B5F"/>
    <w:rsid w:val="004A1905"/>
    <w:rsid w:val="004A19AC"/>
    <w:rsid w:val="004A2A45"/>
    <w:rsid w:val="004A2ACC"/>
    <w:rsid w:val="004A2C62"/>
    <w:rsid w:val="004A44C1"/>
    <w:rsid w:val="004A500D"/>
    <w:rsid w:val="004A5743"/>
    <w:rsid w:val="004A7175"/>
    <w:rsid w:val="004A7ABA"/>
    <w:rsid w:val="004B056F"/>
    <w:rsid w:val="004B0B70"/>
    <w:rsid w:val="004B12AF"/>
    <w:rsid w:val="004B1548"/>
    <w:rsid w:val="004B35CC"/>
    <w:rsid w:val="004B37AE"/>
    <w:rsid w:val="004B41B6"/>
    <w:rsid w:val="004B43D7"/>
    <w:rsid w:val="004B58EF"/>
    <w:rsid w:val="004B626A"/>
    <w:rsid w:val="004B65A1"/>
    <w:rsid w:val="004B698B"/>
    <w:rsid w:val="004B762B"/>
    <w:rsid w:val="004B7C05"/>
    <w:rsid w:val="004C0540"/>
    <w:rsid w:val="004C18E4"/>
    <w:rsid w:val="004C47DD"/>
    <w:rsid w:val="004C4B3D"/>
    <w:rsid w:val="004C55D2"/>
    <w:rsid w:val="004C55EF"/>
    <w:rsid w:val="004C5AF8"/>
    <w:rsid w:val="004C5B2B"/>
    <w:rsid w:val="004C7C6E"/>
    <w:rsid w:val="004D09C2"/>
    <w:rsid w:val="004D0D4E"/>
    <w:rsid w:val="004D0DE3"/>
    <w:rsid w:val="004D11DA"/>
    <w:rsid w:val="004D147A"/>
    <w:rsid w:val="004D14FF"/>
    <w:rsid w:val="004D20D5"/>
    <w:rsid w:val="004D2899"/>
    <w:rsid w:val="004D3D13"/>
    <w:rsid w:val="004D57FE"/>
    <w:rsid w:val="004D58D0"/>
    <w:rsid w:val="004D623A"/>
    <w:rsid w:val="004D6EEE"/>
    <w:rsid w:val="004E005F"/>
    <w:rsid w:val="004E01CF"/>
    <w:rsid w:val="004E0206"/>
    <w:rsid w:val="004E0C51"/>
    <w:rsid w:val="004E0D1C"/>
    <w:rsid w:val="004E13EB"/>
    <w:rsid w:val="004E2127"/>
    <w:rsid w:val="004E2831"/>
    <w:rsid w:val="004E36E1"/>
    <w:rsid w:val="004E4F71"/>
    <w:rsid w:val="004E6B01"/>
    <w:rsid w:val="004E6F96"/>
    <w:rsid w:val="004E703C"/>
    <w:rsid w:val="004E7219"/>
    <w:rsid w:val="004E7851"/>
    <w:rsid w:val="004E7855"/>
    <w:rsid w:val="004F0342"/>
    <w:rsid w:val="004F1433"/>
    <w:rsid w:val="004F161C"/>
    <w:rsid w:val="004F282D"/>
    <w:rsid w:val="004F2E52"/>
    <w:rsid w:val="004F36A7"/>
    <w:rsid w:val="004F3AA5"/>
    <w:rsid w:val="004F5AE3"/>
    <w:rsid w:val="004F5D8C"/>
    <w:rsid w:val="004F6D71"/>
    <w:rsid w:val="004F76D0"/>
    <w:rsid w:val="004F77E4"/>
    <w:rsid w:val="00500CDF"/>
    <w:rsid w:val="0050164E"/>
    <w:rsid w:val="005024C8"/>
    <w:rsid w:val="00502A46"/>
    <w:rsid w:val="00502EE2"/>
    <w:rsid w:val="00503009"/>
    <w:rsid w:val="0050318A"/>
    <w:rsid w:val="0050428F"/>
    <w:rsid w:val="00504F71"/>
    <w:rsid w:val="005053C9"/>
    <w:rsid w:val="00505566"/>
    <w:rsid w:val="00505959"/>
    <w:rsid w:val="005065B9"/>
    <w:rsid w:val="00506B32"/>
    <w:rsid w:val="00506C62"/>
    <w:rsid w:val="0050715D"/>
    <w:rsid w:val="005103F8"/>
    <w:rsid w:val="00511941"/>
    <w:rsid w:val="005127FE"/>
    <w:rsid w:val="00512F6A"/>
    <w:rsid w:val="0051334D"/>
    <w:rsid w:val="00513E7B"/>
    <w:rsid w:val="005164B9"/>
    <w:rsid w:val="00517177"/>
    <w:rsid w:val="0051741A"/>
    <w:rsid w:val="00517AA8"/>
    <w:rsid w:val="00517C18"/>
    <w:rsid w:val="00520CE4"/>
    <w:rsid w:val="00522C22"/>
    <w:rsid w:val="00523427"/>
    <w:rsid w:val="00523A6C"/>
    <w:rsid w:val="0052412A"/>
    <w:rsid w:val="005249DF"/>
    <w:rsid w:val="00524D87"/>
    <w:rsid w:val="005252A6"/>
    <w:rsid w:val="005258B0"/>
    <w:rsid w:val="00525DD6"/>
    <w:rsid w:val="00525DFD"/>
    <w:rsid w:val="00526AA4"/>
    <w:rsid w:val="00526D63"/>
    <w:rsid w:val="00526EF8"/>
    <w:rsid w:val="00527361"/>
    <w:rsid w:val="005274D8"/>
    <w:rsid w:val="00527995"/>
    <w:rsid w:val="00527DE8"/>
    <w:rsid w:val="00530425"/>
    <w:rsid w:val="0053084C"/>
    <w:rsid w:val="005312E5"/>
    <w:rsid w:val="00533469"/>
    <w:rsid w:val="005339AA"/>
    <w:rsid w:val="00533EA3"/>
    <w:rsid w:val="0053499F"/>
    <w:rsid w:val="00534FDF"/>
    <w:rsid w:val="00535C74"/>
    <w:rsid w:val="00535FB7"/>
    <w:rsid w:val="0053621B"/>
    <w:rsid w:val="0053664D"/>
    <w:rsid w:val="00536AD3"/>
    <w:rsid w:val="00536E26"/>
    <w:rsid w:val="00540AA6"/>
    <w:rsid w:val="00540E0D"/>
    <w:rsid w:val="005427FF"/>
    <w:rsid w:val="00542F4B"/>
    <w:rsid w:val="00542FA8"/>
    <w:rsid w:val="005440C1"/>
    <w:rsid w:val="005459DA"/>
    <w:rsid w:val="0054673D"/>
    <w:rsid w:val="00546955"/>
    <w:rsid w:val="0054720E"/>
    <w:rsid w:val="00547A77"/>
    <w:rsid w:val="00547D10"/>
    <w:rsid w:val="00550072"/>
    <w:rsid w:val="0055011D"/>
    <w:rsid w:val="005512D1"/>
    <w:rsid w:val="00552ACA"/>
    <w:rsid w:val="00553C33"/>
    <w:rsid w:val="00553DBE"/>
    <w:rsid w:val="00555A1C"/>
    <w:rsid w:val="00555D5F"/>
    <w:rsid w:val="0055606C"/>
    <w:rsid w:val="00560BC3"/>
    <w:rsid w:val="00560C0C"/>
    <w:rsid w:val="00560D89"/>
    <w:rsid w:val="00561B41"/>
    <w:rsid w:val="00562A5E"/>
    <w:rsid w:val="0056602C"/>
    <w:rsid w:val="005671E2"/>
    <w:rsid w:val="00567772"/>
    <w:rsid w:val="00567AC6"/>
    <w:rsid w:val="005706C2"/>
    <w:rsid w:val="00572403"/>
    <w:rsid w:val="005739EE"/>
    <w:rsid w:val="0057462F"/>
    <w:rsid w:val="00574C58"/>
    <w:rsid w:val="00575345"/>
    <w:rsid w:val="0057550C"/>
    <w:rsid w:val="00575820"/>
    <w:rsid w:val="00575E1D"/>
    <w:rsid w:val="00576375"/>
    <w:rsid w:val="00576976"/>
    <w:rsid w:val="00576E2E"/>
    <w:rsid w:val="00577569"/>
    <w:rsid w:val="005806BD"/>
    <w:rsid w:val="00580DC7"/>
    <w:rsid w:val="00581693"/>
    <w:rsid w:val="00581755"/>
    <w:rsid w:val="005822A5"/>
    <w:rsid w:val="00582B9C"/>
    <w:rsid w:val="005831B2"/>
    <w:rsid w:val="0058450C"/>
    <w:rsid w:val="00584C76"/>
    <w:rsid w:val="00584D5D"/>
    <w:rsid w:val="005858B8"/>
    <w:rsid w:val="005861E9"/>
    <w:rsid w:val="00586603"/>
    <w:rsid w:val="005866F2"/>
    <w:rsid w:val="00587299"/>
    <w:rsid w:val="00587AB6"/>
    <w:rsid w:val="005902AB"/>
    <w:rsid w:val="0059053D"/>
    <w:rsid w:val="005905E4"/>
    <w:rsid w:val="0059060B"/>
    <w:rsid w:val="00591528"/>
    <w:rsid w:val="0059179D"/>
    <w:rsid w:val="00591D02"/>
    <w:rsid w:val="005922EC"/>
    <w:rsid w:val="0059260C"/>
    <w:rsid w:val="00593FAF"/>
    <w:rsid w:val="00594EDE"/>
    <w:rsid w:val="00595614"/>
    <w:rsid w:val="005957A5"/>
    <w:rsid w:val="00595B78"/>
    <w:rsid w:val="005964A2"/>
    <w:rsid w:val="0059695A"/>
    <w:rsid w:val="00596D6F"/>
    <w:rsid w:val="00597322"/>
    <w:rsid w:val="005976DF"/>
    <w:rsid w:val="00597B93"/>
    <w:rsid w:val="005A0CBE"/>
    <w:rsid w:val="005A1165"/>
    <w:rsid w:val="005A1FF5"/>
    <w:rsid w:val="005A3912"/>
    <w:rsid w:val="005A419B"/>
    <w:rsid w:val="005A4548"/>
    <w:rsid w:val="005A5FD0"/>
    <w:rsid w:val="005A79FE"/>
    <w:rsid w:val="005B0279"/>
    <w:rsid w:val="005B0A50"/>
    <w:rsid w:val="005B0A5E"/>
    <w:rsid w:val="005B1115"/>
    <w:rsid w:val="005B12AF"/>
    <w:rsid w:val="005B175D"/>
    <w:rsid w:val="005B19D4"/>
    <w:rsid w:val="005B1D7B"/>
    <w:rsid w:val="005B270D"/>
    <w:rsid w:val="005B2D9E"/>
    <w:rsid w:val="005B32AD"/>
    <w:rsid w:val="005B360F"/>
    <w:rsid w:val="005B3B7F"/>
    <w:rsid w:val="005B3DA5"/>
    <w:rsid w:val="005B55CF"/>
    <w:rsid w:val="005B7750"/>
    <w:rsid w:val="005C0514"/>
    <w:rsid w:val="005C081D"/>
    <w:rsid w:val="005C10FA"/>
    <w:rsid w:val="005C1938"/>
    <w:rsid w:val="005C19B3"/>
    <w:rsid w:val="005C3B0A"/>
    <w:rsid w:val="005C3F5E"/>
    <w:rsid w:val="005C5711"/>
    <w:rsid w:val="005C5AE0"/>
    <w:rsid w:val="005C74F5"/>
    <w:rsid w:val="005C75FA"/>
    <w:rsid w:val="005C78BE"/>
    <w:rsid w:val="005C7BA1"/>
    <w:rsid w:val="005C7EB7"/>
    <w:rsid w:val="005D0E5F"/>
    <w:rsid w:val="005D1D1B"/>
    <w:rsid w:val="005D1F61"/>
    <w:rsid w:val="005D1FEB"/>
    <w:rsid w:val="005D3D49"/>
    <w:rsid w:val="005D3EAC"/>
    <w:rsid w:val="005D4054"/>
    <w:rsid w:val="005D4A86"/>
    <w:rsid w:val="005D514D"/>
    <w:rsid w:val="005D550D"/>
    <w:rsid w:val="005D595A"/>
    <w:rsid w:val="005D59B0"/>
    <w:rsid w:val="005D6117"/>
    <w:rsid w:val="005D6921"/>
    <w:rsid w:val="005D6C59"/>
    <w:rsid w:val="005D73CB"/>
    <w:rsid w:val="005D74C5"/>
    <w:rsid w:val="005D75D9"/>
    <w:rsid w:val="005E048B"/>
    <w:rsid w:val="005E279D"/>
    <w:rsid w:val="005E2AAC"/>
    <w:rsid w:val="005E34FD"/>
    <w:rsid w:val="005E4175"/>
    <w:rsid w:val="005E46EF"/>
    <w:rsid w:val="005E4CFF"/>
    <w:rsid w:val="005E5742"/>
    <w:rsid w:val="005E63F3"/>
    <w:rsid w:val="005F0F7C"/>
    <w:rsid w:val="005F103D"/>
    <w:rsid w:val="005F1458"/>
    <w:rsid w:val="005F1BD0"/>
    <w:rsid w:val="005F2227"/>
    <w:rsid w:val="005F2236"/>
    <w:rsid w:val="005F24CE"/>
    <w:rsid w:val="005F2FD9"/>
    <w:rsid w:val="005F326B"/>
    <w:rsid w:val="005F33B1"/>
    <w:rsid w:val="005F3AEE"/>
    <w:rsid w:val="005F5FE7"/>
    <w:rsid w:val="005F64C3"/>
    <w:rsid w:val="005F667E"/>
    <w:rsid w:val="005F71E7"/>
    <w:rsid w:val="005F792A"/>
    <w:rsid w:val="00600E22"/>
    <w:rsid w:val="006019B6"/>
    <w:rsid w:val="006021AD"/>
    <w:rsid w:val="0060240F"/>
    <w:rsid w:val="00602524"/>
    <w:rsid w:val="00605D4D"/>
    <w:rsid w:val="00606925"/>
    <w:rsid w:val="00606C05"/>
    <w:rsid w:val="00610E2C"/>
    <w:rsid w:val="00610F30"/>
    <w:rsid w:val="00612261"/>
    <w:rsid w:val="00612757"/>
    <w:rsid w:val="00613A92"/>
    <w:rsid w:val="006149A1"/>
    <w:rsid w:val="006162B2"/>
    <w:rsid w:val="00616F07"/>
    <w:rsid w:val="00617029"/>
    <w:rsid w:val="00617050"/>
    <w:rsid w:val="00617348"/>
    <w:rsid w:val="00620146"/>
    <w:rsid w:val="0062035B"/>
    <w:rsid w:val="00621F12"/>
    <w:rsid w:val="00622525"/>
    <w:rsid w:val="006229D1"/>
    <w:rsid w:val="00622F56"/>
    <w:rsid w:val="0062385F"/>
    <w:rsid w:val="0062590A"/>
    <w:rsid w:val="00625B5E"/>
    <w:rsid w:val="006261CC"/>
    <w:rsid w:val="00627274"/>
    <w:rsid w:val="00627A07"/>
    <w:rsid w:val="00627C4D"/>
    <w:rsid w:val="0063174D"/>
    <w:rsid w:val="00631822"/>
    <w:rsid w:val="00632F2B"/>
    <w:rsid w:val="00633764"/>
    <w:rsid w:val="00634E1A"/>
    <w:rsid w:val="0063520C"/>
    <w:rsid w:val="00636F20"/>
    <w:rsid w:val="006408E7"/>
    <w:rsid w:val="006413C7"/>
    <w:rsid w:val="00642B4F"/>
    <w:rsid w:val="00642D6E"/>
    <w:rsid w:val="00643258"/>
    <w:rsid w:val="006446E3"/>
    <w:rsid w:val="00645189"/>
    <w:rsid w:val="0064532F"/>
    <w:rsid w:val="006457A1"/>
    <w:rsid w:val="006461D9"/>
    <w:rsid w:val="00646F38"/>
    <w:rsid w:val="0064719D"/>
    <w:rsid w:val="0064734C"/>
    <w:rsid w:val="00647AAF"/>
    <w:rsid w:val="006502E0"/>
    <w:rsid w:val="00650420"/>
    <w:rsid w:val="00650D9D"/>
    <w:rsid w:val="00651889"/>
    <w:rsid w:val="00652A8D"/>
    <w:rsid w:val="00652BE8"/>
    <w:rsid w:val="006536D0"/>
    <w:rsid w:val="00653853"/>
    <w:rsid w:val="00653C48"/>
    <w:rsid w:val="0065468C"/>
    <w:rsid w:val="0065562F"/>
    <w:rsid w:val="006562BA"/>
    <w:rsid w:val="0065797E"/>
    <w:rsid w:val="00660106"/>
    <w:rsid w:val="0066058D"/>
    <w:rsid w:val="00661BF2"/>
    <w:rsid w:val="0066207A"/>
    <w:rsid w:val="00662401"/>
    <w:rsid w:val="00663206"/>
    <w:rsid w:val="0066444D"/>
    <w:rsid w:val="0066552B"/>
    <w:rsid w:val="00665C06"/>
    <w:rsid w:val="00670DCB"/>
    <w:rsid w:val="00671EBC"/>
    <w:rsid w:val="006735A0"/>
    <w:rsid w:val="0067397B"/>
    <w:rsid w:val="00674E13"/>
    <w:rsid w:val="00675541"/>
    <w:rsid w:val="00675856"/>
    <w:rsid w:val="00675B53"/>
    <w:rsid w:val="00677938"/>
    <w:rsid w:val="00681268"/>
    <w:rsid w:val="00682F2C"/>
    <w:rsid w:val="006831E5"/>
    <w:rsid w:val="00683320"/>
    <w:rsid w:val="00683DBB"/>
    <w:rsid w:val="00683EBD"/>
    <w:rsid w:val="006849B9"/>
    <w:rsid w:val="00686DEE"/>
    <w:rsid w:val="00686F66"/>
    <w:rsid w:val="006877B9"/>
    <w:rsid w:val="00690E06"/>
    <w:rsid w:val="00691434"/>
    <w:rsid w:val="00691633"/>
    <w:rsid w:val="0069168A"/>
    <w:rsid w:val="00692A7B"/>
    <w:rsid w:val="0069348E"/>
    <w:rsid w:val="00693D27"/>
    <w:rsid w:val="00695698"/>
    <w:rsid w:val="00696447"/>
    <w:rsid w:val="006964C7"/>
    <w:rsid w:val="00696638"/>
    <w:rsid w:val="00696E15"/>
    <w:rsid w:val="006A0493"/>
    <w:rsid w:val="006A0D21"/>
    <w:rsid w:val="006A2103"/>
    <w:rsid w:val="006A22BC"/>
    <w:rsid w:val="006A3552"/>
    <w:rsid w:val="006A3AB5"/>
    <w:rsid w:val="006A5572"/>
    <w:rsid w:val="006A601D"/>
    <w:rsid w:val="006A6124"/>
    <w:rsid w:val="006A624B"/>
    <w:rsid w:val="006A6387"/>
    <w:rsid w:val="006A7990"/>
    <w:rsid w:val="006B0EEB"/>
    <w:rsid w:val="006B1E14"/>
    <w:rsid w:val="006B2882"/>
    <w:rsid w:val="006B2C65"/>
    <w:rsid w:val="006B3B21"/>
    <w:rsid w:val="006B5887"/>
    <w:rsid w:val="006B6918"/>
    <w:rsid w:val="006B69BD"/>
    <w:rsid w:val="006B6AE4"/>
    <w:rsid w:val="006B7367"/>
    <w:rsid w:val="006B7572"/>
    <w:rsid w:val="006C015C"/>
    <w:rsid w:val="006C1140"/>
    <w:rsid w:val="006C155C"/>
    <w:rsid w:val="006C171D"/>
    <w:rsid w:val="006C215B"/>
    <w:rsid w:val="006C238A"/>
    <w:rsid w:val="006C23D0"/>
    <w:rsid w:val="006C2CA7"/>
    <w:rsid w:val="006C3606"/>
    <w:rsid w:val="006C387C"/>
    <w:rsid w:val="006C4866"/>
    <w:rsid w:val="006C4A37"/>
    <w:rsid w:val="006C5956"/>
    <w:rsid w:val="006C689D"/>
    <w:rsid w:val="006C7DB2"/>
    <w:rsid w:val="006D0426"/>
    <w:rsid w:val="006D0B94"/>
    <w:rsid w:val="006D0C57"/>
    <w:rsid w:val="006D0DE4"/>
    <w:rsid w:val="006D11FB"/>
    <w:rsid w:val="006D15D1"/>
    <w:rsid w:val="006D1607"/>
    <w:rsid w:val="006D1B90"/>
    <w:rsid w:val="006D21B9"/>
    <w:rsid w:val="006D263E"/>
    <w:rsid w:val="006D318F"/>
    <w:rsid w:val="006D341B"/>
    <w:rsid w:val="006D355D"/>
    <w:rsid w:val="006D4951"/>
    <w:rsid w:val="006D6837"/>
    <w:rsid w:val="006D6854"/>
    <w:rsid w:val="006D6F0B"/>
    <w:rsid w:val="006D6FFB"/>
    <w:rsid w:val="006D709A"/>
    <w:rsid w:val="006D7772"/>
    <w:rsid w:val="006D7AAD"/>
    <w:rsid w:val="006D7F96"/>
    <w:rsid w:val="006E1693"/>
    <w:rsid w:val="006E256A"/>
    <w:rsid w:val="006E288A"/>
    <w:rsid w:val="006E36D0"/>
    <w:rsid w:val="006E3A25"/>
    <w:rsid w:val="006E502E"/>
    <w:rsid w:val="006E555F"/>
    <w:rsid w:val="006E5986"/>
    <w:rsid w:val="006F108E"/>
    <w:rsid w:val="006F14F5"/>
    <w:rsid w:val="006F1A07"/>
    <w:rsid w:val="006F2ECF"/>
    <w:rsid w:val="006F31E2"/>
    <w:rsid w:val="006F36F5"/>
    <w:rsid w:val="006F3A2C"/>
    <w:rsid w:val="006F3E40"/>
    <w:rsid w:val="006F4936"/>
    <w:rsid w:val="006F494A"/>
    <w:rsid w:val="006F4E4C"/>
    <w:rsid w:val="006F5D33"/>
    <w:rsid w:val="006F6B9B"/>
    <w:rsid w:val="006F6C7A"/>
    <w:rsid w:val="007002B3"/>
    <w:rsid w:val="00700BE5"/>
    <w:rsid w:val="00701117"/>
    <w:rsid w:val="00701BB6"/>
    <w:rsid w:val="00702324"/>
    <w:rsid w:val="00702E52"/>
    <w:rsid w:val="00704F26"/>
    <w:rsid w:val="00705249"/>
    <w:rsid w:val="007053F0"/>
    <w:rsid w:val="00707113"/>
    <w:rsid w:val="00707820"/>
    <w:rsid w:val="00711422"/>
    <w:rsid w:val="007137D0"/>
    <w:rsid w:val="00713B31"/>
    <w:rsid w:val="00713B42"/>
    <w:rsid w:val="00716CBF"/>
    <w:rsid w:val="0071761C"/>
    <w:rsid w:val="00717767"/>
    <w:rsid w:val="007202E8"/>
    <w:rsid w:val="007206E7"/>
    <w:rsid w:val="00720799"/>
    <w:rsid w:val="00720A58"/>
    <w:rsid w:val="00721423"/>
    <w:rsid w:val="007214AF"/>
    <w:rsid w:val="00721B60"/>
    <w:rsid w:val="00722235"/>
    <w:rsid w:val="00722366"/>
    <w:rsid w:val="00722A38"/>
    <w:rsid w:val="00723204"/>
    <w:rsid w:val="00723B45"/>
    <w:rsid w:val="00723E33"/>
    <w:rsid w:val="007240BF"/>
    <w:rsid w:val="007255D7"/>
    <w:rsid w:val="007257BC"/>
    <w:rsid w:val="0072671F"/>
    <w:rsid w:val="0072791D"/>
    <w:rsid w:val="00730886"/>
    <w:rsid w:val="0073129D"/>
    <w:rsid w:val="007316D8"/>
    <w:rsid w:val="00731F2B"/>
    <w:rsid w:val="0073330B"/>
    <w:rsid w:val="0073379F"/>
    <w:rsid w:val="00733C3E"/>
    <w:rsid w:val="00733D5E"/>
    <w:rsid w:val="0073531D"/>
    <w:rsid w:val="00735B34"/>
    <w:rsid w:val="007366EC"/>
    <w:rsid w:val="00736B41"/>
    <w:rsid w:val="00736F50"/>
    <w:rsid w:val="00737712"/>
    <w:rsid w:val="00737BE4"/>
    <w:rsid w:val="00737C05"/>
    <w:rsid w:val="00740603"/>
    <w:rsid w:val="00741D00"/>
    <w:rsid w:val="00741F34"/>
    <w:rsid w:val="00743BA3"/>
    <w:rsid w:val="00743DCF"/>
    <w:rsid w:val="007440B1"/>
    <w:rsid w:val="00744632"/>
    <w:rsid w:val="007468AF"/>
    <w:rsid w:val="007468E2"/>
    <w:rsid w:val="007473F1"/>
    <w:rsid w:val="0074748B"/>
    <w:rsid w:val="00750E42"/>
    <w:rsid w:val="00751AD2"/>
    <w:rsid w:val="007530EB"/>
    <w:rsid w:val="00753509"/>
    <w:rsid w:val="007538E8"/>
    <w:rsid w:val="00754325"/>
    <w:rsid w:val="007543D6"/>
    <w:rsid w:val="007546B7"/>
    <w:rsid w:val="0075543C"/>
    <w:rsid w:val="00755A1E"/>
    <w:rsid w:val="0075654F"/>
    <w:rsid w:val="00756C77"/>
    <w:rsid w:val="007572C7"/>
    <w:rsid w:val="00757C9F"/>
    <w:rsid w:val="00757EC7"/>
    <w:rsid w:val="00761115"/>
    <w:rsid w:val="0076298B"/>
    <w:rsid w:val="00762CF1"/>
    <w:rsid w:val="0076319B"/>
    <w:rsid w:val="00765E84"/>
    <w:rsid w:val="00765FD2"/>
    <w:rsid w:val="00766638"/>
    <w:rsid w:val="00766D2D"/>
    <w:rsid w:val="007677A0"/>
    <w:rsid w:val="00767896"/>
    <w:rsid w:val="007703D0"/>
    <w:rsid w:val="00770D75"/>
    <w:rsid w:val="007715DD"/>
    <w:rsid w:val="0077198D"/>
    <w:rsid w:val="00771AEC"/>
    <w:rsid w:val="00772150"/>
    <w:rsid w:val="00773D06"/>
    <w:rsid w:val="00773FCE"/>
    <w:rsid w:val="0077422D"/>
    <w:rsid w:val="007747B6"/>
    <w:rsid w:val="00774DFB"/>
    <w:rsid w:val="00777134"/>
    <w:rsid w:val="007776C5"/>
    <w:rsid w:val="00777C6F"/>
    <w:rsid w:val="0078052E"/>
    <w:rsid w:val="00780F59"/>
    <w:rsid w:val="007817E1"/>
    <w:rsid w:val="00783A44"/>
    <w:rsid w:val="00784686"/>
    <w:rsid w:val="00790EA6"/>
    <w:rsid w:val="007921D6"/>
    <w:rsid w:val="00792FEB"/>
    <w:rsid w:val="007935EE"/>
    <w:rsid w:val="007944C6"/>
    <w:rsid w:val="00794702"/>
    <w:rsid w:val="00794AF4"/>
    <w:rsid w:val="00795462"/>
    <w:rsid w:val="00796A74"/>
    <w:rsid w:val="00797DF0"/>
    <w:rsid w:val="007A0003"/>
    <w:rsid w:val="007A02BD"/>
    <w:rsid w:val="007A14DD"/>
    <w:rsid w:val="007A1666"/>
    <w:rsid w:val="007A3667"/>
    <w:rsid w:val="007A40E6"/>
    <w:rsid w:val="007A42D3"/>
    <w:rsid w:val="007A49A3"/>
    <w:rsid w:val="007A5CCE"/>
    <w:rsid w:val="007A5F79"/>
    <w:rsid w:val="007A6354"/>
    <w:rsid w:val="007A6B2D"/>
    <w:rsid w:val="007A7D23"/>
    <w:rsid w:val="007B0FF2"/>
    <w:rsid w:val="007B13D5"/>
    <w:rsid w:val="007B16BA"/>
    <w:rsid w:val="007B18BD"/>
    <w:rsid w:val="007B4267"/>
    <w:rsid w:val="007B5191"/>
    <w:rsid w:val="007B5B81"/>
    <w:rsid w:val="007B5E83"/>
    <w:rsid w:val="007B5F76"/>
    <w:rsid w:val="007B6076"/>
    <w:rsid w:val="007B611B"/>
    <w:rsid w:val="007B658A"/>
    <w:rsid w:val="007B6C4A"/>
    <w:rsid w:val="007B6D6C"/>
    <w:rsid w:val="007B7596"/>
    <w:rsid w:val="007B763F"/>
    <w:rsid w:val="007C163A"/>
    <w:rsid w:val="007C2405"/>
    <w:rsid w:val="007C39BC"/>
    <w:rsid w:val="007C3D0A"/>
    <w:rsid w:val="007C44B2"/>
    <w:rsid w:val="007C6198"/>
    <w:rsid w:val="007C67AC"/>
    <w:rsid w:val="007C75AB"/>
    <w:rsid w:val="007C75F0"/>
    <w:rsid w:val="007C7825"/>
    <w:rsid w:val="007C7BEE"/>
    <w:rsid w:val="007D0281"/>
    <w:rsid w:val="007D26A0"/>
    <w:rsid w:val="007D2F5A"/>
    <w:rsid w:val="007D3747"/>
    <w:rsid w:val="007D3E14"/>
    <w:rsid w:val="007D48A7"/>
    <w:rsid w:val="007D4A44"/>
    <w:rsid w:val="007D4B88"/>
    <w:rsid w:val="007D4C22"/>
    <w:rsid w:val="007D5CA3"/>
    <w:rsid w:val="007D6FA8"/>
    <w:rsid w:val="007E01DE"/>
    <w:rsid w:val="007E03DB"/>
    <w:rsid w:val="007E0AD6"/>
    <w:rsid w:val="007E0C90"/>
    <w:rsid w:val="007E1A2E"/>
    <w:rsid w:val="007E1CE7"/>
    <w:rsid w:val="007E1D0A"/>
    <w:rsid w:val="007E1D35"/>
    <w:rsid w:val="007E2F4E"/>
    <w:rsid w:val="007E36AF"/>
    <w:rsid w:val="007E464A"/>
    <w:rsid w:val="007E48C5"/>
    <w:rsid w:val="007E4F56"/>
    <w:rsid w:val="007E5565"/>
    <w:rsid w:val="007E59D2"/>
    <w:rsid w:val="007E5D55"/>
    <w:rsid w:val="007E6109"/>
    <w:rsid w:val="007E6EE3"/>
    <w:rsid w:val="007E7774"/>
    <w:rsid w:val="007E77E4"/>
    <w:rsid w:val="007E7E33"/>
    <w:rsid w:val="007F0968"/>
    <w:rsid w:val="007F0E52"/>
    <w:rsid w:val="007F175F"/>
    <w:rsid w:val="007F17F5"/>
    <w:rsid w:val="007F19A0"/>
    <w:rsid w:val="007F2426"/>
    <w:rsid w:val="007F3888"/>
    <w:rsid w:val="007F4083"/>
    <w:rsid w:val="007F4581"/>
    <w:rsid w:val="007F498F"/>
    <w:rsid w:val="007F5097"/>
    <w:rsid w:val="007F52C2"/>
    <w:rsid w:val="007F52CA"/>
    <w:rsid w:val="007F57F1"/>
    <w:rsid w:val="007F5800"/>
    <w:rsid w:val="007F5B06"/>
    <w:rsid w:val="007F5D49"/>
    <w:rsid w:val="007F6E59"/>
    <w:rsid w:val="007F78E8"/>
    <w:rsid w:val="008001B4"/>
    <w:rsid w:val="008002E7"/>
    <w:rsid w:val="00800635"/>
    <w:rsid w:val="00802965"/>
    <w:rsid w:val="0080394A"/>
    <w:rsid w:val="00804510"/>
    <w:rsid w:val="00804817"/>
    <w:rsid w:val="0080486C"/>
    <w:rsid w:val="008050FF"/>
    <w:rsid w:val="008056A0"/>
    <w:rsid w:val="008070A1"/>
    <w:rsid w:val="00807494"/>
    <w:rsid w:val="00807D3F"/>
    <w:rsid w:val="008108C3"/>
    <w:rsid w:val="008121DA"/>
    <w:rsid w:val="00813C9D"/>
    <w:rsid w:val="00814E46"/>
    <w:rsid w:val="0081514E"/>
    <w:rsid w:val="00815630"/>
    <w:rsid w:val="00815AD0"/>
    <w:rsid w:val="00816B88"/>
    <w:rsid w:val="0082067B"/>
    <w:rsid w:val="008209B9"/>
    <w:rsid w:val="00820D21"/>
    <w:rsid w:val="00821A50"/>
    <w:rsid w:val="00821AF0"/>
    <w:rsid w:val="00821BA6"/>
    <w:rsid w:val="00821DD3"/>
    <w:rsid w:val="0082204A"/>
    <w:rsid w:val="008229E4"/>
    <w:rsid w:val="00822CA9"/>
    <w:rsid w:val="00822F3B"/>
    <w:rsid w:val="00822F7C"/>
    <w:rsid w:val="00823108"/>
    <w:rsid w:val="008236BB"/>
    <w:rsid w:val="00824193"/>
    <w:rsid w:val="0082431D"/>
    <w:rsid w:val="008250A8"/>
    <w:rsid w:val="0082577C"/>
    <w:rsid w:val="008257D6"/>
    <w:rsid w:val="008260C5"/>
    <w:rsid w:val="008306BB"/>
    <w:rsid w:val="0083189A"/>
    <w:rsid w:val="00831C1D"/>
    <w:rsid w:val="00832EBE"/>
    <w:rsid w:val="00833106"/>
    <w:rsid w:val="00833246"/>
    <w:rsid w:val="00834FAB"/>
    <w:rsid w:val="008352A1"/>
    <w:rsid w:val="00835334"/>
    <w:rsid w:val="008355B7"/>
    <w:rsid w:val="00836104"/>
    <w:rsid w:val="00836B34"/>
    <w:rsid w:val="00841497"/>
    <w:rsid w:val="00841BEC"/>
    <w:rsid w:val="008424E3"/>
    <w:rsid w:val="00842603"/>
    <w:rsid w:val="0084288E"/>
    <w:rsid w:val="00842C10"/>
    <w:rsid w:val="008438F8"/>
    <w:rsid w:val="00843D16"/>
    <w:rsid w:val="00844C0F"/>
    <w:rsid w:val="00845EBB"/>
    <w:rsid w:val="008466F8"/>
    <w:rsid w:val="00847EDB"/>
    <w:rsid w:val="00850A89"/>
    <w:rsid w:val="00851133"/>
    <w:rsid w:val="00851F41"/>
    <w:rsid w:val="0085242B"/>
    <w:rsid w:val="00852C53"/>
    <w:rsid w:val="00853699"/>
    <w:rsid w:val="00854393"/>
    <w:rsid w:val="0085674C"/>
    <w:rsid w:val="00856864"/>
    <w:rsid w:val="00856A4E"/>
    <w:rsid w:val="00856B8B"/>
    <w:rsid w:val="00856D0C"/>
    <w:rsid w:val="00860AC5"/>
    <w:rsid w:val="00861D0C"/>
    <w:rsid w:val="00861F5E"/>
    <w:rsid w:val="00863064"/>
    <w:rsid w:val="008632E5"/>
    <w:rsid w:val="008633E1"/>
    <w:rsid w:val="00863D85"/>
    <w:rsid w:val="00865077"/>
    <w:rsid w:val="00865BCA"/>
    <w:rsid w:val="00866293"/>
    <w:rsid w:val="008662DD"/>
    <w:rsid w:val="008673AE"/>
    <w:rsid w:val="00867502"/>
    <w:rsid w:val="0086764F"/>
    <w:rsid w:val="00867741"/>
    <w:rsid w:val="008700F2"/>
    <w:rsid w:val="00870370"/>
    <w:rsid w:val="00871413"/>
    <w:rsid w:val="00871AAD"/>
    <w:rsid w:val="008720F2"/>
    <w:rsid w:val="0087334B"/>
    <w:rsid w:val="0087522D"/>
    <w:rsid w:val="00875422"/>
    <w:rsid w:val="0087549B"/>
    <w:rsid w:val="00876024"/>
    <w:rsid w:val="0087649A"/>
    <w:rsid w:val="008766D3"/>
    <w:rsid w:val="00877B99"/>
    <w:rsid w:val="00877DAD"/>
    <w:rsid w:val="00877EE6"/>
    <w:rsid w:val="0088229B"/>
    <w:rsid w:val="00882AB3"/>
    <w:rsid w:val="00882BE6"/>
    <w:rsid w:val="00882D33"/>
    <w:rsid w:val="00883054"/>
    <w:rsid w:val="00883471"/>
    <w:rsid w:val="00883A9A"/>
    <w:rsid w:val="00883DC2"/>
    <w:rsid w:val="00883FFC"/>
    <w:rsid w:val="0088528D"/>
    <w:rsid w:val="00885502"/>
    <w:rsid w:val="00885AAB"/>
    <w:rsid w:val="00885BC8"/>
    <w:rsid w:val="00885D6F"/>
    <w:rsid w:val="0088719F"/>
    <w:rsid w:val="0088744D"/>
    <w:rsid w:val="00890E93"/>
    <w:rsid w:val="008913FF"/>
    <w:rsid w:val="0089206A"/>
    <w:rsid w:val="008926EC"/>
    <w:rsid w:val="00892DF6"/>
    <w:rsid w:val="00893075"/>
    <w:rsid w:val="008931D4"/>
    <w:rsid w:val="0089329C"/>
    <w:rsid w:val="00893F86"/>
    <w:rsid w:val="0089532E"/>
    <w:rsid w:val="00895D70"/>
    <w:rsid w:val="0089601D"/>
    <w:rsid w:val="0089686B"/>
    <w:rsid w:val="008969F5"/>
    <w:rsid w:val="00897444"/>
    <w:rsid w:val="00897655"/>
    <w:rsid w:val="008A0BA1"/>
    <w:rsid w:val="008A0BAF"/>
    <w:rsid w:val="008A1833"/>
    <w:rsid w:val="008A398B"/>
    <w:rsid w:val="008A3F6B"/>
    <w:rsid w:val="008A4B26"/>
    <w:rsid w:val="008A53DB"/>
    <w:rsid w:val="008A6221"/>
    <w:rsid w:val="008A6549"/>
    <w:rsid w:val="008A6F26"/>
    <w:rsid w:val="008A7C72"/>
    <w:rsid w:val="008B0632"/>
    <w:rsid w:val="008B096A"/>
    <w:rsid w:val="008B0E52"/>
    <w:rsid w:val="008B1793"/>
    <w:rsid w:val="008B1C2C"/>
    <w:rsid w:val="008B237B"/>
    <w:rsid w:val="008B27E1"/>
    <w:rsid w:val="008B2EEB"/>
    <w:rsid w:val="008B3668"/>
    <w:rsid w:val="008B3A99"/>
    <w:rsid w:val="008B3C3F"/>
    <w:rsid w:val="008B43F0"/>
    <w:rsid w:val="008B568F"/>
    <w:rsid w:val="008B5D25"/>
    <w:rsid w:val="008B5D93"/>
    <w:rsid w:val="008B78C6"/>
    <w:rsid w:val="008C0306"/>
    <w:rsid w:val="008C032F"/>
    <w:rsid w:val="008C0AE4"/>
    <w:rsid w:val="008C0B96"/>
    <w:rsid w:val="008C19E6"/>
    <w:rsid w:val="008C1AAE"/>
    <w:rsid w:val="008C27A4"/>
    <w:rsid w:val="008C3AE5"/>
    <w:rsid w:val="008C3D6E"/>
    <w:rsid w:val="008C49CF"/>
    <w:rsid w:val="008C5870"/>
    <w:rsid w:val="008C5AAA"/>
    <w:rsid w:val="008C6247"/>
    <w:rsid w:val="008C631A"/>
    <w:rsid w:val="008C6A4F"/>
    <w:rsid w:val="008C6E39"/>
    <w:rsid w:val="008C6E59"/>
    <w:rsid w:val="008C7AD3"/>
    <w:rsid w:val="008D22E1"/>
    <w:rsid w:val="008D4325"/>
    <w:rsid w:val="008D4EB2"/>
    <w:rsid w:val="008D5BD1"/>
    <w:rsid w:val="008D5CC2"/>
    <w:rsid w:val="008D6166"/>
    <w:rsid w:val="008D7DE9"/>
    <w:rsid w:val="008E010D"/>
    <w:rsid w:val="008E09F7"/>
    <w:rsid w:val="008E13CB"/>
    <w:rsid w:val="008E1A0D"/>
    <w:rsid w:val="008E1E69"/>
    <w:rsid w:val="008E1FF2"/>
    <w:rsid w:val="008E27D1"/>
    <w:rsid w:val="008E2CE4"/>
    <w:rsid w:val="008E3ED2"/>
    <w:rsid w:val="008E4505"/>
    <w:rsid w:val="008E4ED7"/>
    <w:rsid w:val="008E655E"/>
    <w:rsid w:val="008E72CC"/>
    <w:rsid w:val="008F00AD"/>
    <w:rsid w:val="008F02AE"/>
    <w:rsid w:val="008F10C6"/>
    <w:rsid w:val="008F2A29"/>
    <w:rsid w:val="008F31FD"/>
    <w:rsid w:val="008F37C4"/>
    <w:rsid w:val="008F3A06"/>
    <w:rsid w:val="008F4C72"/>
    <w:rsid w:val="008F4F02"/>
    <w:rsid w:val="008F54BD"/>
    <w:rsid w:val="008F55BC"/>
    <w:rsid w:val="008F5D42"/>
    <w:rsid w:val="008F658D"/>
    <w:rsid w:val="008F6BA4"/>
    <w:rsid w:val="008F6DA3"/>
    <w:rsid w:val="008F7453"/>
    <w:rsid w:val="008F7D38"/>
    <w:rsid w:val="00900ACF"/>
    <w:rsid w:val="009012D0"/>
    <w:rsid w:val="009015D3"/>
    <w:rsid w:val="00902008"/>
    <w:rsid w:val="0090247A"/>
    <w:rsid w:val="00902A8C"/>
    <w:rsid w:val="009034BA"/>
    <w:rsid w:val="00903965"/>
    <w:rsid w:val="00903C17"/>
    <w:rsid w:val="00904677"/>
    <w:rsid w:val="009052B5"/>
    <w:rsid w:val="00905A17"/>
    <w:rsid w:val="00905DCE"/>
    <w:rsid w:val="00906447"/>
    <w:rsid w:val="00906718"/>
    <w:rsid w:val="00906B61"/>
    <w:rsid w:val="00907565"/>
    <w:rsid w:val="00907A40"/>
    <w:rsid w:val="00910549"/>
    <w:rsid w:val="00910B3F"/>
    <w:rsid w:val="00910DEC"/>
    <w:rsid w:val="00911097"/>
    <w:rsid w:val="00911238"/>
    <w:rsid w:val="00911D7C"/>
    <w:rsid w:val="009122FE"/>
    <w:rsid w:val="009125F5"/>
    <w:rsid w:val="00913938"/>
    <w:rsid w:val="009143A9"/>
    <w:rsid w:val="00915153"/>
    <w:rsid w:val="0091523C"/>
    <w:rsid w:val="009170A1"/>
    <w:rsid w:val="0091762B"/>
    <w:rsid w:val="00917F4F"/>
    <w:rsid w:val="00920A5F"/>
    <w:rsid w:val="00921188"/>
    <w:rsid w:val="009216B1"/>
    <w:rsid w:val="00921A14"/>
    <w:rsid w:val="0092252B"/>
    <w:rsid w:val="00922937"/>
    <w:rsid w:val="00922AEE"/>
    <w:rsid w:val="0092321E"/>
    <w:rsid w:val="00923540"/>
    <w:rsid w:val="0092386C"/>
    <w:rsid w:val="00923CC7"/>
    <w:rsid w:val="0092475F"/>
    <w:rsid w:val="00924888"/>
    <w:rsid w:val="00925189"/>
    <w:rsid w:val="00925BD4"/>
    <w:rsid w:val="0092621C"/>
    <w:rsid w:val="00926F3C"/>
    <w:rsid w:val="009271E6"/>
    <w:rsid w:val="009318B8"/>
    <w:rsid w:val="009338EF"/>
    <w:rsid w:val="00933971"/>
    <w:rsid w:val="00934520"/>
    <w:rsid w:val="0093468D"/>
    <w:rsid w:val="009374DE"/>
    <w:rsid w:val="009375C7"/>
    <w:rsid w:val="00937D03"/>
    <w:rsid w:val="00940D6D"/>
    <w:rsid w:val="00940E66"/>
    <w:rsid w:val="009419F0"/>
    <w:rsid w:val="00941F1F"/>
    <w:rsid w:val="00941F9A"/>
    <w:rsid w:val="00942675"/>
    <w:rsid w:val="00943882"/>
    <w:rsid w:val="00943EB2"/>
    <w:rsid w:val="00943F8E"/>
    <w:rsid w:val="00944137"/>
    <w:rsid w:val="00945180"/>
    <w:rsid w:val="00945AED"/>
    <w:rsid w:val="009468AE"/>
    <w:rsid w:val="00946DF3"/>
    <w:rsid w:val="009519C0"/>
    <w:rsid w:val="00954BF2"/>
    <w:rsid w:val="009603FB"/>
    <w:rsid w:val="0096254A"/>
    <w:rsid w:val="00962635"/>
    <w:rsid w:val="00962889"/>
    <w:rsid w:val="00962A6F"/>
    <w:rsid w:val="00963824"/>
    <w:rsid w:val="009645AA"/>
    <w:rsid w:val="00964A41"/>
    <w:rsid w:val="00965028"/>
    <w:rsid w:val="009653D4"/>
    <w:rsid w:val="0096543E"/>
    <w:rsid w:val="0096663F"/>
    <w:rsid w:val="00966CF9"/>
    <w:rsid w:val="00967077"/>
    <w:rsid w:val="0096763A"/>
    <w:rsid w:val="00967828"/>
    <w:rsid w:val="00967FCE"/>
    <w:rsid w:val="0097156D"/>
    <w:rsid w:val="00972EC1"/>
    <w:rsid w:val="00973585"/>
    <w:rsid w:val="0097445B"/>
    <w:rsid w:val="00974D81"/>
    <w:rsid w:val="0097543D"/>
    <w:rsid w:val="00975513"/>
    <w:rsid w:val="0097646C"/>
    <w:rsid w:val="009774F9"/>
    <w:rsid w:val="00980A4A"/>
    <w:rsid w:val="00982178"/>
    <w:rsid w:val="00982410"/>
    <w:rsid w:val="00982D02"/>
    <w:rsid w:val="00982EA2"/>
    <w:rsid w:val="009839BC"/>
    <w:rsid w:val="00984129"/>
    <w:rsid w:val="009849C5"/>
    <w:rsid w:val="009878C1"/>
    <w:rsid w:val="009908CA"/>
    <w:rsid w:val="0099116A"/>
    <w:rsid w:val="00993B73"/>
    <w:rsid w:val="00994FBE"/>
    <w:rsid w:val="00996A84"/>
    <w:rsid w:val="00996B91"/>
    <w:rsid w:val="009A034A"/>
    <w:rsid w:val="009A03E2"/>
    <w:rsid w:val="009A062F"/>
    <w:rsid w:val="009A0ADD"/>
    <w:rsid w:val="009A2868"/>
    <w:rsid w:val="009A463F"/>
    <w:rsid w:val="009A4C27"/>
    <w:rsid w:val="009A531B"/>
    <w:rsid w:val="009A5440"/>
    <w:rsid w:val="009A54E3"/>
    <w:rsid w:val="009A55E5"/>
    <w:rsid w:val="009A578B"/>
    <w:rsid w:val="009A5D54"/>
    <w:rsid w:val="009A6883"/>
    <w:rsid w:val="009A6E7D"/>
    <w:rsid w:val="009A7C97"/>
    <w:rsid w:val="009B09AF"/>
    <w:rsid w:val="009B0F50"/>
    <w:rsid w:val="009B11AA"/>
    <w:rsid w:val="009B2809"/>
    <w:rsid w:val="009B2F81"/>
    <w:rsid w:val="009B3486"/>
    <w:rsid w:val="009B36BD"/>
    <w:rsid w:val="009B3898"/>
    <w:rsid w:val="009B48AB"/>
    <w:rsid w:val="009B4DE1"/>
    <w:rsid w:val="009B5349"/>
    <w:rsid w:val="009B55A9"/>
    <w:rsid w:val="009C1ECC"/>
    <w:rsid w:val="009C41D1"/>
    <w:rsid w:val="009C4687"/>
    <w:rsid w:val="009C5923"/>
    <w:rsid w:val="009C60CF"/>
    <w:rsid w:val="009C6CD8"/>
    <w:rsid w:val="009D025A"/>
    <w:rsid w:val="009D0C81"/>
    <w:rsid w:val="009D1972"/>
    <w:rsid w:val="009D3B53"/>
    <w:rsid w:val="009D4008"/>
    <w:rsid w:val="009D454A"/>
    <w:rsid w:val="009D4564"/>
    <w:rsid w:val="009D701E"/>
    <w:rsid w:val="009D77AD"/>
    <w:rsid w:val="009D7ADD"/>
    <w:rsid w:val="009E0B15"/>
    <w:rsid w:val="009E0CF3"/>
    <w:rsid w:val="009E1577"/>
    <w:rsid w:val="009E1BC9"/>
    <w:rsid w:val="009E206D"/>
    <w:rsid w:val="009E2566"/>
    <w:rsid w:val="009E27A0"/>
    <w:rsid w:val="009E32CC"/>
    <w:rsid w:val="009E3726"/>
    <w:rsid w:val="009E3FBE"/>
    <w:rsid w:val="009E5EC7"/>
    <w:rsid w:val="009E6842"/>
    <w:rsid w:val="009E69A1"/>
    <w:rsid w:val="009E6C1A"/>
    <w:rsid w:val="009E7131"/>
    <w:rsid w:val="009F2818"/>
    <w:rsid w:val="009F29DA"/>
    <w:rsid w:val="009F33DC"/>
    <w:rsid w:val="009F3613"/>
    <w:rsid w:val="009F4169"/>
    <w:rsid w:val="009F4582"/>
    <w:rsid w:val="009F4EE1"/>
    <w:rsid w:val="009F5855"/>
    <w:rsid w:val="009F702A"/>
    <w:rsid w:val="009F769A"/>
    <w:rsid w:val="009F7934"/>
    <w:rsid w:val="009F7CCA"/>
    <w:rsid w:val="00A0105C"/>
    <w:rsid w:val="00A01077"/>
    <w:rsid w:val="00A01590"/>
    <w:rsid w:val="00A0166A"/>
    <w:rsid w:val="00A024D3"/>
    <w:rsid w:val="00A02592"/>
    <w:rsid w:val="00A02AD6"/>
    <w:rsid w:val="00A031C7"/>
    <w:rsid w:val="00A034B8"/>
    <w:rsid w:val="00A0383D"/>
    <w:rsid w:val="00A049A4"/>
    <w:rsid w:val="00A04DF1"/>
    <w:rsid w:val="00A04FC9"/>
    <w:rsid w:val="00A0500F"/>
    <w:rsid w:val="00A06255"/>
    <w:rsid w:val="00A07306"/>
    <w:rsid w:val="00A07BBD"/>
    <w:rsid w:val="00A07D23"/>
    <w:rsid w:val="00A11043"/>
    <w:rsid w:val="00A11A14"/>
    <w:rsid w:val="00A136FC"/>
    <w:rsid w:val="00A13ADE"/>
    <w:rsid w:val="00A14514"/>
    <w:rsid w:val="00A14C09"/>
    <w:rsid w:val="00A14F8D"/>
    <w:rsid w:val="00A15617"/>
    <w:rsid w:val="00A169D2"/>
    <w:rsid w:val="00A16CF6"/>
    <w:rsid w:val="00A1791F"/>
    <w:rsid w:val="00A20BEB"/>
    <w:rsid w:val="00A20F0A"/>
    <w:rsid w:val="00A21158"/>
    <w:rsid w:val="00A215E4"/>
    <w:rsid w:val="00A23433"/>
    <w:rsid w:val="00A235E0"/>
    <w:rsid w:val="00A24083"/>
    <w:rsid w:val="00A25A41"/>
    <w:rsid w:val="00A26880"/>
    <w:rsid w:val="00A31685"/>
    <w:rsid w:val="00A3387A"/>
    <w:rsid w:val="00A347F8"/>
    <w:rsid w:val="00A36BB7"/>
    <w:rsid w:val="00A40159"/>
    <w:rsid w:val="00A403FD"/>
    <w:rsid w:val="00A405F7"/>
    <w:rsid w:val="00A41B45"/>
    <w:rsid w:val="00A42668"/>
    <w:rsid w:val="00A42E01"/>
    <w:rsid w:val="00A4339F"/>
    <w:rsid w:val="00A4365C"/>
    <w:rsid w:val="00A4395E"/>
    <w:rsid w:val="00A439D1"/>
    <w:rsid w:val="00A43E11"/>
    <w:rsid w:val="00A443EE"/>
    <w:rsid w:val="00A44C35"/>
    <w:rsid w:val="00A4501F"/>
    <w:rsid w:val="00A45C21"/>
    <w:rsid w:val="00A45C53"/>
    <w:rsid w:val="00A46D49"/>
    <w:rsid w:val="00A47BBB"/>
    <w:rsid w:val="00A47EDA"/>
    <w:rsid w:val="00A50537"/>
    <w:rsid w:val="00A5114E"/>
    <w:rsid w:val="00A51B8B"/>
    <w:rsid w:val="00A52307"/>
    <w:rsid w:val="00A53013"/>
    <w:rsid w:val="00A53E1F"/>
    <w:rsid w:val="00A554BF"/>
    <w:rsid w:val="00A567C3"/>
    <w:rsid w:val="00A56EDA"/>
    <w:rsid w:val="00A57030"/>
    <w:rsid w:val="00A57550"/>
    <w:rsid w:val="00A60428"/>
    <w:rsid w:val="00A60EBF"/>
    <w:rsid w:val="00A610DB"/>
    <w:rsid w:val="00A636EE"/>
    <w:rsid w:val="00A64478"/>
    <w:rsid w:val="00A64665"/>
    <w:rsid w:val="00A64787"/>
    <w:rsid w:val="00A65660"/>
    <w:rsid w:val="00A65B06"/>
    <w:rsid w:val="00A65D3C"/>
    <w:rsid w:val="00A66171"/>
    <w:rsid w:val="00A667E6"/>
    <w:rsid w:val="00A67450"/>
    <w:rsid w:val="00A67E0A"/>
    <w:rsid w:val="00A71F11"/>
    <w:rsid w:val="00A72727"/>
    <w:rsid w:val="00A727FB"/>
    <w:rsid w:val="00A72DF7"/>
    <w:rsid w:val="00A7337C"/>
    <w:rsid w:val="00A73E0A"/>
    <w:rsid w:val="00A75449"/>
    <w:rsid w:val="00A76402"/>
    <w:rsid w:val="00A77436"/>
    <w:rsid w:val="00A80135"/>
    <w:rsid w:val="00A802DE"/>
    <w:rsid w:val="00A80E28"/>
    <w:rsid w:val="00A8157C"/>
    <w:rsid w:val="00A821EB"/>
    <w:rsid w:val="00A83F40"/>
    <w:rsid w:val="00A8497F"/>
    <w:rsid w:val="00A8503B"/>
    <w:rsid w:val="00A8593A"/>
    <w:rsid w:val="00A86004"/>
    <w:rsid w:val="00A86629"/>
    <w:rsid w:val="00A86E08"/>
    <w:rsid w:val="00A87043"/>
    <w:rsid w:val="00A870B5"/>
    <w:rsid w:val="00A87296"/>
    <w:rsid w:val="00A87594"/>
    <w:rsid w:val="00A87619"/>
    <w:rsid w:val="00A87809"/>
    <w:rsid w:val="00A879FC"/>
    <w:rsid w:val="00A90FE6"/>
    <w:rsid w:val="00A918F3"/>
    <w:rsid w:val="00A92A6B"/>
    <w:rsid w:val="00A92E16"/>
    <w:rsid w:val="00A93404"/>
    <w:rsid w:val="00A94D95"/>
    <w:rsid w:val="00A95141"/>
    <w:rsid w:val="00A955D5"/>
    <w:rsid w:val="00A95725"/>
    <w:rsid w:val="00A9649A"/>
    <w:rsid w:val="00A96653"/>
    <w:rsid w:val="00A96E36"/>
    <w:rsid w:val="00A9786F"/>
    <w:rsid w:val="00A97A90"/>
    <w:rsid w:val="00AA1C0E"/>
    <w:rsid w:val="00AA225D"/>
    <w:rsid w:val="00AA2D8F"/>
    <w:rsid w:val="00AA312F"/>
    <w:rsid w:val="00AA3984"/>
    <w:rsid w:val="00AA4603"/>
    <w:rsid w:val="00AA4F1C"/>
    <w:rsid w:val="00AA530C"/>
    <w:rsid w:val="00AB134D"/>
    <w:rsid w:val="00AB1574"/>
    <w:rsid w:val="00AB1B22"/>
    <w:rsid w:val="00AB2715"/>
    <w:rsid w:val="00AB2D24"/>
    <w:rsid w:val="00AB4979"/>
    <w:rsid w:val="00AB4C37"/>
    <w:rsid w:val="00AB647A"/>
    <w:rsid w:val="00AB6947"/>
    <w:rsid w:val="00AB70D8"/>
    <w:rsid w:val="00AC0534"/>
    <w:rsid w:val="00AC1348"/>
    <w:rsid w:val="00AC1B48"/>
    <w:rsid w:val="00AC28D4"/>
    <w:rsid w:val="00AC42E1"/>
    <w:rsid w:val="00AC4F10"/>
    <w:rsid w:val="00AC56CA"/>
    <w:rsid w:val="00AC58DF"/>
    <w:rsid w:val="00AC5990"/>
    <w:rsid w:val="00AC6203"/>
    <w:rsid w:val="00AC78EC"/>
    <w:rsid w:val="00AD0465"/>
    <w:rsid w:val="00AD0A9B"/>
    <w:rsid w:val="00AD1085"/>
    <w:rsid w:val="00AD116E"/>
    <w:rsid w:val="00AD22C5"/>
    <w:rsid w:val="00AD3114"/>
    <w:rsid w:val="00AD3442"/>
    <w:rsid w:val="00AD36CD"/>
    <w:rsid w:val="00AD3C26"/>
    <w:rsid w:val="00AD3DB6"/>
    <w:rsid w:val="00AD5050"/>
    <w:rsid w:val="00AD513B"/>
    <w:rsid w:val="00AD518A"/>
    <w:rsid w:val="00AE05CD"/>
    <w:rsid w:val="00AE060F"/>
    <w:rsid w:val="00AE085B"/>
    <w:rsid w:val="00AE0C4A"/>
    <w:rsid w:val="00AE0C8C"/>
    <w:rsid w:val="00AE0F35"/>
    <w:rsid w:val="00AE1003"/>
    <w:rsid w:val="00AE13D1"/>
    <w:rsid w:val="00AE16B2"/>
    <w:rsid w:val="00AE242E"/>
    <w:rsid w:val="00AE3AD8"/>
    <w:rsid w:val="00AE430C"/>
    <w:rsid w:val="00AE43CB"/>
    <w:rsid w:val="00AE4A1A"/>
    <w:rsid w:val="00AE569D"/>
    <w:rsid w:val="00AE57B6"/>
    <w:rsid w:val="00AE5FEF"/>
    <w:rsid w:val="00AE60E7"/>
    <w:rsid w:val="00AE65E1"/>
    <w:rsid w:val="00AE755A"/>
    <w:rsid w:val="00AE7923"/>
    <w:rsid w:val="00AF0191"/>
    <w:rsid w:val="00AF1033"/>
    <w:rsid w:val="00AF2270"/>
    <w:rsid w:val="00AF2C0B"/>
    <w:rsid w:val="00AF3ADC"/>
    <w:rsid w:val="00AF3EEC"/>
    <w:rsid w:val="00AF4DD2"/>
    <w:rsid w:val="00AF5068"/>
    <w:rsid w:val="00AF524D"/>
    <w:rsid w:val="00AF52F2"/>
    <w:rsid w:val="00AF58A4"/>
    <w:rsid w:val="00AF6385"/>
    <w:rsid w:val="00AF647C"/>
    <w:rsid w:val="00AF6B1F"/>
    <w:rsid w:val="00AF74EC"/>
    <w:rsid w:val="00AF77E4"/>
    <w:rsid w:val="00AF79E0"/>
    <w:rsid w:val="00AF7D5E"/>
    <w:rsid w:val="00B00017"/>
    <w:rsid w:val="00B00C4B"/>
    <w:rsid w:val="00B01B36"/>
    <w:rsid w:val="00B01BF9"/>
    <w:rsid w:val="00B02030"/>
    <w:rsid w:val="00B023A7"/>
    <w:rsid w:val="00B02A44"/>
    <w:rsid w:val="00B02B98"/>
    <w:rsid w:val="00B02E6D"/>
    <w:rsid w:val="00B036B6"/>
    <w:rsid w:val="00B045F8"/>
    <w:rsid w:val="00B047CD"/>
    <w:rsid w:val="00B049B0"/>
    <w:rsid w:val="00B04C58"/>
    <w:rsid w:val="00B055C9"/>
    <w:rsid w:val="00B061B2"/>
    <w:rsid w:val="00B062EC"/>
    <w:rsid w:val="00B07537"/>
    <w:rsid w:val="00B079F9"/>
    <w:rsid w:val="00B07B8A"/>
    <w:rsid w:val="00B07E3B"/>
    <w:rsid w:val="00B11FE7"/>
    <w:rsid w:val="00B13793"/>
    <w:rsid w:val="00B16C38"/>
    <w:rsid w:val="00B17013"/>
    <w:rsid w:val="00B17304"/>
    <w:rsid w:val="00B21198"/>
    <w:rsid w:val="00B212CF"/>
    <w:rsid w:val="00B212E5"/>
    <w:rsid w:val="00B238B3"/>
    <w:rsid w:val="00B24081"/>
    <w:rsid w:val="00B24A69"/>
    <w:rsid w:val="00B25BBC"/>
    <w:rsid w:val="00B25FBF"/>
    <w:rsid w:val="00B26022"/>
    <w:rsid w:val="00B26ADA"/>
    <w:rsid w:val="00B27351"/>
    <w:rsid w:val="00B30692"/>
    <w:rsid w:val="00B31F58"/>
    <w:rsid w:val="00B329F2"/>
    <w:rsid w:val="00B32B3E"/>
    <w:rsid w:val="00B32D4B"/>
    <w:rsid w:val="00B33147"/>
    <w:rsid w:val="00B336B7"/>
    <w:rsid w:val="00B336EB"/>
    <w:rsid w:val="00B34161"/>
    <w:rsid w:val="00B3443B"/>
    <w:rsid w:val="00B34AA5"/>
    <w:rsid w:val="00B34E7A"/>
    <w:rsid w:val="00B353A9"/>
    <w:rsid w:val="00B35914"/>
    <w:rsid w:val="00B35BBA"/>
    <w:rsid w:val="00B35BD4"/>
    <w:rsid w:val="00B35C62"/>
    <w:rsid w:val="00B370A0"/>
    <w:rsid w:val="00B37810"/>
    <w:rsid w:val="00B4007A"/>
    <w:rsid w:val="00B40CB1"/>
    <w:rsid w:val="00B4170A"/>
    <w:rsid w:val="00B417D8"/>
    <w:rsid w:val="00B41E27"/>
    <w:rsid w:val="00B41FE7"/>
    <w:rsid w:val="00B428B7"/>
    <w:rsid w:val="00B434C3"/>
    <w:rsid w:val="00B436F5"/>
    <w:rsid w:val="00B43B25"/>
    <w:rsid w:val="00B4519E"/>
    <w:rsid w:val="00B503AC"/>
    <w:rsid w:val="00B50FA5"/>
    <w:rsid w:val="00B513A1"/>
    <w:rsid w:val="00B51401"/>
    <w:rsid w:val="00B516F5"/>
    <w:rsid w:val="00B5189A"/>
    <w:rsid w:val="00B51C9C"/>
    <w:rsid w:val="00B5257C"/>
    <w:rsid w:val="00B54C95"/>
    <w:rsid w:val="00B558B7"/>
    <w:rsid w:val="00B561E1"/>
    <w:rsid w:val="00B56C86"/>
    <w:rsid w:val="00B56F46"/>
    <w:rsid w:val="00B57E9F"/>
    <w:rsid w:val="00B61046"/>
    <w:rsid w:val="00B61E7F"/>
    <w:rsid w:val="00B63718"/>
    <w:rsid w:val="00B637D0"/>
    <w:rsid w:val="00B64CCB"/>
    <w:rsid w:val="00B663FB"/>
    <w:rsid w:val="00B6640C"/>
    <w:rsid w:val="00B666D5"/>
    <w:rsid w:val="00B66720"/>
    <w:rsid w:val="00B66F02"/>
    <w:rsid w:val="00B66FB8"/>
    <w:rsid w:val="00B700A5"/>
    <w:rsid w:val="00B70EDB"/>
    <w:rsid w:val="00B71035"/>
    <w:rsid w:val="00B716E8"/>
    <w:rsid w:val="00B7228F"/>
    <w:rsid w:val="00B73020"/>
    <w:rsid w:val="00B737A5"/>
    <w:rsid w:val="00B737B0"/>
    <w:rsid w:val="00B73E6C"/>
    <w:rsid w:val="00B74886"/>
    <w:rsid w:val="00B765CD"/>
    <w:rsid w:val="00B77033"/>
    <w:rsid w:val="00B77E54"/>
    <w:rsid w:val="00B80ECF"/>
    <w:rsid w:val="00B811AF"/>
    <w:rsid w:val="00B8178D"/>
    <w:rsid w:val="00B82286"/>
    <w:rsid w:val="00B82469"/>
    <w:rsid w:val="00B829B8"/>
    <w:rsid w:val="00B82F2D"/>
    <w:rsid w:val="00B8323C"/>
    <w:rsid w:val="00B8323E"/>
    <w:rsid w:val="00B833A7"/>
    <w:rsid w:val="00B83D7F"/>
    <w:rsid w:val="00B84290"/>
    <w:rsid w:val="00B86422"/>
    <w:rsid w:val="00B86468"/>
    <w:rsid w:val="00B87A30"/>
    <w:rsid w:val="00B87C87"/>
    <w:rsid w:val="00B905E0"/>
    <w:rsid w:val="00B9112E"/>
    <w:rsid w:val="00B91155"/>
    <w:rsid w:val="00B92298"/>
    <w:rsid w:val="00B927D8"/>
    <w:rsid w:val="00B92983"/>
    <w:rsid w:val="00B92B20"/>
    <w:rsid w:val="00B92E2C"/>
    <w:rsid w:val="00B93B19"/>
    <w:rsid w:val="00B9532B"/>
    <w:rsid w:val="00B958ED"/>
    <w:rsid w:val="00B963E5"/>
    <w:rsid w:val="00B965D9"/>
    <w:rsid w:val="00B96ADA"/>
    <w:rsid w:val="00B96F6A"/>
    <w:rsid w:val="00B97001"/>
    <w:rsid w:val="00B97730"/>
    <w:rsid w:val="00B97F13"/>
    <w:rsid w:val="00BA08F4"/>
    <w:rsid w:val="00BA20F5"/>
    <w:rsid w:val="00BA22BB"/>
    <w:rsid w:val="00BA7C74"/>
    <w:rsid w:val="00BB0381"/>
    <w:rsid w:val="00BB17CC"/>
    <w:rsid w:val="00BB1B0A"/>
    <w:rsid w:val="00BB1E30"/>
    <w:rsid w:val="00BB2A6D"/>
    <w:rsid w:val="00BB4478"/>
    <w:rsid w:val="00BB483A"/>
    <w:rsid w:val="00BB6095"/>
    <w:rsid w:val="00BB6408"/>
    <w:rsid w:val="00BB6F9F"/>
    <w:rsid w:val="00BB7D19"/>
    <w:rsid w:val="00BB7EC9"/>
    <w:rsid w:val="00BC0894"/>
    <w:rsid w:val="00BC0BA7"/>
    <w:rsid w:val="00BC1988"/>
    <w:rsid w:val="00BC204E"/>
    <w:rsid w:val="00BC30C1"/>
    <w:rsid w:val="00BC57E4"/>
    <w:rsid w:val="00BC6ABE"/>
    <w:rsid w:val="00BC7519"/>
    <w:rsid w:val="00BC7559"/>
    <w:rsid w:val="00BD0089"/>
    <w:rsid w:val="00BD0378"/>
    <w:rsid w:val="00BD03AA"/>
    <w:rsid w:val="00BD0B92"/>
    <w:rsid w:val="00BD14CA"/>
    <w:rsid w:val="00BD1E10"/>
    <w:rsid w:val="00BD2B09"/>
    <w:rsid w:val="00BD53AC"/>
    <w:rsid w:val="00BD6B6C"/>
    <w:rsid w:val="00BD72A0"/>
    <w:rsid w:val="00BE174F"/>
    <w:rsid w:val="00BE1AC2"/>
    <w:rsid w:val="00BE1B93"/>
    <w:rsid w:val="00BE286A"/>
    <w:rsid w:val="00BE2CD1"/>
    <w:rsid w:val="00BE3266"/>
    <w:rsid w:val="00BE3C54"/>
    <w:rsid w:val="00BE3CB0"/>
    <w:rsid w:val="00BE5921"/>
    <w:rsid w:val="00BE624F"/>
    <w:rsid w:val="00BE6A40"/>
    <w:rsid w:val="00BE75D9"/>
    <w:rsid w:val="00BE77CA"/>
    <w:rsid w:val="00BE7942"/>
    <w:rsid w:val="00BF05A0"/>
    <w:rsid w:val="00BF0A0E"/>
    <w:rsid w:val="00BF0B0E"/>
    <w:rsid w:val="00BF16D5"/>
    <w:rsid w:val="00BF28AA"/>
    <w:rsid w:val="00BF2B16"/>
    <w:rsid w:val="00BF539C"/>
    <w:rsid w:val="00BF6179"/>
    <w:rsid w:val="00BF6803"/>
    <w:rsid w:val="00BF6D50"/>
    <w:rsid w:val="00BF7331"/>
    <w:rsid w:val="00BF7857"/>
    <w:rsid w:val="00BF7B6A"/>
    <w:rsid w:val="00C000D3"/>
    <w:rsid w:val="00C0216D"/>
    <w:rsid w:val="00C028C7"/>
    <w:rsid w:val="00C04E19"/>
    <w:rsid w:val="00C05AAC"/>
    <w:rsid w:val="00C05E85"/>
    <w:rsid w:val="00C066EF"/>
    <w:rsid w:val="00C067CA"/>
    <w:rsid w:val="00C07275"/>
    <w:rsid w:val="00C07378"/>
    <w:rsid w:val="00C10297"/>
    <w:rsid w:val="00C10FCC"/>
    <w:rsid w:val="00C12B7B"/>
    <w:rsid w:val="00C1399D"/>
    <w:rsid w:val="00C13F00"/>
    <w:rsid w:val="00C145A7"/>
    <w:rsid w:val="00C16319"/>
    <w:rsid w:val="00C1767D"/>
    <w:rsid w:val="00C17936"/>
    <w:rsid w:val="00C179CE"/>
    <w:rsid w:val="00C17E5D"/>
    <w:rsid w:val="00C17F17"/>
    <w:rsid w:val="00C20343"/>
    <w:rsid w:val="00C22085"/>
    <w:rsid w:val="00C22CD5"/>
    <w:rsid w:val="00C23441"/>
    <w:rsid w:val="00C245A8"/>
    <w:rsid w:val="00C26BF0"/>
    <w:rsid w:val="00C26FAD"/>
    <w:rsid w:val="00C27554"/>
    <w:rsid w:val="00C30362"/>
    <w:rsid w:val="00C3091B"/>
    <w:rsid w:val="00C31789"/>
    <w:rsid w:val="00C32C88"/>
    <w:rsid w:val="00C32EED"/>
    <w:rsid w:val="00C33447"/>
    <w:rsid w:val="00C33AE7"/>
    <w:rsid w:val="00C349D9"/>
    <w:rsid w:val="00C34D14"/>
    <w:rsid w:val="00C34F0A"/>
    <w:rsid w:val="00C3545B"/>
    <w:rsid w:val="00C35ED3"/>
    <w:rsid w:val="00C3635B"/>
    <w:rsid w:val="00C36CB7"/>
    <w:rsid w:val="00C3792B"/>
    <w:rsid w:val="00C40EF2"/>
    <w:rsid w:val="00C41690"/>
    <w:rsid w:val="00C42889"/>
    <w:rsid w:val="00C42DF9"/>
    <w:rsid w:val="00C43018"/>
    <w:rsid w:val="00C4468D"/>
    <w:rsid w:val="00C44A17"/>
    <w:rsid w:val="00C4608C"/>
    <w:rsid w:val="00C46566"/>
    <w:rsid w:val="00C46F60"/>
    <w:rsid w:val="00C47411"/>
    <w:rsid w:val="00C4764B"/>
    <w:rsid w:val="00C47795"/>
    <w:rsid w:val="00C50223"/>
    <w:rsid w:val="00C503A2"/>
    <w:rsid w:val="00C50619"/>
    <w:rsid w:val="00C50864"/>
    <w:rsid w:val="00C5134F"/>
    <w:rsid w:val="00C5194A"/>
    <w:rsid w:val="00C52931"/>
    <w:rsid w:val="00C53EC4"/>
    <w:rsid w:val="00C5407E"/>
    <w:rsid w:val="00C54E04"/>
    <w:rsid w:val="00C55204"/>
    <w:rsid w:val="00C5536D"/>
    <w:rsid w:val="00C576E1"/>
    <w:rsid w:val="00C579EB"/>
    <w:rsid w:val="00C602DD"/>
    <w:rsid w:val="00C60A6F"/>
    <w:rsid w:val="00C60FBF"/>
    <w:rsid w:val="00C6219F"/>
    <w:rsid w:val="00C63940"/>
    <w:rsid w:val="00C63A13"/>
    <w:rsid w:val="00C652B9"/>
    <w:rsid w:val="00C6542E"/>
    <w:rsid w:val="00C65B30"/>
    <w:rsid w:val="00C6610E"/>
    <w:rsid w:val="00C669C7"/>
    <w:rsid w:val="00C67A5A"/>
    <w:rsid w:val="00C7015E"/>
    <w:rsid w:val="00C701FD"/>
    <w:rsid w:val="00C70BD2"/>
    <w:rsid w:val="00C70EBE"/>
    <w:rsid w:val="00C7206A"/>
    <w:rsid w:val="00C72CF8"/>
    <w:rsid w:val="00C742B7"/>
    <w:rsid w:val="00C75858"/>
    <w:rsid w:val="00C7621B"/>
    <w:rsid w:val="00C76781"/>
    <w:rsid w:val="00C7697C"/>
    <w:rsid w:val="00C76E9B"/>
    <w:rsid w:val="00C771B5"/>
    <w:rsid w:val="00C801D9"/>
    <w:rsid w:val="00C80580"/>
    <w:rsid w:val="00C80CCA"/>
    <w:rsid w:val="00C80EF9"/>
    <w:rsid w:val="00C81624"/>
    <w:rsid w:val="00C81632"/>
    <w:rsid w:val="00C81AE9"/>
    <w:rsid w:val="00C824A9"/>
    <w:rsid w:val="00C83796"/>
    <w:rsid w:val="00C85C54"/>
    <w:rsid w:val="00C861E9"/>
    <w:rsid w:val="00C86BE1"/>
    <w:rsid w:val="00C86BE7"/>
    <w:rsid w:val="00C87007"/>
    <w:rsid w:val="00C87502"/>
    <w:rsid w:val="00C90006"/>
    <w:rsid w:val="00C91179"/>
    <w:rsid w:val="00C911F5"/>
    <w:rsid w:val="00C91402"/>
    <w:rsid w:val="00C91AF5"/>
    <w:rsid w:val="00C91BD7"/>
    <w:rsid w:val="00C91FD8"/>
    <w:rsid w:val="00C925D5"/>
    <w:rsid w:val="00C92648"/>
    <w:rsid w:val="00C9284A"/>
    <w:rsid w:val="00C928B4"/>
    <w:rsid w:val="00C929D8"/>
    <w:rsid w:val="00C92E1B"/>
    <w:rsid w:val="00C931E8"/>
    <w:rsid w:val="00C932F2"/>
    <w:rsid w:val="00C93937"/>
    <w:rsid w:val="00C93EF0"/>
    <w:rsid w:val="00C93FED"/>
    <w:rsid w:val="00C940C0"/>
    <w:rsid w:val="00C954DF"/>
    <w:rsid w:val="00C95B07"/>
    <w:rsid w:val="00C95FB8"/>
    <w:rsid w:val="00C967B4"/>
    <w:rsid w:val="00C96B57"/>
    <w:rsid w:val="00C96B6A"/>
    <w:rsid w:val="00C96F6E"/>
    <w:rsid w:val="00C9739B"/>
    <w:rsid w:val="00C978B2"/>
    <w:rsid w:val="00CA07B0"/>
    <w:rsid w:val="00CA1A8B"/>
    <w:rsid w:val="00CA1DD9"/>
    <w:rsid w:val="00CA2D63"/>
    <w:rsid w:val="00CA392D"/>
    <w:rsid w:val="00CA3C94"/>
    <w:rsid w:val="00CA434D"/>
    <w:rsid w:val="00CA4813"/>
    <w:rsid w:val="00CA5A34"/>
    <w:rsid w:val="00CA5DDC"/>
    <w:rsid w:val="00CA6069"/>
    <w:rsid w:val="00CA7C8F"/>
    <w:rsid w:val="00CB0A41"/>
    <w:rsid w:val="00CB0D20"/>
    <w:rsid w:val="00CB156A"/>
    <w:rsid w:val="00CB1DF2"/>
    <w:rsid w:val="00CB3754"/>
    <w:rsid w:val="00CB3C73"/>
    <w:rsid w:val="00CB4434"/>
    <w:rsid w:val="00CB4D3D"/>
    <w:rsid w:val="00CB5710"/>
    <w:rsid w:val="00CB5C04"/>
    <w:rsid w:val="00CB65AC"/>
    <w:rsid w:val="00CB65BD"/>
    <w:rsid w:val="00CC09E1"/>
    <w:rsid w:val="00CC103F"/>
    <w:rsid w:val="00CC30D3"/>
    <w:rsid w:val="00CC4B96"/>
    <w:rsid w:val="00CC5972"/>
    <w:rsid w:val="00CC5A11"/>
    <w:rsid w:val="00CC5D45"/>
    <w:rsid w:val="00CC6B9A"/>
    <w:rsid w:val="00CC7963"/>
    <w:rsid w:val="00CC7B6D"/>
    <w:rsid w:val="00CC7D1B"/>
    <w:rsid w:val="00CD052B"/>
    <w:rsid w:val="00CD0BA1"/>
    <w:rsid w:val="00CD0E7E"/>
    <w:rsid w:val="00CD124A"/>
    <w:rsid w:val="00CD1BAE"/>
    <w:rsid w:val="00CD1CB6"/>
    <w:rsid w:val="00CD2431"/>
    <w:rsid w:val="00CD263C"/>
    <w:rsid w:val="00CD2A73"/>
    <w:rsid w:val="00CD3220"/>
    <w:rsid w:val="00CD3501"/>
    <w:rsid w:val="00CD3965"/>
    <w:rsid w:val="00CD3CFD"/>
    <w:rsid w:val="00CD3E36"/>
    <w:rsid w:val="00CD410E"/>
    <w:rsid w:val="00CD4324"/>
    <w:rsid w:val="00CD43C0"/>
    <w:rsid w:val="00CD5301"/>
    <w:rsid w:val="00CD5485"/>
    <w:rsid w:val="00CD5A85"/>
    <w:rsid w:val="00CD6586"/>
    <w:rsid w:val="00CD6874"/>
    <w:rsid w:val="00CD6AD0"/>
    <w:rsid w:val="00CD6E06"/>
    <w:rsid w:val="00CD7769"/>
    <w:rsid w:val="00CD7A04"/>
    <w:rsid w:val="00CD7A3A"/>
    <w:rsid w:val="00CD7C65"/>
    <w:rsid w:val="00CE0CB7"/>
    <w:rsid w:val="00CE2073"/>
    <w:rsid w:val="00CE2746"/>
    <w:rsid w:val="00CE44F6"/>
    <w:rsid w:val="00CE5319"/>
    <w:rsid w:val="00CE599F"/>
    <w:rsid w:val="00CE709D"/>
    <w:rsid w:val="00CE73BC"/>
    <w:rsid w:val="00CE747C"/>
    <w:rsid w:val="00CE748E"/>
    <w:rsid w:val="00CE765E"/>
    <w:rsid w:val="00CE7DDF"/>
    <w:rsid w:val="00CE7FD5"/>
    <w:rsid w:val="00CF04B1"/>
    <w:rsid w:val="00CF142D"/>
    <w:rsid w:val="00CF181D"/>
    <w:rsid w:val="00CF1BDB"/>
    <w:rsid w:val="00CF1C65"/>
    <w:rsid w:val="00CF239A"/>
    <w:rsid w:val="00CF2B39"/>
    <w:rsid w:val="00CF33CE"/>
    <w:rsid w:val="00CF405B"/>
    <w:rsid w:val="00CF48F4"/>
    <w:rsid w:val="00CF4D03"/>
    <w:rsid w:val="00CF5832"/>
    <w:rsid w:val="00CF598D"/>
    <w:rsid w:val="00CF5A5E"/>
    <w:rsid w:val="00CF5B8D"/>
    <w:rsid w:val="00CF6C3A"/>
    <w:rsid w:val="00CF7D9D"/>
    <w:rsid w:val="00D0040C"/>
    <w:rsid w:val="00D00473"/>
    <w:rsid w:val="00D00735"/>
    <w:rsid w:val="00D00994"/>
    <w:rsid w:val="00D00F5D"/>
    <w:rsid w:val="00D011A7"/>
    <w:rsid w:val="00D015D1"/>
    <w:rsid w:val="00D020F9"/>
    <w:rsid w:val="00D02DCB"/>
    <w:rsid w:val="00D0307E"/>
    <w:rsid w:val="00D03262"/>
    <w:rsid w:val="00D043C8"/>
    <w:rsid w:val="00D044BB"/>
    <w:rsid w:val="00D04D97"/>
    <w:rsid w:val="00D04FF2"/>
    <w:rsid w:val="00D054EE"/>
    <w:rsid w:val="00D061FF"/>
    <w:rsid w:val="00D06562"/>
    <w:rsid w:val="00D06928"/>
    <w:rsid w:val="00D06FD5"/>
    <w:rsid w:val="00D07AC7"/>
    <w:rsid w:val="00D07BEE"/>
    <w:rsid w:val="00D102F5"/>
    <w:rsid w:val="00D10791"/>
    <w:rsid w:val="00D10B24"/>
    <w:rsid w:val="00D11D3C"/>
    <w:rsid w:val="00D11EE7"/>
    <w:rsid w:val="00D12A2E"/>
    <w:rsid w:val="00D13DC8"/>
    <w:rsid w:val="00D14006"/>
    <w:rsid w:val="00D15744"/>
    <w:rsid w:val="00D17B9C"/>
    <w:rsid w:val="00D21E91"/>
    <w:rsid w:val="00D23273"/>
    <w:rsid w:val="00D24B47"/>
    <w:rsid w:val="00D25F39"/>
    <w:rsid w:val="00D260F9"/>
    <w:rsid w:val="00D26323"/>
    <w:rsid w:val="00D2657A"/>
    <w:rsid w:val="00D26EAA"/>
    <w:rsid w:val="00D27E17"/>
    <w:rsid w:val="00D308C6"/>
    <w:rsid w:val="00D30DE7"/>
    <w:rsid w:val="00D310D6"/>
    <w:rsid w:val="00D31A6A"/>
    <w:rsid w:val="00D3284C"/>
    <w:rsid w:val="00D33478"/>
    <w:rsid w:val="00D33893"/>
    <w:rsid w:val="00D338A6"/>
    <w:rsid w:val="00D34075"/>
    <w:rsid w:val="00D36A1E"/>
    <w:rsid w:val="00D36E72"/>
    <w:rsid w:val="00D36F64"/>
    <w:rsid w:val="00D37D13"/>
    <w:rsid w:val="00D403CE"/>
    <w:rsid w:val="00D41CC4"/>
    <w:rsid w:val="00D4307A"/>
    <w:rsid w:val="00D441EB"/>
    <w:rsid w:val="00D44567"/>
    <w:rsid w:val="00D44A00"/>
    <w:rsid w:val="00D45393"/>
    <w:rsid w:val="00D455A8"/>
    <w:rsid w:val="00D45865"/>
    <w:rsid w:val="00D4600A"/>
    <w:rsid w:val="00D461C6"/>
    <w:rsid w:val="00D463AA"/>
    <w:rsid w:val="00D469C4"/>
    <w:rsid w:val="00D47FAC"/>
    <w:rsid w:val="00D5058D"/>
    <w:rsid w:val="00D51099"/>
    <w:rsid w:val="00D5115A"/>
    <w:rsid w:val="00D51D69"/>
    <w:rsid w:val="00D53121"/>
    <w:rsid w:val="00D53284"/>
    <w:rsid w:val="00D532F0"/>
    <w:rsid w:val="00D55C27"/>
    <w:rsid w:val="00D56543"/>
    <w:rsid w:val="00D57127"/>
    <w:rsid w:val="00D57444"/>
    <w:rsid w:val="00D57816"/>
    <w:rsid w:val="00D57D83"/>
    <w:rsid w:val="00D609AE"/>
    <w:rsid w:val="00D6117A"/>
    <w:rsid w:val="00D61910"/>
    <w:rsid w:val="00D61B3A"/>
    <w:rsid w:val="00D64EE0"/>
    <w:rsid w:val="00D65206"/>
    <w:rsid w:val="00D66480"/>
    <w:rsid w:val="00D66F53"/>
    <w:rsid w:val="00D670CB"/>
    <w:rsid w:val="00D67C9A"/>
    <w:rsid w:val="00D71160"/>
    <w:rsid w:val="00D71553"/>
    <w:rsid w:val="00D71F73"/>
    <w:rsid w:val="00D72D07"/>
    <w:rsid w:val="00D748F1"/>
    <w:rsid w:val="00D74B0F"/>
    <w:rsid w:val="00D74BEF"/>
    <w:rsid w:val="00D779D5"/>
    <w:rsid w:val="00D801CB"/>
    <w:rsid w:val="00D80384"/>
    <w:rsid w:val="00D80D05"/>
    <w:rsid w:val="00D82295"/>
    <w:rsid w:val="00D8291F"/>
    <w:rsid w:val="00D82A6F"/>
    <w:rsid w:val="00D83356"/>
    <w:rsid w:val="00D834BC"/>
    <w:rsid w:val="00D83EA2"/>
    <w:rsid w:val="00D851D8"/>
    <w:rsid w:val="00D854D9"/>
    <w:rsid w:val="00D85903"/>
    <w:rsid w:val="00D86118"/>
    <w:rsid w:val="00D86162"/>
    <w:rsid w:val="00D871AC"/>
    <w:rsid w:val="00D90BD4"/>
    <w:rsid w:val="00D915F1"/>
    <w:rsid w:val="00D91F1B"/>
    <w:rsid w:val="00D936A1"/>
    <w:rsid w:val="00D93820"/>
    <w:rsid w:val="00D94DAC"/>
    <w:rsid w:val="00D966D9"/>
    <w:rsid w:val="00D96DEE"/>
    <w:rsid w:val="00D97E4E"/>
    <w:rsid w:val="00DA2A2D"/>
    <w:rsid w:val="00DA2DBC"/>
    <w:rsid w:val="00DA3C85"/>
    <w:rsid w:val="00DA4D60"/>
    <w:rsid w:val="00DA4EC0"/>
    <w:rsid w:val="00DA5F55"/>
    <w:rsid w:val="00DA6116"/>
    <w:rsid w:val="00DA743F"/>
    <w:rsid w:val="00DB0564"/>
    <w:rsid w:val="00DB0995"/>
    <w:rsid w:val="00DB13F6"/>
    <w:rsid w:val="00DB16E4"/>
    <w:rsid w:val="00DB1997"/>
    <w:rsid w:val="00DB1C86"/>
    <w:rsid w:val="00DB1EB4"/>
    <w:rsid w:val="00DB20DD"/>
    <w:rsid w:val="00DB25FC"/>
    <w:rsid w:val="00DB2810"/>
    <w:rsid w:val="00DB3A38"/>
    <w:rsid w:val="00DB3C7F"/>
    <w:rsid w:val="00DB3CB6"/>
    <w:rsid w:val="00DB522D"/>
    <w:rsid w:val="00DB59A5"/>
    <w:rsid w:val="00DB6458"/>
    <w:rsid w:val="00DB6A7C"/>
    <w:rsid w:val="00DB79E0"/>
    <w:rsid w:val="00DC05BD"/>
    <w:rsid w:val="00DC0637"/>
    <w:rsid w:val="00DC09AC"/>
    <w:rsid w:val="00DC13FE"/>
    <w:rsid w:val="00DC14E0"/>
    <w:rsid w:val="00DC4353"/>
    <w:rsid w:val="00DC57FA"/>
    <w:rsid w:val="00DD1E3B"/>
    <w:rsid w:val="00DD2030"/>
    <w:rsid w:val="00DD22D1"/>
    <w:rsid w:val="00DD2BCE"/>
    <w:rsid w:val="00DD5565"/>
    <w:rsid w:val="00DD6174"/>
    <w:rsid w:val="00DD6818"/>
    <w:rsid w:val="00DD75BE"/>
    <w:rsid w:val="00DD7C00"/>
    <w:rsid w:val="00DE0957"/>
    <w:rsid w:val="00DE12D0"/>
    <w:rsid w:val="00DE21BE"/>
    <w:rsid w:val="00DE27F5"/>
    <w:rsid w:val="00DE2B44"/>
    <w:rsid w:val="00DE2CE4"/>
    <w:rsid w:val="00DE2D50"/>
    <w:rsid w:val="00DE3262"/>
    <w:rsid w:val="00DE372D"/>
    <w:rsid w:val="00DE4037"/>
    <w:rsid w:val="00DE4E0F"/>
    <w:rsid w:val="00DE5663"/>
    <w:rsid w:val="00DE6E81"/>
    <w:rsid w:val="00DE7582"/>
    <w:rsid w:val="00DF027D"/>
    <w:rsid w:val="00DF2054"/>
    <w:rsid w:val="00DF3D6E"/>
    <w:rsid w:val="00DF3E9D"/>
    <w:rsid w:val="00DF4E12"/>
    <w:rsid w:val="00DF4F11"/>
    <w:rsid w:val="00DF5CCF"/>
    <w:rsid w:val="00DF5EA1"/>
    <w:rsid w:val="00DF62F5"/>
    <w:rsid w:val="00DF694C"/>
    <w:rsid w:val="00DF6A65"/>
    <w:rsid w:val="00DF6EDD"/>
    <w:rsid w:val="00DF7FE0"/>
    <w:rsid w:val="00E00CB0"/>
    <w:rsid w:val="00E00FCA"/>
    <w:rsid w:val="00E01119"/>
    <w:rsid w:val="00E01D20"/>
    <w:rsid w:val="00E025CB"/>
    <w:rsid w:val="00E028FD"/>
    <w:rsid w:val="00E0290D"/>
    <w:rsid w:val="00E02C7C"/>
    <w:rsid w:val="00E0326E"/>
    <w:rsid w:val="00E04839"/>
    <w:rsid w:val="00E04F6D"/>
    <w:rsid w:val="00E0500F"/>
    <w:rsid w:val="00E050E3"/>
    <w:rsid w:val="00E05521"/>
    <w:rsid w:val="00E05B3C"/>
    <w:rsid w:val="00E05BF1"/>
    <w:rsid w:val="00E05F48"/>
    <w:rsid w:val="00E063B5"/>
    <w:rsid w:val="00E06459"/>
    <w:rsid w:val="00E068E6"/>
    <w:rsid w:val="00E119AD"/>
    <w:rsid w:val="00E11B83"/>
    <w:rsid w:val="00E12D09"/>
    <w:rsid w:val="00E14844"/>
    <w:rsid w:val="00E14AA8"/>
    <w:rsid w:val="00E152B5"/>
    <w:rsid w:val="00E15C54"/>
    <w:rsid w:val="00E165E9"/>
    <w:rsid w:val="00E169B7"/>
    <w:rsid w:val="00E16D3D"/>
    <w:rsid w:val="00E16FC8"/>
    <w:rsid w:val="00E20D25"/>
    <w:rsid w:val="00E215A7"/>
    <w:rsid w:val="00E21679"/>
    <w:rsid w:val="00E21FAE"/>
    <w:rsid w:val="00E23762"/>
    <w:rsid w:val="00E24112"/>
    <w:rsid w:val="00E25158"/>
    <w:rsid w:val="00E253BF"/>
    <w:rsid w:val="00E25C02"/>
    <w:rsid w:val="00E26901"/>
    <w:rsid w:val="00E26972"/>
    <w:rsid w:val="00E26A1D"/>
    <w:rsid w:val="00E27D47"/>
    <w:rsid w:val="00E3013C"/>
    <w:rsid w:val="00E30B39"/>
    <w:rsid w:val="00E30CCE"/>
    <w:rsid w:val="00E30EEB"/>
    <w:rsid w:val="00E3105B"/>
    <w:rsid w:val="00E33055"/>
    <w:rsid w:val="00E330B4"/>
    <w:rsid w:val="00E34398"/>
    <w:rsid w:val="00E35A04"/>
    <w:rsid w:val="00E35B7A"/>
    <w:rsid w:val="00E37313"/>
    <w:rsid w:val="00E40B07"/>
    <w:rsid w:val="00E41663"/>
    <w:rsid w:val="00E41780"/>
    <w:rsid w:val="00E423EB"/>
    <w:rsid w:val="00E42D8B"/>
    <w:rsid w:val="00E449B7"/>
    <w:rsid w:val="00E45207"/>
    <w:rsid w:val="00E45A0C"/>
    <w:rsid w:val="00E45A48"/>
    <w:rsid w:val="00E45D11"/>
    <w:rsid w:val="00E45FE8"/>
    <w:rsid w:val="00E46467"/>
    <w:rsid w:val="00E472A3"/>
    <w:rsid w:val="00E47307"/>
    <w:rsid w:val="00E47361"/>
    <w:rsid w:val="00E47A26"/>
    <w:rsid w:val="00E47F68"/>
    <w:rsid w:val="00E50BCA"/>
    <w:rsid w:val="00E52166"/>
    <w:rsid w:val="00E52315"/>
    <w:rsid w:val="00E53266"/>
    <w:rsid w:val="00E53379"/>
    <w:rsid w:val="00E53D8F"/>
    <w:rsid w:val="00E5407B"/>
    <w:rsid w:val="00E54912"/>
    <w:rsid w:val="00E54D8A"/>
    <w:rsid w:val="00E553E8"/>
    <w:rsid w:val="00E55694"/>
    <w:rsid w:val="00E56669"/>
    <w:rsid w:val="00E56819"/>
    <w:rsid w:val="00E56EBE"/>
    <w:rsid w:val="00E579A5"/>
    <w:rsid w:val="00E57A94"/>
    <w:rsid w:val="00E60249"/>
    <w:rsid w:val="00E618C9"/>
    <w:rsid w:val="00E61C69"/>
    <w:rsid w:val="00E627CE"/>
    <w:rsid w:val="00E63103"/>
    <w:rsid w:val="00E63611"/>
    <w:rsid w:val="00E63FC2"/>
    <w:rsid w:val="00E64E5E"/>
    <w:rsid w:val="00E656D7"/>
    <w:rsid w:val="00E67F6D"/>
    <w:rsid w:val="00E7091A"/>
    <w:rsid w:val="00E70E57"/>
    <w:rsid w:val="00E718C0"/>
    <w:rsid w:val="00E71CF0"/>
    <w:rsid w:val="00E72502"/>
    <w:rsid w:val="00E7296B"/>
    <w:rsid w:val="00E74089"/>
    <w:rsid w:val="00E7443C"/>
    <w:rsid w:val="00E74878"/>
    <w:rsid w:val="00E74985"/>
    <w:rsid w:val="00E75137"/>
    <w:rsid w:val="00E76839"/>
    <w:rsid w:val="00E77025"/>
    <w:rsid w:val="00E771FE"/>
    <w:rsid w:val="00E80CA6"/>
    <w:rsid w:val="00E81606"/>
    <w:rsid w:val="00E81A4E"/>
    <w:rsid w:val="00E81E3B"/>
    <w:rsid w:val="00E849AD"/>
    <w:rsid w:val="00E84FCE"/>
    <w:rsid w:val="00E850B4"/>
    <w:rsid w:val="00E85ED4"/>
    <w:rsid w:val="00E85F44"/>
    <w:rsid w:val="00E866A2"/>
    <w:rsid w:val="00E86863"/>
    <w:rsid w:val="00E8786A"/>
    <w:rsid w:val="00E90180"/>
    <w:rsid w:val="00E9018C"/>
    <w:rsid w:val="00E9154B"/>
    <w:rsid w:val="00E9176D"/>
    <w:rsid w:val="00E91C80"/>
    <w:rsid w:val="00E91D45"/>
    <w:rsid w:val="00E9216A"/>
    <w:rsid w:val="00E93FC7"/>
    <w:rsid w:val="00E947F1"/>
    <w:rsid w:val="00E949E4"/>
    <w:rsid w:val="00E94DB1"/>
    <w:rsid w:val="00E95B9C"/>
    <w:rsid w:val="00E9679B"/>
    <w:rsid w:val="00E96864"/>
    <w:rsid w:val="00E96937"/>
    <w:rsid w:val="00E9784A"/>
    <w:rsid w:val="00EA18A6"/>
    <w:rsid w:val="00EA1F5A"/>
    <w:rsid w:val="00EA3B42"/>
    <w:rsid w:val="00EA3E56"/>
    <w:rsid w:val="00EA3EE9"/>
    <w:rsid w:val="00EA447C"/>
    <w:rsid w:val="00EA69DE"/>
    <w:rsid w:val="00EA6E05"/>
    <w:rsid w:val="00EB097C"/>
    <w:rsid w:val="00EB1033"/>
    <w:rsid w:val="00EB133E"/>
    <w:rsid w:val="00EB1442"/>
    <w:rsid w:val="00EB1651"/>
    <w:rsid w:val="00EB26D3"/>
    <w:rsid w:val="00EB2857"/>
    <w:rsid w:val="00EB29D0"/>
    <w:rsid w:val="00EB2A66"/>
    <w:rsid w:val="00EB4B5D"/>
    <w:rsid w:val="00EB58DD"/>
    <w:rsid w:val="00EB5ADE"/>
    <w:rsid w:val="00EB5B1A"/>
    <w:rsid w:val="00EB683D"/>
    <w:rsid w:val="00EB6C0F"/>
    <w:rsid w:val="00EB72F8"/>
    <w:rsid w:val="00EB74C6"/>
    <w:rsid w:val="00EC146B"/>
    <w:rsid w:val="00EC202E"/>
    <w:rsid w:val="00EC2687"/>
    <w:rsid w:val="00EC26EC"/>
    <w:rsid w:val="00EC289C"/>
    <w:rsid w:val="00EC2E64"/>
    <w:rsid w:val="00EC390D"/>
    <w:rsid w:val="00EC39C4"/>
    <w:rsid w:val="00EC4555"/>
    <w:rsid w:val="00EC4752"/>
    <w:rsid w:val="00EC495F"/>
    <w:rsid w:val="00EC53D4"/>
    <w:rsid w:val="00EC6213"/>
    <w:rsid w:val="00EC6C86"/>
    <w:rsid w:val="00EC6DE3"/>
    <w:rsid w:val="00EC7210"/>
    <w:rsid w:val="00ED007A"/>
    <w:rsid w:val="00ED0519"/>
    <w:rsid w:val="00ED1C82"/>
    <w:rsid w:val="00ED380E"/>
    <w:rsid w:val="00ED45B5"/>
    <w:rsid w:val="00ED5D31"/>
    <w:rsid w:val="00ED5EB7"/>
    <w:rsid w:val="00ED6267"/>
    <w:rsid w:val="00ED665A"/>
    <w:rsid w:val="00ED67E5"/>
    <w:rsid w:val="00ED6F31"/>
    <w:rsid w:val="00ED6F87"/>
    <w:rsid w:val="00ED6FB8"/>
    <w:rsid w:val="00EE1197"/>
    <w:rsid w:val="00EE2585"/>
    <w:rsid w:val="00EE276C"/>
    <w:rsid w:val="00EE2827"/>
    <w:rsid w:val="00EE4212"/>
    <w:rsid w:val="00EE47F5"/>
    <w:rsid w:val="00EE4860"/>
    <w:rsid w:val="00EE5283"/>
    <w:rsid w:val="00EE5499"/>
    <w:rsid w:val="00EE5679"/>
    <w:rsid w:val="00EF01E5"/>
    <w:rsid w:val="00EF02ED"/>
    <w:rsid w:val="00EF2173"/>
    <w:rsid w:val="00EF2751"/>
    <w:rsid w:val="00EF2D3A"/>
    <w:rsid w:val="00EF5309"/>
    <w:rsid w:val="00EF55D0"/>
    <w:rsid w:val="00EF706F"/>
    <w:rsid w:val="00EF7952"/>
    <w:rsid w:val="00EF7AB9"/>
    <w:rsid w:val="00F0126D"/>
    <w:rsid w:val="00F0199D"/>
    <w:rsid w:val="00F02D97"/>
    <w:rsid w:val="00F050D8"/>
    <w:rsid w:val="00F05DFB"/>
    <w:rsid w:val="00F05EA5"/>
    <w:rsid w:val="00F06B30"/>
    <w:rsid w:val="00F06FCC"/>
    <w:rsid w:val="00F073E9"/>
    <w:rsid w:val="00F10270"/>
    <w:rsid w:val="00F105FA"/>
    <w:rsid w:val="00F10FA7"/>
    <w:rsid w:val="00F110D7"/>
    <w:rsid w:val="00F1149F"/>
    <w:rsid w:val="00F1523B"/>
    <w:rsid w:val="00F15E1A"/>
    <w:rsid w:val="00F15EF2"/>
    <w:rsid w:val="00F16982"/>
    <w:rsid w:val="00F16F50"/>
    <w:rsid w:val="00F16FBC"/>
    <w:rsid w:val="00F171C1"/>
    <w:rsid w:val="00F20014"/>
    <w:rsid w:val="00F21D6D"/>
    <w:rsid w:val="00F21F8E"/>
    <w:rsid w:val="00F22082"/>
    <w:rsid w:val="00F224BF"/>
    <w:rsid w:val="00F22C5E"/>
    <w:rsid w:val="00F230B4"/>
    <w:rsid w:val="00F236FD"/>
    <w:rsid w:val="00F23BA2"/>
    <w:rsid w:val="00F24378"/>
    <w:rsid w:val="00F24A39"/>
    <w:rsid w:val="00F24FD4"/>
    <w:rsid w:val="00F25150"/>
    <w:rsid w:val="00F25717"/>
    <w:rsid w:val="00F2573C"/>
    <w:rsid w:val="00F25A9D"/>
    <w:rsid w:val="00F25C24"/>
    <w:rsid w:val="00F26501"/>
    <w:rsid w:val="00F265E8"/>
    <w:rsid w:val="00F26DBC"/>
    <w:rsid w:val="00F30F37"/>
    <w:rsid w:val="00F31C4E"/>
    <w:rsid w:val="00F31DD6"/>
    <w:rsid w:val="00F32204"/>
    <w:rsid w:val="00F330B5"/>
    <w:rsid w:val="00F332FF"/>
    <w:rsid w:val="00F33775"/>
    <w:rsid w:val="00F33A2C"/>
    <w:rsid w:val="00F33D92"/>
    <w:rsid w:val="00F34CA7"/>
    <w:rsid w:val="00F34F7F"/>
    <w:rsid w:val="00F35C1F"/>
    <w:rsid w:val="00F35D80"/>
    <w:rsid w:val="00F361F5"/>
    <w:rsid w:val="00F36E07"/>
    <w:rsid w:val="00F36E91"/>
    <w:rsid w:val="00F3725E"/>
    <w:rsid w:val="00F377D3"/>
    <w:rsid w:val="00F378B3"/>
    <w:rsid w:val="00F37F27"/>
    <w:rsid w:val="00F409CD"/>
    <w:rsid w:val="00F4212B"/>
    <w:rsid w:val="00F42572"/>
    <w:rsid w:val="00F42B88"/>
    <w:rsid w:val="00F4320C"/>
    <w:rsid w:val="00F434E0"/>
    <w:rsid w:val="00F44C3E"/>
    <w:rsid w:val="00F4594A"/>
    <w:rsid w:val="00F46D24"/>
    <w:rsid w:val="00F47254"/>
    <w:rsid w:val="00F476ED"/>
    <w:rsid w:val="00F500C1"/>
    <w:rsid w:val="00F5012B"/>
    <w:rsid w:val="00F5077E"/>
    <w:rsid w:val="00F50782"/>
    <w:rsid w:val="00F5080F"/>
    <w:rsid w:val="00F508E3"/>
    <w:rsid w:val="00F518A5"/>
    <w:rsid w:val="00F51C07"/>
    <w:rsid w:val="00F51D94"/>
    <w:rsid w:val="00F54313"/>
    <w:rsid w:val="00F55B8B"/>
    <w:rsid w:val="00F55DC9"/>
    <w:rsid w:val="00F5627A"/>
    <w:rsid w:val="00F5714D"/>
    <w:rsid w:val="00F5715F"/>
    <w:rsid w:val="00F57FE7"/>
    <w:rsid w:val="00F6018D"/>
    <w:rsid w:val="00F604DC"/>
    <w:rsid w:val="00F60B6C"/>
    <w:rsid w:val="00F60E51"/>
    <w:rsid w:val="00F628D8"/>
    <w:rsid w:val="00F62E03"/>
    <w:rsid w:val="00F630BC"/>
    <w:rsid w:val="00F634AD"/>
    <w:rsid w:val="00F65DE3"/>
    <w:rsid w:val="00F66191"/>
    <w:rsid w:val="00F67581"/>
    <w:rsid w:val="00F70025"/>
    <w:rsid w:val="00F71401"/>
    <w:rsid w:val="00F71460"/>
    <w:rsid w:val="00F7201A"/>
    <w:rsid w:val="00F7359B"/>
    <w:rsid w:val="00F744CC"/>
    <w:rsid w:val="00F74CB5"/>
    <w:rsid w:val="00F7577B"/>
    <w:rsid w:val="00F75CEC"/>
    <w:rsid w:val="00F75F64"/>
    <w:rsid w:val="00F760F5"/>
    <w:rsid w:val="00F76437"/>
    <w:rsid w:val="00F76861"/>
    <w:rsid w:val="00F77E14"/>
    <w:rsid w:val="00F801C6"/>
    <w:rsid w:val="00F8046F"/>
    <w:rsid w:val="00F80591"/>
    <w:rsid w:val="00F81526"/>
    <w:rsid w:val="00F8238C"/>
    <w:rsid w:val="00F82575"/>
    <w:rsid w:val="00F836BE"/>
    <w:rsid w:val="00F845E1"/>
    <w:rsid w:val="00F85478"/>
    <w:rsid w:val="00F85E08"/>
    <w:rsid w:val="00F86845"/>
    <w:rsid w:val="00F87B3D"/>
    <w:rsid w:val="00F901F6"/>
    <w:rsid w:val="00F9045C"/>
    <w:rsid w:val="00F904E4"/>
    <w:rsid w:val="00F91D6B"/>
    <w:rsid w:val="00F9266B"/>
    <w:rsid w:val="00F93877"/>
    <w:rsid w:val="00F9393F"/>
    <w:rsid w:val="00F93BA5"/>
    <w:rsid w:val="00F94100"/>
    <w:rsid w:val="00F95B22"/>
    <w:rsid w:val="00F976AE"/>
    <w:rsid w:val="00F97C97"/>
    <w:rsid w:val="00FA05CF"/>
    <w:rsid w:val="00FA08BC"/>
    <w:rsid w:val="00FA0ADE"/>
    <w:rsid w:val="00FA0EED"/>
    <w:rsid w:val="00FA2B88"/>
    <w:rsid w:val="00FA2D46"/>
    <w:rsid w:val="00FA3074"/>
    <w:rsid w:val="00FA32A1"/>
    <w:rsid w:val="00FA3DB3"/>
    <w:rsid w:val="00FA3E5A"/>
    <w:rsid w:val="00FA5294"/>
    <w:rsid w:val="00FA64D5"/>
    <w:rsid w:val="00FA67EF"/>
    <w:rsid w:val="00FA69BF"/>
    <w:rsid w:val="00FA6D23"/>
    <w:rsid w:val="00FB30EE"/>
    <w:rsid w:val="00FB3C31"/>
    <w:rsid w:val="00FB5789"/>
    <w:rsid w:val="00FB578E"/>
    <w:rsid w:val="00FB5CA4"/>
    <w:rsid w:val="00FB6243"/>
    <w:rsid w:val="00FB707A"/>
    <w:rsid w:val="00FB7BEC"/>
    <w:rsid w:val="00FC0FF3"/>
    <w:rsid w:val="00FC14C8"/>
    <w:rsid w:val="00FC18E4"/>
    <w:rsid w:val="00FC3BFA"/>
    <w:rsid w:val="00FC3DBD"/>
    <w:rsid w:val="00FC4C30"/>
    <w:rsid w:val="00FC4ED7"/>
    <w:rsid w:val="00FC5311"/>
    <w:rsid w:val="00FC587B"/>
    <w:rsid w:val="00FC60A3"/>
    <w:rsid w:val="00FC66E2"/>
    <w:rsid w:val="00FC6F20"/>
    <w:rsid w:val="00FC733C"/>
    <w:rsid w:val="00FD0300"/>
    <w:rsid w:val="00FD0F2D"/>
    <w:rsid w:val="00FD14EE"/>
    <w:rsid w:val="00FD1757"/>
    <w:rsid w:val="00FD25AA"/>
    <w:rsid w:val="00FD2FB2"/>
    <w:rsid w:val="00FD34FC"/>
    <w:rsid w:val="00FD3A9A"/>
    <w:rsid w:val="00FD3D87"/>
    <w:rsid w:val="00FD3D8E"/>
    <w:rsid w:val="00FD58F5"/>
    <w:rsid w:val="00FD7C70"/>
    <w:rsid w:val="00FE01BF"/>
    <w:rsid w:val="00FE0AAC"/>
    <w:rsid w:val="00FE0B83"/>
    <w:rsid w:val="00FE26FE"/>
    <w:rsid w:val="00FE2E7D"/>
    <w:rsid w:val="00FE34D9"/>
    <w:rsid w:val="00FE4657"/>
    <w:rsid w:val="00FE782D"/>
    <w:rsid w:val="00FF0027"/>
    <w:rsid w:val="00FF0416"/>
    <w:rsid w:val="00FF0E45"/>
    <w:rsid w:val="00FF0EE0"/>
    <w:rsid w:val="00FF13C7"/>
    <w:rsid w:val="00FF2C69"/>
    <w:rsid w:val="00FF32DB"/>
    <w:rsid w:val="00FF6B2B"/>
    <w:rsid w:val="00FF6B8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C980E"/>
  <w15:docId w15:val="{27F24EC8-6A6E-43F9-AC6F-39A5CA1DD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heme="minorBidi"/>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97F"/>
    <w:rPr>
      <w:rFonts w:cs="Times New Roman"/>
      <w:lang w:eastAsia="en-AU"/>
    </w:rPr>
  </w:style>
  <w:style w:type="paragraph" w:styleId="Heading1">
    <w:name w:val="heading 1"/>
    <w:basedOn w:val="Normal"/>
    <w:next w:val="BodyIndent1"/>
    <w:link w:val="Heading1Char"/>
    <w:qFormat/>
    <w:rsid w:val="00B84290"/>
    <w:pPr>
      <w:keepNext/>
      <w:numPr>
        <w:numId w:val="2"/>
      </w:numPr>
      <w:pBdr>
        <w:top w:val="single" w:sz="4" w:space="6" w:color="auto"/>
      </w:pBdr>
      <w:spacing w:before="480"/>
      <w:outlineLvl w:val="0"/>
    </w:pPr>
    <w:rPr>
      <w:b/>
      <w:kern w:val="28"/>
      <w:sz w:val="22"/>
    </w:rPr>
  </w:style>
  <w:style w:type="paragraph" w:styleId="Heading2">
    <w:name w:val="heading 2"/>
    <w:basedOn w:val="Normal"/>
    <w:next w:val="BodyIndent1"/>
    <w:link w:val="Heading2Char"/>
    <w:qFormat/>
    <w:rsid w:val="00B84290"/>
    <w:pPr>
      <w:keepNext/>
      <w:numPr>
        <w:ilvl w:val="1"/>
        <w:numId w:val="2"/>
      </w:numPr>
      <w:spacing w:before="240"/>
      <w:outlineLvl w:val="1"/>
    </w:pPr>
    <w:rPr>
      <w:b/>
    </w:rPr>
  </w:style>
  <w:style w:type="paragraph" w:styleId="Heading3">
    <w:name w:val="heading 3"/>
    <w:basedOn w:val="Normal"/>
    <w:link w:val="Heading3Char"/>
    <w:qFormat/>
    <w:rsid w:val="00B84290"/>
    <w:pPr>
      <w:numPr>
        <w:ilvl w:val="2"/>
        <w:numId w:val="2"/>
      </w:numPr>
      <w:spacing w:before="240"/>
      <w:outlineLvl w:val="2"/>
    </w:pPr>
  </w:style>
  <w:style w:type="paragraph" w:styleId="Heading4">
    <w:name w:val="heading 4"/>
    <w:basedOn w:val="Normal"/>
    <w:link w:val="Heading4Char"/>
    <w:qFormat/>
    <w:rsid w:val="00B84290"/>
    <w:pPr>
      <w:numPr>
        <w:ilvl w:val="3"/>
        <w:numId w:val="2"/>
      </w:numPr>
      <w:spacing w:before="240"/>
      <w:outlineLvl w:val="3"/>
    </w:pPr>
  </w:style>
  <w:style w:type="paragraph" w:styleId="Heading5">
    <w:name w:val="heading 5"/>
    <w:basedOn w:val="Normal"/>
    <w:link w:val="Heading5Char"/>
    <w:qFormat/>
    <w:rsid w:val="00B84290"/>
    <w:pPr>
      <w:numPr>
        <w:ilvl w:val="4"/>
        <w:numId w:val="2"/>
      </w:numPr>
      <w:spacing w:before="240"/>
      <w:outlineLvl w:val="4"/>
    </w:pPr>
  </w:style>
  <w:style w:type="paragraph" w:styleId="Heading6">
    <w:name w:val="heading 6"/>
    <w:basedOn w:val="Normal"/>
    <w:next w:val="Normal"/>
    <w:link w:val="Heading6Char"/>
    <w:rsid w:val="00B84290"/>
    <w:pPr>
      <w:outlineLvl w:val="5"/>
    </w:pPr>
  </w:style>
  <w:style w:type="paragraph" w:styleId="Heading7">
    <w:name w:val="heading 7"/>
    <w:basedOn w:val="Normal"/>
    <w:next w:val="Normal"/>
    <w:link w:val="Heading7Char"/>
    <w:rsid w:val="00B84290"/>
    <w:pPr>
      <w:outlineLvl w:val="6"/>
    </w:pPr>
  </w:style>
  <w:style w:type="paragraph" w:styleId="Heading8">
    <w:name w:val="heading 8"/>
    <w:basedOn w:val="Normal"/>
    <w:next w:val="Normal"/>
    <w:link w:val="Heading8Char"/>
    <w:rsid w:val="00B84290"/>
    <w:pPr>
      <w:outlineLvl w:val="7"/>
    </w:pPr>
  </w:style>
  <w:style w:type="paragraph" w:styleId="Heading9">
    <w:name w:val="heading 9"/>
    <w:basedOn w:val="Normal"/>
    <w:next w:val="Normal"/>
    <w:link w:val="Heading9Char"/>
    <w:rsid w:val="00B8429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Indent1">
    <w:name w:val="Body Indent 1"/>
    <w:basedOn w:val="Normal"/>
    <w:link w:val="BodyIndent1Char"/>
    <w:qFormat/>
    <w:rsid w:val="00B84290"/>
    <w:pPr>
      <w:spacing w:before="240"/>
      <w:ind w:left="851"/>
    </w:pPr>
    <w:rPr>
      <w:rFonts w:cs="Arial"/>
    </w:rPr>
  </w:style>
  <w:style w:type="paragraph" w:customStyle="1" w:styleId="BodyIndent2">
    <w:name w:val="Body Indent 2"/>
    <w:basedOn w:val="Normal"/>
    <w:qFormat/>
    <w:rsid w:val="00B84290"/>
    <w:pPr>
      <w:spacing w:before="240"/>
      <w:ind w:left="1701"/>
    </w:pPr>
    <w:rPr>
      <w:rFonts w:cs="Arial"/>
    </w:rPr>
  </w:style>
  <w:style w:type="paragraph" w:customStyle="1" w:styleId="BodyIndent3">
    <w:name w:val="Body Indent 3"/>
    <w:basedOn w:val="Normal"/>
    <w:qFormat/>
    <w:rsid w:val="00B84290"/>
    <w:pPr>
      <w:spacing w:before="240"/>
      <w:ind w:left="2268"/>
    </w:pPr>
    <w:rPr>
      <w:rFonts w:cs="Arial"/>
    </w:rPr>
  </w:style>
  <w:style w:type="paragraph" w:customStyle="1" w:styleId="Bullet1">
    <w:name w:val="Bullet1"/>
    <w:basedOn w:val="Normal"/>
    <w:qFormat/>
    <w:rsid w:val="00B84290"/>
    <w:pPr>
      <w:numPr>
        <w:numId w:val="1"/>
      </w:numPr>
      <w:spacing w:before="240"/>
    </w:pPr>
    <w:rPr>
      <w:rFonts w:cs="Arial"/>
    </w:rPr>
  </w:style>
  <w:style w:type="paragraph" w:customStyle="1" w:styleId="Bullet2">
    <w:name w:val="Bullet2"/>
    <w:basedOn w:val="Normal"/>
    <w:qFormat/>
    <w:rsid w:val="00B84290"/>
    <w:pPr>
      <w:numPr>
        <w:numId w:val="5"/>
      </w:numPr>
      <w:spacing w:before="240"/>
    </w:pPr>
  </w:style>
  <w:style w:type="paragraph" w:customStyle="1" w:styleId="Bullet3">
    <w:name w:val="Bullet3"/>
    <w:basedOn w:val="Normal"/>
    <w:qFormat/>
    <w:rsid w:val="00B84290"/>
    <w:pPr>
      <w:numPr>
        <w:numId w:val="6"/>
      </w:numPr>
      <w:spacing w:before="240"/>
    </w:pPr>
  </w:style>
  <w:style w:type="paragraph" w:customStyle="1" w:styleId="correspQuote">
    <w:name w:val="correspQuote"/>
    <w:basedOn w:val="Normal"/>
    <w:qFormat/>
    <w:rsid w:val="00B84290"/>
    <w:pPr>
      <w:spacing w:before="240"/>
      <w:ind w:left="851" w:right="851"/>
    </w:pPr>
    <w:rPr>
      <w:rFonts w:cs="Arial"/>
      <w:sz w:val="18"/>
    </w:rPr>
  </w:style>
  <w:style w:type="paragraph" w:customStyle="1" w:styleId="covBodyText">
    <w:name w:val="covBodyText"/>
    <w:basedOn w:val="Normal"/>
    <w:qFormat/>
    <w:rsid w:val="00B84290"/>
    <w:pPr>
      <w:ind w:left="397"/>
    </w:pPr>
    <w:rPr>
      <w:sz w:val="22"/>
    </w:rPr>
  </w:style>
  <w:style w:type="paragraph" w:customStyle="1" w:styleId="covSubTitle">
    <w:name w:val="covSubTitle"/>
    <w:basedOn w:val="Normal"/>
    <w:next w:val="covBodyText"/>
    <w:rsid w:val="00B84290"/>
    <w:pPr>
      <w:ind w:left="397"/>
    </w:pPr>
    <w:rPr>
      <w:b/>
      <w:sz w:val="22"/>
    </w:rPr>
  </w:style>
  <w:style w:type="paragraph" w:customStyle="1" w:styleId="covTitle">
    <w:name w:val="covTitle"/>
    <w:basedOn w:val="Normal"/>
    <w:next w:val="covBodyText"/>
    <w:qFormat/>
    <w:rsid w:val="00B84290"/>
    <w:pPr>
      <w:spacing w:before="3600"/>
      <w:ind w:left="397"/>
    </w:pPr>
    <w:rPr>
      <w:b/>
      <w:sz w:val="34"/>
    </w:rPr>
  </w:style>
  <w:style w:type="character" w:customStyle="1" w:styleId="Heading1Char">
    <w:name w:val="Heading 1 Char"/>
    <w:basedOn w:val="DefaultParagraphFont"/>
    <w:link w:val="Heading1"/>
    <w:rsid w:val="00B84290"/>
    <w:rPr>
      <w:rFonts w:cs="Times New Roman"/>
      <w:b/>
      <w:kern w:val="28"/>
      <w:sz w:val="22"/>
      <w:lang w:eastAsia="en-AU"/>
    </w:rPr>
  </w:style>
  <w:style w:type="character" w:customStyle="1" w:styleId="Heading2Char">
    <w:name w:val="Heading 2 Char"/>
    <w:basedOn w:val="DefaultParagraphFont"/>
    <w:link w:val="Heading2"/>
    <w:rsid w:val="00B84290"/>
    <w:rPr>
      <w:rFonts w:cs="Times New Roman"/>
      <w:b/>
      <w:lang w:eastAsia="en-AU"/>
    </w:rPr>
  </w:style>
  <w:style w:type="character" w:customStyle="1" w:styleId="Heading3Char">
    <w:name w:val="Heading 3 Char"/>
    <w:basedOn w:val="DefaultParagraphFont"/>
    <w:link w:val="Heading3"/>
    <w:rsid w:val="00B84290"/>
    <w:rPr>
      <w:rFonts w:cs="Times New Roman"/>
      <w:lang w:eastAsia="en-AU"/>
    </w:rPr>
  </w:style>
  <w:style w:type="character" w:customStyle="1" w:styleId="Heading4Char">
    <w:name w:val="Heading 4 Char"/>
    <w:basedOn w:val="DefaultParagraphFont"/>
    <w:link w:val="Heading4"/>
    <w:rsid w:val="00B84290"/>
    <w:rPr>
      <w:rFonts w:cs="Times New Roman"/>
      <w:lang w:eastAsia="en-AU"/>
    </w:rPr>
  </w:style>
  <w:style w:type="character" w:customStyle="1" w:styleId="Heading5Char">
    <w:name w:val="Heading 5 Char"/>
    <w:basedOn w:val="DefaultParagraphFont"/>
    <w:link w:val="Heading5"/>
    <w:rsid w:val="00B84290"/>
    <w:rPr>
      <w:rFonts w:cs="Times New Roman"/>
      <w:lang w:eastAsia="en-AU"/>
    </w:rPr>
  </w:style>
  <w:style w:type="character" w:customStyle="1" w:styleId="Heading6Char">
    <w:name w:val="Heading 6 Char"/>
    <w:basedOn w:val="DefaultParagraphFont"/>
    <w:link w:val="Heading6"/>
    <w:rsid w:val="00B84290"/>
    <w:rPr>
      <w:rFonts w:cs="Times New Roman"/>
      <w:lang w:eastAsia="en-AU"/>
    </w:rPr>
  </w:style>
  <w:style w:type="character" w:customStyle="1" w:styleId="Heading7Char">
    <w:name w:val="Heading 7 Char"/>
    <w:basedOn w:val="DefaultParagraphFont"/>
    <w:link w:val="Heading7"/>
    <w:rsid w:val="00B84290"/>
    <w:rPr>
      <w:rFonts w:cs="Times New Roman"/>
      <w:lang w:eastAsia="en-AU"/>
    </w:rPr>
  </w:style>
  <w:style w:type="character" w:customStyle="1" w:styleId="Heading8Char">
    <w:name w:val="Heading 8 Char"/>
    <w:basedOn w:val="DefaultParagraphFont"/>
    <w:link w:val="Heading8"/>
    <w:rsid w:val="00B84290"/>
    <w:rPr>
      <w:rFonts w:cs="Times New Roman"/>
      <w:lang w:eastAsia="en-AU"/>
    </w:rPr>
  </w:style>
  <w:style w:type="character" w:customStyle="1" w:styleId="Heading9Char">
    <w:name w:val="Heading 9 Char"/>
    <w:basedOn w:val="DefaultParagraphFont"/>
    <w:link w:val="Heading9"/>
    <w:rsid w:val="00B84290"/>
    <w:rPr>
      <w:rFonts w:cs="Times New Roman"/>
      <w:lang w:eastAsia="en-AU"/>
    </w:rPr>
  </w:style>
  <w:style w:type="paragraph" w:customStyle="1" w:styleId="Headingpara2">
    <w:name w:val="Headingpara2"/>
    <w:basedOn w:val="Heading2"/>
    <w:qFormat/>
    <w:rsid w:val="00B84290"/>
    <w:pPr>
      <w:keepNext w:val="0"/>
    </w:pPr>
    <w:rPr>
      <w:b w:val="0"/>
    </w:rPr>
  </w:style>
  <w:style w:type="paragraph" w:customStyle="1" w:styleId="legalDefinition">
    <w:name w:val="legalDefinition"/>
    <w:basedOn w:val="Normal"/>
    <w:qFormat/>
    <w:rsid w:val="00B84290"/>
    <w:pPr>
      <w:numPr>
        <w:numId w:val="8"/>
      </w:numPr>
      <w:spacing w:before="240"/>
    </w:pPr>
    <w:rPr>
      <w:lang w:eastAsia="en-US"/>
    </w:rPr>
  </w:style>
  <w:style w:type="paragraph" w:customStyle="1" w:styleId="legalRecital1">
    <w:name w:val="legalRecital1"/>
    <w:basedOn w:val="Normal"/>
    <w:qFormat/>
    <w:rsid w:val="00B84290"/>
    <w:pPr>
      <w:numPr>
        <w:numId w:val="3"/>
      </w:numPr>
      <w:spacing w:before="240"/>
    </w:pPr>
  </w:style>
  <w:style w:type="paragraph" w:customStyle="1" w:styleId="legalSchedule">
    <w:name w:val="legalSchedule"/>
    <w:basedOn w:val="Normal"/>
    <w:next w:val="Normal"/>
    <w:qFormat/>
    <w:rsid w:val="00B84290"/>
    <w:pPr>
      <w:pageBreakBefore/>
      <w:numPr>
        <w:numId w:val="9"/>
      </w:numPr>
      <w:pBdr>
        <w:top w:val="single" w:sz="4" w:space="1" w:color="auto"/>
      </w:pBdr>
    </w:pPr>
    <w:rPr>
      <w:b/>
      <w:sz w:val="34"/>
    </w:rPr>
  </w:style>
  <w:style w:type="paragraph" w:customStyle="1" w:styleId="legalScheduleDesc">
    <w:name w:val="legalScheduleDesc"/>
    <w:basedOn w:val="Normal"/>
    <w:next w:val="Normal"/>
    <w:qFormat/>
    <w:rsid w:val="00B84290"/>
    <w:pPr>
      <w:keepNext/>
      <w:spacing w:before="240"/>
    </w:pPr>
    <w:rPr>
      <w:b/>
      <w:sz w:val="22"/>
    </w:rPr>
  </w:style>
  <w:style w:type="paragraph" w:customStyle="1" w:styleId="legalTitleDescription">
    <w:name w:val="legalTitleDescription"/>
    <w:basedOn w:val="Normal"/>
    <w:next w:val="Normal"/>
    <w:qFormat/>
    <w:rsid w:val="00B84290"/>
    <w:pPr>
      <w:spacing w:before="240"/>
    </w:pPr>
    <w:rPr>
      <w:b/>
      <w:sz w:val="22"/>
    </w:rPr>
  </w:style>
  <w:style w:type="paragraph" w:customStyle="1" w:styleId="mainTitle">
    <w:name w:val="mainTitle"/>
    <w:basedOn w:val="Normal"/>
    <w:next w:val="Normal"/>
    <w:qFormat/>
    <w:rsid w:val="00B84290"/>
    <w:pPr>
      <w:pBdr>
        <w:top w:val="single" w:sz="4" w:space="1" w:color="auto"/>
      </w:pBdr>
    </w:pPr>
    <w:rPr>
      <w:b/>
      <w:sz w:val="34"/>
    </w:rPr>
  </w:style>
  <w:style w:type="paragraph" w:customStyle="1" w:styleId="Numpara1">
    <w:name w:val="Numpara1"/>
    <w:basedOn w:val="Normal"/>
    <w:qFormat/>
    <w:rsid w:val="00B84290"/>
    <w:pPr>
      <w:numPr>
        <w:numId w:val="10"/>
      </w:numPr>
      <w:spacing w:before="240"/>
    </w:pPr>
    <w:rPr>
      <w:rFonts w:cs="Arial"/>
      <w:szCs w:val="22"/>
    </w:rPr>
  </w:style>
  <w:style w:type="paragraph" w:customStyle="1" w:styleId="Numpara2">
    <w:name w:val="Numpara2"/>
    <w:basedOn w:val="Normal"/>
    <w:qFormat/>
    <w:rsid w:val="00B84290"/>
    <w:pPr>
      <w:numPr>
        <w:ilvl w:val="1"/>
        <w:numId w:val="10"/>
      </w:numPr>
      <w:spacing w:before="240"/>
    </w:pPr>
    <w:rPr>
      <w:rFonts w:cs="Arial"/>
      <w:szCs w:val="22"/>
    </w:rPr>
  </w:style>
  <w:style w:type="paragraph" w:customStyle="1" w:styleId="Numpara3">
    <w:name w:val="Numpara3"/>
    <w:basedOn w:val="Normal"/>
    <w:qFormat/>
    <w:rsid w:val="00B84290"/>
    <w:pPr>
      <w:numPr>
        <w:ilvl w:val="2"/>
        <w:numId w:val="10"/>
      </w:numPr>
      <w:spacing w:before="240"/>
    </w:pPr>
    <w:rPr>
      <w:rFonts w:cs="Arial"/>
      <w:szCs w:val="22"/>
    </w:rPr>
  </w:style>
  <w:style w:type="paragraph" w:customStyle="1" w:styleId="Numpara4">
    <w:name w:val="Numpara4"/>
    <w:basedOn w:val="Normal"/>
    <w:qFormat/>
    <w:rsid w:val="00B84290"/>
    <w:pPr>
      <w:numPr>
        <w:ilvl w:val="3"/>
        <w:numId w:val="10"/>
      </w:numPr>
      <w:spacing w:before="240"/>
    </w:pPr>
    <w:rPr>
      <w:rFonts w:cs="Arial"/>
      <w:szCs w:val="22"/>
    </w:rPr>
  </w:style>
  <w:style w:type="paragraph" w:customStyle="1" w:styleId="pageNumber">
    <w:name w:val="pageNumber"/>
    <w:basedOn w:val="Normal"/>
    <w:qFormat/>
    <w:rsid w:val="00B84290"/>
    <w:pPr>
      <w:tabs>
        <w:tab w:val="right" w:pos="9072"/>
      </w:tabs>
    </w:pPr>
    <w:rPr>
      <w:sz w:val="14"/>
      <w:szCs w:val="14"/>
    </w:rPr>
  </w:style>
  <w:style w:type="paragraph" w:styleId="TOC1">
    <w:name w:val="toc 1"/>
    <w:next w:val="Normal"/>
    <w:autoRedefine/>
    <w:uiPriority w:val="39"/>
    <w:rsid w:val="00011F8F"/>
    <w:pPr>
      <w:tabs>
        <w:tab w:val="left" w:pos="851"/>
        <w:tab w:val="right" w:leader="dot" w:pos="9072"/>
      </w:tabs>
      <w:spacing w:before="120" w:after="120"/>
      <w:ind w:left="851" w:hanging="851"/>
    </w:pPr>
    <w:rPr>
      <w:rFonts w:cs="Times New Roman"/>
      <w:b/>
    </w:rPr>
  </w:style>
  <w:style w:type="paragraph" w:styleId="TOC2">
    <w:name w:val="toc 2"/>
    <w:next w:val="Normal"/>
    <w:autoRedefine/>
    <w:uiPriority w:val="39"/>
    <w:rsid w:val="00EB2A66"/>
    <w:pPr>
      <w:tabs>
        <w:tab w:val="left" w:pos="1702"/>
        <w:tab w:val="right" w:leader="dot" w:pos="9072"/>
      </w:tabs>
      <w:ind w:left="1702" w:hanging="851"/>
    </w:pPr>
    <w:rPr>
      <w:rFonts w:cs="Times New Roman"/>
    </w:rPr>
  </w:style>
  <w:style w:type="table" w:customStyle="1" w:styleId="MadTabPlumGrid">
    <w:name w:val="MadTabPlumGrid"/>
    <w:basedOn w:val="TableNormal"/>
    <w:uiPriority w:val="99"/>
    <w:rsid w:val="00B84290"/>
    <w:pPr>
      <w:spacing w:before="60" w:after="60"/>
    </w:pPr>
    <w:rPr>
      <w:rFonts w:cs="Times New Roman"/>
      <w:lang w:eastAsia="en-AU"/>
    </w:rPr>
    <w:tblPr>
      <w:tblBorders>
        <w:top w:val="single" w:sz="4" w:space="0" w:color="82002A"/>
        <w:bottom w:val="single" w:sz="4" w:space="0" w:color="82002A"/>
        <w:insideH w:val="single" w:sz="4" w:space="0" w:color="82002A"/>
        <w:insideV w:val="single" w:sz="4" w:space="0" w:color="82002A"/>
      </w:tblBorders>
    </w:tblPr>
    <w:tcPr>
      <w:vAlign w:val="center"/>
    </w:tcPr>
    <w:tblStylePr w:type="firstRow">
      <w:pPr>
        <w:wordWrap/>
        <w:spacing w:beforeLines="0" w:before="60" w:beforeAutospacing="0" w:afterLines="0" w:after="60" w:afterAutospacing="0"/>
        <w:jc w:val="left"/>
      </w:pPr>
      <w:rPr>
        <w:rFonts w:ascii="Arial" w:hAnsi="Arial"/>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B84290"/>
    <w:pPr>
      <w:spacing w:before="60" w:after="60"/>
    </w:pPr>
    <w:rPr>
      <w:rFonts w:cs="Times New Roman"/>
      <w:lang w:eastAsia="en-AU"/>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60" w:beforeAutospacing="0" w:afterLines="0" w:after="60" w:afterAutospacing="0"/>
        <w:jc w:val="left"/>
      </w:pPr>
      <w:rPr>
        <w:rFonts w:ascii="Arial" w:hAnsi="Arial"/>
        <w:b/>
        <w:color w:val="FFFFFF"/>
        <w:sz w:val="20"/>
      </w:rPr>
      <w:tblPr/>
      <w:tcPr>
        <w:shd w:val="clear" w:color="auto" w:fill="82002A"/>
      </w:tcPr>
    </w:tblStylePr>
    <w:tblStylePr w:type="firstCol">
      <w:pPr>
        <w:wordWrap/>
        <w:spacing w:beforeLines="0" w:before="60" w:beforeAutospacing="0" w:afterLines="60" w:after="60" w:afterAutospacing="0"/>
      </w:pPr>
      <w:rPr>
        <w:rFonts w:ascii="Arial" w:hAnsi="Arial"/>
        <w:b/>
        <w:color w:val="auto"/>
        <w:sz w:val="20"/>
      </w:rPr>
      <w:tblPr/>
      <w:tcPr>
        <w:shd w:val="clear" w:color="auto" w:fill="D9D9D9"/>
      </w:tcPr>
    </w:tblStylePr>
  </w:style>
  <w:style w:type="paragraph" w:styleId="Footer">
    <w:name w:val="footer"/>
    <w:basedOn w:val="Normal"/>
    <w:link w:val="FooterChar"/>
    <w:uiPriority w:val="99"/>
    <w:semiHidden/>
    <w:rsid w:val="00B84290"/>
    <w:pPr>
      <w:tabs>
        <w:tab w:val="center" w:pos="4513"/>
        <w:tab w:val="right" w:pos="9026"/>
      </w:tabs>
    </w:pPr>
  </w:style>
  <w:style w:type="character" w:customStyle="1" w:styleId="FooterChar">
    <w:name w:val="Footer Char"/>
    <w:basedOn w:val="DefaultParagraphFont"/>
    <w:link w:val="Footer"/>
    <w:uiPriority w:val="99"/>
    <w:semiHidden/>
    <w:rsid w:val="00B84290"/>
    <w:rPr>
      <w:rFonts w:cs="Times New Roman"/>
      <w:lang w:eastAsia="en-AU"/>
    </w:rPr>
  </w:style>
  <w:style w:type="character" w:styleId="FootnoteReference">
    <w:name w:val="footnote reference"/>
    <w:basedOn w:val="DefaultParagraphFont"/>
    <w:uiPriority w:val="99"/>
    <w:rsid w:val="00B84290"/>
    <w:rPr>
      <w:vertAlign w:val="superscript"/>
    </w:rPr>
  </w:style>
  <w:style w:type="paragraph" w:styleId="FootnoteText">
    <w:name w:val="footnote text"/>
    <w:basedOn w:val="Normal"/>
    <w:link w:val="FootnoteTextChar"/>
    <w:uiPriority w:val="99"/>
    <w:rsid w:val="00B84290"/>
    <w:rPr>
      <w:sz w:val="18"/>
    </w:rPr>
  </w:style>
  <w:style w:type="character" w:customStyle="1" w:styleId="FootnoteTextChar">
    <w:name w:val="Footnote Text Char"/>
    <w:basedOn w:val="DefaultParagraphFont"/>
    <w:link w:val="FootnoteText"/>
    <w:uiPriority w:val="99"/>
    <w:rsid w:val="00B84290"/>
    <w:rPr>
      <w:rFonts w:cs="Times New Roman"/>
      <w:sz w:val="18"/>
      <w:lang w:eastAsia="en-AU"/>
    </w:rPr>
  </w:style>
  <w:style w:type="paragraph" w:customStyle="1" w:styleId="legalAttachment">
    <w:name w:val="legalAttachment"/>
    <w:basedOn w:val="Normal"/>
    <w:next w:val="Normal"/>
    <w:qFormat/>
    <w:rsid w:val="00B84290"/>
    <w:pPr>
      <w:pageBreakBefore/>
      <w:numPr>
        <w:numId w:val="4"/>
      </w:numPr>
      <w:pBdr>
        <w:top w:val="single" w:sz="4" w:space="1" w:color="auto"/>
      </w:pBdr>
    </w:pPr>
    <w:rPr>
      <w:b/>
      <w:sz w:val="34"/>
      <w:lang w:eastAsia="en-US"/>
    </w:rPr>
  </w:style>
  <w:style w:type="paragraph" w:customStyle="1" w:styleId="legalPart">
    <w:name w:val="legalPart"/>
    <w:basedOn w:val="Normal"/>
    <w:next w:val="Normal"/>
    <w:qFormat/>
    <w:rsid w:val="005A5FD0"/>
    <w:pPr>
      <w:keepNext/>
      <w:numPr>
        <w:numId w:val="7"/>
      </w:numPr>
      <w:pBdr>
        <w:top w:val="single" w:sz="4" w:space="6" w:color="82002A"/>
      </w:pBdr>
      <w:tabs>
        <w:tab w:val="clear" w:pos="3403"/>
        <w:tab w:val="num" w:pos="1701"/>
      </w:tabs>
      <w:spacing w:before="480" w:after="480"/>
      <w:ind w:left="1701"/>
    </w:pPr>
    <w:rPr>
      <w:rFonts w:cs="Arial"/>
      <w:b/>
      <w:color w:val="82002A"/>
      <w:sz w:val="36"/>
      <w:szCs w:val="36"/>
      <w:lang w:eastAsia="en-US"/>
    </w:rPr>
  </w:style>
  <w:style w:type="paragraph" w:styleId="TOC3">
    <w:name w:val="toc 3"/>
    <w:next w:val="Normal"/>
    <w:autoRedefine/>
    <w:uiPriority w:val="39"/>
    <w:unhideWhenUsed/>
    <w:rsid w:val="00B84290"/>
    <w:pPr>
      <w:tabs>
        <w:tab w:val="left" w:pos="851"/>
        <w:tab w:val="right" w:leader="dot" w:pos="9060"/>
      </w:tabs>
      <w:spacing w:before="240"/>
    </w:pPr>
    <w:rPr>
      <w:rFonts w:cs="Times New Roman"/>
      <w:b/>
      <w:color w:val="82002A"/>
      <w:sz w:val="22"/>
    </w:rPr>
  </w:style>
  <w:style w:type="paragraph" w:styleId="Header">
    <w:name w:val="header"/>
    <w:basedOn w:val="Normal"/>
    <w:link w:val="HeaderChar"/>
    <w:uiPriority w:val="99"/>
    <w:semiHidden/>
    <w:rsid w:val="00E9176D"/>
    <w:pPr>
      <w:tabs>
        <w:tab w:val="center" w:pos="4513"/>
        <w:tab w:val="right" w:pos="9026"/>
      </w:tabs>
    </w:pPr>
  </w:style>
  <w:style w:type="character" w:customStyle="1" w:styleId="HeaderChar">
    <w:name w:val="Header Char"/>
    <w:basedOn w:val="DefaultParagraphFont"/>
    <w:link w:val="Header"/>
    <w:uiPriority w:val="99"/>
    <w:semiHidden/>
    <w:rsid w:val="00E9176D"/>
  </w:style>
  <w:style w:type="character" w:styleId="Hyperlink">
    <w:name w:val="Hyperlink"/>
    <w:basedOn w:val="DefaultParagraphFont"/>
    <w:uiPriority w:val="99"/>
    <w:unhideWhenUsed/>
    <w:rsid w:val="007F5D49"/>
    <w:rPr>
      <w:color w:val="CD5C3D" w:themeColor="hyperlink"/>
      <w:u w:val="single"/>
    </w:rPr>
  </w:style>
  <w:style w:type="table" w:styleId="TableGrid">
    <w:name w:val="Table Grid"/>
    <w:basedOn w:val="TableNormal"/>
    <w:uiPriority w:val="59"/>
    <w:rsid w:val="00B84290"/>
    <w:rPr>
      <w:rFonts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7736"/>
    <w:pPr>
      <w:ind w:left="720"/>
      <w:contextualSpacing/>
    </w:pPr>
  </w:style>
  <w:style w:type="paragraph" w:styleId="BalloonText">
    <w:name w:val="Balloon Text"/>
    <w:basedOn w:val="Normal"/>
    <w:link w:val="BalloonTextChar"/>
    <w:uiPriority w:val="99"/>
    <w:semiHidden/>
    <w:rsid w:val="004472B6"/>
    <w:rPr>
      <w:rFonts w:ascii="Tahoma" w:hAnsi="Tahoma" w:cs="Tahoma"/>
      <w:sz w:val="16"/>
      <w:szCs w:val="16"/>
    </w:rPr>
  </w:style>
  <w:style w:type="character" w:customStyle="1" w:styleId="BalloonTextChar">
    <w:name w:val="Balloon Text Char"/>
    <w:basedOn w:val="DefaultParagraphFont"/>
    <w:link w:val="BalloonText"/>
    <w:uiPriority w:val="99"/>
    <w:semiHidden/>
    <w:rsid w:val="004472B6"/>
    <w:rPr>
      <w:rFonts w:ascii="Tahoma" w:hAnsi="Tahoma" w:cs="Tahoma"/>
      <w:sz w:val="16"/>
      <w:szCs w:val="16"/>
    </w:rPr>
  </w:style>
  <w:style w:type="character" w:styleId="IntenseReference">
    <w:name w:val="Intense Reference"/>
    <w:basedOn w:val="DefaultParagraphFont"/>
    <w:uiPriority w:val="32"/>
    <w:qFormat/>
    <w:rsid w:val="00FC66E2"/>
    <w:rPr>
      <w:b/>
      <w:bCs/>
      <w:i/>
      <w:smallCaps/>
      <w:color w:val="960030" w:themeColor="accent2"/>
      <w:spacing w:val="5"/>
      <w:u w:val="none"/>
    </w:rPr>
  </w:style>
  <w:style w:type="table" w:customStyle="1" w:styleId="TableGrid1">
    <w:name w:val="Table Grid1"/>
    <w:basedOn w:val="TableNormal"/>
    <w:next w:val="TableGrid"/>
    <w:uiPriority w:val="59"/>
    <w:rsid w:val="00FC66E2"/>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Indent1Char">
    <w:name w:val="Body Indent 1 Char"/>
    <w:link w:val="BodyIndent1"/>
    <w:rsid w:val="00475BBC"/>
    <w:rPr>
      <w:rFonts w:cs="Arial"/>
      <w:lang w:eastAsia="en-AU"/>
    </w:rPr>
  </w:style>
  <w:style w:type="paragraph" w:styleId="TOC4">
    <w:name w:val="toc 4"/>
    <w:basedOn w:val="Normal"/>
    <w:next w:val="Normal"/>
    <w:autoRedefine/>
    <w:uiPriority w:val="39"/>
    <w:rsid w:val="00B84290"/>
    <w:pPr>
      <w:ind w:left="660"/>
    </w:pPr>
  </w:style>
  <w:style w:type="paragraph" w:styleId="TOC5">
    <w:name w:val="toc 5"/>
    <w:basedOn w:val="Normal"/>
    <w:next w:val="Normal"/>
    <w:autoRedefine/>
    <w:uiPriority w:val="39"/>
    <w:rsid w:val="00B84290"/>
    <w:pPr>
      <w:ind w:left="880"/>
    </w:pPr>
  </w:style>
  <w:style w:type="paragraph" w:styleId="TOC6">
    <w:name w:val="toc 6"/>
    <w:basedOn w:val="Normal"/>
    <w:next w:val="Normal"/>
    <w:autoRedefine/>
    <w:uiPriority w:val="39"/>
    <w:rsid w:val="00B84290"/>
    <w:pPr>
      <w:ind w:left="1100"/>
    </w:pPr>
  </w:style>
  <w:style w:type="paragraph" w:styleId="TOC7">
    <w:name w:val="toc 7"/>
    <w:basedOn w:val="Normal"/>
    <w:next w:val="Normal"/>
    <w:autoRedefine/>
    <w:uiPriority w:val="39"/>
    <w:rsid w:val="00B84290"/>
    <w:pPr>
      <w:ind w:left="1320"/>
    </w:pPr>
  </w:style>
  <w:style w:type="paragraph" w:styleId="TOC8">
    <w:name w:val="toc 8"/>
    <w:basedOn w:val="Normal"/>
    <w:next w:val="Normal"/>
    <w:autoRedefine/>
    <w:uiPriority w:val="39"/>
    <w:rsid w:val="00B84290"/>
    <w:pPr>
      <w:ind w:left="1540"/>
    </w:pPr>
  </w:style>
  <w:style w:type="paragraph" w:styleId="TOC9">
    <w:name w:val="toc 9"/>
    <w:basedOn w:val="Normal"/>
    <w:next w:val="Normal"/>
    <w:autoRedefine/>
    <w:uiPriority w:val="39"/>
    <w:rsid w:val="00B84290"/>
    <w:pPr>
      <w:ind w:left="1760"/>
    </w:pPr>
  </w:style>
  <w:style w:type="character" w:styleId="CommentReference">
    <w:name w:val="annotation reference"/>
    <w:basedOn w:val="DefaultParagraphFont"/>
    <w:uiPriority w:val="99"/>
    <w:semiHidden/>
    <w:unhideWhenUsed/>
    <w:rsid w:val="00905A17"/>
    <w:rPr>
      <w:sz w:val="16"/>
      <w:szCs w:val="16"/>
    </w:rPr>
  </w:style>
  <w:style w:type="paragraph" w:styleId="CommentText">
    <w:name w:val="annotation text"/>
    <w:basedOn w:val="Normal"/>
    <w:link w:val="CommentTextChar"/>
    <w:uiPriority w:val="99"/>
    <w:unhideWhenUsed/>
    <w:rsid w:val="00905A17"/>
  </w:style>
  <w:style w:type="character" w:customStyle="1" w:styleId="CommentTextChar">
    <w:name w:val="Comment Text Char"/>
    <w:basedOn w:val="DefaultParagraphFont"/>
    <w:link w:val="CommentText"/>
    <w:uiPriority w:val="99"/>
    <w:rsid w:val="00905A17"/>
    <w:rPr>
      <w:rFonts w:cs="Times New Roman"/>
      <w:lang w:eastAsia="en-AU"/>
    </w:rPr>
  </w:style>
  <w:style w:type="paragraph" w:styleId="CommentSubject">
    <w:name w:val="annotation subject"/>
    <w:basedOn w:val="CommentText"/>
    <w:next w:val="CommentText"/>
    <w:link w:val="CommentSubjectChar"/>
    <w:uiPriority w:val="99"/>
    <w:semiHidden/>
    <w:unhideWhenUsed/>
    <w:rsid w:val="00905A17"/>
    <w:rPr>
      <w:b/>
      <w:bCs/>
    </w:rPr>
  </w:style>
  <w:style w:type="character" w:customStyle="1" w:styleId="CommentSubjectChar">
    <w:name w:val="Comment Subject Char"/>
    <w:basedOn w:val="CommentTextChar"/>
    <w:link w:val="CommentSubject"/>
    <w:uiPriority w:val="99"/>
    <w:semiHidden/>
    <w:rsid w:val="00905A17"/>
    <w:rPr>
      <w:rFonts w:cs="Times New Roman"/>
      <w:b/>
      <w:bCs/>
      <w:lang w:eastAsia="en-AU"/>
    </w:rPr>
  </w:style>
  <w:style w:type="paragraph" w:customStyle="1" w:styleId="Default">
    <w:name w:val="Default"/>
    <w:rsid w:val="000B42FC"/>
    <w:pPr>
      <w:autoSpaceDE w:val="0"/>
      <w:autoSpaceDN w:val="0"/>
      <w:adjustRightInd w:val="0"/>
    </w:pPr>
    <w:rPr>
      <w:rFonts w:cs="Arial"/>
      <w:color w:val="000000"/>
      <w:sz w:val="24"/>
      <w:szCs w:val="24"/>
    </w:rPr>
  </w:style>
  <w:style w:type="paragraph" w:styleId="Revision">
    <w:name w:val="Revision"/>
    <w:hidden/>
    <w:uiPriority w:val="99"/>
    <w:semiHidden/>
    <w:rsid w:val="002200CD"/>
    <w:rPr>
      <w:rFonts w:cs="Times New Roman"/>
      <w:lang w:eastAsia="en-AU"/>
    </w:rPr>
  </w:style>
  <w:style w:type="paragraph" w:styleId="TOCHeading">
    <w:name w:val="TOC Heading"/>
    <w:basedOn w:val="Heading1"/>
    <w:next w:val="Normal"/>
    <w:uiPriority w:val="39"/>
    <w:unhideWhenUsed/>
    <w:qFormat/>
    <w:rsid w:val="0015467C"/>
    <w:pPr>
      <w:keepLines/>
      <w:numPr>
        <w:numId w:val="0"/>
      </w:numPr>
      <w:pBdr>
        <w:top w:val="none" w:sz="0" w:space="0" w:color="auto"/>
      </w:pBdr>
      <w:spacing w:before="240" w:line="259" w:lineRule="auto"/>
      <w:outlineLvl w:val="9"/>
    </w:pPr>
    <w:rPr>
      <w:rFonts w:asciiTheme="majorHAnsi" w:eastAsiaTheme="majorEastAsia" w:hAnsiTheme="majorHAnsi" w:cstheme="majorBidi"/>
      <w:b w:val="0"/>
      <w:color w:val="61001F" w:themeColor="accent1" w:themeShade="BF"/>
      <w:kern w:val="0"/>
      <w:sz w:val="32"/>
      <w:szCs w:val="32"/>
      <w:lang w:val="en-US" w:eastAsia="en-US"/>
    </w:rPr>
  </w:style>
  <w:style w:type="character" w:customStyle="1" w:styleId="UnresolvedMention1">
    <w:name w:val="Unresolved Mention1"/>
    <w:basedOn w:val="DefaultParagraphFont"/>
    <w:uiPriority w:val="99"/>
    <w:semiHidden/>
    <w:unhideWhenUsed/>
    <w:rsid w:val="0015467C"/>
    <w:rPr>
      <w:color w:val="605E5C"/>
      <w:shd w:val="clear" w:color="auto" w:fill="E1DFDD"/>
    </w:rPr>
  </w:style>
  <w:style w:type="character" w:styleId="UnresolvedMention">
    <w:name w:val="Unresolved Mention"/>
    <w:basedOn w:val="DefaultParagraphFont"/>
    <w:uiPriority w:val="99"/>
    <w:semiHidden/>
    <w:unhideWhenUsed/>
    <w:rsid w:val="005A5FD0"/>
    <w:rPr>
      <w:color w:val="605E5C"/>
      <w:shd w:val="clear" w:color="auto" w:fill="E1DFDD"/>
    </w:rPr>
  </w:style>
  <w:style w:type="paragraph" w:styleId="BodyText">
    <w:name w:val="Body Text"/>
    <w:basedOn w:val="Normal"/>
    <w:link w:val="BodyTextChar"/>
    <w:uiPriority w:val="1"/>
    <w:qFormat/>
    <w:rsid w:val="00807494"/>
    <w:pPr>
      <w:widowControl w:val="0"/>
      <w:autoSpaceDE w:val="0"/>
      <w:autoSpaceDN w:val="0"/>
      <w:ind w:left="116"/>
    </w:pPr>
    <w:rPr>
      <w:rFonts w:ascii="Calibri" w:eastAsia="Calibri" w:hAnsi="Calibri" w:cs="Calibri"/>
      <w:sz w:val="22"/>
      <w:szCs w:val="22"/>
      <w:lang w:val="en-US" w:eastAsia="en-US"/>
    </w:rPr>
  </w:style>
  <w:style w:type="character" w:customStyle="1" w:styleId="BodyTextChar">
    <w:name w:val="Body Text Char"/>
    <w:basedOn w:val="DefaultParagraphFont"/>
    <w:link w:val="BodyText"/>
    <w:uiPriority w:val="1"/>
    <w:rsid w:val="00807494"/>
    <w:rPr>
      <w:rFonts w:ascii="Calibri" w:eastAsia="Calibri" w:hAnsi="Calibri" w:cs="Calibri"/>
      <w:sz w:val="22"/>
      <w:szCs w:val="22"/>
      <w:lang w:val="en-US"/>
    </w:rPr>
  </w:style>
  <w:style w:type="paragraph" w:customStyle="1" w:styleId="TableParagraph">
    <w:name w:val="Table Paragraph"/>
    <w:basedOn w:val="Normal"/>
    <w:uiPriority w:val="1"/>
    <w:qFormat/>
    <w:rsid w:val="00807494"/>
    <w:pPr>
      <w:widowControl w:val="0"/>
      <w:autoSpaceDE w:val="0"/>
      <w:autoSpaceDN w:val="0"/>
      <w:spacing w:before="56"/>
      <w:ind w:left="140"/>
    </w:pPr>
    <w:rPr>
      <w:rFonts w:ascii="Calibri" w:eastAsia="Calibri" w:hAnsi="Calibri" w:cs="Calibri"/>
      <w:sz w:val="22"/>
      <w:szCs w:val="22"/>
      <w:lang w:val="en-US" w:eastAsia="en-US"/>
    </w:rPr>
  </w:style>
  <w:style w:type="paragraph" w:customStyle="1" w:styleId="xmsonormal">
    <w:name w:val="x_msonormal"/>
    <w:basedOn w:val="Normal"/>
    <w:rsid w:val="00A94D95"/>
    <w:pPr>
      <w:spacing w:before="100" w:beforeAutospacing="1" w:after="100" w:afterAutospacing="1"/>
    </w:pPr>
    <w:rPr>
      <w:rFonts w:ascii="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736367">
      <w:bodyDiv w:val="1"/>
      <w:marLeft w:val="0"/>
      <w:marRight w:val="0"/>
      <w:marTop w:val="0"/>
      <w:marBottom w:val="0"/>
      <w:divBdr>
        <w:top w:val="none" w:sz="0" w:space="0" w:color="auto"/>
        <w:left w:val="none" w:sz="0" w:space="0" w:color="auto"/>
        <w:bottom w:val="none" w:sz="0" w:space="0" w:color="auto"/>
        <w:right w:val="none" w:sz="0" w:space="0" w:color="auto"/>
      </w:divBdr>
    </w:div>
    <w:div w:id="215893626">
      <w:bodyDiv w:val="1"/>
      <w:marLeft w:val="0"/>
      <w:marRight w:val="0"/>
      <w:marTop w:val="0"/>
      <w:marBottom w:val="0"/>
      <w:divBdr>
        <w:top w:val="none" w:sz="0" w:space="0" w:color="auto"/>
        <w:left w:val="none" w:sz="0" w:space="0" w:color="auto"/>
        <w:bottom w:val="none" w:sz="0" w:space="0" w:color="auto"/>
        <w:right w:val="none" w:sz="0" w:space="0" w:color="auto"/>
      </w:divBdr>
    </w:div>
    <w:div w:id="296843756">
      <w:bodyDiv w:val="1"/>
      <w:marLeft w:val="0"/>
      <w:marRight w:val="0"/>
      <w:marTop w:val="0"/>
      <w:marBottom w:val="0"/>
      <w:divBdr>
        <w:top w:val="none" w:sz="0" w:space="0" w:color="auto"/>
        <w:left w:val="none" w:sz="0" w:space="0" w:color="auto"/>
        <w:bottom w:val="none" w:sz="0" w:space="0" w:color="auto"/>
        <w:right w:val="none" w:sz="0" w:space="0" w:color="auto"/>
      </w:divBdr>
    </w:div>
    <w:div w:id="684281860">
      <w:bodyDiv w:val="1"/>
      <w:marLeft w:val="0"/>
      <w:marRight w:val="0"/>
      <w:marTop w:val="0"/>
      <w:marBottom w:val="0"/>
      <w:divBdr>
        <w:top w:val="none" w:sz="0" w:space="0" w:color="auto"/>
        <w:left w:val="none" w:sz="0" w:space="0" w:color="auto"/>
        <w:bottom w:val="none" w:sz="0" w:space="0" w:color="auto"/>
        <w:right w:val="none" w:sz="0" w:space="0" w:color="auto"/>
      </w:divBdr>
    </w:div>
    <w:div w:id="821314456">
      <w:bodyDiv w:val="1"/>
      <w:marLeft w:val="0"/>
      <w:marRight w:val="0"/>
      <w:marTop w:val="0"/>
      <w:marBottom w:val="0"/>
      <w:divBdr>
        <w:top w:val="none" w:sz="0" w:space="0" w:color="auto"/>
        <w:left w:val="none" w:sz="0" w:space="0" w:color="auto"/>
        <w:bottom w:val="none" w:sz="0" w:space="0" w:color="auto"/>
        <w:right w:val="none" w:sz="0" w:space="0" w:color="auto"/>
      </w:divBdr>
    </w:div>
    <w:div w:id="834689147">
      <w:bodyDiv w:val="1"/>
      <w:marLeft w:val="0"/>
      <w:marRight w:val="0"/>
      <w:marTop w:val="0"/>
      <w:marBottom w:val="0"/>
      <w:divBdr>
        <w:top w:val="none" w:sz="0" w:space="0" w:color="auto"/>
        <w:left w:val="none" w:sz="0" w:space="0" w:color="auto"/>
        <w:bottom w:val="none" w:sz="0" w:space="0" w:color="auto"/>
        <w:right w:val="none" w:sz="0" w:space="0" w:color="auto"/>
      </w:divBdr>
    </w:div>
    <w:div w:id="947783476">
      <w:bodyDiv w:val="1"/>
      <w:marLeft w:val="0"/>
      <w:marRight w:val="0"/>
      <w:marTop w:val="0"/>
      <w:marBottom w:val="0"/>
      <w:divBdr>
        <w:top w:val="none" w:sz="0" w:space="0" w:color="auto"/>
        <w:left w:val="none" w:sz="0" w:space="0" w:color="auto"/>
        <w:bottom w:val="none" w:sz="0" w:space="0" w:color="auto"/>
        <w:right w:val="none" w:sz="0" w:space="0" w:color="auto"/>
      </w:divBdr>
    </w:div>
    <w:div w:id="1074621892">
      <w:bodyDiv w:val="1"/>
      <w:marLeft w:val="0"/>
      <w:marRight w:val="0"/>
      <w:marTop w:val="0"/>
      <w:marBottom w:val="0"/>
      <w:divBdr>
        <w:top w:val="none" w:sz="0" w:space="0" w:color="auto"/>
        <w:left w:val="none" w:sz="0" w:space="0" w:color="auto"/>
        <w:bottom w:val="none" w:sz="0" w:space="0" w:color="auto"/>
        <w:right w:val="none" w:sz="0" w:space="0" w:color="auto"/>
      </w:divBdr>
    </w:div>
    <w:div w:id="1098329151">
      <w:bodyDiv w:val="1"/>
      <w:marLeft w:val="0"/>
      <w:marRight w:val="0"/>
      <w:marTop w:val="0"/>
      <w:marBottom w:val="0"/>
      <w:divBdr>
        <w:top w:val="none" w:sz="0" w:space="0" w:color="auto"/>
        <w:left w:val="none" w:sz="0" w:space="0" w:color="auto"/>
        <w:bottom w:val="none" w:sz="0" w:space="0" w:color="auto"/>
        <w:right w:val="none" w:sz="0" w:space="0" w:color="auto"/>
      </w:divBdr>
    </w:div>
    <w:div w:id="1165509293">
      <w:bodyDiv w:val="1"/>
      <w:marLeft w:val="0"/>
      <w:marRight w:val="0"/>
      <w:marTop w:val="0"/>
      <w:marBottom w:val="0"/>
      <w:divBdr>
        <w:top w:val="none" w:sz="0" w:space="0" w:color="auto"/>
        <w:left w:val="none" w:sz="0" w:space="0" w:color="auto"/>
        <w:bottom w:val="none" w:sz="0" w:space="0" w:color="auto"/>
        <w:right w:val="none" w:sz="0" w:space="0" w:color="auto"/>
      </w:divBdr>
    </w:div>
    <w:div w:id="1722363985">
      <w:bodyDiv w:val="1"/>
      <w:marLeft w:val="0"/>
      <w:marRight w:val="0"/>
      <w:marTop w:val="0"/>
      <w:marBottom w:val="0"/>
      <w:divBdr>
        <w:top w:val="none" w:sz="0" w:space="0" w:color="auto"/>
        <w:left w:val="none" w:sz="0" w:space="0" w:color="auto"/>
        <w:bottom w:val="none" w:sz="0" w:space="0" w:color="auto"/>
        <w:right w:val="none" w:sz="0" w:space="0" w:color="auto"/>
      </w:divBdr>
    </w:div>
    <w:div w:id="1793666468">
      <w:bodyDiv w:val="1"/>
      <w:marLeft w:val="0"/>
      <w:marRight w:val="0"/>
      <w:marTop w:val="0"/>
      <w:marBottom w:val="0"/>
      <w:divBdr>
        <w:top w:val="none" w:sz="0" w:space="0" w:color="auto"/>
        <w:left w:val="none" w:sz="0" w:space="0" w:color="auto"/>
        <w:bottom w:val="none" w:sz="0" w:space="0" w:color="auto"/>
        <w:right w:val="none" w:sz="0" w:space="0" w:color="auto"/>
      </w:divBdr>
    </w:div>
    <w:div w:id="1901015433">
      <w:bodyDiv w:val="1"/>
      <w:marLeft w:val="0"/>
      <w:marRight w:val="0"/>
      <w:marTop w:val="0"/>
      <w:marBottom w:val="0"/>
      <w:divBdr>
        <w:top w:val="none" w:sz="0" w:space="0" w:color="auto"/>
        <w:left w:val="none" w:sz="0" w:space="0" w:color="auto"/>
        <w:bottom w:val="none" w:sz="0" w:space="0" w:color="auto"/>
        <w:right w:val="none" w:sz="0" w:space="0" w:color="auto"/>
      </w:divBdr>
    </w:div>
    <w:div w:id="202030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elizabeth@npsa.org.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Maddocks plum">
      <a:dk1>
        <a:srgbClr val="333333"/>
      </a:dk1>
      <a:lt1>
        <a:srgbClr val="FFFFFF"/>
      </a:lt1>
      <a:dk2>
        <a:srgbClr val="333333"/>
      </a:dk2>
      <a:lt2>
        <a:srgbClr val="F2F2F2"/>
      </a:lt2>
      <a:accent1>
        <a:srgbClr val="82002A"/>
      </a:accent1>
      <a:accent2>
        <a:srgbClr val="960030"/>
      </a:accent2>
      <a:accent3>
        <a:srgbClr val="A00035"/>
      </a:accent3>
      <a:accent4>
        <a:srgbClr val="333333"/>
      </a:accent4>
      <a:accent5>
        <a:srgbClr val="504242"/>
      </a:accent5>
      <a:accent6>
        <a:srgbClr val="5E5656"/>
      </a:accent6>
      <a:hlink>
        <a:srgbClr val="CD5C3D"/>
      </a:hlink>
      <a:folHlink>
        <a:srgbClr val="C40040"/>
      </a:folHlink>
    </a:clrScheme>
    <a:fontScheme name="Madd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8575">
          <a:solidFill>
            <a:srgbClr val="333333"/>
          </a:solidFill>
          <a:tailEnd type="triangle" w="lg"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 M A T T E R S ! 4 5 1 4 4 7 5 0 . 2 8 < / d o c u m e n t i d >  
     < s e n d e r i d > A W I L < / s e n d e r i d >  
     < s e n d e r e m a i l > A N T H O N Y . W I L L I S @ M A D D O C K S . C O M . A U < / s e n d e r e m a i l >  
     < l a s t m o d i f i e d > 2 0 2 4 - 1 2 - 1 8 T 1 3 : 3 1 : 0 0 . 0 0 0 0 0 0 0 + 1 1 : 0 0 < / l a s t m o d i f i e d >  
     < d a t a b a s e > M A T T E R S < / 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53E7727DB6EFE4C9EE0E28D309B0192" ma:contentTypeVersion="11" ma:contentTypeDescription="Create a new document." ma:contentTypeScope="" ma:versionID="9794e3fe3bc18b833831a2e752ae4341">
  <xsd:schema xmlns:xsd="http://www.w3.org/2001/XMLSchema" xmlns:xs="http://www.w3.org/2001/XMLSchema" xmlns:p="http://schemas.microsoft.com/office/2006/metadata/properties" xmlns:ns3="19fdd950-fe51-4780-af60-51d30b6a0d8c" xmlns:ns4="607369c4-9110-45a1-bb4d-19ee4a41c8a3" targetNamespace="http://schemas.microsoft.com/office/2006/metadata/properties" ma:root="true" ma:fieldsID="e633f0215b0aabb8bc892e460c3eb615" ns3:_="" ns4:_="">
    <xsd:import namespace="19fdd950-fe51-4780-af60-51d30b6a0d8c"/>
    <xsd:import namespace="607369c4-9110-45a1-bb4d-19ee4a41c8a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dd950-fe51-4780-af60-51d30b6a0d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7369c4-9110-45a1-bb4d-19ee4a41c8a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BF5BA0-79C5-4397-990C-1D99D68686F9}">
  <ds:schemaRefs>
    <ds:schemaRef ds:uri="http://www.imanage.com/work/xmlschema"/>
  </ds:schemaRefs>
</ds:datastoreItem>
</file>

<file path=customXml/itemProps2.xml><?xml version="1.0" encoding="utf-8"?>
<ds:datastoreItem xmlns:ds="http://schemas.openxmlformats.org/officeDocument/2006/customXml" ds:itemID="{71AFAD62-4C3B-47D7-93E9-58975D5FE7F8}">
  <ds:schemaRefs>
    <ds:schemaRef ds:uri="http://schemas.microsoft.com/sharepoint/v3/contenttype/forms"/>
  </ds:schemaRefs>
</ds:datastoreItem>
</file>

<file path=customXml/itemProps3.xml><?xml version="1.0" encoding="utf-8"?>
<ds:datastoreItem xmlns:ds="http://schemas.openxmlformats.org/officeDocument/2006/customXml" ds:itemID="{F0E4C907-CE57-4786-9810-74B84FCDD5CE}">
  <ds:schemaRefs>
    <ds:schemaRef ds:uri="http://schemas.openxmlformats.org/officeDocument/2006/bibliography"/>
  </ds:schemaRefs>
</ds:datastoreItem>
</file>

<file path=customXml/itemProps4.xml><?xml version="1.0" encoding="utf-8"?>
<ds:datastoreItem xmlns:ds="http://schemas.openxmlformats.org/officeDocument/2006/customXml" ds:itemID="{12DF7B89-7F21-4317-AD5D-AF2E0A74D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dd950-fe51-4780-af60-51d30b6a0d8c"/>
    <ds:schemaRef ds:uri="607369c4-9110-45a1-bb4d-19ee4a41c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61C041-CDB2-49A8-B984-8DF189D30C52}">
  <ds:schemaRefs>
    <ds:schemaRef ds:uri="http://purl.org/dc/terms/"/>
    <ds:schemaRef ds:uri="http://schemas.openxmlformats.org/package/2006/metadata/core-properties"/>
    <ds:schemaRef ds:uri="19fdd950-fe51-4780-af60-51d30b6a0d8c"/>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607369c4-9110-45a1-bb4d-19ee4a41c8a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8342</Words>
  <Characters>48271</Characters>
  <Application>Microsoft Office Word</Application>
  <DocSecurity>0</DocSecurity>
  <Lines>402</Lines>
  <Paragraphs>112</Paragraphs>
  <ScaleCrop>false</ScaleCrop>
  <HeadingPairs>
    <vt:vector size="2" baseType="variant">
      <vt:variant>
        <vt:lpstr>Title</vt:lpstr>
      </vt:variant>
      <vt:variant>
        <vt:i4>1</vt:i4>
      </vt:variant>
    </vt:vector>
  </HeadingPairs>
  <TitlesOfParts>
    <vt:vector size="1" baseType="lpstr">
      <vt:lpstr>First Pharmaceutical Wholesaler Agreement</vt:lpstr>
    </vt:vector>
  </TitlesOfParts>
  <Company/>
  <LinksUpToDate>false</LinksUpToDate>
  <CharactersWithSpaces>56501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Pharmaceutical Wholesaler Agreement</dc:title>
  <dc:subject>Pharmaceutical Wholesaler Agreement</dc:subject>
  <dc:creator>Australian Government Department of Health and Aged Care</dc:creator>
  <cp:keywords>Medicare; Primary care</cp:keywords>
  <cp:revision>8</cp:revision>
  <cp:lastPrinted>2024-12-15T22:59:00Z</cp:lastPrinted>
  <dcterms:created xsi:type="dcterms:W3CDTF">2024-12-18T02:23:00Z</dcterms:created>
  <dcterms:modified xsi:type="dcterms:W3CDTF">2024-12-19T22:35:00Z</dcterms:modified>
</cp:coreProperties>
</file>