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6C7990" w14:textId="77777777" w:rsidR="00DE0360" w:rsidRDefault="00DE0360" w:rsidP="00D74865">
      <w:pPr>
        <w:pStyle w:val="Title"/>
      </w:pPr>
      <w:r>
        <w:t>Australian Respiratory Surveillance Report</w:t>
      </w:r>
    </w:p>
    <w:p w14:paraId="0AAB7DA6" w14:textId="77777777" w:rsidR="00565FFB" w:rsidRDefault="00DE0360">
      <w:r>
        <w:t>Viral Respiratory Diseases Epidemiology and Surveillance Section</w:t>
      </w:r>
    </w:p>
    <w:p w14:paraId="6FFFF429" w14:textId="77777777" w:rsidR="00565FFB" w:rsidRDefault="00DE0360">
      <w:r>
        <w:t>Report 1, 2024</w:t>
      </w:r>
    </w:p>
    <w:p w14:paraId="4946C533" w14:textId="77777777" w:rsidR="00565FFB" w:rsidRDefault="00DE0360">
      <w:r>
        <w:br w:type="page"/>
      </w:r>
    </w:p>
    <w:p w14:paraId="3B081C8E" w14:textId="21888D9C" w:rsidR="00565FFB" w:rsidRDefault="00DE0360">
      <w:pPr>
        <w:pStyle w:val="Heading2"/>
      </w:pPr>
      <w:bookmarkStart w:id="0" w:name="key-messages"/>
      <w:r>
        <w:lastRenderedPageBreak/>
        <w:t xml:space="preserve">Key </w:t>
      </w:r>
      <w:r w:rsidR="00E75DD1">
        <w:t>m</w:t>
      </w:r>
      <w:r>
        <w:t>essages</w:t>
      </w:r>
    </w:p>
    <w:p w14:paraId="413C440F" w14:textId="77777777" w:rsidR="00565FFB" w:rsidRDefault="00DE0360">
      <w:r>
        <w:t>This report presents a national epidemiological update for coronavirus disease 2019 (COVID-19), influenza and respiratory syncytial virus (RSV) with a focus on the current reporting period (25 March to 7 April 2024) and earlier severity reporting periods* (up to 24 March 2024).</w:t>
      </w:r>
    </w:p>
    <w:p w14:paraId="400BD070" w14:textId="06FEA5C0" w:rsidR="00565FFB" w:rsidRPr="00216A3F" w:rsidRDefault="00DE0360">
      <w:pPr>
        <w:pStyle w:val="Boxtype"/>
      </w:pPr>
      <w:r w:rsidRPr="79350778">
        <w:rPr>
          <w:b/>
          <w:lang w:val="en-US"/>
        </w:rPr>
        <w:t>Activity:</w:t>
      </w:r>
      <w:r w:rsidR="00216A3F" w:rsidRPr="79350778">
        <w:rPr>
          <w:lang w:val="en-US"/>
        </w:rPr>
        <w:t xml:space="preserve"> </w:t>
      </w:r>
      <w:r w:rsidR="007223F0">
        <w:rPr>
          <w:lang w:val="en-US"/>
        </w:rPr>
        <w:t xml:space="preserve">This year to date, </w:t>
      </w:r>
      <w:r w:rsidR="002F7A7D">
        <w:rPr>
          <w:lang w:val="en-US"/>
        </w:rPr>
        <w:t>r</w:t>
      </w:r>
      <w:r w:rsidR="00331E09">
        <w:rPr>
          <w:lang w:val="en-US"/>
        </w:rPr>
        <w:t>espiratory illness activity (</w:t>
      </w:r>
      <w:r w:rsidR="0045793C">
        <w:rPr>
          <w:lang w:val="en-US"/>
        </w:rPr>
        <w:t xml:space="preserve">self-reported </w:t>
      </w:r>
      <w:r w:rsidR="00331E09">
        <w:rPr>
          <w:lang w:val="en-US"/>
        </w:rPr>
        <w:t>new fever and cough symptoms)</w:t>
      </w:r>
      <w:r w:rsidR="004F69C2">
        <w:rPr>
          <w:lang w:val="en-US"/>
        </w:rPr>
        <w:t xml:space="preserve"> in the community </w:t>
      </w:r>
      <w:r w:rsidR="00342333">
        <w:rPr>
          <w:lang w:val="en-US"/>
        </w:rPr>
        <w:t>has been</w:t>
      </w:r>
      <w:r w:rsidR="0045793C">
        <w:rPr>
          <w:lang w:val="en-US"/>
        </w:rPr>
        <w:t xml:space="preserve"> </w:t>
      </w:r>
      <w:r w:rsidR="00306486">
        <w:rPr>
          <w:lang w:val="en-US"/>
        </w:rPr>
        <w:t>higher</w:t>
      </w:r>
      <w:r w:rsidR="00991327">
        <w:rPr>
          <w:lang w:val="en-US"/>
        </w:rPr>
        <w:t xml:space="preserve"> than</w:t>
      </w:r>
      <w:r w:rsidR="00342333">
        <w:rPr>
          <w:lang w:val="en-US"/>
        </w:rPr>
        <w:t xml:space="preserve">, or </w:t>
      </w:r>
      <w:proofErr w:type="gramStart"/>
      <w:r w:rsidR="00342333">
        <w:rPr>
          <w:lang w:val="en-US"/>
        </w:rPr>
        <w:t>similar to</w:t>
      </w:r>
      <w:proofErr w:type="gramEnd"/>
      <w:r w:rsidR="00342333">
        <w:rPr>
          <w:lang w:val="en-US"/>
        </w:rPr>
        <w:t xml:space="preserve">, </w:t>
      </w:r>
      <w:r w:rsidR="00991327">
        <w:rPr>
          <w:lang w:val="en-US"/>
        </w:rPr>
        <w:t xml:space="preserve">the levels of activity observed at the same time last year. </w:t>
      </w:r>
      <w:r w:rsidR="00E44AB8">
        <w:rPr>
          <w:lang w:val="en-US"/>
        </w:rPr>
        <w:t xml:space="preserve">Since the beginning of 2024, </w:t>
      </w:r>
      <w:r w:rsidR="00125CA7">
        <w:rPr>
          <w:lang w:val="en-US"/>
        </w:rPr>
        <w:t xml:space="preserve">general practice </w:t>
      </w:r>
      <w:r w:rsidR="00991327">
        <w:rPr>
          <w:lang w:val="en-US"/>
        </w:rPr>
        <w:t xml:space="preserve">consultation rates </w:t>
      </w:r>
      <w:r w:rsidR="00E44AB8">
        <w:rPr>
          <w:lang w:val="en-US"/>
        </w:rPr>
        <w:t>for respiratory illnesses (new fever and cough symptoms) monitored through sentinel surveillance sites have remained stable</w:t>
      </w:r>
      <w:r w:rsidR="00C93CD6">
        <w:rPr>
          <w:lang w:val="en-US"/>
        </w:rPr>
        <w:t>, but high</w:t>
      </w:r>
      <w:r w:rsidR="008B0CE3">
        <w:rPr>
          <w:lang w:val="en-US"/>
        </w:rPr>
        <w:t xml:space="preserve">er than observed in </w:t>
      </w:r>
      <w:r w:rsidR="00F1377C">
        <w:rPr>
          <w:lang w:val="en-US"/>
        </w:rPr>
        <w:t>previous years.</w:t>
      </w:r>
      <w:r w:rsidR="00331E09">
        <w:rPr>
          <w:lang w:val="en-US"/>
        </w:rPr>
        <w:t xml:space="preserve"> </w:t>
      </w:r>
      <w:r w:rsidR="00216A3F" w:rsidRPr="000F0DA8">
        <w:rPr>
          <w:lang w:val="en-US"/>
        </w:rPr>
        <w:t>Nationally,</w:t>
      </w:r>
      <w:r w:rsidR="00EB204B">
        <w:rPr>
          <w:lang w:val="en-US"/>
        </w:rPr>
        <w:t xml:space="preserve"> since the beginning of 2024</w:t>
      </w:r>
      <w:r w:rsidR="00D4405B">
        <w:rPr>
          <w:lang w:val="en-US"/>
        </w:rPr>
        <w:t>:</w:t>
      </w:r>
      <w:r w:rsidR="00216A3F" w:rsidRPr="000F0DA8">
        <w:rPr>
          <w:lang w:val="en-US"/>
        </w:rPr>
        <w:t xml:space="preserve"> </w:t>
      </w:r>
      <w:r w:rsidR="00876F7A">
        <w:rPr>
          <w:lang w:val="en-US"/>
        </w:rPr>
        <w:t xml:space="preserve">notified </w:t>
      </w:r>
      <w:r w:rsidR="00216A3F" w:rsidRPr="000F0DA8">
        <w:rPr>
          <w:lang w:val="en-US"/>
        </w:rPr>
        <w:t>COVID-19 cases have</w:t>
      </w:r>
      <w:r w:rsidR="00873A6B">
        <w:rPr>
          <w:lang w:val="en-US"/>
        </w:rPr>
        <w:t xml:space="preserve"> followed a decreasing trend</w:t>
      </w:r>
      <w:r w:rsidR="00463B2C">
        <w:rPr>
          <w:lang w:val="en-US"/>
        </w:rPr>
        <w:t>;</w:t>
      </w:r>
      <w:r w:rsidR="00BD56A1">
        <w:rPr>
          <w:lang w:val="en-US"/>
        </w:rPr>
        <w:t xml:space="preserve"> </w:t>
      </w:r>
      <w:r w:rsidR="00463B2C">
        <w:rPr>
          <w:lang w:val="en-US"/>
        </w:rPr>
        <w:t>i</w:t>
      </w:r>
      <w:r w:rsidR="00121C50">
        <w:rPr>
          <w:lang w:val="en-US"/>
        </w:rPr>
        <w:t xml:space="preserve">nfluenza cases </w:t>
      </w:r>
      <w:r w:rsidR="0041515A">
        <w:rPr>
          <w:lang w:val="en-US"/>
        </w:rPr>
        <w:t>have remained relatively stable</w:t>
      </w:r>
      <w:r w:rsidR="00BD56A1">
        <w:rPr>
          <w:lang w:val="en-US"/>
        </w:rPr>
        <w:t xml:space="preserve"> </w:t>
      </w:r>
      <w:r w:rsidR="004B3B6B">
        <w:rPr>
          <w:lang w:val="en-US"/>
        </w:rPr>
        <w:t>though</w:t>
      </w:r>
      <w:r w:rsidR="00BD56A1">
        <w:rPr>
          <w:lang w:val="en-US"/>
        </w:rPr>
        <w:t xml:space="preserve"> notifications remain at higher levels than usually observed during this time of year</w:t>
      </w:r>
      <w:r w:rsidR="00D4405B">
        <w:rPr>
          <w:lang w:val="en-US"/>
        </w:rPr>
        <w:t>;</w:t>
      </w:r>
      <w:r w:rsidR="00E21590">
        <w:rPr>
          <w:lang w:val="en-US"/>
        </w:rPr>
        <w:t xml:space="preserve"> </w:t>
      </w:r>
      <w:r w:rsidR="0083666A">
        <w:rPr>
          <w:lang w:val="en-US"/>
        </w:rPr>
        <w:t>and</w:t>
      </w:r>
      <w:r w:rsidR="00D70D3C">
        <w:rPr>
          <w:lang w:val="en-US"/>
        </w:rPr>
        <w:t xml:space="preserve"> RSV cases</w:t>
      </w:r>
      <w:r w:rsidR="004A4A2F">
        <w:rPr>
          <w:lang w:val="en-US"/>
        </w:rPr>
        <w:t xml:space="preserve"> have been steadily increasing</w:t>
      </w:r>
      <w:r w:rsidR="00323B73">
        <w:rPr>
          <w:lang w:val="en-US"/>
        </w:rPr>
        <w:t>.</w:t>
      </w:r>
      <w:r w:rsidR="007A5444">
        <w:rPr>
          <w:lang w:val="en-US"/>
        </w:rPr>
        <w:t xml:space="preserve"> </w:t>
      </w:r>
    </w:p>
    <w:p w14:paraId="20481C20" w14:textId="7CD509BE" w:rsidR="00565FFB" w:rsidRPr="00CF40FB" w:rsidRDefault="00DE0360">
      <w:pPr>
        <w:pStyle w:val="Boxtype"/>
        <w:rPr>
          <w:lang w:val="en-US"/>
        </w:rPr>
      </w:pPr>
      <w:r w:rsidRPr="167FE930">
        <w:rPr>
          <w:b/>
          <w:lang w:val="en-US"/>
        </w:rPr>
        <w:t>Severity*:</w:t>
      </w:r>
      <w:r w:rsidR="00CF40FB" w:rsidRPr="167FE930">
        <w:rPr>
          <w:lang w:val="en-US"/>
        </w:rPr>
        <w:t xml:space="preserve"> </w:t>
      </w:r>
      <w:r w:rsidR="00C228B3" w:rsidRPr="167FE930">
        <w:rPr>
          <w:lang w:val="en-US"/>
        </w:rPr>
        <w:t>Since early 2024</w:t>
      </w:r>
      <w:r w:rsidR="007C6048" w:rsidRPr="167FE930">
        <w:rPr>
          <w:lang w:val="en-US"/>
        </w:rPr>
        <w:t>, t</w:t>
      </w:r>
      <w:r w:rsidR="00D05F40" w:rsidRPr="167FE930">
        <w:rPr>
          <w:lang w:val="en-US"/>
        </w:rPr>
        <w:t xml:space="preserve">he </w:t>
      </w:r>
      <w:r w:rsidR="0036316A" w:rsidRPr="167FE930">
        <w:rPr>
          <w:lang w:val="en-US"/>
        </w:rPr>
        <w:t xml:space="preserve">number of patients </w:t>
      </w:r>
      <w:r w:rsidR="00E54250" w:rsidRPr="167FE930">
        <w:rPr>
          <w:lang w:val="en-US"/>
        </w:rPr>
        <w:t xml:space="preserve">hospitalised </w:t>
      </w:r>
      <w:r w:rsidR="0036316A" w:rsidRPr="167FE930">
        <w:rPr>
          <w:lang w:val="en-US"/>
        </w:rPr>
        <w:t xml:space="preserve">with COVID-19 </w:t>
      </w:r>
      <w:r w:rsidR="00831D05" w:rsidRPr="167FE930">
        <w:rPr>
          <w:lang w:val="en-US"/>
        </w:rPr>
        <w:t xml:space="preserve">monitored through sentinel hospital-based surveillance </w:t>
      </w:r>
      <w:r w:rsidR="00910061" w:rsidRPr="167FE930">
        <w:rPr>
          <w:lang w:val="en-US"/>
        </w:rPr>
        <w:t>has followed a decreasing</w:t>
      </w:r>
      <w:r w:rsidR="007C6048" w:rsidRPr="167FE930">
        <w:rPr>
          <w:lang w:val="en-US"/>
        </w:rPr>
        <w:t xml:space="preserve"> trend </w:t>
      </w:r>
      <w:r w:rsidR="00C228B3" w:rsidRPr="167FE930">
        <w:rPr>
          <w:lang w:val="en-US"/>
        </w:rPr>
        <w:t>and the proportion of those patients admitted directly to an intensive care has remained low and stable</w:t>
      </w:r>
      <w:r w:rsidR="007C6048" w:rsidRPr="167FE930">
        <w:rPr>
          <w:lang w:val="en-US"/>
        </w:rPr>
        <w:t>.</w:t>
      </w:r>
      <w:r w:rsidR="00876F7A">
        <w:t xml:space="preserve"> </w:t>
      </w:r>
      <w:r w:rsidR="007532CD">
        <w:t>Surveillance</w:t>
      </w:r>
      <w:r w:rsidR="007532CD" w:rsidRPr="00876F7A">
        <w:rPr>
          <w:lang w:val="en-US"/>
        </w:rPr>
        <w:t xml:space="preserve"> </w:t>
      </w:r>
      <w:r w:rsidR="00876F7A" w:rsidRPr="00876F7A">
        <w:rPr>
          <w:lang w:val="en-US"/>
        </w:rPr>
        <w:t>for influenza and RSV at sentinel hospitals commenced on 1 April, therefore no data are available for the severity reporting period</w:t>
      </w:r>
      <w:r w:rsidR="00876F7A">
        <w:rPr>
          <w:lang w:val="en-US"/>
        </w:rPr>
        <w:t>.</w:t>
      </w:r>
      <w:r w:rsidR="00C228B3" w:rsidRPr="167FE930">
        <w:rPr>
          <w:lang w:val="en-US"/>
        </w:rPr>
        <w:t xml:space="preserve"> </w:t>
      </w:r>
      <w:r w:rsidR="005C33FF">
        <w:rPr>
          <w:lang w:val="en-US"/>
        </w:rPr>
        <w:t>Nationally,</w:t>
      </w:r>
      <w:r w:rsidR="00662A52">
        <w:rPr>
          <w:lang w:val="en-US"/>
        </w:rPr>
        <w:t xml:space="preserve"> since early 2024,</w:t>
      </w:r>
      <w:r w:rsidR="00A97B06">
        <w:rPr>
          <w:lang w:val="en-US"/>
        </w:rPr>
        <w:t xml:space="preserve"> the numbers of patients admitted to sentinel intensive care </w:t>
      </w:r>
      <w:r w:rsidR="00AF535C">
        <w:rPr>
          <w:lang w:val="en-US"/>
        </w:rPr>
        <w:t xml:space="preserve">surveillance </w:t>
      </w:r>
      <w:r w:rsidR="00A97B06">
        <w:rPr>
          <w:lang w:val="en-US"/>
        </w:rPr>
        <w:t>sites with a severe acute respiratory infection (SARI) have followed a decreasing trend. P</w:t>
      </w:r>
      <w:r w:rsidR="007F5303">
        <w:rPr>
          <w:lang w:val="en-US"/>
        </w:rPr>
        <w:t xml:space="preserve">atients with </w:t>
      </w:r>
      <w:r w:rsidR="0013725B">
        <w:rPr>
          <w:lang w:val="en-US"/>
        </w:rPr>
        <w:t>COVID-19</w:t>
      </w:r>
      <w:r w:rsidR="00C56320">
        <w:rPr>
          <w:lang w:val="en-US"/>
        </w:rPr>
        <w:t xml:space="preserve"> accounted for </w:t>
      </w:r>
      <w:r w:rsidR="00D1370B">
        <w:rPr>
          <w:lang w:val="en-US"/>
        </w:rPr>
        <w:t xml:space="preserve">more than half of the </w:t>
      </w:r>
      <w:r w:rsidR="00A97B06">
        <w:rPr>
          <w:lang w:val="en-US"/>
        </w:rPr>
        <w:t>SARI</w:t>
      </w:r>
      <w:r w:rsidR="007F5303">
        <w:rPr>
          <w:lang w:val="en-US"/>
        </w:rPr>
        <w:t xml:space="preserve"> </w:t>
      </w:r>
      <w:r w:rsidR="00A97B06">
        <w:rPr>
          <w:lang w:val="en-US"/>
        </w:rPr>
        <w:t xml:space="preserve">admissions </w:t>
      </w:r>
      <w:r w:rsidR="007F5303">
        <w:rPr>
          <w:lang w:val="en-US"/>
        </w:rPr>
        <w:t>at</w:t>
      </w:r>
      <w:r w:rsidR="005C33FF">
        <w:rPr>
          <w:lang w:val="en-US"/>
        </w:rPr>
        <w:t xml:space="preserve"> sentinel intensive care</w:t>
      </w:r>
      <w:r w:rsidR="002965C3">
        <w:rPr>
          <w:lang w:val="en-US"/>
        </w:rPr>
        <w:t xml:space="preserve"> </w:t>
      </w:r>
      <w:r w:rsidR="00424C30">
        <w:rPr>
          <w:lang w:val="en-US"/>
        </w:rPr>
        <w:t xml:space="preserve">surveillance </w:t>
      </w:r>
      <w:r w:rsidR="002965C3">
        <w:rPr>
          <w:lang w:val="en-US"/>
        </w:rPr>
        <w:t>sites</w:t>
      </w:r>
      <w:r w:rsidR="00F823E0">
        <w:rPr>
          <w:lang w:val="en-US"/>
        </w:rPr>
        <w:t>.</w:t>
      </w:r>
    </w:p>
    <w:p w14:paraId="096BBD63" w14:textId="5B418671" w:rsidR="00565FFB" w:rsidRPr="000D7AA0" w:rsidRDefault="00DE0360">
      <w:pPr>
        <w:pStyle w:val="Boxtype"/>
      </w:pPr>
      <w:r>
        <w:rPr>
          <w:b/>
          <w:bCs/>
        </w:rPr>
        <w:t>At-risk populations:</w:t>
      </w:r>
      <w:r w:rsidR="000D7AA0" w:rsidRPr="00C359FB">
        <w:t xml:space="preserve"> </w:t>
      </w:r>
      <w:r w:rsidR="001240C6">
        <w:t>Patients aged</w:t>
      </w:r>
      <w:r w:rsidR="00FD5A7C">
        <w:t xml:space="preserve"> 65 years or over accounted for the greatest proportion of admissions with COVID-19 at sentinel hospitals</w:t>
      </w:r>
      <w:r w:rsidR="0027482B">
        <w:t>.</w:t>
      </w:r>
      <w:r w:rsidR="002C2527">
        <w:t xml:space="preserve"> For </w:t>
      </w:r>
      <w:r w:rsidR="00F47BD5">
        <w:t>patients</w:t>
      </w:r>
      <w:r w:rsidR="0005024F">
        <w:t xml:space="preserve"> with a SARI</w:t>
      </w:r>
      <w:r w:rsidR="00F47BD5">
        <w:t xml:space="preserve"> admitted to sentinel intensive care sites</w:t>
      </w:r>
      <w:r w:rsidR="0005024F">
        <w:t xml:space="preserve">, the </w:t>
      </w:r>
      <w:r w:rsidR="00C669E3">
        <w:t xml:space="preserve">largest proportion </w:t>
      </w:r>
      <w:r w:rsidR="0005024F">
        <w:t xml:space="preserve">of in-hospital mortality </w:t>
      </w:r>
      <w:r w:rsidR="00155CA1">
        <w:t>has been</w:t>
      </w:r>
      <w:r w:rsidR="0005024F">
        <w:t xml:space="preserve"> in</w:t>
      </w:r>
      <w:r w:rsidR="0051270D">
        <w:t xml:space="preserve"> those aged</w:t>
      </w:r>
      <w:r w:rsidR="00155CA1">
        <w:t xml:space="preserve"> 60 years or over.</w:t>
      </w:r>
      <w:r w:rsidR="003F76F9">
        <w:t xml:space="preserve"> </w:t>
      </w:r>
      <w:r w:rsidR="000D7AA0" w:rsidRPr="000612E0">
        <w:rPr>
          <w:lang w:val="en-AU"/>
        </w:rPr>
        <w:t>Nationally, age</w:t>
      </w:r>
      <w:r w:rsidR="000D7AA0" w:rsidRPr="000612E0">
        <w:rPr>
          <w:lang w:val="en-US"/>
        </w:rPr>
        <w:t xml:space="preserve">-specific mortality rates for COVID-19, influenza and RSV cases have been highest among those aged 70 years </w:t>
      </w:r>
      <w:r w:rsidR="003E34B3">
        <w:rPr>
          <w:lang w:val="en-US"/>
        </w:rPr>
        <w:t>or</w:t>
      </w:r>
      <w:r w:rsidR="000D7AA0" w:rsidRPr="000612E0">
        <w:rPr>
          <w:lang w:val="en-US"/>
        </w:rPr>
        <w:t xml:space="preserve"> over.</w:t>
      </w:r>
    </w:p>
    <w:p w14:paraId="054D3691" w14:textId="2BCDF4B1" w:rsidR="00565FFB" w:rsidRPr="00C5023A" w:rsidRDefault="00DE0360">
      <w:pPr>
        <w:pStyle w:val="Boxtype"/>
      </w:pPr>
      <w:r>
        <w:rPr>
          <w:b/>
          <w:bCs/>
        </w:rPr>
        <w:t>Impact:</w:t>
      </w:r>
      <w:r w:rsidR="00C5023A">
        <w:rPr>
          <w:b/>
          <w:bCs/>
        </w:rPr>
        <w:t xml:space="preserve"> </w:t>
      </w:r>
      <w:r w:rsidR="00AA5FF2" w:rsidRPr="008E0435">
        <w:t>The proportion of people taking time off work due to respiratory illness (</w:t>
      </w:r>
      <w:r w:rsidR="00AA5FF2" w:rsidRPr="008E0435">
        <w:rPr>
          <w:lang w:val="en-US"/>
        </w:rPr>
        <w:t>self-reported new fever and cough symptoms</w:t>
      </w:r>
      <w:r w:rsidR="00AA5FF2" w:rsidRPr="008E0435">
        <w:t>)</w:t>
      </w:r>
      <w:r w:rsidR="00AA5FF2">
        <w:t xml:space="preserve"> has decreased </w:t>
      </w:r>
      <w:r w:rsidR="008E0435">
        <w:t>in recent weeks</w:t>
      </w:r>
      <w:r w:rsidR="00AA5FF2">
        <w:t>.</w:t>
      </w:r>
      <w:r w:rsidR="00AA5FF2" w:rsidRPr="008E0435">
        <w:t xml:space="preserve"> </w:t>
      </w:r>
      <w:r w:rsidR="00C5023A" w:rsidRPr="00BE640A">
        <w:rPr>
          <w:lang w:val="en-US"/>
        </w:rPr>
        <w:t xml:space="preserve">Nationally, the </w:t>
      </w:r>
      <w:r w:rsidR="00C64598">
        <w:rPr>
          <w:lang w:val="en-US"/>
        </w:rPr>
        <w:t>mean</w:t>
      </w:r>
      <w:r w:rsidR="00C5023A">
        <w:rPr>
          <w:lang w:val="en-US"/>
        </w:rPr>
        <w:t xml:space="preserve"> </w:t>
      </w:r>
      <w:r w:rsidR="00C5023A" w:rsidRPr="00BE640A">
        <w:rPr>
          <w:lang w:val="en-US"/>
        </w:rPr>
        <w:t xml:space="preserve">number of COVID-19 cases in intensive care and </w:t>
      </w:r>
      <w:r w:rsidR="005861C3">
        <w:rPr>
          <w:lang w:val="en-US"/>
        </w:rPr>
        <w:t xml:space="preserve">mean </w:t>
      </w:r>
      <w:r w:rsidR="00C5023A" w:rsidRPr="00BE640A">
        <w:rPr>
          <w:lang w:val="en-US"/>
        </w:rPr>
        <w:t>number of intensive care staff unavailable due to COVID-19 illness or exposure ha</w:t>
      </w:r>
      <w:r w:rsidR="00C5023A">
        <w:rPr>
          <w:lang w:val="en-US"/>
        </w:rPr>
        <w:t>ve</w:t>
      </w:r>
      <w:r w:rsidR="00C5023A" w:rsidRPr="00BE640A">
        <w:rPr>
          <w:lang w:val="en-US"/>
        </w:rPr>
        <w:t xml:space="preserve"> followed a decreasing trend since early 2024.</w:t>
      </w:r>
    </w:p>
    <w:p w14:paraId="7E33039B" w14:textId="099794EA" w:rsidR="00565FFB" w:rsidRPr="00C64CB8" w:rsidRDefault="00DE0360">
      <w:pPr>
        <w:pStyle w:val="Boxtype"/>
      </w:pPr>
      <w:r w:rsidRPr="7BA20E3E">
        <w:rPr>
          <w:b/>
          <w:lang w:val="en-US"/>
        </w:rPr>
        <w:t>Genomic surveillance and virology:</w:t>
      </w:r>
      <w:r w:rsidR="0092182F" w:rsidRPr="7BA20E3E">
        <w:rPr>
          <w:lang w:val="en-US"/>
        </w:rPr>
        <w:t xml:space="preserve"> Nationally, the Omicron BA.2.86 </w:t>
      </w:r>
      <w:r w:rsidR="0092182F" w:rsidRPr="0092182F">
        <w:t>sub</w:t>
      </w:r>
      <w:r w:rsidR="00A12CF6">
        <w:t>-</w:t>
      </w:r>
      <w:r w:rsidR="008108D1">
        <w:t>lineage</w:t>
      </w:r>
      <w:r w:rsidR="0092182F" w:rsidRPr="7BA20E3E">
        <w:rPr>
          <w:lang w:val="en-US"/>
        </w:rPr>
        <w:t>, JN.1, remains the dominant circulating variant</w:t>
      </w:r>
      <w:r w:rsidR="00B1176F">
        <w:rPr>
          <w:lang w:val="en-US"/>
        </w:rPr>
        <w:t xml:space="preserve"> with small numbers of recombinant sub</w:t>
      </w:r>
      <w:r w:rsidR="00A12CF6">
        <w:rPr>
          <w:lang w:val="en-US"/>
        </w:rPr>
        <w:t>-</w:t>
      </w:r>
      <w:r w:rsidR="00B1176F">
        <w:rPr>
          <w:lang w:val="en-US"/>
        </w:rPr>
        <w:t xml:space="preserve">lineages continuing to be observed, including the recently emerged </w:t>
      </w:r>
      <w:r w:rsidR="00277587" w:rsidRPr="00277587">
        <w:rPr>
          <w:lang w:val="en-AU"/>
        </w:rPr>
        <w:t xml:space="preserve">XDK </w:t>
      </w:r>
      <w:r w:rsidR="00860FC5" w:rsidRPr="00860FC5">
        <w:rPr>
          <w:lang w:val="en-AU"/>
        </w:rPr>
        <w:t>(JN.1.1.1 and XBB.1.16)</w:t>
      </w:r>
      <w:r w:rsidR="00860FC5">
        <w:rPr>
          <w:lang w:val="en-AU"/>
        </w:rPr>
        <w:t xml:space="preserve"> </w:t>
      </w:r>
      <w:r w:rsidR="00277587" w:rsidRPr="00277587">
        <w:rPr>
          <w:lang w:val="en-AU"/>
        </w:rPr>
        <w:t>recombinant lineage</w:t>
      </w:r>
      <w:r w:rsidR="00277587">
        <w:rPr>
          <w:lang w:val="en-AU"/>
        </w:rPr>
        <w:t xml:space="preserve">. </w:t>
      </w:r>
      <w:r w:rsidR="00784F0B">
        <w:rPr>
          <w:lang w:val="en-AU"/>
        </w:rPr>
        <w:t>Since early</w:t>
      </w:r>
      <w:r w:rsidR="007561FB">
        <w:rPr>
          <w:lang w:val="en-AU"/>
        </w:rPr>
        <w:t xml:space="preserve"> 2024, i</w:t>
      </w:r>
      <w:r w:rsidR="00624159">
        <w:rPr>
          <w:lang w:val="en-AU"/>
        </w:rPr>
        <w:t>nfluenza A</w:t>
      </w:r>
      <w:r w:rsidR="00467B97">
        <w:rPr>
          <w:lang w:val="en-AU"/>
        </w:rPr>
        <w:t xml:space="preserve"> has accounted for the </w:t>
      </w:r>
      <w:r w:rsidR="007561FB">
        <w:rPr>
          <w:lang w:val="en-AU"/>
        </w:rPr>
        <w:t>majority</w:t>
      </w:r>
      <w:r w:rsidR="00467B97">
        <w:rPr>
          <w:lang w:val="en-AU"/>
        </w:rPr>
        <w:t xml:space="preserve"> of </w:t>
      </w:r>
      <w:r w:rsidR="009774E3">
        <w:rPr>
          <w:lang w:val="en-AU"/>
        </w:rPr>
        <w:t>influenza notifications</w:t>
      </w:r>
      <w:r w:rsidR="00A46FEB">
        <w:rPr>
          <w:lang w:val="en-AU"/>
        </w:rPr>
        <w:t xml:space="preserve"> </w:t>
      </w:r>
      <w:r w:rsidR="004A514F">
        <w:rPr>
          <w:lang w:val="en-AU"/>
        </w:rPr>
        <w:t>nationally</w:t>
      </w:r>
      <w:r w:rsidR="009774E3">
        <w:rPr>
          <w:lang w:val="en-AU"/>
        </w:rPr>
        <w:t xml:space="preserve">. </w:t>
      </w:r>
      <w:r w:rsidR="00C62F0F">
        <w:rPr>
          <w:lang w:val="en-US"/>
        </w:rPr>
        <w:t xml:space="preserve"> </w:t>
      </w:r>
    </w:p>
    <w:p w14:paraId="061E5496" w14:textId="77777777" w:rsidR="00565FFB" w:rsidRDefault="00DE0360">
      <w:pPr>
        <w:pStyle w:val="Boxtype"/>
      </w:pPr>
      <w:r w:rsidRPr="0AC85A12">
        <w:rPr>
          <w:b/>
          <w:bCs/>
          <w:lang w:val="en-US"/>
        </w:rPr>
        <w:t>Vaccine coverage, effectiveness and match:</w:t>
      </w:r>
      <w:r w:rsidRPr="0AC85A12">
        <w:rPr>
          <w:lang w:val="en-US"/>
        </w:rPr>
        <w:t xml:space="preserve"> It is too early to assess influenza vaccine coverage or effectiveness for the 2024 season. COVID-19 and RSV vaccination data will be included in future iterations of the Australian Respiratory Surveillance Report.</w:t>
      </w:r>
    </w:p>
    <w:p w14:paraId="0ED43940" w14:textId="44D9AC60" w:rsidR="00565FFB" w:rsidRDefault="00DE0360" w:rsidP="00694001">
      <w:pPr>
        <w:pStyle w:val="Smalltext"/>
      </w:pPr>
      <w:r>
        <w:t>* To account for the lag in collection and provision</w:t>
      </w:r>
      <w:r w:rsidR="00876F7A">
        <w:t xml:space="preserve"> of severity data</w:t>
      </w:r>
      <w:r>
        <w:t xml:space="preserve">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8E0435">
        <w:t xml:space="preserve"> </w:t>
      </w:r>
      <w:r w:rsidR="05D9AF3E">
        <w:t xml:space="preserve">figure </w:t>
      </w:r>
      <w:r>
        <w:br w:type="page"/>
      </w:r>
    </w:p>
    <w:p w14:paraId="7EA50378" w14:textId="77777777" w:rsidR="00565FFB" w:rsidRDefault="00DE0360">
      <w:pPr>
        <w:pStyle w:val="Heading2"/>
      </w:pPr>
      <w:bookmarkStart w:id="1" w:name="introduction"/>
      <w:bookmarkEnd w:id="0"/>
      <w:r>
        <w:lastRenderedPageBreak/>
        <w:t>Introduction</w:t>
      </w:r>
    </w:p>
    <w:p w14:paraId="47FE8903" w14:textId="0471A021" w:rsidR="00E5284D" w:rsidRDefault="00E5284D" w:rsidP="00E5284D">
      <w:r>
        <w:t xml:space="preserve">This Australian Respiratory Surveillance Report was prepared by Tracy Tsang, Jenna </w:t>
      </w:r>
      <w:proofErr w:type="spellStart"/>
      <w:r>
        <w:t>Hassall,</w:t>
      </w:r>
      <w:proofErr w:type="spellEnd"/>
      <w:r>
        <w:t xml:space="preserve"> Anna Rafferty and Siobhan St George </w:t>
      </w:r>
      <w:r w:rsidR="00FE3FA9">
        <w:t>on behalf of</w:t>
      </w:r>
      <w:r>
        <w:t xml:space="preserve"> the interim Australian Centre for Disease Control. We thank the staff and participants from the surveillance systems who contribute data for acute respiratory illness surveillance across Australia. </w:t>
      </w:r>
    </w:p>
    <w:p w14:paraId="1B830DC7" w14:textId="3A34C0A4" w:rsidR="00565FFB" w:rsidRDefault="00335722">
      <w:r>
        <w:t>The Australian Respiratory Surveillance Reports</w:t>
      </w:r>
      <w:r w:rsidR="00DE0360">
        <w:t xml:space="preserve"> present a national overview of acute respiratory infections in Australia</w:t>
      </w:r>
      <w:r>
        <w:t xml:space="preserve">, </w:t>
      </w:r>
      <w:r w:rsidR="00DE0360">
        <w:t xml:space="preserve">drawing information from several different surveillance systems. Our surveillance systems help us to understand the distribution of acute respiratory illness activity in the community, the severity of </w:t>
      </w:r>
      <w:r w:rsidR="00291839">
        <w:t>disease</w:t>
      </w:r>
      <w:r w:rsidR="00DE0360">
        <w:t>, which populations might be at</w:t>
      </w:r>
      <w:r w:rsidR="00E17B69">
        <w:t xml:space="preserve"> </w:t>
      </w:r>
      <w:r w:rsidR="00DE0360">
        <w:t xml:space="preserve">risk severe </w:t>
      </w:r>
      <w:r w:rsidR="00291839">
        <w:t>disease</w:t>
      </w:r>
      <w:r w:rsidR="00DE0360">
        <w:t>, and the impact of acute</w:t>
      </w:r>
      <w:r w:rsidR="00851F05">
        <w:t xml:space="preserve"> </w:t>
      </w:r>
      <w:r w:rsidR="00DE0360">
        <w:t xml:space="preserve">respiratory illness on the community and health system in Australia. Surveillance indicators presented in this report are based on the </w:t>
      </w:r>
      <w:hyperlink r:id="rId11" w:history="1">
        <w:r w:rsidR="00DE0360" w:rsidRPr="00C44D05">
          <w:rPr>
            <w:rStyle w:val="Hyperlink"/>
          </w:rPr>
          <w:t>Australian National Surveillance Plan for COVID-19, Influenza and RSV</w:t>
        </w:r>
      </w:hyperlink>
      <w:r w:rsidR="00DE0360">
        <w:t>.</w:t>
      </w:r>
    </w:p>
    <w:p w14:paraId="0DB45673" w14:textId="7E5F492C" w:rsidR="00565FFB" w:rsidRDefault="00DE0360">
      <w:pPr>
        <w:pStyle w:val="BodyText"/>
      </w:pPr>
      <w:r>
        <w:t xml:space="preserve">A summary of data considerations for </w:t>
      </w:r>
      <w:r w:rsidR="00B14DB7">
        <w:t>this</w:t>
      </w:r>
      <w:r>
        <w:t xml:space="preserve"> Australian Respiratory Surveillance Report are provided </w:t>
      </w:r>
      <w:r w:rsidR="00237CE0">
        <w:t>below</w:t>
      </w:r>
      <w:r>
        <w:t xml:space="preserve">. Refer to the </w:t>
      </w:r>
      <w:hyperlink r:id="rId12">
        <w:r>
          <w:rPr>
            <w:rStyle w:val="Hyperlink"/>
          </w:rPr>
          <w:t>Technical Supplement – Australian Respiratory Surveillance Report</w:t>
        </w:r>
      </w:hyperlink>
      <w:r>
        <w:t xml:space="preserve"> for further detail on our surveillance sources and data considerations</w:t>
      </w:r>
      <w:r w:rsidR="00B14DB7">
        <w:t>, including the impacts of the COVID-19 pandemic on acute respiratory infection surveillance in Australia.</w:t>
      </w:r>
    </w:p>
    <w:p w14:paraId="5A65345F" w14:textId="77777777" w:rsidR="00565FFB" w:rsidRDefault="00DE0360">
      <w:pPr>
        <w:pStyle w:val="Heading3"/>
      </w:pPr>
      <w:bookmarkStart w:id="2" w:name="data-considerations"/>
      <w:r>
        <w:t>Data considerations</w:t>
      </w:r>
    </w:p>
    <w:p w14:paraId="764E5D85" w14:textId="49B5CE6B" w:rsidR="00565FFB" w:rsidRDefault="00DE0360" w:rsidP="00720ECB">
      <w:pPr>
        <w:numPr>
          <w:ilvl w:val="0"/>
          <w:numId w:val="7"/>
        </w:numPr>
      </w:pPr>
      <w:r>
        <w:t xml:space="preserve">Due to the dynamic nature of the surveillance systems used in this report, </w:t>
      </w:r>
      <w:r w:rsidR="006D2812">
        <w:t xml:space="preserve">surveillance </w:t>
      </w:r>
      <w:r>
        <w:t xml:space="preserve">data are </w:t>
      </w:r>
      <w:r w:rsidR="006D2812">
        <w:t xml:space="preserve">considered </w:t>
      </w:r>
      <w:r>
        <w:t xml:space="preserve">preliminary and subject to change as updates are received, with </w:t>
      </w:r>
      <w:r w:rsidR="00F27B95">
        <w:t xml:space="preserve">the </w:t>
      </w:r>
      <w:r>
        <w:t xml:space="preserve">most recent weeks considered particularly </w:t>
      </w:r>
      <w:r w:rsidR="006D2812">
        <w:t>incomplete</w:t>
      </w:r>
      <w:r>
        <w:t>. Data in this report may vary from data reported in other national reports and reports by states and territories.</w:t>
      </w:r>
      <w:r w:rsidR="006D2812">
        <w:t xml:space="preserve"> </w:t>
      </w:r>
      <w:r w:rsidR="006D2812" w:rsidRPr="006D2812">
        <w:t xml:space="preserve">Data in this report are presented by </w:t>
      </w:r>
      <w:r w:rsidR="006D2812" w:rsidRPr="006D2812">
        <w:rPr>
          <w:i/>
          <w:iCs/>
        </w:rPr>
        <w:t>International Organization for Standardization (ISO) 8601</w:t>
      </w:r>
      <w:r w:rsidR="006D2812" w:rsidRPr="006D2812">
        <w:t xml:space="preserve"> weeks, with the week ending on Sunday.</w:t>
      </w:r>
    </w:p>
    <w:p w14:paraId="3766A922" w14:textId="089B284C" w:rsidR="00565FFB" w:rsidRDefault="00DE0360" w:rsidP="00720ECB">
      <w:pPr>
        <w:numPr>
          <w:ilvl w:val="0"/>
          <w:numId w:val="7"/>
        </w:numPr>
      </w:pPr>
      <w:r>
        <w:t xml:space="preserve">In Australia, states and territories report </w:t>
      </w:r>
      <w:r w:rsidR="00776525">
        <w:t xml:space="preserve">notified </w:t>
      </w:r>
      <w:r>
        <w:t xml:space="preserve">cases to the </w:t>
      </w:r>
      <w:r>
        <w:rPr>
          <w:b/>
          <w:bCs/>
        </w:rPr>
        <w:t>National Notifiable Diseases Surveillance System (NNDSS)</w:t>
      </w:r>
      <w:r>
        <w:t xml:space="preserve"> based on the </w:t>
      </w:r>
      <w:hyperlink r:id="rId13">
        <w:r>
          <w:rPr>
            <w:rStyle w:val="Hyperlink"/>
          </w:rPr>
          <w:t>Australian</w:t>
        </w:r>
        <w:r w:rsidR="00F92D68">
          <w:rPr>
            <w:rStyle w:val="Hyperlink"/>
          </w:rPr>
          <w:t xml:space="preserve"> national</w:t>
        </w:r>
        <w:r>
          <w:rPr>
            <w:rStyle w:val="Hyperlink"/>
          </w:rPr>
          <w:t xml:space="preserve"> surveillance case definitions</w:t>
        </w:r>
      </w:hyperlink>
      <w:r>
        <w:t xml:space="preserve">. For COVID-19, </w:t>
      </w:r>
      <w:r w:rsidR="00EA746F">
        <w:t xml:space="preserve">both </w:t>
      </w:r>
      <w:r>
        <w:t xml:space="preserve">laboratory-confirmed and probable cases </w:t>
      </w:r>
      <w:r w:rsidR="00EA746F">
        <w:t xml:space="preserve">are </w:t>
      </w:r>
      <w:r>
        <w:t xml:space="preserve">notified to the NNDSS </w:t>
      </w:r>
      <w:r w:rsidR="00EA746F">
        <w:t xml:space="preserve">and </w:t>
      </w:r>
      <w:r>
        <w:t xml:space="preserve">included in this report. </w:t>
      </w:r>
    </w:p>
    <w:p w14:paraId="787353E4" w14:textId="77777777" w:rsidR="00565FFB" w:rsidRDefault="00DE0360" w:rsidP="00720ECB">
      <w:pPr>
        <w:numPr>
          <w:ilvl w:val="0"/>
          <w:numId w:val="7"/>
        </w:numPr>
      </w:pPr>
      <w:r>
        <w:t>Data from the NNDSS are analysed and reported based on diagnosis date, which is the true onset date of a case if known, otherwise it is the earliest of the specimen date, the notification date, or the notification received date. NNDSS data were extracted on Thursday 11 April 2024.</w:t>
      </w:r>
    </w:p>
    <w:p w14:paraId="7B664A29" w14:textId="07D46144" w:rsidR="00565FFB" w:rsidRDefault="00DE0360" w:rsidP="00720ECB">
      <w:pPr>
        <w:numPr>
          <w:ilvl w:val="0"/>
          <w:numId w:val="7"/>
        </w:numPr>
      </w:pPr>
      <w:r>
        <w:t xml:space="preserve">To account for the lag in collection and provision </w:t>
      </w:r>
      <w:r w:rsidR="00AE23DF">
        <w:t xml:space="preserve">of severity data </w:t>
      </w:r>
      <w:r>
        <w:t>from some surveillance systems, and for the time delay between illness onset and the development of severe disease outcomes, cases with an admission date or a diagnosis date in the last two weeks are excluded from severity analyses which include analyses of hospitalisations, intensive care admissions and deaths. As such, the severity reporting periods are two weeks behind the current reporting period. For this report, severity reporting includes data</w:t>
      </w:r>
      <w:r w:rsidR="00837566">
        <w:t xml:space="preserve"> up </w:t>
      </w:r>
      <w:r>
        <w:t>to 24 March 2024.</w:t>
      </w:r>
    </w:p>
    <w:p w14:paraId="1E37FC4F" w14:textId="0C1A82DA" w:rsidR="00565FFB" w:rsidRDefault="00DE0360" w:rsidP="00720ECB">
      <w:pPr>
        <w:numPr>
          <w:ilvl w:val="0"/>
          <w:numId w:val="7"/>
        </w:numPr>
      </w:pPr>
      <w:r>
        <w:t xml:space="preserve">While every care has been taken in preparing this report, the </w:t>
      </w:r>
      <w:r w:rsidR="00313330">
        <w:t xml:space="preserve">Australian Government Department of Health and Aged Care </w:t>
      </w:r>
      <w:r>
        <w:t xml:space="preserve">does not accept liability for any injury or loss or damage arising from the use of, or reliance upon, the content of the report </w:t>
      </w:r>
      <w:r w:rsidR="00E17430">
        <w:t>or</w:t>
      </w:r>
      <w:r>
        <w:t xml:space="preserve"> Technical Supplement. For further details about information contained in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64D72E73" w14:textId="77777777" w:rsidR="00565FFB" w:rsidRDefault="00DE0360">
      <w:pPr>
        <w:pStyle w:val="Heading2"/>
      </w:pPr>
      <w:bookmarkStart w:id="3" w:name="activity"/>
      <w:bookmarkEnd w:id="1"/>
      <w:bookmarkEnd w:id="2"/>
      <w:r>
        <w:lastRenderedPageBreak/>
        <w:t>1. Activity</w:t>
      </w:r>
    </w:p>
    <w:p w14:paraId="2E1DE41F" w14:textId="77777777" w:rsidR="00565FFB" w:rsidRDefault="00DE0360">
      <w:pPr>
        <w:pStyle w:val="Boxheading"/>
      </w:pPr>
      <w:r w:rsidRPr="0AC85A12">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4BC533C8" w14:textId="77777777" w:rsidR="00565FFB" w:rsidRDefault="00DE0360">
      <w:pPr>
        <w:pStyle w:val="Heading3"/>
      </w:pPr>
      <w:bookmarkStart w:id="4" w:name="community-based-surveillance"/>
      <w:r>
        <w:t>1.1 Community-based surveillance</w:t>
      </w:r>
    </w:p>
    <w:p w14:paraId="6760542C" w14:textId="77777777" w:rsidR="00565FFB" w:rsidRDefault="00DE0360" w:rsidP="00CC4308">
      <w:pPr>
        <w:pStyle w:val="Heading4"/>
      </w:pPr>
      <w:bookmarkStart w:id="5" w:name="flutracking"/>
      <w:r>
        <w:t>FluTracking</w:t>
      </w:r>
    </w:p>
    <w:p w14:paraId="758A17FD" w14:textId="106BAB7D" w:rsidR="00565FFB" w:rsidRDefault="00A8278A" w:rsidP="00720ECB">
      <w:pPr>
        <w:numPr>
          <w:ilvl w:val="0"/>
          <w:numId w:val="8"/>
        </w:numPr>
      </w:pPr>
      <w:r>
        <w:t>This fortnight (</w:t>
      </w:r>
      <w:r w:rsidR="005269B7" w:rsidRPr="005269B7">
        <w:t>25 March to 7 April 2024</w:t>
      </w:r>
      <w:r>
        <w:t>), t</w:t>
      </w:r>
      <w:r w:rsidR="00DE0360">
        <w:t>he mean incidence of new fever and cough among FluTracking participants was 1.</w:t>
      </w:r>
      <w:r w:rsidR="00995E75">
        <w:t>5</w:t>
      </w:r>
      <w:r w:rsidR="00DE0360" w:rsidRPr="002572C8">
        <w:t xml:space="preserve">%, </w:t>
      </w:r>
      <w:r w:rsidR="00D617EE">
        <w:t xml:space="preserve">an increased </w:t>
      </w:r>
      <w:r w:rsidR="00DE0360" w:rsidRPr="002572C8">
        <w:t xml:space="preserve">compared </w:t>
      </w:r>
      <w:r w:rsidR="00D617EE">
        <w:t>with</w:t>
      </w:r>
      <w:r w:rsidR="008A4EA9">
        <w:t xml:space="preserve"> the mean incidence of</w:t>
      </w:r>
      <w:r w:rsidR="00DE0360" w:rsidRPr="002572C8">
        <w:t xml:space="preserve"> </w:t>
      </w:r>
      <w:r w:rsidR="002572C8" w:rsidRPr="0013793B">
        <w:t>1.2</w:t>
      </w:r>
      <w:r w:rsidR="00DE0360" w:rsidRPr="002572C8">
        <w:t>%</w:t>
      </w:r>
      <w:r w:rsidR="00DE0360">
        <w:t xml:space="preserve"> in the previous fortnight (Figure 1). Note, FluTracking data are</w:t>
      </w:r>
      <w:r w:rsidR="00904416">
        <w:t xml:space="preserve"> self-</w:t>
      </w:r>
      <w:proofErr w:type="gramStart"/>
      <w:r w:rsidR="00904416">
        <w:t>reported</w:t>
      </w:r>
      <w:proofErr w:type="gramEnd"/>
      <w:r w:rsidR="00904416">
        <w:t xml:space="preserve"> and</w:t>
      </w:r>
      <w:r w:rsidR="00DE0360">
        <w:t xml:space="preserve"> age standardised.</w:t>
      </w:r>
    </w:p>
    <w:p w14:paraId="4DC7365A" w14:textId="6F0EAEBD" w:rsidR="00565FFB" w:rsidRDefault="00DE0360" w:rsidP="00720ECB">
      <w:pPr>
        <w:numPr>
          <w:ilvl w:val="0"/>
          <w:numId w:val="8"/>
        </w:numPr>
      </w:pPr>
      <w:r>
        <w:t>This fortnight, 10</w:t>
      </w:r>
      <w:r w:rsidR="006F3D40">
        <w:t>.3</w:t>
      </w:r>
      <w:r>
        <w:t xml:space="preserve">% (101/980) of FluTracking participants who reported new fever and cough symptoms reported testing for severe acute respiratory syndrome coronavirus 2 (SARS-CoV-2) with a polymerase chain reaction (PCR) test and </w:t>
      </w:r>
      <w:r w:rsidR="00CF12DF">
        <w:t>67.9</w:t>
      </w:r>
      <w:r>
        <w:t>% (665/980) reported testing with a rapid antigen test (RAT) (noting that in some instances a RAT will be followed by a PCR test for the same participant, or vice versa).</w:t>
      </w:r>
    </w:p>
    <w:p w14:paraId="6E7CF4D5" w14:textId="53C5707C" w:rsidR="00565FFB" w:rsidRDefault="00DE0360" w:rsidP="00720ECB">
      <w:pPr>
        <w:numPr>
          <w:ilvl w:val="1"/>
          <w:numId w:val="9"/>
        </w:numPr>
      </w:pPr>
      <w:r>
        <w:t>This fortnight, the self-reported percent positivity among participants with new fever and cough symptoms decreased for SARS-CoV-2 PCR (1</w:t>
      </w:r>
      <w:r w:rsidR="00764B34">
        <w:t>9</w:t>
      </w:r>
      <w:r>
        <w:t>.</w:t>
      </w:r>
      <w:r w:rsidR="00764B34">
        <w:t>8</w:t>
      </w:r>
      <w:r>
        <w:t xml:space="preserve">%) </w:t>
      </w:r>
      <w:r w:rsidR="00882473">
        <w:t>compared with the previous fortnight</w:t>
      </w:r>
      <w:r w:rsidR="000064D0">
        <w:t xml:space="preserve"> (20.</w:t>
      </w:r>
      <w:r w:rsidR="00764B34">
        <w:t>2</w:t>
      </w:r>
      <w:r w:rsidR="000064D0">
        <w:t>%</w:t>
      </w:r>
      <w:proofErr w:type="gramStart"/>
      <w:r w:rsidR="000064D0">
        <w:t>)</w:t>
      </w:r>
      <w:r w:rsidR="00A67D1E">
        <w:t>, and</w:t>
      </w:r>
      <w:proofErr w:type="gramEnd"/>
      <w:r w:rsidR="00A67D1E">
        <w:t xml:space="preserve"> </w:t>
      </w:r>
      <w:r w:rsidR="00A64D58">
        <w:t>decreased</w:t>
      </w:r>
      <w:r w:rsidR="00A67D1E">
        <w:t xml:space="preserve"> for RAT (</w:t>
      </w:r>
      <w:r w:rsidR="00040039">
        <w:t>37.0</w:t>
      </w:r>
      <w:r w:rsidR="00A67D1E">
        <w:t>%) compared with the previous fortnight (</w:t>
      </w:r>
      <w:r w:rsidR="00040039">
        <w:t>39.4</w:t>
      </w:r>
      <w:r w:rsidR="00A67D1E">
        <w:t>%)</w:t>
      </w:r>
      <w:r w:rsidR="00F53DCE">
        <w:t>.</w:t>
      </w:r>
    </w:p>
    <w:p w14:paraId="4AC97CEC" w14:textId="2ECA0C61" w:rsidR="00565FFB" w:rsidRDefault="00DE0360" w:rsidP="00720ECB">
      <w:pPr>
        <w:numPr>
          <w:ilvl w:val="0"/>
          <w:numId w:val="8"/>
        </w:numPr>
      </w:pPr>
      <w:r>
        <w:t xml:space="preserve">This fortnight, </w:t>
      </w:r>
      <w:r w:rsidR="002748AE">
        <w:t>12.9</w:t>
      </w:r>
      <w:r>
        <w:t>% (126/980) of FluTracking participants with new fever and cough symptoms reported testing for influenza with a PCR</w:t>
      </w:r>
      <w:r w:rsidR="00783BDF">
        <w:t xml:space="preserve"> test</w:t>
      </w:r>
      <w:r>
        <w:t>.</w:t>
      </w:r>
    </w:p>
    <w:p w14:paraId="2ECA5927" w14:textId="3DFEA863" w:rsidR="00565FFB" w:rsidRDefault="00DE0360" w:rsidP="00720ECB">
      <w:pPr>
        <w:numPr>
          <w:ilvl w:val="1"/>
          <w:numId w:val="10"/>
        </w:numPr>
      </w:pPr>
      <w:r>
        <w:t>This fortnight, the self-reported percent positivity among participants with new fever and cough symptoms decreased for influenza</w:t>
      </w:r>
      <w:r w:rsidR="000E12A2">
        <w:t xml:space="preserve"> PCR</w:t>
      </w:r>
      <w:r w:rsidR="00595F41">
        <w:t xml:space="preserve"> test</w:t>
      </w:r>
      <w:r>
        <w:t xml:space="preserve"> (</w:t>
      </w:r>
      <w:r w:rsidR="00E54E75">
        <w:t>15.9</w:t>
      </w:r>
      <w:r>
        <w:t>%), compared with the previous fortnight</w:t>
      </w:r>
      <w:r w:rsidR="00C96F5E">
        <w:t xml:space="preserve"> (</w:t>
      </w:r>
      <w:r w:rsidR="00E340E9">
        <w:t>20.6%</w:t>
      </w:r>
      <w:r w:rsidR="00C96F5E">
        <w:t>)</w:t>
      </w:r>
      <w:r>
        <w:t>.</w:t>
      </w:r>
    </w:p>
    <w:p w14:paraId="3F6B42CE" w14:textId="4E5F26FE" w:rsidR="00565FFB" w:rsidRDefault="003114E3" w:rsidP="00720ECB">
      <w:pPr>
        <w:numPr>
          <w:ilvl w:val="0"/>
          <w:numId w:val="8"/>
        </w:numPr>
      </w:pPr>
      <w:r>
        <w:t>In the year to date,</w:t>
      </w:r>
      <w:r w:rsidR="007B5F6E">
        <w:t xml:space="preserve"> the fortnightly incidence of fever and cough has </w:t>
      </w:r>
      <w:r w:rsidR="00F40CC3">
        <w:t>fluctuated</w:t>
      </w:r>
      <w:r w:rsidR="00F11711">
        <w:t>.</w:t>
      </w:r>
      <w:r>
        <w:t xml:space="preserve"> </w:t>
      </w:r>
      <w:r w:rsidR="00DE0360">
        <w:t xml:space="preserve">The incidence of fever and cough peaked in the fortnight ending </w:t>
      </w:r>
      <w:r w:rsidR="00D55C5E">
        <w:t>7 April 2024</w:t>
      </w:r>
      <w:r w:rsidR="00DE0360">
        <w:t xml:space="preserve"> at </w:t>
      </w:r>
      <w:r w:rsidR="00A96B26">
        <w:t>1.5</w:t>
      </w:r>
      <w:r w:rsidR="00DE0360">
        <w:t xml:space="preserve">% and </w:t>
      </w:r>
      <w:r w:rsidR="00C43DD9">
        <w:t>is</w:t>
      </w:r>
      <w:r w:rsidR="00DE0360">
        <w:t xml:space="preserve"> lower than the proportion observed during the same period in </w:t>
      </w:r>
      <w:r w:rsidR="00A12631">
        <w:t>2023</w:t>
      </w:r>
      <w:r w:rsidR="00DE0360">
        <w:t xml:space="preserve"> (Figure 1).</w:t>
      </w:r>
    </w:p>
    <w:p w14:paraId="10EE9FDF" w14:textId="77777777" w:rsidR="00565FFB" w:rsidRDefault="00DE0360">
      <w:r>
        <w:br w:type="page"/>
      </w:r>
    </w:p>
    <w:p w14:paraId="2D77E8FB" w14:textId="7080F388" w:rsidR="00565FFB" w:rsidRDefault="00DE0360">
      <w:r>
        <w:rPr>
          <w:b/>
          <w:bCs/>
        </w:rPr>
        <w:lastRenderedPageBreak/>
        <w:t xml:space="preserve">Figure 1: Age standardised percentage of FluTracking participants reporting new fever and cough symptoms compared with the five-year mean by year and week of report*, Australia, 2017 to </w:t>
      </w:r>
      <w:r w:rsidR="00DC36C1">
        <w:rPr>
          <w:b/>
          <w:bCs/>
        </w:rPr>
        <w:t>7 April</w:t>
      </w:r>
      <w:r>
        <w:rPr>
          <w:b/>
          <w:bCs/>
        </w:rPr>
        <w:t xml:space="preserve"> 2024</w:t>
      </w:r>
    </w:p>
    <w:p w14:paraId="6C31BD26" w14:textId="357ED64E" w:rsidR="00565FFB" w:rsidRDefault="007601EC">
      <w:pPr>
        <w:pStyle w:val="BodyText"/>
      </w:pPr>
      <w:r>
        <w:rPr>
          <w:noProof/>
        </w:rPr>
        <w:drawing>
          <wp:inline distT="0" distB="0" distL="0" distR="0" wp14:anchorId="5DF04540" wp14:editId="35CB1380">
            <wp:extent cx="6184900" cy="2769924"/>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was lower in the most recent fortnight. Since the beginning of 2024, the age standardised rate of fever and cough has peaked at approximately 1.5% of survey respondents. Comparison of fever and cough incidence for the current reporting period with that of the 2017–2019, 2022, 2023 historical five-year average for this time interval is not possible, since a historical average before the end of April is not available for earlier years."/>
            <wp:cNvGraphicFramePr/>
            <a:graphic xmlns:a="http://schemas.openxmlformats.org/drawingml/2006/main">
              <a:graphicData uri="http://schemas.openxmlformats.org/drawingml/2006/picture">
                <pic:pic xmlns:pic="http://schemas.openxmlformats.org/drawingml/2006/picture">
                  <pic:nvPicPr>
                    <pic:cNvPr id="28" name="Picture"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although it was lower in the most recent fortnight. Since the beginning of 2024, the age standardised rate of fever and cough has peaked at approximately 1.5% of survey respondents. Comparison of fever and cough incidence for the current reporting period with that of the 2017–2019, 2022, 2023 historical five-year average for this time interval is not possible, since a historical average before the end of April is not available for earlier years."/>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B323E16" w14:textId="6114498B" w:rsidR="00565FFB" w:rsidRDefault="00DE0360" w:rsidP="00694001">
      <w:pPr>
        <w:pStyle w:val="Smalltext"/>
      </w:pPr>
      <w:r>
        <w:t>*FluTracking ha</w:t>
      </w:r>
      <w:r w:rsidR="00824E2B">
        <w:t>s</w:t>
      </w:r>
      <w:r>
        <w:t xml:space="preserve">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6F1C1531" w14:textId="77777777" w:rsidR="005C24DD" w:rsidRDefault="005C24DD" w:rsidP="00694001">
      <w:pPr>
        <w:pStyle w:val="Smalltext"/>
      </w:pPr>
    </w:p>
    <w:p w14:paraId="37E3B185" w14:textId="77777777" w:rsidR="00565FFB" w:rsidRDefault="00DE0360" w:rsidP="00CC4308">
      <w:pPr>
        <w:pStyle w:val="Heading4"/>
      </w:pPr>
      <w:bookmarkStart w:id="6" w:name="Xd23077d57510771b8eac36b0c692964a7c92ff0"/>
      <w:bookmarkEnd w:id="5"/>
      <w:r>
        <w:t>Australian Sentinel Practice Research Network (ASPREN)</w:t>
      </w:r>
    </w:p>
    <w:p w14:paraId="351E0E43" w14:textId="3F10471D" w:rsidR="00565FFB" w:rsidRDefault="00DE0360" w:rsidP="00720ECB">
      <w:pPr>
        <w:numPr>
          <w:ilvl w:val="0"/>
          <w:numId w:val="11"/>
        </w:numPr>
      </w:pPr>
      <w:r>
        <w:t>This fortnight (25 March to 7 April 2024), a</w:t>
      </w:r>
      <w:r w:rsidR="3EED343B">
        <w:t xml:space="preserve"> mean</w:t>
      </w:r>
      <w:r>
        <w:t xml:space="preserve"> rate of 3.</w:t>
      </w:r>
      <w:r w:rsidR="00A96B5A">
        <w:t>9</w:t>
      </w:r>
      <w:r>
        <w:t xml:space="preserve"> per 1,000 consultations per fortnight due to new fever and cough symptoms </w:t>
      </w:r>
      <w:r w:rsidR="00FC439A">
        <w:t>were</w:t>
      </w:r>
      <w:r>
        <w:t xml:space="preserve"> reported by ASPREN sentinel general practitioners and nurse practitioners, </w:t>
      </w:r>
      <w:r w:rsidR="0063586A">
        <w:t xml:space="preserve">a slight decrease </w:t>
      </w:r>
      <w:r>
        <w:t xml:space="preserve">compared with </w:t>
      </w:r>
      <w:r w:rsidR="00A96B5A">
        <w:t>4</w:t>
      </w:r>
      <w:r>
        <w:t>.</w:t>
      </w:r>
      <w:r w:rsidR="00A96B5A">
        <w:t>0</w:t>
      </w:r>
      <w:r>
        <w:t xml:space="preserve"> per 1,000 consultations in the previous fortnight (Figure 2).</w:t>
      </w:r>
    </w:p>
    <w:p w14:paraId="5D15FD1A" w14:textId="69B9C45F" w:rsidR="00565FFB" w:rsidRDefault="00DE0360" w:rsidP="00720ECB">
      <w:pPr>
        <w:numPr>
          <w:ilvl w:val="0"/>
          <w:numId w:val="11"/>
        </w:numPr>
      </w:pPr>
      <w:r>
        <w:t xml:space="preserve">This fortnight, 56 people presented to ASPREN sentinel general practitioners and nurse practitioners with new fever and cough symptoms and </w:t>
      </w:r>
      <w:r w:rsidR="00C02336">
        <w:t>were</w:t>
      </w:r>
      <w:r>
        <w:t xml:space="preserve"> tested for respiratory viruses. Of those, 8</w:t>
      </w:r>
      <w:r w:rsidR="0019779C">
        <w:t>5.7</w:t>
      </w:r>
      <w:r>
        <w:t>% (48/56) have tested positive for a respiratory virus.</w:t>
      </w:r>
    </w:p>
    <w:p w14:paraId="2F9BA357" w14:textId="652CC950" w:rsidR="00565FFB" w:rsidRDefault="00DE0360" w:rsidP="00720ECB">
      <w:pPr>
        <w:numPr>
          <w:ilvl w:val="1"/>
          <w:numId w:val="12"/>
        </w:numPr>
      </w:pPr>
      <w:r>
        <w:t>Among those positive for a respiratory virus, the most common respiratory virus reported was rhinovirus (3</w:t>
      </w:r>
      <w:r w:rsidR="00303FC1">
        <w:t>7.5</w:t>
      </w:r>
      <w:r>
        <w:t>%</w:t>
      </w:r>
      <w:r w:rsidR="00E36F93">
        <w:t>;</w:t>
      </w:r>
      <w:r>
        <w:t xml:space="preserve"> 18/48). Other respiratory viruses detected included SARS-CoV-2 (1</w:t>
      </w:r>
      <w:r w:rsidR="0055540E">
        <w:t>8.8</w:t>
      </w:r>
      <w:r>
        <w:t>%</w:t>
      </w:r>
      <w:r w:rsidR="00E36F93">
        <w:t>;</w:t>
      </w:r>
      <w:r>
        <w:t xml:space="preserve"> 9/48), respiratory syncytial virus (1</w:t>
      </w:r>
      <w:r w:rsidR="00323591">
        <w:t>6.</w:t>
      </w:r>
      <w:r>
        <w:t>7%</w:t>
      </w:r>
      <w:r w:rsidR="00E36F93">
        <w:t>;</w:t>
      </w:r>
      <w:r>
        <w:t xml:space="preserve"> 8/48), and influenza (12</w:t>
      </w:r>
      <w:r w:rsidR="00FF586B">
        <w:t>.5</w:t>
      </w:r>
      <w:r>
        <w:t>%</w:t>
      </w:r>
      <w:r w:rsidR="00E36F93">
        <w:t>;</w:t>
      </w:r>
      <w:r>
        <w:t xml:space="preserve"> 6/48).</w:t>
      </w:r>
    </w:p>
    <w:p w14:paraId="00D612BB" w14:textId="1D9950C0" w:rsidR="00565FFB" w:rsidRDefault="00DE0360" w:rsidP="00720ECB">
      <w:pPr>
        <w:numPr>
          <w:ilvl w:val="0"/>
          <w:numId w:val="11"/>
        </w:numPr>
      </w:pPr>
      <w:r>
        <w:t xml:space="preserve">In the year to date, the </w:t>
      </w:r>
      <w:r w:rsidR="1B9DAB85">
        <w:t xml:space="preserve">mean </w:t>
      </w:r>
      <w:r>
        <w:t xml:space="preserve">rate of new fever and cough symptoms per 1,000 consultations per week remains </w:t>
      </w:r>
      <w:r w:rsidR="00DB6813">
        <w:t xml:space="preserve">above the </w:t>
      </w:r>
      <w:r w:rsidR="00D162DB">
        <w:t xml:space="preserve">rate observed in </w:t>
      </w:r>
      <w:r w:rsidR="007E5299">
        <w:t xml:space="preserve">the </w:t>
      </w:r>
      <w:r w:rsidR="00D162DB">
        <w:t>corresponding wee</w:t>
      </w:r>
      <w:r>
        <w:t>k</w:t>
      </w:r>
      <w:r w:rsidR="00D162DB">
        <w:t>s</w:t>
      </w:r>
      <w:r>
        <w:t xml:space="preserve"> in pre-pandemic years (Figure 2).</w:t>
      </w:r>
    </w:p>
    <w:p w14:paraId="2F994668" w14:textId="2244DB4C" w:rsidR="00565FFB" w:rsidRDefault="00DE0360" w:rsidP="00720ECB">
      <w:pPr>
        <w:numPr>
          <w:ilvl w:val="0"/>
          <w:numId w:val="11"/>
        </w:numPr>
      </w:pPr>
      <w:r>
        <w:t>In the year to date, 360 people presented to ASPREN sentinel general practitioners and nurse practitioners with new fever and cough symptoms and have been tested for respiratory viruses. Of those, 71</w:t>
      </w:r>
      <w:r w:rsidR="002202F4">
        <w:t>.4</w:t>
      </w:r>
      <w:r>
        <w:t>% (257/360) tested positive for a respiratory virus.</w:t>
      </w:r>
    </w:p>
    <w:p w14:paraId="6F469671" w14:textId="1A39A4B4" w:rsidR="00565FFB" w:rsidRDefault="00DE0360" w:rsidP="00634D04">
      <w:pPr>
        <w:numPr>
          <w:ilvl w:val="1"/>
          <w:numId w:val="7"/>
        </w:numPr>
      </w:pPr>
      <w:r>
        <w:t>Among those positive for a respiratory virus, the most common respiratory virus reported was rhinovirus (3</w:t>
      </w:r>
      <w:r w:rsidR="00405970">
        <w:t>7.7</w:t>
      </w:r>
      <w:r>
        <w:t>%</w:t>
      </w:r>
      <w:r w:rsidR="00A23F9F">
        <w:t>;</w:t>
      </w:r>
      <w:r>
        <w:t xml:space="preserve"> 97/257). Other respiratory viruses detected included SARS-CoV-2 (16</w:t>
      </w:r>
      <w:r w:rsidR="00147352">
        <w:t>.0</w:t>
      </w:r>
      <w:r>
        <w:t>%</w:t>
      </w:r>
      <w:r w:rsidR="00A23F9F">
        <w:t>;</w:t>
      </w:r>
      <w:r>
        <w:t xml:space="preserve"> 41/257), influenza (12</w:t>
      </w:r>
      <w:r w:rsidR="006C1CA7">
        <w:t>.1</w:t>
      </w:r>
      <w:r>
        <w:t>%</w:t>
      </w:r>
      <w:r w:rsidR="00A23F9F">
        <w:t>;</w:t>
      </w:r>
      <w:r>
        <w:t xml:space="preserve"> 31/257), respiratory syncytial virus (</w:t>
      </w:r>
      <w:r w:rsidR="005A6837">
        <w:t>9.7</w:t>
      </w:r>
      <w:r>
        <w:t>%</w:t>
      </w:r>
      <w:r w:rsidR="00A23F9F">
        <w:t>;</w:t>
      </w:r>
      <w:r>
        <w:t xml:space="preserve"> 25/257), </w:t>
      </w:r>
      <w:r w:rsidR="00634D04">
        <w:t xml:space="preserve">human </w:t>
      </w:r>
      <w:r>
        <w:t>metapneumovirus (</w:t>
      </w:r>
      <w:r w:rsidR="008866A6">
        <w:t>8.6</w:t>
      </w:r>
      <w:r>
        <w:t>%</w:t>
      </w:r>
      <w:r w:rsidR="00A23F9F">
        <w:t>;</w:t>
      </w:r>
      <w:r>
        <w:t xml:space="preserve"> 22/257) and adenovirus (</w:t>
      </w:r>
      <w:r w:rsidR="00492DC5">
        <w:t>4.7</w:t>
      </w:r>
      <w:r>
        <w:t>%</w:t>
      </w:r>
      <w:r w:rsidR="00A23F9F">
        <w:t>;</w:t>
      </w:r>
      <w:r>
        <w:t xml:space="preserve"> 12/257).</w:t>
      </w:r>
    </w:p>
    <w:p w14:paraId="020658EA" w14:textId="77777777" w:rsidR="00565FFB" w:rsidRDefault="00DE0360">
      <w:r w:rsidRPr="008C355D">
        <w:rPr>
          <w:b/>
        </w:rPr>
        <w:lastRenderedPageBreak/>
        <w:t>Figure 2: Rate of new fever and cough symptoms per 1,000 consultations per week with ASPREN sentinel general practitioners and nurse practitioners compared with the five-year mean by year and week of consultation*</w:t>
      </w:r>
      <w:r w:rsidRPr="00FD39C5">
        <w:rPr>
          <w:b/>
          <w:vertAlign w:val="superscript"/>
        </w:rPr>
        <w:t>†</w:t>
      </w:r>
      <w:r w:rsidRPr="008C355D">
        <w:rPr>
          <w:b/>
        </w:rPr>
        <w:t>, Australia, 2017 to 7 April 2024</w:t>
      </w:r>
    </w:p>
    <w:p w14:paraId="488DBB6F" w14:textId="6C7D26E0" w:rsidR="00565FFB" w:rsidRDefault="00DB32AA">
      <w:pPr>
        <w:pStyle w:val="BodyText"/>
      </w:pPr>
      <w:r>
        <w:rPr>
          <w:noProof/>
        </w:rPr>
        <w:drawing>
          <wp:inline distT="0" distB="0" distL="0" distR="0" wp14:anchorId="18496187" wp14:editId="6ACCF403">
            <wp:extent cx="6184900" cy="2769924"/>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wp:cNvGraphicFramePr/>
            <a:graphic xmlns:a="http://schemas.openxmlformats.org/drawingml/2006/main">
              <a:graphicData uri="http://schemas.openxmlformats.org/drawingml/2006/picture">
                <pic:pic xmlns:pic="http://schemas.openxmlformats.org/drawingml/2006/picture">
                  <pic:nvPicPr>
                    <pic:cNvPr id="32" name="Picture" descr="A line graph comparing the rate of new fever and cough symptoms per 1,000 consultations per week with ASPREN sentinel general practitioners and nurse practitioners compared to the interrupted five-year range of 2017–2019, 2022 and 2023. Since the beginning of 2024, the rate of new fever and cough symptoms per 1,000 consultations per week has been higher than the corresponding weeks of 2023 and the interrupted five-year average. Since the beginning of 2024, the rate of new fever and cough symptoms per 1,000 consultations per week peaked at approximately 4 per 1,000 consultations. During the two weeks of the current reporting period, the rate of fever and cough has remained stable at approximately 4 per 1,000 consultations, largely exceeding the rate for the corresponding weeks in all other years depicted."/>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05C7489" w14:textId="5DAD8850" w:rsidR="00565FFB" w:rsidRDefault="00DE0360" w:rsidP="00694001">
      <w:pPr>
        <w:pStyle w:val="Smalltext"/>
      </w:pPr>
      <w:r>
        <w:t>*</w:t>
      </w:r>
      <w:r w:rsidR="0098100E">
        <w:t xml:space="preserve"> </w:t>
      </w:r>
      <w:r>
        <w:t>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w:t>
      </w:r>
      <w:r w:rsidR="0098100E">
        <w:t xml:space="preserve"> </w:t>
      </w:r>
      <w:r>
        <w:t>Please refer to the Technical Supplement for notes on impact of COVID-19 on ASPREN data.</w:t>
      </w:r>
    </w:p>
    <w:p w14:paraId="75EF62C4" w14:textId="77777777" w:rsidR="00565FFB" w:rsidRDefault="00565FFB" w:rsidP="00694001">
      <w:pPr>
        <w:pStyle w:val="Smalltext"/>
      </w:pPr>
    </w:p>
    <w:p w14:paraId="7BACDF7A" w14:textId="77777777" w:rsidR="00565FFB" w:rsidRDefault="00DE0360" w:rsidP="00CC4308">
      <w:pPr>
        <w:pStyle w:val="Heading4"/>
      </w:pPr>
      <w:bookmarkStart w:id="7" w:name="wastewater-surveillance"/>
      <w:bookmarkEnd w:id="6"/>
      <w:r>
        <w:t>Wastewater surveillance</w:t>
      </w:r>
    </w:p>
    <w:p w14:paraId="320657AA" w14:textId="33E4CB7A" w:rsidR="00565FFB" w:rsidRDefault="00DE0360">
      <w:r>
        <w:t xml:space="preserve">Wastewater surveillance for </w:t>
      </w:r>
      <w:r w:rsidR="00B046EF">
        <w:t xml:space="preserve">levels of </w:t>
      </w:r>
      <w:r w:rsidR="000B40B2">
        <w:t xml:space="preserve">community </w:t>
      </w:r>
      <w:r w:rsidR="007C15B2">
        <w:t xml:space="preserve">circulation </w:t>
      </w:r>
      <w:r w:rsidR="000B40B2">
        <w:t xml:space="preserve">of </w:t>
      </w:r>
      <w:r>
        <w:t>SARS-CoV-2 will be included in future iterations of the Australian Respiratory Surveillance Report.</w:t>
      </w:r>
    </w:p>
    <w:p w14:paraId="385DD07A" w14:textId="77777777" w:rsidR="00565FFB" w:rsidRDefault="00565FFB">
      <w:pPr>
        <w:pStyle w:val="BodyText"/>
      </w:pPr>
    </w:p>
    <w:p w14:paraId="59AF79FD" w14:textId="0C1AC5EB" w:rsidR="00565FFB" w:rsidRDefault="00DE0360">
      <w:pPr>
        <w:pStyle w:val="Heading3"/>
      </w:pPr>
      <w:bookmarkStart w:id="8" w:name="laboratory-based-surveillance"/>
      <w:bookmarkEnd w:id="4"/>
      <w:bookmarkEnd w:id="7"/>
      <w:r>
        <w:t>1.2 Laboratory-based surveillance</w:t>
      </w:r>
    </w:p>
    <w:p w14:paraId="3BE7C018" w14:textId="77777777" w:rsidR="00565FFB" w:rsidRDefault="00DE0360" w:rsidP="00CC4308">
      <w:pPr>
        <w:pStyle w:val="Heading4"/>
      </w:pPr>
      <w:bookmarkStart w:id="9" w:name="Xe26c365f2fc725ff56923a02a88adf6e38446e9"/>
      <w:r>
        <w:t>Sentinel laboratories, including National Influenza Centres</w:t>
      </w:r>
    </w:p>
    <w:p w14:paraId="44C122BF" w14:textId="38341E2C" w:rsidR="00565FFB" w:rsidRPr="0094360A" w:rsidRDefault="00DE0360" w:rsidP="00720ECB">
      <w:pPr>
        <w:numPr>
          <w:ilvl w:val="0"/>
          <w:numId w:val="15"/>
        </w:numPr>
      </w:pPr>
      <w:r w:rsidRPr="0094360A">
        <w:t xml:space="preserve">This fortnight (25 March to 7 April 2024), </w:t>
      </w:r>
      <w:r w:rsidR="00334207" w:rsidRPr="0094360A">
        <w:t>3.</w:t>
      </w:r>
      <w:r w:rsidR="00221B81" w:rsidRPr="0094360A">
        <w:t>7</w:t>
      </w:r>
      <w:r w:rsidRPr="0094360A">
        <w:t>% (</w:t>
      </w:r>
      <w:r w:rsidR="001A4C51" w:rsidRPr="0094360A">
        <w:t>40</w:t>
      </w:r>
      <w:r w:rsidR="00E1064D" w:rsidRPr="0094360A">
        <w:t>0</w:t>
      </w:r>
      <w:r w:rsidRPr="0094360A">
        <w:t>/</w:t>
      </w:r>
      <w:r w:rsidR="00D30DF6" w:rsidRPr="0094360A">
        <w:t>10,838</w:t>
      </w:r>
      <w:r w:rsidRPr="0094360A">
        <w:t xml:space="preserve">) </w:t>
      </w:r>
      <w:r w:rsidR="003471C1" w:rsidRPr="0094360A">
        <w:t>of samples tested for SARS-CoV-2</w:t>
      </w:r>
      <w:r w:rsidR="00006FC5" w:rsidRPr="0094360A">
        <w:t xml:space="preserve"> across sentinel laboratories</w:t>
      </w:r>
      <w:r w:rsidR="003471C1">
        <w:t xml:space="preserve"> </w:t>
      </w:r>
      <w:r w:rsidR="00BF00C9">
        <w:t>were</w:t>
      </w:r>
      <w:r w:rsidRPr="0094360A">
        <w:t xml:space="preserve"> positive for SARS-CoV-2, </w:t>
      </w:r>
      <w:r w:rsidR="00191736">
        <w:t xml:space="preserve">a decrease </w:t>
      </w:r>
      <w:r w:rsidRPr="0094360A">
        <w:t xml:space="preserve">compared with </w:t>
      </w:r>
      <w:r w:rsidR="006525EE" w:rsidRPr="0094360A">
        <w:t>4.</w:t>
      </w:r>
      <w:r w:rsidR="00507610" w:rsidRPr="0094360A">
        <w:t>5</w:t>
      </w:r>
      <w:r w:rsidRPr="0094360A">
        <w:t>% (</w:t>
      </w:r>
      <w:r w:rsidR="00262121" w:rsidRPr="0094360A">
        <w:t>53</w:t>
      </w:r>
      <w:r w:rsidR="00F961C3" w:rsidRPr="0094360A">
        <w:t>2</w:t>
      </w:r>
      <w:r w:rsidRPr="0094360A">
        <w:t>/</w:t>
      </w:r>
      <w:r w:rsidR="00E8663C" w:rsidRPr="0094360A">
        <w:t>11,742</w:t>
      </w:r>
      <w:r w:rsidRPr="0094360A">
        <w:t xml:space="preserve">) in the previous fortnight (Figure </w:t>
      </w:r>
      <w:r w:rsidR="00E95AA9">
        <w:t>3</w:t>
      </w:r>
      <w:r w:rsidRPr="0094360A">
        <w:t>).</w:t>
      </w:r>
    </w:p>
    <w:p w14:paraId="405EE4E9" w14:textId="29F1C272" w:rsidR="00565FFB" w:rsidRPr="002D38D7" w:rsidRDefault="00DE0360" w:rsidP="00720ECB">
      <w:pPr>
        <w:numPr>
          <w:ilvl w:val="0"/>
          <w:numId w:val="15"/>
        </w:numPr>
      </w:pPr>
      <w:r w:rsidRPr="002D38D7">
        <w:t xml:space="preserve">This fortnight, </w:t>
      </w:r>
      <w:r w:rsidR="00737C27" w:rsidRPr="002D38D7">
        <w:t>3.6</w:t>
      </w:r>
      <w:r w:rsidRPr="002D38D7">
        <w:t>% (</w:t>
      </w:r>
      <w:r w:rsidR="00AD1A68" w:rsidRPr="002D38D7">
        <w:t>468</w:t>
      </w:r>
      <w:r w:rsidRPr="002D38D7">
        <w:t>/12,</w:t>
      </w:r>
      <w:r w:rsidR="007A30A2" w:rsidRPr="002D38D7">
        <w:t>859</w:t>
      </w:r>
      <w:r w:rsidRPr="002D38D7">
        <w:t xml:space="preserve">) </w:t>
      </w:r>
      <w:r w:rsidR="00006FC5" w:rsidRPr="002D38D7">
        <w:t xml:space="preserve">of the samples tested for influenza across sentinel laboratories </w:t>
      </w:r>
      <w:r w:rsidRPr="002D38D7">
        <w:t xml:space="preserve">have been positive for influenza, </w:t>
      </w:r>
      <w:r w:rsidR="00191736">
        <w:t xml:space="preserve">an increase </w:t>
      </w:r>
      <w:r w:rsidRPr="002D38D7">
        <w:t xml:space="preserve">compared with </w:t>
      </w:r>
      <w:r w:rsidR="00F85C99" w:rsidRPr="002D38D7">
        <w:t>3.</w:t>
      </w:r>
      <w:r w:rsidR="009C4E2F" w:rsidRPr="002D38D7">
        <w:t>2</w:t>
      </w:r>
      <w:r w:rsidRPr="002D38D7">
        <w:t>% (4</w:t>
      </w:r>
      <w:r w:rsidR="0064287D" w:rsidRPr="002D38D7">
        <w:t>43</w:t>
      </w:r>
      <w:r w:rsidRPr="002D38D7">
        <w:t>/</w:t>
      </w:r>
      <w:r w:rsidR="00B1552D" w:rsidRPr="002D38D7">
        <w:t>13,702</w:t>
      </w:r>
      <w:r w:rsidRPr="002D38D7">
        <w:t>) in the previous fortnight</w:t>
      </w:r>
      <w:r w:rsidR="00721615">
        <w:t xml:space="preserve"> (Figure 3)</w:t>
      </w:r>
      <w:r w:rsidRPr="002D38D7">
        <w:t>.</w:t>
      </w:r>
    </w:p>
    <w:p w14:paraId="13808B39" w14:textId="7D47B117" w:rsidR="00565FFB" w:rsidRPr="005D28EC" w:rsidRDefault="00DE0360" w:rsidP="00720ECB">
      <w:pPr>
        <w:numPr>
          <w:ilvl w:val="0"/>
          <w:numId w:val="15"/>
        </w:numPr>
      </w:pPr>
      <w:r w:rsidRPr="005D28EC">
        <w:t xml:space="preserve">This fortnight, </w:t>
      </w:r>
      <w:r w:rsidR="00FB3158" w:rsidRPr="005D28EC">
        <w:t>3.1</w:t>
      </w:r>
      <w:r w:rsidRPr="005D28EC">
        <w:t>% (3</w:t>
      </w:r>
      <w:r w:rsidR="008609F7" w:rsidRPr="005D28EC">
        <w:t>39</w:t>
      </w:r>
      <w:r w:rsidRPr="005D28EC">
        <w:t>/</w:t>
      </w:r>
      <w:r w:rsidR="00370E98" w:rsidRPr="005D28EC">
        <w:t>10,838</w:t>
      </w:r>
      <w:r w:rsidRPr="005D28EC">
        <w:t xml:space="preserve">) </w:t>
      </w:r>
      <w:r w:rsidR="00395714" w:rsidRPr="005D28EC">
        <w:t xml:space="preserve">of the samples tested for RSV across sentinel laboratories </w:t>
      </w:r>
      <w:r w:rsidRPr="005D28EC">
        <w:t xml:space="preserve">have been positive for RSV, </w:t>
      </w:r>
      <w:r w:rsidR="00191736">
        <w:t xml:space="preserve">an increase </w:t>
      </w:r>
      <w:r w:rsidRPr="005D28EC">
        <w:t xml:space="preserve">compared with </w:t>
      </w:r>
      <w:r w:rsidR="000561FC" w:rsidRPr="005D28EC">
        <w:t>1.</w:t>
      </w:r>
      <w:r w:rsidR="00B626CF" w:rsidRPr="005D28EC">
        <w:t>8</w:t>
      </w:r>
      <w:r w:rsidRPr="005D28EC">
        <w:t>% (</w:t>
      </w:r>
      <w:r w:rsidR="007B6E10" w:rsidRPr="005D28EC">
        <w:t>207</w:t>
      </w:r>
      <w:r w:rsidRPr="005D28EC">
        <w:t>/</w:t>
      </w:r>
      <w:r w:rsidR="0038709F" w:rsidRPr="005D28EC">
        <w:t>11,742</w:t>
      </w:r>
      <w:r w:rsidRPr="005D28EC">
        <w:t xml:space="preserve">) in the previous fortnight (Figure </w:t>
      </w:r>
      <w:r w:rsidR="00E95AA9">
        <w:t>3</w:t>
      </w:r>
      <w:r w:rsidRPr="005D28EC">
        <w:t>).</w:t>
      </w:r>
    </w:p>
    <w:p w14:paraId="4569D59C" w14:textId="77777777" w:rsidR="00565FFB" w:rsidRDefault="00DE0360" w:rsidP="00720ECB">
      <w:pPr>
        <w:numPr>
          <w:ilvl w:val="0"/>
          <w:numId w:val="15"/>
        </w:numPr>
      </w:pPr>
      <w:r>
        <w:t>This fortnight, the most commonly detected respiratory viruses by sentinel laboratory site and week are as follows:</w:t>
      </w:r>
    </w:p>
    <w:p w14:paraId="08349B97" w14:textId="58304E08" w:rsidR="00565FFB" w:rsidRDefault="00DE0360" w:rsidP="00720ECB">
      <w:pPr>
        <w:numPr>
          <w:ilvl w:val="1"/>
          <w:numId w:val="16"/>
        </w:numPr>
      </w:pPr>
      <w:r>
        <w:t xml:space="preserve">New South Wales: </w:t>
      </w:r>
      <w:r w:rsidR="00AC6FD1">
        <w:t>r</w:t>
      </w:r>
      <w:r>
        <w:t>hinovirus</w:t>
      </w:r>
      <w:r w:rsidR="007A49FC">
        <w:t xml:space="preserve"> and </w:t>
      </w:r>
      <w:r>
        <w:t xml:space="preserve">RSV (week 13) and </w:t>
      </w:r>
      <w:r w:rsidR="00AC6FD1">
        <w:t>i</w:t>
      </w:r>
      <w:r>
        <w:t>nfluenza A (week 14)</w:t>
      </w:r>
    </w:p>
    <w:p w14:paraId="6541A221" w14:textId="51F7E092" w:rsidR="00565FFB" w:rsidRDefault="00DE0360" w:rsidP="00720ECB">
      <w:pPr>
        <w:numPr>
          <w:ilvl w:val="1"/>
          <w:numId w:val="16"/>
        </w:numPr>
      </w:pPr>
      <w:r>
        <w:t xml:space="preserve">South Australia: </w:t>
      </w:r>
      <w:r w:rsidR="00AC6FD1">
        <w:t>r</w:t>
      </w:r>
      <w:r>
        <w:t>hinovirus (</w:t>
      </w:r>
      <w:r w:rsidR="00B9783B">
        <w:t xml:space="preserve">both </w:t>
      </w:r>
      <w:r>
        <w:t>week</w:t>
      </w:r>
      <w:r w:rsidR="00B9783B">
        <w:t>s</w:t>
      </w:r>
      <w:r>
        <w:t>)</w:t>
      </w:r>
    </w:p>
    <w:p w14:paraId="21F5C79F" w14:textId="69899263" w:rsidR="00565FFB" w:rsidRDefault="00785F2B" w:rsidP="00720ECB">
      <w:pPr>
        <w:numPr>
          <w:ilvl w:val="1"/>
          <w:numId w:val="16"/>
        </w:numPr>
      </w:pPr>
      <w:r>
        <w:t xml:space="preserve">Tasmania: </w:t>
      </w:r>
      <w:r w:rsidR="00AC6FD1">
        <w:t>r</w:t>
      </w:r>
      <w:r>
        <w:t>hinovirus (week 13) and SARS-CoV-2 (week 14)</w:t>
      </w:r>
    </w:p>
    <w:p w14:paraId="6CF7ED5C" w14:textId="0F172843" w:rsidR="00565FFB" w:rsidRDefault="00DE0360" w:rsidP="00720ECB">
      <w:pPr>
        <w:numPr>
          <w:ilvl w:val="1"/>
          <w:numId w:val="16"/>
        </w:numPr>
      </w:pPr>
      <w:r>
        <w:lastRenderedPageBreak/>
        <w:t>Victoria: SARS-CoV-2</w:t>
      </w:r>
      <w:r w:rsidR="00CD2D65">
        <w:t xml:space="preserve"> and</w:t>
      </w:r>
      <w:r>
        <w:t xml:space="preserve"> </w:t>
      </w:r>
      <w:r w:rsidR="00AC6FD1">
        <w:t>p</w:t>
      </w:r>
      <w:r>
        <w:t xml:space="preserve">icornavirus (week 13) and </w:t>
      </w:r>
      <w:r w:rsidR="00F519A0">
        <w:t>n</w:t>
      </w:r>
      <w:r w:rsidR="000076CB">
        <w:t xml:space="preserve">il </w:t>
      </w:r>
      <w:r w:rsidR="7C73D39B">
        <w:t xml:space="preserve">viruses </w:t>
      </w:r>
      <w:r w:rsidR="00D15C59">
        <w:t>detected</w:t>
      </w:r>
      <w:r w:rsidR="12E9C47B">
        <w:t xml:space="preserve"> </w:t>
      </w:r>
      <w:r>
        <w:t>(week 14)</w:t>
      </w:r>
    </w:p>
    <w:p w14:paraId="7E59D103" w14:textId="1580FB72" w:rsidR="00565FFB" w:rsidRDefault="00DE0360" w:rsidP="00720ECB">
      <w:pPr>
        <w:numPr>
          <w:ilvl w:val="1"/>
          <w:numId w:val="16"/>
        </w:numPr>
      </w:pPr>
      <w:r>
        <w:t xml:space="preserve">Western Australia: </w:t>
      </w:r>
      <w:r w:rsidR="00AC6FD1">
        <w:t>p</w:t>
      </w:r>
      <w:r>
        <w:t xml:space="preserve">arainfluenza (week 13) and </w:t>
      </w:r>
      <w:r w:rsidR="00E96211">
        <w:t>SARS-CoV-2</w:t>
      </w:r>
      <w:r>
        <w:t xml:space="preserve"> (week 14).</w:t>
      </w:r>
    </w:p>
    <w:p w14:paraId="6304D9F8" w14:textId="5C93C578" w:rsidR="000E7D4D" w:rsidRPr="006D342E" w:rsidRDefault="000E7D4D" w:rsidP="000E7D4D">
      <w:pPr>
        <w:numPr>
          <w:ilvl w:val="0"/>
          <w:numId w:val="7"/>
        </w:numPr>
      </w:pPr>
      <w:r w:rsidRPr="00FD0736">
        <w:t xml:space="preserve">In the year to date, </w:t>
      </w:r>
      <w:r w:rsidR="00846F64" w:rsidRPr="00FD0736">
        <w:t>5.</w:t>
      </w:r>
      <w:r w:rsidR="00E55A09" w:rsidRPr="00FD0736">
        <w:t>3</w:t>
      </w:r>
      <w:r w:rsidRPr="00FD0736">
        <w:t>% (</w:t>
      </w:r>
      <w:r w:rsidR="009E64C7" w:rsidRPr="00FD0736">
        <w:t>4,343</w:t>
      </w:r>
      <w:r w:rsidRPr="00FD0736">
        <w:t>/</w:t>
      </w:r>
      <w:r w:rsidR="00F852B0" w:rsidRPr="00FD0736">
        <w:t>82,145</w:t>
      </w:r>
      <w:r w:rsidRPr="00FD0736">
        <w:t xml:space="preserve">) </w:t>
      </w:r>
      <w:r w:rsidR="009E0500" w:rsidRPr="00FD0736">
        <w:t>of samples tested for SARS-CoV</w:t>
      </w:r>
      <w:r w:rsidR="00227A6D" w:rsidRPr="00FD0736">
        <w:t xml:space="preserve">-2 </w:t>
      </w:r>
      <w:r w:rsidRPr="00FD0736">
        <w:t xml:space="preserve">have been positive for SARS-CoV-2, </w:t>
      </w:r>
      <w:r w:rsidR="00512BD8" w:rsidRPr="00E01B1F">
        <w:t>2.</w:t>
      </w:r>
      <w:r w:rsidR="00D3362F" w:rsidRPr="00E01B1F">
        <w:t>6</w:t>
      </w:r>
      <w:r w:rsidRPr="00E01B1F">
        <w:t xml:space="preserve">% (2,472/95,968) </w:t>
      </w:r>
      <w:r w:rsidR="00227A6D" w:rsidRPr="00E01B1F">
        <w:t xml:space="preserve">of samples tested for influenza </w:t>
      </w:r>
      <w:r w:rsidRPr="00E01B1F">
        <w:t xml:space="preserve">have been positive for influenza and </w:t>
      </w:r>
      <w:r w:rsidRPr="006D342E">
        <w:t>1</w:t>
      </w:r>
      <w:r w:rsidR="005763F7" w:rsidRPr="006D342E">
        <w:t>.4</w:t>
      </w:r>
      <w:r w:rsidRPr="006D342E">
        <w:t>% (1</w:t>
      </w:r>
      <w:r w:rsidR="005763F7" w:rsidRPr="006D342E">
        <w:t>,</w:t>
      </w:r>
      <w:r w:rsidR="00C42173" w:rsidRPr="006D342E">
        <w:t>174</w:t>
      </w:r>
      <w:r w:rsidRPr="006D342E">
        <w:t>/</w:t>
      </w:r>
      <w:r w:rsidR="00F852B0" w:rsidRPr="006D342E">
        <w:t>82,145</w:t>
      </w:r>
      <w:r w:rsidRPr="006D342E">
        <w:t xml:space="preserve">) </w:t>
      </w:r>
      <w:r w:rsidR="00227A6D" w:rsidRPr="006D342E">
        <w:t xml:space="preserve">of samples tested for RSV </w:t>
      </w:r>
      <w:r w:rsidRPr="006D342E">
        <w:t xml:space="preserve">have been positive for RSV (Figure </w:t>
      </w:r>
      <w:r w:rsidR="00E95AA9">
        <w:t>3</w:t>
      </w:r>
      <w:r w:rsidRPr="006D342E">
        <w:t>).</w:t>
      </w:r>
    </w:p>
    <w:p w14:paraId="61746844" w14:textId="40D37F0D" w:rsidR="00565FFB" w:rsidRDefault="001A734A">
      <w:r w:rsidRPr="001A734A">
        <w:rPr>
          <w:b/>
          <w:bCs/>
        </w:rPr>
        <w:t xml:space="preserve">Figure </w:t>
      </w:r>
      <w:r w:rsidR="00E95AA9">
        <w:rPr>
          <w:b/>
          <w:bCs/>
        </w:rPr>
        <w:t>3</w:t>
      </w:r>
      <w:r w:rsidR="00DE0360">
        <w:rPr>
          <w:b/>
          <w:bCs/>
        </w:rPr>
        <w:t>: Total number of specimens tested by sentinel laboratories and proportion of positive sentinel laboratory tests by pathogen and week of report</w:t>
      </w:r>
      <w:r w:rsidR="00C1733C">
        <w:rPr>
          <w:b/>
          <w:bCs/>
        </w:rPr>
        <w:t>*</w:t>
      </w:r>
      <w:r w:rsidR="00C1733C" w:rsidRPr="003B52CB">
        <w:rPr>
          <w:b/>
          <w:bCs/>
          <w:vertAlign w:val="superscript"/>
        </w:rPr>
        <w:t>†</w:t>
      </w:r>
      <w:r w:rsidR="00DE0360">
        <w:rPr>
          <w:b/>
          <w:bCs/>
        </w:rPr>
        <w:t>, 1 January to 7 April 2024</w:t>
      </w:r>
    </w:p>
    <w:p w14:paraId="49D0E8F2" w14:textId="59F874E1" w:rsidR="00565FFB" w:rsidRDefault="00E66144" w:rsidP="00694001">
      <w:pPr>
        <w:pStyle w:val="Smalltext"/>
      </w:pPr>
      <w:r>
        <w:rPr>
          <w:noProof/>
        </w:rPr>
        <w:drawing>
          <wp:inline distT="0" distB="0" distL="0" distR="0" wp14:anchorId="4C3AB826" wp14:editId="6DCF1CF8">
            <wp:extent cx="6184900" cy="2769924"/>
            <wp:effectExtent l="0" t="0" r="0" b="0"/>
            <wp:docPr id="38" name="Graphic 38" descr="A stacked bar chart showing the weekly proportion of sentinel laboratory tests positive for SARS-CoV-2, influenza, or RSV by week of report, from 1 January to 7 April 2024. A line graph plotted on the secondary (right) axis shows the total number of specimens tested, by week of report, from 1 January to 7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and approximately 3.5% positivity per week in the most recent fortnight. The weekly proportion of influenza positive tests has fluctuated across 2024, while the weekly proportion of RSV positive tests has slowly increased since early 2024. Since the beginning of 2024, the total number of specimens tested has remained relatively stable with approximately 6,000 tests per week at the start of the year and approximately 5,4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Picture" descr="A stacked bar chart showing the weekly proportion of sentinel laboratory tests positive for SARS-CoV-2, influenza, or RSV by week of report, from 1 January to 7 April 2024. A line graph plotted on the secondary (right) axis shows the total number of specimens tested, by week of report, from 1 January to 7 April 2024. The weekly proportion of positive tests has remained above 7.0% since the start of 2024, with SARS-CoV-2 accounting for the largest proportion of positive tests in the year to date. Since the beginning of 2024, the weekly proportion of SARS-CoV-2 positive tests followed a decreasing trend, with approximately 8.0% positivity per week at the start of the year and approximately 3.5% positivity per week in the most recent fortnight. The weekly proportion of influenza positive tests has fluctuated across 2024, while the weekly proportion of RSV positive tests has slowly increased since early 2024. Since the beginning of 2024, the total number of specimens tested has remained relatively stable with approximately 6,000 tests per week at the start of the year and approximately 5,400 tests per week in the most recent fortnight."/>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69924"/>
                    </a:xfrm>
                    <a:prstGeom prst="rect">
                      <a:avLst/>
                    </a:prstGeom>
                    <a:noFill/>
                    <a:ln w="9525">
                      <a:noFill/>
                      <a:headEnd/>
                      <a:tailEnd/>
                    </a:ln>
                  </pic:spPr>
                </pic:pic>
              </a:graphicData>
            </a:graphic>
          </wp:inline>
        </w:drawing>
      </w:r>
      <w:r w:rsidR="00C1733C">
        <w:br/>
        <w:t xml:space="preserve">* </w:t>
      </w:r>
      <w:r w:rsidR="00160A9F">
        <w:t>Number of specimens tested excludes</w:t>
      </w:r>
      <w:r w:rsidR="00C1733C">
        <w:t xml:space="preserve"> </w:t>
      </w:r>
      <w:r w:rsidR="000679F3">
        <w:t>data from Western Australia</w:t>
      </w:r>
      <w:r w:rsidR="00B8791F">
        <w:t xml:space="preserve"> as </w:t>
      </w:r>
      <w:r w:rsidR="001B2F97">
        <w:t xml:space="preserve">testing </w:t>
      </w:r>
      <w:r w:rsidR="00160A9F">
        <w:t>denominator</w:t>
      </w:r>
      <w:r w:rsidR="001B2F97">
        <w:t xml:space="preserve"> are </w:t>
      </w:r>
      <w:r w:rsidR="00160A9F">
        <w:t>different</w:t>
      </w:r>
      <w:r w:rsidR="001B2F97">
        <w:t xml:space="preserve"> for </w:t>
      </w:r>
      <w:r w:rsidR="00160A9F">
        <w:t>the three pathogens in Western Australia</w:t>
      </w:r>
      <w:r w:rsidR="00C1733C">
        <w:t>.</w:t>
      </w:r>
      <w:r w:rsidR="00C1733C">
        <w:br/>
        <w:t xml:space="preserve">† </w:t>
      </w:r>
      <w:r w:rsidR="005107D2" w:rsidRPr="005107D2">
        <w:t>A small minority of total samples</w:t>
      </w:r>
      <w:r w:rsidR="005107D2">
        <w:t xml:space="preserve"> from Victoria</w:t>
      </w:r>
      <w:r w:rsidR="005107D2" w:rsidRPr="005107D2">
        <w:t xml:space="preserve"> are tested only </w:t>
      </w:r>
      <w:r w:rsidR="005107D2">
        <w:t>by</w:t>
      </w:r>
      <w:r w:rsidR="005107D2" w:rsidRPr="005107D2">
        <w:t xml:space="preserve"> respiratory panel (influenza, parainfluenza, adenovirus, human metapneumovirus, seasonal coronaviruses, RSV, and some picornaviruses) but </w:t>
      </w:r>
      <w:r w:rsidR="005107D2">
        <w:t>not</w:t>
      </w:r>
      <w:r w:rsidR="005107D2" w:rsidRPr="005107D2">
        <w:t xml:space="preserve"> for SARS-CoV-2. Th</w:t>
      </w:r>
      <w:r w:rsidR="004C5F73">
        <w:t>ese</w:t>
      </w:r>
      <w:r w:rsidR="005107D2" w:rsidRPr="005107D2">
        <w:t xml:space="preserve"> </w:t>
      </w:r>
      <w:r w:rsidR="00954F62">
        <w:t xml:space="preserve">minority </w:t>
      </w:r>
      <w:r w:rsidR="005107D2" w:rsidRPr="005107D2">
        <w:t xml:space="preserve">samples </w:t>
      </w:r>
      <w:r w:rsidR="00F17C48">
        <w:t>include only</w:t>
      </w:r>
      <w:r w:rsidR="005107D2" w:rsidRPr="005107D2">
        <w:t xml:space="preserve"> forensic </w:t>
      </w:r>
      <w:r w:rsidR="009C68AA" w:rsidRPr="005107D2">
        <w:t>materials</w:t>
      </w:r>
      <w:r w:rsidR="009C68AA">
        <w:t>;</w:t>
      </w:r>
      <w:r w:rsidR="00F17C48">
        <w:t xml:space="preserve"> all other samples are tested </w:t>
      </w:r>
      <w:r w:rsidR="00A82F6B">
        <w:t>by respiratory panel and SARS-CoV-2 assay</w:t>
      </w:r>
      <w:r w:rsidR="005107D2" w:rsidRPr="005107D2">
        <w:t xml:space="preserve">. </w:t>
      </w:r>
    </w:p>
    <w:p w14:paraId="6E85697F" w14:textId="77777777" w:rsidR="00565FFB" w:rsidRDefault="00565FFB">
      <w:pPr>
        <w:pStyle w:val="BodyText"/>
      </w:pPr>
    </w:p>
    <w:p w14:paraId="0F2D2852" w14:textId="77777777" w:rsidR="00565FFB" w:rsidRDefault="00DE0360">
      <w:pPr>
        <w:pStyle w:val="Heading3"/>
      </w:pPr>
      <w:bookmarkStart w:id="10" w:name="case-based-surveillance"/>
      <w:bookmarkEnd w:id="8"/>
      <w:bookmarkEnd w:id="9"/>
      <w:r>
        <w:t>1.3 Case-based surveillance</w:t>
      </w:r>
    </w:p>
    <w:p w14:paraId="52709CF1" w14:textId="77777777" w:rsidR="00565FFB" w:rsidRDefault="00DE0360" w:rsidP="00CC4308">
      <w:pPr>
        <w:pStyle w:val="Heading4"/>
      </w:pPr>
      <w:bookmarkStart w:id="11" w:name="nndss"/>
      <w:r>
        <w:t>NNDSS</w:t>
      </w:r>
    </w:p>
    <w:p w14:paraId="4541AA82" w14:textId="550B005E" w:rsidR="00565FFB" w:rsidRDefault="003F6514" w:rsidP="00720ECB">
      <w:pPr>
        <w:numPr>
          <w:ilvl w:val="0"/>
          <w:numId w:val="17"/>
        </w:numPr>
      </w:pPr>
      <w:bookmarkStart w:id="12" w:name="_Hlk163746886"/>
      <w:r w:rsidRPr="003F6514">
        <w:t>Nationally, RSV has been notified at the highest levels in the reporting fortnight, but COVID-19 maintains the highest notifications in the year to date</w:t>
      </w:r>
      <w:r w:rsidRPr="003F6514" w:rsidDel="003F6514">
        <w:t xml:space="preserve"> </w:t>
      </w:r>
      <w:bookmarkEnd w:id="12"/>
      <w:r w:rsidR="004A5CE2">
        <w:t>(Table 1).</w:t>
      </w:r>
    </w:p>
    <w:p w14:paraId="033718B8" w14:textId="4F749556" w:rsidR="00565FFB" w:rsidRDefault="00007E5A" w:rsidP="00720ECB">
      <w:pPr>
        <w:numPr>
          <w:ilvl w:val="0"/>
          <w:numId w:val="17"/>
        </w:numPr>
      </w:pPr>
      <w:r>
        <w:t>Nationally, t</w:t>
      </w:r>
      <w:r w:rsidR="00DE0360">
        <w:t xml:space="preserve">here </w:t>
      </w:r>
      <w:r w:rsidR="00D12611">
        <w:t>were</w:t>
      </w:r>
      <w:r w:rsidR="00DE0360">
        <w:t xml:space="preserve"> </w:t>
      </w:r>
      <w:r w:rsidR="00DE0360" w:rsidRPr="00E761C4">
        <w:t>8,614 COVID-19</w:t>
      </w:r>
      <w:r w:rsidR="00DE0360">
        <w:t xml:space="preserve"> notifications with a diagnosis date this fortnight (25 March to 7 April</w:t>
      </w:r>
      <w:r w:rsidR="0040292A">
        <w:t xml:space="preserve"> 2024</w:t>
      </w:r>
      <w:r w:rsidR="00DE0360">
        <w:t xml:space="preserve">), compared </w:t>
      </w:r>
      <w:r w:rsidR="00DE0360" w:rsidRPr="00092722">
        <w:t xml:space="preserve">with </w:t>
      </w:r>
      <w:r w:rsidR="00DE0360" w:rsidRPr="00E761C4">
        <w:t>9,864 notifications</w:t>
      </w:r>
      <w:r w:rsidR="00DE0360">
        <w:t xml:space="preserve"> in the previous fortnight representing a 12.</w:t>
      </w:r>
      <w:r w:rsidR="006B0F28">
        <w:t>7</w:t>
      </w:r>
      <w:r w:rsidR="00DE0360">
        <w:t>% decrease (Figure 5).</w:t>
      </w:r>
    </w:p>
    <w:p w14:paraId="07D7F266" w14:textId="6B315FAA" w:rsidR="008A67F7" w:rsidRDefault="00DE0360" w:rsidP="00BE4350">
      <w:pPr>
        <w:numPr>
          <w:ilvl w:val="0"/>
          <w:numId w:val="18"/>
        </w:numPr>
      </w:pPr>
      <w:r>
        <w:t xml:space="preserve">In the year to date, there have been </w:t>
      </w:r>
      <w:r w:rsidR="007B7904" w:rsidRPr="00E761C4">
        <w:t>100,370</w:t>
      </w:r>
      <w:r w:rsidRPr="00E761C4">
        <w:t xml:space="preserve"> COVID-19</w:t>
      </w:r>
      <w:r>
        <w:t xml:space="preserve"> notifications reported to the NNDSS</w:t>
      </w:r>
      <w:r w:rsidR="00660A4C">
        <w:t>. This represents a considerable decrease compared with the number of notifications in the same period in 2023</w:t>
      </w:r>
      <w:r w:rsidR="00395C17">
        <w:t xml:space="preserve"> and 2022</w:t>
      </w:r>
      <w:r w:rsidR="00D30C7E">
        <w:t>; however, this trend should be interpreted with caution</w:t>
      </w:r>
      <w:r w:rsidR="00D20535">
        <w:t xml:space="preserve"> d</w:t>
      </w:r>
      <w:r w:rsidR="00D20535" w:rsidRPr="00D20535">
        <w:t>ue to a reduction in case ascertainment and reporting in all jurisdictions, including changes in testing and collection of self-reported RAT results</w:t>
      </w:r>
      <w:r w:rsidR="000617C2">
        <w:t xml:space="preserve"> </w:t>
      </w:r>
      <w:r>
        <w:t>(</w:t>
      </w:r>
      <w:r w:rsidR="005E418F">
        <w:t>Figure 4</w:t>
      </w:r>
      <w:r w:rsidR="00F17506">
        <w:t>, Figure 5</w:t>
      </w:r>
      <w:r>
        <w:t>).</w:t>
      </w:r>
    </w:p>
    <w:p w14:paraId="724D594E" w14:textId="77777777" w:rsidR="008A67F7" w:rsidRDefault="008A67F7">
      <w:pPr>
        <w:spacing w:before="0" w:after="0" w:line="240" w:lineRule="auto"/>
      </w:pPr>
      <w:r>
        <w:br w:type="page"/>
      </w:r>
    </w:p>
    <w:p w14:paraId="187DDA05" w14:textId="77777777" w:rsidR="00920C12" w:rsidRDefault="00920C12" w:rsidP="008A67F7">
      <w:pPr>
        <w:pStyle w:val="BodyText"/>
        <w:rPr>
          <w:b/>
          <w:bCs/>
        </w:rPr>
      </w:pPr>
      <w:r>
        <w:rPr>
          <w:b/>
          <w:bCs/>
        </w:rPr>
        <w:lastRenderedPageBreak/>
        <w:t>Table 1: Notifications to the NNDSS and notification rate per 100,000 population by disease, five</w:t>
      </w:r>
      <w:r w:rsidRPr="53F5DD37">
        <w:rPr>
          <w:b/>
          <w:bCs/>
        </w:rPr>
        <w:t>-</w:t>
      </w:r>
      <w:r>
        <w:rPr>
          <w:b/>
          <w:bCs/>
        </w:rPr>
        <w:t>year age groups, and jurisdiction*, Australia, 1 January to 7 April 2024</w:t>
      </w:r>
    </w:p>
    <w:tbl>
      <w:tblPr>
        <w:tblStyle w:val="DepartmentofHealthtable"/>
        <w:tblW w:w="5000" w:type="pct"/>
        <w:tblLook w:val="04A0" w:firstRow="1" w:lastRow="0" w:firstColumn="1"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5 March to 7 April 2024) and for year to date (1 January to 7 April 2024). There were 8,614 COVID-19 notifications with a diagnosis date this fortnight. In the year to date, the national notification rate of COVID-19 is 376.8 notifications per 100,000 population. Since the beginning of 2024, COVID-19 notification rates have been highest among those aged 70 years or over (939.7 notifications per 100,000 population), followed by those aged 0–4 years (488.4 notifications per 100,000 population). There were 5,746 influenza notifications with a diagnosis date this fortnight. In the year to date, the national notification rate of influenza is 125.1 notifications per 100,000 population. Influenza notification rates have been highest among those aged 0–4 years (226.5 notifications per 100,000 population) followed closely by those aged 5–9 years (217.2 notifications per 100,000 population). In the year to date, influenza notification rates have been highest in Queensland (169.2 notifications per 100,000 population) and lowest in Tasmania (47.8 notifications per 100,000 population). There were 9,496 RSV notifications with a diagnosis date this fortnight. In the year to date, the national notification rate of RSV is 138.6 notifications per 100,000 population. RSV notification rates have been highest among those aged 0–4 years (1,426.1 notifications per 100,000 population), followed by those aged 5–9 years (146.4 notifications per 100,000 population). In the year to date, RSV notification rates have been highest in the Northern Territory (265.8 notifications per 100,000 population), followed by New South Wales (247.2 notifications per 100,000 population), and lowest in Western Australia (26.8 notifications per 100,000 population)."/>
      </w:tblPr>
      <w:tblGrid>
        <w:gridCol w:w="976"/>
        <w:gridCol w:w="976"/>
        <w:gridCol w:w="975"/>
        <w:gridCol w:w="977"/>
        <w:gridCol w:w="975"/>
        <w:gridCol w:w="975"/>
        <w:gridCol w:w="979"/>
        <w:gridCol w:w="975"/>
        <w:gridCol w:w="975"/>
        <w:gridCol w:w="969"/>
      </w:tblGrid>
      <w:tr w:rsidR="002974BC" w:rsidRPr="002974BC" w14:paraId="31F7567D" w14:textId="77777777" w:rsidTr="00B51078">
        <w:trPr>
          <w:cnfStyle w:val="100000000000" w:firstRow="1" w:lastRow="0" w:firstColumn="0" w:lastColumn="0" w:oddVBand="0" w:evenVBand="0" w:oddHBand="0" w:evenHBand="0" w:firstRowFirstColumn="0" w:firstRowLastColumn="0" w:lastRowFirstColumn="0" w:lastRowLastColumn="0"/>
          <w:trHeight w:val="368"/>
        </w:trPr>
        <w:tc>
          <w:tcPr>
            <w:tcW w:w="500" w:type="pct"/>
          </w:tcPr>
          <w:p w14:paraId="2F21B747" w14:textId="77777777" w:rsidR="00920C12" w:rsidRPr="002974BC" w:rsidRDefault="00920C12" w:rsidP="00E77E9F">
            <w:pPr>
              <w:spacing w:before="100" w:after="100"/>
              <w:rPr>
                <w:rFonts w:cs="Arial"/>
                <w:b w:val="0"/>
                <w:sz w:val="18"/>
                <w:szCs w:val="18"/>
              </w:rPr>
            </w:pPr>
          </w:p>
        </w:tc>
        <w:tc>
          <w:tcPr>
            <w:tcW w:w="1501" w:type="pct"/>
            <w:gridSpan w:val="3"/>
            <w:tcBorders>
              <w:bottom w:val="single" w:sz="8" w:space="0" w:color="27F3F3" w:themeColor="text1" w:themeTint="80"/>
            </w:tcBorders>
          </w:tcPr>
          <w:p w14:paraId="3B80E0E1" w14:textId="77777777" w:rsidR="00920C12" w:rsidRPr="002974BC" w:rsidRDefault="00920C12" w:rsidP="00E77E9F">
            <w:pPr>
              <w:spacing w:before="100" w:after="100"/>
              <w:jc w:val="center"/>
              <w:rPr>
                <w:rFonts w:cs="Arial"/>
                <w:b w:val="0"/>
                <w:sz w:val="18"/>
                <w:szCs w:val="18"/>
              </w:rPr>
            </w:pPr>
            <w:r w:rsidRPr="002974BC">
              <w:rPr>
                <w:rFonts w:cs="Arial"/>
                <w:sz w:val="18"/>
                <w:szCs w:val="18"/>
              </w:rPr>
              <w:t>COVID-19</w:t>
            </w:r>
          </w:p>
        </w:tc>
        <w:tc>
          <w:tcPr>
            <w:tcW w:w="1502" w:type="pct"/>
            <w:gridSpan w:val="3"/>
            <w:tcBorders>
              <w:bottom w:val="single" w:sz="8" w:space="0" w:color="27F3F3" w:themeColor="text1" w:themeTint="80"/>
            </w:tcBorders>
          </w:tcPr>
          <w:p w14:paraId="5A3FF985" w14:textId="77777777" w:rsidR="00920C12" w:rsidRPr="002974BC" w:rsidRDefault="00920C12" w:rsidP="00E77E9F">
            <w:pPr>
              <w:spacing w:before="100" w:after="100"/>
              <w:jc w:val="center"/>
              <w:rPr>
                <w:rFonts w:cs="Arial"/>
                <w:b w:val="0"/>
                <w:sz w:val="18"/>
                <w:szCs w:val="18"/>
              </w:rPr>
            </w:pPr>
            <w:r w:rsidRPr="002974BC">
              <w:rPr>
                <w:rFonts w:cs="Arial"/>
                <w:sz w:val="18"/>
                <w:szCs w:val="18"/>
              </w:rPr>
              <w:t>Influenza</w:t>
            </w:r>
          </w:p>
        </w:tc>
        <w:tc>
          <w:tcPr>
            <w:tcW w:w="1497" w:type="pct"/>
            <w:gridSpan w:val="3"/>
            <w:tcBorders>
              <w:bottom w:val="single" w:sz="8" w:space="0" w:color="27F3F3" w:themeColor="text1" w:themeTint="80"/>
            </w:tcBorders>
          </w:tcPr>
          <w:p w14:paraId="63543EBA" w14:textId="77777777" w:rsidR="00920C12" w:rsidRPr="002974BC" w:rsidRDefault="00920C12" w:rsidP="00E77E9F">
            <w:pPr>
              <w:spacing w:before="100" w:after="100"/>
              <w:jc w:val="center"/>
              <w:rPr>
                <w:rFonts w:cs="Arial"/>
                <w:b w:val="0"/>
                <w:sz w:val="18"/>
                <w:szCs w:val="18"/>
              </w:rPr>
            </w:pPr>
            <w:r w:rsidRPr="002974BC">
              <w:rPr>
                <w:rFonts w:cs="Arial"/>
                <w:sz w:val="18"/>
                <w:szCs w:val="18"/>
              </w:rPr>
              <w:t>RSV</w:t>
            </w:r>
          </w:p>
        </w:tc>
      </w:tr>
      <w:tr w:rsidR="002974BC" w:rsidRPr="002974BC" w14:paraId="6B28A2C7" w14:textId="77777777" w:rsidTr="00B51078">
        <w:trPr>
          <w:trHeight w:val="841"/>
        </w:trPr>
        <w:tc>
          <w:tcPr>
            <w:tcW w:w="500" w:type="pct"/>
            <w:shd w:val="clear" w:color="auto" w:fill="00DCA1" w:themeFill="background1"/>
          </w:tcPr>
          <w:p w14:paraId="78BDC8FB" w14:textId="77777777" w:rsidR="00920C12" w:rsidRPr="002974BC" w:rsidRDefault="00920C12" w:rsidP="00E77E9F">
            <w:pPr>
              <w:spacing w:before="100" w:after="100"/>
              <w:rPr>
                <w:rFonts w:cs="Arial"/>
                <w:b/>
                <w:sz w:val="16"/>
                <w:szCs w:val="16"/>
              </w:rPr>
            </w:pP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3D441A4"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 xml:space="preserve">(n) </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0E6FF2E"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501" w:type="pct"/>
            <w:tcBorders>
              <w:top w:val="single" w:sz="8" w:space="0" w:color="27F3F3" w:themeColor="text1" w:themeTint="80"/>
              <w:bottom w:val="single" w:sz="8" w:space="0" w:color="27F3F3" w:themeColor="text1" w:themeTint="80"/>
            </w:tcBorders>
            <w:shd w:val="clear" w:color="auto" w:fill="00DCA1" w:themeFill="background1"/>
          </w:tcPr>
          <w:p w14:paraId="58D84FF1"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7D7FAE48"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264E0947"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502" w:type="pct"/>
            <w:tcBorders>
              <w:top w:val="single" w:sz="8" w:space="0" w:color="27F3F3" w:themeColor="text1" w:themeTint="80"/>
              <w:bottom w:val="single" w:sz="8" w:space="0" w:color="27F3F3" w:themeColor="text1" w:themeTint="80"/>
            </w:tcBorders>
            <w:shd w:val="clear" w:color="auto" w:fill="00DCA1" w:themeFill="background1"/>
          </w:tcPr>
          <w:p w14:paraId="1AC6ABDB"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52BBB9D6" w14:textId="77777777" w:rsidR="00920C12" w:rsidRPr="002974BC" w:rsidRDefault="00920C12" w:rsidP="00E77E9F">
            <w:pPr>
              <w:spacing w:before="100" w:after="100"/>
              <w:jc w:val="right"/>
              <w:rPr>
                <w:rFonts w:cs="Arial"/>
                <w:b/>
                <w:sz w:val="14"/>
                <w:szCs w:val="14"/>
              </w:rPr>
            </w:pPr>
            <w:r w:rsidRPr="002974BC">
              <w:rPr>
                <w:rFonts w:cs="Arial"/>
                <w:b/>
                <w:sz w:val="14"/>
                <w:szCs w:val="14"/>
              </w:rPr>
              <w:t>Reporting fortnight</w:t>
            </w:r>
            <w:r w:rsidRPr="002974BC">
              <w:rPr>
                <w:rFonts w:cs="Arial"/>
                <w:b/>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hemeFill="background1"/>
          </w:tcPr>
          <w:p w14:paraId="06D53950"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(n)</w:t>
            </w:r>
          </w:p>
        </w:tc>
        <w:tc>
          <w:tcPr>
            <w:tcW w:w="497" w:type="pct"/>
            <w:tcBorders>
              <w:top w:val="single" w:sz="8" w:space="0" w:color="27F3F3" w:themeColor="text1" w:themeTint="80"/>
              <w:bottom w:val="single" w:sz="8" w:space="0" w:color="27F3F3" w:themeColor="text1" w:themeTint="80"/>
            </w:tcBorders>
            <w:shd w:val="clear" w:color="auto" w:fill="00DCA1" w:themeFill="background1"/>
          </w:tcPr>
          <w:p w14:paraId="3D045B20" w14:textId="77777777" w:rsidR="00920C12" w:rsidRPr="002974BC" w:rsidRDefault="00920C12" w:rsidP="00E77E9F">
            <w:pPr>
              <w:spacing w:before="100" w:after="100"/>
              <w:jc w:val="right"/>
              <w:rPr>
                <w:rFonts w:cs="Arial"/>
                <w:b/>
                <w:sz w:val="14"/>
                <w:szCs w:val="14"/>
              </w:rPr>
            </w:pPr>
            <w:r w:rsidRPr="002974BC">
              <w:rPr>
                <w:rFonts w:cs="Arial"/>
                <w:b/>
                <w:sz w:val="14"/>
                <w:szCs w:val="14"/>
              </w:rPr>
              <w:t>Year to date</w:t>
            </w:r>
            <w:r w:rsidRPr="002974BC">
              <w:rPr>
                <w:rFonts w:cs="Arial"/>
                <w:b/>
                <w:sz w:val="14"/>
                <w:szCs w:val="14"/>
              </w:rPr>
              <w:br/>
              <w:t>(rate)</w:t>
            </w:r>
          </w:p>
        </w:tc>
      </w:tr>
      <w:tr w:rsidR="00920C12" w:rsidRPr="000D1255" w14:paraId="54E57B43" w14:textId="77777777" w:rsidTr="002974BC">
        <w:trPr>
          <w:trHeight w:val="283"/>
        </w:trPr>
        <w:tc>
          <w:tcPr>
            <w:tcW w:w="5000" w:type="pct"/>
            <w:gridSpan w:val="10"/>
            <w:shd w:val="clear" w:color="auto" w:fill="00DCA1" w:themeFill="background1"/>
          </w:tcPr>
          <w:p w14:paraId="10F9A96D" w14:textId="77777777" w:rsidR="00920C12" w:rsidRPr="000D1255" w:rsidRDefault="00920C12" w:rsidP="00E77E9F">
            <w:pPr>
              <w:spacing w:before="100" w:after="100"/>
              <w:rPr>
                <w:rFonts w:cs="Arial"/>
                <w:b/>
                <w:color w:val="033636"/>
                <w:sz w:val="16"/>
                <w:szCs w:val="16"/>
              </w:rPr>
            </w:pPr>
            <w:r w:rsidRPr="000D1255">
              <w:rPr>
                <w:rFonts w:cs="Arial"/>
                <w:b/>
                <w:color w:val="033636"/>
                <w:sz w:val="18"/>
                <w:szCs w:val="18"/>
              </w:rPr>
              <w:t>Age group (years)</w:t>
            </w:r>
          </w:p>
        </w:tc>
      </w:tr>
      <w:tr w:rsidR="00920C12" w:rsidRPr="000D1255" w14:paraId="6C443C54" w14:textId="77777777" w:rsidTr="002974BC">
        <w:trPr>
          <w:trHeight w:val="283"/>
        </w:trPr>
        <w:tc>
          <w:tcPr>
            <w:tcW w:w="500" w:type="pct"/>
          </w:tcPr>
          <w:p w14:paraId="02B689D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0–</w:t>
            </w:r>
            <w:r w:rsidRPr="7AA39330">
              <w:rPr>
                <w:color w:val="033636"/>
                <w:sz w:val="18"/>
                <w:szCs w:val="18"/>
              </w:rPr>
              <w:t>4</w:t>
            </w:r>
          </w:p>
        </w:tc>
        <w:tc>
          <w:tcPr>
            <w:tcW w:w="500" w:type="pct"/>
          </w:tcPr>
          <w:p w14:paraId="2FD1CD8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574</w:t>
            </w:r>
          </w:p>
        </w:tc>
        <w:tc>
          <w:tcPr>
            <w:tcW w:w="500" w:type="pct"/>
          </w:tcPr>
          <w:p w14:paraId="1EC75DA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7,404</w:t>
            </w:r>
          </w:p>
        </w:tc>
        <w:tc>
          <w:tcPr>
            <w:tcW w:w="501" w:type="pct"/>
          </w:tcPr>
          <w:p w14:paraId="6160F927"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488.4</w:t>
            </w:r>
          </w:p>
        </w:tc>
        <w:tc>
          <w:tcPr>
            <w:tcW w:w="500" w:type="pct"/>
          </w:tcPr>
          <w:p w14:paraId="6043486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629</w:t>
            </w:r>
          </w:p>
        </w:tc>
        <w:tc>
          <w:tcPr>
            <w:tcW w:w="500" w:type="pct"/>
          </w:tcPr>
          <w:p w14:paraId="103E4FB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3,433</w:t>
            </w:r>
          </w:p>
        </w:tc>
        <w:tc>
          <w:tcPr>
            <w:tcW w:w="502" w:type="pct"/>
          </w:tcPr>
          <w:p w14:paraId="418522A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226.5</w:t>
            </w:r>
          </w:p>
        </w:tc>
        <w:tc>
          <w:tcPr>
            <w:tcW w:w="500" w:type="pct"/>
          </w:tcPr>
          <w:p w14:paraId="2B90491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5,687</w:t>
            </w:r>
          </w:p>
        </w:tc>
        <w:tc>
          <w:tcPr>
            <w:tcW w:w="500" w:type="pct"/>
          </w:tcPr>
          <w:p w14:paraId="59502BE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21,620</w:t>
            </w:r>
          </w:p>
        </w:tc>
        <w:tc>
          <w:tcPr>
            <w:tcW w:w="497" w:type="pct"/>
          </w:tcPr>
          <w:p w14:paraId="73B11A2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1426.1</w:t>
            </w:r>
          </w:p>
        </w:tc>
      </w:tr>
      <w:tr w:rsidR="00920C12" w:rsidRPr="000D1255" w14:paraId="7B2631B2" w14:textId="77777777" w:rsidTr="002974BC">
        <w:trPr>
          <w:trHeight w:val="283"/>
        </w:trPr>
        <w:tc>
          <w:tcPr>
            <w:tcW w:w="500" w:type="pct"/>
          </w:tcPr>
          <w:p w14:paraId="10CB425A"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5–9</w:t>
            </w:r>
            <w:r w:rsidRPr="7AA39330">
              <w:rPr>
                <w:rFonts w:cs="Arial"/>
                <w:color w:val="033636"/>
                <w:sz w:val="18"/>
                <w:szCs w:val="18"/>
              </w:rPr>
              <w:t> </w:t>
            </w:r>
          </w:p>
        </w:tc>
        <w:tc>
          <w:tcPr>
            <w:tcW w:w="500" w:type="pct"/>
          </w:tcPr>
          <w:p w14:paraId="60BD367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142</w:t>
            </w:r>
          </w:p>
        </w:tc>
        <w:tc>
          <w:tcPr>
            <w:tcW w:w="500" w:type="pct"/>
          </w:tcPr>
          <w:p w14:paraId="55DF167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1,849</w:t>
            </w:r>
          </w:p>
        </w:tc>
        <w:tc>
          <w:tcPr>
            <w:tcW w:w="501" w:type="pct"/>
          </w:tcPr>
          <w:p w14:paraId="6A6CFB7D"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114.8</w:t>
            </w:r>
          </w:p>
        </w:tc>
        <w:tc>
          <w:tcPr>
            <w:tcW w:w="500" w:type="pct"/>
          </w:tcPr>
          <w:p w14:paraId="71F8CFB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691</w:t>
            </w:r>
          </w:p>
        </w:tc>
        <w:tc>
          <w:tcPr>
            <w:tcW w:w="500" w:type="pct"/>
          </w:tcPr>
          <w:p w14:paraId="7145692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3,498</w:t>
            </w:r>
          </w:p>
        </w:tc>
        <w:tc>
          <w:tcPr>
            <w:tcW w:w="502" w:type="pct"/>
          </w:tcPr>
          <w:p w14:paraId="0EDF2C7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217.2</w:t>
            </w:r>
          </w:p>
        </w:tc>
        <w:tc>
          <w:tcPr>
            <w:tcW w:w="500" w:type="pct"/>
          </w:tcPr>
          <w:p w14:paraId="22B9DFD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753</w:t>
            </w:r>
          </w:p>
        </w:tc>
        <w:tc>
          <w:tcPr>
            <w:tcW w:w="500" w:type="pct"/>
          </w:tcPr>
          <w:p w14:paraId="4FCC482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2,358</w:t>
            </w:r>
          </w:p>
        </w:tc>
        <w:tc>
          <w:tcPr>
            <w:tcW w:w="497" w:type="pct"/>
          </w:tcPr>
          <w:p w14:paraId="6AF95B08"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146.4</w:t>
            </w:r>
          </w:p>
        </w:tc>
      </w:tr>
      <w:tr w:rsidR="00920C12" w:rsidRPr="000D1255" w14:paraId="17A9E0FD" w14:textId="77777777" w:rsidTr="002974BC">
        <w:trPr>
          <w:trHeight w:val="283"/>
        </w:trPr>
        <w:tc>
          <w:tcPr>
            <w:tcW w:w="500" w:type="pct"/>
          </w:tcPr>
          <w:p w14:paraId="034D7A2C"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10–14</w:t>
            </w:r>
          </w:p>
        </w:tc>
        <w:tc>
          <w:tcPr>
            <w:tcW w:w="500" w:type="pct"/>
          </w:tcPr>
          <w:p w14:paraId="4E548AE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184</w:t>
            </w:r>
          </w:p>
        </w:tc>
        <w:tc>
          <w:tcPr>
            <w:tcW w:w="500" w:type="pct"/>
          </w:tcPr>
          <w:p w14:paraId="1C60A99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2,079</w:t>
            </w:r>
          </w:p>
        </w:tc>
        <w:tc>
          <w:tcPr>
            <w:tcW w:w="501" w:type="pct"/>
          </w:tcPr>
          <w:p w14:paraId="4357CEA4"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125.4</w:t>
            </w:r>
          </w:p>
        </w:tc>
        <w:tc>
          <w:tcPr>
            <w:tcW w:w="500" w:type="pct"/>
          </w:tcPr>
          <w:p w14:paraId="1A9F44E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351</w:t>
            </w:r>
          </w:p>
        </w:tc>
        <w:tc>
          <w:tcPr>
            <w:tcW w:w="500" w:type="pct"/>
          </w:tcPr>
          <w:p w14:paraId="6B23AEF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2,234</w:t>
            </w:r>
          </w:p>
        </w:tc>
        <w:tc>
          <w:tcPr>
            <w:tcW w:w="502" w:type="pct"/>
          </w:tcPr>
          <w:p w14:paraId="52FBC0B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134.8</w:t>
            </w:r>
          </w:p>
        </w:tc>
        <w:tc>
          <w:tcPr>
            <w:tcW w:w="500" w:type="pct"/>
          </w:tcPr>
          <w:p w14:paraId="1F1C68D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251</w:t>
            </w:r>
          </w:p>
        </w:tc>
        <w:tc>
          <w:tcPr>
            <w:tcW w:w="500" w:type="pct"/>
          </w:tcPr>
          <w:p w14:paraId="1FEE194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870</w:t>
            </w:r>
          </w:p>
        </w:tc>
        <w:tc>
          <w:tcPr>
            <w:tcW w:w="497" w:type="pct"/>
          </w:tcPr>
          <w:p w14:paraId="0C4D9716"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52.5</w:t>
            </w:r>
          </w:p>
        </w:tc>
      </w:tr>
      <w:tr w:rsidR="00920C12" w:rsidRPr="000D1255" w14:paraId="329F8180" w14:textId="77777777" w:rsidTr="002974BC">
        <w:trPr>
          <w:trHeight w:val="283"/>
        </w:trPr>
        <w:tc>
          <w:tcPr>
            <w:tcW w:w="500" w:type="pct"/>
          </w:tcPr>
          <w:p w14:paraId="6B291403"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15–19</w:t>
            </w:r>
            <w:r w:rsidRPr="7AA39330">
              <w:rPr>
                <w:rFonts w:cs="Arial"/>
                <w:color w:val="033636"/>
                <w:sz w:val="18"/>
                <w:szCs w:val="18"/>
              </w:rPr>
              <w:t> </w:t>
            </w:r>
          </w:p>
        </w:tc>
        <w:tc>
          <w:tcPr>
            <w:tcW w:w="500" w:type="pct"/>
          </w:tcPr>
          <w:p w14:paraId="21F1A99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231</w:t>
            </w:r>
          </w:p>
        </w:tc>
        <w:tc>
          <w:tcPr>
            <w:tcW w:w="500" w:type="pct"/>
          </w:tcPr>
          <w:p w14:paraId="4F03819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2,767</w:t>
            </w:r>
          </w:p>
        </w:tc>
        <w:tc>
          <w:tcPr>
            <w:tcW w:w="501" w:type="pct"/>
          </w:tcPr>
          <w:p w14:paraId="548F23C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172.0</w:t>
            </w:r>
          </w:p>
        </w:tc>
        <w:tc>
          <w:tcPr>
            <w:tcW w:w="500" w:type="pct"/>
          </w:tcPr>
          <w:p w14:paraId="125C12F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271</w:t>
            </w:r>
          </w:p>
        </w:tc>
        <w:tc>
          <w:tcPr>
            <w:tcW w:w="500" w:type="pct"/>
          </w:tcPr>
          <w:p w14:paraId="71502B6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1,946</w:t>
            </w:r>
          </w:p>
        </w:tc>
        <w:tc>
          <w:tcPr>
            <w:tcW w:w="502" w:type="pct"/>
          </w:tcPr>
          <w:p w14:paraId="2B9DE59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121.0</w:t>
            </w:r>
          </w:p>
        </w:tc>
        <w:tc>
          <w:tcPr>
            <w:tcW w:w="500" w:type="pct"/>
          </w:tcPr>
          <w:p w14:paraId="637C826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139</w:t>
            </w:r>
          </w:p>
        </w:tc>
        <w:tc>
          <w:tcPr>
            <w:tcW w:w="500" w:type="pct"/>
          </w:tcPr>
          <w:p w14:paraId="3AA29E80"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652</w:t>
            </w:r>
          </w:p>
        </w:tc>
        <w:tc>
          <w:tcPr>
            <w:tcW w:w="497" w:type="pct"/>
          </w:tcPr>
          <w:p w14:paraId="0BA7777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40.5</w:t>
            </w:r>
          </w:p>
        </w:tc>
      </w:tr>
      <w:tr w:rsidR="00920C12" w:rsidRPr="000D1255" w14:paraId="05F0C114" w14:textId="77777777" w:rsidTr="002974BC">
        <w:trPr>
          <w:trHeight w:val="283"/>
        </w:trPr>
        <w:tc>
          <w:tcPr>
            <w:tcW w:w="500" w:type="pct"/>
          </w:tcPr>
          <w:p w14:paraId="2C37E0D8"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20–24</w:t>
            </w:r>
          </w:p>
        </w:tc>
        <w:tc>
          <w:tcPr>
            <w:tcW w:w="500" w:type="pct"/>
          </w:tcPr>
          <w:p w14:paraId="76B9940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324</w:t>
            </w:r>
          </w:p>
        </w:tc>
        <w:tc>
          <w:tcPr>
            <w:tcW w:w="500" w:type="pct"/>
          </w:tcPr>
          <w:p w14:paraId="487107B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3,804</w:t>
            </w:r>
          </w:p>
        </w:tc>
        <w:tc>
          <w:tcPr>
            <w:tcW w:w="501" w:type="pct"/>
          </w:tcPr>
          <w:p w14:paraId="3342E236"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219.6</w:t>
            </w:r>
          </w:p>
        </w:tc>
        <w:tc>
          <w:tcPr>
            <w:tcW w:w="500" w:type="pct"/>
          </w:tcPr>
          <w:p w14:paraId="27ECF17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247</w:t>
            </w:r>
          </w:p>
        </w:tc>
        <w:tc>
          <w:tcPr>
            <w:tcW w:w="500" w:type="pct"/>
          </w:tcPr>
          <w:p w14:paraId="47F7E60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1,937</w:t>
            </w:r>
          </w:p>
        </w:tc>
        <w:tc>
          <w:tcPr>
            <w:tcW w:w="502" w:type="pct"/>
          </w:tcPr>
          <w:p w14:paraId="0C4164A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111.8</w:t>
            </w:r>
          </w:p>
        </w:tc>
        <w:tc>
          <w:tcPr>
            <w:tcW w:w="500" w:type="pct"/>
          </w:tcPr>
          <w:p w14:paraId="43C0268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111</w:t>
            </w:r>
          </w:p>
        </w:tc>
        <w:tc>
          <w:tcPr>
            <w:tcW w:w="500" w:type="pct"/>
          </w:tcPr>
          <w:p w14:paraId="3D92CF2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579</w:t>
            </w:r>
          </w:p>
        </w:tc>
        <w:tc>
          <w:tcPr>
            <w:tcW w:w="497" w:type="pct"/>
          </w:tcPr>
          <w:p w14:paraId="4422CBC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33.4</w:t>
            </w:r>
          </w:p>
        </w:tc>
      </w:tr>
      <w:tr w:rsidR="00920C12" w:rsidRPr="000D1255" w14:paraId="4B35FA26" w14:textId="77777777" w:rsidTr="002974BC">
        <w:trPr>
          <w:trHeight w:val="283"/>
        </w:trPr>
        <w:tc>
          <w:tcPr>
            <w:tcW w:w="500" w:type="pct"/>
          </w:tcPr>
          <w:p w14:paraId="002BD4B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25–29</w:t>
            </w:r>
            <w:r w:rsidRPr="7AA39330">
              <w:rPr>
                <w:rFonts w:cs="Arial"/>
                <w:color w:val="033636"/>
                <w:sz w:val="18"/>
                <w:szCs w:val="18"/>
              </w:rPr>
              <w:t> </w:t>
            </w:r>
          </w:p>
        </w:tc>
        <w:tc>
          <w:tcPr>
            <w:tcW w:w="500" w:type="pct"/>
          </w:tcPr>
          <w:p w14:paraId="2C8B352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402</w:t>
            </w:r>
          </w:p>
        </w:tc>
        <w:tc>
          <w:tcPr>
            <w:tcW w:w="500" w:type="pct"/>
          </w:tcPr>
          <w:p w14:paraId="73833BD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5,066</w:t>
            </w:r>
          </w:p>
        </w:tc>
        <w:tc>
          <w:tcPr>
            <w:tcW w:w="501" w:type="pct"/>
          </w:tcPr>
          <w:p w14:paraId="0C9B761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263.6</w:t>
            </w:r>
          </w:p>
        </w:tc>
        <w:tc>
          <w:tcPr>
            <w:tcW w:w="500" w:type="pct"/>
          </w:tcPr>
          <w:p w14:paraId="430DC87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289</w:t>
            </w:r>
          </w:p>
        </w:tc>
        <w:tc>
          <w:tcPr>
            <w:tcW w:w="500" w:type="pct"/>
          </w:tcPr>
          <w:p w14:paraId="02D13A7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1,988</w:t>
            </w:r>
          </w:p>
        </w:tc>
        <w:tc>
          <w:tcPr>
            <w:tcW w:w="502" w:type="pct"/>
          </w:tcPr>
          <w:p w14:paraId="2FBD36B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103.5</w:t>
            </w:r>
          </w:p>
        </w:tc>
        <w:tc>
          <w:tcPr>
            <w:tcW w:w="500" w:type="pct"/>
          </w:tcPr>
          <w:p w14:paraId="08E8962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155</w:t>
            </w:r>
          </w:p>
        </w:tc>
        <w:tc>
          <w:tcPr>
            <w:tcW w:w="500" w:type="pct"/>
          </w:tcPr>
          <w:p w14:paraId="5DD5ED5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642</w:t>
            </w:r>
          </w:p>
        </w:tc>
        <w:tc>
          <w:tcPr>
            <w:tcW w:w="497" w:type="pct"/>
          </w:tcPr>
          <w:p w14:paraId="72FF679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33.4</w:t>
            </w:r>
          </w:p>
        </w:tc>
      </w:tr>
      <w:tr w:rsidR="00920C12" w:rsidRPr="000D1255" w14:paraId="5ABBDF49" w14:textId="77777777" w:rsidTr="002974BC">
        <w:trPr>
          <w:trHeight w:val="283"/>
        </w:trPr>
        <w:tc>
          <w:tcPr>
            <w:tcW w:w="500" w:type="pct"/>
          </w:tcPr>
          <w:p w14:paraId="70CA6C07"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30–34</w:t>
            </w:r>
            <w:r w:rsidRPr="7AA39330">
              <w:rPr>
                <w:rFonts w:cs="Arial"/>
                <w:color w:val="033636"/>
                <w:sz w:val="18"/>
                <w:szCs w:val="18"/>
              </w:rPr>
              <w:t> </w:t>
            </w:r>
          </w:p>
        </w:tc>
        <w:tc>
          <w:tcPr>
            <w:tcW w:w="500" w:type="pct"/>
          </w:tcPr>
          <w:p w14:paraId="209F3BC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432</w:t>
            </w:r>
          </w:p>
        </w:tc>
        <w:tc>
          <w:tcPr>
            <w:tcW w:w="500" w:type="pct"/>
          </w:tcPr>
          <w:p w14:paraId="17C54F9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5,742</w:t>
            </w:r>
          </w:p>
        </w:tc>
        <w:tc>
          <w:tcPr>
            <w:tcW w:w="501" w:type="pct"/>
          </w:tcPr>
          <w:p w14:paraId="078ADE80"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289.6</w:t>
            </w:r>
          </w:p>
        </w:tc>
        <w:tc>
          <w:tcPr>
            <w:tcW w:w="500" w:type="pct"/>
          </w:tcPr>
          <w:p w14:paraId="7586800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336</w:t>
            </w:r>
          </w:p>
        </w:tc>
        <w:tc>
          <w:tcPr>
            <w:tcW w:w="500" w:type="pct"/>
          </w:tcPr>
          <w:p w14:paraId="43EAA133"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2,042</w:t>
            </w:r>
          </w:p>
        </w:tc>
        <w:tc>
          <w:tcPr>
            <w:tcW w:w="502" w:type="pct"/>
          </w:tcPr>
          <w:p w14:paraId="1B3709C1"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103.0</w:t>
            </w:r>
          </w:p>
        </w:tc>
        <w:tc>
          <w:tcPr>
            <w:tcW w:w="500" w:type="pct"/>
          </w:tcPr>
          <w:p w14:paraId="297DFDF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201</w:t>
            </w:r>
          </w:p>
        </w:tc>
        <w:tc>
          <w:tcPr>
            <w:tcW w:w="500" w:type="pct"/>
          </w:tcPr>
          <w:p w14:paraId="6185BAAF"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841</w:t>
            </w:r>
          </w:p>
        </w:tc>
        <w:tc>
          <w:tcPr>
            <w:tcW w:w="497" w:type="pct"/>
          </w:tcPr>
          <w:p w14:paraId="6257BB5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42.4</w:t>
            </w:r>
          </w:p>
        </w:tc>
      </w:tr>
      <w:tr w:rsidR="00920C12" w:rsidRPr="000D1255" w14:paraId="6CA8DCC7" w14:textId="77777777" w:rsidTr="002974BC">
        <w:trPr>
          <w:trHeight w:val="283"/>
        </w:trPr>
        <w:tc>
          <w:tcPr>
            <w:tcW w:w="500" w:type="pct"/>
          </w:tcPr>
          <w:p w14:paraId="7471E110"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35–39</w:t>
            </w:r>
            <w:r w:rsidRPr="7AA39330">
              <w:rPr>
                <w:rFonts w:cs="Arial"/>
                <w:color w:val="033636"/>
                <w:sz w:val="18"/>
                <w:szCs w:val="18"/>
              </w:rPr>
              <w:t> </w:t>
            </w:r>
          </w:p>
        </w:tc>
        <w:tc>
          <w:tcPr>
            <w:tcW w:w="500" w:type="pct"/>
          </w:tcPr>
          <w:p w14:paraId="4FD4121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485</w:t>
            </w:r>
          </w:p>
        </w:tc>
        <w:tc>
          <w:tcPr>
            <w:tcW w:w="500" w:type="pct"/>
          </w:tcPr>
          <w:p w14:paraId="15C67F6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6,160</w:t>
            </w:r>
          </w:p>
        </w:tc>
        <w:tc>
          <w:tcPr>
            <w:tcW w:w="501" w:type="pct"/>
          </w:tcPr>
          <w:p w14:paraId="7B136398"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317.9</w:t>
            </w:r>
          </w:p>
        </w:tc>
        <w:tc>
          <w:tcPr>
            <w:tcW w:w="500" w:type="pct"/>
          </w:tcPr>
          <w:p w14:paraId="31E0A6B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361</w:t>
            </w:r>
          </w:p>
        </w:tc>
        <w:tc>
          <w:tcPr>
            <w:tcW w:w="500" w:type="pct"/>
          </w:tcPr>
          <w:p w14:paraId="1269AFD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2,179</w:t>
            </w:r>
          </w:p>
        </w:tc>
        <w:tc>
          <w:tcPr>
            <w:tcW w:w="502" w:type="pct"/>
          </w:tcPr>
          <w:p w14:paraId="7B8BF61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112.4</w:t>
            </w:r>
          </w:p>
        </w:tc>
        <w:tc>
          <w:tcPr>
            <w:tcW w:w="500" w:type="pct"/>
          </w:tcPr>
          <w:p w14:paraId="436CBD8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187</w:t>
            </w:r>
          </w:p>
        </w:tc>
        <w:tc>
          <w:tcPr>
            <w:tcW w:w="500" w:type="pct"/>
          </w:tcPr>
          <w:p w14:paraId="3DAFB08C"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842</w:t>
            </w:r>
          </w:p>
        </w:tc>
        <w:tc>
          <w:tcPr>
            <w:tcW w:w="497" w:type="pct"/>
          </w:tcPr>
          <w:p w14:paraId="1814AFC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43.4</w:t>
            </w:r>
          </w:p>
        </w:tc>
      </w:tr>
      <w:tr w:rsidR="00920C12" w:rsidRPr="000D1255" w14:paraId="2BE8E5E1" w14:textId="77777777" w:rsidTr="002974BC">
        <w:trPr>
          <w:trHeight w:val="283"/>
        </w:trPr>
        <w:tc>
          <w:tcPr>
            <w:tcW w:w="500" w:type="pct"/>
          </w:tcPr>
          <w:p w14:paraId="252ABCEC"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40–44</w:t>
            </w:r>
            <w:r w:rsidRPr="7AA39330">
              <w:rPr>
                <w:rFonts w:cs="Arial"/>
                <w:color w:val="033636"/>
                <w:sz w:val="18"/>
                <w:szCs w:val="18"/>
              </w:rPr>
              <w:t> </w:t>
            </w:r>
          </w:p>
        </w:tc>
        <w:tc>
          <w:tcPr>
            <w:tcW w:w="500" w:type="pct"/>
          </w:tcPr>
          <w:p w14:paraId="739E82A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426</w:t>
            </w:r>
          </w:p>
        </w:tc>
        <w:tc>
          <w:tcPr>
            <w:tcW w:w="500" w:type="pct"/>
          </w:tcPr>
          <w:p w14:paraId="2307F1A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5,961</w:t>
            </w:r>
          </w:p>
        </w:tc>
        <w:tc>
          <w:tcPr>
            <w:tcW w:w="501" w:type="pct"/>
          </w:tcPr>
          <w:p w14:paraId="02CD6BC2"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334.9</w:t>
            </w:r>
          </w:p>
        </w:tc>
        <w:tc>
          <w:tcPr>
            <w:tcW w:w="500" w:type="pct"/>
          </w:tcPr>
          <w:p w14:paraId="1DABA2C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353</w:t>
            </w:r>
          </w:p>
        </w:tc>
        <w:tc>
          <w:tcPr>
            <w:tcW w:w="500" w:type="pct"/>
          </w:tcPr>
          <w:p w14:paraId="5C909A1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2,020</w:t>
            </w:r>
          </w:p>
        </w:tc>
        <w:tc>
          <w:tcPr>
            <w:tcW w:w="502" w:type="pct"/>
          </w:tcPr>
          <w:p w14:paraId="32734CA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113.5</w:t>
            </w:r>
          </w:p>
        </w:tc>
        <w:tc>
          <w:tcPr>
            <w:tcW w:w="500" w:type="pct"/>
          </w:tcPr>
          <w:p w14:paraId="0C4F76C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133</w:t>
            </w:r>
          </w:p>
        </w:tc>
        <w:tc>
          <w:tcPr>
            <w:tcW w:w="500" w:type="pct"/>
          </w:tcPr>
          <w:p w14:paraId="5F8CBCA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632</w:t>
            </w:r>
          </w:p>
        </w:tc>
        <w:tc>
          <w:tcPr>
            <w:tcW w:w="497" w:type="pct"/>
          </w:tcPr>
          <w:p w14:paraId="352D74DC"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35.5</w:t>
            </w:r>
          </w:p>
        </w:tc>
      </w:tr>
      <w:tr w:rsidR="00920C12" w:rsidRPr="000D1255" w14:paraId="3F270A04" w14:textId="77777777" w:rsidTr="002974BC">
        <w:trPr>
          <w:trHeight w:val="283"/>
        </w:trPr>
        <w:tc>
          <w:tcPr>
            <w:tcW w:w="500" w:type="pct"/>
          </w:tcPr>
          <w:p w14:paraId="20C7A6EE"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45–49</w:t>
            </w:r>
            <w:r w:rsidRPr="7AA39330">
              <w:rPr>
                <w:rFonts w:cs="Arial"/>
                <w:color w:val="033636"/>
                <w:sz w:val="18"/>
                <w:szCs w:val="18"/>
              </w:rPr>
              <w:t> </w:t>
            </w:r>
          </w:p>
        </w:tc>
        <w:tc>
          <w:tcPr>
            <w:tcW w:w="500" w:type="pct"/>
          </w:tcPr>
          <w:p w14:paraId="265BC92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481</w:t>
            </w:r>
          </w:p>
        </w:tc>
        <w:tc>
          <w:tcPr>
            <w:tcW w:w="500" w:type="pct"/>
          </w:tcPr>
          <w:p w14:paraId="2A40F56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5,577</w:t>
            </w:r>
          </w:p>
        </w:tc>
        <w:tc>
          <w:tcPr>
            <w:tcW w:w="501" w:type="pct"/>
          </w:tcPr>
          <w:p w14:paraId="19140DAC"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345.5</w:t>
            </w:r>
          </w:p>
        </w:tc>
        <w:tc>
          <w:tcPr>
            <w:tcW w:w="500" w:type="pct"/>
          </w:tcPr>
          <w:p w14:paraId="315D465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279</w:t>
            </w:r>
          </w:p>
        </w:tc>
        <w:tc>
          <w:tcPr>
            <w:tcW w:w="500" w:type="pct"/>
          </w:tcPr>
          <w:p w14:paraId="6261578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1,707</w:t>
            </w:r>
          </w:p>
        </w:tc>
        <w:tc>
          <w:tcPr>
            <w:tcW w:w="502" w:type="pct"/>
          </w:tcPr>
          <w:p w14:paraId="4B684FB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105.7</w:t>
            </w:r>
          </w:p>
        </w:tc>
        <w:tc>
          <w:tcPr>
            <w:tcW w:w="500" w:type="pct"/>
          </w:tcPr>
          <w:p w14:paraId="7BC68EE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159</w:t>
            </w:r>
          </w:p>
        </w:tc>
        <w:tc>
          <w:tcPr>
            <w:tcW w:w="500" w:type="pct"/>
          </w:tcPr>
          <w:p w14:paraId="0B65C81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634</w:t>
            </w:r>
          </w:p>
        </w:tc>
        <w:tc>
          <w:tcPr>
            <w:tcW w:w="497" w:type="pct"/>
          </w:tcPr>
          <w:p w14:paraId="5ABA7BAA"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39.3</w:t>
            </w:r>
          </w:p>
        </w:tc>
      </w:tr>
      <w:tr w:rsidR="00920C12" w:rsidRPr="000D1255" w14:paraId="433730E0" w14:textId="77777777" w:rsidTr="002974BC">
        <w:trPr>
          <w:trHeight w:val="283"/>
        </w:trPr>
        <w:tc>
          <w:tcPr>
            <w:tcW w:w="500" w:type="pct"/>
          </w:tcPr>
          <w:p w14:paraId="57B80C73"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50–54</w:t>
            </w:r>
            <w:r w:rsidRPr="7AA39330">
              <w:rPr>
                <w:rFonts w:cs="Arial"/>
                <w:color w:val="033636"/>
                <w:sz w:val="18"/>
                <w:szCs w:val="18"/>
              </w:rPr>
              <w:t> </w:t>
            </w:r>
          </w:p>
        </w:tc>
        <w:tc>
          <w:tcPr>
            <w:tcW w:w="500" w:type="pct"/>
          </w:tcPr>
          <w:p w14:paraId="4AC27F2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533</w:t>
            </w:r>
          </w:p>
        </w:tc>
        <w:tc>
          <w:tcPr>
            <w:tcW w:w="500" w:type="pct"/>
          </w:tcPr>
          <w:p w14:paraId="2295D4A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6,045</w:t>
            </w:r>
          </w:p>
        </w:tc>
        <w:tc>
          <w:tcPr>
            <w:tcW w:w="501" w:type="pct"/>
          </w:tcPr>
          <w:p w14:paraId="690C4623"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359.8</w:t>
            </w:r>
          </w:p>
        </w:tc>
        <w:tc>
          <w:tcPr>
            <w:tcW w:w="500" w:type="pct"/>
          </w:tcPr>
          <w:p w14:paraId="16EB986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292</w:t>
            </w:r>
          </w:p>
        </w:tc>
        <w:tc>
          <w:tcPr>
            <w:tcW w:w="500" w:type="pct"/>
          </w:tcPr>
          <w:p w14:paraId="6741E87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1,747</w:t>
            </w:r>
          </w:p>
        </w:tc>
        <w:tc>
          <w:tcPr>
            <w:tcW w:w="502" w:type="pct"/>
          </w:tcPr>
          <w:p w14:paraId="66807A58"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104.0</w:t>
            </w:r>
          </w:p>
        </w:tc>
        <w:tc>
          <w:tcPr>
            <w:tcW w:w="500" w:type="pct"/>
          </w:tcPr>
          <w:p w14:paraId="69E25CA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186</w:t>
            </w:r>
          </w:p>
        </w:tc>
        <w:tc>
          <w:tcPr>
            <w:tcW w:w="500" w:type="pct"/>
          </w:tcPr>
          <w:p w14:paraId="2C088473"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839</w:t>
            </w:r>
          </w:p>
        </w:tc>
        <w:tc>
          <w:tcPr>
            <w:tcW w:w="497" w:type="pct"/>
          </w:tcPr>
          <w:p w14:paraId="5DCE0232"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49.9</w:t>
            </w:r>
          </w:p>
        </w:tc>
      </w:tr>
      <w:tr w:rsidR="00920C12" w:rsidRPr="000D1255" w14:paraId="3AEE4F36" w14:textId="77777777" w:rsidTr="002974BC">
        <w:trPr>
          <w:trHeight w:val="283"/>
        </w:trPr>
        <w:tc>
          <w:tcPr>
            <w:tcW w:w="500" w:type="pct"/>
          </w:tcPr>
          <w:p w14:paraId="375ACCC1"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55–59</w:t>
            </w:r>
            <w:r w:rsidRPr="7AA39330">
              <w:rPr>
                <w:rFonts w:cs="Arial"/>
                <w:color w:val="033636"/>
                <w:sz w:val="18"/>
                <w:szCs w:val="18"/>
              </w:rPr>
              <w:t> </w:t>
            </w:r>
          </w:p>
        </w:tc>
        <w:tc>
          <w:tcPr>
            <w:tcW w:w="500" w:type="pct"/>
          </w:tcPr>
          <w:p w14:paraId="316DD79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510</w:t>
            </w:r>
          </w:p>
        </w:tc>
        <w:tc>
          <w:tcPr>
            <w:tcW w:w="500" w:type="pct"/>
          </w:tcPr>
          <w:p w14:paraId="5DF5712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5,853</w:t>
            </w:r>
          </w:p>
        </w:tc>
        <w:tc>
          <w:tcPr>
            <w:tcW w:w="501" w:type="pct"/>
          </w:tcPr>
          <w:p w14:paraId="2C03048B"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384.2</w:t>
            </w:r>
          </w:p>
        </w:tc>
        <w:tc>
          <w:tcPr>
            <w:tcW w:w="500" w:type="pct"/>
          </w:tcPr>
          <w:p w14:paraId="0AD20963"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265</w:t>
            </w:r>
          </w:p>
        </w:tc>
        <w:tc>
          <w:tcPr>
            <w:tcW w:w="500" w:type="pct"/>
          </w:tcPr>
          <w:p w14:paraId="36BED9F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1,578</w:t>
            </w:r>
          </w:p>
        </w:tc>
        <w:tc>
          <w:tcPr>
            <w:tcW w:w="502" w:type="pct"/>
          </w:tcPr>
          <w:p w14:paraId="52BD42C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103.6</w:t>
            </w:r>
          </w:p>
        </w:tc>
        <w:tc>
          <w:tcPr>
            <w:tcW w:w="500" w:type="pct"/>
          </w:tcPr>
          <w:p w14:paraId="41B8C3C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178</w:t>
            </w:r>
          </w:p>
        </w:tc>
        <w:tc>
          <w:tcPr>
            <w:tcW w:w="500" w:type="pct"/>
          </w:tcPr>
          <w:p w14:paraId="683ACB08"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795</w:t>
            </w:r>
          </w:p>
        </w:tc>
        <w:tc>
          <w:tcPr>
            <w:tcW w:w="497" w:type="pct"/>
          </w:tcPr>
          <w:p w14:paraId="328BDEC7"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52.2</w:t>
            </w:r>
          </w:p>
        </w:tc>
      </w:tr>
      <w:tr w:rsidR="00920C12" w:rsidRPr="000D1255" w14:paraId="50C5F4E4" w14:textId="77777777" w:rsidTr="002974BC">
        <w:trPr>
          <w:trHeight w:val="283"/>
        </w:trPr>
        <w:tc>
          <w:tcPr>
            <w:tcW w:w="500" w:type="pct"/>
          </w:tcPr>
          <w:p w14:paraId="63619911"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60–6</w:t>
            </w:r>
            <w:r w:rsidRPr="7AA39330">
              <w:rPr>
                <w:color w:val="033636"/>
                <w:sz w:val="18"/>
                <w:szCs w:val="18"/>
              </w:rPr>
              <w:t>4</w:t>
            </w:r>
          </w:p>
        </w:tc>
        <w:tc>
          <w:tcPr>
            <w:tcW w:w="500" w:type="pct"/>
          </w:tcPr>
          <w:p w14:paraId="323A01D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528</w:t>
            </w:r>
          </w:p>
        </w:tc>
        <w:tc>
          <w:tcPr>
            <w:tcW w:w="500" w:type="pct"/>
          </w:tcPr>
          <w:p w14:paraId="76652E5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5,929</w:t>
            </w:r>
          </w:p>
        </w:tc>
        <w:tc>
          <w:tcPr>
            <w:tcW w:w="501" w:type="pct"/>
          </w:tcPr>
          <w:p w14:paraId="22B03B11"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390.9</w:t>
            </w:r>
          </w:p>
        </w:tc>
        <w:tc>
          <w:tcPr>
            <w:tcW w:w="500" w:type="pct"/>
          </w:tcPr>
          <w:p w14:paraId="5DD6C52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295</w:t>
            </w:r>
          </w:p>
        </w:tc>
        <w:tc>
          <w:tcPr>
            <w:tcW w:w="500" w:type="pct"/>
          </w:tcPr>
          <w:p w14:paraId="1355678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1,533</w:t>
            </w:r>
          </w:p>
        </w:tc>
        <w:tc>
          <w:tcPr>
            <w:tcW w:w="502" w:type="pct"/>
          </w:tcPr>
          <w:p w14:paraId="4E721031"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101.1</w:t>
            </w:r>
          </w:p>
        </w:tc>
        <w:tc>
          <w:tcPr>
            <w:tcW w:w="500" w:type="pct"/>
          </w:tcPr>
          <w:p w14:paraId="08E419B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232</w:t>
            </w:r>
          </w:p>
        </w:tc>
        <w:tc>
          <w:tcPr>
            <w:tcW w:w="500" w:type="pct"/>
          </w:tcPr>
          <w:p w14:paraId="31BA78B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943</w:t>
            </w:r>
          </w:p>
        </w:tc>
        <w:tc>
          <w:tcPr>
            <w:tcW w:w="497" w:type="pct"/>
          </w:tcPr>
          <w:p w14:paraId="59B6B18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62.2</w:t>
            </w:r>
          </w:p>
        </w:tc>
      </w:tr>
      <w:tr w:rsidR="00920C12" w:rsidRPr="000D1255" w14:paraId="5167577F" w14:textId="77777777" w:rsidTr="002974BC">
        <w:trPr>
          <w:trHeight w:val="283"/>
        </w:trPr>
        <w:tc>
          <w:tcPr>
            <w:tcW w:w="500" w:type="pct"/>
          </w:tcPr>
          <w:p w14:paraId="5550AF09" w14:textId="77777777" w:rsidR="00920C12" w:rsidRPr="000D1255" w:rsidRDefault="00920C12" w:rsidP="00E77E9F">
            <w:pPr>
              <w:spacing w:before="100" w:after="100"/>
              <w:rPr>
                <w:rFonts w:eastAsia="Yu Gothic Light" w:cs="Arial"/>
                <w:color w:val="033636"/>
                <w:sz w:val="16"/>
                <w:szCs w:val="16"/>
              </w:rPr>
            </w:pPr>
            <w:r w:rsidRPr="7AA39330">
              <w:rPr>
                <w:rFonts w:eastAsia="Yu Gothic Light" w:cs="Arial"/>
                <w:color w:val="033636"/>
                <w:sz w:val="18"/>
                <w:szCs w:val="18"/>
              </w:rPr>
              <w:t>65–69</w:t>
            </w:r>
          </w:p>
        </w:tc>
        <w:tc>
          <w:tcPr>
            <w:tcW w:w="500" w:type="pct"/>
          </w:tcPr>
          <w:p w14:paraId="1357CEC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479</w:t>
            </w:r>
          </w:p>
        </w:tc>
        <w:tc>
          <w:tcPr>
            <w:tcW w:w="500" w:type="pct"/>
          </w:tcPr>
          <w:p w14:paraId="2AA562D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5,735</w:t>
            </w:r>
          </w:p>
        </w:tc>
        <w:tc>
          <w:tcPr>
            <w:tcW w:w="501" w:type="pct"/>
          </w:tcPr>
          <w:p w14:paraId="25CDC02D"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432.2</w:t>
            </w:r>
          </w:p>
        </w:tc>
        <w:tc>
          <w:tcPr>
            <w:tcW w:w="500" w:type="pct"/>
          </w:tcPr>
          <w:p w14:paraId="615251A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272</w:t>
            </w:r>
          </w:p>
        </w:tc>
        <w:tc>
          <w:tcPr>
            <w:tcW w:w="500" w:type="pct"/>
          </w:tcPr>
          <w:p w14:paraId="2E13E65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1,353</w:t>
            </w:r>
          </w:p>
        </w:tc>
        <w:tc>
          <w:tcPr>
            <w:tcW w:w="502" w:type="pct"/>
          </w:tcPr>
          <w:p w14:paraId="4C793E1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102.0</w:t>
            </w:r>
          </w:p>
        </w:tc>
        <w:tc>
          <w:tcPr>
            <w:tcW w:w="500" w:type="pct"/>
          </w:tcPr>
          <w:p w14:paraId="624F32E5"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202</w:t>
            </w:r>
          </w:p>
        </w:tc>
        <w:tc>
          <w:tcPr>
            <w:tcW w:w="500" w:type="pct"/>
          </w:tcPr>
          <w:p w14:paraId="13606CC9"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911</w:t>
            </w:r>
          </w:p>
        </w:tc>
        <w:tc>
          <w:tcPr>
            <w:tcW w:w="497" w:type="pct"/>
          </w:tcPr>
          <w:p w14:paraId="753A1C9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68.7</w:t>
            </w:r>
          </w:p>
        </w:tc>
      </w:tr>
      <w:tr w:rsidR="00920C12" w:rsidRPr="000D1255" w14:paraId="3B01617A" w14:textId="77777777" w:rsidTr="002974BC">
        <w:trPr>
          <w:trHeight w:val="283"/>
        </w:trPr>
        <w:tc>
          <w:tcPr>
            <w:tcW w:w="500" w:type="pct"/>
          </w:tcPr>
          <w:p w14:paraId="04947530" w14:textId="77777777" w:rsidR="00920C12" w:rsidRPr="000D1255" w:rsidRDefault="00920C12" w:rsidP="00E77E9F">
            <w:pPr>
              <w:spacing w:before="100" w:after="100"/>
              <w:rPr>
                <w:rFonts w:cs="Arial"/>
                <w:color w:val="033636"/>
                <w:sz w:val="16"/>
                <w:szCs w:val="16"/>
              </w:rPr>
            </w:pPr>
            <w:r w:rsidRPr="7AA39330">
              <w:rPr>
                <w:rFonts w:eastAsia="Yu Gothic Light" w:cs="Arial"/>
                <w:color w:val="033636"/>
                <w:sz w:val="18"/>
                <w:szCs w:val="18"/>
              </w:rPr>
              <w:t>70+</w:t>
            </w:r>
            <w:r w:rsidRPr="7AA39330">
              <w:rPr>
                <w:rFonts w:cs="Arial"/>
                <w:color w:val="033636"/>
                <w:sz w:val="18"/>
                <w:szCs w:val="18"/>
              </w:rPr>
              <w:t> </w:t>
            </w:r>
          </w:p>
        </w:tc>
        <w:tc>
          <w:tcPr>
            <w:tcW w:w="500" w:type="pct"/>
          </w:tcPr>
          <w:p w14:paraId="4E6061F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2,879</w:t>
            </w:r>
          </w:p>
        </w:tc>
        <w:tc>
          <w:tcPr>
            <w:tcW w:w="500" w:type="pct"/>
          </w:tcPr>
          <w:p w14:paraId="629A3A8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30,353</w:t>
            </w:r>
          </w:p>
        </w:tc>
        <w:tc>
          <w:tcPr>
            <w:tcW w:w="501" w:type="pct"/>
          </w:tcPr>
          <w:p w14:paraId="51C46765" w14:textId="77777777" w:rsidR="00920C12" w:rsidRPr="00C42B32" w:rsidRDefault="00920C12" w:rsidP="00E77E9F">
            <w:pPr>
              <w:spacing w:before="100" w:after="100"/>
              <w:jc w:val="right"/>
              <w:rPr>
                <w:rFonts w:eastAsia="Arial" w:cs="Arial"/>
                <w:sz w:val="18"/>
                <w:szCs w:val="18"/>
              </w:rPr>
            </w:pPr>
            <w:r w:rsidRPr="00C42B32">
              <w:rPr>
                <w:rFonts w:eastAsia="Arial" w:cs="Arial"/>
                <w:sz w:val="18"/>
                <w:szCs w:val="18"/>
              </w:rPr>
              <w:t>939.7</w:t>
            </w:r>
          </w:p>
        </w:tc>
        <w:tc>
          <w:tcPr>
            <w:tcW w:w="500" w:type="pct"/>
          </w:tcPr>
          <w:p w14:paraId="76BF6E6C"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815</w:t>
            </w:r>
          </w:p>
        </w:tc>
        <w:tc>
          <w:tcPr>
            <w:tcW w:w="500" w:type="pct"/>
          </w:tcPr>
          <w:p w14:paraId="28FC122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4,126</w:t>
            </w:r>
          </w:p>
        </w:tc>
        <w:tc>
          <w:tcPr>
            <w:tcW w:w="502" w:type="pct"/>
          </w:tcPr>
          <w:p w14:paraId="69524CBE"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127.7</w:t>
            </w:r>
          </w:p>
        </w:tc>
        <w:tc>
          <w:tcPr>
            <w:tcW w:w="500" w:type="pct"/>
          </w:tcPr>
          <w:p w14:paraId="155713A8"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921</w:t>
            </w:r>
          </w:p>
        </w:tc>
        <w:tc>
          <w:tcPr>
            <w:tcW w:w="500" w:type="pct"/>
          </w:tcPr>
          <w:p w14:paraId="4899C675"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3,767</w:t>
            </w:r>
          </w:p>
        </w:tc>
        <w:tc>
          <w:tcPr>
            <w:tcW w:w="497" w:type="pct"/>
          </w:tcPr>
          <w:p w14:paraId="4E5F59B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116.6</w:t>
            </w:r>
          </w:p>
        </w:tc>
      </w:tr>
      <w:tr w:rsidR="00920C12" w:rsidRPr="000D1255" w14:paraId="4999B6AA" w14:textId="77777777" w:rsidTr="002974BC">
        <w:trPr>
          <w:trHeight w:val="283"/>
        </w:trPr>
        <w:tc>
          <w:tcPr>
            <w:tcW w:w="5000" w:type="pct"/>
            <w:gridSpan w:val="10"/>
            <w:shd w:val="clear" w:color="auto" w:fill="00DCA1" w:themeFill="background1"/>
          </w:tcPr>
          <w:p w14:paraId="3F054E4D" w14:textId="77777777" w:rsidR="00920C12" w:rsidRPr="007A7724" w:rsidRDefault="00920C12" w:rsidP="00E77E9F">
            <w:pPr>
              <w:spacing w:before="100" w:after="100"/>
              <w:rPr>
                <w:rFonts w:cs="Arial"/>
                <w:b/>
                <w:sz w:val="16"/>
                <w:szCs w:val="16"/>
              </w:rPr>
            </w:pPr>
            <w:r w:rsidRPr="007A7724">
              <w:rPr>
                <w:rFonts w:cs="Arial"/>
                <w:b/>
                <w:sz w:val="18"/>
                <w:szCs w:val="18"/>
              </w:rPr>
              <w:t>Jurisdiction</w:t>
            </w:r>
          </w:p>
        </w:tc>
      </w:tr>
      <w:tr w:rsidR="00920C12" w:rsidRPr="000D1255" w14:paraId="46264716" w14:textId="77777777" w:rsidTr="002974BC">
        <w:trPr>
          <w:trHeight w:val="283"/>
        </w:trPr>
        <w:tc>
          <w:tcPr>
            <w:tcW w:w="500" w:type="pct"/>
          </w:tcPr>
          <w:p w14:paraId="290177AB"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ACT</w:t>
            </w:r>
          </w:p>
        </w:tc>
        <w:tc>
          <w:tcPr>
            <w:tcW w:w="500" w:type="pct"/>
          </w:tcPr>
          <w:p w14:paraId="3858A1C7"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98</w:t>
            </w:r>
          </w:p>
        </w:tc>
        <w:tc>
          <w:tcPr>
            <w:tcW w:w="500" w:type="pct"/>
          </w:tcPr>
          <w:p w14:paraId="3B43342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1,176</w:t>
            </w:r>
          </w:p>
        </w:tc>
        <w:tc>
          <w:tcPr>
            <w:tcW w:w="501" w:type="pct"/>
          </w:tcPr>
          <w:p w14:paraId="1C345C04"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251.9</w:t>
            </w:r>
          </w:p>
        </w:tc>
        <w:tc>
          <w:tcPr>
            <w:tcW w:w="500" w:type="pct"/>
          </w:tcPr>
          <w:p w14:paraId="1FBAC08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47</w:t>
            </w:r>
          </w:p>
        </w:tc>
        <w:tc>
          <w:tcPr>
            <w:tcW w:w="500" w:type="pct"/>
          </w:tcPr>
          <w:p w14:paraId="5A77A71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446</w:t>
            </w:r>
          </w:p>
        </w:tc>
        <w:tc>
          <w:tcPr>
            <w:tcW w:w="502" w:type="pct"/>
          </w:tcPr>
          <w:p w14:paraId="3B513CB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95.5</w:t>
            </w:r>
          </w:p>
        </w:tc>
        <w:tc>
          <w:tcPr>
            <w:tcW w:w="500" w:type="pct"/>
          </w:tcPr>
          <w:p w14:paraId="36926CB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95</w:t>
            </w:r>
          </w:p>
        </w:tc>
        <w:tc>
          <w:tcPr>
            <w:tcW w:w="500" w:type="pct"/>
          </w:tcPr>
          <w:p w14:paraId="2A620346"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349</w:t>
            </w:r>
          </w:p>
        </w:tc>
        <w:tc>
          <w:tcPr>
            <w:tcW w:w="497" w:type="pct"/>
          </w:tcPr>
          <w:p w14:paraId="0D2456E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74.8</w:t>
            </w:r>
          </w:p>
        </w:tc>
      </w:tr>
      <w:tr w:rsidR="00920C12" w:rsidRPr="000D1255" w14:paraId="564DC891" w14:textId="77777777" w:rsidTr="002974BC">
        <w:trPr>
          <w:trHeight w:val="283"/>
        </w:trPr>
        <w:tc>
          <w:tcPr>
            <w:tcW w:w="500" w:type="pct"/>
          </w:tcPr>
          <w:p w14:paraId="4582042A"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NSW</w:t>
            </w:r>
          </w:p>
        </w:tc>
        <w:tc>
          <w:tcPr>
            <w:tcW w:w="500" w:type="pct"/>
          </w:tcPr>
          <w:p w14:paraId="27E68BB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2,750</w:t>
            </w:r>
          </w:p>
        </w:tc>
        <w:tc>
          <w:tcPr>
            <w:tcW w:w="500" w:type="pct"/>
          </w:tcPr>
          <w:p w14:paraId="52899CE7"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34,943</w:t>
            </w:r>
          </w:p>
        </w:tc>
        <w:tc>
          <w:tcPr>
            <w:tcW w:w="501" w:type="pct"/>
          </w:tcPr>
          <w:p w14:paraId="04552C14"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419.0</w:t>
            </w:r>
          </w:p>
        </w:tc>
        <w:tc>
          <w:tcPr>
            <w:tcW w:w="500" w:type="pct"/>
          </w:tcPr>
          <w:p w14:paraId="5288ACCB"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2,196</w:t>
            </w:r>
          </w:p>
        </w:tc>
        <w:tc>
          <w:tcPr>
            <w:tcW w:w="500" w:type="pct"/>
          </w:tcPr>
          <w:p w14:paraId="6059C40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13,369</w:t>
            </w:r>
          </w:p>
        </w:tc>
        <w:tc>
          <w:tcPr>
            <w:tcW w:w="502" w:type="pct"/>
          </w:tcPr>
          <w:p w14:paraId="6EC344E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160.3</w:t>
            </w:r>
          </w:p>
        </w:tc>
        <w:tc>
          <w:tcPr>
            <w:tcW w:w="500" w:type="pct"/>
          </w:tcPr>
          <w:p w14:paraId="5436F00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5,243</w:t>
            </w:r>
          </w:p>
        </w:tc>
        <w:tc>
          <w:tcPr>
            <w:tcW w:w="500" w:type="pct"/>
          </w:tcPr>
          <w:p w14:paraId="5AA38A5F"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20,612</w:t>
            </w:r>
          </w:p>
        </w:tc>
        <w:tc>
          <w:tcPr>
            <w:tcW w:w="497" w:type="pct"/>
          </w:tcPr>
          <w:p w14:paraId="4F00371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247.2</w:t>
            </w:r>
          </w:p>
        </w:tc>
      </w:tr>
      <w:tr w:rsidR="00920C12" w:rsidRPr="000D1255" w14:paraId="57186E10" w14:textId="77777777" w:rsidTr="002974BC">
        <w:trPr>
          <w:trHeight w:val="283"/>
        </w:trPr>
        <w:tc>
          <w:tcPr>
            <w:tcW w:w="500" w:type="pct"/>
          </w:tcPr>
          <w:p w14:paraId="01143567"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NT</w:t>
            </w:r>
          </w:p>
        </w:tc>
        <w:tc>
          <w:tcPr>
            <w:tcW w:w="500" w:type="pct"/>
          </w:tcPr>
          <w:p w14:paraId="7F5151E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57</w:t>
            </w:r>
          </w:p>
        </w:tc>
        <w:tc>
          <w:tcPr>
            <w:tcW w:w="500" w:type="pct"/>
          </w:tcPr>
          <w:p w14:paraId="6DC038E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765</w:t>
            </w:r>
          </w:p>
        </w:tc>
        <w:tc>
          <w:tcPr>
            <w:tcW w:w="501" w:type="pct"/>
          </w:tcPr>
          <w:p w14:paraId="0253D275"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303.0</w:t>
            </w:r>
          </w:p>
        </w:tc>
        <w:tc>
          <w:tcPr>
            <w:tcW w:w="500" w:type="pct"/>
          </w:tcPr>
          <w:p w14:paraId="64BD929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153</w:t>
            </w:r>
          </w:p>
        </w:tc>
        <w:tc>
          <w:tcPr>
            <w:tcW w:w="500" w:type="pct"/>
          </w:tcPr>
          <w:p w14:paraId="57ACAA2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381</w:t>
            </w:r>
          </w:p>
        </w:tc>
        <w:tc>
          <w:tcPr>
            <w:tcW w:w="502" w:type="pct"/>
          </w:tcPr>
          <w:p w14:paraId="1607A296"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150.9</w:t>
            </w:r>
          </w:p>
        </w:tc>
        <w:tc>
          <w:tcPr>
            <w:tcW w:w="500" w:type="pct"/>
          </w:tcPr>
          <w:p w14:paraId="3DF50BD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124</w:t>
            </w:r>
          </w:p>
        </w:tc>
        <w:tc>
          <w:tcPr>
            <w:tcW w:w="500" w:type="pct"/>
          </w:tcPr>
          <w:p w14:paraId="7CD5000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671</w:t>
            </w:r>
          </w:p>
        </w:tc>
        <w:tc>
          <w:tcPr>
            <w:tcW w:w="497" w:type="pct"/>
          </w:tcPr>
          <w:p w14:paraId="126F68E9"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265.8</w:t>
            </w:r>
          </w:p>
        </w:tc>
      </w:tr>
      <w:tr w:rsidR="00920C12" w:rsidRPr="000D1255" w14:paraId="2E801E8A" w14:textId="77777777" w:rsidTr="002974BC">
        <w:trPr>
          <w:trHeight w:val="283"/>
        </w:trPr>
        <w:tc>
          <w:tcPr>
            <w:tcW w:w="500" w:type="pct"/>
          </w:tcPr>
          <w:p w14:paraId="5F433739"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Q</w:t>
            </w:r>
            <w:r>
              <w:rPr>
                <w:rFonts w:cs="Arial"/>
                <w:color w:val="033636"/>
                <w:sz w:val="18"/>
                <w:szCs w:val="18"/>
              </w:rPr>
              <w:t>ld</w:t>
            </w:r>
          </w:p>
        </w:tc>
        <w:tc>
          <w:tcPr>
            <w:tcW w:w="500" w:type="pct"/>
          </w:tcPr>
          <w:p w14:paraId="30AA76A0"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1,547</w:t>
            </w:r>
          </w:p>
        </w:tc>
        <w:tc>
          <w:tcPr>
            <w:tcW w:w="500" w:type="pct"/>
          </w:tcPr>
          <w:p w14:paraId="1695A7B4"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20,377</w:t>
            </w:r>
          </w:p>
        </w:tc>
        <w:tc>
          <w:tcPr>
            <w:tcW w:w="501" w:type="pct"/>
          </w:tcPr>
          <w:p w14:paraId="064F5420"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373.2</w:t>
            </w:r>
          </w:p>
        </w:tc>
        <w:tc>
          <w:tcPr>
            <w:tcW w:w="500" w:type="pct"/>
          </w:tcPr>
          <w:p w14:paraId="2C5AF7CA"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1,945</w:t>
            </w:r>
          </w:p>
        </w:tc>
        <w:tc>
          <w:tcPr>
            <w:tcW w:w="500" w:type="pct"/>
          </w:tcPr>
          <w:p w14:paraId="38E0C1A5"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9,238</w:t>
            </w:r>
          </w:p>
        </w:tc>
        <w:tc>
          <w:tcPr>
            <w:tcW w:w="502" w:type="pct"/>
          </w:tcPr>
          <w:p w14:paraId="2171B8CD"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169.2</w:t>
            </w:r>
          </w:p>
        </w:tc>
        <w:tc>
          <w:tcPr>
            <w:tcW w:w="500" w:type="pct"/>
          </w:tcPr>
          <w:p w14:paraId="22CB4C7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2,534</w:t>
            </w:r>
          </w:p>
        </w:tc>
        <w:tc>
          <w:tcPr>
            <w:tcW w:w="500" w:type="pct"/>
          </w:tcPr>
          <w:p w14:paraId="6C424434"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9,519</w:t>
            </w:r>
          </w:p>
        </w:tc>
        <w:tc>
          <w:tcPr>
            <w:tcW w:w="497" w:type="pct"/>
          </w:tcPr>
          <w:p w14:paraId="453F7534"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174.4</w:t>
            </w:r>
          </w:p>
        </w:tc>
      </w:tr>
      <w:tr w:rsidR="00920C12" w:rsidRPr="000D1255" w14:paraId="2BBA48C3" w14:textId="77777777" w:rsidTr="002974BC">
        <w:trPr>
          <w:trHeight w:val="283"/>
        </w:trPr>
        <w:tc>
          <w:tcPr>
            <w:tcW w:w="500" w:type="pct"/>
          </w:tcPr>
          <w:p w14:paraId="04205506"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SA</w:t>
            </w:r>
          </w:p>
        </w:tc>
        <w:tc>
          <w:tcPr>
            <w:tcW w:w="500" w:type="pct"/>
          </w:tcPr>
          <w:p w14:paraId="676A863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1,808</w:t>
            </w:r>
          </w:p>
        </w:tc>
        <w:tc>
          <w:tcPr>
            <w:tcW w:w="500" w:type="pct"/>
          </w:tcPr>
          <w:p w14:paraId="7CAAFCC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18,850</w:t>
            </w:r>
          </w:p>
        </w:tc>
        <w:tc>
          <w:tcPr>
            <w:tcW w:w="501" w:type="pct"/>
          </w:tcPr>
          <w:p w14:paraId="46B095F1"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1018.0</w:t>
            </w:r>
          </w:p>
        </w:tc>
        <w:tc>
          <w:tcPr>
            <w:tcW w:w="500" w:type="pct"/>
          </w:tcPr>
          <w:p w14:paraId="7F75202E"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272</w:t>
            </w:r>
          </w:p>
        </w:tc>
        <w:tc>
          <w:tcPr>
            <w:tcW w:w="500" w:type="pct"/>
          </w:tcPr>
          <w:p w14:paraId="4B60788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1,890</w:t>
            </w:r>
          </w:p>
        </w:tc>
        <w:tc>
          <w:tcPr>
            <w:tcW w:w="502" w:type="pct"/>
          </w:tcPr>
          <w:p w14:paraId="4EFD8C2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102.1</w:t>
            </w:r>
          </w:p>
        </w:tc>
        <w:tc>
          <w:tcPr>
            <w:tcW w:w="500" w:type="pct"/>
          </w:tcPr>
          <w:p w14:paraId="6FF72A61"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167</w:t>
            </w:r>
          </w:p>
        </w:tc>
        <w:tc>
          <w:tcPr>
            <w:tcW w:w="500" w:type="pct"/>
          </w:tcPr>
          <w:p w14:paraId="7821C67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845</w:t>
            </w:r>
          </w:p>
        </w:tc>
        <w:tc>
          <w:tcPr>
            <w:tcW w:w="497" w:type="pct"/>
          </w:tcPr>
          <w:p w14:paraId="42C8C85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45.6</w:t>
            </w:r>
          </w:p>
        </w:tc>
      </w:tr>
      <w:tr w:rsidR="00920C12" w:rsidRPr="000D1255" w14:paraId="080C1C76" w14:textId="77777777" w:rsidTr="002974BC">
        <w:trPr>
          <w:trHeight w:val="283"/>
        </w:trPr>
        <w:tc>
          <w:tcPr>
            <w:tcW w:w="500" w:type="pct"/>
          </w:tcPr>
          <w:p w14:paraId="24861930"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T</w:t>
            </w:r>
            <w:r>
              <w:rPr>
                <w:rFonts w:cs="Arial"/>
                <w:color w:val="033636"/>
                <w:sz w:val="18"/>
                <w:szCs w:val="18"/>
              </w:rPr>
              <w:t>as.</w:t>
            </w:r>
          </w:p>
        </w:tc>
        <w:tc>
          <w:tcPr>
            <w:tcW w:w="500" w:type="pct"/>
          </w:tcPr>
          <w:p w14:paraId="478110B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744</w:t>
            </w:r>
          </w:p>
        </w:tc>
        <w:tc>
          <w:tcPr>
            <w:tcW w:w="500" w:type="pct"/>
          </w:tcPr>
          <w:p w14:paraId="3D6A305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8,638</w:t>
            </w:r>
          </w:p>
        </w:tc>
        <w:tc>
          <w:tcPr>
            <w:tcW w:w="501" w:type="pct"/>
          </w:tcPr>
          <w:p w14:paraId="2DCE465D"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1508.1</w:t>
            </w:r>
          </w:p>
        </w:tc>
        <w:tc>
          <w:tcPr>
            <w:tcW w:w="500" w:type="pct"/>
          </w:tcPr>
          <w:p w14:paraId="5D6E2AC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68</w:t>
            </w:r>
          </w:p>
        </w:tc>
        <w:tc>
          <w:tcPr>
            <w:tcW w:w="500" w:type="pct"/>
          </w:tcPr>
          <w:p w14:paraId="666D3CE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274</w:t>
            </w:r>
          </w:p>
        </w:tc>
        <w:tc>
          <w:tcPr>
            <w:tcW w:w="502" w:type="pct"/>
          </w:tcPr>
          <w:p w14:paraId="07C69E33"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47.8</w:t>
            </w:r>
          </w:p>
        </w:tc>
        <w:tc>
          <w:tcPr>
            <w:tcW w:w="500" w:type="pct"/>
          </w:tcPr>
          <w:p w14:paraId="69AFBF0D"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34</w:t>
            </w:r>
          </w:p>
        </w:tc>
        <w:tc>
          <w:tcPr>
            <w:tcW w:w="500" w:type="pct"/>
          </w:tcPr>
          <w:p w14:paraId="16413C3A"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169</w:t>
            </w:r>
          </w:p>
        </w:tc>
        <w:tc>
          <w:tcPr>
            <w:tcW w:w="497" w:type="pct"/>
          </w:tcPr>
          <w:p w14:paraId="5FB0432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29.5</w:t>
            </w:r>
          </w:p>
        </w:tc>
      </w:tr>
      <w:tr w:rsidR="00920C12" w:rsidRPr="000D1255" w14:paraId="2ACD27F8" w14:textId="77777777" w:rsidTr="002974BC">
        <w:trPr>
          <w:trHeight w:val="283"/>
        </w:trPr>
        <w:tc>
          <w:tcPr>
            <w:tcW w:w="500" w:type="pct"/>
          </w:tcPr>
          <w:p w14:paraId="53AC9BAE"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V</w:t>
            </w:r>
            <w:r>
              <w:rPr>
                <w:rFonts w:cs="Arial"/>
                <w:color w:val="033636"/>
                <w:sz w:val="18"/>
                <w:szCs w:val="18"/>
              </w:rPr>
              <w:t>ic.</w:t>
            </w:r>
          </w:p>
        </w:tc>
        <w:tc>
          <w:tcPr>
            <w:tcW w:w="500" w:type="pct"/>
          </w:tcPr>
          <w:p w14:paraId="1FDD409F"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1,210</w:t>
            </w:r>
          </w:p>
        </w:tc>
        <w:tc>
          <w:tcPr>
            <w:tcW w:w="500" w:type="pct"/>
          </w:tcPr>
          <w:p w14:paraId="0604E882"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11,748</w:t>
            </w:r>
          </w:p>
        </w:tc>
        <w:tc>
          <w:tcPr>
            <w:tcW w:w="501" w:type="pct"/>
          </w:tcPr>
          <w:p w14:paraId="0558876A"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172.4</w:t>
            </w:r>
          </w:p>
        </w:tc>
        <w:tc>
          <w:tcPr>
            <w:tcW w:w="500" w:type="pct"/>
          </w:tcPr>
          <w:p w14:paraId="304FAC39"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774</w:t>
            </w:r>
          </w:p>
        </w:tc>
        <w:tc>
          <w:tcPr>
            <w:tcW w:w="500" w:type="pct"/>
          </w:tcPr>
          <w:p w14:paraId="7B8EE1D1"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5,832</w:t>
            </w:r>
          </w:p>
        </w:tc>
        <w:tc>
          <w:tcPr>
            <w:tcW w:w="502" w:type="pct"/>
          </w:tcPr>
          <w:p w14:paraId="337A0A55"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85.6</w:t>
            </w:r>
          </w:p>
        </w:tc>
        <w:tc>
          <w:tcPr>
            <w:tcW w:w="500" w:type="pct"/>
          </w:tcPr>
          <w:p w14:paraId="6BEB3F02"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1,132</w:t>
            </w:r>
          </w:p>
        </w:tc>
        <w:tc>
          <w:tcPr>
            <w:tcW w:w="500" w:type="pct"/>
          </w:tcPr>
          <w:p w14:paraId="3ADD31A7"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3,993</w:t>
            </w:r>
          </w:p>
        </w:tc>
        <w:tc>
          <w:tcPr>
            <w:tcW w:w="497" w:type="pct"/>
          </w:tcPr>
          <w:p w14:paraId="52C6AC4F"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58.6</w:t>
            </w:r>
          </w:p>
        </w:tc>
      </w:tr>
      <w:tr w:rsidR="00920C12" w:rsidRPr="000D1255" w14:paraId="69D040F1" w14:textId="77777777" w:rsidTr="002974BC">
        <w:trPr>
          <w:trHeight w:val="283"/>
        </w:trPr>
        <w:tc>
          <w:tcPr>
            <w:tcW w:w="500" w:type="pct"/>
          </w:tcPr>
          <w:p w14:paraId="1B8323B2" w14:textId="77777777" w:rsidR="00920C12" w:rsidRPr="000D1255" w:rsidRDefault="00920C12" w:rsidP="00E77E9F">
            <w:pPr>
              <w:spacing w:before="100" w:after="100"/>
              <w:rPr>
                <w:rFonts w:cs="Arial"/>
                <w:color w:val="033636"/>
                <w:sz w:val="16"/>
                <w:szCs w:val="16"/>
              </w:rPr>
            </w:pPr>
            <w:r w:rsidRPr="7AA39330">
              <w:rPr>
                <w:rFonts w:cs="Arial"/>
                <w:color w:val="033636"/>
                <w:sz w:val="18"/>
                <w:szCs w:val="18"/>
              </w:rPr>
              <w:t>WA</w:t>
            </w:r>
          </w:p>
        </w:tc>
        <w:tc>
          <w:tcPr>
            <w:tcW w:w="500" w:type="pct"/>
          </w:tcPr>
          <w:p w14:paraId="10FD2BE6"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400</w:t>
            </w:r>
          </w:p>
        </w:tc>
        <w:tc>
          <w:tcPr>
            <w:tcW w:w="500" w:type="pct"/>
          </w:tcPr>
          <w:p w14:paraId="5B89CDE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3,873</w:t>
            </w:r>
          </w:p>
        </w:tc>
        <w:tc>
          <w:tcPr>
            <w:tcW w:w="501" w:type="pct"/>
          </w:tcPr>
          <w:p w14:paraId="50ADDFDA" w14:textId="77777777" w:rsidR="00920C12" w:rsidRPr="00116077" w:rsidRDefault="00920C12" w:rsidP="00E77E9F">
            <w:pPr>
              <w:spacing w:before="100" w:after="100"/>
              <w:jc w:val="right"/>
              <w:rPr>
                <w:rFonts w:eastAsia="Arial" w:cs="Arial"/>
                <w:sz w:val="18"/>
                <w:szCs w:val="18"/>
              </w:rPr>
            </w:pPr>
            <w:r w:rsidRPr="00116077">
              <w:rPr>
                <w:rFonts w:eastAsia="Arial" w:cs="Arial"/>
                <w:sz w:val="18"/>
                <w:szCs w:val="18"/>
              </w:rPr>
              <w:t>134.5</w:t>
            </w:r>
          </w:p>
        </w:tc>
        <w:tc>
          <w:tcPr>
            <w:tcW w:w="500" w:type="pct"/>
          </w:tcPr>
          <w:p w14:paraId="39719778"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291</w:t>
            </w:r>
          </w:p>
        </w:tc>
        <w:tc>
          <w:tcPr>
            <w:tcW w:w="500" w:type="pct"/>
          </w:tcPr>
          <w:p w14:paraId="55CCB84D" w14:textId="77777777" w:rsidR="00920C12" w:rsidRPr="007A7724" w:rsidRDefault="00920C12" w:rsidP="00E77E9F">
            <w:pPr>
              <w:spacing w:before="100" w:after="100"/>
              <w:jc w:val="right"/>
              <w:rPr>
                <w:rFonts w:cs="Arial"/>
                <w:sz w:val="16"/>
                <w:szCs w:val="16"/>
              </w:rPr>
            </w:pPr>
            <w:r w:rsidRPr="007A7724">
              <w:rPr>
                <w:rFonts w:eastAsia="Arial" w:cs="Arial"/>
                <w:sz w:val="18"/>
                <w:szCs w:val="18"/>
              </w:rPr>
              <w:t>1,895</w:t>
            </w:r>
          </w:p>
        </w:tc>
        <w:tc>
          <w:tcPr>
            <w:tcW w:w="502" w:type="pct"/>
          </w:tcPr>
          <w:p w14:paraId="29C7366B"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65.8</w:t>
            </w:r>
          </w:p>
        </w:tc>
        <w:tc>
          <w:tcPr>
            <w:tcW w:w="500" w:type="pct"/>
          </w:tcPr>
          <w:p w14:paraId="5A7F758B"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167</w:t>
            </w:r>
          </w:p>
        </w:tc>
        <w:tc>
          <w:tcPr>
            <w:tcW w:w="500" w:type="pct"/>
          </w:tcPr>
          <w:p w14:paraId="66CD4B0E" w14:textId="77777777" w:rsidR="00920C12" w:rsidRPr="003A4FF9" w:rsidRDefault="00920C12" w:rsidP="00E77E9F">
            <w:pPr>
              <w:spacing w:before="100" w:after="100"/>
              <w:jc w:val="right"/>
              <w:rPr>
                <w:rFonts w:eastAsia="Arial" w:cs="Arial"/>
                <w:sz w:val="18"/>
                <w:szCs w:val="18"/>
              </w:rPr>
            </w:pPr>
            <w:r w:rsidRPr="007A7724">
              <w:rPr>
                <w:rFonts w:eastAsia="Arial" w:cs="Arial"/>
                <w:sz w:val="18"/>
                <w:szCs w:val="18"/>
              </w:rPr>
              <w:t>772</w:t>
            </w:r>
          </w:p>
        </w:tc>
        <w:tc>
          <w:tcPr>
            <w:tcW w:w="497" w:type="pct"/>
          </w:tcPr>
          <w:p w14:paraId="6CC55810" w14:textId="77777777" w:rsidR="00920C12" w:rsidRPr="003A4FF9" w:rsidRDefault="00920C12" w:rsidP="00E77E9F">
            <w:pPr>
              <w:spacing w:before="100" w:after="100"/>
              <w:jc w:val="right"/>
              <w:rPr>
                <w:rFonts w:eastAsia="Arial" w:cs="Arial"/>
                <w:sz w:val="18"/>
                <w:szCs w:val="18"/>
              </w:rPr>
            </w:pPr>
            <w:r w:rsidRPr="003A4FF9">
              <w:rPr>
                <w:rFonts w:eastAsia="Arial" w:cs="Arial"/>
                <w:sz w:val="18"/>
                <w:szCs w:val="18"/>
              </w:rPr>
              <w:t>26.8</w:t>
            </w:r>
          </w:p>
        </w:tc>
      </w:tr>
      <w:tr w:rsidR="00920C12" w:rsidRPr="000D1255" w14:paraId="199E75B5" w14:textId="77777777" w:rsidTr="002974BC">
        <w:trPr>
          <w:trHeight w:val="283"/>
        </w:trPr>
        <w:tc>
          <w:tcPr>
            <w:tcW w:w="500" w:type="pct"/>
          </w:tcPr>
          <w:p w14:paraId="75584360" w14:textId="77777777" w:rsidR="00920C12" w:rsidRPr="000D1255" w:rsidRDefault="00920C12" w:rsidP="00E77E9F">
            <w:pPr>
              <w:spacing w:before="100" w:after="100"/>
              <w:rPr>
                <w:rFonts w:cs="Arial"/>
                <w:b/>
                <w:bCs/>
                <w:color w:val="033636"/>
                <w:sz w:val="16"/>
                <w:szCs w:val="16"/>
              </w:rPr>
            </w:pPr>
            <w:r w:rsidRPr="345710C1">
              <w:rPr>
                <w:rFonts w:cs="Arial"/>
                <w:b/>
                <w:bCs/>
                <w:color w:val="033636"/>
                <w:sz w:val="18"/>
                <w:szCs w:val="18"/>
              </w:rPr>
              <w:t>Total</w:t>
            </w:r>
            <w:r w:rsidRPr="000A5A1E">
              <w:rPr>
                <w:rFonts w:cs="Arial"/>
                <w:b/>
                <w:color w:val="033636"/>
                <w:sz w:val="18"/>
                <w:szCs w:val="18"/>
                <w:vertAlign w:val="superscript"/>
              </w:rPr>
              <w:t>†</w:t>
            </w:r>
          </w:p>
        </w:tc>
        <w:tc>
          <w:tcPr>
            <w:tcW w:w="500" w:type="pct"/>
          </w:tcPr>
          <w:p w14:paraId="561DB44F" w14:textId="77777777" w:rsidR="00920C12" w:rsidRPr="007A7724" w:rsidRDefault="00920C12" w:rsidP="00E77E9F">
            <w:pPr>
              <w:spacing w:before="100" w:after="100"/>
              <w:jc w:val="right"/>
              <w:rPr>
                <w:rFonts w:cs="Arial"/>
                <w:b/>
                <w:bCs/>
                <w:sz w:val="16"/>
                <w:szCs w:val="16"/>
              </w:rPr>
            </w:pPr>
            <w:r w:rsidRPr="007A7724">
              <w:rPr>
                <w:rFonts w:eastAsia="Arial" w:cs="Arial"/>
                <w:b/>
                <w:bCs/>
                <w:sz w:val="18"/>
                <w:szCs w:val="18"/>
              </w:rPr>
              <w:t>8,614</w:t>
            </w:r>
          </w:p>
        </w:tc>
        <w:tc>
          <w:tcPr>
            <w:tcW w:w="500" w:type="pct"/>
          </w:tcPr>
          <w:p w14:paraId="4C9B0D0C" w14:textId="77777777" w:rsidR="00920C12" w:rsidRPr="007A7724" w:rsidRDefault="00920C12" w:rsidP="00E77E9F">
            <w:pPr>
              <w:spacing w:before="100" w:after="100"/>
              <w:jc w:val="right"/>
              <w:rPr>
                <w:rFonts w:cs="Arial"/>
                <w:b/>
                <w:bCs/>
                <w:sz w:val="16"/>
                <w:szCs w:val="16"/>
              </w:rPr>
            </w:pPr>
            <w:r w:rsidRPr="007A7724">
              <w:rPr>
                <w:rFonts w:eastAsia="Arial" w:cs="Arial"/>
                <w:b/>
                <w:bCs/>
                <w:sz w:val="18"/>
                <w:szCs w:val="18"/>
              </w:rPr>
              <w:t>100,370</w:t>
            </w:r>
          </w:p>
        </w:tc>
        <w:tc>
          <w:tcPr>
            <w:tcW w:w="501" w:type="pct"/>
          </w:tcPr>
          <w:p w14:paraId="735050BC" w14:textId="77777777" w:rsidR="00920C12" w:rsidRPr="00116077" w:rsidRDefault="00920C12" w:rsidP="00E77E9F">
            <w:pPr>
              <w:spacing w:before="100" w:after="100"/>
              <w:jc w:val="right"/>
              <w:rPr>
                <w:rFonts w:eastAsia="Arial" w:cs="Arial"/>
                <w:b/>
                <w:bCs/>
                <w:sz w:val="18"/>
                <w:szCs w:val="18"/>
              </w:rPr>
            </w:pPr>
            <w:r w:rsidRPr="00116077">
              <w:rPr>
                <w:rFonts w:eastAsia="Arial" w:cs="Arial"/>
                <w:b/>
                <w:bCs/>
                <w:sz w:val="18"/>
                <w:szCs w:val="18"/>
              </w:rPr>
              <w:t>376.8</w:t>
            </w:r>
          </w:p>
        </w:tc>
        <w:tc>
          <w:tcPr>
            <w:tcW w:w="500" w:type="pct"/>
          </w:tcPr>
          <w:p w14:paraId="6B363228" w14:textId="77777777" w:rsidR="00920C12" w:rsidRPr="007A7724" w:rsidRDefault="00920C12" w:rsidP="00E77E9F">
            <w:pPr>
              <w:spacing w:before="100" w:after="100"/>
              <w:jc w:val="right"/>
              <w:rPr>
                <w:rFonts w:eastAsia="Arial" w:cs="Arial"/>
                <w:b/>
                <w:bCs/>
                <w:sz w:val="16"/>
                <w:szCs w:val="16"/>
              </w:rPr>
            </w:pPr>
            <w:r w:rsidRPr="007A7724">
              <w:rPr>
                <w:rFonts w:eastAsia="Arial" w:cs="Arial"/>
                <w:b/>
                <w:bCs/>
                <w:sz w:val="18"/>
                <w:szCs w:val="18"/>
              </w:rPr>
              <w:t>5,746</w:t>
            </w:r>
          </w:p>
        </w:tc>
        <w:tc>
          <w:tcPr>
            <w:tcW w:w="500" w:type="pct"/>
          </w:tcPr>
          <w:p w14:paraId="192F1E19" w14:textId="77777777" w:rsidR="00920C12" w:rsidRPr="007A7724" w:rsidRDefault="00920C12" w:rsidP="00E77E9F">
            <w:pPr>
              <w:spacing w:before="100" w:after="100"/>
              <w:jc w:val="right"/>
              <w:rPr>
                <w:rFonts w:eastAsia="Arial" w:cs="Arial"/>
                <w:b/>
                <w:bCs/>
                <w:sz w:val="16"/>
                <w:szCs w:val="16"/>
              </w:rPr>
            </w:pPr>
            <w:r w:rsidRPr="007A7724">
              <w:rPr>
                <w:rFonts w:eastAsia="Arial" w:cs="Arial"/>
                <w:b/>
                <w:bCs/>
                <w:sz w:val="18"/>
                <w:szCs w:val="18"/>
              </w:rPr>
              <w:t>33,325</w:t>
            </w:r>
          </w:p>
        </w:tc>
        <w:tc>
          <w:tcPr>
            <w:tcW w:w="502" w:type="pct"/>
          </w:tcPr>
          <w:p w14:paraId="3FA25869"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125.1</w:t>
            </w:r>
          </w:p>
        </w:tc>
        <w:tc>
          <w:tcPr>
            <w:tcW w:w="500" w:type="pct"/>
          </w:tcPr>
          <w:p w14:paraId="522677E1"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9,496</w:t>
            </w:r>
          </w:p>
        </w:tc>
        <w:tc>
          <w:tcPr>
            <w:tcW w:w="500" w:type="pct"/>
          </w:tcPr>
          <w:p w14:paraId="28D1D45F"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36,930</w:t>
            </w:r>
          </w:p>
        </w:tc>
        <w:tc>
          <w:tcPr>
            <w:tcW w:w="497" w:type="pct"/>
          </w:tcPr>
          <w:p w14:paraId="14CD0DFE" w14:textId="77777777" w:rsidR="00920C12" w:rsidRPr="003A4FF9" w:rsidRDefault="00920C12" w:rsidP="00E77E9F">
            <w:pPr>
              <w:spacing w:before="100" w:after="100"/>
              <w:jc w:val="right"/>
              <w:rPr>
                <w:rFonts w:eastAsia="Arial" w:cs="Arial"/>
                <w:b/>
                <w:bCs/>
                <w:sz w:val="18"/>
                <w:szCs w:val="18"/>
              </w:rPr>
            </w:pPr>
            <w:r w:rsidRPr="003A4FF9">
              <w:rPr>
                <w:rFonts w:eastAsia="Arial" w:cs="Arial"/>
                <w:b/>
                <w:bCs/>
                <w:sz w:val="18"/>
                <w:szCs w:val="18"/>
              </w:rPr>
              <w:t>138.6</w:t>
            </w:r>
          </w:p>
        </w:tc>
      </w:tr>
    </w:tbl>
    <w:p w14:paraId="38A390EC" w14:textId="5443547F" w:rsidR="00920C12" w:rsidRDefault="00920C12" w:rsidP="00694001">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p>
    <w:p w14:paraId="027AF4FF" w14:textId="29CF35DD" w:rsidR="00565FFB" w:rsidRDefault="00DE0360" w:rsidP="00720ECB">
      <w:pPr>
        <w:numPr>
          <w:ilvl w:val="0"/>
          <w:numId w:val="17"/>
        </w:numPr>
      </w:pPr>
      <w:r>
        <w:lastRenderedPageBreak/>
        <w:t xml:space="preserve">In the year to date, </w:t>
      </w:r>
      <w:r w:rsidR="00460E9D">
        <w:t xml:space="preserve">COVID-19 </w:t>
      </w:r>
      <w:r>
        <w:t xml:space="preserve">notification rates have been highest in people aged 70 years </w:t>
      </w:r>
      <w:r w:rsidR="006818CF">
        <w:t xml:space="preserve">or </w:t>
      </w:r>
      <w:r>
        <w:t>over</w:t>
      </w:r>
      <w:r w:rsidR="00536DEE" w:rsidDel="004C5055">
        <w:t xml:space="preserve"> </w:t>
      </w:r>
      <w:r w:rsidR="00DB08DE">
        <w:t xml:space="preserve">followed by </w:t>
      </w:r>
      <w:r w:rsidR="000C609E">
        <w:t>children</w:t>
      </w:r>
      <w:r w:rsidR="00DB08DE">
        <w:t xml:space="preserve"> aged </w:t>
      </w:r>
      <w:r w:rsidR="000C609E">
        <w:t>0–4 years</w:t>
      </w:r>
      <w:r w:rsidR="007C3C56">
        <w:t xml:space="preserve"> </w:t>
      </w:r>
      <w:r w:rsidR="007C3C56" w:rsidDel="00757E29">
        <w:t>(</w:t>
      </w:r>
      <w:r>
        <w:t>Table 1).</w:t>
      </w:r>
    </w:p>
    <w:p w14:paraId="4215881E" w14:textId="23CB3D6D" w:rsidR="00565FFB" w:rsidRDefault="00DE0360" w:rsidP="00720ECB">
      <w:pPr>
        <w:numPr>
          <w:ilvl w:val="1"/>
          <w:numId w:val="19"/>
        </w:numPr>
      </w:pPr>
      <w:r>
        <w:t>This trend</w:t>
      </w:r>
      <w:r w:rsidR="00471CB5">
        <w:t xml:space="preserve"> for older age groups</w:t>
      </w:r>
      <w:r>
        <w:t xml:space="preserve"> is likely a reflection of higher case ascertainment due to target</w:t>
      </w:r>
      <w:r w:rsidR="003C48AD">
        <w:t>ed</w:t>
      </w:r>
      <w:r>
        <w:t xml:space="preserve"> testing strategies in place for populations at-risk of severe disease and who live in a high-risk setting, such as a </w:t>
      </w:r>
      <w:r w:rsidR="00056F13">
        <w:t>r</w:t>
      </w:r>
      <w:r>
        <w:t xml:space="preserve">esidential </w:t>
      </w:r>
      <w:r w:rsidR="00056F13">
        <w:t>a</w:t>
      </w:r>
      <w:r>
        <w:t xml:space="preserve">ged </w:t>
      </w:r>
      <w:r w:rsidR="00056F13">
        <w:t>c</w:t>
      </w:r>
      <w:r>
        <w:t xml:space="preserve">are </w:t>
      </w:r>
      <w:r w:rsidR="00056F13">
        <w:t>f</w:t>
      </w:r>
      <w:r>
        <w:t>acility.</w:t>
      </w:r>
    </w:p>
    <w:p w14:paraId="4F13CA8E" w14:textId="77777777" w:rsidR="00565FFB" w:rsidRDefault="00565FFB"/>
    <w:p w14:paraId="454E8A65" w14:textId="5F50CD77" w:rsidR="00565FFB" w:rsidRDefault="00DE0360">
      <w:pPr>
        <w:pStyle w:val="BodyText"/>
      </w:pPr>
      <w:r>
        <w:rPr>
          <w:b/>
          <w:bCs/>
        </w:rPr>
        <w:t xml:space="preserve">Figure </w:t>
      </w:r>
      <w:r w:rsidR="0083379B">
        <w:rPr>
          <w:b/>
          <w:bCs/>
        </w:rPr>
        <w:t>4</w:t>
      </w:r>
      <w:r>
        <w:rPr>
          <w:b/>
          <w:bCs/>
        </w:rPr>
        <w:t>: COVID-19 cases notified to the NNDSS</w:t>
      </w:r>
      <w:r w:rsidR="00465CAC">
        <w:rPr>
          <w:b/>
          <w:bCs/>
        </w:rPr>
        <w:t xml:space="preserve"> </w:t>
      </w:r>
      <w:r w:rsidR="0083379B">
        <w:rPr>
          <w:b/>
          <w:bCs/>
        </w:rPr>
        <w:t>(showing all pandemic years 2020–2024)</w:t>
      </w:r>
      <w:r>
        <w:rPr>
          <w:b/>
          <w:bCs/>
        </w:rPr>
        <w:t xml:space="preserve"> by year and week of diagnosis, Australia, </w:t>
      </w:r>
      <w:r w:rsidR="00125A19">
        <w:rPr>
          <w:b/>
          <w:bCs/>
        </w:rPr>
        <w:t xml:space="preserve">1 January </w:t>
      </w:r>
      <w:r>
        <w:rPr>
          <w:b/>
          <w:bCs/>
        </w:rPr>
        <w:t>2020 to 7 April 2024</w:t>
      </w:r>
    </w:p>
    <w:p w14:paraId="7120123D" w14:textId="1716BDA5" w:rsidR="00565FFB" w:rsidRDefault="00DD76C8">
      <w:pPr>
        <w:pStyle w:val="BodyText"/>
      </w:pPr>
      <w:r>
        <w:rPr>
          <w:noProof/>
        </w:rPr>
        <w:drawing>
          <wp:inline distT="0" distB="0" distL="0" distR="0" wp14:anchorId="5E7628FF" wp14:editId="55F5D178">
            <wp:extent cx="6184900" cy="2769924"/>
            <wp:effectExtent l="0" t="0" r="0" b="0"/>
            <wp:docPr id="44" name="Graphic 44" descr="A line graph showing COVID-19 cases (both confirmed and probable) notified to the NNDSS in Australia, by year and week of diagnosis, from 1 January 2020 to 7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4" name="Picture" descr="A line graph showing COVID-19 cases (both confirmed and probable) notified to the NNDSS in Australia, by year and week of diagnosis, from 1 January 2020 to 7 April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197E394" w14:textId="5C030818" w:rsidR="0083379B" w:rsidRDefault="0083379B" w:rsidP="0083379B">
      <w:pPr>
        <w:pStyle w:val="BodyText"/>
      </w:pPr>
      <w:r>
        <w:rPr>
          <w:b/>
          <w:bCs/>
        </w:rPr>
        <w:t xml:space="preserve">Figure 5: COVID-19 cases notified to the NNDSS (showing </w:t>
      </w:r>
      <w:r w:rsidR="00B020DD">
        <w:rPr>
          <w:b/>
          <w:bCs/>
        </w:rPr>
        <w:t xml:space="preserve">recent </w:t>
      </w:r>
      <w:r>
        <w:rPr>
          <w:b/>
          <w:bCs/>
        </w:rPr>
        <w:t>pandemic years 2023 and 2024) by year and week of diagnosis, Australia, 202</w:t>
      </w:r>
      <w:r w:rsidR="004A4AE1">
        <w:rPr>
          <w:b/>
          <w:bCs/>
        </w:rPr>
        <w:t>3</w:t>
      </w:r>
      <w:r>
        <w:rPr>
          <w:b/>
          <w:bCs/>
        </w:rPr>
        <w:t xml:space="preserve"> to 7 April 2024</w:t>
      </w:r>
    </w:p>
    <w:p w14:paraId="28F317BD" w14:textId="3CDD711C" w:rsidR="00565FFB" w:rsidRDefault="000A7196" w:rsidP="001D73CF">
      <w:pPr>
        <w:pStyle w:val="BodyText"/>
      </w:pPr>
      <w:r>
        <w:rPr>
          <w:noProof/>
        </w:rPr>
        <w:drawing>
          <wp:inline distT="0" distB="0" distL="0" distR="0" wp14:anchorId="16490B87" wp14:editId="659C4CB8">
            <wp:extent cx="6184900" cy="2769924"/>
            <wp:effectExtent l="0" t="0" r="0" b="0"/>
            <wp:docPr id="47" name="Graphic 47" descr="A line graph showing COVID-19 cases notified to the NNDSS in Australia, by selected years (the whole year of 2023, and 2024 1 January to 7 April)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000 cases per week in the most recent reporting period up until 7 April 2024."/>
            <wp:cNvGraphicFramePr/>
            <a:graphic xmlns:a="http://schemas.openxmlformats.org/drawingml/2006/main">
              <a:graphicData uri="http://schemas.openxmlformats.org/drawingml/2006/picture">
                <pic:pic xmlns:pic="http://schemas.openxmlformats.org/drawingml/2006/picture">
                  <pic:nvPicPr>
                    <pic:cNvPr id="47" name="Picture" descr="A line graph showing COVID-19 cases notified to the NNDSS in Australia, by selected years (the whole year of 2023, and 2024 1 January to 7 April) and week of diagnosis. The chart’s date range encompasses the end of the fourth Omicron wave, the fifth Omicron wave and the sixth Omicron wave to date in Australia. In 2023, there was approximately 45,000 cases per week in the first week of January. There was a secondary peak of approximately 40,000 cases per week in third week of May 2023 (fifth Omicron wave), followed by a steady reduction in reported cases through June and July, ebbing to an apparent plateau in case numbers of approximately 5,000 cases per week across August and September 2023, before rising from the second week of October until mid-November (sixth Omicron wave). In 2024, there has been a steady decline of cases from approximately 10,000 cases per week at the beginning of January to approximately 5,000 cases per week in the most recent reporting period up until 7 April 2024."/>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A1A0897" w14:textId="77777777" w:rsidR="004C5055" w:rsidRDefault="00C540EA" w:rsidP="00C540EA">
      <w:pPr>
        <w:numPr>
          <w:ilvl w:val="0"/>
          <w:numId w:val="23"/>
        </w:numPr>
      </w:pPr>
      <w:r>
        <w:t xml:space="preserve">This fortnight, COVID-19 notification rates decreased or remained stable in all jurisdictions compared with the previous fortnight (Figure </w:t>
      </w:r>
      <w:r w:rsidR="00E8412F">
        <w:t>6</w:t>
      </w:r>
      <w:r>
        <w:t xml:space="preserve">). </w:t>
      </w:r>
    </w:p>
    <w:p w14:paraId="0B092D9D" w14:textId="58F3C390" w:rsidR="00C540EA" w:rsidRDefault="00C540EA" w:rsidP="004C5055">
      <w:pPr>
        <w:numPr>
          <w:ilvl w:val="0"/>
          <w:numId w:val="23"/>
        </w:numPr>
      </w:pPr>
      <w:r>
        <w:t xml:space="preserve">Since the beginning of 2024, notification rates in all jurisdictions have followed a decreasing trend (Figure </w:t>
      </w:r>
      <w:r w:rsidR="00E8412F">
        <w:t>6</w:t>
      </w:r>
      <w:r>
        <w:t>).</w:t>
      </w:r>
      <w:r w:rsidR="004C5055">
        <w:t xml:space="preserve"> </w:t>
      </w:r>
      <w:r>
        <w:t xml:space="preserve">In the year to date, of the jurisdictions that no longer continue to collect self-reported RAT results, COVID-19 notification rates have been highest in New South Wales and Queensland </w:t>
      </w:r>
      <w:r w:rsidDel="00757E29">
        <w:t>(</w:t>
      </w:r>
      <w:r>
        <w:t>Table 1).</w:t>
      </w:r>
    </w:p>
    <w:p w14:paraId="7A27A245" w14:textId="48AEA062" w:rsidR="00C540EA" w:rsidRDefault="00C540EA" w:rsidP="00C540EA">
      <w:pPr>
        <w:numPr>
          <w:ilvl w:val="1"/>
          <w:numId w:val="24"/>
        </w:numPr>
      </w:pPr>
      <w:r>
        <w:lastRenderedPageBreak/>
        <w:t>Trends in COVID-19 notification rates by jurisdiction should be interpreted with caution as South Australia and Tasmania are the only jurisdictions that continued to collect self-reported RAT results in the reporting period.</w:t>
      </w:r>
      <w:r w:rsidR="0094685B">
        <w:br/>
      </w:r>
    </w:p>
    <w:p w14:paraId="5D8920C8" w14:textId="75930DB8" w:rsidR="00C540EA" w:rsidRDefault="00C540EA" w:rsidP="00C540EA">
      <w:r>
        <w:rPr>
          <w:b/>
          <w:bCs/>
        </w:rPr>
        <w:t xml:space="preserve">Figure </w:t>
      </w:r>
      <w:r w:rsidR="00E8412F">
        <w:rPr>
          <w:b/>
          <w:bCs/>
        </w:rPr>
        <w:t>6</w:t>
      </w:r>
      <w:r>
        <w:rPr>
          <w:b/>
          <w:bCs/>
        </w:rPr>
        <w:t>: Notification rates per 100,000 population for COVID-19 cases notified to the NNDSS* by state or territory and week of diagnosis, Australia, 1 January to 7 April 2024</w:t>
      </w:r>
    </w:p>
    <w:p w14:paraId="70BB9243" w14:textId="1AEDF2B4" w:rsidR="00C540EA" w:rsidRDefault="00CF1F1E" w:rsidP="00C540EA">
      <w:pPr>
        <w:pStyle w:val="BodyText"/>
      </w:pPr>
      <w:r>
        <w:rPr>
          <w:noProof/>
        </w:rPr>
        <w:drawing>
          <wp:inline distT="0" distB="0" distL="0" distR="0" wp14:anchorId="3584AAE0" wp14:editId="26C4E94F">
            <wp:extent cx="6184900" cy="2769924"/>
            <wp:effectExtent l="0" t="0" r="0" b="0"/>
            <wp:docPr id="50" name="Graphic 50" descr="A line graph showing the notification rates per 100,000 population for COVID-19 cases notified to the NNDSS, by state or territory in Australia with diagnosis dates from 1 January to 7 April 2024. Since the beginning of 2024, of the six jurisdictions that no longer continue to collect self-reported COVID-19 rapid antigen test results,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higher COVID-19 notification rate trends in South Australia and Tasmania should be interpreted with caution as South Australia and Tasmania are the only jurisdictions that continue to collect self-reported RAT results."/>
            <wp:cNvGraphicFramePr/>
            <a:graphic xmlns:a="http://schemas.openxmlformats.org/drawingml/2006/main">
              <a:graphicData uri="http://schemas.openxmlformats.org/drawingml/2006/picture">
                <pic:pic xmlns:pic="http://schemas.openxmlformats.org/drawingml/2006/picture">
                  <pic:nvPicPr>
                    <pic:cNvPr id="50" name="Picture" descr="A line graph showing the notification rates per 100,000 population for COVID-19 cases notified to the NNDSS, by state or territory in Australia with diagnosis dates from 1 January to 7 April 2024. Since the beginning of 2024, of the six jurisdictions that no longer continue to collect self-reported COVID-19 rapid antigen test results, COVID-19 notification rates have been highest in New South Wales and Queensland. Since the beginning of 2024, notification rates in all jurisdictions have followed a decreasing trend. COVID-19 notification rates in the Australian Capital Territory, New South Wales, the Northern Territory, Queensland, Victoria and Western Australia were relatively stable in the last two weeks of the reporting period. The higher COVID-19 notification rate trends in South Australia and Tasmania should be interpreted with caution as South Australia and Tasmania are the only jurisdictions that continue to collect self-reported RAT results."/>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66E70CF9" w14:textId="5A9915EF" w:rsidR="00C540EA" w:rsidRDefault="00C540EA" w:rsidP="00694001">
      <w:pPr>
        <w:pStyle w:val="Smalltext"/>
      </w:pPr>
      <w:r>
        <w:t xml:space="preserve">* Rate per 100,000 population for the given time period. Population data are based on the </w:t>
      </w:r>
      <w:r w:rsidR="00E25E83">
        <w:t xml:space="preserve">ABS ERP </w:t>
      </w:r>
      <w:r>
        <w:t xml:space="preserve">as </w:t>
      </w:r>
      <w:proofErr w:type="gramStart"/>
      <w:r>
        <w:t>at</w:t>
      </w:r>
      <w:proofErr w:type="gramEnd"/>
      <w:r>
        <w:t xml:space="preserve"> June 2023.</w:t>
      </w:r>
    </w:p>
    <w:p w14:paraId="6AE464BE" w14:textId="77777777" w:rsidR="00C540EA" w:rsidRDefault="00C540EA" w:rsidP="001D73CF">
      <w:pPr>
        <w:pStyle w:val="BodyText"/>
      </w:pPr>
    </w:p>
    <w:p w14:paraId="10E272D2" w14:textId="0F7272E0" w:rsidR="00565FFB" w:rsidRDefault="00F15298" w:rsidP="00720ECB">
      <w:pPr>
        <w:numPr>
          <w:ilvl w:val="0"/>
          <w:numId w:val="20"/>
        </w:numPr>
      </w:pPr>
      <w:r>
        <w:t>Nationally, t</w:t>
      </w:r>
      <w:r w:rsidR="00DE0360">
        <w:t xml:space="preserve">here </w:t>
      </w:r>
      <w:r w:rsidR="00630221">
        <w:t>were</w:t>
      </w:r>
      <w:r w:rsidR="00DE0360">
        <w:t xml:space="preserve"> 5,746 influenza notifications with a diagnosis date this fortnight, compared with 5,775 notifications in the previous fortnight, </w:t>
      </w:r>
      <w:r w:rsidR="00885982">
        <w:t>remaining relatively stable</w:t>
      </w:r>
      <w:r w:rsidR="00DE0360">
        <w:t xml:space="preserve"> (Figure </w:t>
      </w:r>
      <w:r w:rsidR="002469E5">
        <w:t>7</w:t>
      </w:r>
      <w:r w:rsidR="00DE0360">
        <w:t>).</w:t>
      </w:r>
    </w:p>
    <w:p w14:paraId="5A5BAEDD" w14:textId="666CEB5C" w:rsidR="00565FFB" w:rsidRDefault="00DE0360" w:rsidP="00720ECB">
      <w:pPr>
        <w:numPr>
          <w:ilvl w:val="0"/>
          <w:numId w:val="20"/>
        </w:numPr>
      </w:pPr>
      <w:r>
        <w:t>In the year to date, there have been 33,325 influenza notifications reported to the NNDSS</w:t>
      </w:r>
      <w:r w:rsidR="00DE4E9F">
        <w:t>, which is higher than the number of notifications in the same period in 2023</w:t>
      </w:r>
      <w:r w:rsidR="00051D99">
        <w:t xml:space="preserve"> and </w:t>
      </w:r>
      <w:r w:rsidR="00EA1346">
        <w:t xml:space="preserve">in the </w:t>
      </w:r>
      <w:r w:rsidR="005F3918">
        <w:t>pre-</w:t>
      </w:r>
      <w:r w:rsidR="00A80508">
        <w:t>pandemic</w:t>
      </w:r>
      <w:r w:rsidDel="00337F80">
        <w:t xml:space="preserve"> </w:t>
      </w:r>
      <w:r w:rsidR="00EA1346">
        <w:t>years</w:t>
      </w:r>
      <w:r>
        <w:t xml:space="preserve"> (Figure </w:t>
      </w:r>
      <w:r w:rsidR="002469E5">
        <w:t>7</w:t>
      </w:r>
      <w:r>
        <w:t>).</w:t>
      </w:r>
    </w:p>
    <w:p w14:paraId="2B878691" w14:textId="1FF90625" w:rsidR="00FC4323" w:rsidRDefault="00FC4323" w:rsidP="003903B6">
      <w:pPr>
        <w:pStyle w:val="ListParagraph"/>
        <w:numPr>
          <w:ilvl w:val="1"/>
          <w:numId w:val="20"/>
        </w:numPr>
      </w:pPr>
      <w:r w:rsidRPr="00FC4323">
        <w:t xml:space="preserve">The higher number of </w:t>
      </w:r>
      <w:r>
        <w:t>influenza</w:t>
      </w:r>
      <w:r w:rsidRPr="00FC4323">
        <w:t xml:space="preserve"> notifications observed in 2024 thus far may be due to an increase in </w:t>
      </w:r>
      <w:r>
        <w:t>influenza</w:t>
      </w:r>
      <w:r w:rsidRPr="00FC4323">
        <w:t xml:space="preserve"> circulation in the community but may also be influenced by changes in health-seeking behaviour associated with increases in COVID-19 circulation over the summer period in many jurisdictions</w:t>
      </w:r>
      <w:r w:rsidR="00F30EB6">
        <w:t>,</w:t>
      </w:r>
      <w:r w:rsidRPr="00FC4323">
        <w:t xml:space="preserve"> such as increased testing for viral respiratory infections.</w:t>
      </w:r>
    </w:p>
    <w:p w14:paraId="0A50468E" w14:textId="7803B15F" w:rsidR="004C5055" w:rsidRDefault="00DE0360" w:rsidP="00720ECB">
      <w:pPr>
        <w:numPr>
          <w:ilvl w:val="0"/>
          <w:numId w:val="20"/>
        </w:numPr>
      </w:pPr>
      <w:r>
        <w:t xml:space="preserve">In the year to date, </w:t>
      </w:r>
      <w:r w:rsidR="00460E9D">
        <w:t xml:space="preserve">influenza </w:t>
      </w:r>
      <w:r>
        <w:t xml:space="preserve">notification rates have been highest in </w:t>
      </w:r>
      <w:r w:rsidR="000C609E">
        <w:t xml:space="preserve">children </w:t>
      </w:r>
      <w:r>
        <w:t>aged 0–4 years</w:t>
      </w:r>
      <w:r w:rsidR="000F4AF5">
        <w:t xml:space="preserve">, followed closely by </w:t>
      </w:r>
      <w:r w:rsidR="000C609E">
        <w:t>children</w:t>
      </w:r>
      <w:r w:rsidR="000F4AF5">
        <w:t xml:space="preserve"> aged 5–9 years </w:t>
      </w:r>
      <w:r w:rsidR="000F4AF5" w:rsidDel="00757E29">
        <w:t>(</w:t>
      </w:r>
      <w:r>
        <w:t>Table 1).</w:t>
      </w:r>
    </w:p>
    <w:p w14:paraId="31950F54" w14:textId="77777777" w:rsidR="004C5055" w:rsidRDefault="004C5055">
      <w:pPr>
        <w:spacing w:before="0" w:after="0" w:line="240" w:lineRule="auto"/>
      </w:pPr>
      <w:r>
        <w:br w:type="page"/>
      </w:r>
    </w:p>
    <w:p w14:paraId="3762EA9D" w14:textId="55CBF76C" w:rsidR="00415038" w:rsidRDefault="00DE0360" w:rsidP="00FA66FA">
      <w:r>
        <w:rPr>
          <w:b/>
          <w:bCs/>
        </w:rPr>
        <w:lastRenderedPageBreak/>
        <w:t xml:space="preserve">Figure </w:t>
      </w:r>
      <w:r w:rsidR="00546503">
        <w:rPr>
          <w:b/>
          <w:bCs/>
        </w:rPr>
        <w:t>7</w:t>
      </w:r>
      <w:r>
        <w:rPr>
          <w:b/>
          <w:bCs/>
        </w:rPr>
        <w:t xml:space="preserve">: Influenza cases notified to the NNDSS and five-year mean* by year and week of diagnosis, Australia, </w:t>
      </w:r>
      <w:r w:rsidR="007770BB">
        <w:rPr>
          <w:b/>
          <w:bCs/>
        </w:rPr>
        <w:t xml:space="preserve">1 January </w:t>
      </w:r>
      <w:r>
        <w:rPr>
          <w:b/>
          <w:bCs/>
        </w:rPr>
        <w:t>2017 to 7 April 2024</w:t>
      </w:r>
      <w:r w:rsidR="0065679E">
        <w:rPr>
          <w:b/>
          <w:bCs/>
        </w:rPr>
        <w:br/>
      </w:r>
      <w:r w:rsidR="002C2691" w:rsidRPr="002C2691">
        <w:rPr>
          <w:noProof/>
        </w:rPr>
        <w:t xml:space="preserve"> </w:t>
      </w:r>
      <w:r w:rsidR="0065679E" w:rsidRPr="0065679E">
        <w:rPr>
          <w:noProof/>
        </w:rPr>
        <w:drawing>
          <wp:inline distT="0" distB="0" distL="0" distR="0" wp14:anchorId="1AB7D95A" wp14:editId="4766248F">
            <wp:extent cx="6192520" cy="2733675"/>
            <wp:effectExtent l="0" t="0" r="0" b="9525"/>
            <wp:docPr id="13" name="Graphic 13" descr="A line graph showing influenza cases notified to the NNDSS in Australia, by year and week of diagnosis, from 1 January 2017 to 7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fluctuated between 2,500 and 3,000 per week. Note, the years 2020 and 2021 are excluded when comparing the current season to historical periods when influenza virus has circulated without public health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A line graph showing influenza cases notified to the NNDSS in Australia, by year and week of diagnosis, from 1 January 2017 to 7 April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average. In the latest reporting period, the number of influenza notifications have fluctuated between 2,500 and 3,000 per week. Note, the years 2020 and 2021 are excluded when comparing the current season to historical periods when influenza virus has circulated without public health restrictions."/>
                    <pic:cNvPicPr/>
                  </pic:nvPicPr>
                  <pic:blipFill>
                    <a:blip r:embed="rId28">
                      <a:extLst>
                        <a:ext uri="{96DAC541-7B7A-43D3-8B79-37D633B846F1}">
                          <asvg:svgBlip xmlns:asvg="http://schemas.microsoft.com/office/drawing/2016/SVG/main" r:embed="rId29"/>
                        </a:ext>
                      </a:extLst>
                    </a:blip>
                    <a:stretch>
                      <a:fillRect/>
                    </a:stretch>
                  </pic:blipFill>
                  <pic:spPr>
                    <a:xfrm>
                      <a:off x="0" y="0"/>
                      <a:ext cx="6192520" cy="2733675"/>
                    </a:xfrm>
                    <a:prstGeom prst="rect">
                      <a:avLst/>
                    </a:prstGeom>
                  </pic:spPr>
                </pic:pic>
              </a:graphicData>
            </a:graphic>
          </wp:inline>
        </w:drawing>
      </w:r>
    </w:p>
    <w:p w14:paraId="132B191E" w14:textId="77777777" w:rsidR="00565FFB" w:rsidRDefault="00DE0360" w:rsidP="00694001">
      <w:pPr>
        <w:pStyle w:val="Smalltext"/>
      </w:pPr>
      <w:r>
        <w:t>*The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p>
    <w:p w14:paraId="776F5C20" w14:textId="77777777" w:rsidR="00565FFB" w:rsidRDefault="00565FFB" w:rsidP="00694001">
      <w:pPr>
        <w:pStyle w:val="Smalltext"/>
      </w:pPr>
    </w:p>
    <w:p w14:paraId="5974B178" w14:textId="77777777" w:rsidR="004C5055" w:rsidRDefault="0067231C" w:rsidP="0067231C">
      <w:pPr>
        <w:numPr>
          <w:ilvl w:val="0"/>
          <w:numId w:val="25"/>
        </w:numPr>
      </w:pPr>
      <w:r>
        <w:t xml:space="preserve">This fortnight, influenza notification rates increased considerably in the Northern Territory, compared with the previous fortnight (Figure </w:t>
      </w:r>
      <w:r w:rsidR="0084122E">
        <w:t>8</w:t>
      </w:r>
      <w:r>
        <w:t xml:space="preserve">). </w:t>
      </w:r>
    </w:p>
    <w:p w14:paraId="7839A697" w14:textId="774F0714" w:rsidR="0067231C" w:rsidRDefault="0067231C" w:rsidP="004C5055">
      <w:pPr>
        <w:numPr>
          <w:ilvl w:val="0"/>
          <w:numId w:val="7"/>
        </w:numPr>
      </w:pPr>
      <w:r>
        <w:t xml:space="preserve">Since the beginning of 2024, influenza notification rates have followed an increasing trend in the Northern Territory and Queensland but have remained relatively stable in most other jurisdictions (Figure </w:t>
      </w:r>
      <w:r w:rsidR="0084122E">
        <w:t>8</w:t>
      </w:r>
      <w:r>
        <w:t>).</w:t>
      </w:r>
      <w:r w:rsidR="004C5055">
        <w:t xml:space="preserve"> </w:t>
      </w:r>
      <w:r>
        <w:t>In the year to date, influenza notification rates have been highest in Queensland followed by New South Wales (Table 1).</w:t>
      </w:r>
      <w:r w:rsidR="002469E5">
        <w:br/>
      </w:r>
    </w:p>
    <w:p w14:paraId="56B8EE28" w14:textId="3EEB2408" w:rsidR="0067231C" w:rsidRDefault="0067231C" w:rsidP="0067231C">
      <w:r>
        <w:rPr>
          <w:b/>
          <w:bCs/>
        </w:rPr>
        <w:t xml:space="preserve">Figure </w:t>
      </w:r>
      <w:r w:rsidR="0084122E">
        <w:rPr>
          <w:b/>
          <w:bCs/>
        </w:rPr>
        <w:t>8</w:t>
      </w:r>
      <w:r>
        <w:rPr>
          <w:b/>
          <w:bCs/>
        </w:rPr>
        <w:t>: Notification rates per 100,000 population for influenza cases notified to the NNDSS* by state or territory and week of diagnosis, Australia, 1 January to 7 April 2024</w:t>
      </w:r>
    </w:p>
    <w:p w14:paraId="0F9565C0" w14:textId="1B527290" w:rsidR="0067231C" w:rsidRDefault="00A90611" w:rsidP="0067231C">
      <w:pPr>
        <w:pStyle w:val="BodyText"/>
      </w:pPr>
      <w:r>
        <w:rPr>
          <w:noProof/>
        </w:rPr>
        <w:drawing>
          <wp:inline distT="0" distB="0" distL="0" distR="0" wp14:anchorId="4501D00F" wp14:editId="4E915FFE">
            <wp:extent cx="6184900" cy="2769924"/>
            <wp:effectExtent l="0" t="0" r="0" b="0"/>
            <wp:docPr id="56" name="Graphic 56" descr="A line graph showing the notification rates per 100,000 population for influenza cases notified to the NNDSS, by state or territory in Australia, with diagnosis dates from 1 January to 7 April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lmost 45 notifications per 100,000 population per week in the week ending 7 April 2024. In the reporting fortnight, influenza notification rates were relatively low and stable in the Australian Capital Territory, New South Wales, South Australia, Tasmania, Victoria and Western Australia, fluctuating between 5 and 15 notifications per 100,000 population per week. The lowest influenza notification rate in the reporting fortnight has been in Western Australia, at approximately 5 notifications per 100,000 population. "/>
            <wp:cNvGraphicFramePr/>
            <a:graphic xmlns:a="http://schemas.openxmlformats.org/drawingml/2006/main">
              <a:graphicData uri="http://schemas.openxmlformats.org/drawingml/2006/picture">
                <pic:pic xmlns:pic="http://schemas.openxmlformats.org/drawingml/2006/picture">
                  <pic:nvPicPr>
                    <pic:cNvPr id="56" name="Picture" descr="A line graph showing the notification rates per 100,000 population for influenza cases notified to the NNDSS, by state or territory in Australia, with diagnosis dates from 1 January to 7 April 2024. Since the beginning of 2024 until mid-March, influenza notification rates were highest New South Wales and Queensland. Since early March influenza notification rates in the Northern Territory increased rapidly from approximately 10 notifications per 100,000 population per week in the week ending 3 March 2024 to almost 45 notifications per 100,000 population per week in the week ending 7 April 2024. In the reporting fortnight, influenza notification rates were relatively low and stable in the Australian Capital Territory, New South Wales, South Australia, Tasmania, Victoria and Western Australia, fluctuating between 5 and 15 notifications per 100,000 population per week. The lowest influenza notification rate in the reporting fortnight has been in Western Australia, at approximately 5 notifications per 100,000 population.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716D3BD5" w14:textId="77777777" w:rsidR="0067231C" w:rsidRDefault="0067231C" w:rsidP="00694001">
      <w:pPr>
        <w:pStyle w:val="Smalltext"/>
      </w:pPr>
      <w:r>
        <w:t xml:space="preserve">* Rate per 100,000 population for the given time period. Population data are based on the ABS ERP as </w:t>
      </w:r>
      <w:proofErr w:type="gramStart"/>
      <w:r>
        <w:t>at</w:t>
      </w:r>
      <w:proofErr w:type="gramEnd"/>
      <w:r>
        <w:t xml:space="preserve"> June 2023.</w:t>
      </w:r>
    </w:p>
    <w:p w14:paraId="5672FC1A" w14:textId="77777777" w:rsidR="00565FFB" w:rsidRDefault="00DE0360">
      <w:r>
        <w:br w:type="page"/>
      </w:r>
    </w:p>
    <w:p w14:paraId="72AD94EF" w14:textId="50D94601" w:rsidR="0067231C" w:rsidRDefault="0067231C" w:rsidP="0067231C">
      <w:pPr>
        <w:numPr>
          <w:ilvl w:val="0"/>
          <w:numId w:val="22"/>
        </w:numPr>
      </w:pPr>
      <w:r>
        <w:lastRenderedPageBreak/>
        <w:t xml:space="preserve">Nationally, there </w:t>
      </w:r>
      <w:r w:rsidR="00B36FA2">
        <w:t>were</w:t>
      </w:r>
      <w:r>
        <w:t xml:space="preserve"> 9,496 RSV notifications with a diagnosis date this fortnight, </w:t>
      </w:r>
      <w:r w:rsidR="0097464F">
        <w:t xml:space="preserve">representing </w:t>
      </w:r>
      <w:r w:rsidR="00BA247B">
        <w:t xml:space="preserve">an increase </w:t>
      </w:r>
      <w:r>
        <w:t>compared with 8,396 notifications in the previous fortnight</w:t>
      </w:r>
      <w:r w:rsidR="00BA247B">
        <w:t xml:space="preserve"> </w:t>
      </w:r>
      <w:r>
        <w:t xml:space="preserve">(Figure </w:t>
      </w:r>
      <w:r w:rsidR="0094685B">
        <w:t>9</w:t>
      </w:r>
      <w:r>
        <w:t>).</w:t>
      </w:r>
    </w:p>
    <w:p w14:paraId="08378C0A" w14:textId="500AF04F" w:rsidR="0067231C" w:rsidRDefault="0067231C" w:rsidP="0067231C">
      <w:pPr>
        <w:numPr>
          <w:ilvl w:val="0"/>
          <w:numId w:val="22"/>
        </w:numPr>
      </w:pPr>
      <w:r>
        <w:t>In the year to date, there have been 36,930 RSV notifications reported to the NNDSS, which is twice the number of RSV notifications in the same period in 2023</w:t>
      </w:r>
      <w:r w:rsidDel="00771984">
        <w:t xml:space="preserve"> </w:t>
      </w:r>
      <w:r>
        <w:t xml:space="preserve">(Figure </w:t>
      </w:r>
      <w:r w:rsidR="0094685B">
        <w:t>9</w:t>
      </w:r>
      <w:r>
        <w:t>).</w:t>
      </w:r>
    </w:p>
    <w:p w14:paraId="56040ECF" w14:textId="77777777" w:rsidR="0067231C" w:rsidRDefault="0067231C" w:rsidP="0067231C">
      <w:pPr>
        <w:numPr>
          <w:ilvl w:val="1"/>
          <w:numId w:val="22"/>
        </w:numPr>
      </w:pPr>
      <w:r>
        <w:t>The higher number of RSV notifications observed in 2024 thus far may be due to an increase in RSV circulation in the community but may also be influenced by changes in health-seeking behaviour associated with increases in COVID-19 circulation over the summer period in many jurisdictions, such as increased testing for viral respiratory infections.</w:t>
      </w:r>
    </w:p>
    <w:p w14:paraId="74B8F75C" w14:textId="771D90FE" w:rsidR="0067231C" w:rsidRDefault="0067231C" w:rsidP="0067231C">
      <w:pPr>
        <w:numPr>
          <w:ilvl w:val="0"/>
          <w:numId w:val="22"/>
        </w:numPr>
      </w:pPr>
      <w:r>
        <w:t xml:space="preserve">In the year to date, RSV notification rates have been highest in children aged 0–4 years followed by children aged 5–9 years </w:t>
      </w:r>
      <w:r w:rsidDel="00310A44">
        <w:t>(</w:t>
      </w:r>
      <w:r>
        <w:t>Table 1).</w:t>
      </w:r>
    </w:p>
    <w:p w14:paraId="76F66E4B" w14:textId="77777777" w:rsidR="0067231C" w:rsidRDefault="0067231C" w:rsidP="0067231C"/>
    <w:p w14:paraId="66F22669" w14:textId="1F315A9C" w:rsidR="0067231C" w:rsidRDefault="0067231C" w:rsidP="0067231C">
      <w:r>
        <w:rPr>
          <w:b/>
          <w:bCs/>
        </w:rPr>
        <w:t xml:space="preserve">Figure </w:t>
      </w:r>
      <w:r w:rsidR="0094685B">
        <w:rPr>
          <w:b/>
          <w:bCs/>
        </w:rPr>
        <w:t>9</w:t>
      </w:r>
      <w:r>
        <w:rPr>
          <w:b/>
          <w:bCs/>
        </w:rPr>
        <w:t>: RSV cases notified to the NNDSS by year and week of diagnosis*, Australia, 2023 to 7 April 2024</w:t>
      </w:r>
    </w:p>
    <w:p w14:paraId="72B86B06" w14:textId="66E38016" w:rsidR="0067231C" w:rsidRDefault="009F725D" w:rsidP="0067231C">
      <w:pPr>
        <w:pStyle w:val="BodyText"/>
      </w:pPr>
      <w:r>
        <w:rPr>
          <w:noProof/>
        </w:rPr>
        <w:drawing>
          <wp:inline distT="0" distB="0" distL="0" distR="0" wp14:anchorId="40B5BC16" wp14:editId="28BEC890">
            <wp:extent cx="6184900" cy="2769924"/>
            <wp:effectExtent l="0" t="0" r="0" b="0"/>
            <wp:docPr id="59" name="Graphic 59" descr="A line graph showing RSV cases notified to the NNDSS by year and week of diagnosis in Australia, from 1 January 2023 to 7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9" name="Picture" descr="A line graph showing RSV cases notified to the NNDSS by year and week of diagnosis in Australia, from 1 January 2023 to 7 April 2024. In 2023, RSV cases increased from mid-February and reached a peak in June at approximately 5,000 RSV cases per week. Following the peak, RSV notifications fell steadily across June to October. Since early 2024, RSV notifications have been steadily increasing. RSV cases notified to the NNDSS have been consistently higher across 2024 to date than the corresponding weeks of 2023.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7EEC010" w14:textId="77777777" w:rsidR="0067231C" w:rsidRDefault="0067231C" w:rsidP="00694001">
      <w:pPr>
        <w:pStyle w:val="Smalltext"/>
      </w:pPr>
      <w:r>
        <w:t>* RSV became notifiable in all states and territories on 1 September 2022. Comprehensive national data for RSV are only available from 2023 onwards.</w:t>
      </w:r>
    </w:p>
    <w:p w14:paraId="560B6D31" w14:textId="77777777" w:rsidR="00565FFB" w:rsidRDefault="00565FFB" w:rsidP="00694001">
      <w:pPr>
        <w:pStyle w:val="Smalltext"/>
      </w:pPr>
    </w:p>
    <w:p w14:paraId="10C41CC9" w14:textId="77777777" w:rsidR="004C5055" w:rsidRDefault="00DE0360" w:rsidP="00720ECB">
      <w:pPr>
        <w:numPr>
          <w:ilvl w:val="0"/>
          <w:numId w:val="26"/>
        </w:numPr>
      </w:pPr>
      <w:r>
        <w:t xml:space="preserve">This fortnight, RSV </w:t>
      </w:r>
      <w:r w:rsidR="002C1FE1">
        <w:t xml:space="preserve">notification rates </w:t>
      </w:r>
      <w:r w:rsidR="00F06977">
        <w:t>increased</w:t>
      </w:r>
      <w:r w:rsidR="00630547">
        <w:t xml:space="preserve"> </w:t>
      </w:r>
      <w:r w:rsidR="00FE015D">
        <w:t>in the Australian Capital Territory, New South Wales</w:t>
      </w:r>
      <w:r w:rsidR="008A6BA8">
        <w:t>, Queen</w:t>
      </w:r>
      <w:r w:rsidR="004F5B13">
        <w:t>sland and Victoria</w:t>
      </w:r>
      <w:r w:rsidR="00F76005">
        <w:t>, compared with the previous fortnight</w:t>
      </w:r>
      <w:r w:rsidR="003E6086">
        <w:t xml:space="preserve"> (Figure 10)</w:t>
      </w:r>
      <w:r w:rsidR="00F71C5A">
        <w:t xml:space="preserve">. </w:t>
      </w:r>
    </w:p>
    <w:p w14:paraId="44606E29" w14:textId="1FB2B0AF" w:rsidR="0094685B" w:rsidRDefault="009332EC" w:rsidP="004C5055">
      <w:pPr>
        <w:numPr>
          <w:ilvl w:val="0"/>
          <w:numId w:val="26"/>
        </w:numPr>
      </w:pPr>
      <w:r>
        <w:t xml:space="preserve">Since the beginning of 2024, RSV </w:t>
      </w:r>
      <w:r w:rsidR="00E17647">
        <w:t xml:space="preserve">notification rates have </w:t>
      </w:r>
      <w:r>
        <w:t xml:space="preserve">followed an increasing trend in New South Wales, </w:t>
      </w:r>
      <w:r w:rsidR="001206F2">
        <w:t>the Northern Territory and Queensland</w:t>
      </w:r>
      <w:r w:rsidR="002C1FE1">
        <w:t xml:space="preserve">, </w:t>
      </w:r>
      <w:r w:rsidR="008D2BD1">
        <w:t xml:space="preserve">while notification rates have remained </w:t>
      </w:r>
      <w:r w:rsidR="004E3507">
        <w:t xml:space="preserve">comparatively low and stable in </w:t>
      </w:r>
      <w:r w:rsidR="002C1FE1">
        <w:t>other jurisdictions</w:t>
      </w:r>
      <w:r w:rsidR="003E6086">
        <w:t xml:space="preserve"> until recent weeks</w:t>
      </w:r>
      <w:r w:rsidR="002D4259">
        <w:t xml:space="preserve"> </w:t>
      </w:r>
      <w:r w:rsidR="00DE0360">
        <w:t>(Figure 10).</w:t>
      </w:r>
      <w:r w:rsidR="004C5055">
        <w:t xml:space="preserve"> </w:t>
      </w:r>
      <w:r w:rsidR="00DE0360">
        <w:t xml:space="preserve">In the year to date, RSV notification rates have been highest in </w:t>
      </w:r>
      <w:r w:rsidR="00B10F18">
        <w:t>the Northern Territory</w:t>
      </w:r>
      <w:r w:rsidR="00B10F18" w:rsidDel="004C5055">
        <w:t xml:space="preserve"> </w:t>
      </w:r>
      <w:r w:rsidR="00DE0360">
        <w:t xml:space="preserve">followed by </w:t>
      </w:r>
      <w:r w:rsidR="00B10F18">
        <w:t xml:space="preserve">New South Wales </w:t>
      </w:r>
      <w:r w:rsidR="00DE0360">
        <w:t>(Table 1).</w:t>
      </w:r>
      <w:r w:rsidR="0094685B">
        <w:br/>
      </w:r>
    </w:p>
    <w:p w14:paraId="317F2664" w14:textId="77777777" w:rsidR="0094685B" w:rsidRDefault="0094685B">
      <w:pPr>
        <w:spacing w:before="0" w:after="0" w:line="240" w:lineRule="auto"/>
      </w:pPr>
      <w:r>
        <w:br w:type="page"/>
      </w:r>
    </w:p>
    <w:p w14:paraId="426EFA6E" w14:textId="77777777" w:rsidR="00565FFB" w:rsidRDefault="00DE0360">
      <w:r>
        <w:rPr>
          <w:b/>
          <w:bCs/>
        </w:rPr>
        <w:lastRenderedPageBreak/>
        <w:t>Figure 10: Notification rates per 100,000 population for RSV cases notified to the NNDSS* by state or territory and week of diagnosis, Australia, 1 January to 7 April 2024</w:t>
      </w:r>
    </w:p>
    <w:p w14:paraId="368A1824" w14:textId="400490CE" w:rsidR="00565FFB" w:rsidRDefault="00414B7C">
      <w:pPr>
        <w:pStyle w:val="BodyText"/>
      </w:pPr>
      <w:r>
        <w:rPr>
          <w:noProof/>
        </w:rPr>
        <w:drawing>
          <wp:inline distT="0" distB="0" distL="0" distR="0" wp14:anchorId="0A340934" wp14:editId="480E1D96">
            <wp:extent cx="6184900" cy="2769924"/>
            <wp:effectExtent l="0" t="0" r="0" b="0"/>
            <wp:docPr id="62" name="Graphic 62" descr="A line graph showing the notification rates per 100,000 population for RSV cases notified to the NNDSS, by state or territory in Australia, with diagnosis dates from 1 January to 7 April 2024. Since the beginning of 2024, notification rates for RSV cases have increased steadily in the Northern Territory, New South Wales and Queensland, with New South Wales reporting the highest notification rate in the reporting fortnight at approximately 30 RSV notifications per 100,000 population per week. In the year to date, notification rates per 100,000 population per week for RSV cases have been relatively stable and fluctuated between 0.5 and 5 notifications per 100,000 population per week in Western Australia, Tasmania and South Australia. Since the beginning of 2024, notification rates for RSV cases have slowly increased in the Australian Capital Territory and Victoria fluctuating between 8 and 12 notifications per 100,000 population per week."/>
            <wp:cNvGraphicFramePr/>
            <a:graphic xmlns:a="http://schemas.openxmlformats.org/drawingml/2006/main">
              <a:graphicData uri="http://schemas.openxmlformats.org/drawingml/2006/picture">
                <pic:pic xmlns:pic="http://schemas.openxmlformats.org/drawingml/2006/picture">
                  <pic:nvPicPr>
                    <pic:cNvPr id="62" name="Picture" descr="A line graph showing the notification rates per 100,000 population for RSV cases notified to the NNDSS, by state or territory in Australia, with diagnosis dates from 1 January to 7 April 2024. Since the beginning of 2024, notification rates for RSV cases have increased steadily in the Northern Territory, New South Wales and Queensland, with New South Wales reporting the highest notification rate in the reporting fortnight at approximately 30 RSV notifications per 100,000 population per week. In the year to date, notification rates per 100,000 population per week for RSV cases have been relatively stable and fluctuated between 0.5 and 5 notifications per 100,000 population per week in Western Australia, Tasmania and South Australia. Since the beginning of 2024, notification rates for RSV cases have slowly increased in the Australian Capital Territory and Victoria fluctuating between 8 and 12 notifications per 100,000 population per week."/>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326B2AE" w14:textId="345BC546" w:rsidR="00565FFB" w:rsidRDefault="00DE0360" w:rsidP="00694001">
      <w:pPr>
        <w:pStyle w:val="Smalltext"/>
      </w:pPr>
      <w:r>
        <w:t xml:space="preserve">* Rate per 100,000 population for the given time period. Population data are based on the ABS ERP as </w:t>
      </w:r>
      <w:proofErr w:type="gramStart"/>
      <w:r>
        <w:t>at</w:t>
      </w:r>
      <w:proofErr w:type="gramEnd"/>
      <w:r>
        <w:t xml:space="preserve"> June 2023.</w:t>
      </w:r>
      <w:r w:rsidR="00B425AE">
        <w:br/>
      </w:r>
    </w:p>
    <w:p w14:paraId="6BF273F0" w14:textId="481A7094" w:rsidR="00B425AE" w:rsidRDefault="00DE0360" w:rsidP="00E8510A">
      <w:pPr>
        <w:pStyle w:val="BodyText"/>
      </w:pPr>
      <w:r>
        <w:t>For further information regarding respiratory virus activity at the jurisdictional level, please refer to the state and territory health respiratory surveillance reports.</w:t>
      </w:r>
      <w:r w:rsidR="00B425AE">
        <w:br/>
      </w:r>
    </w:p>
    <w:p w14:paraId="395DB97B" w14:textId="77777777" w:rsidR="00B425AE" w:rsidRDefault="00B425AE">
      <w:pPr>
        <w:spacing w:before="0" w:after="0" w:line="240" w:lineRule="auto"/>
      </w:pPr>
      <w:r>
        <w:br w:type="page"/>
      </w:r>
    </w:p>
    <w:p w14:paraId="4F56BA58" w14:textId="3995C01B" w:rsidR="00565FFB" w:rsidRDefault="00DE0360">
      <w:pPr>
        <w:pStyle w:val="Heading2"/>
      </w:pPr>
      <w:bookmarkStart w:id="13" w:name="severity"/>
      <w:bookmarkEnd w:id="3"/>
      <w:bookmarkEnd w:id="10"/>
      <w:bookmarkEnd w:id="11"/>
      <w:r>
        <w:lastRenderedPageBreak/>
        <w:t>2. Severity</w:t>
      </w:r>
      <w:r w:rsidR="00B31E9A">
        <w:t>*</w:t>
      </w:r>
    </w:p>
    <w:p w14:paraId="4D379B0F" w14:textId="6173800A" w:rsidR="00565FFB" w:rsidRDefault="00DE0360">
      <w:pPr>
        <w:pStyle w:val="Boxheading"/>
      </w:pPr>
      <w:r w:rsidRPr="0AC85A12">
        <w:rPr>
          <w:lang w:val="en-US"/>
        </w:rPr>
        <w:t xml:space="preserve">The severity of acute respiratory infections </w:t>
      </w:r>
      <w:r w:rsidR="00797704">
        <w:rPr>
          <w:lang w:val="en-US"/>
        </w:rPr>
        <w:t>is</w:t>
      </w:r>
      <w:r w:rsidR="00797704" w:rsidRPr="0AC85A12">
        <w:rPr>
          <w:lang w:val="en-US"/>
        </w:rPr>
        <w:t xml:space="preserve"> </w:t>
      </w:r>
      <w:r w:rsidRPr="0AC85A12">
        <w:rPr>
          <w:lang w:val="en-US"/>
        </w:rPr>
        <w:t>measured as those who are hospitalised, admitted to intensive care, or have died. Measuring and understanding severity quantifies the most significant health impacts of circulating respiratory viruses.</w:t>
      </w:r>
    </w:p>
    <w:p w14:paraId="6944672A" w14:textId="77777777" w:rsidR="00565FFB" w:rsidRDefault="00DE0360">
      <w:pPr>
        <w:pStyle w:val="Heading3"/>
      </w:pPr>
      <w:bookmarkStart w:id="14" w:name="hospital-based-surveillance"/>
      <w:r>
        <w:t>2.1 Hospital-based surveillance</w:t>
      </w:r>
    </w:p>
    <w:p w14:paraId="00369280" w14:textId="77777777" w:rsidR="00565FFB" w:rsidRDefault="00DE0360">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489EDC9E" w14:textId="77777777" w:rsidR="00565FFB" w:rsidRDefault="00DE0360" w:rsidP="00CC4308">
      <w:pPr>
        <w:pStyle w:val="Heading4"/>
      </w:pPr>
      <w:bookmarkStart w:id="15" w:name="Xd45a069d4d32576e6a2f39111d1451a633a425e"/>
      <w:r>
        <w:t>Influenza Complications Alert Network (FluCAN)</w:t>
      </w:r>
    </w:p>
    <w:p w14:paraId="11826202" w14:textId="79BA90F5" w:rsidR="00565FFB" w:rsidRDefault="00DE0360">
      <w:r>
        <w:t xml:space="preserve">In 2024, </w:t>
      </w:r>
      <w:bookmarkStart w:id="16" w:name="_Hlk164078204"/>
      <w:r>
        <w:t>surveillance for influenza and RSV at FluCAN sentinel hospitals commenced on 1 April, therefore no data are available for the severity reporting period</w:t>
      </w:r>
      <w:bookmarkEnd w:id="16"/>
      <w:r w:rsidR="00C601C4">
        <w:t>*</w:t>
      </w:r>
      <w:r>
        <w:t>. Data on patients admitted with influenza and/or RSV to FluCAN sentinel hospitals will be included in future iterations of the Australian Respiratory Surveillance Report.</w:t>
      </w:r>
    </w:p>
    <w:p w14:paraId="7F27F543" w14:textId="62E6A26B" w:rsidR="001E46C6" w:rsidRPr="0072577E" w:rsidRDefault="00DE0360" w:rsidP="00720ECB">
      <w:pPr>
        <w:numPr>
          <w:ilvl w:val="0"/>
          <w:numId w:val="7"/>
        </w:numPr>
      </w:pPr>
      <w:r w:rsidRPr="00373B19" w:rsidDel="00AF7735">
        <w:t xml:space="preserve">In this fortnight for </w:t>
      </w:r>
      <w:r w:rsidR="00F93008">
        <w:t xml:space="preserve">FluCAN </w:t>
      </w:r>
      <w:r w:rsidRPr="00373B19" w:rsidDel="00AF7735">
        <w:t xml:space="preserve">severity reporting (11 March to 24 March 2024), there </w:t>
      </w:r>
      <w:r w:rsidR="00DF53CC">
        <w:t>were</w:t>
      </w:r>
      <w:r w:rsidRPr="00373B19" w:rsidDel="00AF7735">
        <w:t xml:space="preserve"> </w:t>
      </w:r>
      <w:r w:rsidR="6CC98CFA" w:rsidRPr="00373B19">
        <w:t>95</w:t>
      </w:r>
      <w:r w:rsidRPr="00373B19" w:rsidDel="00AF7735">
        <w:t xml:space="preserve"> patients </w:t>
      </w:r>
      <w:r w:rsidR="00171993" w:rsidRPr="00373B19" w:rsidDel="00AF7735">
        <w:t xml:space="preserve">admitted </w:t>
      </w:r>
      <w:r w:rsidRPr="00373B19" w:rsidDel="00AF7735">
        <w:t xml:space="preserve">with </w:t>
      </w:r>
      <w:r w:rsidR="12640EE7" w:rsidRPr="00373B19">
        <w:t>COVID-19</w:t>
      </w:r>
      <w:r w:rsidRPr="00373B19">
        <w:t xml:space="preserve"> </w:t>
      </w:r>
      <w:r w:rsidRPr="00373B19" w:rsidDel="00AF7735">
        <w:t>to FluCAN sentinel hospitals, of wh</w:t>
      </w:r>
      <w:r w:rsidR="009229AA">
        <w:t>om</w:t>
      </w:r>
      <w:r w:rsidRPr="00373B19" w:rsidDel="00AF7735">
        <w:t xml:space="preserve"> 5</w:t>
      </w:r>
      <w:r w:rsidR="00E2233A" w:rsidRPr="00373B19" w:rsidDel="00AF7735">
        <w:t>.</w:t>
      </w:r>
      <w:r w:rsidR="2A436049" w:rsidRPr="00373B19">
        <w:t>3</w:t>
      </w:r>
      <w:r w:rsidRPr="00373B19" w:rsidDel="00AF7735">
        <w:t>% (</w:t>
      </w:r>
      <w:r w:rsidR="57405F5E" w:rsidRPr="00373B19">
        <w:t>5</w:t>
      </w:r>
      <w:r w:rsidRPr="00373B19">
        <w:t>/9</w:t>
      </w:r>
      <w:r w:rsidR="514BBFEB" w:rsidRPr="00373B19">
        <w:t>5</w:t>
      </w:r>
      <w:r w:rsidRPr="00373B19" w:rsidDel="00AF7735">
        <w:t xml:space="preserve">) </w:t>
      </w:r>
      <w:r w:rsidR="00995BD5">
        <w:t>were</w:t>
      </w:r>
      <w:r w:rsidRPr="00373B19" w:rsidDel="00AF7735">
        <w:t xml:space="preserve"> admitted directly to intensive care (Figure 11).</w:t>
      </w:r>
    </w:p>
    <w:p w14:paraId="67B8A3DB" w14:textId="1FF5FAC9" w:rsidR="00AA64D0" w:rsidRDefault="00DE0360" w:rsidP="00720ECB">
      <w:pPr>
        <w:numPr>
          <w:ilvl w:val="0"/>
          <w:numId w:val="27"/>
        </w:numPr>
      </w:pPr>
      <w:r w:rsidRPr="00963FF3">
        <w:t xml:space="preserve">In the year to date for </w:t>
      </w:r>
      <w:r w:rsidR="00F93008">
        <w:t xml:space="preserve">FluCAN </w:t>
      </w:r>
      <w:r w:rsidRPr="00963FF3">
        <w:t>severity reporting</w:t>
      </w:r>
      <w:r w:rsidR="00367B28" w:rsidRPr="00963FF3">
        <w:t xml:space="preserve"> (1 January to 24 March 2024)</w:t>
      </w:r>
      <w:r w:rsidRPr="00963FF3">
        <w:t>, there have been 1,</w:t>
      </w:r>
      <w:r>
        <w:t>27</w:t>
      </w:r>
      <w:r w:rsidR="3F2FA7F8">
        <w:t>5</w:t>
      </w:r>
      <w:r w:rsidRPr="00963FF3">
        <w:t xml:space="preserve"> patients admitted </w:t>
      </w:r>
      <w:r w:rsidR="00093847" w:rsidRPr="00963FF3">
        <w:t xml:space="preserve">with COVID-19 </w:t>
      </w:r>
      <w:r w:rsidRPr="00963FF3">
        <w:t xml:space="preserve">to FluCAN sentinel hospitals, of </w:t>
      </w:r>
      <w:r w:rsidR="00E959E8">
        <w:t>wh</w:t>
      </w:r>
      <w:r w:rsidR="00D80AFA">
        <w:t>om</w:t>
      </w:r>
      <w:r w:rsidR="00E959E8" w:rsidRPr="00963FF3">
        <w:t xml:space="preserve"> </w:t>
      </w:r>
      <w:r w:rsidR="00093847" w:rsidRPr="00963FF3">
        <w:t>6.8</w:t>
      </w:r>
      <w:r w:rsidRPr="00963FF3">
        <w:t>% (86/1,</w:t>
      </w:r>
      <w:r>
        <w:t>27</w:t>
      </w:r>
      <w:r w:rsidR="5EFB2AE3">
        <w:t>5</w:t>
      </w:r>
      <w:r w:rsidRPr="00963FF3">
        <w:t xml:space="preserve">) </w:t>
      </w:r>
      <w:r w:rsidR="008B2F80">
        <w:t>were</w:t>
      </w:r>
      <w:r w:rsidRPr="00963FF3">
        <w:t xml:space="preserve"> admitted directly to intensive care (Figure 11). </w:t>
      </w:r>
    </w:p>
    <w:p w14:paraId="2D47802A" w14:textId="04D53A32" w:rsidR="00565FFB" w:rsidRPr="00963FF3" w:rsidRDefault="00DE0360" w:rsidP="0021555F">
      <w:pPr>
        <w:numPr>
          <w:ilvl w:val="1"/>
          <w:numId w:val="27"/>
        </w:numPr>
      </w:pPr>
      <w:r w:rsidRPr="00963FF3">
        <w:t xml:space="preserve">For patients admitted </w:t>
      </w:r>
      <w:r w:rsidR="00890B13" w:rsidRPr="00963FF3">
        <w:t xml:space="preserve">with COVID-19 </w:t>
      </w:r>
      <w:r w:rsidRPr="00963FF3">
        <w:t>to FluCAN sentinel hospital</w:t>
      </w:r>
      <w:r w:rsidR="00AA64D0">
        <w:t>s</w:t>
      </w:r>
      <w:r w:rsidRPr="00963FF3">
        <w:t xml:space="preserve"> the median length of stay </w:t>
      </w:r>
      <w:r w:rsidR="33E06E5D">
        <w:t xml:space="preserve">in hospital </w:t>
      </w:r>
      <w:r w:rsidRPr="00963FF3">
        <w:t>was 3 days (interquartile range [IQR]: 1–6 days).</w:t>
      </w:r>
    </w:p>
    <w:p w14:paraId="2B0C96B6" w14:textId="29FDE6CE" w:rsidR="00565FFB" w:rsidRDefault="00DE0360" w:rsidP="00720ECB">
      <w:pPr>
        <w:numPr>
          <w:ilvl w:val="1"/>
          <w:numId w:val="28"/>
        </w:numPr>
      </w:pPr>
      <w:r>
        <w:t xml:space="preserve">Note, all length of stay calculations exclude patients </w:t>
      </w:r>
      <w:r w:rsidR="00F42E3C">
        <w:t xml:space="preserve">who </w:t>
      </w:r>
      <w:r>
        <w:t>acquired their infection in hospital. Please see the Technical Supplement for further detail.</w:t>
      </w:r>
    </w:p>
    <w:p w14:paraId="11CD789D" w14:textId="77777777" w:rsidR="00B103A4" w:rsidRDefault="00B103A4"/>
    <w:p w14:paraId="15CBB99B" w14:textId="77777777" w:rsidR="00B103A4" w:rsidRDefault="00B103A4"/>
    <w:p w14:paraId="157D750C" w14:textId="77777777" w:rsidR="00B103A4" w:rsidRDefault="00B103A4"/>
    <w:p w14:paraId="75842F26" w14:textId="77777777" w:rsidR="00B103A4" w:rsidRDefault="00B103A4"/>
    <w:p w14:paraId="7EAD8639" w14:textId="77777777" w:rsidR="00B103A4" w:rsidRDefault="00B103A4"/>
    <w:p w14:paraId="68ED395D" w14:textId="77777777" w:rsidR="00B103A4" w:rsidRDefault="00B103A4"/>
    <w:p w14:paraId="6AD931E2" w14:textId="77777777" w:rsidR="00B103A4" w:rsidRDefault="00B103A4"/>
    <w:p w14:paraId="7CA39251" w14:textId="77777777" w:rsidR="00B103A4" w:rsidRDefault="00B103A4"/>
    <w:p w14:paraId="1061613A" w14:textId="77777777" w:rsidR="00B103A4" w:rsidRDefault="00B103A4"/>
    <w:p w14:paraId="54C6D628" w14:textId="3C64864B" w:rsidR="00565FFB" w:rsidRPr="007939B1" w:rsidRDefault="00B103A4">
      <w:pPr>
        <w:rPr>
          <w:sz w:val="20"/>
          <w:szCs w:val="20"/>
        </w:rPr>
      </w:pPr>
      <w:r w:rsidRPr="007939B1">
        <w:rPr>
          <w:sz w:val="16"/>
          <w:szCs w:val="16"/>
        </w:rPr>
        <w:t>*To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DE0360" w:rsidRPr="007939B1">
        <w:rPr>
          <w:sz w:val="20"/>
          <w:szCs w:val="20"/>
        </w:rPr>
        <w:br w:type="page"/>
      </w:r>
    </w:p>
    <w:p w14:paraId="6B12A042" w14:textId="2E0E19E7" w:rsidR="00565FFB" w:rsidRDefault="00DE0360">
      <w:r>
        <w:rPr>
          <w:b/>
          <w:bCs/>
        </w:rPr>
        <w:lastRenderedPageBreak/>
        <w:t>Figure 11: Number of patients admitted</w:t>
      </w:r>
      <w:r w:rsidR="0016750A">
        <w:rPr>
          <w:b/>
          <w:bCs/>
        </w:rPr>
        <w:t xml:space="preserve"> with COVID-19</w:t>
      </w:r>
      <w:r>
        <w:rPr>
          <w:b/>
          <w:bCs/>
        </w:rPr>
        <w:t xml:space="preserve"> to FluCAN sentinel hospitals by admission location and week of admission*</w:t>
      </w:r>
      <w:r w:rsidRPr="002239DB">
        <w:rPr>
          <w:b/>
          <w:bCs/>
          <w:vertAlign w:val="superscript"/>
        </w:rPr>
        <w:t>†</w:t>
      </w:r>
      <w:r>
        <w:rPr>
          <w:b/>
          <w:bCs/>
        </w:rPr>
        <w:t xml:space="preserve">, Australia, 1 January to </w:t>
      </w:r>
      <w:r w:rsidR="005D3604">
        <w:rPr>
          <w:b/>
          <w:bCs/>
        </w:rPr>
        <w:t>24 March</w:t>
      </w:r>
      <w:r>
        <w:rPr>
          <w:b/>
          <w:bCs/>
        </w:rPr>
        <w:t xml:space="preserve"> 2024</w:t>
      </w:r>
    </w:p>
    <w:p w14:paraId="449AFB1D" w14:textId="4F4BB486" w:rsidR="00565FFB" w:rsidRDefault="00AE0B64">
      <w:pPr>
        <w:pStyle w:val="BodyText"/>
      </w:pPr>
      <w:r>
        <w:rPr>
          <w:noProof/>
        </w:rPr>
        <w:drawing>
          <wp:inline distT="0" distB="0" distL="0" distR="0" wp14:anchorId="265957FE" wp14:editId="4493F54B">
            <wp:extent cx="6184900" cy="2769924"/>
            <wp:effectExtent l="0" t="0" r="0" b="0"/>
            <wp:docPr id="68" name="Graphic 68" descr="A stacked bar chart by week of hospital admission from 1 January to 24 March 2024, showing the weekly number of patients admitted with confirmed COVID-19 to FluCAN sentinel hospitals, by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mid-February 2024. Since mid-February 2024, the number of patients admitted with confirmed COVID-19 to FluCAN sentinel hospitals has followed a decreasing trend. COVID-19-related FluCAN hospital admissions in the current 14-day severity reporting period (11–24 March 2024) have increased slightly, to an average of 48 admissions per week. The number of COVID-19 patients admitted directly to FluCAN sentinel intensive cares have remained low in the current 14-day severity reporting period, not exceeding five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8" name="Picture" descr="A stacked bar chart by week of hospital admission from 1 January to 24 March 2024, showing the weekly number of patients admitted with confirmed COVID-19 to FluCAN sentinel hospitals, by   general ward and intensive care admissions. In 2024 to date for severity reporting, the number of patients admitted with confirmed COVID-19 to FluCAN sentinel hospitals peaked in mid-January at approximately 160 patients per week, following which weekly admission numbers fell steadily throughout mid-January to mid-February 2024. Since mid-February 2024, the number of patients admitted with confirmed COVID-19 to FluCAN sentinel hospitals has followed a decreasing trend. COVID-19-related FluCAN hospital admissions in the current 14-day severity reporting period (11–24 March 2024) have increased slightly, to an average of 48 admissions per week. The number of COVID-19 patients admitted directly to FluCAN sentinel intensive cares have remained low in the current 14-day severity reporting period, not exceeding five admissions directly to intensive care per week."/>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FDD2BBF" w14:textId="15BF806C" w:rsidR="00565FFB" w:rsidRDefault="00DE0360" w:rsidP="00694001">
      <w:pPr>
        <w:pStyle w:val="Smalltext"/>
      </w:pPr>
      <w:r>
        <w:t xml:space="preserve">* Excludes </w:t>
      </w:r>
      <w:r w:rsidR="00093847">
        <w:t xml:space="preserve">five </w:t>
      </w:r>
      <w:r>
        <w:t>patients</w:t>
      </w:r>
      <w:r w:rsidR="00184BFC">
        <w:t xml:space="preserve"> </w:t>
      </w:r>
      <w:r>
        <w:t>admitted</w:t>
      </w:r>
      <w:r w:rsidR="00A0441D" w:rsidRPr="00A0441D">
        <w:t xml:space="preserve"> </w:t>
      </w:r>
      <w:r w:rsidR="00A0441D">
        <w:t>with COVID-19</w:t>
      </w:r>
      <w:r>
        <w:t xml:space="preserve"> to FluCAN sentinel hospitals with a missing admission location.</w:t>
      </w:r>
      <w:r>
        <w:br/>
        <w:t>† Admission location reflects the initial admission ward; some patients may be initially admitted to general ward then later admitted to an intensive care</w:t>
      </w:r>
      <w:r w:rsidR="0016750A">
        <w:t xml:space="preserve"> and this is not reflected here</w:t>
      </w:r>
      <w:r>
        <w:t>.</w:t>
      </w:r>
      <w:r>
        <w:br/>
      </w:r>
    </w:p>
    <w:p w14:paraId="52E40F02" w14:textId="593BB8CD" w:rsidR="00565FFB" w:rsidRDefault="00DE0360" w:rsidP="00CC4308">
      <w:pPr>
        <w:pStyle w:val="Heading4"/>
      </w:pPr>
      <w:bookmarkStart w:id="17" w:name="Xe5c7788f475b14b3c922097ab4d2722f635af12"/>
      <w:bookmarkEnd w:id="15"/>
      <w:r>
        <w:t>Short Period Incidence Study of Severe Acute Respiratory Infection (SPRINT-SARI) Australia</w:t>
      </w:r>
    </w:p>
    <w:p w14:paraId="1220AAA7" w14:textId="7BBE771C" w:rsidR="00565FFB" w:rsidRPr="002426B1" w:rsidRDefault="00DE0360">
      <w:r w:rsidRPr="002426B1">
        <w:t>This section will be updated every four weeks</w:t>
      </w:r>
      <w:r w:rsidR="004660C7">
        <w:t>;</w:t>
      </w:r>
      <w:r w:rsidRPr="002426B1">
        <w:t xml:space="preserve"> therefore, reporting periods presented here may not align with other sections of the report.</w:t>
      </w:r>
      <w:r w:rsidR="00220B7B">
        <w:t xml:space="preserve"> </w:t>
      </w:r>
      <w:r w:rsidR="00220B7B" w:rsidRPr="00220B7B">
        <w:t>Note, intensive care includes intensive care units and high dependency units that are managed by an intensive care team</w:t>
      </w:r>
      <w:r w:rsidR="002127EA">
        <w:t>.</w:t>
      </w:r>
    </w:p>
    <w:p w14:paraId="0A3F83DD" w14:textId="69A7FC8F" w:rsidR="00565FFB" w:rsidRDefault="00DE0360" w:rsidP="00720ECB">
      <w:pPr>
        <w:numPr>
          <w:ilvl w:val="0"/>
          <w:numId w:val="29"/>
        </w:numPr>
      </w:pPr>
      <w:r>
        <w:t xml:space="preserve">In this </w:t>
      </w:r>
      <w:r w:rsidR="00E2213C">
        <w:t xml:space="preserve">28-day </w:t>
      </w:r>
      <w:r>
        <w:t xml:space="preserve">period for </w:t>
      </w:r>
      <w:r w:rsidR="00F93008">
        <w:t xml:space="preserve">SPRINT-SARI </w:t>
      </w:r>
      <w:r>
        <w:t>severity reporting (</w:t>
      </w:r>
      <w:r w:rsidR="00E2213C">
        <w:t>26 February</w:t>
      </w:r>
      <w:r>
        <w:t xml:space="preserve"> to 24 March 2024), </w:t>
      </w:r>
      <w:r w:rsidR="00ED4672">
        <w:t>were</w:t>
      </w:r>
      <w:r>
        <w:t xml:space="preserve"> </w:t>
      </w:r>
      <w:r w:rsidR="465D3483">
        <w:t>109</w:t>
      </w:r>
      <w:r w:rsidR="4B7A2BC0">
        <w:t xml:space="preserve"> </w:t>
      </w:r>
      <w:r>
        <w:t xml:space="preserve">patients admitted </w:t>
      </w:r>
      <w:r w:rsidR="2A8C04EB">
        <w:t>with a SARI</w:t>
      </w:r>
      <w:r w:rsidR="4B7A2BC0">
        <w:t xml:space="preserve"> </w:t>
      </w:r>
      <w:r>
        <w:t xml:space="preserve">to a SPRINT-SARI </w:t>
      </w:r>
      <w:r w:rsidR="00AC3479">
        <w:t xml:space="preserve">sentinel </w:t>
      </w:r>
      <w:r>
        <w:t>intensive care.</w:t>
      </w:r>
      <w:r w:rsidR="00294D08">
        <w:t xml:space="preserve"> </w:t>
      </w:r>
      <w:r w:rsidR="322D8CEC">
        <w:t xml:space="preserve">Patients with </w:t>
      </w:r>
      <w:r w:rsidR="00294D08">
        <w:t xml:space="preserve">COVID-19 </w:t>
      </w:r>
      <w:r>
        <w:t xml:space="preserve">accounted for the highest proportion of patients admitted </w:t>
      </w:r>
      <w:r w:rsidR="322D8CEC">
        <w:t xml:space="preserve">with a SARI </w:t>
      </w:r>
      <w:r>
        <w:t xml:space="preserve">to a SPRINT-SARI </w:t>
      </w:r>
      <w:r w:rsidR="00AC3479">
        <w:t xml:space="preserve">sentinel </w:t>
      </w:r>
      <w:r>
        <w:t>intensive care during this time (Figure 12).</w:t>
      </w:r>
    </w:p>
    <w:p w14:paraId="41B27BCB" w14:textId="39986461" w:rsidR="00565FFB" w:rsidRDefault="00DE0360" w:rsidP="00720ECB">
      <w:pPr>
        <w:numPr>
          <w:ilvl w:val="0"/>
          <w:numId w:val="29"/>
        </w:numPr>
      </w:pPr>
      <w:r>
        <w:t xml:space="preserve">In the year to date for </w:t>
      </w:r>
      <w:r w:rsidR="00F93008">
        <w:t xml:space="preserve">SPRINT-SARI </w:t>
      </w:r>
      <w:r>
        <w:t xml:space="preserve">severity reporting (1 January to 24 March 2024), there have been </w:t>
      </w:r>
      <w:r w:rsidR="00294D08">
        <w:t>426</w:t>
      </w:r>
      <w:r>
        <w:t xml:space="preserve"> patients </w:t>
      </w:r>
      <w:r w:rsidR="14CCEF33">
        <w:t xml:space="preserve">admitted </w:t>
      </w:r>
      <w:r>
        <w:t xml:space="preserve">with </w:t>
      </w:r>
      <w:r w:rsidR="14CCEF33">
        <w:t xml:space="preserve">a </w:t>
      </w:r>
      <w:r>
        <w:t>SARI to a SPRINT-SARI</w:t>
      </w:r>
      <w:r w:rsidR="00786BB6">
        <w:t xml:space="preserve"> sentinel</w:t>
      </w:r>
      <w:r>
        <w:t xml:space="preserve"> intensive care (Figure 12). This includes:</w:t>
      </w:r>
    </w:p>
    <w:p w14:paraId="7743F1A9" w14:textId="178B204E" w:rsidR="00565FFB" w:rsidRPr="00F25DC4" w:rsidRDefault="00B50036" w:rsidP="00720ECB">
      <w:pPr>
        <w:numPr>
          <w:ilvl w:val="1"/>
          <w:numId w:val="30"/>
        </w:numPr>
      </w:pPr>
      <w:r w:rsidRPr="00F25DC4">
        <w:rPr>
          <w:lang w:val="en-US"/>
        </w:rPr>
        <w:t>54.</w:t>
      </w:r>
      <w:r w:rsidR="00184E09" w:rsidRPr="00F25DC4">
        <w:rPr>
          <w:lang w:val="en-US"/>
        </w:rPr>
        <w:t>7</w:t>
      </w:r>
      <w:r w:rsidRPr="00F25DC4">
        <w:rPr>
          <w:lang w:val="en-US"/>
        </w:rPr>
        <w:t>% (233/426)</w:t>
      </w:r>
      <w:r w:rsidR="00DE0360" w:rsidRPr="00F25DC4">
        <w:t xml:space="preserve"> patients with </w:t>
      </w:r>
      <w:r w:rsidR="00184E09" w:rsidRPr="00F25DC4">
        <w:t>SARS-CoV-2</w:t>
      </w:r>
    </w:p>
    <w:p w14:paraId="049AD536" w14:textId="4F630C34" w:rsidR="00565FFB" w:rsidRPr="00F25DC4" w:rsidRDefault="00753612" w:rsidP="00720ECB">
      <w:pPr>
        <w:numPr>
          <w:ilvl w:val="1"/>
          <w:numId w:val="30"/>
        </w:numPr>
      </w:pPr>
      <w:r w:rsidRPr="00F25DC4">
        <w:rPr>
          <w:lang w:val="en-US"/>
        </w:rPr>
        <w:t>9.</w:t>
      </w:r>
      <w:r w:rsidR="00184E09" w:rsidRPr="00F25DC4">
        <w:rPr>
          <w:lang w:val="en-US"/>
        </w:rPr>
        <w:t>4</w:t>
      </w:r>
      <w:r w:rsidRPr="00F25DC4">
        <w:rPr>
          <w:lang w:val="en-US"/>
        </w:rPr>
        <w:t>% (40/426)</w:t>
      </w:r>
      <w:r w:rsidR="00DE0360" w:rsidRPr="00F25DC4">
        <w:t xml:space="preserve"> patients with influenza</w:t>
      </w:r>
    </w:p>
    <w:p w14:paraId="42F232FD" w14:textId="25D805C0" w:rsidR="00565FFB" w:rsidRPr="00F25DC4" w:rsidRDefault="005A431B" w:rsidP="00720ECB">
      <w:pPr>
        <w:numPr>
          <w:ilvl w:val="1"/>
          <w:numId w:val="30"/>
        </w:numPr>
      </w:pPr>
      <w:r w:rsidRPr="00F25DC4">
        <w:rPr>
          <w:lang w:val="en-US"/>
        </w:rPr>
        <w:t>15.0% (64/426)</w:t>
      </w:r>
      <w:r w:rsidR="00DE0360" w:rsidRPr="00F25DC4">
        <w:t xml:space="preserve"> patients with RSV</w:t>
      </w:r>
    </w:p>
    <w:p w14:paraId="609ADA7E" w14:textId="6C44695E" w:rsidR="00565FFB" w:rsidRPr="00F25DC4" w:rsidRDefault="00883AF1" w:rsidP="00720ECB">
      <w:pPr>
        <w:numPr>
          <w:ilvl w:val="1"/>
          <w:numId w:val="30"/>
        </w:numPr>
      </w:pPr>
      <w:r w:rsidRPr="00F25DC4">
        <w:rPr>
          <w:lang w:val="en-US"/>
        </w:rPr>
        <w:t>22.</w:t>
      </w:r>
      <w:r w:rsidR="00184E09" w:rsidRPr="00F25DC4">
        <w:rPr>
          <w:lang w:val="en-US"/>
        </w:rPr>
        <w:t>8</w:t>
      </w:r>
      <w:r w:rsidRPr="00F25DC4">
        <w:rPr>
          <w:lang w:val="en-US"/>
        </w:rPr>
        <w:t>% (97/426)</w:t>
      </w:r>
      <w:r w:rsidR="00DE0360" w:rsidRPr="00F25DC4">
        <w:t xml:space="preserve"> patients with other respiratory pathogens including </w:t>
      </w:r>
      <w:r w:rsidR="00631755" w:rsidRPr="00F25DC4">
        <w:t>parainfluenza and rhinovirus</w:t>
      </w:r>
      <w:r w:rsidR="009C44FF" w:rsidRPr="00F25DC4">
        <w:t>.</w:t>
      </w:r>
    </w:p>
    <w:p w14:paraId="2FBCF1A9" w14:textId="70E963CF" w:rsidR="00565FFB" w:rsidRPr="00F25DC4" w:rsidRDefault="00972CCE" w:rsidP="007A5230">
      <w:pPr>
        <w:numPr>
          <w:ilvl w:val="0"/>
          <w:numId w:val="30"/>
        </w:numPr>
      </w:pPr>
      <w:r w:rsidRPr="00F25DC4">
        <w:rPr>
          <w:lang w:val="en-US"/>
        </w:rPr>
        <w:t xml:space="preserve">Approximately </w:t>
      </w:r>
      <w:r w:rsidR="00184E09" w:rsidRPr="00F25DC4">
        <w:rPr>
          <w:lang w:val="en-US"/>
        </w:rPr>
        <w:t>1.9% (8/426)</w:t>
      </w:r>
      <w:r w:rsidR="00DE0360" w:rsidRPr="00F25DC4">
        <w:t xml:space="preserve"> patients had co-infections of multiple pathogens</w:t>
      </w:r>
      <w:r w:rsidRPr="00F25DC4">
        <w:t xml:space="preserve">, </w:t>
      </w:r>
      <w:r w:rsidR="00F25DC4">
        <w:t xml:space="preserve">therefore </w:t>
      </w:r>
      <w:r w:rsidR="00D95F36" w:rsidRPr="00F25DC4">
        <w:t>pathogen</w:t>
      </w:r>
      <w:r w:rsidR="003E7B13" w:rsidRPr="00F25DC4">
        <w:t xml:space="preserve">-specific totals </w:t>
      </w:r>
      <w:r w:rsidR="00087B92">
        <w:t xml:space="preserve">above </w:t>
      </w:r>
      <w:r w:rsidR="003E7B13" w:rsidRPr="00F25DC4">
        <w:t>may not sum</w:t>
      </w:r>
      <w:r w:rsidR="00DE0360" w:rsidRPr="00F25DC4">
        <w:t>.</w:t>
      </w:r>
    </w:p>
    <w:p w14:paraId="7E8FAAB8" w14:textId="1E329C5F" w:rsidR="00565FFB" w:rsidRDefault="00DE0360" w:rsidP="00720ECB">
      <w:pPr>
        <w:numPr>
          <w:ilvl w:val="0"/>
          <w:numId w:val="29"/>
        </w:numPr>
      </w:pPr>
      <w:r>
        <w:t xml:space="preserve">In the year to date for </w:t>
      </w:r>
      <w:r w:rsidR="00F93008">
        <w:t xml:space="preserve">SPRINT-SARI </w:t>
      </w:r>
      <w:r>
        <w:t>severity reporting, for all patients admitted</w:t>
      </w:r>
      <w:r w:rsidR="4DC63281">
        <w:t xml:space="preserve"> with a SARI</w:t>
      </w:r>
      <w:r>
        <w:t xml:space="preserve"> to a SPRINT-SARI </w:t>
      </w:r>
      <w:r w:rsidR="00AC3479">
        <w:t xml:space="preserve">sentinel </w:t>
      </w:r>
      <w:r>
        <w:t xml:space="preserve">intensive care, the median duration of mechanical ventilation was </w:t>
      </w:r>
      <w:r w:rsidR="005039F6" w:rsidRPr="005039F6">
        <w:rPr>
          <w:lang w:val="en-US"/>
        </w:rPr>
        <w:t>3.</w:t>
      </w:r>
      <w:r w:rsidR="005039F6">
        <w:rPr>
          <w:lang w:val="en-US"/>
        </w:rPr>
        <w:t>1</w:t>
      </w:r>
      <w:r w:rsidR="005039F6" w:rsidRPr="005039F6">
        <w:rPr>
          <w:lang w:val="en-US"/>
        </w:rPr>
        <w:t xml:space="preserve"> days (IQR: 1.1–6.</w:t>
      </w:r>
      <w:r w:rsidR="005039F6">
        <w:rPr>
          <w:lang w:val="en-US"/>
        </w:rPr>
        <w:t>8</w:t>
      </w:r>
      <w:r w:rsidR="005039F6" w:rsidRPr="005039F6">
        <w:rPr>
          <w:lang w:val="en-US"/>
        </w:rPr>
        <w:t xml:space="preserve"> days)</w:t>
      </w:r>
      <w:r>
        <w:t xml:space="preserve">, the median length of stay in intensive care was </w:t>
      </w:r>
      <w:r w:rsidR="00FE6BC6" w:rsidRPr="00FE6BC6">
        <w:rPr>
          <w:lang w:val="en-US"/>
        </w:rPr>
        <w:t>2.6 days (IQR: 1.</w:t>
      </w:r>
      <w:r w:rsidR="00FE6BC6">
        <w:rPr>
          <w:lang w:val="en-US"/>
        </w:rPr>
        <w:t>5</w:t>
      </w:r>
      <w:r w:rsidR="00FE6BC6" w:rsidRPr="00FE6BC6">
        <w:rPr>
          <w:lang w:val="en-US"/>
        </w:rPr>
        <w:t>–4.9 days)</w:t>
      </w:r>
      <w:r>
        <w:t xml:space="preserve">, </w:t>
      </w:r>
      <w:r w:rsidR="00E354B5">
        <w:t xml:space="preserve">and </w:t>
      </w:r>
      <w:r>
        <w:t xml:space="preserve">the median length of stay in hospital was </w:t>
      </w:r>
      <w:r w:rsidR="00373091" w:rsidRPr="00373091">
        <w:rPr>
          <w:lang w:val="en-US"/>
        </w:rPr>
        <w:t>6.</w:t>
      </w:r>
      <w:r w:rsidR="00C10063">
        <w:rPr>
          <w:lang w:val="en-US"/>
        </w:rPr>
        <w:t>9</w:t>
      </w:r>
      <w:r w:rsidR="008A0C44">
        <w:rPr>
          <w:lang w:val="en-US"/>
        </w:rPr>
        <w:t xml:space="preserve"> </w:t>
      </w:r>
      <w:r w:rsidR="00373091" w:rsidRPr="00373091">
        <w:rPr>
          <w:lang w:val="en-US"/>
        </w:rPr>
        <w:t>days (IQR: 4.</w:t>
      </w:r>
      <w:r w:rsidR="00C10063">
        <w:rPr>
          <w:lang w:val="en-US"/>
        </w:rPr>
        <w:t>2</w:t>
      </w:r>
      <w:r w:rsidR="00373091" w:rsidRPr="00373091">
        <w:rPr>
          <w:lang w:val="en-US"/>
        </w:rPr>
        <w:t>–13.</w:t>
      </w:r>
      <w:r w:rsidR="00C10063">
        <w:rPr>
          <w:lang w:val="en-US"/>
        </w:rPr>
        <w:t>4</w:t>
      </w:r>
      <w:r w:rsidR="00373091" w:rsidRPr="00373091">
        <w:rPr>
          <w:lang w:val="en-US"/>
        </w:rPr>
        <w:t xml:space="preserve"> days)</w:t>
      </w:r>
      <w:r>
        <w:t>.</w:t>
      </w:r>
    </w:p>
    <w:p w14:paraId="68955C3D" w14:textId="53BF1966" w:rsidR="00565FFB" w:rsidRDefault="00DE0360" w:rsidP="00720ECB">
      <w:pPr>
        <w:numPr>
          <w:ilvl w:val="0"/>
          <w:numId w:val="29"/>
        </w:numPr>
      </w:pPr>
      <w:r>
        <w:lastRenderedPageBreak/>
        <w:t>In the year to date</w:t>
      </w:r>
      <w:r w:rsidR="000B364E">
        <w:t xml:space="preserve"> for SPRINT-SARI severity reporting</w:t>
      </w:r>
      <w:r>
        <w:t xml:space="preserve">, most </w:t>
      </w:r>
      <w:r w:rsidR="4B7A2BC0">
        <w:t>patients</w:t>
      </w:r>
      <w:r w:rsidR="3EF6F047">
        <w:t xml:space="preserve"> admitted with a SARI</w:t>
      </w:r>
      <w:r>
        <w:t xml:space="preserve"> (</w:t>
      </w:r>
      <w:r w:rsidR="0097030E" w:rsidRPr="0097030E">
        <w:rPr>
          <w:lang w:val="en-US"/>
        </w:rPr>
        <w:t>67.</w:t>
      </w:r>
      <w:r w:rsidR="0097030E">
        <w:rPr>
          <w:lang w:val="en-US"/>
        </w:rPr>
        <w:t>4</w:t>
      </w:r>
      <w:r w:rsidR="0097030E" w:rsidRPr="0097030E">
        <w:rPr>
          <w:lang w:val="en-US"/>
        </w:rPr>
        <w:t>%; 287/426</w:t>
      </w:r>
      <w:r>
        <w:t xml:space="preserve">) have been discharged home, </w:t>
      </w:r>
      <w:r w:rsidR="000A347B" w:rsidRPr="000A347B">
        <w:rPr>
          <w:lang w:val="en-US"/>
        </w:rPr>
        <w:t>7.5% (32/426)</w:t>
      </w:r>
      <w:r>
        <w:t xml:space="preserve"> died in intensive care and </w:t>
      </w:r>
      <w:r w:rsidR="00DC12A9" w:rsidRPr="00DC12A9">
        <w:rPr>
          <w:lang w:val="en-US"/>
        </w:rPr>
        <w:t>2.8% (12/426)</w:t>
      </w:r>
      <w:r>
        <w:t xml:space="preserve"> died within the general hospital ward</w:t>
      </w:r>
      <w:r w:rsidR="006517DD">
        <w:t xml:space="preserve"> after intensive care admission</w:t>
      </w:r>
      <w:r>
        <w:t xml:space="preserve">, with an overall in-hospital mortality rate of </w:t>
      </w:r>
      <w:r w:rsidR="00C2732D" w:rsidRPr="00C2732D">
        <w:rPr>
          <w:lang w:val="en-US"/>
        </w:rPr>
        <w:t>10.3% (44/426)</w:t>
      </w:r>
      <w:r>
        <w:t xml:space="preserve"> for SARI patients admitted to a SPRINT-SARI </w:t>
      </w:r>
      <w:r w:rsidR="00CD7FEF">
        <w:t xml:space="preserve">sentinel </w:t>
      </w:r>
      <w:r>
        <w:t>intensive care.</w:t>
      </w:r>
      <w:r w:rsidR="00E9337F">
        <w:t xml:space="preserve"> </w:t>
      </w:r>
    </w:p>
    <w:p w14:paraId="6850B845" w14:textId="5921BFEE" w:rsidR="00964CE7" w:rsidRDefault="00964CE7" w:rsidP="004F02A9">
      <w:pPr>
        <w:numPr>
          <w:ilvl w:val="1"/>
          <w:numId w:val="29"/>
        </w:numPr>
      </w:pPr>
      <w:r>
        <w:t xml:space="preserve">Note, </w:t>
      </w:r>
      <w:r w:rsidR="001D3A78">
        <w:t>d</w:t>
      </w:r>
      <w:r w:rsidR="001D3A78" w:rsidRPr="001D3A78">
        <w:t>eath</w:t>
      </w:r>
      <w:r w:rsidR="001D3A78">
        <w:t xml:space="preserve">s in patients admitted </w:t>
      </w:r>
      <w:r w:rsidR="58E28A8A">
        <w:t>with a SARI</w:t>
      </w:r>
      <w:r w:rsidR="05245776">
        <w:t xml:space="preserve"> </w:t>
      </w:r>
      <w:r w:rsidR="001D3A78">
        <w:t xml:space="preserve">to a </w:t>
      </w:r>
      <w:r w:rsidR="001723B2">
        <w:t xml:space="preserve">SPRINT-SARI </w:t>
      </w:r>
      <w:r w:rsidR="001D3A78">
        <w:t>sentinel intensive care</w:t>
      </w:r>
      <w:r w:rsidR="001D3A78" w:rsidRPr="001D3A78">
        <w:t xml:space="preserve"> may not necessarily represent a death due to</w:t>
      </w:r>
      <w:r w:rsidR="00BE5D03">
        <w:t xml:space="preserve"> </w:t>
      </w:r>
      <w:r w:rsidR="00072986">
        <w:t>SARI.</w:t>
      </w:r>
    </w:p>
    <w:p w14:paraId="78938723" w14:textId="77777777" w:rsidR="00B31E9A" w:rsidRDefault="00B31E9A" w:rsidP="00431189">
      <w:pPr>
        <w:pStyle w:val="BodyText"/>
      </w:pPr>
      <w:r>
        <w:rPr>
          <w:b/>
          <w:bCs/>
        </w:rPr>
        <w:t>Figure 12: Number of severe acute respiratory illness patients admitted to a SPRINT-SARI sentinel intensive care by disease*</w:t>
      </w:r>
      <w:r w:rsidRPr="00DC72C8">
        <w:rPr>
          <w:vertAlign w:val="superscript"/>
        </w:rPr>
        <w:t>†</w:t>
      </w:r>
      <w:r>
        <w:rPr>
          <w:b/>
          <w:bCs/>
        </w:rPr>
        <w:t xml:space="preserve"> and week of admission, Australia, 1 January to 24 March 2024</w:t>
      </w:r>
    </w:p>
    <w:p w14:paraId="4EB45156" w14:textId="77777777" w:rsidR="00B31E9A" w:rsidRDefault="00B31E9A" w:rsidP="00694001">
      <w:pPr>
        <w:pStyle w:val="Smalltext"/>
      </w:pPr>
      <w:r>
        <w:rPr>
          <w:noProof/>
        </w:rPr>
        <w:drawing>
          <wp:inline distT="0" distB="0" distL="0" distR="0" wp14:anchorId="4D331D32" wp14:editId="3CF3DE3B">
            <wp:extent cx="5334000" cy="5334000"/>
            <wp:effectExtent l="0" t="0" r="0" b="0"/>
            <wp:docPr id="2" name="Picture 2"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24 March 2024. Patients with COVID-19 accounted for the greatest proportion of severe acute respiratory illness admissions to a SPRINT-SARI sentinel intensive care. The number of patients admitted to SPRINT-SARI intensive care with COVID-19 declined steadily since the start of 2024. The number of patients admitted with influenza to a SPRINT-SARI sentinel intensive care have remained relatively stable since the start of 2024, ranging from none to five patients per week. The number of patients with RSV admitted to a SPRINT-SARI sentinel intensive care has followed a generally increasing trend since the start of 2024, though week-on-week decreases have been observed, especially over the most recent three weeks. An apparent peak in the number of patients with RSV admitted to a SPRINT-SARI sentinel intensive care occurred in the week ending 3 March, with 15 patients with RSV admitted. In the current 28-day severity reporting period (26 February to 24 March 2024): an average of 11 patients with COVID-19; four patients with influenza; and seven patients with RSV were admitted to SPRINT-SARI intensive care each week. "/>
                    <pic:cNvPicPr>
                      <a:picLocks noChangeAspect="1" noChangeArrowheads="1"/>
                    </pic:cNvPicPr>
                  </pic:nvPicPr>
                  <pic:blipFill>
                    <a:blip r:embed="rId38"/>
                    <a:stretch>
                      <a:fillRect/>
                    </a:stretch>
                  </pic:blipFill>
                  <pic:spPr bwMode="auto">
                    <a:xfrm>
                      <a:off x="0" y="0"/>
                      <a:ext cx="5334000" cy="5334000"/>
                    </a:xfrm>
                    <a:prstGeom prst="rect">
                      <a:avLst/>
                    </a:prstGeom>
                    <a:noFill/>
                    <a:ln w="9525">
                      <a:noFill/>
                      <a:headEnd/>
                      <a:tailEnd/>
                    </a:ln>
                  </pic:spPr>
                </pic:pic>
              </a:graphicData>
            </a:graphic>
          </wp:inline>
        </w:drawing>
      </w:r>
    </w:p>
    <w:p w14:paraId="76A12163" w14:textId="77777777" w:rsidR="00B31E9A" w:rsidRDefault="00B31E9A" w:rsidP="00694001">
      <w:pPr>
        <w:pStyle w:val="Smalltext"/>
      </w:pPr>
      <w:r w:rsidRPr="006A4DCC">
        <w:t>* Axis varies between disease groups.</w:t>
      </w:r>
    </w:p>
    <w:p w14:paraId="5A13EFB9" w14:textId="1E8AC84E" w:rsidR="00B31E9A" w:rsidRDefault="00B31E9A" w:rsidP="00694001">
      <w:pPr>
        <w:pStyle w:val="Smalltext"/>
      </w:pPr>
      <w:r w:rsidRPr="006A4DCC">
        <w:t>†</w:t>
      </w:r>
      <w:r>
        <w:t xml:space="preserve"> Includes one patient with viral co-infection of </w:t>
      </w:r>
      <w:r w:rsidRPr="003F0CA2">
        <w:t>SARS-CoV-2</w:t>
      </w:r>
      <w:r>
        <w:t>/influenza/RSV in the year to date for severity reporting.</w:t>
      </w:r>
    </w:p>
    <w:p w14:paraId="256D64F6" w14:textId="72C7B0D1" w:rsidR="00B31E9A" w:rsidRDefault="00B31E9A">
      <w:pPr>
        <w:spacing w:before="0" w:after="0" w:line="240" w:lineRule="auto"/>
        <w:rPr>
          <w:sz w:val="16"/>
        </w:rPr>
      </w:pPr>
      <w:r>
        <w:br w:type="page"/>
      </w:r>
    </w:p>
    <w:p w14:paraId="5F51C230" w14:textId="5353A25B" w:rsidR="00565FFB" w:rsidRDefault="00DE0360">
      <w:pPr>
        <w:pStyle w:val="BodyText"/>
        <w:rPr>
          <w:b/>
          <w:bCs/>
        </w:rPr>
      </w:pPr>
      <w:r>
        <w:rPr>
          <w:b/>
          <w:bCs/>
        </w:rPr>
        <w:lastRenderedPageBreak/>
        <w:t xml:space="preserve">Table 2: Outcomes for patients with severe acute respiratory illnesses admitted to a SPRINT-SARI </w:t>
      </w:r>
      <w:r w:rsidR="00D54DF2">
        <w:rPr>
          <w:b/>
          <w:bCs/>
        </w:rPr>
        <w:t xml:space="preserve">sentinel </w:t>
      </w:r>
      <w:r>
        <w:rPr>
          <w:b/>
          <w:bCs/>
        </w:rPr>
        <w:t xml:space="preserve">intensive care by </w:t>
      </w:r>
      <w:r w:rsidR="007D0969">
        <w:rPr>
          <w:b/>
          <w:bCs/>
        </w:rPr>
        <w:t>disease</w:t>
      </w:r>
      <w:r>
        <w:rPr>
          <w:b/>
          <w:bCs/>
        </w:rPr>
        <w:t>*†‡, Australia, 1 January to 24 March 2024</w:t>
      </w:r>
    </w:p>
    <w:tbl>
      <w:tblPr>
        <w:tblStyle w:val="DepartmentofHealthtable"/>
        <w:tblW w:w="0" w:type="auto"/>
        <w:tblLook w:val="04A0" w:firstRow="1" w:lastRow="0" w:firstColumn="1" w:lastColumn="0" w:noHBand="0" w:noVBand="1"/>
        <w:tblDescription w:val="A table summarising outcomes for patients with COVID-19, influenza and RSV patients admitted to a participating SPRINT-SARI intensive care during the current 28-day severity reporting period (26 February to 24 March 2024) and the year to date for severity (1 January to 24 March 2024). In the year to date for severity indicators, 30.9% (72/233) of patients admitted to SPRINT-SARI sentinel sites with COVID-19 (n=233) received invasive mechanical ventilation. In the year to date for severity indicators, for patients admitted to SPRINT-SARI sentinel sites with COVID-19 (n = 233), the median duration of mechanical ventilation was 1.8 days (interquartile range [IQR]: 0.6–7.3 days); the median length of stay in intensive care was 2.5 days (IQR: 1.4–4.9 days); and the median length of stay in hospital was 7.8 days (IQR: 4.6–15.0 days). Of the 233 COVID-19 cases admitted to a SPRINT-SARI sentinel intensive care, a majority (145/233; 63%) were discharged home. Nine percent (21/233) died in intensive care and 3.9% (9/233) died in a general hospital ward after their discharge from intensive care. One case was marked as having ‘missing data’ for their outcome. In the year to date for severity indicators, 27.5% (11/40) of patients admitted to SPRINT-SARI sentinel sites with influenza (n=40) received invasive mechanical ventilation. In the year to date for severity indicators, for patients admitted to SPRINT-SARI sentinel sites with influenza (n = 40), the median duration of mechanical ventilation was 5.2 days (IQR: 3.3–14.0 days); the median length of stay in intensive care was 2.7 days (IQR: 1.6–6.0 days); and the median length of stay in hospital was 7.5 days (IQR: 5.0–12.0 days). Of the 40 influenza cases with severe illness admitted to intensive care, a majority (30/40; 75%) were discharged home. Eight percent (3/40) died in intensive care and 2.5% (1/40) died in a general hospital ward after their discharge from intensive care. In the year to date for severity indicators, 26.6% (17/64) of patients admitted to SPRINT-SARI sentinel sites with RSV (n=64) received invasive mechanical ventilation. In the year to date for severity indicators, for patients admitted to SPRINT-SARI sentinel sites with RSV (n = 64), the median duration of mechanical ventilation was 4.2 days (IQR: 3.0–5.3 days); the median length of stay in intensive care was 2.8 days (IQR: 1.7–4.1 days); and the median length of stay in hospital was 6.2 days (IQR: 4.3–9.4 days). Of the 64 RSV cases with severe illness admitted to intensive care, a majority (50/64; 78%) were discharged home. Eight percent (5/64) died in intensive care and 1.6% (1/64) died in a general hospital ward after their discharge from intensive care."/>
      </w:tblPr>
      <w:tblGrid>
        <w:gridCol w:w="1985"/>
        <w:gridCol w:w="1293"/>
        <w:gridCol w:w="1294"/>
        <w:gridCol w:w="1293"/>
        <w:gridCol w:w="1294"/>
        <w:gridCol w:w="1293"/>
        <w:gridCol w:w="1294"/>
      </w:tblGrid>
      <w:tr w:rsidR="002974BC" w:rsidRPr="002974BC" w14:paraId="6FE822A8" w14:textId="77777777" w:rsidTr="00B51078">
        <w:trPr>
          <w:cnfStyle w:val="100000000000" w:firstRow="1" w:lastRow="0" w:firstColumn="0" w:lastColumn="0" w:oddVBand="0" w:evenVBand="0" w:oddHBand="0" w:evenHBand="0" w:firstRowFirstColumn="0" w:firstRowLastColumn="0" w:lastRowFirstColumn="0" w:lastRowLastColumn="0"/>
          <w:trHeight w:val="368"/>
        </w:trPr>
        <w:tc>
          <w:tcPr>
            <w:tcW w:w="1985" w:type="dxa"/>
          </w:tcPr>
          <w:p w14:paraId="2E3E8BB5" w14:textId="77777777" w:rsidR="00896C78" w:rsidRPr="002974BC" w:rsidRDefault="00896C78" w:rsidP="0028463F">
            <w:pPr>
              <w:spacing w:before="100" w:after="100"/>
              <w:rPr>
                <w:rFonts w:cs="Arial"/>
                <w:b w:val="0"/>
                <w:sz w:val="18"/>
                <w:szCs w:val="18"/>
              </w:rPr>
            </w:pPr>
          </w:p>
        </w:tc>
        <w:tc>
          <w:tcPr>
            <w:tcW w:w="2587" w:type="dxa"/>
            <w:gridSpan w:val="2"/>
            <w:tcBorders>
              <w:bottom w:val="single" w:sz="8" w:space="0" w:color="27F3F3" w:themeColor="text1" w:themeTint="80"/>
            </w:tcBorders>
          </w:tcPr>
          <w:p w14:paraId="3082656A" w14:textId="77777777" w:rsidR="00896C78" w:rsidRPr="002974BC" w:rsidRDefault="00896C78" w:rsidP="0028463F">
            <w:pPr>
              <w:spacing w:before="100" w:after="100"/>
              <w:jc w:val="center"/>
              <w:rPr>
                <w:rFonts w:cs="Arial"/>
                <w:b w:val="0"/>
                <w:sz w:val="18"/>
                <w:szCs w:val="18"/>
              </w:rPr>
            </w:pPr>
            <w:r w:rsidRPr="002974BC">
              <w:rPr>
                <w:rFonts w:cs="Arial"/>
                <w:sz w:val="18"/>
                <w:szCs w:val="18"/>
              </w:rPr>
              <w:t>COVID-19</w:t>
            </w:r>
          </w:p>
        </w:tc>
        <w:tc>
          <w:tcPr>
            <w:tcW w:w="2587" w:type="dxa"/>
            <w:gridSpan w:val="2"/>
            <w:tcBorders>
              <w:bottom w:val="single" w:sz="8" w:space="0" w:color="27F3F3" w:themeColor="text1" w:themeTint="80"/>
            </w:tcBorders>
          </w:tcPr>
          <w:p w14:paraId="15795200" w14:textId="77777777" w:rsidR="00896C78" w:rsidRPr="002974BC" w:rsidRDefault="00896C78" w:rsidP="0028463F">
            <w:pPr>
              <w:spacing w:before="100" w:after="100"/>
              <w:jc w:val="center"/>
              <w:rPr>
                <w:rFonts w:cs="Arial"/>
                <w:b w:val="0"/>
                <w:sz w:val="18"/>
                <w:szCs w:val="18"/>
              </w:rPr>
            </w:pPr>
            <w:r w:rsidRPr="002974BC">
              <w:rPr>
                <w:rFonts w:cs="Arial"/>
                <w:sz w:val="18"/>
                <w:szCs w:val="18"/>
              </w:rPr>
              <w:t>Influenza</w:t>
            </w:r>
          </w:p>
        </w:tc>
        <w:tc>
          <w:tcPr>
            <w:tcW w:w="2587" w:type="dxa"/>
            <w:gridSpan w:val="2"/>
            <w:tcBorders>
              <w:bottom w:val="single" w:sz="8" w:space="0" w:color="27F3F3" w:themeColor="text1" w:themeTint="80"/>
            </w:tcBorders>
          </w:tcPr>
          <w:p w14:paraId="6A4B9035" w14:textId="77777777" w:rsidR="00896C78" w:rsidRPr="002974BC" w:rsidRDefault="00896C78" w:rsidP="0028463F">
            <w:pPr>
              <w:spacing w:before="100" w:after="100"/>
              <w:jc w:val="center"/>
              <w:rPr>
                <w:rFonts w:cs="Arial"/>
                <w:b w:val="0"/>
                <w:sz w:val="18"/>
                <w:szCs w:val="18"/>
              </w:rPr>
            </w:pPr>
            <w:r w:rsidRPr="002974BC">
              <w:rPr>
                <w:rFonts w:cs="Arial"/>
                <w:sz w:val="18"/>
                <w:szCs w:val="18"/>
              </w:rPr>
              <w:t>RSV</w:t>
            </w:r>
          </w:p>
        </w:tc>
      </w:tr>
      <w:tr w:rsidR="002974BC" w:rsidRPr="002974BC" w14:paraId="10F383CC" w14:textId="77777777" w:rsidTr="00B51078">
        <w:trPr>
          <w:trHeight w:val="841"/>
        </w:trPr>
        <w:tc>
          <w:tcPr>
            <w:tcW w:w="1985" w:type="dxa"/>
            <w:shd w:val="clear" w:color="auto" w:fill="00DCA1" w:themeFill="background1"/>
          </w:tcPr>
          <w:p w14:paraId="37868C54" w14:textId="77777777" w:rsidR="00896C78" w:rsidRPr="002974BC" w:rsidRDefault="00896C78" w:rsidP="0028463F">
            <w:pPr>
              <w:spacing w:before="100" w:after="100"/>
              <w:rPr>
                <w:rFonts w:cs="Arial"/>
                <w:b/>
                <w:sz w:val="18"/>
                <w:szCs w:val="18"/>
              </w:rPr>
            </w:pP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3FC251C0" w14:textId="77777777" w:rsidR="00896C78" w:rsidRPr="002974BC" w:rsidRDefault="00896C78" w:rsidP="0028463F">
            <w:pPr>
              <w:spacing w:before="100" w:after="100"/>
              <w:jc w:val="right"/>
              <w:rPr>
                <w:rFonts w:cs="Arial"/>
                <w:b/>
                <w:sz w:val="18"/>
                <w:szCs w:val="18"/>
              </w:rPr>
            </w:pPr>
            <w:r w:rsidRPr="002974BC">
              <w:rPr>
                <w:rFonts w:cs="Arial"/>
                <w:b/>
                <w:sz w:val="14"/>
                <w:szCs w:val="14"/>
              </w:rPr>
              <w:t>Severity reporting period</w:t>
            </w:r>
            <w:r w:rsidRPr="002974BC">
              <w:rPr>
                <w:rFonts w:cs="Arial"/>
                <w:b/>
                <w:sz w:val="14"/>
                <w:szCs w:val="14"/>
              </w:rPr>
              <w:br/>
              <w:t>(n=44)</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1CC7076C"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(n=233)</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1A747774" w14:textId="77777777" w:rsidR="00896C78" w:rsidRPr="002974BC" w:rsidRDefault="00896C78" w:rsidP="0028463F">
            <w:pPr>
              <w:spacing w:before="100" w:after="100"/>
              <w:jc w:val="right"/>
              <w:rPr>
                <w:rFonts w:cs="Arial"/>
                <w:b/>
                <w:sz w:val="14"/>
                <w:szCs w:val="14"/>
              </w:rPr>
            </w:pPr>
            <w:r w:rsidRPr="002974BC">
              <w:rPr>
                <w:rFonts w:cs="Arial"/>
                <w:b/>
                <w:sz w:val="14"/>
                <w:szCs w:val="14"/>
              </w:rPr>
              <w:t>Severity reporting period</w:t>
            </w:r>
            <w:r w:rsidRPr="002974BC">
              <w:rPr>
                <w:rFonts w:cs="Arial"/>
                <w:b/>
                <w:sz w:val="14"/>
                <w:szCs w:val="14"/>
              </w:rPr>
              <w:br/>
              <w:t>(n=15)</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01175FFB"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(n=40)</w:t>
            </w:r>
          </w:p>
        </w:tc>
        <w:tc>
          <w:tcPr>
            <w:tcW w:w="1293" w:type="dxa"/>
            <w:tcBorders>
              <w:top w:val="single" w:sz="8" w:space="0" w:color="27F3F3" w:themeColor="text1" w:themeTint="80"/>
              <w:bottom w:val="single" w:sz="8" w:space="0" w:color="27F3F3" w:themeColor="text1" w:themeTint="80"/>
            </w:tcBorders>
            <w:shd w:val="clear" w:color="auto" w:fill="00DCA1" w:themeFill="background1"/>
          </w:tcPr>
          <w:p w14:paraId="78C9D48E" w14:textId="77777777" w:rsidR="00896C78" w:rsidRPr="002974BC" w:rsidRDefault="00896C78" w:rsidP="0028463F">
            <w:pPr>
              <w:spacing w:before="100" w:after="100"/>
              <w:jc w:val="right"/>
              <w:rPr>
                <w:rFonts w:cs="Arial"/>
                <w:b/>
                <w:sz w:val="14"/>
                <w:szCs w:val="14"/>
              </w:rPr>
            </w:pPr>
            <w:r w:rsidRPr="002974BC">
              <w:rPr>
                <w:rFonts w:cs="Arial"/>
                <w:b/>
                <w:sz w:val="14"/>
                <w:szCs w:val="14"/>
              </w:rPr>
              <w:t>Severity reporting period</w:t>
            </w:r>
            <w:r w:rsidRPr="002974BC">
              <w:rPr>
                <w:rFonts w:cs="Arial"/>
                <w:b/>
                <w:sz w:val="14"/>
                <w:szCs w:val="14"/>
              </w:rPr>
              <w:br/>
              <w:t>(n=26)</w:t>
            </w:r>
          </w:p>
        </w:tc>
        <w:tc>
          <w:tcPr>
            <w:tcW w:w="1294" w:type="dxa"/>
            <w:tcBorders>
              <w:top w:val="single" w:sz="8" w:space="0" w:color="27F3F3" w:themeColor="text1" w:themeTint="80"/>
              <w:bottom w:val="single" w:sz="8" w:space="0" w:color="27F3F3" w:themeColor="text1" w:themeTint="80"/>
            </w:tcBorders>
            <w:shd w:val="clear" w:color="auto" w:fill="00DCA1" w:themeFill="background1"/>
          </w:tcPr>
          <w:p w14:paraId="71EC4A83" w14:textId="77777777" w:rsidR="00896C78" w:rsidRPr="002974BC" w:rsidRDefault="00896C78" w:rsidP="0028463F">
            <w:pPr>
              <w:spacing w:before="100" w:after="100"/>
              <w:jc w:val="right"/>
              <w:rPr>
                <w:rFonts w:cs="Arial"/>
                <w:b/>
                <w:sz w:val="14"/>
                <w:szCs w:val="14"/>
              </w:rPr>
            </w:pPr>
            <w:r w:rsidRPr="002974BC" w:rsidDel="00BD2A55">
              <w:rPr>
                <w:rFonts w:cs="Arial"/>
                <w:b/>
                <w:sz w:val="14"/>
                <w:szCs w:val="14"/>
              </w:rPr>
              <w:t>Year</w:t>
            </w:r>
            <w:r w:rsidRPr="002974BC">
              <w:rPr>
                <w:rFonts w:cs="Arial"/>
                <w:b/>
                <w:sz w:val="14"/>
                <w:szCs w:val="14"/>
              </w:rPr>
              <w:t xml:space="preserve"> to date </w:t>
            </w:r>
            <w:r w:rsidRPr="002974BC">
              <w:rPr>
                <w:rFonts w:cs="Arial"/>
                <w:b/>
                <w:sz w:val="14"/>
                <w:szCs w:val="14"/>
              </w:rPr>
              <w:br/>
              <w:t xml:space="preserve">for severity reporting </w:t>
            </w:r>
            <w:r w:rsidRPr="002974BC">
              <w:rPr>
                <w:rFonts w:cs="Arial"/>
                <w:b/>
                <w:sz w:val="14"/>
                <w:szCs w:val="14"/>
              </w:rPr>
              <w:br/>
              <w:t>(n=64)</w:t>
            </w:r>
          </w:p>
        </w:tc>
      </w:tr>
      <w:tr w:rsidR="00896C78" w:rsidRPr="006E24B1" w14:paraId="38CBC622" w14:textId="77777777" w:rsidTr="002974BC">
        <w:trPr>
          <w:trHeight w:val="283"/>
        </w:trPr>
        <w:tc>
          <w:tcPr>
            <w:tcW w:w="0" w:type="auto"/>
            <w:gridSpan w:val="7"/>
            <w:shd w:val="clear" w:color="auto" w:fill="00DCA1" w:themeFill="background1"/>
          </w:tcPr>
          <w:p w14:paraId="6913D47E"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 xml:space="preserve">Received invasive mechanical ventilation </w:t>
            </w:r>
          </w:p>
        </w:tc>
      </w:tr>
      <w:tr w:rsidR="00896C78" w:rsidRPr="006E24B1" w14:paraId="7801D692" w14:textId="77777777" w:rsidTr="002974BC">
        <w:trPr>
          <w:trHeight w:val="283"/>
        </w:trPr>
        <w:tc>
          <w:tcPr>
            <w:tcW w:w="1985" w:type="dxa"/>
          </w:tcPr>
          <w:p w14:paraId="7C7CD074"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Number (%)</w:t>
            </w:r>
          </w:p>
        </w:tc>
        <w:tc>
          <w:tcPr>
            <w:tcW w:w="1293" w:type="dxa"/>
          </w:tcPr>
          <w:p w14:paraId="5B55E4A1"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10 (22.7%)</w:t>
            </w:r>
          </w:p>
        </w:tc>
        <w:tc>
          <w:tcPr>
            <w:tcW w:w="1294" w:type="dxa"/>
          </w:tcPr>
          <w:p w14:paraId="0930E350"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72 (30.9%)</w:t>
            </w:r>
          </w:p>
        </w:tc>
        <w:tc>
          <w:tcPr>
            <w:tcW w:w="1293" w:type="dxa"/>
          </w:tcPr>
          <w:p w14:paraId="338D19FA"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4 (26.7%)</w:t>
            </w:r>
          </w:p>
        </w:tc>
        <w:tc>
          <w:tcPr>
            <w:tcW w:w="1294" w:type="dxa"/>
          </w:tcPr>
          <w:p w14:paraId="472A6236"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11 (27.5%)</w:t>
            </w:r>
          </w:p>
        </w:tc>
        <w:tc>
          <w:tcPr>
            <w:tcW w:w="1293" w:type="dxa"/>
          </w:tcPr>
          <w:p w14:paraId="40069C04"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6 (23.1%)</w:t>
            </w:r>
          </w:p>
        </w:tc>
        <w:tc>
          <w:tcPr>
            <w:tcW w:w="1294" w:type="dxa"/>
          </w:tcPr>
          <w:p w14:paraId="589C1C98" w14:textId="77777777"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17 (26.6%)</w:t>
            </w:r>
          </w:p>
        </w:tc>
      </w:tr>
      <w:tr w:rsidR="00896C78" w:rsidRPr="006E24B1" w14:paraId="61C228D7" w14:textId="77777777" w:rsidTr="002974BC">
        <w:trPr>
          <w:trHeight w:val="283"/>
        </w:trPr>
        <w:tc>
          <w:tcPr>
            <w:tcW w:w="0" w:type="auto"/>
            <w:gridSpan w:val="7"/>
            <w:shd w:val="clear" w:color="auto" w:fill="00DCA1" w:themeFill="background1"/>
          </w:tcPr>
          <w:p w14:paraId="799199B2"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Duration of invasive mechanical ventilation (days)</w:t>
            </w:r>
          </w:p>
        </w:tc>
      </w:tr>
      <w:tr w:rsidR="00896C78" w:rsidRPr="006E24B1" w14:paraId="0919C762" w14:textId="77777777" w:rsidTr="002974BC">
        <w:trPr>
          <w:trHeight w:val="283"/>
        </w:trPr>
        <w:tc>
          <w:tcPr>
            <w:tcW w:w="1985" w:type="dxa"/>
          </w:tcPr>
          <w:p w14:paraId="70A59E96"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1CC1E292" w14:textId="34A5947F"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5.1</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[0.8</w:t>
            </w:r>
            <w:r w:rsidR="00AF7BE0">
              <w:rPr>
                <w:rFonts w:eastAsia="Arial" w:cs="Arial"/>
                <w:color w:val="033636"/>
                <w:sz w:val="18"/>
                <w:szCs w:val="18"/>
              </w:rPr>
              <w:t>2</w:t>
            </w:r>
            <w:r w:rsidR="00125A4D">
              <w:rPr>
                <w:rFonts w:eastAsia="Arial" w:cs="Arial"/>
                <w:color w:val="033636"/>
                <w:sz w:val="18"/>
                <w:szCs w:val="18"/>
              </w:rPr>
              <w:t>–</w:t>
            </w:r>
            <w:r w:rsidRPr="003F0B4A">
              <w:rPr>
                <w:rFonts w:eastAsia="Arial" w:cs="Arial"/>
                <w:color w:val="033636"/>
                <w:sz w:val="18"/>
                <w:szCs w:val="18"/>
              </w:rPr>
              <w:t>8.2]</w:t>
            </w:r>
          </w:p>
        </w:tc>
        <w:tc>
          <w:tcPr>
            <w:tcW w:w="1294" w:type="dxa"/>
          </w:tcPr>
          <w:p w14:paraId="551DBB1A" w14:textId="1DA1CF93"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1.8</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[0.6</w:t>
            </w:r>
            <w:r w:rsidR="00AF7BE0">
              <w:rPr>
                <w:rFonts w:eastAsia="Arial" w:cs="Arial"/>
                <w:color w:val="033636"/>
                <w:sz w:val="18"/>
                <w:szCs w:val="18"/>
              </w:rPr>
              <w:t>1</w:t>
            </w:r>
            <w:r w:rsidR="00125A4D">
              <w:rPr>
                <w:rFonts w:eastAsia="Arial" w:cs="Arial"/>
                <w:color w:val="033636"/>
                <w:sz w:val="18"/>
                <w:szCs w:val="18"/>
              </w:rPr>
              <w:t>–</w:t>
            </w:r>
            <w:r w:rsidRPr="003F0B4A">
              <w:rPr>
                <w:rFonts w:eastAsia="Arial" w:cs="Arial"/>
                <w:color w:val="033636"/>
                <w:sz w:val="18"/>
                <w:szCs w:val="18"/>
              </w:rPr>
              <w:t>7.3]</w:t>
            </w:r>
          </w:p>
        </w:tc>
        <w:tc>
          <w:tcPr>
            <w:tcW w:w="1293" w:type="dxa"/>
          </w:tcPr>
          <w:p w14:paraId="709FB9E5" w14:textId="66F22F85"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6.5</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[5.7</w:t>
            </w:r>
            <w:r w:rsidR="00125A4D">
              <w:rPr>
                <w:rFonts w:eastAsia="Arial" w:cs="Arial"/>
                <w:color w:val="033636"/>
                <w:sz w:val="18"/>
                <w:szCs w:val="18"/>
              </w:rPr>
              <w:t>–</w:t>
            </w:r>
            <w:r w:rsidRPr="003F0B4A">
              <w:rPr>
                <w:rFonts w:eastAsia="Arial" w:cs="Arial"/>
                <w:color w:val="033636"/>
                <w:sz w:val="18"/>
                <w:szCs w:val="18"/>
              </w:rPr>
              <w:t>7.3]</w:t>
            </w:r>
          </w:p>
        </w:tc>
        <w:tc>
          <w:tcPr>
            <w:tcW w:w="1294" w:type="dxa"/>
          </w:tcPr>
          <w:p w14:paraId="3AAB8426" w14:textId="19A3CA50"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5.2</w:t>
            </w:r>
            <w:r w:rsidR="006239C7">
              <w:rPr>
                <w:rFonts w:eastAsia="Arial" w:cs="Arial"/>
                <w:color w:val="033636"/>
                <w:sz w:val="18"/>
                <w:szCs w:val="18"/>
              </w:rPr>
              <w:t xml:space="preserve"> </w:t>
            </w:r>
            <w:r w:rsidR="00AF7BE0">
              <w:rPr>
                <w:rFonts w:eastAsia="Arial" w:cs="Arial"/>
                <w:color w:val="033636"/>
                <w:sz w:val="18"/>
                <w:szCs w:val="18"/>
              </w:rPr>
              <w:br/>
            </w:r>
            <w:r w:rsidRPr="003F0B4A">
              <w:rPr>
                <w:rFonts w:eastAsia="Arial" w:cs="Arial"/>
                <w:color w:val="033636"/>
                <w:sz w:val="18"/>
                <w:szCs w:val="18"/>
              </w:rPr>
              <w:t>[3.3</w:t>
            </w:r>
            <w:r w:rsidR="00125A4D">
              <w:rPr>
                <w:rFonts w:eastAsia="Arial" w:cs="Arial"/>
                <w:color w:val="033636"/>
                <w:sz w:val="18"/>
                <w:szCs w:val="18"/>
              </w:rPr>
              <w:t>–</w:t>
            </w:r>
            <w:r w:rsidRPr="003F0B4A">
              <w:rPr>
                <w:rFonts w:eastAsia="Arial" w:cs="Arial"/>
                <w:color w:val="033636"/>
                <w:sz w:val="18"/>
                <w:szCs w:val="18"/>
              </w:rPr>
              <w:t>14]</w:t>
            </w:r>
          </w:p>
        </w:tc>
        <w:tc>
          <w:tcPr>
            <w:tcW w:w="1293" w:type="dxa"/>
          </w:tcPr>
          <w:p w14:paraId="60F96651" w14:textId="76413636"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 xml:space="preserve">4.4 </w:t>
            </w:r>
            <w:r w:rsidR="00AF7BE0">
              <w:rPr>
                <w:rFonts w:eastAsia="Arial" w:cs="Arial"/>
                <w:color w:val="033636"/>
                <w:sz w:val="18"/>
                <w:szCs w:val="18"/>
              </w:rPr>
              <w:br/>
            </w:r>
            <w:r w:rsidRPr="003F0B4A">
              <w:rPr>
                <w:rFonts w:eastAsia="Arial" w:cs="Arial"/>
                <w:color w:val="033636"/>
                <w:sz w:val="18"/>
                <w:szCs w:val="18"/>
              </w:rPr>
              <w:t>[3.4</w:t>
            </w:r>
            <w:r w:rsidR="00125A4D">
              <w:rPr>
                <w:rFonts w:eastAsia="Arial" w:cs="Arial"/>
                <w:color w:val="033636"/>
                <w:sz w:val="18"/>
                <w:szCs w:val="18"/>
              </w:rPr>
              <w:t>–</w:t>
            </w:r>
            <w:r w:rsidRPr="003F0B4A">
              <w:rPr>
                <w:rFonts w:eastAsia="Arial" w:cs="Arial"/>
                <w:color w:val="033636"/>
                <w:sz w:val="18"/>
                <w:szCs w:val="18"/>
              </w:rPr>
              <w:t>5.7]</w:t>
            </w:r>
          </w:p>
        </w:tc>
        <w:tc>
          <w:tcPr>
            <w:tcW w:w="1294" w:type="dxa"/>
          </w:tcPr>
          <w:p w14:paraId="5AD71A53" w14:textId="4B537080" w:rsidR="00896C78" w:rsidRPr="003F0B4A" w:rsidRDefault="00896C78" w:rsidP="0028463F">
            <w:pPr>
              <w:spacing w:before="100" w:after="100"/>
              <w:jc w:val="right"/>
              <w:rPr>
                <w:rFonts w:cs="Arial"/>
                <w:color w:val="033636"/>
                <w:sz w:val="18"/>
                <w:szCs w:val="18"/>
              </w:rPr>
            </w:pPr>
            <w:r w:rsidRPr="003F0B4A">
              <w:rPr>
                <w:rFonts w:eastAsia="Arial" w:cs="Arial"/>
                <w:color w:val="033636"/>
                <w:sz w:val="18"/>
                <w:szCs w:val="18"/>
              </w:rPr>
              <w:t xml:space="preserve">4.2 </w:t>
            </w:r>
            <w:r w:rsidR="00AF7BE0">
              <w:rPr>
                <w:rFonts w:eastAsia="Arial" w:cs="Arial"/>
                <w:color w:val="033636"/>
                <w:sz w:val="18"/>
                <w:szCs w:val="18"/>
              </w:rPr>
              <w:br/>
            </w:r>
            <w:r w:rsidRPr="003F0B4A">
              <w:rPr>
                <w:rFonts w:eastAsia="Arial" w:cs="Arial"/>
                <w:color w:val="033636"/>
                <w:sz w:val="18"/>
                <w:szCs w:val="18"/>
              </w:rPr>
              <w:t>[3.0</w:t>
            </w:r>
            <w:r w:rsidR="00125A4D">
              <w:rPr>
                <w:rFonts w:eastAsia="Arial" w:cs="Arial"/>
                <w:color w:val="033636"/>
                <w:sz w:val="18"/>
                <w:szCs w:val="18"/>
              </w:rPr>
              <w:t>–</w:t>
            </w:r>
            <w:r w:rsidRPr="003F0B4A">
              <w:rPr>
                <w:rFonts w:eastAsia="Arial" w:cs="Arial"/>
                <w:color w:val="033636"/>
                <w:sz w:val="18"/>
                <w:szCs w:val="18"/>
              </w:rPr>
              <w:t>5.3]</w:t>
            </w:r>
          </w:p>
        </w:tc>
      </w:tr>
      <w:tr w:rsidR="00896C78" w:rsidRPr="006E24B1" w14:paraId="2D248CB0" w14:textId="77777777" w:rsidTr="002974BC">
        <w:trPr>
          <w:trHeight w:val="283"/>
        </w:trPr>
        <w:tc>
          <w:tcPr>
            <w:tcW w:w="0" w:type="auto"/>
            <w:gridSpan w:val="7"/>
            <w:shd w:val="clear" w:color="auto" w:fill="00DCA1" w:themeFill="background1"/>
          </w:tcPr>
          <w:p w14:paraId="3D02BD4A"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Length of intensive care stay (days)</w:t>
            </w:r>
          </w:p>
        </w:tc>
      </w:tr>
      <w:tr w:rsidR="00896C78" w:rsidRPr="006E24B1" w14:paraId="4BEF3C56" w14:textId="77777777" w:rsidTr="002974BC">
        <w:trPr>
          <w:trHeight w:val="283"/>
        </w:trPr>
        <w:tc>
          <w:tcPr>
            <w:tcW w:w="1985" w:type="dxa"/>
          </w:tcPr>
          <w:p w14:paraId="6E35F661"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2739DB27" w14:textId="24235358"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2.0 [1.0</w:t>
            </w:r>
            <w:r w:rsidR="00125A4D">
              <w:rPr>
                <w:rFonts w:eastAsia="Arial" w:cs="Arial"/>
                <w:color w:val="033636"/>
                <w:sz w:val="18"/>
                <w:szCs w:val="18"/>
              </w:rPr>
              <w:t>–</w:t>
            </w:r>
            <w:r w:rsidRPr="003F0B4A">
              <w:rPr>
                <w:rFonts w:eastAsia="Arial" w:cs="Arial"/>
                <w:color w:val="033636"/>
                <w:sz w:val="18"/>
                <w:szCs w:val="18"/>
              </w:rPr>
              <w:t>5.7]</w:t>
            </w:r>
          </w:p>
        </w:tc>
        <w:tc>
          <w:tcPr>
            <w:tcW w:w="1294" w:type="dxa"/>
          </w:tcPr>
          <w:p w14:paraId="71994101" w14:textId="1179558B"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2.5 [1.4</w:t>
            </w:r>
            <w:r w:rsidR="00125A4D">
              <w:rPr>
                <w:rFonts w:eastAsia="Arial" w:cs="Arial"/>
                <w:color w:val="033636"/>
                <w:sz w:val="18"/>
                <w:szCs w:val="18"/>
              </w:rPr>
              <w:t>–</w:t>
            </w:r>
            <w:r w:rsidRPr="003F0B4A">
              <w:rPr>
                <w:rFonts w:eastAsia="Arial" w:cs="Arial"/>
                <w:color w:val="033636"/>
                <w:sz w:val="18"/>
                <w:szCs w:val="18"/>
              </w:rPr>
              <w:t>4.9]</w:t>
            </w:r>
          </w:p>
        </w:tc>
        <w:tc>
          <w:tcPr>
            <w:tcW w:w="1293" w:type="dxa"/>
          </w:tcPr>
          <w:p w14:paraId="1F5FBB67" w14:textId="16B859A5"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1.8 [1.4</w:t>
            </w:r>
            <w:r w:rsidR="00125A4D">
              <w:rPr>
                <w:rFonts w:eastAsia="Arial" w:cs="Arial"/>
                <w:color w:val="033636"/>
                <w:sz w:val="18"/>
                <w:szCs w:val="18"/>
              </w:rPr>
              <w:t>–</w:t>
            </w:r>
            <w:r w:rsidRPr="003F0B4A">
              <w:rPr>
                <w:rFonts w:eastAsia="Arial" w:cs="Arial"/>
                <w:color w:val="033636"/>
                <w:sz w:val="18"/>
                <w:szCs w:val="18"/>
              </w:rPr>
              <w:t>3.7]</w:t>
            </w:r>
          </w:p>
        </w:tc>
        <w:tc>
          <w:tcPr>
            <w:tcW w:w="1294" w:type="dxa"/>
          </w:tcPr>
          <w:p w14:paraId="36A51198" w14:textId="4F8D9946"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2.7 [1.6</w:t>
            </w:r>
            <w:r w:rsidR="00125A4D">
              <w:rPr>
                <w:rFonts w:eastAsia="Arial" w:cs="Arial"/>
                <w:color w:val="033636"/>
                <w:sz w:val="18"/>
                <w:szCs w:val="18"/>
              </w:rPr>
              <w:t>–</w:t>
            </w:r>
            <w:r w:rsidRPr="003F0B4A">
              <w:rPr>
                <w:rFonts w:eastAsia="Arial" w:cs="Arial"/>
                <w:color w:val="033636"/>
                <w:sz w:val="18"/>
                <w:szCs w:val="18"/>
              </w:rPr>
              <w:t>6.0]</w:t>
            </w:r>
          </w:p>
        </w:tc>
        <w:tc>
          <w:tcPr>
            <w:tcW w:w="1293" w:type="dxa"/>
          </w:tcPr>
          <w:p w14:paraId="75A0D061" w14:textId="01D61999"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2.8 [1.9</w:t>
            </w:r>
            <w:r w:rsidR="00125A4D">
              <w:rPr>
                <w:rFonts w:eastAsia="Arial" w:cs="Arial"/>
                <w:color w:val="033636"/>
                <w:sz w:val="18"/>
                <w:szCs w:val="18"/>
              </w:rPr>
              <w:t>–</w:t>
            </w:r>
            <w:r w:rsidRPr="003F0B4A">
              <w:rPr>
                <w:rFonts w:eastAsia="Arial" w:cs="Arial"/>
                <w:color w:val="033636"/>
                <w:sz w:val="18"/>
                <w:szCs w:val="18"/>
              </w:rPr>
              <w:t>4.0]</w:t>
            </w:r>
          </w:p>
        </w:tc>
        <w:tc>
          <w:tcPr>
            <w:tcW w:w="1294" w:type="dxa"/>
          </w:tcPr>
          <w:p w14:paraId="3567031D" w14:textId="4DB274F5"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2.8 [1.7</w:t>
            </w:r>
            <w:r w:rsidR="00125A4D">
              <w:rPr>
                <w:rFonts w:eastAsia="Arial" w:cs="Arial"/>
                <w:color w:val="033636"/>
                <w:sz w:val="18"/>
                <w:szCs w:val="18"/>
              </w:rPr>
              <w:t>–</w:t>
            </w:r>
            <w:r w:rsidRPr="003F0B4A">
              <w:rPr>
                <w:rFonts w:eastAsia="Arial" w:cs="Arial"/>
                <w:color w:val="033636"/>
                <w:sz w:val="18"/>
                <w:szCs w:val="18"/>
              </w:rPr>
              <w:t>4.1]</w:t>
            </w:r>
          </w:p>
        </w:tc>
      </w:tr>
      <w:tr w:rsidR="00896C78" w:rsidRPr="006E24B1" w14:paraId="48A51046" w14:textId="77777777" w:rsidTr="002974BC">
        <w:trPr>
          <w:trHeight w:val="283"/>
        </w:trPr>
        <w:tc>
          <w:tcPr>
            <w:tcW w:w="0" w:type="auto"/>
            <w:gridSpan w:val="7"/>
            <w:shd w:val="clear" w:color="auto" w:fill="00DCA1" w:themeFill="background1"/>
          </w:tcPr>
          <w:p w14:paraId="33EA900D" w14:textId="77777777" w:rsidR="00896C78" w:rsidRPr="006E24B1" w:rsidRDefault="00896C78" w:rsidP="0028463F">
            <w:pPr>
              <w:spacing w:before="100" w:after="100"/>
              <w:rPr>
                <w:rFonts w:cs="Arial"/>
                <w:b/>
                <w:color w:val="033636"/>
                <w:sz w:val="18"/>
                <w:szCs w:val="18"/>
              </w:rPr>
            </w:pPr>
            <w:r w:rsidRPr="006E24B1">
              <w:rPr>
                <w:rFonts w:cs="Arial"/>
                <w:b/>
                <w:color w:val="033636"/>
                <w:sz w:val="18"/>
                <w:szCs w:val="18"/>
              </w:rPr>
              <w:t>Length of hospital stay (days)</w:t>
            </w:r>
          </w:p>
        </w:tc>
      </w:tr>
      <w:tr w:rsidR="00896C78" w:rsidRPr="006E24B1" w14:paraId="6734B0F0" w14:textId="77777777" w:rsidTr="002974BC">
        <w:trPr>
          <w:trHeight w:val="283"/>
        </w:trPr>
        <w:tc>
          <w:tcPr>
            <w:tcW w:w="1985" w:type="dxa"/>
          </w:tcPr>
          <w:p w14:paraId="7F6E2731" w14:textId="77777777" w:rsidR="00896C78" w:rsidRPr="006E24B1" w:rsidRDefault="00896C78" w:rsidP="0028463F">
            <w:pPr>
              <w:spacing w:before="100" w:after="100"/>
              <w:rPr>
                <w:rFonts w:cs="Arial"/>
                <w:color w:val="033636"/>
                <w:sz w:val="18"/>
                <w:szCs w:val="18"/>
              </w:rPr>
            </w:pPr>
            <w:r w:rsidRPr="006E24B1">
              <w:rPr>
                <w:rFonts w:cs="Arial"/>
                <w:color w:val="033636"/>
                <w:sz w:val="18"/>
                <w:szCs w:val="18"/>
                <w:lang w:val="en-US"/>
              </w:rPr>
              <w:t>Median [IQR]</w:t>
            </w:r>
          </w:p>
        </w:tc>
        <w:tc>
          <w:tcPr>
            <w:tcW w:w="1293" w:type="dxa"/>
          </w:tcPr>
          <w:p w14:paraId="3FE273DE" w14:textId="27ECEEC3"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9.0 [4.2</w:t>
            </w:r>
            <w:r w:rsidR="00125A4D">
              <w:rPr>
                <w:rFonts w:eastAsia="Arial" w:cs="Arial"/>
                <w:color w:val="033636"/>
                <w:sz w:val="18"/>
                <w:szCs w:val="18"/>
              </w:rPr>
              <w:t>–</w:t>
            </w:r>
            <w:r w:rsidRPr="003F0B4A">
              <w:rPr>
                <w:rFonts w:eastAsia="Arial" w:cs="Arial"/>
                <w:color w:val="033636"/>
                <w:sz w:val="18"/>
                <w:szCs w:val="18"/>
              </w:rPr>
              <w:t>14]</w:t>
            </w:r>
          </w:p>
        </w:tc>
        <w:tc>
          <w:tcPr>
            <w:tcW w:w="1294" w:type="dxa"/>
          </w:tcPr>
          <w:p w14:paraId="6D83E93B" w14:textId="2F38039F"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7.8 [4.6</w:t>
            </w:r>
            <w:r w:rsidR="00AF7BE0">
              <w:rPr>
                <w:rFonts w:eastAsia="Arial" w:cs="Arial"/>
                <w:color w:val="033636"/>
                <w:sz w:val="18"/>
                <w:szCs w:val="18"/>
              </w:rPr>
              <w:t>–</w:t>
            </w:r>
            <w:r w:rsidRPr="003F0B4A">
              <w:rPr>
                <w:rFonts w:eastAsia="Arial" w:cs="Arial"/>
                <w:color w:val="033636"/>
                <w:sz w:val="18"/>
                <w:szCs w:val="18"/>
              </w:rPr>
              <w:t>15]</w:t>
            </w:r>
          </w:p>
        </w:tc>
        <w:tc>
          <w:tcPr>
            <w:tcW w:w="1293" w:type="dxa"/>
          </w:tcPr>
          <w:p w14:paraId="7897779D" w14:textId="3B7ACC56"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6.8 [3.5</w:t>
            </w:r>
            <w:r w:rsidR="00AF7BE0">
              <w:rPr>
                <w:rFonts w:eastAsia="Arial" w:cs="Arial"/>
                <w:color w:val="033636"/>
                <w:sz w:val="18"/>
                <w:szCs w:val="18"/>
              </w:rPr>
              <w:t>–</w:t>
            </w:r>
            <w:r w:rsidRPr="003F0B4A">
              <w:rPr>
                <w:rFonts w:eastAsia="Arial" w:cs="Arial"/>
                <w:color w:val="033636"/>
                <w:sz w:val="18"/>
                <w:szCs w:val="18"/>
              </w:rPr>
              <w:t>12]</w:t>
            </w:r>
          </w:p>
        </w:tc>
        <w:tc>
          <w:tcPr>
            <w:tcW w:w="1294" w:type="dxa"/>
          </w:tcPr>
          <w:p w14:paraId="65D4B38D" w14:textId="5FDE2BEB"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7.5 [5.0</w:t>
            </w:r>
            <w:r w:rsidR="00AF7BE0">
              <w:rPr>
                <w:rFonts w:eastAsia="Arial" w:cs="Arial"/>
                <w:color w:val="033636"/>
                <w:sz w:val="18"/>
                <w:szCs w:val="18"/>
              </w:rPr>
              <w:t>–</w:t>
            </w:r>
            <w:r w:rsidRPr="003F0B4A">
              <w:rPr>
                <w:rFonts w:eastAsia="Arial" w:cs="Arial"/>
                <w:color w:val="033636"/>
                <w:sz w:val="18"/>
                <w:szCs w:val="18"/>
              </w:rPr>
              <w:t>12]</w:t>
            </w:r>
          </w:p>
        </w:tc>
        <w:tc>
          <w:tcPr>
            <w:tcW w:w="1293" w:type="dxa"/>
          </w:tcPr>
          <w:p w14:paraId="2BF90942" w14:textId="780D6D40"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6.1 [4.9</w:t>
            </w:r>
            <w:r w:rsidR="00AF7BE0">
              <w:rPr>
                <w:rFonts w:eastAsia="Arial" w:cs="Arial"/>
                <w:color w:val="033636"/>
                <w:sz w:val="18"/>
                <w:szCs w:val="18"/>
              </w:rPr>
              <w:t>–</w:t>
            </w:r>
            <w:r w:rsidRPr="003F0B4A">
              <w:rPr>
                <w:rFonts w:eastAsia="Arial" w:cs="Arial"/>
                <w:color w:val="033636"/>
                <w:sz w:val="18"/>
                <w:szCs w:val="18"/>
              </w:rPr>
              <w:t>7.7]</w:t>
            </w:r>
          </w:p>
        </w:tc>
        <w:tc>
          <w:tcPr>
            <w:tcW w:w="1294" w:type="dxa"/>
          </w:tcPr>
          <w:p w14:paraId="0BE4E513" w14:textId="5CF2FA4F"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6.2 [4.3</w:t>
            </w:r>
            <w:r w:rsidR="00AF7BE0">
              <w:rPr>
                <w:rFonts w:eastAsia="Arial" w:cs="Arial"/>
                <w:color w:val="033636"/>
                <w:sz w:val="18"/>
                <w:szCs w:val="18"/>
              </w:rPr>
              <w:t>–</w:t>
            </w:r>
            <w:r w:rsidRPr="003F0B4A">
              <w:rPr>
                <w:rFonts w:eastAsia="Arial" w:cs="Arial"/>
                <w:color w:val="033636"/>
                <w:sz w:val="18"/>
                <w:szCs w:val="18"/>
              </w:rPr>
              <w:t>9.4]</w:t>
            </w:r>
          </w:p>
        </w:tc>
      </w:tr>
      <w:tr w:rsidR="00896C78" w:rsidRPr="006E24B1" w14:paraId="7CC4312E" w14:textId="77777777" w:rsidTr="002974BC">
        <w:trPr>
          <w:trHeight w:val="283"/>
        </w:trPr>
        <w:tc>
          <w:tcPr>
            <w:tcW w:w="0" w:type="auto"/>
            <w:gridSpan w:val="7"/>
            <w:shd w:val="clear" w:color="auto" w:fill="00DCA1" w:themeFill="background1"/>
          </w:tcPr>
          <w:p w14:paraId="6B74D960" w14:textId="77777777" w:rsidR="00896C78" w:rsidRPr="006E24B1" w:rsidRDefault="00896C78" w:rsidP="0028463F">
            <w:pPr>
              <w:spacing w:before="100" w:after="100"/>
              <w:rPr>
                <w:rFonts w:cs="Arial"/>
                <w:b/>
                <w:color w:val="033636"/>
                <w:sz w:val="18"/>
                <w:szCs w:val="18"/>
              </w:rPr>
            </w:pPr>
            <w:r>
              <w:rPr>
                <w:rFonts w:cs="Arial"/>
                <w:b/>
                <w:color w:val="033636"/>
                <w:sz w:val="18"/>
                <w:szCs w:val="18"/>
              </w:rPr>
              <w:t>Patient outcome</w:t>
            </w:r>
          </w:p>
        </w:tc>
      </w:tr>
      <w:tr w:rsidR="00896C78" w:rsidRPr="006E24B1" w14:paraId="560B7AC6" w14:textId="77777777" w:rsidTr="002974BC">
        <w:trPr>
          <w:trHeight w:val="283"/>
        </w:trPr>
        <w:tc>
          <w:tcPr>
            <w:tcW w:w="1985" w:type="dxa"/>
          </w:tcPr>
          <w:p w14:paraId="0D9FB4EA" w14:textId="77777777" w:rsidR="00896C78" w:rsidRPr="006E24B1" w:rsidRDefault="00896C78" w:rsidP="0028463F">
            <w:pPr>
              <w:spacing w:before="100" w:after="100"/>
              <w:rPr>
                <w:rFonts w:cs="Arial"/>
                <w:color w:val="033636"/>
                <w:sz w:val="18"/>
                <w:szCs w:val="18"/>
              </w:rPr>
            </w:pPr>
            <w:r>
              <w:rPr>
                <w:rFonts w:cs="Arial"/>
                <w:color w:val="033636"/>
                <w:sz w:val="18"/>
                <w:szCs w:val="18"/>
              </w:rPr>
              <w:t>Ongoing care in intensive care</w:t>
            </w:r>
          </w:p>
        </w:tc>
        <w:tc>
          <w:tcPr>
            <w:tcW w:w="1293" w:type="dxa"/>
          </w:tcPr>
          <w:p w14:paraId="42EC2A9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792A6B1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17 (7.3%)</w:t>
            </w:r>
          </w:p>
        </w:tc>
        <w:tc>
          <w:tcPr>
            <w:tcW w:w="1293" w:type="dxa"/>
          </w:tcPr>
          <w:p w14:paraId="6B5B772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EF7ABC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6E85AE3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19791AF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(3.1%)</w:t>
            </w:r>
          </w:p>
        </w:tc>
      </w:tr>
      <w:tr w:rsidR="00896C78" w:rsidRPr="006E24B1" w14:paraId="0364FD9E" w14:textId="77777777" w:rsidTr="002974BC">
        <w:trPr>
          <w:trHeight w:val="283"/>
        </w:trPr>
        <w:tc>
          <w:tcPr>
            <w:tcW w:w="1985" w:type="dxa"/>
          </w:tcPr>
          <w:p w14:paraId="1171D500" w14:textId="77777777" w:rsidR="00896C78" w:rsidRPr="006E24B1" w:rsidRDefault="00896C78" w:rsidP="0028463F">
            <w:pPr>
              <w:spacing w:before="100" w:after="100"/>
              <w:rPr>
                <w:rFonts w:cs="Arial"/>
                <w:color w:val="033636"/>
                <w:sz w:val="18"/>
                <w:szCs w:val="18"/>
              </w:rPr>
            </w:pPr>
            <w:r>
              <w:rPr>
                <w:rFonts w:cs="Arial"/>
                <w:color w:val="033636"/>
                <w:sz w:val="18"/>
                <w:szCs w:val="18"/>
              </w:rPr>
              <w:t>Ongoing care in hospital ward*</w:t>
            </w:r>
          </w:p>
        </w:tc>
        <w:tc>
          <w:tcPr>
            <w:tcW w:w="1293" w:type="dxa"/>
          </w:tcPr>
          <w:p w14:paraId="57051706"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6 (13.6%)</w:t>
            </w:r>
          </w:p>
        </w:tc>
        <w:tc>
          <w:tcPr>
            <w:tcW w:w="1294" w:type="dxa"/>
          </w:tcPr>
          <w:p w14:paraId="7951199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12 (5.2%)</w:t>
            </w:r>
          </w:p>
        </w:tc>
        <w:tc>
          <w:tcPr>
            <w:tcW w:w="1293" w:type="dxa"/>
          </w:tcPr>
          <w:p w14:paraId="374FC2F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(20.0%)</w:t>
            </w:r>
          </w:p>
        </w:tc>
        <w:tc>
          <w:tcPr>
            <w:tcW w:w="1294" w:type="dxa"/>
          </w:tcPr>
          <w:p w14:paraId="09F698F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4 (10.0%)</w:t>
            </w:r>
          </w:p>
        </w:tc>
        <w:tc>
          <w:tcPr>
            <w:tcW w:w="1293" w:type="dxa"/>
          </w:tcPr>
          <w:p w14:paraId="545696B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(11.5%)</w:t>
            </w:r>
          </w:p>
        </w:tc>
        <w:tc>
          <w:tcPr>
            <w:tcW w:w="1294" w:type="dxa"/>
          </w:tcPr>
          <w:p w14:paraId="18E0CEAA"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(4.7%)</w:t>
            </w:r>
          </w:p>
        </w:tc>
      </w:tr>
      <w:tr w:rsidR="00896C78" w:rsidRPr="006E24B1" w14:paraId="0BF11A54" w14:textId="77777777" w:rsidTr="002974BC">
        <w:trPr>
          <w:trHeight w:val="283"/>
        </w:trPr>
        <w:tc>
          <w:tcPr>
            <w:tcW w:w="1985" w:type="dxa"/>
          </w:tcPr>
          <w:p w14:paraId="5462502B" w14:textId="77777777" w:rsidR="00896C78" w:rsidRDefault="00896C78" w:rsidP="0028463F">
            <w:pPr>
              <w:spacing w:before="100" w:after="100"/>
              <w:rPr>
                <w:rFonts w:cs="Arial"/>
                <w:color w:val="033636"/>
                <w:sz w:val="18"/>
                <w:szCs w:val="18"/>
              </w:rPr>
            </w:pPr>
            <w:r>
              <w:rPr>
                <w:rFonts w:cs="Arial"/>
                <w:color w:val="033636"/>
                <w:sz w:val="18"/>
                <w:szCs w:val="18"/>
              </w:rPr>
              <w:t>Transfer to other hospital or facility</w:t>
            </w:r>
          </w:p>
        </w:tc>
        <w:tc>
          <w:tcPr>
            <w:tcW w:w="1293" w:type="dxa"/>
          </w:tcPr>
          <w:p w14:paraId="5AAA5D2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54C5AC90"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18 (7.7%)</w:t>
            </w:r>
          </w:p>
        </w:tc>
        <w:tc>
          <w:tcPr>
            <w:tcW w:w="1293" w:type="dxa"/>
          </w:tcPr>
          <w:p w14:paraId="3E79FE02"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69126991"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0268CD86"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09A14C1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(4.7%)</w:t>
            </w:r>
          </w:p>
        </w:tc>
      </w:tr>
      <w:tr w:rsidR="00896C78" w:rsidRPr="006E24B1" w14:paraId="60B58C20" w14:textId="77777777" w:rsidTr="002974BC">
        <w:trPr>
          <w:trHeight w:val="283"/>
        </w:trPr>
        <w:tc>
          <w:tcPr>
            <w:tcW w:w="1985" w:type="dxa"/>
          </w:tcPr>
          <w:p w14:paraId="3B8BB850" w14:textId="77777777" w:rsidR="00896C78" w:rsidRPr="006E24B1" w:rsidRDefault="00896C78" w:rsidP="0028463F">
            <w:pPr>
              <w:spacing w:before="100" w:after="100"/>
              <w:rPr>
                <w:rFonts w:cs="Arial"/>
                <w:color w:val="033636"/>
                <w:sz w:val="18"/>
                <w:szCs w:val="18"/>
              </w:rPr>
            </w:pPr>
            <w:r>
              <w:rPr>
                <w:rFonts w:cs="Arial"/>
                <w:color w:val="033636"/>
                <w:sz w:val="18"/>
                <w:szCs w:val="18"/>
              </w:rPr>
              <w:t>Transfer to rehabilitation</w:t>
            </w:r>
          </w:p>
        </w:tc>
        <w:tc>
          <w:tcPr>
            <w:tcW w:w="1293" w:type="dxa"/>
          </w:tcPr>
          <w:p w14:paraId="7A2A9B4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4F949B6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10 (4.3%)</w:t>
            </w:r>
          </w:p>
        </w:tc>
        <w:tc>
          <w:tcPr>
            <w:tcW w:w="1293" w:type="dxa"/>
          </w:tcPr>
          <w:p w14:paraId="131BCFA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2CFA542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3" w:type="dxa"/>
          </w:tcPr>
          <w:p w14:paraId="1A7BE44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1DF1CF97"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r>
      <w:tr w:rsidR="00896C78" w:rsidRPr="006E24B1" w14:paraId="592B0BF1" w14:textId="77777777" w:rsidTr="002974BC">
        <w:trPr>
          <w:trHeight w:val="283"/>
        </w:trPr>
        <w:tc>
          <w:tcPr>
            <w:tcW w:w="1985" w:type="dxa"/>
          </w:tcPr>
          <w:p w14:paraId="2FCD9146" w14:textId="77777777" w:rsidR="00896C78" w:rsidRDefault="00896C78" w:rsidP="0028463F">
            <w:pPr>
              <w:spacing w:before="100" w:after="100"/>
              <w:rPr>
                <w:rFonts w:cs="Arial"/>
                <w:color w:val="033636"/>
                <w:sz w:val="18"/>
                <w:szCs w:val="18"/>
              </w:rPr>
            </w:pPr>
            <w:r>
              <w:rPr>
                <w:rFonts w:cs="Arial"/>
                <w:color w:val="033636"/>
                <w:sz w:val="18"/>
                <w:szCs w:val="18"/>
              </w:rPr>
              <w:t>Discharge home</w:t>
            </w:r>
          </w:p>
        </w:tc>
        <w:tc>
          <w:tcPr>
            <w:tcW w:w="1293" w:type="dxa"/>
          </w:tcPr>
          <w:p w14:paraId="7C4B089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25 (56.8%)</w:t>
            </w:r>
          </w:p>
        </w:tc>
        <w:tc>
          <w:tcPr>
            <w:tcW w:w="1294" w:type="dxa"/>
          </w:tcPr>
          <w:p w14:paraId="6596553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145 (62.2%)</w:t>
            </w:r>
          </w:p>
        </w:tc>
        <w:tc>
          <w:tcPr>
            <w:tcW w:w="1293" w:type="dxa"/>
          </w:tcPr>
          <w:p w14:paraId="5350D5B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10 (66.7%)</w:t>
            </w:r>
          </w:p>
        </w:tc>
        <w:tc>
          <w:tcPr>
            <w:tcW w:w="1294" w:type="dxa"/>
          </w:tcPr>
          <w:p w14:paraId="5F2364B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30 (75.0%)</w:t>
            </w:r>
          </w:p>
        </w:tc>
        <w:tc>
          <w:tcPr>
            <w:tcW w:w="1293" w:type="dxa"/>
          </w:tcPr>
          <w:p w14:paraId="6BDB596E"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19 (73.1%)</w:t>
            </w:r>
          </w:p>
        </w:tc>
        <w:tc>
          <w:tcPr>
            <w:tcW w:w="1294" w:type="dxa"/>
          </w:tcPr>
          <w:p w14:paraId="5902BD75"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50 (78.1%)</w:t>
            </w:r>
          </w:p>
        </w:tc>
      </w:tr>
      <w:tr w:rsidR="00896C78" w:rsidRPr="006E24B1" w14:paraId="302E5527" w14:textId="77777777" w:rsidTr="002974BC">
        <w:trPr>
          <w:trHeight w:val="283"/>
        </w:trPr>
        <w:tc>
          <w:tcPr>
            <w:tcW w:w="1985" w:type="dxa"/>
          </w:tcPr>
          <w:p w14:paraId="6375FF9B" w14:textId="77777777" w:rsidR="00896C78" w:rsidRPr="001C47FE" w:rsidRDefault="00896C78" w:rsidP="0028463F">
            <w:pPr>
              <w:spacing w:before="100" w:after="100"/>
              <w:rPr>
                <w:rFonts w:cs="Arial"/>
                <w:color w:val="033636"/>
                <w:sz w:val="18"/>
                <w:szCs w:val="18"/>
              </w:rPr>
            </w:pPr>
            <w:r w:rsidRPr="001C47FE">
              <w:rPr>
                <w:rFonts w:cs="Arial"/>
                <w:color w:val="033636"/>
                <w:sz w:val="18"/>
                <w:szCs w:val="18"/>
              </w:rPr>
              <w:t>Death – intensive care†</w:t>
            </w:r>
          </w:p>
        </w:tc>
        <w:tc>
          <w:tcPr>
            <w:tcW w:w="1293" w:type="dxa"/>
          </w:tcPr>
          <w:p w14:paraId="40DBBC18"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4 (9.1%)</w:t>
            </w:r>
          </w:p>
        </w:tc>
        <w:tc>
          <w:tcPr>
            <w:tcW w:w="1294" w:type="dxa"/>
          </w:tcPr>
          <w:p w14:paraId="48CBB5F1"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21 (9.0%)</w:t>
            </w:r>
          </w:p>
        </w:tc>
        <w:tc>
          <w:tcPr>
            <w:tcW w:w="1293" w:type="dxa"/>
          </w:tcPr>
          <w:p w14:paraId="4A0FB47E"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(13.3%)</w:t>
            </w:r>
          </w:p>
        </w:tc>
        <w:tc>
          <w:tcPr>
            <w:tcW w:w="1294" w:type="dxa"/>
          </w:tcPr>
          <w:p w14:paraId="578C2CB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3 (7.5%)</w:t>
            </w:r>
          </w:p>
        </w:tc>
        <w:tc>
          <w:tcPr>
            <w:tcW w:w="1293" w:type="dxa"/>
          </w:tcPr>
          <w:p w14:paraId="379CA51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2 (7.7%)</w:t>
            </w:r>
          </w:p>
        </w:tc>
        <w:tc>
          <w:tcPr>
            <w:tcW w:w="1294" w:type="dxa"/>
          </w:tcPr>
          <w:p w14:paraId="0F75AB0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5 (7.8%)</w:t>
            </w:r>
          </w:p>
        </w:tc>
      </w:tr>
      <w:tr w:rsidR="00896C78" w:rsidRPr="006E24B1" w14:paraId="1820D579" w14:textId="77777777" w:rsidTr="002974BC">
        <w:trPr>
          <w:trHeight w:val="283"/>
        </w:trPr>
        <w:tc>
          <w:tcPr>
            <w:tcW w:w="1985" w:type="dxa"/>
          </w:tcPr>
          <w:p w14:paraId="7C858272" w14:textId="77777777" w:rsidR="00896C78" w:rsidRPr="001C47FE" w:rsidRDefault="00896C78" w:rsidP="0028463F">
            <w:pPr>
              <w:spacing w:before="100" w:after="100"/>
              <w:rPr>
                <w:rFonts w:cs="Arial"/>
                <w:color w:val="033636"/>
                <w:sz w:val="18"/>
                <w:szCs w:val="18"/>
              </w:rPr>
            </w:pPr>
            <w:r w:rsidRPr="001C47FE">
              <w:rPr>
                <w:rFonts w:cs="Arial"/>
                <w:color w:val="033636"/>
                <w:sz w:val="18"/>
                <w:szCs w:val="18"/>
              </w:rPr>
              <w:t>Death – hospital ward†</w:t>
            </w:r>
          </w:p>
        </w:tc>
        <w:tc>
          <w:tcPr>
            <w:tcW w:w="1293" w:type="dxa"/>
          </w:tcPr>
          <w:p w14:paraId="28EA41FB"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(2.3%)</w:t>
            </w:r>
          </w:p>
        </w:tc>
        <w:tc>
          <w:tcPr>
            <w:tcW w:w="1294" w:type="dxa"/>
          </w:tcPr>
          <w:p w14:paraId="3DF209AF"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9 (3.9%)</w:t>
            </w:r>
          </w:p>
        </w:tc>
        <w:tc>
          <w:tcPr>
            <w:tcW w:w="1293" w:type="dxa"/>
          </w:tcPr>
          <w:p w14:paraId="096A4DB4"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4E339EAC"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(2.5%)</w:t>
            </w:r>
          </w:p>
        </w:tc>
        <w:tc>
          <w:tcPr>
            <w:tcW w:w="1293" w:type="dxa"/>
          </w:tcPr>
          <w:p w14:paraId="2D5B13BD"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(3.8%)</w:t>
            </w:r>
          </w:p>
        </w:tc>
        <w:tc>
          <w:tcPr>
            <w:tcW w:w="1294" w:type="dxa"/>
          </w:tcPr>
          <w:p w14:paraId="1A10F8AD"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(1.6%)</w:t>
            </w:r>
          </w:p>
        </w:tc>
      </w:tr>
      <w:tr w:rsidR="00896C78" w:rsidRPr="006E24B1" w14:paraId="5D28E7FA" w14:textId="77777777" w:rsidTr="002974BC">
        <w:trPr>
          <w:trHeight w:val="283"/>
        </w:trPr>
        <w:tc>
          <w:tcPr>
            <w:tcW w:w="1985" w:type="dxa"/>
          </w:tcPr>
          <w:p w14:paraId="3EAA4784" w14:textId="77777777" w:rsidR="00896C78" w:rsidRPr="006E24B1" w:rsidRDefault="00896C78" w:rsidP="0028463F">
            <w:pPr>
              <w:spacing w:before="100" w:after="100"/>
              <w:rPr>
                <w:rFonts w:cs="Arial"/>
                <w:color w:val="033636"/>
                <w:sz w:val="18"/>
                <w:szCs w:val="18"/>
              </w:rPr>
            </w:pPr>
            <w:r>
              <w:rPr>
                <w:rFonts w:cs="Arial"/>
                <w:color w:val="033636"/>
                <w:sz w:val="18"/>
                <w:szCs w:val="18"/>
              </w:rPr>
              <w:t>Missing</w:t>
            </w:r>
            <w:r w:rsidRPr="001C47FE">
              <w:rPr>
                <w:rFonts w:cs="Arial"/>
                <w:color w:val="033636"/>
                <w:sz w:val="18"/>
                <w:szCs w:val="18"/>
              </w:rPr>
              <w:t>‡</w:t>
            </w:r>
          </w:p>
        </w:tc>
        <w:tc>
          <w:tcPr>
            <w:tcW w:w="1293" w:type="dxa"/>
          </w:tcPr>
          <w:p w14:paraId="25867483"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0 (0%)</w:t>
            </w:r>
          </w:p>
        </w:tc>
        <w:tc>
          <w:tcPr>
            <w:tcW w:w="1294" w:type="dxa"/>
          </w:tcPr>
          <w:p w14:paraId="32308C19" w14:textId="77777777" w:rsidR="00896C78" w:rsidRPr="003F0B4A" w:rsidRDefault="00896C78" w:rsidP="0028463F">
            <w:pPr>
              <w:spacing w:before="100" w:after="100"/>
              <w:jc w:val="right"/>
              <w:rPr>
                <w:rFonts w:eastAsia="Arial" w:cs="Arial"/>
                <w:color w:val="033636"/>
                <w:sz w:val="18"/>
                <w:szCs w:val="18"/>
              </w:rPr>
            </w:pPr>
            <w:r w:rsidRPr="003F0B4A">
              <w:rPr>
                <w:rFonts w:eastAsia="Arial" w:cs="Arial"/>
                <w:color w:val="033636"/>
                <w:sz w:val="18"/>
                <w:szCs w:val="18"/>
              </w:rPr>
              <w:t>1 (0.4%)</w:t>
            </w:r>
          </w:p>
        </w:tc>
        <w:tc>
          <w:tcPr>
            <w:tcW w:w="1293" w:type="dxa"/>
          </w:tcPr>
          <w:p w14:paraId="0B7B7201"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19D13874"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3" w:type="dxa"/>
          </w:tcPr>
          <w:p w14:paraId="0A6F7470"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c>
          <w:tcPr>
            <w:tcW w:w="1294" w:type="dxa"/>
          </w:tcPr>
          <w:p w14:paraId="70D2AC4D" w14:textId="77777777" w:rsidR="00896C78" w:rsidRPr="003F0B4A" w:rsidRDefault="00896C78" w:rsidP="0028463F">
            <w:pPr>
              <w:spacing w:before="100" w:after="100"/>
              <w:jc w:val="right"/>
              <w:rPr>
                <w:rFonts w:eastAsia="Arial" w:cs="Arial"/>
                <w:color w:val="033636"/>
                <w:sz w:val="18"/>
                <w:szCs w:val="18"/>
              </w:rPr>
            </w:pPr>
            <w:r>
              <w:rPr>
                <w:rFonts w:eastAsia="Arial" w:cs="Arial"/>
                <w:color w:val="033636"/>
                <w:sz w:val="18"/>
                <w:szCs w:val="18"/>
              </w:rPr>
              <w:t>–</w:t>
            </w:r>
          </w:p>
        </w:tc>
      </w:tr>
    </w:tbl>
    <w:p w14:paraId="61326F80" w14:textId="2F971E44" w:rsidR="00565FFB" w:rsidRDefault="00DE0360" w:rsidP="00694001">
      <w:pPr>
        <w:pStyle w:val="Smalltext"/>
      </w:pPr>
      <w:r>
        <w:t xml:space="preserve">Note: Includes </w:t>
      </w:r>
      <w:r w:rsidR="002F391C">
        <w:t>one</w:t>
      </w:r>
      <w:r>
        <w:t xml:space="preserve"> patient with viral co-infection of </w:t>
      </w:r>
      <w:r w:rsidR="003F0CA2" w:rsidRPr="003F0CA2">
        <w:t>SARS-CoV-2</w:t>
      </w:r>
      <w:r>
        <w:t xml:space="preserve">/influenza/RSV in the </w:t>
      </w:r>
      <w:r w:rsidR="00903342">
        <w:t xml:space="preserve">28-day </w:t>
      </w:r>
      <w:r>
        <w:t>severity reporting period and in the year to date for severity reporting.</w:t>
      </w:r>
      <w:r w:rsidR="000A54B0">
        <w:t xml:space="preserve">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xml:space="preserve">† </w:t>
      </w:r>
      <w:r w:rsidR="00A4392E">
        <w:t>Death may not necessarily represent a death due to the disease</w:t>
      </w:r>
      <w:r>
        <w:t>.</w:t>
      </w:r>
      <w:r>
        <w:br/>
        <w:t>‡ Patients who have been admitted to intensive care/hospital wards for more than 90 days with no discharge information have been treated as missing.</w:t>
      </w:r>
    </w:p>
    <w:p w14:paraId="1664742A" w14:textId="26D5237C" w:rsidR="00565FFB" w:rsidRDefault="0006572A" w:rsidP="00694001">
      <w:pPr>
        <w:pStyle w:val="Smalltext"/>
      </w:pPr>
      <w:r>
        <w:br/>
      </w:r>
    </w:p>
    <w:p w14:paraId="26C93A7D" w14:textId="77777777" w:rsidR="00565FFB" w:rsidRDefault="00DE0360">
      <w:pPr>
        <w:pStyle w:val="Heading3"/>
      </w:pPr>
      <w:bookmarkStart w:id="18" w:name="case-based-surveillance-1"/>
      <w:bookmarkEnd w:id="14"/>
      <w:bookmarkEnd w:id="17"/>
      <w:r>
        <w:lastRenderedPageBreak/>
        <w:t>2.2 Case-based surveillance</w:t>
      </w:r>
    </w:p>
    <w:p w14:paraId="10D58EFA" w14:textId="77777777" w:rsidR="00565FFB" w:rsidRDefault="00DE0360" w:rsidP="00CC4308">
      <w:pPr>
        <w:pStyle w:val="Heading4"/>
      </w:pPr>
      <w:bookmarkStart w:id="19" w:name="nndss-1"/>
      <w:r>
        <w:t>NNDSS</w:t>
      </w:r>
    </w:p>
    <w:p w14:paraId="5B11A656" w14:textId="77777777" w:rsidR="00024476" w:rsidRDefault="00D85AA4" w:rsidP="00024476">
      <w:r w:rsidRPr="00FB3AAE">
        <w:t>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w:t>
      </w:r>
      <w:r w:rsidRPr="00413355">
        <w:t xml:space="preserve"> the number of deaths associated with COVID-19, influenza or RSV reported to the NNDSS are likely an underestimate and do not represent the true mortality associated with these diseases. In the NNDSS, death notifications may not necessarily represent a death due to the disease and public health follow-up is not a requirement to determine the outcome of disease.</w:t>
      </w:r>
      <w:r>
        <w:t xml:space="preserve"> </w:t>
      </w:r>
      <w:r w:rsidRPr="00FB3AAE">
        <w:t xml:space="preserve">For more detail, please refer to reports and data considerations published by individual jurisdictions, or the </w:t>
      </w:r>
      <w:hyperlink r:id="rId39">
        <w:r w:rsidRPr="00FB3AAE">
          <w:rPr>
            <w:rStyle w:val="Hyperlink"/>
          </w:rPr>
          <w:t>Technical Supplement – Australian Respiratory Surveillance Report</w:t>
        </w:r>
      </w:hyperlink>
      <w:r w:rsidR="00024476" w:rsidRPr="00FB3AAE">
        <w:t>.</w:t>
      </w:r>
    </w:p>
    <w:p w14:paraId="41B1198D" w14:textId="2AFC963E" w:rsidR="00565FFB" w:rsidRDefault="00DE0360" w:rsidP="00720ECB">
      <w:pPr>
        <w:numPr>
          <w:ilvl w:val="0"/>
          <w:numId w:val="32"/>
        </w:numPr>
      </w:pPr>
      <w:r>
        <w:t>In the year to date for severity reporting (1 January to 24 March 2024), there have been 507 COVID-19</w:t>
      </w:r>
      <w:r w:rsidR="00543DA6">
        <w:t>-</w:t>
      </w:r>
      <w:r>
        <w:t>associated deaths notified to the NNDSS</w:t>
      </w:r>
      <w:r w:rsidR="00344449">
        <w:t xml:space="preserve"> (Table 3)</w:t>
      </w:r>
      <w:r>
        <w:t>.</w:t>
      </w:r>
    </w:p>
    <w:p w14:paraId="422DFE3B" w14:textId="33F662C5" w:rsidR="00565FFB" w:rsidRDefault="00DE0360" w:rsidP="00720ECB">
      <w:pPr>
        <w:numPr>
          <w:ilvl w:val="0"/>
          <w:numId w:val="32"/>
        </w:numPr>
      </w:pPr>
      <w:r>
        <w:t>In the year to date for severity reporting, there have been 31 influenza</w:t>
      </w:r>
      <w:r w:rsidR="00543DA6">
        <w:t>-</w:t>
      </w:r>
      <w:r>
        <w:t>associated deaths notified to the NNDSS</w:t>
      </w:r>
      <w:r w:rsidR="00344449">
        <w:t xml:space="preserve"> (Table 3)</w:t>
      </w:r>
      <w:r>
        <w:t>.</w:t>
      </w:r>
    </w:p>
    <w:p w14:paraId="797EE643" w14:textId="716A2666" w:rsidR="00565FFB" w:rsidRDefault="00DE0360" w:rsidP="00720ECB">
      <w:pPr>
        <w:numPr>
          <w:ilvl w:val="1"/>
          <w:numId w:val="33"/>
        </w:numPr>
      </w:pPr>
      <w:r>
        <w:t>Of the influenza</w:t>
      </w:r>
      <w:r w:rsidR="00543DA6">
        <w:t>-</w:t>
      </w:r>
      <w:r>
        <w:t>associated deaths, 90</w:t>
      </w:r>
      <w:r w:rsidR="00F47488">
        <w:t>.3</w:t>
      </w:r>
      <w:r>
        <w:t>% (28/31) have been attributed to influenza A(</w:t>
      </w:r>
      <w:r w:rsidR="00F47488">
        <w:t>U</w:t>
      </w:r>
      <w:r>
        <w:t>nsubtyped),</w:t>
      </w:r>
      <w:r w:rsidR="00F47488">
        <w:t xml:space="preserve"> </w:t>
      </w:r>
      <w:r>
        <w:t>3</w:t>
      </w:r>
      <w:r w:rsidR="00333BF6">
        <w:t>.2</w:t>
      </w:r>
      <w:r>
        <w:t>% (1/31) to influenza A(H1N1), 3</w:t>
      </w:r>
      <w:r w:rsidR="00333BF6">
        <w:t>.2</w:t>
      </w:r>
      <w:r>
        <w:t>% (1/31) to influenza A(H3N2),</w:t>
      </w:r>
      <w:r w:rsidR="00FC5487">
        <w:t xml:space="preserve"> and</w:t>
      </w:r>
      <w:r>
        <w:t xml:space="preserve"> 3</w:t>
      </w:r>
      <w:r w:rsidR="00333BF6">
        <w:t>.2</w:t>
      </w:r>
      <w:r>
        <w:t>% (1/31) to influenza untyped.</w:t>
      </w:r>
      <w:r w:rsidR="12471E85">
        <w:t xml:space="preserve"> </w:t>
      </w:r>
    </w:p>
    <w:p w14:paraId="14548776" w14:textId="29E70C21" w:rsidR="00565FFB" w:rsidRDefault="00DE0360" w:rsidP="00720ECB">
      <w:pPr>
        <w:numPr>
          <w:ilvl w:val="0"/>
          <w:numId w:val="32"/>
        </w:numPr>
      </w:pPr>
      <w:r>
        <w:t>In the year to date for severity reporting, there have been 14 RSV</w:t>
      </w:r>
      <w:r w:rsidR="00543DA6">
        <w:t>-</w:t>
      </w:r>
      <w:r>
        <w:t>associated deaths notified to the NNDSS</w:t>
      </w:r>
      <w:r w:rsidR="00344449">
        <w:t xml:space="preserve"> (Table 3)</w:t>
      </w:r>
      <w:r>
        <w:t>.</w:t>
      </w:r>
    </w:p>
    <w:p w14:paraId="057582A8" w14:textId="77777777" w:rsidR="00AE6C16" w:rsidRPr="00C46FE6" w:rsidRDefault="00AE6C16" w:rsidP="00C46FE6">
      <w:pPr>
        <w:rPr>
          <w:b/>
        </w:rPr>
      </w:pPr>
      <w:r w:rsidRPr="00C46FE6">
        <w:rPr>
          <w:b/>
        </w:rPr>
        <w:t>Table 3: Notifications of deaths to the NNDSS and mortality rates per 100,000 population by disease and ten-year age groups*</w:t>
      </w:r>
      <w:r w:rsidRPr="00C46FE6">
        <w:rPr>
          <w:b/>
          <w:vertAlign w:val="superscript"/>
        </w:rPr>
        <w:t>†</w:t>
      </w:r>
      <w:r w:rsidRPr="00C46FE6">
        <w:rPr>
          <w:b/>
        </w:rPr>
        <w:t>, Australia, 1 January to 24 March 2024</w:t>
      </w:r>
    </w:p>
    <w:tbl>
      <w:tblPr>
        <w:tblStyle w:val="DepartmentofHealthtable"/>
        <w:tblW w:w="5000" w:type="pct"/>
        <w:tblLook w:val="04A0" w:firstRow="1" w:lastRow="0" w:firstColumn="1" w:lastColumn="0" w:noHBand="0" w:noVBand="1"/>
        <w:tblDescription w:val="A table shows the number of COVID-19, influenza and RSV cases who have died and were notified to the NNDSS, with diagnosis date between 1 January and 24 March 2024 and mortality rates per 100,000 population by ten-year age group in years (0–9, 10–19, 20–29, 30–39, 40–49, 50–59, 60–69, 70+). In 2024 to date, there have been 507 COVID-19, 31 influenza, and 14 RSV-associated deaths notified to the NNDSS. The highest mortality rates per 100,000 population were among those aged 70 years or above across the three diseases (1.9 notifications per 100,000 population for COVID-19-associated deaths, 0.1 notifications per 100,000 population for influenza-associated deaths and 0.1 notifications per 100,000 population for RSV-associated deaths). Note, to reduce the risk of re-identification, primary cell suppression has been applied to table cells with a value of &lt; 5. Cell suppression has not been applied to total cells."/>
      </w:tblPr>
      <w:tblGrid>
        <w:gridCol w:w="1746"/>
        <w:gridCol w:w="1330"/>
        <w:gridCol w:w="1332"/>
        <w:gridCol w:w="6"/>
        <w:gridCol w:w="1324"/>
        <w:gridCol w:w="1332"/>
        <w:gridCol w:w="12"/>
        <w:gridCol w:w="1318"/>
        <w:gridCol w:w="1332"/>
        <w:gridCol w:w="20"/>
      </w:tblGrid>
      <w:tr w:rsidR="002974BC" w:rsidRPr="002974BC" w14:paraId="5DE81378" w14:textId="77777777" w:rsidTr="002974BC">
        <w:trPr>
          <w:cnfStyle w:val="100000000000" w:firstRow="1" w:lastRow="0" w:firstColumn="0" w:lastColumn="0" w:oddVBand="0" w:evenVBand="0" w:oddHBand="0" w:evenHBand="0" w:firstRowFirstColumn="0" w:firstRowLastColumn="0" w:lastRowFirstColumn="0" w:lastRowLastColumn="0"/>
        </w:trPr>
        <w:tc>
          <w:tcPr>
            <w:tcW w:w="895" w:type="pct"/>
          </w:tcPr>
          <w:p w14:paraId="08220DD9" w14:textId="77777777" w:rsidR="00AE6C16" w:rsidRPr="002974BC" w:rsidRDefault="00AE6C16" w:rsidP="00E77E9F">
            <w:pPr>
              <w:spacing w:before="100" w:after="100"/>
              <w:rPr>
                <w:rFonts w:cs="Arial"/>
                <w:b w:val="0"/>
                <w:sz w:val="18"/>
                <w:szCs w:val="18"/>
              </w:rPr>
            </w:pPr>
          </w:p>
        </w:tc>
        <w:tc>
          <w:tcPr>
            <w:tcW w:w="1368" w:type="pct"/>
            <w:gridSpan w:val="3"/>
          </w:tcPr>
          <w:p w14:paraId="1D79F4C2" w14:textId="77777777" w:rsidR="00AE6C16" w:rsidRPr="002974BC" w:rsidRDefault="00AE6C16" w:rsidP="00E77E9F">
            <w:pPr>
              <w:spacing w:before="100" w:after="100"/>
              <w:jc w:val="center"/>
              <w:rPr>
                <w:rFonts w:cs="Arial"/>
                <w:b w:val="0"/>
                <w:sz w:val="18"/>
                <w:szCs w:val="18"/>
              </w:rPr>
            </w:pPr>
            <w:r w:rsidRPr="002974BC">
              <w:rPr>
                <w:rFonts w:cs="Arial"/>
                <w:sz w:val="18"/>
                <w:szCs w:val="18"/>
              </w:rPr>
              <w:t>COVID-19</w:t>
            </w:r>
          </w:p>
        </w:tc>
        <w:tc>
          <w:tcPr>
            <w:tcW w:w="1368" w:type="pct"/>
            <w:gridSpan w:val="3"/>
          </w:tcPr>
          <w:p w14:paraId="6AAF6F6B" w14:textId="77777777" w:rsidR="00AE6C16" w:rsidRPr="002974BC" w:rsidRDefault="00AE6C16" w:rsidP="00E77E9F">
            <w:pPr>
              <w:spacing w:before="100" w:after="100"/>
              <w:jc w:val="center"/>
              <w:rPr>
                <w:rFonts w:cs="Arial"/>
                <w:b w:val="0"/>
                <w:sz w:val="18"/>
                <w:szCs w:val="18"/>
              </w:rPr>
            </w:pPr>
            <w:r w:rsidRPr="002974BC">
              <w:rPr>
                <w:rFonts w:cs="Arial"/>
                <w:sz w:val="18"/>
                <w:szCs w:val="18"/>
              </w:rPr>
              <w:t>Influenza</w:t>
            </w:r>
          </w:p>
        </w:tc>
        <w:tc>
          <w:tcPr>
            <w:tcW w:w="1369" w:type="pct"/>
            <w:gridSpan w:val="3"/>
          </w:tcPr>
          <w:p w14:paraId="67525DDF" w14:textId="77777777" w:rsidR="00AE6C16" w:rsidRPr="002974BC" w:rsidRDefault="00AE6C16" w:rsidP="00E77E9F">
            <w:pPr>
              <w:spacing w:before="100" w:after="100"/>
              <w:jc w:val="center"/>
              <w:rPr>
                <w:rFonts w:cs="Arial"/>
                <w:b w:val="0"/>
                <w:sz w:val="18"/>
                <w:szCs w:val="18"/>
              </w:rPr>
            </w:pPr>
            <w:r w:rsidRPr="002974BC">
              <w:rPr>
                <w:rFonts w:cs="Arial"/>
                <w:sz w:val="18"/>
                <w:szCs w:val="18"/>
              </w:rPr>
              <w:t>RSV</w:t>
            </w:r>
          </w:p>
        </w:tc>
      </w:tr>
      <w:tr w:rsidR="002974BC" w:rsidRPr="002974BC" w14:paraId="22ACBD5D" w14:textId="77777777" w:rsidTr="009B7E15">
        <w:trPr>
          <w:gridAfter w:val="1"/>
          <w:wAfter w:w="20" w:type="dxa"/>
        </w:trPr>
        <w:tc>
          <w:tcPr>
            <w:tcW w:w="895" w:type="pct"/>
            <w:shd w:val="clear" w:color="auto" w:fill="00DCA1" w:themeFill="background1"/>
          </w:tcPr>
          <w:p w14:paraId="2B3FCC2B" w14:textId="77777777" w:rsidR="00AE6C16" w:rsidRPr="002974BC" w:rsidRDefault="00AE6C16" w:rsidP="00E77E9F">
            <w:pPr>
              <w:spacing w:before="100" w:after="100"/>
              <w:rPr>
                <w:rFonts w:cs="Arial"/>
                <w:b/>
                <w:sz w:val="18"/>
                <w:szCs w:val="18"/>
              </w:rPr>
            </w:pPr>
          </w:p>
        </w:tc>
        <w:tc>
          <w:tcPr>
            <w:tcW w:w="682" w:type="pct"/>
            <w:tcBorders>
              <w:top w:val="single" w:sz="8" w:space="0" w:color="27F3F3" w:themeColor="text1" w:themeTint="80"/>
              <w:bottom w:val="single" w:sz="8" w:space="0" w:color="27F3F3" w:themeColor="text1" w:themeTint="80"/>
            </w:tcBorders>
            <w:shd w:val="clear" w:color="auto" w:fill="00DCA1" w:themeFill="background1"/>
          </w:tcPr>
          <w:p w14:paraId="498864D6"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 xml:space="preserve">Year to date </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10915012"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31B96C5A"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Year to date</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317E79CF"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c>
          <w:tcPr>
            <w:tcW w:w="682" w:type="pct"/>
            <w:gridSpan w:val="2"/>
            <w:tcBorders>
              <w:top w:val="single" w:sz="8" w:space="0" w:color="27F3F3" w:themeColor="text1" w:themeTint="80"/>
              <w:bottom w:val="single" w:sz="8" w:space="0" w:color="27F3F3" w:themeColor="text1" w:themeTint="80"/>
            </w:tcBorders>
            <w:shd w:val="clear" w:color="auto" w:fill="00DCA1" w:themeFill="background1"/>
          </w:tcPr>
          <w:p w14:paraId="5C13CE1E" w14:textId="77777777" w:rsidR="00AE6C16" w:rsidRPr="002974BC" w:rsidRDefault="00AE6C16" w:rsidP="00E77E9F">
            <w:pPr>
              <w:spacing w:before="100" w:after="100"/>
              <w:jc w:val="right"/>
              <w:rPr>
                <w:rFonts w:cs="Arial"/>
                <w:b/>
                <w:bCs/>
                <w:sz w:val="14"/>
                <w:szCs w:val="14"/>
              </w:rPr>
            </w:pPr>
            <w:r w:rsidRPr="002974BC">
              <w:rPr>
                <w:rFonts w:cs="Arial"/>
                <w:b/>
                <w:sz w:val="14"/>
                <w:szCs w:val="14"/>
                <w:lang w:val="en-GB"/>
              </w:rPr>
              <w:t>Year to date</w:t>
            </w:r>
            <w:r w:rsidRPr="002974BC">
              <w:rPr>
                <w:rFonts w:cs="Arial"/>
                <w:b/>
                <w:sz w:val="14"/>
                <w:szCs w:val="14"/>
                <w:lang w:val="en-GB"/>
              </w:rPr>
              <w:br/>
              <w:t>(n) </w:t>
            </w:r>
          </w:p>
        </w:tc>
        <w:tc>
          <w:tcPr>
            <w:tcW w:w="683" w:type="pct"/>
            <w:tcBorders>
              <w:top w:val="single" w:sz="8" w:space="0" w:color="27F3F3" w:themeColor="text1" w:themeTint="80"/>
              <w:bottom w:val="single" w:sz="8" w:space="0" w:color="27F3F3" w:themeColor="text1" w:themeTint="80"/>
            </w:tcBorders>
            <w:shd w:val="clear" w:color="auto" w:fill="00DCA1" w:themeFill="background1"/>
          </w:tcPr>
          <w:p w14:paraId="7ED73F85" w14:textId="77777777" w:rsidR="00AE6C16" w:rsidRPr="002974BC" w:rsidRDefault="00AE6C16" w:rsidP="00E77E9F">
            <w:pPr>
              <w:spacing w:before="100" w:after="100"/>
              <w:jc w:val="right"/>
              <w:rPr>
                <w:rFonts w:cs="Arial"/>
                <w:b/>
                <w:bCs/>
                <w:sz w:val="14"/>
                <w:szCs w:val="14"/>
              </w:rPr>
            </w:pPr>
            <w:r w:rsidRPr="002974BC">
              <w:rPr>
                <w:rFonts w:cs="Arial"/>
                <w:b/>
                <w:sz w:val="14"/>
                <w:szCs w:val="14"/>
              </w:rPr>
              <w:t>Year to date</w:t>
            </w:r>
            <w:r w:rsidRPr="002974BC">
              <w:rPr>
                <w:rFonts w:cs="Arial"/>
                <w:b/>
                <w:sz w:val="14"/>
                <w:szCs w:val="14"/>
              </w:rPr>
              <w:br/>
              <w:t>(rate)</w:t>
            </w:r>
          </w:p>
        </w:tc>
      </w:tr>
      <w:tr w:rsidR="00AE6C16" w:rsidRPr="00046F69" w14:paraId="3177BA74" w14:textId="77777777" w:rsidTr="002974BC">
        <w:trPr>
          <w:gridAfter w:val="1"/>
          <w:wAfter w:w="20" w:type="dxa"/>
        </w:trPr>
        <w:tc>
          <w:tcPr>
            <w:tcW w:w="4990" w:type="pct"/>
            <w:gridSpan w:val="9"/>
            <w:shd w:val="clear" w:color="auto" w:fill="00DCA1" w:themeFill="background1"/>
          </w:tcPr>
          <w:p w14:paraId="57E96FED" w14:textId="77777777" w:rsidR="00AE6C16" w:rsidRPr="00046F69" w:rsidRDefault="00AE6C16" w:rsidP="00E77E9F">
            <w:pPr>
              <w:spacing w:before="100" w:after="100"/>
              <w:rPr>
                <w:rFonts w:cs="Arial"/>
                <w:b/>
                <w:color w:val="033636"/>
                <w:sz w:val="18"/>
                <w:szCs w:val="18"/>
              </w:rPr>
            </w:pPr>
            <w:r w:rsidRPr="00046F69">
              <w:rPr>
                <w:rFonts w:cs="Arial"/>
                <w:b/>
                <w:color w:val="033636"/>
                <w:sz w:val="18"/>
                <w:szCs w:val="18"/>
              </w:rPr>
              <w:t>Age group (years)</w:t>
            </w:r>
          </w:p>
        </w:tc>
      </w:tr>
      <w:tr w:rsidR="00AE6C16" w:rsidRPr="00046F69" w14:paraId="37C2630E" w14:textId="77777777" w:rsidTr="002974BC">
        <w:trPr>
          <w:gridAfter w:val="1"/>
          <w:wAfter w:w="20" w:type="dxa"/>
        </w:trPr>
        <w:tc>
          <w:tcPr>
            <w:tcW w:w="895" w:type="pct"/>
          </w:tcPr>
          <w:p w14:paraId="5938C86F"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0–9</w:t>
            </w:r>
          </w:p>
        </w:tc>
        <w:tc>
          <w:tcPr>
            <w:tcW w:w="682" w:type="pct"/>
          </w:tcPr>
          <w:p w14:paraId="726E316C" w14:textId="77777777" w:rsidR="00AE6C16" w:rsidRPr="004339D8" w:rsidRDefault="00AE6C16" w:rsidP="00E77E9F">
            <w:pPr>
              <w:spacing w:before="100" w:after="100"/>
              <w:jc w:val="right"/>
              <w:rPr>
                <w:rFonts w:cs="Arial"/>
                <w:sz w:val="18"/>
                <w:szCs w:val="18"/>
              </w:rPr>
            </w:pPr>
            <w:r>
              <w:rPr>
                <w:rFonts w:eastAsia="Arial" w:cs="Arial"/>
                <w:sz w:val="18"/>
                <w:szCs w:val="18"/>
              </w:rPr>
              <w:t>–</w:t>
            </w:r>
          </w:p>
        </w:tc>
        <w:tc>
          <w:tcPr>
            <w:tcW w:w="683" w:type="pct"/>
          </w:tcPr>
          <w:p w14:paraId="086AFA0B"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2" w:type="pct"/>
            <w:gridSpan w:val="2"/>
          </w:tcPr>
          <w:p w14:paraId="0B072A94"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3" w:type="pct"/>
          </w:tcPr>
          <w:p w14:paraId="2CF9142F"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2" w:type="pct"/>
            <w:gridSpan w:val="2"/>
          </w:tcPr>
          <w:p w14:paraId="6A880D30"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c>
          <w:tcPr>
            <w:tcW w:w="683" w:type="pct"/>
          </w:tcPr>
          <w:p w14:paraId="006EDA89" w14:textId="77777777" w:rsidR="00AE6C16" w:rsidRPr="004339D8" w:rsidRDefault="00AE6C16" w:rsidP="00E77E9F">
            <w:pPr>
              <w:spacing w:before="100" w:after="100"/>
              <w:jc w:val="right"/>
              <w:rPr>
                <w:rFonts w:cs="Arial"/>
                <w:sz w:val="18"/>
                <w:szCs w:val="18"/>
              </w:rPr>
            </w:pPr>
            <w:r w:rsidRPr="009450C6">
              <w:rPr>
                <w:rFonts w:eastAsia="Arial" w:cs="Arial"/>
                <w:sz w:val="18"/>
                <w:szCs w:val="18"/>
              </w:rPr>
              <w:t>–</w:t>
            </w:r>
          </w:p>
        </w:tc>
      </w:tr>
      <w:tr w:rsidR="00AE6C16" w:rsidRPr="00046F69" w14:paraId="33B8CE10" w14:textId="77777777" w:rsidTr="002974BC">
        <w:trPr>
          <w:gridAfter w:val="1"/>
          <w:wAfter w:w="20" w:type="dxa"/>
        </w:trPr>
        <w:tc>
          <w:tcPr>
            <w:tcW w:w="895" w:type="pct"/>
          </w:tcPr>
          <w:p w14:paraId="375EED26" w14:textId="77777777" w:rsidR="00AE6C16" w:rsidRPr="00046F69" w:rsidRDefault="00AE6C16" w:rsidP="00E77E9F">
            <w:pPr>
              <w:spacing w:before="100" w:after="100"/>
              <w:rPr>
                <w:rFonts w:eastAsia="Yu Gothic Light" w:cs="Arial"/>
                <w:color w:val="033636"/>
                <w:sz w:val="18"/>
                <w:szCs w:val="18"/>
              </w:rPr>
            </w:pPr>
            <w:r w:rsidRPr="00046F69">
              <w:rPr>
                <w:rFonts w:eastAsia="Yu Gothic Light" w:cs="Arial"/>
                <w:color w:val="033636"/>
                <w:sz w:val="18"/>
                <w:szCs w:val="18"/>
              </w:rPr>
              <w:t>10–19</w:t>
            </w:r>
          </w:p>
        </w:tc>
        <w:tc>
          <w:tcPr>
            <w:tcW w:w="682" w:type="pct"/>
          </w:tcPr>
          <w:p w14:paraId="4FBCA0AC"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126CC678"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2" w:type="pct"/>
            <w:gridSpan w:val="2"/>
          </w:tcPr>
          <w:p w14:paraId="7206B737"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06AFC014"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2" w:type="pct"/>
            <w:gridSpan w:val="2"/>
          </w:tcPr>
          <w:p w14:paraId="1F6885ED"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c>
          <w:tcPr>
            <w:tcW w:w="683" w:type="pct"/>
          </w:tcPr>
          <w:p w14:paraId="07E69397" w14:textId="77777777" w:rsidR="00AE6C16" w:rsidRPr="004339D8" w:rsidRDefault="00AE6C16" w:rsidP="00E77E9F">
            <w:pPr>
              <w:spacing w:before="100" w:after="100"/>
              <w:jc w:val="right"/>
              <w:rPr>
                <w:rFonts w:cs="Arial"/>
                <w:color w:val="033636"/>
                <w:sz w:val="18"/>
                <w:szCs w:val="18"/>
              </w:rPr>
            </w:pPr>
            <w:r w:rsidRPr="000A7E1E">
              <w:rPr>
                <w:rFonts w:eastAsia="Arial" w:cs="Arial"/>
                <w:sz w:val="18"/>
                <w:szCs w:val="18"/>
              </w:rPr>
              <w:t>–</w:t>
            </w:r>
          </w:p>
        </w:tc>
      </w:tr>
      <w:tr w:rsidR="00AE6C16" w:rsidRPr="00046F69" w14:paraId="16CF6514" w14:textId="77777777" w:rsidTr="002974BC">
        <w:trPr>
          <w:gridAfter w:val="1"/>
          <w:wAfter w:w="20" w:type="dxa"/>
        </w:trPr>
        <w:tc>
          <w:tcPr>
            <w:tcW w:w="895" w:type="pct"/>
          </w:tcPr>
          <w:p w14:paraId="53C61D38" w14:textId="77777777" w:rsidR="00AE6C16" w:rsidRPr="00046F69" w:rsidRDefault="00AE6C16" w:rsidP="00E77E9F">
            <w:pPr>
              <w:spacing w:before="100" w:after="100"/>
              <w:rPr>
                <w:rFonts w:eastAsia="Yu Gothic Light" w:cs="Arial"/>
                <w:color w:val="033636"/>
                <w:sz w:val="18"/>
                <w:szCs w:val="18"/>
              </w:rPr>
            </w:pPr>
            <w:r w:rsidRPr="00046F69">
              <w:rPr>
                <w:rFonts w:eastAsia="Yu Gothic Light" w:cs="Arial"/>
                <w:color w:val="033636"/>
                <w:sz w:val="18"/>
                <w:szCs w:val="18"/>
              </w:rPr>
              <w:t>20–29</w:t>
            </w:r>
          </w:p>
        </w:tc>
        <w:tc>
          <w:tcPr>
            <w:tcW w:w="682" w:type="pct"/>
          </w:tcPr>
          <w:p w14:paraId="725BCC46"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46B89EF4"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2" w:type="pct"/>
            <w:gridSpan w:val="2"/>
          </w:tcPr>
          <w:p w14:paraId="33B6C47E"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059CE50D"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2" w:type="pct"/>
            <w:gridSpan w:val="2"/>
          </w:tcPr>
          <w:p w14:paraId="6F0BDDF0"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c>
          <w:tcPr>
            <w:tcW w:w="683" w:type="pct"/>
          </w:tcPr>
          <w:p w14:paraId="354E4590" w14:textId="77777777" w:rsidR="00AE6C16" w:rsidRPr="004339D8" w:rsidRDefault="00AE6C16" w:rsidP="00E77E9F">
            <w:pPr>
              <w:spacing w:before="100" w:after="100"/>
              <w:jc w:val="right"/>
              <w:rPr>
                <w:rFonts w:cs="Arial"/>
                <w:sz w:val="18"/>
                <w:szCs w:val="18"/>
              </w:rPr>
            </w:pPr>
            <w:r w:rsidRPr="00AF1E2C">
              <w:rPr>
                <w:rFonts w:eastAsia="Arial" w:cs="Arial"/>
                <w:sz w:val="18"/>
                <w:szCs w:val="18"/>
              </w:rPr>
              <w:t>–</w:t>
            </w:r>
          </w:p>
        </w:tc>
      </w:tr>
      <w:tr w:rsidR="00AE6C16" w:rsidRPr="00046F69" w14:paraId="2919424F" w14:textId="77777777" w:rsidTr="002974BC">
        <w:trPr>
          <w:gridAfter w:val="1"/>
          <w:wAfter w:w="20" w:type="dxa"/>
        </w:trPr>
        <w:tc>
          <w:tcPr>
            <w:tcW w:w="895" w:type="pct"/>
          </w:tcPr>
          <w:p w14:paraId="2D6579D9"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30–39</w:t>
            </w:r>
            <w:r w:rsidRPr="00046F69">
              <w:rPr>
                <w:rFonts w:cs="Arial"/>
                <w:color w:val="033636"/>
                <w:sz w:val="18"/>
                <w:szCs w:val="18"/>
              </w:rPr>
              <w:t> </w:t>
            </w:r>
          </w:p>
        </w:tc>
        <w:tc>
          <w:tcPr>
            <w:tcW w:w="682" w:type="pct"/>
          </w:tcPr>
          <w:p w14:paraId="29003B8C"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6</w:t>
            </w:r>
          </w:p>
        </w:tc>
        <w:tc>
          <w:tcPr>
            <w:tcW w:w="683" w:type="pct"/>
          </w:tcPr>
          <w:p w14:paraId="08F928CE"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0.2</w:t>
            </w:r>
          </w:p>
        </w:tc>
        <w:tc>
          <w:tcPr>
            <w:tcW w:w="682" w:type="pct"/>
            <w:gridSpan w:val="2"/>
          </w:tcPr>
          <w:p w14:paraId="599F0A20"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3" w:type="pct"/>
          </w:tcPr>
          <w:p w14:paraId="45545CAB"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2" w:type="pct"/>
            <w:gridSpan w:val="2"/>
          </w:tcPr>
          <w:p w14:paraId="5073ED4D"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c>
          <w:tcPr>
            <w:tcW w:w="683" w:type="pct"/>
          </w:tcPr>
          <w:p w14:paraId="0A63935E" w14:textId="77777777" w:rsidR="00AE6C16" w:rsidRPr="004339D8" w:rsidRDefault="00AE6C16" w:rsidP="00E77E9F">
            <w:pPr>
              <w:spacing w:before="100" w:after="100"/>
              <w:jc w:val="right"/>
              <w:rPr>
                <w:rFonts w:cs="Arial"/>
                <w:sz w:val="18"/>
                <w:szCs w:val="18"/>
              </w:rPr>
            </w:pPr>
            <w:r w:rsidRPr="00A40F3A">
              <w:rPr>
                <w:rFonts w:eastAsia="Arial" w:cs="Arial"/>
                <w:sz w:val="18"/>
                <w:szCs w:val="18"/>
              </w:rPr>
              <w:t>–</w:t>
            </w:r>
          </w:p>
        </w:tc>
      </w:tr>
      <w:tr w:rsidR="00AE6C16" w:rsidRPr="00046F69" w14:paraId="4879818A" w14:textId="77777777" w:rsidTr="002974BC">
        <w:trPr>
          <w:gridAfter w:val="1"/>
          <w:wAfter w:w="20" w:type="dxa"/>
        </w:trPr>
        <w:tc>
          <w:tcPr>
            <w:tcW w:w="895" w:type="pct"/>
          </w:tcPr>
          <w:p w14:paraId="49119D47"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40–49</w:t>
            </w:r>
            <w:r w:rsidRPr="00046F69">
              <w:rPr>
                <w:rFonts w:cs="Arial"/>
                <w:color w:val="033636"/>
                <w:sz w:val="18"/>
                <w:szCs w:val="18"/>
              </w:rPr>
              <w:t> </w:t>
            </w:r>
          </w:p>
        </w:tc>
        <w:tc>
          <w:tcPr>
            <w:tcW w:w="682" w:type="pct"/>
          </w:tcPr>
          <w:p w14:paraId="43CB78B2"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6</w:t>
            </w:r>
          </w:p>
        </w:tc>
        <w:tc>
          <w:tcPr>
            <w:tcW w:w="683" w:type="pct"/>
          </w:tcPr>
          <w:p w14:paraId="6FE21E93"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0.2</w:t>
            </w:r>
          </w:p>
        </w:tc>
        <w:tc>
          <w:tcPr>
            <w:tcW w:w="682" w:type="pct"/>
            <w:gridSpan w:val="2"/>
          </w:tcPr>
          <w:p w14:paraId="50BBEC68"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3" w:type="pct"/>
          </w:tcPr>
          <w:p w14:paraId="54692720"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2" w:type="pct"/>
            <w:gridSpan w:val="2"/>
          </w:tcPr>
          <w:p w14:paraId="610ECC31"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c>
          <w:tcPr>
            <w:tcW w:w="683" w:type="pct"/>
          </w:tcPr>
          <w:p w14:paraId="0FBC5E47" w14:textId="77777777" w:rsidR="00AE6C16" w:rsidRPr="004339D8" w:rsidRDefault="00AE6C16" w:rsidP="00E77E9F">
            <w:pPr>
              <w:spacing w:before="100" w:after="100"/>
              <w:jc w:val="right"/>
              <w:rPr>
                <w:rFonts w:cs="Arial"/>
                <w:sz w:val="18"/>
                <w:szCs w:val="18"/>
              </w:rPr>
            </w:pPr>
            <w:r w:rsidRPr="00E0753A">
              <w:rPr>
                <w:rFonts w:eastAsia="Arial" w:cs="Arial"/>
                <w:sz w:val="18"/>
                <w:szCs w:val="18"/>
              </w:rPr>
              <w:t>–</w:t>
            </w:r>
          </w:p>
        </w:tc>
      </w:tr>
      <w:tr w:rsidR="00AE6C16" w:rsidRPr="00046F69" w14:paraId="699D752E" w14:textId="77777777" w:rsidTr="002974BC">
        <w:trPr>
          <w:gridAfter w:val="1"/>
          <w:wAfter w:w="20" w:type="dxa"/>
        </w:trPr>
        <w:tc>
          <w:tcPr>
            <w:tcW w:w="895" w:type="pct"/>
          </w:tcPr>
          <w:p w14:paraId="786B6A5D"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50–59</w:t>
            </w:r>
          </w:p>
        </w:tc>
        <w:tc>
          <w:tcPr>
            <w:tcW w:w="682" w:type="pct"/>
          </w:tcPr>
          <w:p w14:paraId="4BDC6CD1"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13</w:t>
            </w:r>
          </w:p>
        </w:tc>
        <w:tc>
          <w:tcPr>
            <w:tcW w:w="683" w:type="pct"/>
          </w:tcPr>
          <w:p w14:paraId="624771A7"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0.4</w:t>
            </w:r>
          </w:p>
        </w:tc>
        <w:tc>
          <w:tcPr>
            <w:tcW w:w="682" w:type="pct"/>
            <w:gridSpan w:val="2"/>
          </w:tcPr>
          <w:p w14:paraId="69E00ACD"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3" w:type="pct"/>
          </w:tcPr>
          <w:p w14:paraId="530B5355"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2" w:type="pct"/>
            <w:gridSpan w:val="2"/>
          </w:tcPr>
          <w:p w14:paraId="7488BD31"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c>
          <w:tcPr>
            <w:tcW w:w="683" w:type="pct"/>
          </w:tcPr>
          <w:p w14:paraId="3CCEEE6C" w14:textId="77777777" w:rsidR="00AE6C16" w:rsidRPr="004339D8" w:rsidRDefault="00AE6C16" w:rsidP="00E77E9F">
            <w:pPr>
              <w:spacing w:before="100" w:after="100"/>
              <w:jc w:val="right"/>
              <w:rPr>
                <w:rFonts w:cs="Arial"/>
                <w:sz w:val="18"/>
                <w:szCs w:val="18"/>
              </w:rPr>
            </w:pPr>
            <w:r w:rsidRPr="00465FE2">
              <w:rPr>
                <w:rFonts w:eastAsia="Arial" w:cs="Arial"/>
                <w:sz w:val="18"/>
                <w:szCs w:val="18"/>
              </w:rPr>
              <w:t>–</w:t>
            </w:r>
          </w:p>
        </w:tc>
      </w:tr>
      <w:tr w:rsidR="00AE6C16" w:rsidRPr="00046F69" w14:paraId="29BD7636" w14:textId="77777777" w:rsidTr="002974BC">
        <w:trPr>
          <w:gridAfter w:val="1"/>
          <w:wAfter w:w="20" w:type="dxa"/>
        </w:trPr>
        <w:tc>
          <w:tcPr>
            <w:tcW w:w="895" w:type="pct"/>
          </w:tcPr>
          <w:p w14:paraId="58A55EA5"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60–69</w:t>
            </w:r>
          </w:p>
        </w:tc>
        <w:tc>
          <w:tcPr>
            <w:tcW w:w="682" w:type="pct"/>
          </w:tcPr>
          <w:p w14:paraId="5B2CC039"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41</w:t>
            </w:r>
          </w:p>
        </w:tc>
        <w:tc>
          <w:tcPr>
            <w:tcW w:w="683" w:type="pct"/>
          </w:tcPr>
          <w:p w14:paraId="5ED73434"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1.4</w:t>
            </w:r>
          </w:p>
        </w:tc>
        <w:tc>
          <w:tcPr>
            <w:tcW w:w="682" w:type="pct"/>
            <w:gridSpan w:val="2"/>
          </w:tcPr>
          <w:p w14:paraId="00FAA582"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3" w:type="pct"/>
          </w:tcPr>
          <w:p w14:paraId="2AAC0DF2"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2" w:type="pct"/>
            <w:gridSpan w:val="2"/>
          </w:tcPr>
          <w:p w14:paraId="259FCCB7"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c>
          <w:tcPr>
            <w:tcW w:w="683" w:type="pct"/>
          </w:tcPr>
          <w:p w14:paraId="7E7D589D" w14:textId="77777777" w:rsidR="00AE6C16" w:rsidRPr="004339D8" w:rsidRDefault="00AE6C16" w:rsidP="00E77E9F">
            <w:pPr>
              <w:spacing w:before="100" w:after="100"/>
              <w:jc w:val="right"/>
              <w:rPr>
                <w:rFonts w:cs="Arial"/>
                <w:sz w:val="18"/>
                <w:szCs w:val="18"/>
              </w:rPr>
            </w:pPr>
            <w:r w:rsidRPr="00CC40E6">
              <w:rPr>
                <w:rFonts w:eastAsia="Arial" w:cs="Arial"/>
                <w:sz w:val="18"/>
                <w:szCs w:val="18"/>
              </w:rPr>
              <w:t>–</w:t>
            </w:r>
          </w:p>
        </w:tc>
      </w:tr>
      <w:tr w:rsidR="00AE6C16" w:rsidRPr="00046F69" w14:paraId="69A59A88" w14:textId="77777777" w:rsidTr="002974BC">
        <w:trPr>
          <w:gridAfter w:val="1"/>
          <w:wAfter w:w="20" w:type="dxa"/>
        </w:trPr>
        <w:tc>
          <w:tcPr>
            <w:tcW w:w="895" w:type="pct"/>
          </w:tcPr>
          <w:p w14:paraId="646CB887" w14:textId="77777777" w:rsidR="00AE6C16" w:rsidRPr="00046F69" w:rsidRDefault="00AE6C16" w:rsidP="00E77E9F">
            <w:pPr>
              <w:spacing w:before="100" w:after="100"/>
              <w:rPr>
                <w:rFonts w:cs="Arial"/>
                <w:color w:val="033636"/>
                <w:sz w:val="18"/>
                <w:szCs w:val="18"/>
              </w:rPr>
            </w:pPr>
            <w:r w:rsidRPr="00046F69">
              <w:rPr>
                <w:rFonts w:eastAsia="Yu Gothic Light" w:cs="Arial"/>
                <w:color w:val="033636"/>
                <w:sz w:val="18"/>
                <w:szCs w:val="18"/>
              </w:rPr>
              <w:t>70+</w:t>
            </w:r>
            <w:r w:rsidRPr="00046F69">
              <w:rPr>
                <w:rFonts w:cs="Arial"/>
                <w:color w:val="033636"/>
                <w:sz w:val="18"/>
                <w:szCs w:val="18"/>
              </w:rPr>
              <w:t> </w:t>
            </w:r>
          </w:p>
        </w:tc>
        <w:tc>
          <w:tcPr>
            <w:tcW w:w="682" w:type="pct"/>
          </w:tcPr>
          <w:p w14:paraId="39EFF4C0"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439</w:t>
            </w:r>
          </w:p>
        </w:tc>
        <w:tc>
          <w:tcPr>
            <w:tcW w:w="683" w:type="pct"/>
          </w:tcPr>
          <w:p w14:paraId="458D3E32"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13.</w:t>
            </w:r>
            <w:r>
              <w:rPr>
                <w:rFonts w:eastAsia="Arial" w:cs="Arial"/>
                <w:sz w:val="18"/>
                <w:szCs w:val="18"/>
              </w:rPr>
              <w:t>6</w:t>
            </w:r>
          </w:p>
        </w:tc>
        <w:tc>
          <w:tcPr>
            <w:tcW w:w="682" w:type="pct"/>
            <w:gridSpan w:val="2"/>
          </w:tcPr>
          <w:p w14:paraId="5697D2D6"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24</w:t>
            </w:r>
          </w:p>
        </w:tc>
        <w:tc>
          <w:tcPr>
            <w:tcW w:w="683" w:type="pct"/>
          </w:tcPr>
          <w:p w14:paraId="1980514F"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0.7</w:t>
            </w:r>
          </w:p>
        </w:tc>
        <w:tc>
          <w:tcPr>
            <w:tcW w:w="682" w:type="pct"/>
            <w:gridSpan w:val="2"/>
          </w:tcPr>
          <w:p w14:paraId="6ABBF6F3"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9</w:t>
            </w:r>
          </w:p>
        </w:tc>
        <w:tc>
          <w:tcPr>
            <w:tcW w:w="683" w:type="pct"/>
          </w:tcPr>
          <w:p w14:paraId="47FDAB68" w14:textId="77777777" w:rsidR="00AE6C16" w:rsidRPr="004339D8" w:rsidRDefault="00AE6C16" w:rsidP="00E77E9F">
            <w:pPr>
              <w:spacing w:before="100" w:after="100"/>
              <w:jc w:val="right"/>
              <w:rPr>
                <w:rFonts w:cs="Arial"/>
                <w:sz w:val="18"/>
                <w:szCs w:val="18"/>
              </w:rPr>
            </w:pPr>
            <w:r w:rsidRPr="004339D8">
              <w:rPr>
                <w:rFonts w:eastAsia="Arial" w:cs="Arial"/>
                <w:sz w:val="18"/>
                <w:szCs w:val="18"/>
              </w:rPr>
              <w:t>0.3</w:t>
            </w:r>
          </w:p>
        </w:tc>
      </w:tr>
      <w:tr w:rsidR="00AE6C16" w:rsidRPr="00A112B3" w14:paraId="07795847" w14:textId="77777777" w:rsidTr="002974BC">
        <w:trPr>
          <w:gridAfter w:val="1"/>
          <w:wAfter w:w="20" w:type="dxa"/>
        </w:trPr>
        <w:tc>
          <w:tcPr>
            <w:tcW w:w="895" w:type="pct"/>
          </w:tcPr>
          <w:p w14:paraId="112646E0" w14:textId="77777777" w:rsidR="00AE6C16" w:rsidRPr="00046F69" w:rsidRDefault="00AE6C16" w:rsidP="00E77E9F">
            <w:pPr>
              <w:spacing w:before="100" w:after="100"/>
              <w:rPr>
                <w:rFonts w:eastAsia="Yu Gothic Light" w:cs="Arial"/>
                <w:b/>
                <w:bCs/>
                <w:color w:val="033636"/>
                <w:sz w:val="18"/>
                <w:szCs w:val="18"/>
              </w:rPr>
            </w:pPr>
            <w:r w:rsidRPr="00046F69">
              <w:rPr>
                <w:rFonts w:eastAsia="Yu Gothic Light" w:cs="Arial"/>
                <w:b/>
                <w:bCs/>
                <w:color w:val="033636"/>
                <w:sz w:val="18"/>
                <w:szCs w:val="18"/>
              </w:rPr>
              <w:t>Total</w:t>
            </w:r>
            <w:r w:rsidRPr="00960EBA">
              <w:rPr>
                <w:b/>
                <w:bCs/>
                <w:vertAlign w:val="superscript"/>
              </w:rPr>
              <w:t>‡</w:t>
            </w:r>
          </w:p>
        </w:tc>
        <w:tc>
          <w:tcPr>
            <w:tcW w:w="682" w:type="pct"/>
          </w:tcPr>
          <w:p w14:paraId="0479AF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507</w:t>
            </w:r>
          </w:p>
        </w:tc>
        <w:tc>
          <w:tcPr>
            <w:tcW w:w="683" w:type="pct"/>
          </w:tcPr>
          <w:p w14:paraId="4B480CF2"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1.</w:t>
            </w:r>
            <w:r>
              <w:rPr>
                <w:rFonts w:eastAsia="Arial" w:cs="Arial"/>
                <w:b/>
                <w:sz w:val="18"/>
                <w:szCs w:val="18"/>
              </w:rPr>
              <w:t>9</w:t>
            </w:r>
          </w:p>
        </w:tc>
        <w:tc>
          <w:tcPr>
            <w:tcW w:w="682" w:type="pct"/>
            <w:gridSpan w:val="2"/>
          </w:tcPr>
          <w:p w14:paraId="26257B2E"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31</w:t>
            </w:r>
          </w:p>
        </w:tc>
        <w:tc>
          <w:tcPr>
            <w:tcW w:w="683" w:type="pct"/>
          </w:tcPr>
          <w:p w14:paraId="06F350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0.</w:t>
            </w:r>
            <w:r>
              <w:rPr>
                <w:rFonts w:eastAsia="Arial" w:cs="Arial"/>
                <w:b/>
                <w:sz w:val="18"/>
                <w:szCs w:val="18"/>
              </w:rPr>
              <w:t>1</w:t>
            </w:r>
          </w:p>
        </w:tc>
        <w:tc>
          <w:tcPr>
            <w:tcW w:w="682" w:type="pct"/>
            <w:gridSpan w:val="2"/>
          </w:tcPr>
          <w:p w14:paraId="3F5D7E55"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14</w:t>
            </w:r>
          </w:p>
        </w:tc>
        <w:tc>
          <w:tcPr>
            <w:tcW w:w="683" w:type="pct"/>
          </w:tcPr>
          <w:p w14:paraId="00C4583A" w14:textId="77777777" w:rsidR="00AE6C16" w:rsidRPr="004339D8" w:rsidRDefault="00AE6C16" w:rsidP="00E77E9F">
            <w:pPr>
              <w:spacing w:before="100" w:after="100"/>
              <w:jc w:val="right"/>
              <w:rPr>
                <w:rFonts w:cs="Arial"/>
                <w:b/>
                <w:sz w:val="18"/>
                <w:szCs w:val="18"/>
              </w:rPr>
            </w:pPr>
            <w:r w:rsidRPr="004339D8">
              <w:rPr>
                <w:rFonts w:eastAsia="Arial" w:cs="Arial"/>
                <w:b/>
                <w:sz w:val="18"/>
                <w:szCs w:val="18"/>
              </w:rPr>
              <w:t>0.</w:t>
            </w:r>
            <w:r>
              <w:rPr>
                <w:rFonts w:eastAsia="Arial" w:cs="Arial"/>
                <w:b/>
                <w:sz w:val="18"/>
                <w:szCs w:val="18"/>
              </w:rPr>
              <w:t>1</w:t>
            </w:r>
          </w:p>
        </w:tc>
      </w:tr>
    </w:tbl>
    <w:p w14:paraId="09DD7BBC" w14:textId="44B440A4" w:rsidR="00565FFB" w:rsidRPr="00B31E9A" w:rsidRDefault="00AE6C16" w:rsidP="00694001">
      <w:pPr>
        <w:pStyle w:val="Smalltext"/>
        <w:spacing w:line="240" w:lineRule="auto"/>
      </w:pPr>
      <w:r w:rsidRPr="00694001">
        <w:t>Note: To reduce the risk of re-identification, primary cell suppression has been applied to cells with a value of &lt; 5.</w:t>
      </w:r>
      <w:r w:rsidR="00694001">
        <w:br/>
      </w:r>
      <w:r w:rsidRPr="00694001">
        <w:t xml:space="preserve">* Rate per 100,000 population for the given time period. Population data are based on the ABS ERP as </w:t>
      </w:r>
      <w:proofErr w:type="gramStart"/>
      <w:r w:rsidRPr="00694001">
        <w:t>at</w:t>
      </w:r>
      <w:proofErr w:type="gramEnd"/>
      <w:r w:rsidRPr="00694001">
        <w:t xml:space="preserve"> June 2023.</w:t>
      </w:r>
      <w:r w:rsidRPr="00694001">
        <w:br/>
        <w:t>† Notified deaths are reported based on diagnosis date not date of death, as date of death data are not collected for influenza or RSV in the NNDSS. Death may not necessarily represent a death due to the disease.</w:t>
      </w:r>
      <w:r w:rsidRPr="00694001">
        <w:br/>
        <w:t>‡ Total may include cases with missing age.</w:t>
      </w:r>
      <w:r w:rsidR="00DE0360" w:rsidRPr="00B31E9A">
        <w:br w:type="page"/>
      </w:r>
    </w:p>
    <w:p w14:paraId="10E081D0" w14:textId="2AB5D41C" w:rsidR="00565FFB" w:rsidRDefault="00DE0360">
      <w:pPr>
        <w:pStyle w:val="Heading2"/>
      </w:pPr>
      <w:bookmarkStart w:id="20" w:name="at-risk-populations"/>
      <w:bookmarkEnd w:id="13"/>
      <w:bookmarkEnd w:id="18"/>
      <w:bookmarkEnd w:id="19"/>
      <w:r>
        <w:lastRenderedPageBreak/>
        <w:t>3. At-risk populations</w:t>
      </w:r>
      <w:r w:rsidR="006711F5">
        <w:t>*</w:t>
      </w:r>
    </w:p>
    <w:p w14:paraId="0FE0C9FA" w14:textId="39E2BAF0" w:rsidR="00565FFB" w:rsidRDefault="00DE0360">
      <w:pPr>
        <w:pStyle w:val="Boxheading"/>
      </w:pPr>
      <w:r>
        <w:t xml:space="preserve">At-risk populations are people who may be more susceptible to infection with circulating respiratory viruses and/or who may be more likely to experience severe </w:t>
      </w:r>
      <w:r w:rsidR="0007211F">
        <w:t>disease</w:t>
      </w:r>
      <w:r w:rsidR="00710075">
        <w:t xml:space="preserve"> associated with their infection</w:t>
      </w:r>
      <w:r>
        <w:t>.</w:t>
      </w:r>
    </w:p>
    <w:p w14:paraId="3DB14540" w14:textId="77777777" w:rsidR="00565FFB" w:rsidRDefault="00DE0360">
      <w:pPr>
        <w:pStyle w:val="Heading3"/>
      </w:pPr>
      <w:bookmarkStart w:id="21" w:name="hospital-based-surveillance-1"/>
      <w:r>
        <w:t>3.1 Hospital-based surveillance</w:t>
      </w:r>
    </w:p>
    <w:p w14:paraId="54BA8263" w14:textId="77777777" w:rsidR="00565FFB" w:rsidRDefault="00DE0360">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1228FD83" w14:textId="77777777" w:rsidR="00565FFB" w:rsidRDefault="00DE0360" w:rsidP="00CC4308">
      <w:pPr>
        <w:pStyle w:val="Heading4"/>
      </w:pPr>
      <w:bookmarkStart w:id="22" w:name="flucan"/>
      <w:r>
        <w:t>FluCAN</w:t>
      </w:r>
    </w:p>
    <w:p w14:paraId="4992537F" w14:textId="3144BE61" w:rsidR="00565FFB" w:rsidRDefault="00DE0360">
      <w:r>
        <w:t>In 2024, surveillance for influenza and RSV at FluCAN sentinel hospitals commenced on 1 April, therefore no data are available for the severity reporting period</w:t>
      </w:r>
      <w:r w:rsidR="00D06FF5">
        <w:t>*</w:t>
      </w:r>
      <w:r>
        <w:t xml:space="preserve">. Data on patients admitted with influenza and/or RSV to FluCAN sentinel hospitals will be included in future iterations of the Australian Respiratory Surveillance Report. In addition, there are a higher proportional number of paediatric hospitals that contribute to the FluCAN dataset. </w:t>
      </w:r>
      <w:r w:rsidR="003B3015">
        <w:t>H</w:t>
      </w:r>
      <w:r>
        <w:t xml:space="preserve">ospital admissions in children 16 years of age or less are over-represented to provide enhanced surveillance on this at-risk population. For this reason, paediatric (16 years of age </w:t>
      </w:r>
      <w:r w:rsidR="00E46D69">
        <w:t>or less</w:t>
      </w:r>
      <w:r>
        <w:t xml:space="preserve">) and adult (&gt; 16 years of age) patients in the FluCAN dataset are reported </w:t>
      </w:r>
      <w:r w:rsidR="00F569CB">
        <w:t xml:space="preserve">on </w:t>
      </w:r>
      <w:r>
        <w:t>separately.</w:t>
      </w:r>
    </w:p>
    <w:p w14:paraId="0D99FEDD" w14:textId="16477C5F" w:rsidR="00565FFB" w:rsidRDefault="00DE0360" w:rsidP="00720ECB">
      <w:pPr>
        <w:numPr>
          <w:ilvl w:val="0"/>
          <w:numId w:val="34"/>
        </w:numPr>
      </w:pPr>
      <w:r>
        <w:t xml:space="preserve">In the year to date for </w:t>
      </w:r>
      <w:r w:rsidR="00295F8F">
        <w:t xml:space="preserve">FluCAN </w:t>
      </w:r>
      <w:r>
        <w:t xml:space="preserve">severity reporting (1 January to 24 March 2024), there have been </w:t>
      </w:r>
      <w:r w:rsidR="00D56FC8">
        <w:t xml:space="preserve">469 </w:t>
      </w:r>
      <w:r>
        <w:t xml:space="preserve">paediatric patients admitted with COVID-19 to FluCAN sentinel hospitals. The median age at admission was </w:t>
      </w:r>
      <w:r w:rsidR="00D56FC8">
        <w:t xml:space="preserve">1 </w:t>
      </w:r>
      <w:r>
        <w:t xml:space="preserve">year (IQR: </w:t>
      </w:r>
      <w:r w:rsidR="00D56FC8">
        <w:t>0</w:t>
      </w:r>
      <w:r>
        <w:t>–</w:t>
      </w:r>
      <w:r w:rsidR="00D56FC8">
        <w:t xml:space="preserve">3 </w:t>
      </w:r>
      <w:r>
        <w:t>years) and 7</w:t>
      </w:r>
      <w:r w:rsidR="005E6D1D">
        <w:t>.</w:t>
      </w:r>
      <w:r w:rsidR="00D56FC8">
        <w:t>7</w:t>
      </w:r>
      <w:r>
        <w:t>% (</w:t>
      </w:r>
      <w:r w:rsidR="00D56FC8">
        <w:t>36</w:t>
      </w:r>
      <w:r>
        <w:t>/</w:t>
      </w:r>
      <w:r w:rsidR="00D56FC8">
        <w:t>469</w:t>
      </w:r>
      <w:r>
        <w:t xml:space="preserve">) of admissions </w:t>
      </w:r>
      <w:r w:rsidR="20F9EA99">
        <w:t>were</w:t>
      </w:r>
      <w:r>
        <w:t xml:space="preserve"> among Aboriginal and Torres Strait Islander people.</w:t>
      </w:r>
    </w:p>
    <w:p w14:paraId="67D321F3" w14:textId="77777777" w:rsidR="00565FFB" w:rsidRDefault="00DE0360" w:rsidP="00720ECB">
      <w:pPr>
        <w:numPr>
          <w:ilvl w:val="1"/>
          <w:numId w:val="35"/>
        </w:numPr>
      </w:pPr>
      <w:r>
        <w:t>The highest proportion of paediatric patients admitted with COVID-19 to FluCAN sentinel hospitals with a direct admission to intensive care have been in those aged 5–16 years.</w:t>
      </w:r>
    </w:p>
    <w:p w14:paraId="29CA53ED" w14:textId="724147C4" w:rsidR="00565FFB" w:rsidRDefault="00DE0360" w:rsidP="00720ECB">
      <w:pPr>
        <w:numPr>
          <w:ilvl w:val="0"/>
          <w:numId w:val="34"/>
        </w:numPr>
      </w:pPr>
      <w:r>
        <w:t xml:space="preserve">In the year to date for </w:t>
      </w:r>
      <w:r w:rsidR="00295F8F">
        <w:t xml:space="preserve">FluCAN </w:t>
      </w:r>
      <w:r>
        <w:t xml:space="preserve">severity reporting, there have been </w:t>
      </w:r>
      <w:r w:rsidR="00D56FC8">
        <w:t xml:space="preserve">806 </w:t>
      </w:r>
      <w:r>
        <w:t xml:space="preserve">adult patients with COVID-19 admitted to FluCAN sentinel hospitals. The median age at admission was </w:t>
      </w:r>
      <w:r w:rsidR="00D56FC8">
        <w:t xml:space="preserve">74 </w:t>
      </w:r>
      <w:r>
        <w:t xml:space="preserve">years (IQR: </w:t>
      </w:r>
      <w:r w:rsidR="00D56FC8">
        <w:t>61</w:t>
      </w:r>
      <w:r>
        <w:t>–</w:t>
      </w:r>
      <w:r w:rsidR="0090612B">
        <w:t>83</w:t>
      </w:r>
      <w:r>
        <w:t xml:space="preserve"> years) and 4</w:t>
      </w:r>
      <w:r w:rsidR="001B303C">
        <w:t>.</w:t>
      </w:r>
      <w:r w:rsidR="0090612B">
        <w:t>0</w:t>
      </w:r>
      <w:r>
        <w:t>% (</w:t>
      </w:r>
      <w:r w:rsidR="0090612B">
        <w:t>32</w:t>
      </w:r>
      <w:r>
        <w:t>/</w:t>
      </w:r>
      <w:r w:rsidR="0090612B">
        <w:t>806</w:t>
      </w:r>
      <w:r>
        <w:t xml:space="preserve">) of admissions </w:t>
      </w:r>
      <w:r w:rsidR="00CB08E5">
        <w:t>were</w:t>
      </w:r>
      <w:r>
        <w:t xml:space="preserve"> among Aboriginal and Torres Strait Islander people.</w:t>
      </w:r>
    </w:p>
    <w:p w14:paraId="52026D1C" w14:textId="56E9D627" w:rsidR="00565FFB" w:rsidRDefault="00DE0360" w:rsidP="00720ECB">
      <w:pPr>
        <w:numPr>
          <w:ilvl w:val="1"/>
          <w:numId w:val="36"/>
        </w:numPr>
      </w:pPr>
      <w:r>
        <w:t>The highest proportion of adult patients admitted with COVID-19 to FluCAN sentinel hospitals with a direct admission to intensive care have been in those aged 65 years</w:t>
      </w:r>
      <w:r w:rsidR="00A01156">
        <w:t xml:space="preserve"> or over</w:t>
      </w:r>
      <w:r>
        <w:t>.</w:t>
      </w:r>
    </w:p>
    <w:p w14:paraId="4220A5FC" w14:textId="06A3D7C5" w:rsidR="00565FFB" w:rsidRDefault="000E419E" w:rsidP="00720ECB">
      <w:pPr>
        <w:numPr>
          <w:ilvl w:val="0"/>
          <w:numId w:val="34"/>
        </w:numPr>
      </w:pPr>
      <w:r>
        <w:t xml:space="preserve">In the year to date for </w:t>
      </w:r>
      <w:r w:rsidR="00295F8F">
        <w:t xml:space="preserve">FluCAN </w:t>
      </w:r>
      <w:r>
        <w:t>severity reporting</w:t>
      </w:r>
      <w:r w:rsidR="00AF2D32">
        <w:t xml:space="preserve">, the </w:t>
      </w:r>
      <w:r w:rsidR="00D41EF0">
        <w:t>greatest</w:t>
      </w:r>
      <w:r w:rsidR="00AF2D32">
        <w:t xml:space="preserve"> proportion of </w:t>
      </w:r>
      <w:r w:rsidR="00343687">
        <w:t>patient</w:t>
      </w:r>
      <w:r w:rsidR="00A1543E">
        <w:t xml:space="preserve">s admitted with confirmed COVID-19 to FluCAN sentinel hospitals has been in those aged 65 years </w:t>
      </w:r>
      <w:r w:rsidR="00BD107E">
        <w:t xml:space="preserve">or </w:t>
      </w:r>
      <w:r w:rsidR="00A1543E">
        <w:t>over. This is consistent with trend</w:t>
      </w:r>
      <w:r w:rsidR="00EF62F8">
        <w:t>s</w:t>
      </w:r>
      <w:r w:rsidR="00A1543E">
        <w:t xml:space="preserve"> observed in all previous years, except </w:t>
      </w:r>
      <w:r w:rsidR="00D41EF0">
        <w:t xml:space="preserve">in </w:t>
      </w:r>
      <w:r w:rsidR="00482960">
        <w:t xml:space="preserve">2020 and </w:t>
      </w:r>
      <w:r w:rsidR="00A1543E">
        <w:t xml:space="preserve">2021 </w:t>
      </w:r>
      <w:r w:rsidR="00D41EF0">
        <w:t xml:space="preserve">when those aged 17–64 years accounted for the </w:t>
      </w:r>
      <w:r w:rsidR="0045048A">
        <w:t>largest</w:t>
      </w:r>
      <w:r w:rsidR="00D41EF0">
        <w:t xml:space="preserve"> proportion of admissions </w:t>
      </w:r>
      <w:r w:rsidR="02B414C8">
        <w:t>to FluCAN sentinel hospitals</w:t>
      </w:r>
      <w:r w:rsidR="00DE0360">
        <w:t xml:space="preserve"> (Figure 13).</w:t>
      </w:r>
      <w:r w:rsidR="00D06FF5">
        <w:br/>
      </w:r>
    </w:p>
    <w:p w14:paraId="798C9414" w14:textId="743F1DA1" w:rsidR="00565FFB" w:rsidRDefault="00D06FF5" w:rsidP="00D06FF5">
      <w:pPr>
        <w:ind w:left="240"/>
      </w:pPr>
      <w:r w:rsidRPr="007939B1">
        <w:rPr>
          <w:sz w:val="16"/>
          <w:szCs w:val="16"/>
        </w:rPr>
        <w:t>*To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r w:rsidR="00DE0360">
        <w:br w:type="page"/>
      </w:r>
    </w:p>
    <w:p w14:paraId="2119B3CF" w14:textId="77777777" w:rsidR="00565FFB" w:rsidRDefault="00DE0360">
      <w:r>
        <w:rPr>
          <w:b/>
          <w:bCs/>
        </w:rPr>
        <w:lastRenderedPageBreak/>
        <w:t>Figure 13: Number of patients admitted with confirmed COVID-19 to FluCAN sentinel hospitals by age group*, year and week of admission, Australia, 2020 to 24 March 2024</w:t>
      </w:r>
    </w:p>
    <w:p w14:paraId="7213DF71" w14:textId="4E69EF1E" w:rsidR="00565FFB" w:rsidRDefault="000808F8">
      <w:pPr>
        <w:pStyle w:val="BodyText"/>
      </w:pPr>
      <w:r>
        <w:rPr>
          <w:noProof/>
        </w:rPr>
        <w:drawing>
          <wp:inline distT="0" distB="0" distL="0" distR="0" wp14:anchorId="346C259F" wp14:editId="3725FD0D">
            <wp:extent cx="6184900" cy="4183344"/>
            <wp:effectExtent l="0" t="0" r="0" b="0"/>
            <wp:docPr id="73" name="Graphic 73"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A set of five annual stacked bar charts, one for each year of 2020 to 2024, showing the number of COVID-19 patients admitted to sentinel FluCAN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sentinel FluCAN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sentinel FluCAN hospitals peaked in mid-January 2022 at more than 500 admissions per week, with the 65 years and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sentinel FluCAN hospitals peaked in early January at over 200 admissions per week, with the greatest proportion of admissions in those aged 65 years or over. Since the beginning of 2024, the number of admissions per week has followed an overall decreasing trend. In 2024, approximately half of the admissions with confirmed COVID-19 to sentinel FluCAN hospitals have been in those aged 65 years or over.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7F6FEAAF" w14:textId="291C710E" w:rsidR="00565FFB" w:rsidRDefault="00DE0360" w:rsidP="00694001">
      <w:pPr>
        <w:pStyle w:val="Smalltext"/>
      </w:pPr>
      <w:r>
        <w:t xml:space="preserve">* </w:t>
      </w:r>
      <w:r w:rsidR="00F76AB3">
        <w:t>Axis varies between years.</w:t>
      </w:r>
    </w:p>
    <w:p w14:paraId="5EDAE1E9" w14:textId="77777777" w:rsidR="00565FFB" w:rsidRDefault="00565FFB" w:rsidP="00694001">
      <w:pPr>
        <w:pStyle w:val="Smalltext"/>
      </w:pPr>
    </w:p>
    <w:p w14:paraId="0E198143" w14:textId="6F843852" w:rsidR="00565FFB" w:rsidRDefault="00DE0360" w:rsidP="00CC4308">
      <w:pPr>
        <w:pStyle w:val="Heading4"/>
      </w:pPr>
      <w:bookmarkStart w:id="23" w:name="X85f982641c7a78b79b641b504e76f2625a10af6"/>
      <w:bookmarkEnd w:id="22"/>
      <w:r>
        <w:t xml:space="preserve">Paediatric Active Enhanced Disease Surveillance (PAEDS) </w:t>
      </w:r>
    </w:p>
    <w:p w14:paraId="0380A41C" w14:textId="6505E67B" w:rsidR="00565FFB" w:rsidRDefault="00DE0360">
      <w:r>
        <w:t>This section will be updated every four weeks</w:t>
      </w:r>
      <w:r w:rsidR="000B6114">
        <w:t>;</w:t>
      </w:r>
      <w:r>
        <w:t xml:space="preserve"> therefore, reporting periods presented here may not align with other sections of the report.</w:t>
      </w:r>
    </w:p>
    <w:p w14:paraId="7924858F" w14:textId="1569D2F1" w:rsidR="00565FFB" w:rsidRDefault="00DE0360" w:rsidP="00720ECB">
      <w:pPr>
        <w:numPr>
          <w:ilvl w:val="0"/>
          <w:numId w:val="43"/>
        </w:numPr>
      </w:pPr>
      <w:r>
        <w:t xml:space="preserve">Since the start of the COVID-19 pandemic to date for </w:t>
      </w:r>
      <w:r w:rsidR="00295F8F">
        <w:t xml:space="preserve">PAEDS </w:t>
      </w:r>
      <w:r>
        <w:t xml:space="preserve">severity reporting (1 January 2020 to 24 March 2024), there have been </w:t>
      </w:r>
      <w:r w:rsidR="00106113">
        <w:t>196</w:t>
      </w:r>
      <w:r>
        <w:t xml:space="preserve"> cases of possible, probable, or confirmed paediatric inflammatory multisystem syndrome – temporally associated with SARS-CoV-2 (PIMS-TS) admitted to PAEDS sentinel hospitals.</w:t>
      </w:r>
      <w:r w:rsidR="004D23C4">
        <w:t xml:space="preserve"> </w:t>
      </w:r>
      <w:r w:rsidR="004D23C4" w:rsidRPr="004D23C4">
        <w:t>To date for severity reporting, there have been no PIMS-TS associated deaths.</w:t>
      </w:r>
    </w:p>
    <w:p w14:paraId="0924B26B" w14:textId="589A7CA9" w:rsidR="00565FFB" w:rsidRDefault="00DE0360" w:rsidP="00720ECB">
      <w:pPr>
        <w:numPr>
          <w:ilvl w:val="0"/>
          <w:numId w:val="43"/>
        </w:numPr>
      </w:pPr>
      <w:r>
        <w:t xml:space="preserve">Since the start of the COVID-19 pandemic to date for </w:t>
      </w:r>
      <w:r w:rsidR="00295F8F">
        <w:t xml:space="preserve">PAEDS </w:t>
      </w:r>
      <w:r>
        <w:t xml:space="preserve">severity reporting, the highest proportion of PIMS-TS cases </w:t>
      </w:r>
      <w:r w:rsidR="00323BC7">
        <w:t>occurred</w:t>
      </w:r>
      <w:r>
        <w:t xml:space="preserve"> in 2022 (</w:t>
      </w:r>
      <w:r w:rsidR="00323BC7" w:rsidRPr="00323BC7">
        <w:t>67</w:t>
      </w:r>
      <w:r w:rsidR="00B75287">
        <w:t>.3</w:t>
      </w:r>
      <w:r w:rsidR="00E046EF" w:rsidRPr="00323BC7">
        <w:t>%</w:t>
      </w:r>
      <w:r w:rsidR="00E046EF">
        <w:t>;</w:t>
      </w:r>
      <w:r w:rsidR="00E046EF" w:rsidRPr="00323BC7">
        <w:t xml:space="preserve"> </w:t>
      </w:r>
      <w:r w:rsidR="00323BC7" w:rsidRPr="00323BC7">
        <w:t>132/196</w:t>
      </w:r>
      <w:r>
        <w:t>), followed by 2021 (</w:t>
      </w:r>
      <w:r w:rsidR="000A2021" w:rsidRPr="000A2021">
        <w:t>15</w:t>
      </w:r>
      <w:r w:rsidR="009A6551">
        <w:t>.3</w:t>
      </w:r>
      <w:r w:rsidR="000A2021" w:rsidRPr="000A2021">
        <w:t>%</w:t>
      </w:r>
      <w:r w:rsidR="00104951">
        <w:t>;</w:t>
      </w:r>
      <w:r w:rsidR="000A2021" w:rsidRPr="000A2021">
        <w:t xml:space="preserve"> 30/196</w:t>
      </w:r>
      <w:r>
        <w:t xml:space="preserve">). The </w:t>
      </w:r>
      <w:r w:rsidR="008F1131">
        <w:t>most recent</w:t>
      </w:r>
      <w:r>
        <w:t xml:space="preserve"> PIMS-TS case admitted to a PAEDS sentinel hospital was reported in </w:t>
      </w:r>
      <w:r w:rsidR="000A2021">
        <w:t xml:space="preserve">March </w:t>
      </w:r>
      <w:r>
        <w:t>2024.</w:t>
      </w:r>
    </w:p>
    <w:p w14:paraId="5FDD62E6" w14:textId="30AF2F23" w:rsidR="00565FFB" w:rsidRDefault="00DE0360" w:rsidP="00720ECB">
      <w:pPr>
        <w:numPr>
          <w:ilvl w:val="0"/>
          <w:numId w:val="43"/>
        </w:numPr>
      </w:pPr>
      <w:r>
        <w:t>The majority of PIMS-TS cases have occurred in those aged 5 to &lt; 12 years (</w:t>
      </w:r>
      <w:r w:rsidR="00EA7D62" w:rsidRPr="00EA7D62">
        <w:t>5</w:t>
      </w:r>
      <w:r w:rsidR="00377D48">
        <w:t>2.</w:t>
      </w:r>
      <w:r w:rsidR="00104951">
        <w:t>6</w:t>
      </w:r>
      <w:r w:rsidR="00EA7D62" w:rsidRPr="00EA7D62">
        <w:t>%</w:t>
      </w:r>
      <w:r w:rsidR="00104951">
        <w:t>;</w:t>
      </w:r>
      <w:r w:rsidR="00EA7D62" w:rsidRPr="00EA7D62">
        <w:t xml:space="preserve"> 103/196</w:t>
      </w:r>
      <w:r>
        <w:t>), followed by those aged 6 months to &lt; 5 years (</w:t>
      </w:r>
      <w:r w:rsidR="000B4773" w:rsidRPr="000B4773">
        <w:t>2</w:t>
      </w:r>
      <w:r w:rsidR="00EF7632">
        <w:t>8.6</w:t>
      </w:r>
      <w:r w:rsidR="000B4773" w:rsidRPr="000B4773">
        <w:t>%</w:t>
      </w:r>
      <w:r w:rsidR="00104951">
        <w:t>;</w:t>
      </w:r>
      <w:r w:rsidR="000B4773" w:rsidRPr="000B4773">
        <w:t xml:space="preserve"> 56/196</w:t>
      </w:r>
      <w:r>
        <w:t xml:space="preserve">). Approximately </w:t>
      </w:r>
      <w:r w:rsidR="00ED4C60" w:rsidRPr="00ED4C60">
        <w:t>5.6% (11/196)</w:t>
      </w:r>
      <w:r>
        <w:t xml:space="preserve"> of PIMS-TS cases occurred among Aboriginal or Torres Strait Islander people.</w:t>
      </w:r>
    </w:p>
    <w:p w14:paraId="4B27FBF4" w14:textId="77777777" w:rsidR="00565FFB" w:rsidRDefault="00565FFB"/>
    <w:p w14:paraId="57F996C8" w14:textId="270F0E2A" w:rsidR="00565FFB" w:rsidRDefault="00DE0360" w:rsidP="00CC4308">
      <w:pPr>
        <w:pStyle w:val="Heading4"/>
      </w:pPr>
      <w:bookmarkStart w:id="24" w:name="X696d180b13bc5c235b6e6c250e6cbcecad1987d"/>
      <w:bookmarkEnd w:id="23"/>
      <w:r>
        <w:lastRenderedPageBreak/>
        <w:t xml:space="preserve">SPRINT-SARI Australia </w:t>
      </w:r>
    </w:p>
    <w:p w14:paraId="1D1A5A03" w14:textId="618E491C" w:rsidR="00565FFB" w:rsidRDefault="00DE0360">
      <w:r>
        <w:t>This section will be updated every four weeks</w:t>
      </w:r>
      <w:r w:rsidR="003D5841">
        <w:t>;</w:t>
      </w:r>
      <w:r>
        <w:t xml:space="preserve"> therefore, reporting periods presented here may not align with other sections of the report.</w:t>
      </w:r>
      <w:r w:rsidR="00220B7B">
        <w:t xml:space="preserve"> </w:t>
      </w:r>
      <w:r w:rsidR="00220B7B" w:rsidRPr="00220B7B">
        <w:t>Note, intensive care includes intensive care units and high dependency units that are managed by an intensive care team</w:t>
      </w:r>
      <w:r w:rsidR="002127EA">
        <w:t>.</w:t>
      </w:r>
    </w:p>
    <w:p w14:paraId="16FBF963" w14:textId="08373BB0" w:rsidR="00565FFB" w:rsidRDefault="00DE0360" w:rsidP="00720ECB">
      <w:pPr>
        <w:numPr>
          <w:ilvl w:val="0"/>
          <w:numId w:val="44"/>
        </w:numPr>
      </w:pPr>
      <w:r>
        <w:t xml:space="preserve">In this </w:t>
      </w:r>
      <w:r w:rsidR="00963CE2">
        <w:t xml:space="preserve">28-day </w:t>
      </w:r>
      <w:r>
        <w:t xml:space="preserve">period for </w:t>
      </w:r>
      <w:r w:rsidR="00295F8F">
        <w:t xml:space="preserve">SPRINT-SARI </w:t>
      </w:r>
      <w:r>
        <w:t>severity reporting (</w:t>
      </w:r>
      <w:r w:rsidR="00963CE2">
        <w:t>26 February</w:t>
      </w:r>
      <w:r>
        <w:t xml:space="preserve"> to 24 March 2024), there have been </w:t>
      </w:r>
      <w:r w:rsidR="00963CE2">
        <w:t>109</w:t>
      </w:r>
      <w:r>
        <w:t xml:space="preserve"> patients admitted </w:t>
      </w:r>
      <w:r w:rsidR="121B74A1">
        <w:t>with a SARI</w:t>
      </w:r>
      <w:r w:rsidR="4B7A2BC0">
        <w:t xml:space="preserve"> </w:t>
      </w:r>
      <w:r>
        <w:t xml:space="preserve">to a SPRINT-SARI </w:t>
      </w:r>
      <w:r w:rsidR="00ED46B7">
        <w:t xml:space="preserve">sentinel </w:t>
      </w:r>
      <w:r>
        <w:t xml:space="preserve">intensive care. The median age at admission was </w:t>
      </w:r>
      <w:r w:rsidR="00963CE2">
        <w:t>53</w:t>
      </w:r>
      <w:r>
        <w:t xml:space="preserve"> years (IQR: </w:t>
      </w:r>
      <w:r w:rsidR="00EF17C0" w:rsidRPr="00EF17C0">
        <w:rPr>
          <w:lang w:val="en-US"/>
        </w:rPr>
        <w:t>21–66 years</w:t>
      </w:r>
      <w:r>
        <w:t xml:space="preserve">) and </w:t>
      </w:r>
      <w:r w:rsidR="008E7368" w:rsidRPr="008E7368">
        <w:rPr>
          <w:lang w:val="en-US"/>
        </w:rPr>
        <w:t>8.3% (9/109)</w:t>
      </w:r>
      <w:r>
        <w:t xml:space="preserve"> of </w:t>
      </w:r>
      <w:r w:rsidR="49A0A4CD">
        <w:t>patients admitted with a SARI</w:t>
      </w:r>
      <w:r w:rsidR="4B7A2BC0">
        <w:t xml:space="preserve"> </w:t>
      </w:r>
      <w:r w:rsidR="5341A2F0">
        <w:t>were</w:t>
      </w:r>
      <w:r>
        <w:t xml:space="preserve"> among Aboriginal and Torres Strait Islander people.</w:t>
      </w:r>
    </w:p>
    <w:p w14:paraId="5B9B0BB4" w14:textId="0D67BE87" w:rsidR="00565FFB" w:rsidRDefault="00DE0360" w:rsidP="00720ECB">
      <w:pPr>
        <w:numPr>
          <w:ilvl w:val="0"/>
          <w:numId w:val="44"/>
        </w:numPr>
      </w:pPr>
      <w:r>
        <w:t xml:space="preserve">In the year to date for </w:t>
      </w:r>
      <w:r w:rsidR="00295F8F">
        <w:t xml:space="preserve">SPRINT-SARI </w:t>
      </w:r>
      <w:r>
        <w:t xml:space="preserve">severity reporting (1 January to 24 March 2024), there have been </w:t>
      </w:r>
      <w:r w:rsidR="00CA4EEC">
        <w:t>426</w:t>
      </w:r>
      <w:r>
        <w:t xml:space="preserve"> patients admitted </w:t>
      </w:r>
      <w:r w:rsidR="59A41787">
        <w:t>with a SARI</w:t>
      </w:r>
      <w:r w:rsidR="4B7A2BC0">
        <w:t xml:space="preserve"> </w:t>
      </w:r>
      <w:r>
        <w:t xml:space="preserve">to a SPRINT-SARI </w:t>
      </w:r>
      <w:r w:rsidR="003B68C3">
        <w:t xml:space="preserve">sentinel </w:t>
      </w:r>
      <w:r>
        <w:t xml:space="preserve">intensive care. The median age at admission was </w:t>
      </w:r>
      <w:r w:rsidR="006C2DB3">
        <w:t>55</w:t>
      </w:r>
      <w:r>
        <w:t xml:space="preserve"> years (IQR: </w:t>
      </w:r>
      <w:r w:rsidR="00691299" w:rsidRPr="00691299">
        <w:rPr>
          <w:lang w:val="en-US"/>
        </w:rPr>
        <w:t>15.</w:t>
      </w:r>
      <w:r w:rsidR="00691299">
        <w:rPr>
          <w:lang w:val="en-US"/>
        </w:rPr>
        <w:t>3</w:t>
      </w:r>
      <w:r w:rsidR="00691299" w:rsidRPr="00691299">
        <w:rPr>
          <w:lang w:val="en-US"/>
        </w:rPr>
        <w:t xml:space="preserve">–70 </w:t>
      </w:r>
      <w:r>
        <w:t xml:space="preserve">years) and </w:t>
      </w:r>
      <w:r w:rsidR="00E00175" w:rsidRPr="00E00175">
        <w:rPr>
          <w:lang w:val="en-US"/>
        </w:rPr>
        <w:t>55.4% (236/426)</w:t>
      </w:r>
      <w:r>
        <w:t xml:space="preserve"> of SARI admissions have been male.</w:t>
      </w:r>
      <w:r w:rsidR="003F21C2">
        <w:t xml:space="preserve"> Of the patients admitted </w:t>
      </w:r>
      <w:r w:rsidR="20360725">
        <w:t>with a SARI</w:t>
      </w:r>
      <w:r w:rsidR="4D9325DF">
        <w:t xml:space="preserve"> </w:t>
      </w:r>
      <w:r w:rsidR="003F21C2">
        <w:t>to a SPRINT-SARI sentinel intensive care,</w:t>
      </w:r>
      <w:r>
        <w:t xml:space="preserve"> </w:t>
      </w:r>
      <w:r w:rsidR="00DB5FB4" w:rsidRPr="00DB5FB4">
        <w:rPr>
          <w:lang w:val="en-US"/>
        </w:rPr>
        <w:t>8.7% (37/426)</w:t>
      </w:r>
      <w:r>
        <w:t xml:space="preserve"> have been among Aboriginal and Torres Strait Islander people.</w:t>
      </w:r>
    </w:p>
    <w:p w14:paraId="661CCFD4" w14:textId="0C97691C" w:rsidR="00565FFB" w:rsidRDefault="00DE0360" w:rsidP="00720ECB">
      <w:pPr>
        <w:numPr>
          <w:ilvl w:val="0"/>
          <w:numId w:val="44"/>
        </w:numPr>
      </w:pPr>
      <w:r>
        <w:t xml:space="preserve">In the year to date for </w:t>
      </w:r>
      <w:r w:rsidR="00295F8F">
        <w:t xml:space="preserve">SPRINT-SARI </w:t>
      </w:r>
      <w:r>
        <w:t xml:space="preserve">severity reporting, there have been </w:t>
      </w:r>
      <w:r w:rsidR="001E3F62">
        <w:t>44</w:t>
      </w:r>
      <w:r>
        <w:t xml:space="preserve"> patients admitted </w:t>
      </w:r>
      <w:r w:rsidR="684526C6">
        <w:t>with a SARI</w:t>
      </w:r>
      <w:r w:rsidR="4B7A2BC0">
        <w:t xml:space="preserve"> </w:t>
      </w:r>
      <w:r>
        <w:t xml:space="preserve">to a SPRINT-SARI </w:t>
      </w:r>
      <w:r w:rsidR="00D31C34">
        <w:t>sentinel</w:t>
      </w:r>
      <w:r>
        <w:t xml:space="preserve"> intensive care who died in hospital</w:t>
      </w:r>
      <w:r w:rsidR="009F2538">
        <w:t xml:space="preserve">. The majority of deaths were in patients aged </w:t>
      </w:r>
      <w:r w:rsidR="001275D0">
        <w:t>60 years or over:</w:t>
      </w:r>
      <w:r>
        <w:t xml:space="preserve"> </w:t>
      </w:r>
      <w:r w:rsidR="00154E3A" w:rsidRPr="00154E3A">
        <w:rPr>
          <w:lang w:val="en-US"/>
        </w:rPr>
        <w:t>34.1% (15/44) were aged 60–69 years, 36.4% (16/44) were aged 70–79 years, 11.4% (5/44) were aged 80–89 years, and 2.3% (1/44) were aged 90 years or over</w:t>
      </w:r>
      <w:r>
        <w:t xml:space="preserve"> (Figure 1</w:t>
      </w:r>
      <w:r w:rsidR="00FE58CB">
        <w:t>4</w:t>
      </w:r>
      <w:r>
        <w:t>).</w:t>
      </w:r>
    </w:p>
    <w:p w14:paraId="7A5DF73E" w14:textId="3CE23208" w:rsidR="00565FFB" w:rsidRDefault="00DE0360">
      <w:pPr>
        <w:rPr>
          <w:b/>
          <w:bCs/>
        </w:rPr>
      </w:pPr>
      <w:r>
        <w:rPr>
          <w:b/>
          <w:bCs/>
        </w:rPr>
        <w:t>Figure 1</w:t>
      </w:r>
      <w:r w:rsidR="00FE58CB">
        <w:rPr>
          <w:b/>
          <w:bCs/>
        </w:rPr>
        <w:t>4</w:t>
      </w:r>
      <w:r>
        <w:rPr>
          <w:b/>
          <w:bCs/>
        </w:rPr>
        <w:t xml:space="preserve">: Number of </w:t>
      </w:r>
      <w:r w:rsidR="107DBBF0" w:rsidRPr="53F5DD37">
        <w:rPr>
          <w:b/>
          <w:bCs/>
        </w:rPr>
        <w:t xml:space="preserve">patients admitted with </w:t>
      </w:r>
      <w:r>
        <w:rPr>
          <w:b/>
          <w:bCs/>
        </w:rPr>
        <w:t xml:space="preserve">severe acute respiratory </w:t>
      </w:r>
      <w:r w:rsidR="107DBBF0" w:rsidRPr="53F5DD37">
        <w:rPr>
          <w:b/>
          <w:bCs/>
        </w:rPr>
        <w:t xml:space="preserve">infections </w:t>
      </w:r>
      <w:r>
        <w:rPr>
          <w:b/>
          <w:bCs/>
        </w:rPr>
        <w:t xml:space="preserve">to </w:t>
      </w:r>
      <w:r w:rsidR="00C06875">
        <w:rPr>
          <w:b/>
          <w:bCs/>
        </w:rPr>
        <w:t>a</w:t>
      </w:r>
      <w:r>
        <w:rPr>
          <w:b/>
          <w:bCs/>
        </w:rPr>
        <w:t xml:space="preserve"> SPRINT-SARI </w:t>
      </w:r>
      <w:r w:rsidR="004C7A18">
        <w:rPr>
          <w:b/>
          <w:bCs/>
        </w:rPr>
        <w:t>sentinel</w:t>
      </w:r>
      <w:r>
        <w:rPr>
          <w:b/>
          <w:bCs/>
        </w:rPr>
        <w:t xml:space="preserve"> intensive care by age group, sex and outcome*</w:t>
      </w:r>
      <w:r w:rsidRPr="00960EBA">
        <w:rPr>
          <w:b/>
          <w:bCs/>
          <w:vertAlign w:val="superscript"/>
        </w:rPr>
        <w:t>†‡</w:t>
      </w:r>
      <w:r>
        <w:rPr>
          <w:b/>
          <w:bCs/>
        </w:rPr>
        <w:t>, Australia, 1 January to 24 March</w:t>
      </w:r>
      <w:r w:rsidR="0048590C">
        <w:rPr>
          <w:b/>
          <w:bCs/>
        </w:rPr>
        <w:t xml:space="preserve"> 2024</w:t>
      </w:r>
    </w:p>
    <w:p w14:paraId="31BDF4D9" w14:textId="5D1821C7" w:rsidR="00915B37" w:rsidRDefault="00915B37">
      <w:r>
        <w:rPr>
          <w:noProof/>
        </w:rPr>
        <w:drawing>
          <wp:inline distT="0" distB="0" distL="0" distR="0" wp14:anchorId="01D4A863" wp14:editId="5BD70567">
            <wp:extent cx="5334000" cy="3809999"/>
            <wp:effectExtent l="0" t="0" r="0" b="0"/>
            <wp:doc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wp:cNvGraphicFramePr/>
            <a:graphic xmlns:a="http://schemas.openxmlformats.org/drawingml/2006/main">
              <a:graphicData uri="http://schemas.openxmlformats.org/drawingml/2006/picture">
                <pic:pic xmlns:pic="http://schemas.openxmlformats.org/drawingml/2006/picture">
                  <pic:nvPicPr>
                    <pic:cNvPr id="1" name="Picture 1"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everity report (1 January to 24 March 2024). Of the 426 patients with a severe acute respiratory illness admitted to SPRINT-SARI sentinel intensive care, 45% (n = 190) have been females and 55% (n = 236) have been males. Admissions to participating SPRINT-SARI intensive care have been reported across the lifespan with people aged 0–9 years accounting for the highest overall proportion of admissions. There were 44 patients with severe acute respiratory illness admitted to a SPRINT-SARI sentinel intensive care who died in hospital, most (84%; 37/44) were among patients aged 60 years or over."/>
                    <pic:cNvPicPr>
                      <a:picLocks noChangeAspect="1" noChangeArrowheads="1"/>
                    </pic:cNvPicPr>
                  </pic:nvPicPr>
                  <pic:blipFill>
                    <a:blip r:embed="rId42"/>
                    <a:stretch>
                      <a:fillRect/>
                    </a:stretch>
                  </pic:blipFill>
                  <pic:spPr bwMode="auto">
                    <a:xfrm>
                      <a:off x="0" y="0"/>
                      <a:ext cx="5334000" cy="3809999"/>
                    </a:xfrm>
                    <a:prstGeom prst="rect">
                      <a:avLst/>
                    </a:prstGeom>
                    <a:noFill/>
                    <a:ln w="9525">
                      <a:noFill/>
                      <a:headEnd/>
                      <a:tailEnd/>
                    </a:ln>
                  </pic:spPr>
                </pic:pic>
              </a:graphicData>
            </a:graphic>
          </wp:inline>
        </w:drawing>
      </w:r>
    </w:p>
    <w:p w14:paraId="01E2EFB3" w14:textId="282C7279" w:rsidR="00565FFB" w:rsidRDefault="00DE0360" w:rsidP="00694001">
      <w:pPr>
        <w:pStyle w:val="Smalltext"/>
      </w:pPr>
      <w:r>
        <w:t xml:space="preserve">* The age and sex distribution of severe acute respiratory infection (SARI) intensive care admissions in the SPRINT-SARI Australia sentinel surveillance system may not reflect the age or sex distribution of all </w:t>
      </w:r>
      <w:r w:rsidR="7BAF6680">
        <w:t xml:space="preserve">patients admitted with a </w:t>
      </w:r>
      <w:r w:rsidR="4B7A2BC0">
        <w:t>SARI</w:t>
      </w:r>
      <w:r>
        <w:t xml:space="preserve"> nationally.</w:t>
      </w:r>
      <w:r>
        <w:br/>
        <w:t>† Ongoing care reflects the need for ongoing care in intensive care. Where a patient has been discharged from intensive care, the patient may still be receiving ongoing care in a hospital ward.</w:t>
      </w:r>
      <w:r>
        <w:br/>
        <w:t xml:space="preserve">‡ </w:t>
      </w:r>
      <w:r w:rsidR="00A4392E">
        <w:t>Death may not necessarily represent a death due to the disease</w:t>
      </w:r>
      <w:r>
        <w:t>.</w:t>
      </w:r>
    </w:p>
    <w:p w14:paraId="7A126856" w14:textId="77777777" w:rsidR="00565FFB" w:rsidRDefault="00565FFB" w:rsidP="00694001">
      <w:pPr>
        <w:pStyle w:val="Smalltext"/>
      </w:pPr>
    </w:p>
    <w:p w14:paraId="2F39A1EF" w14:textId="77777777" w:rsidR="00565FFB" w:rsidRDefault="00DE0360">
      <w:pPr>
        <w:pStyle w:val="Heading3"/>
      </w:pPr>
      <w:bookmarkStart w:id="25" w:name="case-based-surveillance-2"/>
      <w:bookmarkEnd w:id="21"/>
      <w:bookmarkEnd w:id="24"/>
      <w:r>
        <w:lastRenderedPageBreak/>
        <w:t>3.2 Case-based surveillance</w:t>
      </w:r>
    </w:p>
    <w:p w14:paraId="51060D96" w14:textId="77777777" w:rsidR="00565FFB" w:rsidRDefault="00DE0360" w:rsidP="00CC4308">
      <w:pPr>
        <w:pStyle w:val="Heading4"/>
      </w:pPr>
      <w:bookmarkStart w:id="26" w:name="nndss-2"/>
      <w:r>
        <w:t>NNDSS</w:t>
      </w:r>
    </w:p>
    <w:p w14:paraId="6E600C4A" w14:textId="77777777" w:rsidR="00A63783" w:rsidRDefault="00065CED" w:rsidP="00A63783">
      <w:r w:rsidRPr="004D3564">
        <w:t>The numbers of deaths in the year to date associated with COVID-19, influenza and RSV notified to the NNDSS are provided in Table 3. The numbers of deaths associated with COVID-19, influenza or RSV reported to the NNDSS are likely an underestimate and do not represent the true mortality associated with these diseases. In the NNDSS, death notifications may not necessarily represent a death due to the disease.</w:t>
      </w:r>
      <w:r>
        <w:t xml:space="preserve"> </w:t>
      </w:r>
    </w:p>
    <w:p w14:paraId="01104167" w14:textId="48928BED" w:rsidR="00565FFB" w:rsidRDefault="00DE0360" w:rsidP="00720ECB">
      <w:pPr>
        <w:numPr>
          <w:ilvl w:val="0"/>
          <w:numId w:val="45"/>
        </w:numPr>
      </w:pPr>
      <w:r>
        <w:t>In the year to date for severity reporting</w:t>
      </w:r>
      <w:r w:rsidR="00CC79A6">
        <w:t xml:space="preserve"> (1 January to 24 March 2024)</w:t>
      </w:r>
      <w:r>
        <w:t>, the rate of COVID-19</w:t>
      </w:r>
      <w:r w:rsidR="5667D9D8">
        <w:t>-</w:t>
      </w:r>
      <w:r>
        <w:t xml:space="preserve">associated deaths in cases notified to the NNDSS </w:t>
      </w:r>
      <w:r w:rsidR="00DD3BF6">
        <w:t xml:space="preserve">has </w:t>
      </w:r>
      <w:r>
        <w:t xml:space="preserve">been highest in those aged 70 years </w:t>
      </w:r>
      <w:r w:rsidR="00CF67F4">
        <w:t xml:space="preserve">or </w:t>
      </w:r>
      <w:r>
        <w:t>over (Table 3). The median age of COVID-19</w:t>
      </w:r>
      <w:r w:rsidR="00D748D2">
        <w:t>-</w:t>
      </w:r>
      <w:r>
        <w:t xml:space="preserve">associated deaths notified </w:t>
      </w:r>
      <w:r w:rsidR="561E3FEF">
        <w:t>is</w:t>
      </w:r>
      <w:r>
        <w:t xml:space="preserve"> 84 years.</w:t>
      </w:r>
    </w:p>
    <w:p w14:paraId="67A9CB6E" w14:textId="43452703" w:rsidR="00565FFB" w:rsidRDefault="00DE0360" w:rsidP="00720ECB">
      <w:pPr>
        <w:numPr>
          <w:ilvl w:val="0"/>
          <w:numId w:val="45"/>
        </w:numPr>
      </w:pPr>
      <w:r>
        <w:t>Since the start of the COVID-19 pandemic to</w:t>
      </w:r>
      <w:r w:rsidDel="002A43B8">
        <w:t xml:space="preserve"> </w:t>
      </w:r>
      <w:r w:rsidR="002A43B8" w:rsidRPr="004D3564">
        <w:t>31 December 2023</w:t>
      </w:r>
      <w:r>
        <w:t xml:space="preserve">, there </w:t>
      </w:r>
      <w:r w:rsidR="00D00D91">
        <w:t>were</w:t>
      </w:r>
      <w:r>
        <w:t xml:space="preserve"> </w:t>
      </w:r>
      <w:r w:rsidR="00FF3059" w:rsidRPr="004D3564">
        <w:t>437,180</w:t>
      </w:r>
      <w:r w:rsidR="00522E2D">
        <w:t xml:space="preserve"> </w:t>
      </w:r>
      <w:r>
        <w:t xml:space="preserve">COVID-19 cases </w:t>
      </w:r>
      <w:r w:rsidR="0006548C">
        <w:t>and</w:t>
      </w:r>
      <w:r w:rsidR="0006548C" w:rsidRPr="004D3564">
        <w:t xml:space="preserve"> 517 COVID-19-associated deaths </w:t>
      </w:r>
      <w:r>
        <w:t>among Aboriginal and Torres Strait Islander people notified to the NNDSS.</w:t>
      </w:r>
    </w:p>
    <w:p w14:paraId="07FF074E" w14:textId="356AB339" w:rsidR="00565FFB" w:rsidRDefault="00DE0360" w:rsidP="00720ECB">
      <w:pPr>
        <w:numPr>
          <w:ilvl w:val="0"/>
          <w:numId w:val="45"/>
        </w:numPr>
      </w:pPr>
      <w:r>
        <w:t xml:space="preserve">From late 2023 onward, there has been a considerable decrease in the ascertainment of Indigenous status in </w:t>
      </w:r>
      <w:r w:rsidR="286459F1">
        <w:t xml:space="preserve">the </w:t>
      </w:r>
      <w:r>
        <w:t>NNDSS for COVID-19 cases. The number of COVID-19 cases classified as Aboriginal and Torres Strait Islander people are now likely to be a considerable underrepresentation and are not suitable for meaningful interpretation or reporting. In this context, detailed reporting of incidence and severe illness among Aboriginal and Torres Strait Islander people using NNDSS notifications are no longer conducted.</w:t>
      </w:r>
    </w:p>
    <w:p w14:paraId="5DC7EE83" w14:textId="77777777" w:rsidR="00565FFB" w:rsidRDefault="00DE0360" w:rsidP="00720ECB">
      <w:pPr>
        <w:numPr>
          <w:ilvl w:val="1"/>
          <w:numId w:val="46"/>
        </w:numPr>
      </w:pPr>
      <w:r>
        <w:t xml:space="preserve">Readers are encouraged to consult the </w:t>
      </w:r>
      <w:hyperlink r:id="rId43">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5A15F3C0" w14:textId="3C3712C9" w:rsidR="00565FFB" w:rsidRDefault="00DE0360" w:rsidP="00720ECB">
      <w:pPr>
        <w:numPr>
          <w:ilvl w:val="0"/>
          <w:numId w:val="45"/>
        </w:numPr>
      </w:pPr>
      <w:r>
        <w:t>In the year to date for severity reporting, the rate of influenza</w:t>
      </w:r>
      <w:r w:rsidR="00D748D2">
        <w:t>-</w:t>
      </w:r>
      <w:r>
        <w:t xml:space="preserve">associated deaths in cases notified to the NNDSS </w:t>
      </w:r>
      <w:r w:rsidR="00153A69">
        <w:t xml:space="preserve">has </w:t>
      </w:r>
      <w:r>
        <w:t>been highest in those aged 70 years</w:t>
      </w:r>
      <w:r w:rsidR="002513CB">
        <w:t xml:space="preserve"> or over</w:t>
      </w:r>
      <w:r>
        <w:t xml:space="preserve"> (Table 3). The median age of influenza</w:t>
      </w:r>
      <w:r w:rsidR="008F48BF">
        <w:t>-</w:t>
      </w:r>
      <w:r w:rsidR="00795846">
        <w:t>associated</w:t>
      </w:r>
      <w:r>
        <w:t xml:space="preserve"> deaths notified </w:t>
      </w:r>
      <w:r w:rsidR="0006548C">
        <w:t xml:space="preserve">is </w:t>
      </w:r>
      <w:r>
        <w:t>81 years.</w:t>
      </w:r>
    </w:p>
    <w:p w14:paraId="1734F6A0" w14:textId="0B5B696D" w:rsidR="00565FFB" w:rsidRDefault="00DE0360" w:rsidP="00720ECB">
      <w:pPr>
        <w:numPr>
          <w:ilvl w:val="0"/>
          <w:numId w:val="45"/>
        </w:numPr>
      </w:pPr>
      <w:r>
        <w:t>In the year to date for severity reporting, the rate of RSV</w:t>
      </w:r>
      <w:r w:rsidR="00D748D2">
        <w:t>-</w:t>
      </w:r>
      <w:r>
        <w:t xml:space="preserve">associated deaths in cases notified to the NNDSS </w:t>
      </w:r>
      <w:r w:rsidR="00353379">
        <w:t xml:space="preserve">has </w:t>
      </w:r>
      <w:r>
        <w:t>been highest in those aged 70 years</w:t>
      </w:r>
      <w:r w:rsidR="00C11EA7">
        <w:t xml:space="preserve"> </w:t>
      </w:r>
      <w:r w:rsidR="002513CB">
        <w:t>or</w:t>
      </w:r>
      <w:r w:rsidR="00C11EA7">
        <w:t xml:space="preserve"> over</w:t>
      </w:r>
      <w:r>
        <w:t xml:space="preserve"> (Table 3). The median age of RSV</w:t>
      </w:r>
      <w:r w:rsidR="008F48BF">
        <w:t>-</w:t>
      </w:r>
      <w:r w:rsidR="00795846">
        <w:t>associated</w:t>
      </w:r>
      <w:r>
        <w:t xml:space="preserve"> deaths notified </w:t>
      </w:r>
      <w:r w:rsidR="0006548C">
        <w:t xml:space="preserve">is </w:t>
      </w:r>
      <w:r>
        <w:t>76 years.</w:t>
      </w:r>
    </w:p>
    <w:p w14:paraId="65E624D9" w14:textId="19D57071" w:rsidR="00565FFB" w:rsidRDefault="00DE0360" w:rsidP="00720ECB">
      <w:pPr>
        <w:numPr>
          <w:ilvl w:val="0"/>
          <w:numId w:val="45"/>
        </w:numPr>
      </w:pPr>
      <w:r>
        <w:t>The ascertainment of Indigenous status in the NNDSS for influenza and RSV remains insufficient for accurate epidemiological assessments or meaningful interpretation. This is due to a number of factors</w:t>
      </w:r>
      <w:r w:rsidR="002E6842">
        <w:t>, including</w:t>
      </w:r>
      <w:r>
        <w:t>: most laboratory notifications do not include Indigenous status, case follow</w:t>
      </w:r>
      <w:r w:rsidR="002E6842">
        <w:t>-</w:t>
      </w:r>
      <w:r>
        <w:t xml:space="preserve">ups are not routinely conducted and are not a requirement of notification, and data linkage systems that have been used to </w:t>
      </w:r>
      <w:r w:rsidR="00E07A4D">
        <w:t xml:space="preserve">help </w:t>
      </w:r>
      <w:r>
        <w:t>capture Indigenous status for COVID-19 cases have not been comprehensively extended to influenza or RSV</w:t>
      </w:r>
      <w:r w:rsidR="003745BE">
        <w:t xml:space="preserve"> cases</w:t>
      </w:r>
      <w:r>
        <w:t>.</w:t>
      </w:r>
    </w:p>
    <w:p w14:paraId="0D8372B5" w14:textId="77777777" w:rsidR="00E8510A" w:rsidRDefault="00E8510A" w:rsidP="00E8510A"/>
    <w:p w14:paraId="15F620DA" w14:textId="77777777" w:rsidR="00E8510A" w:rsidRDefault="00E8510A" w:rsidP="00E8510A"/>
    <w:p w14:paraId="34259206" w14:textId="29E06BEF" w:rsidR="00565FFB" w:rsidRDefault="00DE0360">
      <w:pPr>
        <w:pStyle w:val="Heading2"/>
      </w:pPr>
      <w:bookmarkStart w:id="27" w:name="impact"/>
      <w:bookmarkEnd w:id="20"/>
      <w:bookmarkEnd w:id="25"/>
      <w:bookmarkEnd w:id="26"/>
      <w:r>
        <w:lastRenderedPageBreak/>
        <w:t>4. Impact</w:t>
      </w:r>
    </w:p>
    <w:p w14:paraId="205FC41A" w14:textId="77777777" w:rsidR="00565FFB" w:rsidRDefault="00DE0360">
      <w:pPr>
        <w:pStyle w:val="Boxheading"/>
      </w:pPr>
      <w:r w:rsidRPr="0AC85A12">
        <w:rPr>
          <w:lang w:val="en-US"/>
        </w:rPr>
        <w:t>Impact measures how circulating respiratory viruses adversely affect the community and the healthcare system.</w:t>
      </w:r>
    </w:p>
    <w:p w14:paraId="14F2DDB5" w14:textId="77777777" w:rsidR="00565FFB" w:rsidRDefault="00DE0360">
      <w:pPr>
        <w:pStyle w:val="Heading3"/>
      </w:pPr>
      <w:bookmarkStart w:id="28" w:name="community-based-surveillance-1"/>
      <w:r>
        <w:t>4.1 Community-based surveillance</w:t>
      </w:r>
    </w:p>
    <w:p w14:paraId="44302E70" w14:textId="77777777" w:rsidR="00565FFB" w:rsidRDefault="00DE0360" w:rsidP="00CC4308">
      <w:pPr>
        <w:pStyle w:val="Heading4"/>
      </w:pPr>
      <w:bookmarkStart w:id="29" w:name="flutracking-1"/>
      <w:r>
        <w:t>FluTracking</w:t>
      </w:r>
    </w:p>
    <w:p w14:paraId="077255AF" w14:textId="2812F202" w:rsidR="00565FFB" w:rsidRDefault="00DE0360" w:rsidP="00720ECB">
      <w:pPr>
        <w:numPr>
          <w:ilvl w:val="0"/>
          <w:numId w:val="47"/>
        </w:numPr>
      </w:pPr>
      <w:r>
        <w:t>This fortnight (25 March to 7 April 2024), the percentage of FluTracking participants reporting taking three or more days off work or normal duties due to fever and cough symptoms was 43</w:t>
      </w:r>
      <w:r w:rsidR="00040075">
        <w:t>.</w:t>
      </w:r>
      <w:r w:rsidR="00963FDA">
        <w:t>2</w:t>
      </w:r>
      <w:r>
        <w:t>% (423/980), compared with 46</w:t>
      </w:r>
      <w:r w:rsidR="00C61882">
        <w:t>.1</w:t>
      </w:r>
      <w:r>
        <w:t>% (376/815) in the previous fortnight</w:t>
      </w:r>
      <w:r w:rsidR="005618AD">
        <w:t>.</w:t>
      </w:r>
    </w:p>
    <w:p w14:paraId="484DC9A1" w14:textId="77777777" w:rsidR="00565FFB" w:rsidRDefault="00DE0360">
      <w:pPr>
        <w:pStyle w:val="Heading3"/>
      </w:pPr>
      <w:bookmarkStart w:id="30" w:name="hospital-based-surveillance-2"/>
      <w:bookmarkEnd w:id="28"/>
      <w:bookmarkEnd w:id="29"/>
      <w:r>
        <w:t>4.2 Hospital-based surveillance</w:t>
      </w:r>
    </w:p>
    <w:p w14:paraId="6B3D0206" w14:textId="77777777" w:rsidR="00565FFB" w:rsidRDefault="00DE0360" w:rsidP="00CC4308">
      <w:pPr>
        <w:pStyle w:val="Heading4"/>
      </w:pPr>
      <w:bookmarkStart w:id="31" w:name="X59f5ef43e7073908b80df4b48b9dbd6100a2e54"/>
      <w:r w:rsidRPr="003645C0">
        <w:t>Critical Health Resource Information System (CHRIS)</w:t>
      </w:r>
    </w:p>
    <w:p w14:paraId="321CA4F2" w14:textId="46F69952" w:rsidR="1C9D5976" w:rsidRDefault="1C9D5976" w:rsidP="53F5DD37">
      <w:r>
        <w:t>Note, intensive care includes intensive care units and high dependency units that are managed by the intensive care team.</w:t>
      </w:r>
    </w:p>
    <w:p w14:paraId="1E838689" w14:textId="678C4233" w:rsidR="00565FFB" w:rsidRDefault="4B7A2BC0" w:rsidP="00720ECB">
      <w:pPr>
        <w:numPr>
          <w:ilvl w:val="0"/>
          <w:numId w:val="48"/>
        </w:numPr>
      </w:pPr>
      <w:r>
        <w:t xml:space="preserve">As </w:t>
      </w:r>
      <w:r w:rsidR="3752D501">
        <w:t>of</w:t>
      </w:r>
      <w:r>
        <w:t xml:space="preserve"> 8 April 2024, 2.5% (42/1,698) of total staffed intensive care beds were occupied by COVID-19 patients. </w:t>
      </w:r>
    </w:p>
    <w:p w14:paraId="6ED4DF47" w14:textId="57D28341" w:rsidR="00565FFB" w:rsidRPr="00340D0E" w:rsidRDefault="00DE0360" w:rsidP="00720ECB">
      <w:pPr>
        <w:numPr>
          <w:ilvl w:val="0"/>
          <w:numId w:val="48"/>
        </w:numPr>
      </w:pPr>
      <w:r w:rsidRPr="003645C0">
        <w:t>This fortnight (25 March to 7 April 2024), the mean number of COVID-19 cases in intensive care across Australia decreased compared with the previous fortnight (Figure 1</w:t>
      </w:r>
      <w:r w:rsidR="009702BD">
        <w:t>5</w:t>
      </w:r>
      <w:r w:rsidRPr="003645C0">
        <w:t>).</w:t>
      </w:r>
      <w:r w:rsidR="7E6287EB">
        <w:t xml:space="preserve"> </w:t>
      </w:r>
      <w:r w:rsidRPr="00340D0E">
        <w:t xml:space="preserve">This fortnight, the mean number of intensive care staff </w:t>
      </w:r>
      <w:bookmarkStart w:id="32" w:name="_Hlk164085749"/>
      <w:r w:rsidRPr="00340D0E">
        <w:t xml:space="preserve">unavailable to work due to COVID-19 </w:t>
      </w:r>
      <w:bookmarkEnd w:id="32"/>
      <w:r w:rsidRPr="00340D0E">
        <w:t>exposure or illness across Australia decreased compared with the previous fortnight (Figure 1</w:t>
      </w:r>
      <w:r w:rsidR="009702BD">
        <w:t>5</w:t>
      </w:r>
      <w:r w:rsidRPr="00340D0E">
        <w:t>).</w:t>
      </w:r>
    </w:p>
    <w:p w14:paraId="04680EE3" w14:textId="62236E51" w:rsidR="00565FFB" w:rsidRDefault="00DE0360" w:rsidP="00027BB9">
      <w:r>
        <w:rPr>
          <w:b/>
          <w:bCs/>
        </w:rPr>
        <w:t>Figure 1</w:t>
      </w:r>
      <w:r w:rsidR="009702BD">
        <w:rPr>
          <w:b/>
          <w:bCs/>
        </w:rPr>
        <w:t>5</w:t>
      </w:r>
      <w:r>
        <w:rPr>
          <w:b/>
          <w:bCs/>
        </w:rPr>
        <w:t>: Mean number of COVID-19 cases in intensive care and the mean number of intensive care staff unavailable to work due to COVID-19 exposure or illness reported to CHRIS by week of report*</w:t>
      </w:r>
      <w:r w:rsidRPr="00960EBA">
        <w:rPr>
          <w:b/>
          <w:bCs/>
          <w:vertAlign w:val="superscript"/>
        </w:rPr>
        <w:t>†</w:t>
      </w:r>
      <w:r>
        <w:rPr>
          <w:b/>
          <w:bCs/>
        </w:rPr>
        <w:t>, Australia, 1 January to 7 April 2024</w:t>
      </w:r>
      <w:r w:rsidR="00B841C4" w:rsidRPr="00B841C4">
        <w:t xml:space="preserve"> </w:t>
      </w:r>
      <w:r w:rsidR="001D5516">
        <w:rPr>
          <w:noProof/>
        </w:rPr>
        <w:drawing>
          <wp:inline distT="0" distB="0" distL="0" distR="0" wp14:anchorId="044C1403" wp14:editId="688FDC04">
            <wp:extent cx="6184900" cy="2769924"/>
            <wp:effectExtent l="0" t="0" r="0" b="0"/>
            <wp:docPr id="98" name="Graphic 98" descr="A stacked bar chart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7 April 2024. During this time (1 January to 7 April 2024), an apparent secondary peak of 60 COVID-19 cases in intensive care was observed in the week ending 17 March 2024. In the current reporting period (25 March to 7 April 2024), an average of 41 COVID-19 cases were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The mean number of intensive care staff unavailable to work due to COVID-19 exposure or illness reported to CHRIS each week has followed a similar decreasing trend, with an average of 38 intensive care staff unavailable to work each week in the current reporting period (25 March to 7 April 2024). "/>
            <wp:cNvGraphicFramePr/>
            <a:graphic xmlns:a="http://schemas.openxmlformats.org/drawingml/2006/main">
              <a:graphicData uri="http://schemas.openxmlformats.org/drawingml/2006/picture">
                <pic:pic xmlns:pic="http://schemas.openxmlformats.org/drawingml/2006/picture">
                  <pic:nvPicPr>
                    <pic:cNvPr id="98" name="Picture" descr="A stacked bar chart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Since the beginning of 2024, there has been an overall decrease in the mean number of COVID-19 cases in intensive care per week, from approximately 65 COVID-19 cases in intensive care in the week ending 7 January 2024 to approximately 40 COVID-19 cases in intensive care in the week ending 7 April 2024. During this time (1 January to 7 April 2024), an apparent secondary peak of 60 COVID-19 cases in intensive care was observed in the week ending 17 March 2024. In the current reporting period (25 March to 7 April 2024), an average of 41 COVID-19 cases were in intensive care each week. Non-ventilated COVID-19 cases account for the majority of cases in intensive care and reported to CHRIS. The mean number of ventilated COVID-19 cases in intensive care have also followed a decreasing trend since the start of 2024, fluctuating between 5 to 18 ventilated cases per week. The mean number of intensive care staff unavailable to work due to COVID-19 exposure or illness reported to CHRIS each week has followed a similar decreasing trend, with an average of 38 intensive care staff unavailable to work each week in the current reporting period (25 March to 7 April 2024). "/>
                    <pic:cNvPicPr>
                      <a:picLocks noChangeAspect="1" noChangeArrowheads="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270FCBB2" w14:textId="77777777" w:rsidR="00565FFB" w:rsidRDefault="00DE0360" w:rsidP="00694001">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1BD6C361" w14:textId="27A205F0" w:rsidR="00565FFB" w:rsidRPr="00E666BE" w:rsidRDefault="00DE0360" w:rsidP="00720ECB">
      <w:pPr>
        <w:numPr>
          <w:ilvl w:val="0"/>
          <w:numId w:val="49"/>
        </w:numPr>
      </w:pPr>
      <w:r w:rsidRPr="00E666BE">
        <w:lastRenderedPageBreak/>
        <w:t xml:space="preserve">This fortnight, the </w:t>
      </w:r>
      <w:r w:rsidR="00B41700" w:rsidRPr="00E666BE">
        <w:t xml:space="preserve">mean </w:t>
      </w:r>
      <w:r w:rsidRPr="00E666BE">
        <w:t xml:space="preserve">number of COVID-19 cases in intensive care in the </w:t>
      </w:r>
      <w:r w:rsidR="001132DD" w:rsidRPr="00E666BE">
        <w:t xml:space="preserve">Australian </w:t>
      </w:r>
      <w:r w:rsidR="00A4768D" w:rsidRPr="00E666BE">
        <w:t>Capital</w:t>
      </w:r>
      <w:r w:rsidR="001132DD" w:rsidRPr="00E666BE">
        <w:t xml:space="preserve"> Territory, </w:t>
      </w:r>
      <w:r w:rsidR="009D06D7" w:rsidRPr="00E666BE">
        <w:t>Queensland</w:t>
      </w:r>
      <w:r w:rsidRPr="00E666BE">
        <w:t xml:space="preserve">, and </w:t>
      </w:r>
      <w:r w:rsidR="008661D1" w:rsidRPr="00E666BE">
        <w:t>Tasmania</w:t>
      </w:r>
      <w:r w:rsidRPr="00E666BE">
        <w:t xml:space="preserve"> increased compared with the previous fortnight. The </w:t>
      </w:r>
      <w:r w:rsidR="00232328" w:rsidRPr="00E666BE">
        <w:t xml:space="preserve">mean </w:t>
      </w:r>
      <w:r w:rsidRPr="00E666BE">
        <w:t>number of COVID-19 cases in intensive care decreased in the remaining jurisdictions compared with the previous fortnight (Figure 1</w:t>
      </w:r>
      <w:r w:rsidR="009702BD">
        <w:t>6</w:t>
      </w:r>
      <w:r w:rsidRPr="00E666BE">
        <w:t>).</w:t>
      </w:r>
    </w:p>
    <w:p w14:paraId="1912233A" w14:textId="61742DC2" w:rsidR="00565FFB" w:rsidRPr="005E2CD9" w:rsidRDefault="00DE0360" w:rsidP="00720ECB">
      <w:pPr>
        <w:numPr>
          <w:ilvl w:val="0"/>
          <w:numId w:val="49"/>
        </w:numPr>
      </w:pPr>
      <w:r w:rsidRPr="005E2CD9">
        <w:t>This fortnight, the mean number of intensive care staff unavailable to work due to COVID-19 exposure or illness has decreased</w:t>
      </w:r>
      <w:r w:rsidR="00AD7796" w:rsidRPr="005E2CD9">
        <w:t xml:space="preserve"> or remained stable</w:t>
      </w:r>
      <w:r w:rsidRPr="005E2CD9">
        <w:t xml:space="preserve"> across most jurisdictions</w:t>
      </w:r>
      <w:r w:rsidR="00AD7796" w:rsidRPr="005E2CD9">
        <w:t xml:space="preserve">, except in New South </w:t>
      </w:r>
      <w:r w:rsidR="002F6C1A" w:rsidRPr="005E2CD9">
        <w:t>W</w:t>
      </w:r>
      <w:r w:rsidR="00AD7796" w:rsidRPr="005E2CD9">
        <w:t xml:space="preserve">ales </w:t>
      </w:r>
      <w:r w:rsidR="005E2CD9" w:rsidRPr="005E2CD9">
        <w:t>and Queensland</w:t>
      </w:r>
      <w:r w:rsidR="00AD7796" w:rsidRPr="005E2CD9">
        <w:t xml:space="preserve"> where a</w:t>
      </w:r>
      <w:r w:rsidR="008B3317">
        <w:t xml:space="preserve"> small</w:t>
      </w:r>
      <w:r w:rsidR="00AD7796" w:rsidRPr="005E2CD9">
        <w:t xml:space="preserve"> increase</w:t>
      </w:r>
      <w:r w:rsidR="002F6C1A" w:rsidRPr="005E2CD9">
        <w:t xml:space="preserve"> was observed</w:t>
      </w:r>
      <w:r w:rsidRPr="005E2CD9">
        <w:t xml:space="preserve"> compared with the previous fortnight (Figure 1</w:t>
      </w:r>
      <w:r w:rsidR="009702BD">
        <w:t>6</w:t>
      </w:r>
      <w:r w:rsidRPr="005E2CD9">
        <w:t>).</w:t>
      </w:r>
    </w:p>
    <w:p w14:paraId="71787025" w14:textId="34E4F33E" w:rsidR="00565FFB" w:rsidRDefault="00DE0360" w:rsidP="009A2552">
      <w:r>
        <w:rPr>
          <w:b/>
          <w:bCs/>
        </w:rPr>
        <w:t>Figure 1</w:t>
      </w:r>
      <w:r w:rsidR="009702BD">
        <w:rPr>
          <w:b/>
          <w:bCs/>
        </w:rPr>
        <w:t>6</w:t>
      </w:r>
      <w:r>
        <w:rPr>
          <w:b/>
          <w:bCs/>
        </w:rPr>
        <w:t>: Mean number of COVID-19 cases in intensive care and the mean number of intensive care staff unavailable to work due to COVID-19 exposure or illness reported to CHRIS by jurisdiction and week of report*</w:t>
      </w:r>
      <w:r w:rsidRPr="00960EBA">
        <w:rPr>
          <w:b/>
          <w:bCs/>
          <w:vertAlign w:val="superscript"/>
        </w:rPr>
        <w:t>†‡</w:t>
      </w:r>
      <w:r>
        <w:rPr>
          <w:b/>
          <w:bCs/>
        </w:rPr>
        <w:t>, Australia, 1 January to 7 April 2024</w:t>
      </w:r>
      <w:r w:rsidR="000B72D6">
        <w:rPr>
          <w:noProof/>
        </w:rPr>
        <w:br/>
      </w:r>
      <w:r w:rsidR="004F742A">
        <w:rPr>
          <w:noProof/>
        </w:rPr>
        <w:drawing>
          <wp:inline distT="0" distB="0" distL="0" distR="0" wp14:anchorId="4E546358" wp14:editId="629EAC7C">
            <wp:extent cx="6184900" cy="6545369"/>
            <wp:effectExtent l="0" t="0" r="0" b="0"/>
            <wp:docPr id="101" name="Graphic 101" descr="A set of eight stacked bar charts, one for each Australian state or territory,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25 March to 7 April 2024) a small increase in the number of intensive care staff unavailable per week was observed in New South Wales and Queensland, compared with the previous fortnight. In the current reporting period, the mean number intensive care staff unavailable per week decreased in the Australian Capital Territory, South Australia, Tasmania, Victoria and Western Australia, compared with the previous fortnight."/>
            <wp:cNvGraphicFramePr/>
            <a:graphic xmlns:a="http://schemas.openxmlformats.org/drawingml/2006/main">
              <a:graphicData uri="http://schemas.openxmlformats.org/drawingml/2006/picture">
                <pic:pic xmlns:pic="http://schemas.openxmlformats.org/drawingml/2006/picture">
                  <pic:nvPicPr>
                    <pic:cNvPr id="101" name="Picture" descr="A set of eight stacked bar charts, one for each Australian state or territory, showing the mean number of ventilated and non-ventilated COVID-19 cases in intensive care reported to CHRIS by week of report from 1 January to 7 April 2024. A line graph plotted on the same axis (left) shows the mean number of intensive care staff unavailable to work due to COVID-19 exposure or illness by week of report to CHRIS, from 1 January to 7 April 2024. The y-axis (left) is different for each state or territory relative to the number of intensive care admissions. The mean number of COVID-19 cases in intensive care across most jurisdictions, except the Northern Territory and Queensland, have either followed a decreasing trend or remained relatively stable since the start of 2024. The weekly mean number of COVID-19 cases in intensive care in the Northern Territory and Queensland have increased, compared with the number of COVID-19 cases observed in intensive care in early 2024. Since the beginning of 2024, the highest number of mean COVID-19 cases in intensive care have been observed in New South Wales (approximately 26 COVID-19 cases in intensive care per week) and Victoria (approximately 24 COVID-19 cases in intensive care per week).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1 intensive care staff unavailable per week since the beginning of 2024. In the current reporting period (25 March to 7 April 2024) a small increase in the number of intensive care staff unavailable per week was observed in New South Wales and Queensland, compared with the previous fortnight. In the current reporting period, the mean number intensive care staff unavailable per week decreased in the Australian Capital Territory, South Australia, Tasmania, Victoria and Western Australia, compared with the previous fortnight."/>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6545369"/>
                    </a:xfrm>
                    <a:prstGeom prst="rect">
                      <a:avLst/>
                    </a:prstGeom>
                    <a:noFill/>
                    <a:ln w="9525">
                      <a:noFill/>
                      <a:headEnd/>
                      <a:tailEnd/>
                    </a:ln>
                  </pic:spPr>
                </pic:pic>
              </a:graphicData>
            </a:graphic>
          </wp:inline>
        </w:drawing>
      </w:r>
      <w:r w:rsidRPr="00CD356C">
        <w:rPr>
          <w:sz w:val="16"/>
          <w:szCs w:val="18"/>
        </w:rPr>
        <w:t>* Axis varies between jurisdictions.</w:t>
      </w:r>
      <w:r w:rsidRPr="00CD356C">
        <w:rPr>
          <w:sz w:val="16"/>
          <w:szCs w:val="18"/>
        </w:rPr>
        <w:br/>
        <w:t>† Mean number of ventilated and non-ventilated COVID-19 cases in intensive care includes only active COVID-19 cases (those in isolation) and does not include cleared COVID-19 cases.</w:t>
      </w:r>
      <w:r w:rsidRPr="00CD356C">
        <w:rPr>
          <w:sz w:val="16"/>
          <w:szCs w:val="18"/>
        </w:rPr>
        <w:br/>
        <w:t>‡ Intensive care staff include both medical and nursing staff.</w:t>
      </w:r>
    </w:p>
    <w:p w14:paraId="34732D7C" w14:textId="77777777" w:rsidR="00565FFB" w:rsidRDefault="00DE0360">
      <w:pPr>
        <w:pStyle w:val="Heading2"/>
      </w:pPr>
      <w:bookmarkStart w:id="33" w:name="genomic-surveillance-and-virology"/>
      <w:bookmarkEnd w:id="27"/>
      <w:bookmarkEnd w:id="30"/>
      <w:bookmarkEnd w:id="31"/>
      <w:r>
        <w:lastRenderedPageBreak/>
        <w:t>5. Genomic surveillance and virology</w:t>
      </w:r>
    </w:p>
    <w:p w14:paraId="41A4B335" w14:textId="38082C35" w:rsidR="00565FFB" w:rsidRDefault="00DE0360" w:rsidP="00CC4308">
      <w:pPr>
        <w:pStyle w:val="Heading4"/>
      </w:pPr>
      <w:bookmarkStart w:id="34" w:name="austrakka-last-updated-insert-date"/>
      <w:r>
        <w:t>AusTrakka</w:t>
      </w:r>
    </w:p>
    <w:p w14:paraId="667BC4D4" w14:textId="094453D0" w:rsidR="00565FFB" w:rsidRDefault="00DE0360">
      <w:r>
        <w:t xml:space="preserve">Data on SARS-CoV-2 genomics should be interpreted with caution as SARS-CoV-2 sequencing strategies have changed significantly, and the representativeness of sequences uploaded to AusTrakka may be limited by the different sample referral pathways for each jurisdiction and </w:t>
      </w:r>
      <w:r w:rsidR="00331B18">
        <w:t xml:space="preserve">a </w:t>
      </w:r>
      <w:r>
        <w:t>significant reduction in sequencing across the country. Sequences are reported based on date of sample collection, not date of sequencing. Due to the small number of sequences received and some delays in provision of data to AusTrakka, this section will be updated every four weeks</w:t>
      </w:r>
      <w:r w:rsidR="620B3794">
        <w:t>; t</w:t>
      </w:r>
      <w:r w:rsidR="4B7A2BC0">
        <w:t>herefore</w:t>
      </w:r>
      <w:r>
        <w:t>, reporting periods presented here may not align with other sections of the report.</w:t>
      </w:r>
    </w:p>
    <w:p w14:paraId="353AEB48" w14:textId="32FB3E14" w:rsidR="00565FFB" w:rsidRDefault="00DE0360" w:rsidP="00720ECB">
      <w:pPr>
        <w:numPr>
          <w:ilvl w:val="0"/>
          <w:numId w:val="50"/>
        </w:numPr>
      </w:pPr>
      <w:r>
        <w:t xml:space="preserve">As </w:t>
      </w:r>
      <w:r w:rsidR="009D2EB4">
        <w:t>of</w:t>
      </w:r>
      <w:r>
        <w:t xml:space="preserve"> 8 April 2024, jurisdictions </w:t>
      </w:r>
      <w:r w:rsidR="00F969D3">
        <w:t xml:space="preserve">that </w:t>
      </w:r>
      <w:r>
        <w:t>have samples with dates of collection during the past 28 days include New South Wales, Queensland, South Australia, Tasmania and Western Australia</w:t>
      </w:r>
      <w:r w:rsidR="00351703">
        <w:t>, with the</w:t>
      </w:r>
      <w:r w:rsidR="00AE12A6">
        <w:t xml:space="preserve"> most recent collection date </w:t>
      </w:r>
      <w:r w:rsidR="005E0337">
        <w:t xml:space="preserve">24 March 2024. </w:t>
      </w:r>
    </w:p>
    <w:p w14:paraId="30610312" w14:textId="51E31464" w:rsidR="00565FFB" w:rsidRDefault="00DE0360" w:rsidP="00720ECB">
      <w:pPr>
        <w:numPr>
          <w:ilvl w:val="0"/>
          <w:numId w:val="50"/>
        </w:numPr>
      </w:pPr>
      <w:r>
        <w:t xml:space="preserve">As </w:t>
      </w:r>
      <w:r w:rsidR="009D2EB4">
        <w:t>of</w:t>
      </w:r>
      <w:r>
        <w:t xml:space="preserve"> 8 April 2024, </w:t>
      </w:r>
      <w:r w:rsidR="00986BC8">
        <w:t>282</w:t>
      </w:r>
      <w:r>
        <w:t xml:space="preserve"> sequences have been uploaded to AusTrakka with dates of collection within the past 28-day period (11 March to 7 April 2024). All sequences </w:t>
      </w:r>
      <w:r w:rsidR="00C77229">
        <w:t>were</w:t>
      </w:r>
      <w:r>
        <w:t xml:space="preserve"> assigned to </w:t>
      </w:r>
      <w:r w:rsidR="00064A8A">
        <w:t xml:space="preserve">the </w:t>
      </w:r>
      <w:r w:rsidR="00064A8A" w:rsidRPr="00064A8A">
        <w:t xml:space="preserve">BA.2.86 sub-lineage within B.1.1.529 (Omicron) </w:t>
      </w:r>
      <w:r>
        <w:t xml:space="preserve">or recombinants consisting of one or more Omicron sub-lineages. There </w:t>
      </w:r>
      <w:r w:rsidR="001D5296">
        <w:t>were</w:t>
      </w:r>
      <w:r>
        <w:t xml:space="preserve"> no BA.1, BA.3, BA.4, BA.5 or other BA.2 sub-sub-lineage sequences identified in the past 28 days (Figure 1</w:t>
      </w:r>
      <w:r w:rsidR="009702BD">
        <w:t>7</w:t>
      </w:r>
      <w:r>
        <w:t>).</w:t>
      </w:r>
    </w:p>
    <w:p w14:paraId="14BFA22F" w14:textId="7FFF3F68" w:rsidR="00565FFB" w:rsidRDefault="00DE0360" w:rsidP="00720ECB">
      <w:pPr>
        <w:numPr>
          <w:ilvl w:val="0"/>
          <w:numId w:val="50"/>
        </w:numPr>
      </w:pPr>
      <w:r>
        <w:t xml:space="preserve">Of the </w:t>
      </w:r>
      <w:r w:rsidR="00E048B8">
        <w:t>282</w:t>
      </w:r>
      <w:r>
        <w:t xml:space="preserve"> sequences collected in the past 28 days, </w:t>
      </w:r>
      <w:r w:rsidR="00D60467">
        <w:t>97.2</w:t>
      </w:r>
      <w:r>
        <w:t>% (</w:t>
      </w:r>
      <w:r w:rsidR="00D06721">
        <w:t>274</w:t>
      </w:r>
      <w:r>
        <w:t>/</w:t>
      </w:r>
      <w:r w:rsidR="00D06721">
        <w:t>282</w:t>
      </w:r>
      <w:r>
        <w:t xml:space="preserve">) </w:t>
      </w:r>
      <w:r w:rsidR="00D43516">
        <w:t>were</w:t>
      </w:r>
      <w:r>
        <w:t xml:space="preserve"> BA.2 sub</w:t>
      </w:r>
      <w:r w:rsidR="003333AC">
        <w:t>-</w:t>
      </w:r>
      <w:r>
        <w:t xml:space="preserve">lineages, specifically sub-sub-lineages of BA.2.86, including </w:t>
      </w:r>
      <w:r w:rsidR="00BC3B4B">
        <w:t xml:space="preserve">271 </w:t>
      </w:r>
      <w:r>
        <w:t>JN.1 (BA.2.86.1.1) sequences (Figure 1</w:t>
      </w:r>
      <w:r w:rsidR="009702BD">
        <w:t>7</w:t>
      </w:r>
      <w:r>
        <w:t xml:space="preserve">). The remaining </w:t>
      </w:r>
      <w:r w:rsidR="005E193C">
        <w:t>2.8</w:t>
      </w:r>
      <w:r>
        <w:t>% (</w:t>
      </w:r>
      <w:r w:rsidR="00B717DB">
        <w:t>8</w:t>
      </w:r>
      <w:r w:rsidR="000B4773">
        <w:t>/</w:t>
      </w:r>
      <w:r w:rsidR="00B717DB">
        <w:t>282</w:t>
      </w:r>
      <w:r>
        <w:t xml:space="preserve">) </w:t>
      </w:r>
      <w:r w:rsidR="00C03797">
        <w:t>were</w:t>
      </w:r>
      <w:r>
        <w:t xml:space="preserve"> recombinant or recombinant sub-lineages. The predominant recombinant lineages sequenced </w:t>
      </w:r>
      <w:r w:rsidR="000F597C">
        <w:t>include</w:t>
      </w:r>
      <w:r w:rsidR="00DF2AA4">
        <w:t>d</w:t>
      </w:r>
      <w:r w:rsidR="000F597C">
        <w:t xml:space="preserve"> </w:t>
      </w:r>
      <w:r w:rsidR="005C2BDA" w:rsidRPr="005C2BDA">
        <w:t>XDK, a recombinant between JN.1.1.1 and XBB.1.16, and XBB* (specifically EG.5)</w:t>
      </w:r>
      <w:r>
        <w:t>.</w:t>
      </w:r>
    </w:p>
    <w:p w14:paraId="16BD93FB" w14:textId="2B068491" w:rsidR="00565FFB" w:rsidRDefault="00DE0360" w:rsidP="00720ECB">
      <w:pPr>
        <w:numPr>
          <w:ilvl w:val="0"/>
          <w:numId w:val="50"/>
        </w:numPr>
      </w:pPr>
      <w:r>
        <w:t>The increase in JN.1 sequences has driven the increase in the proportion of BA.2 sequences being seen in AusTrakka and the comparative decline in the proportion of recombinant sequences (Figure 1</w:t>
      </w:r>
      <w:r w:rsidR="009702BD">
        <w:t>7</w:t>
      </w:r>
      <w:r>
        <w:t>).</w:t>
      </w:r>
    </w:p>
    <w:p w14:paraId="01E2D2CA" w14:textId="77777777" w:rsidR="00565FFB" w:rsidRDefault="00DE0360" w:rsidP="00720ECB">
      <w:pPr>
        <w:numPr>
          <w:ilvl w:val="0"/>
          <w:numId w:val="50"/>
        </w:numPr>
      </w:pPr>
      <w:r>
        <w:t>The World Health Organization have identified certain sub-sub-lineages and recombinants as variants under monitoring (VUM) or variants of interest (VOI) because of their epidemiological, pathological, or immunological features of concern. A select number of designated VOI are highlighted below due to their relevance in the Australian context:</w:t>
      </w:r>
    </w:p>
    <w:p w14:paraId="75BD313F" w14:textId="2BFBA0F3" w:rsidR="00565FFB" w:rsidRDefault="00DE0360" w:rsidP="00720ECB">
      <w:pPr>
        <w:numPr>
          <w:ilvl w:val="1"/>
          <w:numId w:val="51"/>
        </w:numPr>
      </w:pPr>
      <w:r>
        <w:t xml:space="preserve">The </w:t>
      </w:r>
      <w:r w:rsidR="00D92938">
        <w:t>proportion</w:t>
      </w:r>
      <w:r>
        <w:t xml:space="preserve"> of JN.1 sequences has </w:t>
      </w:r>
      <w:r w:rsidR="00FE3848" w:rsidRPr="00FE3848">
        <w:t>been consistent (96.1%; 271/282)</w:t>
      </w:r>
      <w:r>
        <w:t xml:space="preserve"> in the past 28 days, compared with the previous 28-day period.</w:t>
      </w:r>
      <w:r w:rsidR="00AC0C45">
        <w:t xml:space="preserve"> </w:t>
      </w:r>
    </w:p>
    <w:p w14:paraId="761741FC" w14:textId="72359100" w:rsidR="00565FFB" w:rsidRDefault="00DE0360" w:rsidP="00720ECB">
      <w:pPr>
        <w:numPr>
          <w:ilvl w:val="1"/>
          <w:numId w:val="51"/>
        </w:numPr>
      </w:pPr>
      <w:r>
        <w:t>The number of BA.2.86 sequences</w:t>
      </w:r>
      <w:r w:rsidR="00014C09">
        <w:t xml:space="preserve"> </w:t>
      </w:r>
      <w:r w:rsidR="00014C09" w:rsidRPr="00014C09">
        <w:t>(including JN.1 sub-lineages)</w:t>
      </w:r>
      <w:r>
        <w:t xml:space="preserve"> has </w:t>
      </w:r>
      <w:r w:rsidR="001A46C2" w:rsidRPr="001A46C2">
        <w:t>increased slightly (97.2%; 274/282) in the past 28 days</w:t>
      </w:r>
      <w:r>
        <w:t xml:space="preserve">, compared with the previous 28-day period. This is predominantly due to the </w:t>
      </w:r>
      <w:r w:rsidR="00D63B05" w:rsidRPr="00D63B05">
        <w:t xml:space="preserve">large proportion </w:t>
      </w:r>
      <w:r w:rsidR="00D63B05">
        <w:t xml:space="preserve">of </w:t>
      </w:r>
      <w:r>
        <w:t>JN.1 sequences.</w:t>
      </w:r>
    </w:p>
    <w:p w14:paraId="754B5A4D" w14:textId="6C10DF2F" w:rsidR="00565FFB" w:rsidRPr="001D5B59" w:rsidRDefault="00DE0360" w:rsidP="00720ECB">
      <w:pPr>
        <w:numPr>
          <w:ilvl w:val="1"/>
          <w:numId w:val="51"/>
        </w:numPr>
      </w:pPr>
      <w:r>
        <w:t>There ha</w:t>
      </w:r>
      <w:r w:rsidR="001D5B59">
        <w:t>s</w:t>
      </w:r>
      <w:r>
        <w:t xml:space="preserve"> been </w:t>
      </w:r>
      <w:r w:rsidR="009E3A0F">
        <w:t>one</w:t>
      </w:r>
      <w:r>
        <w:t xml:space="preserve"> sequence of XBB.1.5 and</w:t>
      </w:r>
      <w:r w:rsidR="009E3A0F">
        <w:t xml:space="preserve"> two</w:t>
      </w:r>
      <w:r>
        <w:t xml:space="preserve"> sequences of EG.5 in the past 28</w:t>
      </w:r>
      <w:r w:rsidR="009E3A0F">
        <w:t>-</w:t>
      </w:r>
      <w:r>
        <w:t>day period.</w:t>
      </w:r>
      <w:r w:rsidR="001D5B59">
        <w:t xml:space="preserve"> No XBB.1.16 (sub-lineages of XBB*) </w:t>
      </w:r>
      <w:r w:rsidR="00BD2227">
        <w:t>have been</w:t>
      </w:r>
      <w:r w:rsidR="001D5B59">
        <w:t xml:space="preserve"> identified.</w:t>
      </w:r>
    </w:p>
    <w:p w14:paraId="44F811BA" w14:textId="01A1A962" w:rsidR="001D5B59" w:rsidRDefault="009605F1" w:rsidP="009605F1">
      <w:pPr>
        <w:pStyle w:val="ListParagraph"/>
        <w:numPr>
          <w:ilvl w:val="1"/>
          <w:numId w:val="51"/>
        </w:numPr>
      </w:pPr>
      <w:r w:rsidRPr="009605F1">
        <w:t xml:space="preserve">There have been </w:t>
      </w:r>
      <w:r>
        <w:t>four</w:t>
      </w:r>
      <w:r w:rsidRPr="009605F1">
        <w:t xml:space="preserve"> sequences from the recently emerged XDK recombinant lineage (JN.1.1.1 and XBB.1.16) identified in the past 28</w:t>
      </w:r>
      <w:r>
        <w:t>-</w:t>
      </w:r>
      <w:r w:rsidRPr="009605F1">
        <w:t>day</w:t>
      </w:r>
      <w:r>
        <w:t xml:space="preserve"> period</w:t>
      </w:r>
      <w:r w:rsidRPr="009605F1">
        <w:t>.</w:t>
      </w:r>
    </w:p>
    <w:p w14:paraId="66D4429E" w14:textId="77777777" w:rsidR="00565FFB" w:rsidRDefault="00DE0360">
      <w:r>
        <w:br w:type="page"/>
      </w:r>
    </w:p>
    <w:p w14:paraId="780C90F8" w14:textId="79432300" w:rsidR="00565FFB" w:rsidRDefault="00DE0360">
      <w:r>
        <w:rPr>
          <w:b/>
          <w:bCs/>
        </w:rPr>
        <w:lastRenderedPageBreak/>
        <w:t>Figure 1</w:t>
      </w:r>
      <w:r w:rsidR="009702BD">
        <w:rPr>
          <w:b/>
          <w:bCs/>
        </w:rPr>
        <w:t>7</w:t>
      </w:r>
      <w:r>
        <w:rPr>
          <w:b/>
          <w:bCs/>
        </w:rPr>
        <w:t>: Omicron sub-lineage sequences in AusTrakka by sample collection date, showing (A) proportions and (B) count per week</w:t>
      </w:r>
      <w:r w:rsidR="00445C27">
        <w:rPr>
          <w:b/>
          <w:bCs/>
        </w:rPr>
        <w:t>*</w:t>
      </w:r>
      <w:r w:rsidR="00445C27" w:rsidRPr="003E3223">
        <w:rPr>
          <w:b/>
          <w:bCs/>
          <w:vertAlign w:val="superscript"/>
        </w:rPr>
        <w:t>†</w:t>
      </w:r>
      <w:r>
        <w:rPr>
          <w:b/>
          <w:bCs/>
        </w:rPr>
        <w:t>, Australia, 1 January to 7 April 2024</w:t>
      </w:r>
    </w:p>
    <w:p w14:paraId="152277AD" w14:textId="0D225BEA" w:rsidR="00565FFB" w:rsidRDefault="007F6A57" w:rsidP="00694001">
      <w:pPr>
        <w:pStyle w:val="Smalltext"/>
      </w:pPr>
      <w:r>
        <w:rPr>
          <w:noProof/>
        </w:rPr>
        <w:drawing>
          <wp:inline distT="0" distB="0" distL="0" distR="0" wp14:anchorId="0655FC78" wp14:editId="581C8FA9">
            <wp:extent cx="5536800" cy="2768400"/>
            <wp:effectExtent l="0" t="0" r="6985" b="0"/>
            <wp:docPr id="26378775" name="Picture 26378775" descr="Figure 17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8775" name="Picture 26378775" descr="Figure 17A, a 100% stacked bar chart, plots the proportions of SARS-CoV-2 sequences recorded in AusTrakka by lineage for each collection week from 1 January 2024 by sample collection date. The figure shows that the dominant sub-lineage sequences in the year to date have been BA.2.86, with smaller proportions of EG.5, XBB.1.5 and XBB.1.16. Since the beginning of 2024, the proportion of BA.2.86 sequences have been increasing each week; this is predominantly due to the large proportion of JN.1 (BA.2.86.1.1) sequences which have been collapsed into the parent lineage BA.2.86. There has been a comparative decline in the number of recombinant sequences (EG.5, XBB.1.5 and XBB.1.16) seen each week. There were no sequences with a collection date in the second fortnight (25 March to 7 April 2024)."/>
                    <pic:cNvPicPr/>
                  </pic:nvPicPr>
                  <pic:blipFill>
                    <a:blip r:embed="rId48">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r w:rsidR="000E0F2B">
        <w:rPr>
          <w:noProof/>
        </w:rPr>
        <w:drawing>
          <wp:inline distT="0" distB="0" distL="0" distR="0" wp14:anchorId="7DD0132A" wp14:editId="6A42E2B8">
            <wp:extent cx="5536800" cy="2768400"/>
            <wp:effectExtent l="0" t="0" r="6985" b="0"/>
            <wp:docPr id="150232954" name="Picture 150232954" descr="Figure 17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2954" name="Picture 150232954" descr="Figure 17B shows the weekly numbers of SARS-CoV-2 sequences recorded in AusTrakka by lineage for each collection week from 1 January 2024 by sample collection date. Following an increase in the number of sequences across January 2024, sequence numbers dropped across February and March 2024. In the current 28-day reporting period (11 March – 7 April 2024), the majority of sequences reported are from the first fortnight (11–24 March 2024) and are dominated by BA.2.86 with a minority proportion of recombinant sequences, mostly EG.5. There were no sequences with a collection date in the second fortnight (25 March to 7 April 2024)."/>
                    <pic:cNvPicPr/>
                  </pic:nvPicPr>
                  <pic:blipFill>
                    <a:blip r:embed="rId49">
                      <a:extLst>
                        <a:ext uri="{28A0092B-C50C-407E-A947-70E740481C1C}">
                          <a14:useLocalDpi xmlns:a14="http://schemas.microsoft.com/office/drawing/2010/main" val="0"/>
                        </a:ext>
                      </a:extLst>
                    </a:blip>
                    <a:stretch>
                      <a:fillRect/>
                    </a:stretch>
                  </pic:blipFill>
                  <pic:spPr>
                    <a:xfrm>
                      <a:off x="0" y="0"/>
                      <a:ext cx="5536800" cy="2768400"/>
                    </a:xfrm>
                    <a:prstGeom prst="rect">
                      <a:avLst/>
                    </a:prstGeom>
                  </pic:spPr>
                </pic:pic>
              </a:graphicData>
            </a:graphic>
          </wp:inline>
        </w:drawing>
      </w:r>
      <w:r w:rsidR="000E0F2B">
        <w:br/>
      </w:r>
      <w:r w:rsidR="00DE0360">
        <w:t>* Sequences in AusTrakka aggregated by epidemiological week. Sequences are reported based on date of sample collection, not date of sequencing.</w:t>
      </w:r>
      <w:r w:rsidR="00DE0360">
        <w:br/>
      </w:r>
      <w:r w:rsidR="00445C27">
        <w:t>†</w:t>
      </w:r>
      <w:r w:rsidR="00DE0360">
        <w:t xml:space="preserve"> Proportions in Figure 1</w:t>
      </w:r>
      <w:r w:rsidR="009702BD">
        <w:t>7</w:t>
      </w:r>
      <w:r w:rsidR="00DE0360">
        <w:t>A may not be representative when sequence numbers are small; refer to Figure 1</w:t>
      </w:r>
      <w:r w:rsidR="009702BD">
        <w:t>7</w:t>
      </w:r>
      <w:r w:rsidR="00DE0360">
        <w:t>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655EBCE" w14:textId="77777777" w:rsidR="00565FFB" w:rsidRDefault="00565FFB" w:rsidP="00694001">
      <w:pPr>
        <w:pStyle w:val="Smalltext"/>
      </w:pPr>
    </w:p>
    <w:p w14:paraId="09443460" w14:textId="77777777" w:rsidR="00565FFB" w:rsidRDefault="00DE0360" w:rsidP="00CC4308">
      <w:pPr>
        <w:pStyle w:val="Heading4"/>
      </w:pPr>
      <w:bookmarkStart w:id="35" w:name="X02456953aaf8aed0d877be920ae9a070e33b654"/>
      <w:bookmarkEnd w:id="34"/>
      <w:r>
        <w:t>Sentinel laboratories, including National Influenza Centres</w:t>
      </w:r>
    </w:p>
    <w:p w14:paraId="4DC8A2ED" w14:textId="5DF419B3" w:rsidR="00B22778" w:rsidRDefault="00743392" w:rsidP="009D4ABF">
      <w:pPr>
        <w:numPr>
          <w:ilvl w:val="0"/>
          <w:numId w:val="7"/>
        </w:numPr>
      </w:pPr>
      <w:r>
        <w:t xml:space="preserve">In the year to date, there have been 2,472 influenza positive samples received by sentinel laboratories. Of those, </w:t>
      </w:r>
      <w:r w:rsidRPr="00942538">
        <w:t>influenza A accounted for 90</w:t>
      </w:r>
      <w:r w:rsidR="00A95DF7" w:rsidRPr="00942538">
        <w:t>.3</w:t>
      </w:r>
      <w:r w:rsidRPr="00942538">
        <w:t>% (2,231/2,472)</w:t>
      </w:r>
      <w:r>
        <w:t xml:space="preserve"> of positive samples and influenza B accounted for </w:t>
      </w:r>
      <w:r w:rsidR="00DD4B12">
        <w:t>9.8</w:t>
      </w:r>
      <w:r>
        <w:t xml:space="preserve">% (243/2,472) of positive samples (Figure </w:t>
      </w:r>
      <w:r w:rsidR="009702BD">
        <w:t>18</w:t>
      </w:r>
      <w:r>
        <w:t>).</w:t>
      </w:r>
      <w:r w:rsidR="008377FB">
        <w:t xml:space="preserve"> </w:t>
      </w:r>
    </w:p>
    <w:p w14:paraId="683148D4" w14:textId="2309E5FB" w:rsidR="00565FFB" w:rsidRPr="001D38DE" w:rsidRDefault="00DE0360" w:rsidP="00B22778">
      <w:pPr>
        <w:numPr>
          <w:ilvl w:val="1"/>
          <w:numId w:val="53"/>
        </w:numPr>
      </w:pPr>
      <w:r w:rsidRPr="001D38DE">
        <w:t>To note, the number of samples by type may not sum the total number of positive samples, due to multiple influenza detections in some individual samples.</w:t>
      </w:r>
    </w:p>
    <w:p w14:paraId="45C3D7A3" w14:textId="77777777" w:rsidR="00565FFB" w:rsidRDefault="00DE0360">
      <w:r>
        <w:br w:type="page"/>
      </w:r>
    </w:p>
    <w:p w14:paraId="05347444" w14:textId="5BC5BDA2" w:rsidR="00565FFB" w:rsidRDefault="00DE0360">
      <w:r w:rsidRPr="002F257D">
        <w:rPr>
          <w:b/>
        </w:rPr>
        <w:lastRenderedPageBreak/>
        <w:t xml:space="preserve">Figure </w:t>
      </w:r>
      <w:r w:rsidR="009702BD">
        <w:rPr>
          <w:b/>
        </w:rPr>
        <w:t>18</w:t>
      </w:r>
      <w:r w:rsidRPr="002F257D">
        <w:rPr>
          <w:b/>
        </w:rPr>
        <w:t>: Proportion of sentinel laboratory tests positive for influenza and total number of specimens tested by subtype and week of report*, Australia, 1 January to 7 April 2024</w:t>
      </w:r>
    </w:p>
    <w:p w14:paraId="485D0555" w14:textId="64F705D9" w:rsidR="00565FFB" w:rsidRDefault="004D3007">
      <w:pPr>
        <w:pStyle w:val="BodyText"/>
      </w:pPr>
      <w:r>
        <w:rPr>
          <w:noProof/>
        </w:rPr>
        <w:drawing>
          <wp:inline distT="0" distB="0" distL="0" distR="0" wp14:anchorId="73A84360" wp14:editId="192DA925">
            <wp:extent cx="6184900" cy="2731980"/>
            <wp:effectExtent l="0" t="0" r="0" b="0"/>
            <wp:docPr id="96" name="Picture"/>
            <wp:cNvGraphicFramePr/>
            <a:graphic xmlns:a="http://schemas.openxmlformats.org/drawingml/2006/main">
              <a:graphicData uri="http://schemas.openxmlformats.org/drawingml/2006/picture">
                <pic:pic xmlns:pic="http://schemas.openxmlformats.org/drawingml/2006/picture">
                  <pic:nvPicPr>
                    <pic:cNvPr id="97" name="Picture" descr="REP1-2_REVISIONS_COVID_Influenza_RSV_2024_files/figure-docx/figure_20-1.svg"/>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3A2634C" w14:textId="77777777" w:rsidR="00565FFB" w:rsidRDefault="00DE0360" w:rsidP="00694001">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77C83725" w14:textId="77777777" w:rsidR="00565FFB" w:rsidRDefault="00565FFB" w:rsidP="00694001">
      <w:pPr>
        <w:pStyle w:val="Smalltext"/>
      </w:pPr>
    </w:p>
    <w:p w14:paraId="56F86CCB" w14:textId="77777777" w:rsidR="00565FFB" w:rsidRDefault="00DE0360" w:rsidP="00CC4308">
      <w:pPr>
        <w:pStyle w:val="Heading4"/>
      </w:pPr>
      <w:bookmarkStart w:id="36" w:name="Xc4f93f5d9131c8100679f7c4820c9910b032f91"/>
      <w:bookmarkEnd w:id="35"/>
      <w:r>
        <w:t>World Health Organization Collaborating Centre (WHOCC) for Reference and Research on Influenza</w:t>
      </w:r>
    </w:p>
    <w:p w14:paraId="13728662" w14:textId="15BED456" w:rsidR="00565FFB" w:rsidRDefault="00DE0360" w:rsidP="00720ECB">
      <w:pPr>
        <w:numPr>
          <w:ilvl w:val="0"/>
          <w:numId w:val="54"/>
        </w:numPr>
      </w:pPr>
      <w:r>
        <w:t xml:space="preserve">In the year to date, the WHOCC </w:t>
      </w:r>
      <w:r w:rsidR="00971C6C">
        <w:t xml:space="preserve">has </w:t>
      </w:r>
      <w:r>
        <w:t>characterised 218 influenza viruses, of which</w:t>
      </w:r>
      <w:r w:rsidR="00A05798">
        <w:t xml:space="preserve"> </w:t>
      </w:r>
      <w:r w:rsidR="00A05798" w:rsidRPr="00A05798">
        <w:t>58.7% (128/218) have been influenza A(H3N2)</w:t>
      </w:r>
      <w:r w:rsidR="00A05798">
        <w:t>,</w:t>
      </w:r>
      <w:r>
        <w:t xml:space="preserve"> 35</w:t>
      </w:r>
      <w:r w:rsidR="00014B25">
        <w:t>.3</w:t>
      </w:r>
      <w:r>
        <w:t>% (77/218) have been influenza A(H1N1), and 6</w:t>
      </w:r>
      <w:r w:rsidR="00154BCE">
        <w:t>.0</w:t>
      </w:r>
      <w:r>
        <w:t>% (13/218) have been influenza B/Victoria (Table 4).</w:t>
      </w:r>
    </w:p>
    <w:p w14:paraId="7D309FCE" w14:textId="77777777" w:rsidR="00685D75" w:rsidRDefault="00DE0360" w:rsidP="00DE0360">
      <w:pPr>
        <w:numPr>
          <w:ilvl w:val="0"/>
          <w:numId w:val="7"/>
        </w:numPr>
      </w:pPr>
      <w:r>
        <w:t>Of the influenza A(</w:t>
      </w:r>
      <w:r w:rsidR="00685D75" w:rsidRPr="00685D75">
        <w:t>H3N2</w:t>
      </w:r>
      <w:r>
        <w:t>) samples tested for neuraminidase inhibitor resistance, 1</w:t>
      </w:r>
      <w:r w:rsidR="00685D75" w:rsidRPr="00685D75">
        <w:t>.5% (1/67</w:t>
      </w:r>
      <w:r>
        <w:t xml:space="preserve">) demonstrated reduced inhibition to Oseltamivir. None of the </w:t>
      </w:r>
      <w:r w:rsidR="00685D75" w:rsidRPr="00685D75">
        <w:t xml:space="preserve">A(H1N1) </w:t>
      </w:r>
      <w:r>
        <w:t>influenza or influenza B/Victoria samples tested for neuraminidase inhibitor resistance demonstrated reduced inhibition to Oseltamivir or Zanamivir.</w:t>
      </w:r>
    </w:p>
    <w:p w14:paraId="52EC82A6" w14:textId="77777777" w:rsidR="00565FFB" w:rsidRDefault="00DE0360">
      <w:pPr>
        <w:rPr>
          <w:b/>
          <w:bCs/>
        </w:rPr>
      </w:pPr>
      <w:r>
        <w:rPr>
          <w:b/>
          <w:bCs/>
        </w:rPr>
        <w:t>Table 4: Australian influenza viruses typed by the WHOCC for Reference and Research on Influenza by haemagglutination inhibition assay and jurisdiction*</w:t>
      </w:r>
      <w:r w:rsidRPr="003E3223">
        <w:rPr>
          <w:b/>
          <w:bCs/>
          <w:vertAlign w:val="superscript"/>
        </w:rPr>
        <w:t>†</w:t>
      </w:r>
      <w:r>
        <w:rPr>
          <w:b/>
          <w:bCs/>
        </w:rPr>
        <w:t>, 1 January to 7 April 2024</w:t>
      </w:r>
    </w:p>
    <w:tbl>
      <w:tblPr>
        <w:tblStyle w:val="DepartmentofHealthtable"/>
        <w:tblW w:w="5000" w:type="pct"/>
        <w:tblLook w:val="04A0" w:firstRow="1" w:lastRow="0" w:firstColumn="1"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7 April 2024. Since the beginning of 2024, the largest proportion of samples typed was from Victoria (34.9%; 76/218), followed by New South Wales (31.7%; 69/218). Influenza A(H3N2) accounted for more than half (58.7%; 128/218) of influenza viruses typed, followed by influenza A(H1N1)pdm09 (35.3%; 77/218). Of the 13 influenza B/Victoria samples, the largest proportions were from the Australian Capital Territory (38.5%; 5/13) and Victoria (38.5%; 5/13). Since the beginning of 2024, there have been no influenza B/Yamagata lineages identified among the influenza B samples typed."/>
      </w:tblPr>
      <w:tblGrid>
        <w:gridCol w:w="2478"/>
        <w:gridCol w:w="857"/>
        <w:gridCol w:w="857"/>
        <w:gridCol w:w="831"/>
        <w:gridCol w:w="696"/>
        <w:gridCol w:w="696"/>
        <w:gridCol w:w="710"/>
        <w:gridCol w:w="831"/>
        <w:gridCol w:w="696"/>
        <w:gridCol w:w="1100"/>
      </w:tblGrid>
      <w:tr w:rsidR="002974BC" w:rsidRPr="002974BC" w14:paraId="4B7FEB24" w14:textId="77777777" w:rsidTr="002974BC">
        <w:trPr>
          <w:cnfStyle w:val="100000000000" w:firstRow="1" w:lastRow="0" w:firstColumn="0" w:lastColumn="0" w:oddVBand="0" w:evenVBand="0" w:oddHBand="0" w:evenHBand="0" w:firstRowFirstColumn="0" w:firstRowLastColumn="0" w:lastRowFirstColumn="0" w:lastRowLastColumn="0"/>
        </w:trPr>
        <w:tc>
          <w:tcPr>
            <w:tcW w:w="1270" w:type="pct"/>
          </w:tcPr>
          <w:p w14:paraId="288B606E" w14:textId="77777777" w:rsidR="00F94B6E" w:rsidRPr="002974BC" w:rsidRDefault="00F94B6E" w:rsidP="0028463F">
            <w:pPr>
              <w:tabs>
                <w:tab w:val="left" w:pos="938"/>
              </w:tabs>
              <w:spacing w:before="100" w:after="100" w:line="240" w:lineRule="auto"/>
              <w:rPr>
                <w:rFonts w:cs="Arial"/>
                <w:b w:val="0"/>
                <w:bCs/>
                <w:sz w:val="18"/>
                <w:szCs w:val="18"/>
              </w:rPr>
            </w:pPr>
            <w:r w:rsidRPr="002974BC">
              <w:rPr>
                <w:rFonts w:cs="Arial"/>
                <w:bCs/>
                <w:sz w:val="18"/>
                <w:szCs w:val="18"/>
              </w:rPr>
              <w:t>Strain</w:t>
            </w:r>
            <w:r w:rsidRPr="002974BC">
              <w:rPr>
                <w:rFonts w:cs="Arial"/>
                <w:bCs/>
                <w:sz w:val="18"/>
                <w:szCs w:val="18"/>
              </w:rPr>
              <w:tab/>
            </w:r>
          </w:p>
        </w:tc>
        <w:tc>
          <w:tcPr>
            <w:tcW w:w="439" w:type="pct"/>
          </w:tcPr>
          <w:p w14:paraId="05FF1F07"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ACT </w:t>
            </w:r>
          </w:p>
        </w:tc>
        <w:tc>
          <w:tcPr>
            <w:tcW w:w="439" w:type="pct"/>
          </w:tcPr>
          <w:p w14:paraId="2755F276"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NSW</w:t>
            </w:r>
          </w:p>
        </w:tc>
        <w:tc>
          <w:tcPr>
            <w:tcW w:w="426" w:type="pct"/>
          </w:tcPr>
          <w:p w14:paraId="27436512"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NT </w:t>
            </w:r>
          </w:p>
        </w:tc>
        <w:tc>
          <w:tcPr>
            <w:tcW w:w="357" w:type="pct"/>
          </w:tcPr>
          <w:p w14:paraId="5F8932F6"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Qld</w:t>
            </w:r>
          </w:p>
        </w:tc>
        <w:tc>
          <w:tcPr>
            <w:tcW w:w="357" w:type="pct"/>
          </w:tcPr>
          <w:p w14:paraId="2D74F5E3"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lang w:val="en-GB"/>
              </w:rPr>
              <w:t>SA </w:t>
            </w:r>
          </w:p>
        </w:tc>
        <w:tc>
          <w:tcPr>
            <w:tcW w:w="364" w:type="pct"/>
          </w:tcPr>
          <w:p w14:paraId="7B09DC3B" w14:textId="4746E55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Tas</w:t>
            </w:r>
            <w:r w:rsidR="00652605" w:rsidRPr="002974BC">
              <w:rPr>
                <w:rFonts w:cs="Arial"/>
                <w:bCs/>
                <w:sz w:val="18"/>
                <w:szCs w:val="18"/>
              </w:rPr>
              <w:t>.</w:t>
            </w:r>
          </w:p>
        </w:tc>
        <w:tc>
          <w:tcPr>
            <w:tcW w:w="426" w:type="pct"/>
          </w:tcPr>
          <w:p w14:paraId="4452AA4F" w14:textId="291D49C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Vic</w:t>
            </w:r>
            <w:r w:rsidR="00652605" w:rsidRPr="002974BC">
              <w:rPr>
                <w:rFonts w:cs="Arial"/>
                <w:bCs/>
                <w:sz w:val="18"/>
                <w:szCs w:val="18"/>
              </w:rPr>
              <w:t>.</w:t>
            </w:r>
          </w:p>
        </w:tc>
        <w:tc>
          <w:tcPr>
            <w:tcW w:w="357" w:type="pct"/>
          </w:tcPr>
          <w:p w14:paraId="325C81AD"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WA</w:t>
            </w:r>
          </w:p>
        </w:tc>
        <w:tc>
          <w:tcPr>
            <w:tcW w:w="564" w:type="pct"/>
          </w:tcPr>
          <w:p w14:paraId="21E78FAF" w14:textId="77777777" w:rsidR="00F94B6E" w:rsidRPr="002974BC" w:rsidRDefault="00F94B6E" w:rsidP="0028463F">
            <w:pPr>
              <w:spacing w:before="100" w:after="100" w:line="240" w:lineRule="auto"/>
              <w:jc w:val="right"/>
              <w:rPr>
                <w:rFonts w:cs="Arial"/>
                <w:b w:val="0"/>
                <w:bCs/>
                <w:sz w:val="18"/>
                <w:szCs w:val="18"/>
              </w:rPr>
            </w:pPr>
            <w:r w:rsidRPr="002974BC">
              <w:rPr>
                <w:rFonts w:cs="Arial"/>
                <w:bCs/>
                <w:sz w:val="18"/>
                <w:szCs w:val="18"/>
              </w:rPr>
              <w:t>Total</w:t>
            </w:r>
          </w:p>
        </w:tc>
      </w:tr>
      <w:tr w:rsidR="00FF25E4" w:rsidRPr="003F16F2" w14:paraId="132AD77C" w14:textId="77777777" w:rsidTr="002974BC">
        <w:tc>
          <w:tcPr>
            <w:tcW w:w="1270" w:type="pct"/>
          </w:tcPr>
          <w:p w14:paraId="056C9142" w14:textId="77777777" w:rsidR="00F94B6E" w:rsidRPr="009A0D20" w:rsidRDefault="00F94B6E" w:rsidP="00F94B6E">
            <w:pPr>
              <w:spacing w:before="100" w:after="100" w:line="240" w:lineRule="auto"/>
              <w:rPr>
                <w:rFonts w:cs="Arial"/>
                <w:sz w:val="18"/>
                <w:szCs w:val="18"/>
              </w:rPr>
            </w:pPr>
            <w:r w:rsidRPr="008D31F3">
              <w:rPr>
                <w:rFonts w:eastAsia="Arial" w:cs="Arial"/>
                <w:sz w:val="18"/>
                <w:szCs w:val="18"/>
              </w:rPr>
              <w:t>A(H1N1) pdm09</w:t>
            </w:r>
          </w:p>
        </w:tc>
        <w:tc>
          <w:tcPr>
            <w:tcW w:w="439" w:type="pct"/>
          </w:tcPr>
          <w:p w14:paraId="310D47E6" w14:textId="7EB55636" w:rsidR="00F94B6E" w:rsidRPr="00F94B6E" w:rsidRDefault="00F94B6E" w:rsidP="00F94B6E">
            <w:pPr>
              <w:spacing w:before="100" w:after="100" w:line="240" w:lineRule="auto"/>
              <w:jc w:val="right"/>
              <w:rPr>
                <w:rFonts w:cs="Arial"/>
                <w:sz w:val="18"/>
                <w:szCs w:val="18"/>
              </w:rPr>
            </w:pPr>
            <w:r w:rsidRPr="008D31F3">
              <w:rPr>
                <w:sz w:val="18"/>
                <w:szCs w:val="18"/>
              </w:rPr>
              <w:t>24</w:t>
            </w:r>
          </w:p>
        </w:tc>
        <w:tc>
          <w:tcPr>
            <w:tcW w:w="439" w:type="pct"/>
          </w:tcPr>
          <w:p w14:paraId="658C21DD" w14:textId="02BE7B37" w:rsidR="00F94B6E" w:rsidRPr="00F94B6E" w:rsidRDefault="00F94B6E" w:rsidP="00F94B6E">
            <w:pPr>
              <w:spacing w:before="100" w:after="100" w:line="240" w:lineRule="auto"/>
              <w:jc w:val="right"/>
              <w:rPr>
                <w:rFonts w:cs="Arial"/>
                <w:sz w:val="18"/>
                <w:szCs w:val="18"/>
              </w:rPr>
            </w:pPr>
            <w:r w:rsidRPr="008D31F3">
              <w:rPr>
                <w:sz w:val="18"/>
                <w:szCs w:val="18"/>
              </w:rPr>
              <w:t>2</w:t>
            </w:r>
          </w:p>
        </w:tc>
        <w:tc>
          <w:tcPr>
            <w:tcW w:w="426" w:type="pct"/>
          </w:tcPr>
          <w:p w14:paraId="4BFBF6EC" w14:textId="2352F2E8" w:rsidR="00F94B6E" w:rsidRPr="00F94B6E" w:rsidRDefault="00F94B6E" w:rsidP="00F94B6E">
            <w:pPr>
              <w:spacing w:before="100" w:after="100" w:line="240" w:lineRule="auto"/>
              <w:jc w:val="right"/>
              <w:rPr>
                <w:rFonts w:cs="Arial"/>
                <w:sz w:val="18"/>
                <w:szCs w:val="18"/>
              </w:rPr>
            </w:pPr>
            <w:r w:rsidRPr="008D31F3">
              <w:rPr>
                <w:sz w:val="18"/>
                <w:szCs w:val="18"/>
              </w:rPr>
              <w:t>6</w:t>
            </w:r>
          </w:p>
        </w:tc>
        <w:tc>
          <w:tcPr>
            <w:tcW w:w="357" w:type="pct"/>
          </w:tcPr>
          <w:p w14:paraId="1C3C9B32" w14:textId="607363A6" w:rsidR="00F94B6E" w:rsidRPr="00F94B6E" w:rsidRDefault="00F94B6E" w:rsidP="00F94B6E">
            <w:pPr>
              <w:spacing w:before="100" w:after="100" w:line="240" w:lineRule="auto"/>
              <w:jc w:val="right"/>
              <w:rPr>
                <w:rFonts w:cs="Arial"/>
                <w:sz w:val="18"/>
                <w:szCs w:val="18"/>
              </w:rPr>
            </w:pPr>
            <w:r w:rsidRPr="008D31F3">
              <w:rPr>
                <w:sz w:val="18"/>
                <w:szCs w:val="18"/>
              </w:rPr>
              <w:t>1</w:t>
            </w:r>
          </w:p>
        </w:tc>
        <w:tc>
          <w:tcPr>
            <w:tcW w:w="357" w:type="pct"/>
          </w:tcPr>
          <w:p w14:paraId="5C1A9060" w14:textId="28DA4A70" w:rsidR="00F94B6E" w:rsidRPr="00F94B6E" w:rsidRDefault="00F94B6E" w:rsidP="00F94B6E">
            <w:pPr>
              <w:spacing w:before="100" w:after="100" w:line="240" w:lineRule="auto"/>
              <w:jc w:val="right"/>
              <w:rPr>
                <w:rFonts w:cs="Arial"/>
                <w:sz w:val="18"/>
                <w:szCs w:val="18"/>
              </w:rPr>
            </w:pPr>
            <w:r w:rsidRPr="008D31F3">
              <w:rPr>
                <w:sz w:val="18"/>
                <w:szCs w:val="18"/>
              </w:rPr>
              <w:t>10</w:t>
            </w:r>
          </w:p>
        </w:tc>
        <w:tc>
          <w:tcPr>
            <w:tcW w:w="364" w:type="pct"/>
          </w:tcPr>
          <w:p w14:paraId="02218A18" w14:textId="59AE5C94" w:rsidR="00F94B6E" w:rsidRPr="00F94B6E" w:rsidRDefault="00F94B6E" w:rsidP="00F94B6E">
            <w:pPr>
              <w:spacing w:before="100" w:after="100" w:line="240" w:lineRule="auto"/>
              <w:jc w:val="right"/>
              <w:rPr>
                <w:rFonts w:cs="Arial"/>
                <w:sz w:val="18"/>
                <w:szCs w:val="18"/>
              </w:rPr>
            </w:pPr>
            <w:r w:rsidRPr="008D31F3">
              <w:rPr>
                <w:sz w:val="18"/>
                <w:szCs w:val="18"/>
              </w:rPr>
              <w:t>8</w:t>
            </w:r>
          </w:p>
        </w:tc>
        <w:tc>
          <w:tcPr>
            <w:tcW w:w="426" w:type="pct"/>
          </w:tcPr>
          <w:p w14:paraId="5BBB7EAD" w14:textId="03FB7368" w:rsidR="00F94B6E" w:rsidRPr="00F94B6E" w:rsidRDefault="00F94B6E" w:rsidP="00F94B6E">
            <w:pPr>
              <w:spacing w:before="100" w:after="100" w:line="240" w:lineRule="auto"/>
              <w:jc w:val="right"/>
              <w:rPr>
                <w:rFonts w:eastAsia="Arial" w:cs="Arial"/>
                <w:sz w:val="18"/>
                <w:szCs w:val="18"/>
              </w:rPr>
            </w:pPr>
            <w:r w:rsidRPr="008D31F3">
              <w:rPr>
                <w:sz w:val="18"/>
                <w:szCs w:val="18"/>
              </w:rPr>
              <w:t>26</w:t>
            </w:r>
          </w:p>
        </w:tc>
        <w:tc>
          <w:tcPr>
            <w:tcW w:w="357" w:type="pct"/>
          </w:tcPr>
          <w:p w14:paraId="42F7A963" w14:textId="3B059832"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322A1315" w14:textId="2D7B1C06"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77</w:t>
            </w:r>
          </w:p>
        </w:tc>
      </w:tr>
      <w:tr w:rsidR="00883818" w:rsidRPr="003F16F2" w14:paraId="6014E930" w14:textId="77777777" w:rsidTr="002974BC">
        <w:tc>
          <w:tcPr>
            <w:tcW w:w="1270" w:type="pct"/>
          </w:tcPr>
          <w:p w14:paraId="6D997521" w14:textId="77777777" w:rsidR="00F94B6E" w:rsidRPr="008D31F3" w:rsidRDefault="00F94B6E" w:rsidP="00F94B6E">
            <w:pPr>
              <w:spacing w:before="100" w:after="100" w:line="240" w:lineRule="auto"/>
              <w:rPr>
                <w:rStyle w:val="normaltextrun"/>
                <w:rFonts w:eastAsiaTheme="majorEastAsia" w:cs="Arial"/>
                <w:sz w:val="18"/>
                <w:szCs w:val="18"/>
              </w:rPr>
            </w:pPr>
            <w:r w:rsidRPr="008D31F3">
              <w:rPr>
                <w:rFonts w:eastAsia="Arial" w:cs="Arial"/>
                <w:sz w:val="18"/>
                <w:szCs w:val="18"/>
              </w:rPr>
              <w:t>A(H3N2)</w:t>
            </w:r>
          </w:p>
        </w:tc>
        <w:tc>
          <w:tcPr>
            <w:tcW w:w="439" w:type="pct"/>
          </w:tcPr>
          <w:p w14:paraId="332F5EF6" w14:textId="40528A65" w:rsidR="00F94B6E" w:rsidRPr="00F94B6E" w:rsidRDefault="00F94B6E" w:rsidP="00F94B6E">
            <w:pPr>
              <w:spacing w:before="100" w:after="100" w:line="240" w:lineRule="auto"/>
              <w:jc w:val="right"/>
              <w:rPr>
                <w:rFonts w:cs="Arial"/>
                <w:sz w:val="18"/>
                <w:szCs w:val="18"/>
              </w:rPr>
            </w:pPr>
            <w:r w:rsidRPr="008D31F3">
              <w:rPr>
                <w:sz w:val="18"/>
                <w:szCs w:val="18"/>
              </w:rPr>
              <w:t>40</w:t>
            </w:r>
          </w:p>
        </w:tc>
        <w:tc>
          <w:tcPr>
            <w:tcW w:w="439" w:type="pct"/>
          </w:tcPr>
          <w:p w14:paraId="3B5AD377" w14:textId="7B5C8C5E" w:rsidR="00F94B6E" w:rsidRPr="00F94B6E" w:rsidRDefault="00F94B6E" w:rsidP="00F94B6E">
            <w:pPr>
              <w:spacing w:before="100" w:after="100" w:line="240" w:lineRule="auto"/>
              <w:jc w:val="right"/>
              <w:rPr>
                <w:rFonts w:cs="Arial"/>
                <w:sz w:val="18"/>
                <w:szCs w:val="18"/>
              </w:rPr>
            </w:pPr>
            <w:r w:rsidRPr="008D31F3">
              <w:rPr>
                <w:sz w:val="18"/>
                <w:szCs w:val="18"/>
              </w:rPr>
              <w:t>7</w:t>
            </w:r>
          </w:p>
        </w:tc>
        <w:tc>
          <w:tcPr>
            <w:tcW w:w="426" w:type="pct"/>
          </w:tcPr>
          <w:p w14:paraId="266F5CBD" w14:textId="59667086" w:rsidR="00F94B6E" w:rsidRPr="00F94B6E" w:rsidRDefault="00F94B6E" w:rsidP="00F94B6E">
            <w:pPr>
              <w:spacing w:before="100" w:after="100" w:line="240" w:lineRule="auto"/>
              <w:jc w:val="right"/>
              <w:rPr>
                <w:rFonts w:cs="Arial"/>
                <w:sz w:val="18"/>
                <w:szCs w:val="18"/>
              </w:rPr>
            </w:pPr>
            <w:r w:rsidRPr="008D31F3">
              <w:rPr>
                <w:sz w:val="18"/>
                <w:szCs w:val="18"/>
              </w:rPr>
              <w:t>16</w:t>
            </w:r>
          </w:p>
        </w:tc>
        <w:tc>
          <w:tcPr>
            <w:tcW w:w="357" w:type="pct"/>
          </w:tcPr>
          <w:p w14:paraId="194596B4" w14:textId="7FBDAACF" w:rsidR="00F94B6E" w:rsidRPr="00F94B6E" w:rsidRDefault="00F94B6E" w:rsidP="00F94B6E">
            <w:pPr>
              <w:spacing w:before="100" w:after="100" w:line="240" w:lineRule="auto"/>
              <w:jc w:val="right"/>
              <w:rPr>
                <w:rFonts w:cs="Arial"/>
                <w:sz w:val="18"/>
                <w:szCs w:val="18"/>
              </w:rPr>
            </w:pPr>
            <w:r w:rsidRPr="008D31F3">
              <w:rPr>
                <w:sz w:val="18"/>
                <w:szCs w:val="18"/>
              </w:rPr>
              <w:t>2</w:t>
            </w:r>
          </w:p>
        </w:tc>
        <w:tc>
          <w:tcPr>
            <w:tcW w:w="357" w:type="pct"/>
          </w:tcPr>
          <w:p w14:paraId="1DB33B47" w14:textId="3BD6D427" w:rsidR="00F94B6E" w:rsidRPr="00F94B6E" w:rsidRDefault="00F94B6E" w:rsidP="00F94B6E">
            <w:pPr>
              <w:spacing w:before="100" w:after="100" w:line="240" w:lineRule="auto"/>
              <w:jc w:val="right"/>
              <w:rPr>
                <w:rFonts w:cs="Arial"/>
                <w:sz w:val="18"/>
                <w:szCs w:val="18"/>
              </w:rPr>
            </w:pPr>
            <w:r w:rsidRPr="008D31F3">
              <w:rPr>
                <w:sz w:val="18"/>
                <w:szCs w:val="18"/>
              </w:rPr>
              <w:t>8</w:t>
            </w:r>
          </w:p>
        </w:tc>
        <w:tc>
          <w:tcPr>
            <w:tcW w:w="364" w:type="pct"/>
          </w:tcPr>
          <w:p w14:paraId="7FF5DBFF" w14:textId="7C912CE1" w:rsidR="00F94B6E" w:rsidRPr="00F94B6E" w:rsidRDefault="00F94B6E" w:rsidP="00F94B6E">
            <w:pPr>
              <w:spacing w:before="100" w:after="100" w:line="240" w:lineRule="auto"/>
              <w:jc w:val="right"/>
              <w:rPr>
                <w:rFonts w:cs="Arial"/>
                <w:sz w:val="18"/>
                <w:szCs w:val="18"/>
              </w:rPr>
            </w:pPr>
            <w:r w:rsidRPr="008D31F3">
              <w:rPr>
                <w:sz w:val="18"/>
                <w:szCs w:val="18"/>
              </w:rPr>
              <w:t>10</w:t>
            </w:r>
          </w:p>
        </w:tc>
        <w:tc>
          <w:tcPr>
            <w:tcW w:w="426" w:type="pct"/>
          </w:tcPr>
          <w:p w14:paraId="1605B13D" w14:textId="48B73B02" w:rsidR="00F94B6E" w:rsidRPr="00F94B6E" w:rsidRDefault="00F94B6E" w:rsidP="00F94B6E">
            <w:pPr>
              <w:spacing w:before="100" w:after="100" w:line="240" w:lineRule="auto"/>
              <w:jc w:val="right"/>
              <w:rPr>
                <w:rFonts w:eastAsia="Arial" w:cs="Arial"/>
                <w:sz w:val="18"/>
                <w:szCs w:val="18"/>
              </w:rPr>
            </w:pPr>
            <w:r w:rsidRPr="008D31F3">
              <w:rPr>
                <w:sz w:val="18"/>
                <w:szCs w:val="18"/>
              </w:rPr>
              <w:t>45</w:t>
            </w:r>
          </w:p>
        </w:tc>
        <w:tc>
          <w:tcPr>
            <w:tcW w:w="357" w:type="pct"/>
          </w:tcPr>
          <w:p w14:paraId="736D1E57" w14:textId="0E44F874"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3C31DDC0" w14:textId="5535E2C6"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128</w:t>
            </w:r>
          </w:p>
        </w:tc>
      </w:tr>
      <w:tr w:rsidR="00FF25E4" w:rsidRPr="003F16F2" w14:paraId="663C60BC" w14:textId="77777777" w:rsidTr="002974BC">
        <w:tc>
          <w:tcPr>
            <w:tcW w:w="1270" w:type="pct"/>
          </w:tcPr>
          <w:p w14:paraId="1D42B97F" w14:textId="77777777" w:rsidR="00F94B6E" w:rsidRPr="008D31F3" w:rsidRDefault="00F94B6E" w:rsidP="00F94B6E">
            <w:pPr>
              <w:spacing w:before="100" w:after="100" w:line="240" w:lineRule="auto"/>
              <w:rPr>
                <w:rStyle w:val="normaltextrun"/>
                <w:rFonts w:eastAsiaTheme="majorEastAsia" w:cs="Arial"/>
                <w:sz w:val="18"/>
                <w:szCs w:val="18"/>
              </w:rPr>
            </w:pPr>
            <w:r w:rsidRPr="008D31F3">
              <w:rPr>
                <w:rFonts w:eastAsia="Arial" w:cs="Arial"/>
                <w:sz w:val="18"/>
                <w:szCs w:val="18"/>
              </w:rPr>
              <w:t>B/Victoria lineage</w:t>
            </w:r>
          </w:p>
        </w:tc>
        <w:tc>
          <w:tcPr>
            <w:tcW w:w="439" w:type="pct"/>
          </w:tcPr>
          <w:p w14:paraId="23D2F58F" w14:textId="5152EE0C" w:rsidR="00F94B6E" w:rsidRPr="00F94B6E" w:rsidRDefault="00F94B6E" w:rsidP="00F94B6E">
            <w:pPr>
              <w:spacing w:before="100" w:after="100" w:line="240" w:lineRule="auto"/>
              <w:jc w:val="right"/>
              <w:rPr>
                <w:rFonts w:cs="Arial"/>
                <w:sz w:val="18"/>
                <w:szCs w:val="18"/>
              </w:rPr>
            </w:pPr>
            <w:r w:rsidRPr="008D31F3">
              <w:rPr>
                <w:sz w:val="18"/>
                <w:szCs w:val="18"/>
              </w:rPr>
              <w:t>5</w:t>
            </w:r>
          </w:p>
        </w:tc>
        <w:tc>
          <w:tcPr>
            <w:tcW w:w="439" w:type="pct"/>
          </w:tcPr>
          <w:p w14:paraId="6F23402B" w14:textId="626BB9C6"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426" w:type="pct"/>
          </w:tcPr>
          <w:p w14:paraId="3661ADEE" w14:textId="04D282DB"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357" w:type="pct"/>
          </w:tcPr>
          <w:p w14:paraId="5C5A441F" w14:textId="069B62D9" w:rsidR="00F94B6E" w:rsidRPr="00F94B6E" w:rsidRDefault="00F94B6E" w:rsidP="00F94B6E">
            <w:pPr>
              <w:spacing w:before="100" w:after="100" w:line="240" w:lineRule="auto"/>
              <w:jc w:val="right"/>
              <w:rPr>
                <w:rFonts w:cs="Arial"/>
                <w:sz w:val="18"/>
                <w:szCs w:val="18"/>
              </w:rPr>
            </w:pPr>
            <w:r w:rsidRPr="008D31F3">
              <w:rPr>
                <w:sz w:val="18"/>
                <w:szCs w:val="18"/>
              </w:rPr>
              <w:t>3</w:t>
            </w:r>
          </w:p>
        </w:tc>
        <w:tc>
          <w:tcPr>
            <w:tcW w:w="357" w:type="pct"/>
          </w:tcPr>
          <w:p w14:paraId="0DF4501A" w14:textId="11CAC5FB"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364" w:type="pct"/>
          </w:tcPr>
          <w:p w14:paraId="70B1AC11" w14:textId="4001C287" w:rsidR="00F94B6E" w:rsidRPr="00F94B6E" w:rsidRDefault="00F94B6E" w:rsidP="00F94B6E">
            <w:pPr>
              <w:spacing w:before="100" w:after="100" w:line="240" w:lineRule="auto"/>
              <w:jc w:val="right"/>
              <w:rPr>
                <w:rFonts w:cs="Arial"/>
                <w:sz w:val="18"/>
                <w:szCs w:val="18"/>
              </w:rPr>
            </w:pPr>
            <w:r w:rsidRPr="008D31F3">
              <w:rPr>
                <w:sz w:val="18"/>
                <w:szCs w:val="18"/>
              </w:rPr>
              <w:t>0</w:t>
            </w:r>
          </w:p>
        </w:tc>
        <w:tc>
          <w:tcPr>
            <w:tcW w:w="426" w:type="pct"/>
          </w:tcPr>
          <w:p w14:paraId="6B22F1F9" w14:textId="64725971" w:rsidR="00F94B6E" w:rsidRPr="00F94B6E" w:rsidRDefault="00F94B6E" w:rsidP="00F94B6E">
            <w:pPr>
              <w:spacing w:before="100" w:after="100" w:line="240" w:lineRule="auto"/>
              <w:jc w:val="right"/>
              <w:rPr>
                <w:rFonts w:eastAsia="Arial" w:cs="Arial"/>
                <w:sz w:val="18"/>
                <w:szCs w:val="18"/>
              </w:rPr>
            </w:pPr>
            <w:r w:rsidRPr="008D31F3">
              <w:rPr>
                <w:sz w:val="18"/>
                <w:szCs w:val="18"/>
              </w:rPr>
              <w:t>5</w:t>
            </w:r>
          </w:p>
        </w:tc>
        <w:tc>
          <w:tcPr>
            <w:tcW w:w="357" w:type="pct"/>
          </w:tcPr>
          <w:p w14:paraId="36A9C994" w14:textId="1C28CBBC"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2AA710CD" w14:textId="2E0FD96C"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13</w:t>
            </w:r>
          </w:p>
        </w:tc>
      </w:tr>
      <w:tr w:rsidR="00883818" w:rsidRPr="003F16F2" w14:paraId="1C1B5D75" w14:textId="77777777" w:rsidTr="002974BC">
        <w:tc>
          <w:tcPr>
            <w:tcW w:w="1270" w:type="pct"/>
          </w:tcPr>
          <w:p w14:paraId="35580B73" w14:textId="77777777" w:rsidR="00F94B6E" w:rsidRPr="009A0D20" w:rsidRDefault="00F94B6E" w:rsidP="00F94B6E">
            <w:pPr>
              <w:spacing w:before="100" w:after="100" w:line="240" w:lineRule="auto"/>
              <w:rPr>
                <w:rFonts w:cs="Arial"/>
                <w:sz w:val="18"/>
                <w:szCs w:val="18"/>
              </w:rPr>
            </w:pPr>
            <w:r w:rsidRPr="007D6A51">
              <w:rPr>
                <w:rFonts w:eastAsia="Arial" w:cs="Arial"/>
                <w:sz w:val="18"/>
                <w:szCs w:val="18"/>
              </w:rPr>
              <w:t>B/Yamagata lineage</w:t>
            </w:r>
          </w:p>
        </w:tc>
        <w:tc>
          <w:tcPr>
            <w:tcW w:w="439" w:type="pct"/>
          </w:tcPr>
          <w:p w14:paraId="0DBC1DFC" w14:textId="12757014"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39" w:type="pct"/>
          </w:tcPr>
          <w:p w14:paraId="04D712E9" w14:textId="6A53C84E"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26" w:type="pct"/>
          </w:tcPr>
          <w:p w14:paraId="49FD1743" w14:textId="53304428"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57" w:type="pct"/>
          </w:tcPr>
          <w:p w14:paraId="0D723C09" w14:textId="55ED989F"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57" w:type="pct"/>
          </w:tcPr>
          <w:p w14:paraId="7275DED0" w14:textId="67BC99F8"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364" w:type="pct"/>
          </w:tcPr>
          <w:p w14:paraId="2EF1BE96" w14:textId="290409EF" w:rsidR="00F94B6E" w:rsidRPr="00F94B6E" w:rsidRDefault="00F94B6E" w:rsidP="00F94B6E">
            <w:pPr>
              <w:spacing w:before="100" w:after="100" w:line="240" w:lineRule="auto"/>
              <w:jc w:val="right"/>
              <w:rPr>
                <w:rFonts w:cs="Arial"/>
                <w:sz w:val="18"/>
                <w:szCs w:val="18"/>
              </w:rPr>
            </w:pPr>
            <w:r w:rsidRPr="007D6A51">
              <w:rPr>
                <w:sz w:val="18"/>
                <w:szCs w:val="18"/>
              </w:rPr>
              <w:t>0</w:t>
            </w:r>
          </w:p>
        </w:tc>
        <w:tc>
          <w:tcPr>
            <w:tcW w:w="426" w:type="pct"/>
          </w:tcPr>
          <w:p w14:paraId="0B293F10" w14:textId="68311932" w:rsidR="00F94B6E" w:rsidRPr="00F94B6E" w:rsidRDefault="00F94B6E" w:rsidP="00F94B6E">
            <w:pPr>
              <w:spacing w:before="100" w:after="100" w:line="240" w:lineRule="auto"/>
              <w:jc w:val="right"/>
              <w:rPr>
                <w:rFonts w:eastAsia="Arial" w:cs="Arial"/>
                <w:sz w:val="18"/>
                <w:szCs w:val="18"/>
              </w:rPr>
            </w:pPr>
            <w:r w:rsidRPr="007D6A51">
              <w:rPr>
                <w:sz w:val="18"/>
                <w:szCs w:val="18"/>
              </w:rPr>
              <w:t>0</w:t>
            </w:r>
          </w:p>
        </w:tc>
        <w:tc>
          <w:tcPr>
            <w:tcW w:w="357" w:type="pct"/>
          </w:tcPr>
          <w:p w14:paraId="4864EFA0" w14:textId="4D89F877" w:rsidR="00F94B6E" w:rsidRPr="00F94B6E" w:rsidRDefault="00F94B6E" w:rsidP="00F94B6E">
            <w:pPr>
              <w:spacing w:before="100" w:after="100" w:line="240" w:lineRule="auto"/>
              <w:jc w:val="right"/>
              <w:rPr>
                <w:rFonts w:eastAsia="Arial" w:cs="Arial"/>
                <w:sz w:val="18"/>
                <w:szCs w:val="18"/>
              </w:rPr>
            </w:pPr>
            <w:r w:rsidRPr="008D31F3">
              <w:rPr>
                <w:sz w:val="18"/>
                <w:szCs w:val="18"/>
              </w:rPr>
              <w:t>0</w:t>
            </w:r>
          </w:p>
        </w:tc>
        <w:tc>
          <w:tcPr>
            <w:tcW w:w="564" w:type="pct"/>
          </w:tcPr>
          <w:p w14:paraId="6349AA69" w14:textId="06EBE99F" w:rsidR="00F94B6E" w:rsidRPr="00435C5C" w:rsidRDefault="00F94B6E" w:rsidP="00F94B6E">
            <w:pPr>
              <w:spacing w:before="100" w:after="100" w:line="240" w:lineRule="auto"/>
              <w:jc w:val="right"/>
              <w:rPr>
                <w:rFonts w:eastAsia="Arial" w:cs="Arial"/>
                <w:b/>
                <w:bCs/>
                <w:sz w:val="18"/>
                <w:szCs w:val="18"/>
              </w:rPr>
            </w:pPr>
            <w:r w:rsidRPr="00435C5C">
              <w:rPr>
                <w:b/>
                <w:bCs/>
                <w:sz w:val="18"/>
                <w:szCs w:val="18"/>
              </w:rPr>
              <w:t>0</w:t>
            </w:r>
          </w:p>
        </w:tc>
      </w:tr>
      <w:tr w:rsidR="00883818" w:rsidRPr="007157E8" w14:paraId="71DCEEEE" w14:textId="77777777" w:rsidTr="002974BC">
        <w:tc>
          <w:tcPr>
            <w:tcW w:w="1270" w:type="pct"/>
          </w:tcPr>
          <w:p w14:paraId="60DD06C7" w14:textId="77777777" w:rsidR="00F94B6E" w:rsidRPr="00652605" w:rsidRDefault="00F94B6E" w:rsidP="00F94B6E">
            <w:pPr>
              <w:spacing w:before="100" w:after="100" w:line="240" w:lineRule="auto"/>
              <w:rPr>
                <w:rStyle w:val="normaltextrun"/>
                <w:rFonts w:eastAsiaTheme="majorEastAsia" w:cs="Arial"/>
                <w:b/>
                <w:sz w:val="18"/>
                <w:szCs w:val="18"/>
              </w:rPr>
            </w:pPr>
            <w:r w:rsidRPr="00652605" w:rsidDel="00F11DC9">
              <w:rPr>
                <w:rFonts w:eastAsia="Arial"/>
                <w:b/>
                <w:sz w:val="18"/>
                <w:szCs w:val="18"/>
              </w:rPr>
              <w:t>Total</w:t>
            </w:r>
          </w:p>
        </w:tc>
        <w:tc>
          <w:tcPr>
            <w:tcW w:w="439" w:type="pct"/>
          </w:tcPr>
          <w:p w14:paraId="1A59DFC1" w14:textId="70E01208" w:rsidR="00F94B6E" w:rsidRPr="00652605" w:rsidRDefault="00F94B6E" w:rsidP="00F94B6E">
            <w:pPr>
              <w:spacing w:before="100" w:after="100" w:line="240" w:lineRule="auto"/>
              <w:jc w:val="right"/>
              <w:rPr>
                <w:rFonts w:cs="Arial"/>
                <w:b/>
                <w:sz w:val="18"/>
                <w:szCs w:val="18"/>
              </w:rPr>
            </w:pPr>
            <w:r w:rsidRPr="00652605">
              <w:rPr>
                <w:b/>
                <w:sz w:val="18"/>
                <w:szCs w:val="18"/>
              </w:rPr>
              <w:t>69</w:t>
            </w:r>
          </w:p>
        </w:tc>
        <w:tc>
          <w:tcPr>
            <w:tcW w:w="439" w:type="pct"/>
          </w:tcPr>
          <w:p w14:paraId="04E9B254" w14:textId="2C2488D6" w:rsidR="00F94B6E" w:rsidRPr="00652605" w:rsidRDefault="00F94B6E" w:rsidP="00F94B6E">
            <w:pPr>
              <w:spacing w:before="100" w:after="100" w:line="240" w:lineRule="auto"/>
              <w:jc w:val="right"/>
              <w:rPr>
                <w:rFonts w:cs="Arial"/>
                <w:b/>
                <w:sz w:val="18"/>
                <w:szCs w:val="18"/>
              </w:rPr>
            </w:pPr>
            <w:r w:rsidRPr="00652605">
              <w:rPr>
                <w:b/>
                <w:sz w:val="18"/>
                <w:szCs w:val="18"/>
              </w:rPr>
              <w:t>9</w:t>
            </w:r>
          </w:p>
        </w:tc>
        <w:tc>
          <w:tcPr>
            <w:tcW w:w="426" w:type="pct"/>
          </w:tcPr>
          <w:p w14:paraId="146AF15F" w14:textId="47351F91" w:rsidR="00F94B6E" w:rsidRPr="00652605" w:rsidRDefault="00F94B6E" w:rsidP="00F94B6E">
            <w:pPr>
              <w:spacing w:before="100" w:after="100" w:line="240" w:lineRule="auto"/>
              <w:jc w:val="right"/>
              <w:rPr>
                <w:rFonts w:cs="Arial"/>
                <w:b/>
                <w:sz w:val="18"/>
                <w:szCs w:val="18"/>
              </w:rPr>
            </w:pPr>
            <w:r w:rsidRPr="00652605">
              <w:rPr>
                <w:b/>
                <w:sz w:val="18"/>
                <w:szCs w:val="18"/>
              </w:rPr>
              <w:t>22</w:t>
            </w:r>
          </w:p>
        </w:tc>
        <w:tc>
          <w:tcPr>
            <w:tcW w:w="357" w:type="pct"/>
          </w:tcPr>
          <w:p w14:paraId="65BA8D78" w14:textId="09FDF1D3" w:rsidR="00F94B6E" w:rsidRPr="00652605" w:rsidRDefault="00F94B6E" w:rsidP="00F94B6E">
            <w:pPr>
              <w:spacing w:before="100" w:after="100" w:line="240" w:lineRule="auto"/>
              <w:jc w:val="right"/>
              <w:rPr>
                <w:rFonts w:cs="Arial"/>
                <w:b/>
                <w:sz w:val="18"/>
                <w:szCs w:val="18"/>
              </w:rPr>
            </w:pPr>
            <w:r w:rsidRPr="00652605">
              <w:rPr>
                <w:b/>
                <w:sz w:val="18"/>
                <w:szCs w:val="18"/>
              </w:rPr>
              <w:t>6</w:t>
            </w:r>
          </w:p>
        </w:tc>
        <w:tc>
          <w:tcPr>
            <w:tcW w:w="357" w:type="pct"/>
          </w:tcPr>
          <w:p w14:paraId="40D22B21" w14:textId="3DE7785C" w:rsidR="00F94B6E" w:rsidRPr="00652605" w:rsidRDefault="00F94B6E" w:rsidP="00F94B6E">
            <w:pPr>
              <w:spacing w:before="100" w:after="100" w:line="240" w:lineRule="auto"/>
              <w:jc w:val="right"/>
              <w:rPr>
                <w:rFonts w:cs="Arial"/>
                <w:b/>
                <w:sz w:val="18"/>
                <w:szCs w:val="18"/>
              </w:rPr>
            </w:pPr>
            <w:r w:rsidRPr="00652605">
              <w:rPr>
                <w:b/>
                <w:sz w:val="18"/>
                <w:szCs w:val="18"/>
              </w:rPr>
              <w:t>18</w:t>
            </w:r>
          </w:p>
        </w:tc>
        <w:tc>
          <w:tcPr>
            <w:tcW w:w="364" w:type="pct"/>
          </w:tcPr>
          <w:p w14:paraId="59CD7877" w14:textId="541F08D0" w:rsidR="00F94B6E" w:rsidRPr="00652605" w:rsidRDefault="00F94B6E" w:rsidP="00F94B6E">
            <w:pPr>
              <w:spacing w:before="100" w:after="100" w:line="240" w:lineRule="auto"/>
              <w:jc w:val="right"/>
              <w:rPr>
                <w:rFonts w:cs="Arial"/>
                <w:b/>
                <w:sz w:val="18"/>
                <w:szCs w:val="18"/>
              </w:rPr>
            </w:pPr>
            <w:r w:rsidRPr="00652605">
              <w:rPr>
                <w:b/>
                <w:sz w:val="18"/>
                <w:szCs w:val="18"/>
              </w:rPr>
              <w:t>18</w:t>
            </w:r>
          </w:p>
        </w:tc>
        <w:tc>
          <w:tcPr>
            <w:tcW w:w="426" w:type="pct"/>
          </w:tcPr>
          <w:p w14:paraId="3A934127" w14:textId="58872EFD" w:rsidR="00F94B6E" w:rsidRPr="00652605" w:rsidRDefault="00F94B6E" w:rsidP="00F94B6E">
            <w:pPr>
              <w:spacing w:before="100" w:after="100" w:line="240" w:lineRule="auto"/>
              <w:jc w:val="right"/>
              <w:rPr>
                <w:rFonts w:cs="Arial"/>
                <w:b/>
                <w:sz w:val="18"/>
                <w:szCs w:val="18"/>
              </w:rPr>
            </w:pPr>
            <w:r w:rsidRPr="00652605">
              <w:rPr>
                <w:b/>
                <w:sz w:val="18"/>
                <w:szCs w:val="18"/>
              </w:rPr>
              <w:t>76</w:t>
            </w:r>
          </w:p>
        </w:tc>
        <w:tc>
          <w:tcPr>
            <w:tcW w:w="357" w:type="pct"/>
          </w:tcPr>
          <w:p w14:paraId="3E37396E" w14:textId="13A7A2E2" w:rsidR="00F94B6E" w:rsidRPr="00652605" w:rsidRDefault="00F94B6E" w:rsidP="00F94B6E">
            <w:pPr>
              <w:spacing w:before="100" w:after="100" w:line="240" w:lineRule="auto"/>
              <w:jc w:val="right"/>
              <w:rPr>
                <w:rFonts w:cs="Arial"/>
                <w:b/>
                <w:sz w:val="18"/>
                <w:szCs w:val="18"/>
              </w:rPr>
            </w:pPr>
            <w:r w:rsidRPr="00652605">
              <w:rPr>
                <w:b/>
                <w:sz w:val="18"/>
                <w:szCs w:val="18"/>
              </w:rPr>
              <w:t>0</w:t>
            </w:r>
          </w:p>
        </w:tc>
        <w:tc>
          <w:tcPr>
            <w:tcW w:w="564" w:type="pct"/>
          </w:tcPr>
          <w:p w14:paraId="67A2F6A4" w14:textId="3D45BE9F" w:rsidR="00F94B6E" w:rsidRPr="00652605" w:rsidRDefault="00F94B6E" w:rsidP="00F94B6E">
            <w:pPr>
              <w:spacing w:before="100" w:after="100" w:line="240" w:lineRule="auto"/>
              <w:jc w:val="right"/>
              <w:rPr>
                <w:rFonts w:cs="Arial"/>
                <w:b/>
                <w:sz w:val="18"/>
                <w:szCs w:val="18"/>
              </w:rPr>
            </w:pPr>
            <w:r w:rsidRPr="00652605">
              <w:rPr>
                <w:b/>
                <w:sz w:val="18"/>
                <w:szCs w:val="18"/>
              </w:rPr>
              <w:t>218</w:t>
            </w:r>
          </w:p>
        </w:tc>
      </w:tr>
    </w:tbl>
    <w:p w14:paraId="08BCFAF0" w14:textId="5063B8EB" w:rsidR="00565FFB" w:rsidRDefault="00DE0360" w:rsidP="00694001">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xml:space="preserve">† </w:t>
      </w:r>
      <w:r w:rsidR="3250369A">
        <w:t>Jurisdiction</w:t>
      </w:r>
      <w:r>
        <w:t xml:space="preserve"> indicates the residential location for the individual tested, not the submitting laboratory.</w:t>
      </w:r>
      <w:r w:rsidR="008E18C1">
        <w:br/>
      </w:r>
    </w:p>
    <w:p w14:paraId="54F385F4" w14:textId="77777777" w:rsidR="00565FFB" w:rsidRDefault="00DE0360" w:rsidP="00CC4308">
      <w:pPr>
        <w:pStyle w:val="Heading4"/>
      </w:pPr>
      <w:bookmarkStart w:id="37" w:name="nndss-3"/>
      <w:bookmarkEnd w:id="36"/>
      <w:r>
        <w:lastRenderedPageBreak/>
        <w:t>NNDSS</w:t>
      </w:r>
    </w:p>
    <w:p w14:paraId="1D66C765" w14:textId="13864252" w:rsidR="00565FFB" w:rsidRDefault="00DE0360" w:rsidP="00720ECB">
      <w:pPr>
        <w:numPr>
          <w:ilvl w:val="0"/>
          <w:numId w:val="55"/>
        </w:numPr>
      </w:pPr>
      <w:r>
        <w:t>This fortnight (25 March to 7 April 2024), of the 5,746 influenza notifications reported to the NNDSS, 88</w:t>
      </w:r>
      <w:r w:rsidR="00D23DCC">
        <w:t>.5</w:t>
      </w:r>
      <w:r>
        <w:t xml:space="preserve">% (5,084/5,746) </w:t>
      </w:r>
      <w:r w:rsidR="002918BA">
        <w:t>were</w:t>
      </w:r>
      <w:r>
        <w:t xml:space="preserve"> influenza A(</w:t>
      </w:r>
      <w:r w:rsidR="00325BF0">
        <w:t>Unsubtyped</w:t>
      </w:r>
      <w:r>
        <w:t>); 7</w:t>
      </w:r>
      <w:r w:rsidR="00043B1B">
        <w:t>.4</w:t>
      </w:r>
      <w:r>
        <w:t xml:space="preserve">% (428/5,746) </w:t>
      </w:r>
      <w:r w:rsidR="0002052C">
        <w:t>were</w:t>
      </w:r>
      <w:r>
        <w:t xml:space="preserve"> influenza B; 2</w:t>
      </w:r>
      <w:r w:rsidR="00541BE4">
        <w:t>.0</w:t>
      </w:r>
      <w:r>
        <w:t xml:space="preserve">% (117/5,746) </w:t>
      </w:r>
      <w:r w:rsidR="000A6790">
        <w:t>were</w:t>
      </w:r>
      <w:r>
        <w:t xml:space="preserve"> influenza A(H1N1); and 1</w:t>
      </w:r>
      <w:r w:rsidR="00B43D4C">
        <w:t>.2</w:t>
      </w:r>
      <w:r>
        <w:t xml:space="preserve">% (67/5,746) </w:t>
      </w:r>
      <w:r w:rsidR="003C3126">
        <w:t>were</w:t>
      </w:r>
      <w:r>
        <w:t xml:space="preserve"> influenza A(H3N2). 0.8% (48/5,746) </w:t>
      </w:r>
      <w:r w:rsidR="003C3126">
        <w:t>were</w:t>
      </w:r>
      <w:r>
        <w:t xml:space="preserve"> influenza untyped. </w:t>
      </w:r>
      <w:r w:rsidR="00083596">
        <w:t xml:space="preserve">Approximately </w:t>
      </w:r>
      <w:r>
        <w:t>0.03%</w:t>
      </w:r>
      <w:r w:rsidR="00C51C4B">
        <w:t xml:space="preserve"> (2/5,746)</w:t>
      </w:r>
      <w:r>
        <w:t xml:space="preserve"> </w:t>
      </w:r>
      <w:r w:rsidR="003C3126">
        <w:t>were</w:t>
      </w:r>
      <w:r>
        <w:t xml:space="preserve"> influenza A&amp;B </w:t>
      </w:r>
      <w:r w:rsidR="00C51C4B">
        <w:t>co-detection</w:t>
      </w:r>
      <w:r>
        <w:t xml:space="preserve"> (Figure 1</w:t>
      </w:r>
      <w:r w:rsidR="009702BD">
        <w:t>9</w:t>
      </w:r>
      <w:r>
        <w:t>).</w:t>
      </w:r>
    </w:p>
    <w:p w14:paraId="0AFC3ACC" w14:textId="101A3DCB" w:rsidR="00565FFB" w:rsidRDefault="00DE0360" w:rsidP="00720ECB">
      <w:pPr>
        <w:numPr>
          <w:ilvl w:val="0"/>
          <w:numId w:val="55"/>
        </w:numPr>
      </w:pPr>
      <w:r>
        <w:t>In the year to date, influenza A has accounted for the majority of influenza notifications in most jurisdictions</w:t>
      </w:r>
      <w:r w:rsidR="0013793B">
        <w:t xml:space="preserve"> </w:t>
      </w:r>
      <w:r>
        <w:t>(Figure 2</w:t>
      </w:r>
      <w:r w:rsidR="009702BD">
        <w:t>0</w:t>
      </w:r>
      <w:r>
        <w:t>).</w:t>
      </w:r>
    </w:p>
    <w:p w14:paraId="09685411" w14:textId="51B2EDF0" w:rsidR="00565FFB" w:rsidRDefault="00DE0360">
      <w:r>
        <w:rPr>
          <w:b/>
          <w:bCs/>
        </w:rPr>
        <w:t>Figure 1</w:t>
      </w:r>
      <w:r w:rsidR="009702BD">
        <w:rPr>
          <w:b/>
          <w:bCs/>
        </w:rPr>
        <w:t>9</w:t>
      </w:r>
      <w:r>
        <w:rPr>
          <w:b/>
          <w:bCs/>
        </w:rPr>
        <w:t xml:space="preserve">: Proportion of influenza notifications </w:t>
      </w:r>
      <w:r w:rsidR="0082508E">
        <w:rPr>
          <w:b/>
          <w:bCs/>
        </w:rPr>
        <w:t xml:space="preserve">to the NNDSS </w:t>
      </w:r>
      <w:r>
        <w:rPr>
          <w:b/>
          <w:bCs/>
        </w:rPr>
        <w:t>by subtype and week of diagnosis, Australia, 1 January to 7 April 2024</w:t>
      </w:r>
    </w:p>
    <w:p w14:paraId="026DCD3F" w14:textId="08B60CC4" w:rsidR="00565FFB" w:rsidRDefault="00BE0A06">
      <w:pPr>
        <w:pStyle w:val="BodyText"/>
      </w:pPr>
      <w:r>
        <w:rPr>
          <w:noProof/>
        </w:rPr>
        <w:drawing>
          <wp:inline distT="0" distB="0" distL="0" distR="0" wp14:anchorId="4B146BAE" wp14:editId="00ED2B61">
            <wp:extent cx="6184900" cy="2769924"/>
            <wp:effectExtent l="0" t="0" r="0" b="0"/>
            <wp:docPr id="113" name="Graphic 113" descr="A 100% stacked bar chart shows the relative proportion of influenza notifications to the NNDSS by subtype, with diagnosis dates from 1 January to 7 April 2024. Since the beginning of 2024, each week approximately 85% of influenza notifications to the NNDSS have been influenza A(unsubtyped) and 5–10% have been influenza B. The remaining 5–10% of influenza notifications to the NNDSS have been a combination of influenza A(H1N1), influenza A(H3N2), untyped influenza, and A and B influenza co-detections. "/>
            <wp:cNvGraphicFramePr/>
            <a:graphic xmlns:a="http://schemas.openxmlformats.org/drawingml/2006/main">
              <a:graphicData uri="http://schemas.openxmlformats.org/drawingml/2006/picture">
                <pic:pic xmlns:pic="http://schemas.openxmlformats.org/drawingml/2006/picture">
                  <pic:nvPicPr>
                    <pic:cNvPr id="113" name="Picture" descr="A 100% stacked bar chart shows the relative proportion of influenza notifications to the NNDSS by subtype, with diagnosis dates from 1 January to 7 April 2024. Since the beginning of 2024, each week approximately 85% of influenza notifications to the NNDSS have been influenza A(unsubtyped) and 5–10% have been influenza B. The remaining 5–10% of influenza notifications to the NNDSS have been a combination of influenza A(H1N1), influenza A(H3N2), untyped influenza, and A and B influenza co-detections. "/>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49679EC9" w14:textId="2ACB53CC" w:rsidR="00565FFB" w:rsidRDefault="00DE0360">
      <w:pPr>
        <w:pStyle w:val="BodyText"/>
      </w:pPr>
      <w:r>
        <w:rPr>
          <w:b/>
          <w:bCs/>
        </w:rPr>
        <w:t>Figure 2</w:t>
      </w:r>
      <w:r w:rsidR="009702BD">
        <w:rPr>
          <w:b/>
          <w:bCs/>
        </w:rPr>
        <w:t>0</w:t>
      </w:r>
      <w:r>
        <w:rPr>
          <w:b/>
          <w:bCs/>
        </w:rPr>
        <w:t xml:space="preserve">: Proportion of </w:t>
      </w:r>
      <w:r w:rsidR="002B4DEF">
        <w:rPr>
          <w:b/>
          <w:bCs/>
        </w:rPr>
        <w:t xml:space="preserve">influenza </w:t>
      </w:r>
      <w:r>
        <w:rPr>
          <w:b/>
          <w:bCs/>
        </w:rPr>
        <w:t>notifications</w:t>
      </w:r>
      <w:r w:rsidR="0082508E">
        <w:rPr>
          <w:b/>
          <w:bCs/>
        </w:rPr>
        <w:t xml:space="preserve"> to the NNDSS</w:t>
      </w:r>
      <w:r>
        <w:rPr>
          <w:b/>
          <w:bCs/>
        </w:rPr>
        <w:t xml:space="preserve"> by subtype and jurisdiction*, Australia, 1 January to 7 April 2024</w:t>
      </w:r>
    </w:p>
    <w:p w14:paraId="27436801" w14:textId="5847EB0D" w:rsidR="00565FFB" w:rsidRDefault="00CF71A9">
      <w:pPr>
        <w:pStyle w:val="BodyText"/>
      </w:pPr>
      <w:r>
        <w:rPr>
          <w:noProof/>
        </w:rPr>
        <w:drawing>
          <wp:inline distT="0" distB="0" distL="0" distR="0" wp14:anchorId="5A113D52" wp14:editId="6F62543B">
            <wp:extent cx="6184900" cy="2769924"/>
            <wp:effectExtent l="0" t="0" r="0" b="0"/>
            <wp:docPr id="116" name="Graphic 116" descr="A 100% stacked bar chart shows the relative proportion of influenza notifications to the NNDSS by subtype and state or territory of residence, from 1 January to 7 April 2024. Since the beginning of 2024, the majority of influenza notifications to the NNDSS in most jurisdictions have been influenza A(unsubtyped), followed by influenza B. In the Australian Capital Territory, influenza subtyping data have been unavailable from May 2023. &#10;&#10;"/>
            <wp:cNvGraphicFramePr/>
            <a:graphic xmlns:a="http://schemas.openxmlformats.org/drawingml/2006/main">
              <a:graphicData uri="http://schemas.openxmlformats.org/drawingml/2006/picture">
                <pic:pic xmlns:pic="http://schemas.openxmlformats.org/drawingml/2006/picture">
                  <pic:nvPicPr>
                    <pic:cNvPr id="116" name="Picture" descr="A 100% stacked bar chart shows the relative proportion of influenza notifications to the NNDSS by subtype and state or territory of residence, from 1 January to 7 April 2024. Since the beginning of 2024, the majority of influenza notifications to the NNDSS in most jurisdictions have been influenza A(unsubtyped), followed by influenza B. In the Australian Capital Territory, influenza subtyping data have been unavailable from May 2023. &#10;&#10;"/>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5FF9B6D1" w14:textId="77777777" w:rsidR="00565FFB" w:rsidRDefault="00DE0360" w:rsidP="00694001">
      <w:pPr>
        <w:pStyle w:val="Smalltext"/>
      </w:pPr>
      <w:r>
        <w:t>* From 22 May 2023, subtyping data are no longer available for the ACT.</w:t>
      </w:r>
    </w:p>
    <w:p w14:paraId="09E76292" w14:textId="77777777" w:rsidR="00565FFB" w:rsidRDefault="00565FFB" w:rsidP="00694001">
      <w:pPr>
        <w:pStyle w:val="Smalltext"/>
      </w:pPr>
    </w:p>
    <w:p w14:paraId="6617B1A3" w14:textId="2857A246" w:rsidR="006F1B72" w:rsidRDefault="006F1B72">
      <w:pPr>
        <w:spacing w:before="0" w:after="0" w:line="240" w:lineRule="auto"/>
      </w:pPr>
      <w:bookmarkStart w:id="38" w:name="flucan-1"/>
      <w:bookmarkEnd w:id="37"/>
      <w:r>
        <w:br w:type="page"/>
      </w:r>
    </w:p>
    <w:p w14:paraId="3606AF41" w14:textId="5F5EEB4E" w:rsidR="00565FFB" w:rsidRDefault="00DE0360">
      <w:pPr>
        <w:pStyle w:val="Heading2"/>
      </w:pPr>
      <w:bookmarkStart w:id="39" w:name="vaccine-coverage-effectiveness-and-match"/>
      <w:bookmarkEnd w:id="33"/>
      <w:bookmarkEnd w:id="38"/>
      <w:r>
        <w:lastRenderedPageBreak/>
        <w:t>6. Vaccine coverage, effectiveness and match</w:t>
      </w:r>
    </w:p>
    <w:p w14:paraId="397E1FD0" w14:textId="5B63EB79" w:rsidR="00565FFB" w:rsidRDefault="00E96CB7">
      <w:r>
        <w:t>In the present report</w:t>
      </w:r>
      <w:r w:rsidR="00DE0360">
        <w:t>, data reported</w:t>
      </w:r>
      <w:r w:rsidR="00DE0360" w:rsidDel="00D138B7">
        <w:t xml:space="preserve"> </w:t>
      </w:r>
      <w:r w:rsidR="00DE0360">
        <w:t xml:space="preserve">on vaccine coverage, effectiveness and match relate to influenza vaccinations. COVID-19 and RSV vaccination data will be included in future iterations of the Australian Respiratory Surveillance Report. Refer to the </w:t>
      </w:r>
      <w:hyperlink r:id="rId56" w:history="1">
        <w:r w:rsidR="00DE0360" w:rsidRPr="008D31F3">
          <w:rPr>
            <w:rStyle w:val="Hyperlink"/>
          </w:rPr>
          <w:t>Technical Supplement – Australian Respiratory Surveillance Report</w:t>
        </w:r>
      </w:hyperlink>
      <w:r w:rsidR="00DE0360">
        <w:t xml:space="preserve"> for further detail on vaccine terminology.</w:t>
      </w:r>
    </w:p>
    <w:p w14:paraId="3697482D" w14:textId="77777777" w:rsidR="00565FFB" w:rsidRDefault="00DE0360">
      <w:pPr>
        <w:pStyle w:val="Heading3"/>
      </w:pPr>
      <w:bookmarkStart w:id="40" w:name="vaccine-coverage"/>
      <w:r>
        <w:t>6.1 Vaccine coverage</w:t>
      </w:r>
    </w:p>
    <w:p w14:paraId="64B8C97A" w14:textId="3154F06E" w:rsidR="00565FFB" w:rsidRDefault="00DE0360" w:rsidP="00720ECB">
      <w:pPr>
        <w:numPr>
          <w:ilvl w:val="0"/>
          <w:numId w:val="57"/>
        </w:numPr>
      </w:pPr>
      <w:r>
        <w:t xml:space="preserve">It is too early to assess vaccine coverage for the 2024 </w:t>
      </w:r>
      <w:r w:rsidR="00F257B7">
        <w:t>influenza</w:t>
      </w:r>
      <w:r>
        <w:t xml:space="preserve"> season.</w:t>
      </w:r>
    </w:p>
    <w:p w14:paraId="20163313" w14:textId="77777777" w:rsidR="00565FFB" w:rsidRDefault="00DE0360">
      <w:pPr>
        <w:pStyle w:val="Heading3"/>
      </w:pPr>
      <w:bookmarkStart w:id="41" w:name="vaccine-effectiveness"/>
      <w:bookmarkEnd w:id="40"/>
      <w:r>
        <w:t>6.2 Vaccine effectiveness</w:t>
      </w:r>
    </w:p>
    <w:p w14:paraId="0EB22D02" w14:textId="7DF29FDA" w:rsidR="00565FFB" w:rsidRDefault="00DE0360" w:rsidP="00720ECB">
      <w:pPr>
        <w:numPr>
          <w:ilvl w:val="0"/>
          <w:numId w:val="58"/>
        </w:numPr>
      </w:pPr>
      <w:r>
        <w:t xml:space="preserve">It is too early to assess vaccine effectiveness for the 2024 </w:t>
      </w:r>
      <w:r w:rsidR="00F257B7">
        <w:t xml:space="preserve">influenza </w:t>
      </w:r>
      <w:r>
        <w:t>season.</w:t>
      </w:r>
    </w:p>
    <w:p w14:paraId="647555AE" w14:textId="77777777" w:rsidR="00565FFB" w:rsidRDefault="00DE0360">
      <w:pPr>
        <w:pStyle w:val="Heading3"/>
      </w:pPr>
      <w:bookmarkStart w:id="42" w:name="vaccine-match"/>
      <w:bookmarkEnd w:id="41"/>
      <w:r>
        <w:t>6.3 Vaccine match</w:t>
      </w:r>
    </w:p>
    <w:p w14:paraId="0A99FD38" w14:textId="77777777" w:rsidR="00CC4308" w:rsidRDefault="00CC4308" w:rsidP="00CC4308">
      <w:pPr>
        <w:pStyle w:val="Heading4"/>
      </w:pPr>
      <w:bookmarkStart w:id="43" w:name="Xe9565954bca540ca29e947f2d57b7373df8b325"/>
      <w:r>
        <w:t>WHOCC for Reference and Research on Influenza</w:t>
      </w:r>
    </w:p>
    <w:p w14:paraId="5D9CCFE7" w14:textId="4CE060F4" w:rsidR="00CC4308" w:rsidRDefault="00CC4308" w:rsidP="001D7D0B">
      <w:pPr>
        <w:numPr>
          <w:ilvl w:val="0"/>
          <w:numId w:val="62"/>
        </w:numPr>
      </w:pPr>
      <w:r>
        <w:t>In the year to date, of the 218 samples referred to the WHOCC, 100% (77/77) of influenza A(H1N1) isolates, 92</w:t>
      </w:r>
      <w:r w:rsidR="00EB2B73">
        <w:t>.2</w:t>
      </w:r>
      <w:r>
        <w:t>% (118/128) of influenza A(H3N2) isolates and 100% (13/13) of influenza B/Victoria isolates have been antigenically similar to the corresponding vaccine components.</w:t>
      </w:r>
    </w:p>
    <w:p w14:paraId="0464D7A5" w14:textId="161FD0E0" w:rsidR="00565FFB" w:rsidRDefault="00DE0360" w:rsidP="00CC4308">
      <w:pPr>
        <w:pStyle w:val="Heading4"/>
      </w:pPr>
      <w:r>
        <w:t>Australian Influenza Vaccines Composition 2024</w:t>
      </w:r>
    </w:p>
    <w:p w14:paraId="2BB189D8" w14:textId="77777777" w:rsidR="00565FFB" w:rsidRDefault="00DE0360" w:rsidP="00720ECB">
      <w:pPr>
        <w:numPr>
          <w:ilvl w:val="0"/>
          <w:numId w:val="59"/>
        </w:numPr>
      </w:pPr>
      <w:r>
        <w:t xml:space="preserve">All 2024 southern hemisphere </w:t>
      </w:r>
      <w:hyperlink r:id="rId57">
        <w:r>
          <w:rPr>
            <w:rStyle w:val="Hyperlink"/>
          </w:rPr>
          <w:t>seasonal influenza vaccinations</w:t>
        </w:r>
      </w:hyperlink>
      <w:r>
        <w:t xml:space="preserve"> registered for use in Australia are quadrivalent influenza vaccines.</w:t>
      </w:r>
    </w:p>
    <w:p w14:paraId="5501E016" w14:textId="77777777" w:rsidR="00565FFB" w:rsidRDefault="00DE0360" w:rsidP="00720ECB">
      <w:pPr>
        <w:numPr>
          <w:ilvl w:val="0"/>
          <w:numId w:val="59"/>
        </w:numPr>
      </w:pPr>
      <w:r>
        <w:t>The influenza virus strains included in egg-based quadrivalent influenza vaccines in Australia in 2024 are:</w:t>
      </w:r>
    </w:p>
    <w:p w14:paraId="43FE83CF" w14:textId="5FEACBAC" w:rsidR="00565FFB" w:rsidRDefault="00DE0360" w:rsidP="00720ECB">
      <w:pPr>
        <w:numPr>
          <w:ilvl w:val="1"/>
          <w:numId w:val="60"/>
        </w:numPr>
      </w:pPr>
      <w:r>
        <w:t xml:space="preserve">A/Victoria/4897/2022 (H1N1)pdm09-like </w:t>
      </w:r>
      <w:proofErr w:type="gramStart"/>
      <w:r>
        <w:t>virus;</w:t>
      </w:r>
      <w:proofErr w:type="gramEnd"/>
    </w:p>
    <w:p w14:paraId="1613718C" w14:textId="77777777" w:rsidR="00565FFB" w:rsidRDefault="00DE0360" w:rsidP="00720ECB">
      <w:pPr>
        <w:numPr>
          <w:ilvl w:val="1"/>
          <w:numId w:val="60"/>
        </w:numPr>
      </w:pPr>
      <w:r>
        <w:t xml:space="preserve">A/Thailand/8/2022 (H3N2)-like </w:t>
      </w:r>
      <w:proofErr w:type="gramStart"/>
      <w:r>
        <w:t>virus;</w:t>
      </w:r>
      <w:proofErr w:type="gramEnd"/>
    </w:p>
    <w:p w14:paraId="02F7B711" w14:textId="77777777" w:rsidR="00565FFB" w:rsidRDefault="00DE0360" w:rsidP="00720ECB">
      <w:pPr>
        <w:numPr>
          <w:ilvl w:val="1"/>
          <w:numId w:val="60"/>
        </w:numPr>
      </w:pPr>
      <w:r>
        <w:t>B/Austria/1359417/2021 (B/Victoria lineage)-like virus; and</w:t>
      </w:r>
    </w:p>
    <w:p w14:paraId="7436CB48" w14:textId="77777777" w:rsidR="00565FFB" w:rsidRDefault="00DE0360" w:rsidP="00720ECB">
      <w:pPr>
        <w:numPr>
          <w:ilvl w:val="1"/>
          <w:numId w:val="60"/>
        </w:numPr>
      </w:pPr>
      <w:r>
        <w:t>B/Phuket/3073/2013 (B/Yamagata lineage)-like virus.</w:t>
      </w:r>
    </w:p>
    <w:p w14:paraId="75218DA1" w14:textId="77777777" w:rsidR="00565FFB" w:rsidRDefault="00DE0360" w:rsidP="00720ECB">
      <w:pPr>
        <w:numPr>
          <w:ilvl w:val="0"/>
          <w:numId w:val="59"/>
        </w:numPr>
      </w:pPr>
      <w:r>
        <w:t>The influenza virus strains included in cell-based quadrivalent influenza vaccines in Australia in 2024 are:</w:t>
      </w:r>
    </w:p>
    <w:p w14:paraId="23434FCD" w14:textId="32581892" w:rsidR="00565FFB" w:rsidRDefault="00DE0360" w:rsidP="00720ECB">
      <w:pPr>
        <w:numPr>
          <w:ilvl w:val="1"/>
          <w:numId w:val="61"/>
        </w:numPr>
      </w:pPr>
      <w:r>
        <w:t xml:space="preserve">A/Wisconsin/67/2022 (H1N1)pdm09-like </w:t>
      </w:r>
      <w:proofErr w:type="gramStart"/>
      <w:r>
        <w:t>virus;</w:t>
      </w:r>
      <w:proofErr w:type="gramEnd"/>
    </w:p>
    <w:p w14:paraId="68593E1E" w14:textId="77777777" w:rsidR="00565FFB" w:rsidRDefault="00DE0360" w:rsidP="00720ECB">
      <w:pPr>
        <w:numPr>
          <w:ilvl w:val="1"/>
          <w:numId w:val="61"/>
        </w:numPr>
      </w:pPr>
      <w:r>
        <w:t xml:space="preserve">A/Massachusetts/18/2022 (H3N2)-like </w:t>
      </w:r>
      <w:proofErr w:type="gramStart"/>
      <w:r>
        <w:t>virus;</w:t>
      </w:r>
      <w:proofErr w:type="gramEnd"/>
    </w:p>
    <w:p w14:paraId="42B0EC26" w14:textId="77777777" w:rsidR="00565FFB" w:rsidRDefault="00DE0360" w:rsidP="00720ECB">
      <w:pPr>
        <w:numPr>
          <w:ilvl w:val="1"/>
          <w:numId w:val="61"/>
        </w:numPr>
      </w:pPr>
      <w:r>
        <w:t>B/Austria/1359417/2021 (B/Victoria lineage)-like virus; and</w:t>
      </w:r>
    </w:p>
    <w:p w14:paraId="1860532F" w14:textId="77777777" w:rsidR="00565FFB" w:rsidRDefault="00DE0360" w:rsidP="00720ECB">
      <w:pPr>
        <w:numPr>
          <w:ilvl w:val="1"/>
          <w:numId w:val="61"/>
        </w:numPr>
      </w:pPr>
      <w:r>
        <w:t>B/Phuket/3073/2013 (B/Yamagata lineage)-like virus.</w:t>
      </w:r>
    </w:p>
    <w:bookmarkEnd w:id="39"/>
    <w:bookmarkEnd w:id="42"/>
    <w:bookmarkEnd w:id="43"/>
    <w:p w14:paraId="7FA3BE3A" w14:textId="0AB676CE" w:rsidR="00565FFB" w:rsidRDefault="00565FFB" w:rsidP="00DE0360"/>
    <w:sectPr w:rsidR="00565FFB" w:rsidSect="00D21089">
      <w:footerReference w:type="default" r:id="rId58"/>
      <w:headerReference w:type="first" r:id="rId59"/>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E54BD" w14:textId="77777777" w:rsidR="00A256EE" w:rsidRDefault="00A256EE">
      <w:pPr>
        <w:spacing w:before="0" w:after="0" w:line="240" w:lineRule="auto"/>
      </w:pPr>
      <w:r>
        <w:separator/>
      </w:r>
    </w:p>
  </w:endnote>
  <w:endnote w:type="continuationSeparator" w:id="0">
    <w:p w14:paraId="05E93AAB" w14:textId="77777777" w:rsidR="00A256EE" w:rsidRDefault="00A256EE">
      <w:pPr>
        <w:spacing w:before="0" w:after="0" w:line="240" w:lineRule="auto"/>
      </w:pPr>
      <w:r>
        <w:continuationSeparator/>
      </w:r>
    </w:p>
  </w:endnote>
  <w:endnote w:type="continuationNotice" w:id="1">
    <w:p w14:paraId="4189394F" w14:textId="77777777" w:rsidR="00A256EE" w:rsidRDefault="00A256E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7429278"/>
      <w:docPartObj>
        <w:docPartGallery w:val="Page Numbers (Bottom of Page)"/>
        <w:docPartUnique/>
      </w:docPartObj>
    </w:sdtPr>
    <w:sdtEndPr>
      <w:rPr>
        <w:rFonts w:cs="Arial"/>
        <w:sz w:val="18"/>
        <w:szCs w:val="22"/>
      </w:rPr>
    </w:sdtEndPr>
    <w:sdtContent>
      <w:p w14:paraId="3415239E" w14:textId="4C9DF717" w:rsidR="00762793" w:rsidRPr="009466DB" w:rsidRDefault="003F4F8A" w:rsidP="00AF0855">
        <w:pPr>
          <w:pStyle w:val="Footer"/>
          <w:jc w:val="left"/>
          <w:rPr>
            <w:rFonts w:cs="Arial"/>
          </w:rPr>
        </w:pPr>
        <w:r w:rsidRPr="009466DB">
          <w:rPr>
            <w:rStyle w:val="normaltextrun"/>
            <w:rFonts w:cs="Arial"/>
            <w:color w:val="000000"/>
            <w:szCs w:val="20"/>
            <w:shd w:val="clear" w:color="auto" w:fill="FFFFFF"/>
          </w:rPr>
          <w:t>I</w:t>
        </w:r>
        <w:r w:rsidRPr="00E55C6A">
          <w:rPr>
            <w:rStyle w:val="normaltextrun"/>
            <w:rFonts w:cs="Arial"/>
            <w:color w:val="000000"/>
            <w:sz w:val="18"/>
            <w:szCs w:val="18"/>
            <w:shd w:val="clear" w:color="auto" w:fill="FFFFFF"/>
          </w:rPr>
          <w:t>nterim Australian Centre for Disease Control</w:t>
        </w:r>
        <w:r w:rsidR="00CC4B25">
          <w:rPr>
            <w:rFonts w:cs="Arial"/>
          </w:rPr>
          <w:tab/>
        </w:r>
        <w:r w:rsidR="00CC4B25">
          <w:rPr>
            <w:rFonts w:cs="Arial"/>
          </w:rPr>
          <w:tab/>
        </w:r>
        <w:r w:rsidR="00D21089" w:rsidRPr="003A3677">
          <w:rPr>
            <w:rFonts w:cs="Arial"/>
            <w:sz w:val="18"/>
            <w:szCs w:val="22"/>
          </w:rPr>
          <w:fldChar w:fldCharType="begin"/>
        </w:r>
        <w:r w:rsidR="00D21089" w:rsidRPr="009466DB">
          <w:rPr>
            <w:rFonts w:cs="Arial"/>
          </w:rPr>
          <w:instrText xml:space="preserve"> PAGE   \* MERGEFORMAT </w:instrText>
        </w:r>
        <w:r w:rsidR="00D21089" w:rsidRPr="003A3677">
          <w:rPr>
            <w:rFonts w:cs="Arial"/>
            <w:sz w:val="18"/>
            <w:szCs w:val="22"/>
          </w:rPr>
          <w:fldChar w:fldCharType="separate"/>
        </w:r>
        <w:r w:rsidR="00D21089" w:rsidRPr="0025656D">
          <w:rPr>
            <w:rFonts w:cs="Arial"/>
            <w:sz w:val="18"/>
            <w:szCs w:val="22"/>
          </w:rPr>
          <w:t>2</w:t>
        </w:r>
        <w:r w:rsidR="00D21089" w:rsidRPr="003A3677">
          <w:rPr>
            <w:rFonts w:cs="Arial"/>
            <w:sz w:val="18"/>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357BF0" w14:textId="77777777" w:rsidR="00A256EE" w:rsidRDefault="00A256EE">
      <w:r>
        <w:separator/>
      </w:r>
    </w:p>
  </w:footnote>
  <w:footnote w:type="continuationSeparator" w:id="0">
    <w:p w14:paraId="09DC496A" w14:textId="77777777" w:rsidR="00A256EE" w:rsidRDefault="00A256EE">
      <w:r>
        <w:continuationSeparator/>
      </w:r>
    </w:p>
  </w:footnote>
  <w:footnote w:type="continuationNotice" w:id="1">
    <w:p w14:paraId="08C99004" w14:textId="77777777" w:rsidR="00A256EE" w:rsidRDefault="00A256E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F1A2" w14:textId="77777777" w:rsidR="00DE0360" w:rsidRDefault="00DE0360" w:rsidP="00A15616">
    <w:pPr>
      <w:pStyle w:val="Header"/>
    </w:pPr>
    <w:r>
      <w:rPr>
        <w:noProof/>
        <w:lang w:eastAsia="en-AU"/>
      </w:rPr>
      <w:drawing>
        <wp:anchor distT="0" distB="0" distL="114300" distR="114300" simplePos="0" relativeHeight="251658240" behindDoc="1" locked="1" layoutInCell="1" allowOverlap="1" wp14:anchorId="44AB3819" wp14:editId="7793EB60">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2114008499">
    <w:abstractNumId w:val="0"/>
  </w:num>
  <w:num w:numId="8" w16cid:durableId="864827463">
    <w:abstractNumId w:val="0"/>
  </w:num>
  <w:num w:numId="9" w16cid:durableId="1000157199">
    <w:abstractNumId w:val="0"/>
  </w:num>
  <w:num w:numId="10" w16cid:durableId="728187594">
    <w:abstractNumId w:val="0"/>
  </w:num>
  <w:num w:numId="11" w16cid:durableId="1156529888">
    <w:abstractNumId w:val="0"/>
  </w:num>
  <w:num w:numId="12" w16cid:durableId="785925325">
    <w:abstractNumId w:val="0"/>
  </w:num>
  <w:num w:numId="13" w16cid:durableId="520554523">
    <w:abstractNumId w:val="0"/>
  </w:num>
  <w:num w:numId="14" w16cid:durableId="1576277832">
    <w:abstractNumId w:val="0"/>
  </w:num>
  <w:num w:numId="15" w16cid:durableId="1404911487">
    <w:abstractNumId w:val="0"/>
  </w:num>
  <w:num w:numId="16" w16cid:durableId="1596670651">
    <w:abstractNumId w:val="0"/>
  </w:num>
  <w:num w:numId="17" w16cid:durableId="1034501788">
    <w:abstractNumId w:val="0"/>
  </w:num>
  <w:num w:numId="18" w16cid:durableId="1721587926">
    <w:abstractNumId w:val="0"/>
  </w:num>
  <w:num w:numId="19" w16cid:durableId="355930141">
    <w:abstractNumId w:val="0"/>
  </w:num>
  <w:num w:numId="20" w16cid:durableId="1217862626">
    <w:abstractNumId w:val="0"/>
  </w:num>
  <w:num w:numId="21" w16cid:durableId="456416606">
    <w:abstractNumId w:val="0"/>
  </w:num>
  <w:num w:numId="22" w16cid:durableId="1653874852">
    <w:abstractNumId w:val="0"/>
  </w:num>
  <w:num w:numId="23" w16cid:durableId="1650480443">
    <w:abstractNumId w:val="0"/>
  </w:num>
  <w:num w:numId="24" w16cid:durableId="1279026568">
    <w:abstractNumId w:val="0"/>
  </w:num>
  <w:num w:numId="25" w16cid:durableId="657195824">
    <w:abstractNumId w:val="0"/>
  </w:num>
  <w:num w:numId="26" w16cid:durableId="160396553">
    <w:abstractNumId w:val="0"/>
  </w:num>
  <w:num w:numId="27" w16cid:durableId="1413968583">
    <w:abstractNumId w:val="0"/>
  </w:num>
  <w:num w:numId="28" w16cid:durableId="107437574">
    <w:abstractNumId w:val="0"/>
  </w:num>
  <w:num w:numId="29" w16cid:durableId="1624769559">
    <w:abstractNumId w:val="0"/>
  </w:num>
  <w:num w:numId="30" w16cid:durableId="1689521398">
    <w:abstractNumId w:val="0"/>
  </w:num>
  <w:num w:numId="31" w16cid:durableId="132259799">
    <w:abstractNumId w:val="0"/>
  </w:num>
  <w:num w:numId="32" w16cid:durableId="1060443070">
    <w:abstractNumId w:val="0"/>
  </w:num>
  <w:num w:numId="33" w16cid:durableId="350836723">
    <w:abstractNumId w:val="0"/>
  </w:num>
  <w:num w:numId="34" w16cid:durableId="2018385298">
    <w:abstractNumId w:val="0"/>
  </w:num>
  <w:num w:numId="35" w16cid:durableId="52314095">
    <w:abstractNumId w:val="0"/>
  </w:num>
  <w:num w:numId="36" w16cid:durableId="383063725">
    <w:abstractNumId w:val="0"/>
  </w:num>
  <w:num w:numId="37" w16cid:durableId="2000814268">
    <w:abstractNumId w:val="0"/>
  </w:num>
  <w:num w:numId="38" w16cid:durableId="1531726160">
    <w:abstractNumId w:val="0"/>
  </w:num>
  <w:num w:numId="39" w16cid:durableId="2131508385">
    <w:abstractNumId w:val="0"/>
  </w:num>
  <w:num w:numId="40" w16cid:durableId="34283775">
    <w:abstractNumId w:val="0"/>
  </w:num>
  <w:num w:numId="41" w16cid:durableId="678891043">
    <w:abstractNumId w:val="0"/>
  </w:num>
  <w:num w:numId="42" w16cid:durableId="262691150">
    <w:abstractNumId w:val="0"/>
  </w:num>
  <w:num w:numId="43" w16cid:durableId="2063362612">
    <w:abstractNumId w:val="0"/>
  </w:num>
  <w:num w:numId="44" w16cid:durableId="522323121">
    <w:abstractNumId w:val="0"/>
  </w:num>
  <w:num w:numId="45" w16cid:durableId="546913962">
    <w:abstractNumId w:val="0"/>
  </w:num>
  <w:num w:numId="46" w16cid:durableId="1755473074">
    <w:abstractNumId w:val="0"/>
  </w:num>
  <w:num w:numId="47" w16cid:durableId="666638996">
    <w:abstractNumId w:val="0"/>
  </w:num>
  <w:num w:numId="48" w16cid:durableId="1250847777">
    <w:abstractNumId w:val="0"/>
  </w:num>
  <w:num w:numId="49" w16cid:durableId="280067064">
    <w:abstractNumId w:val="0"/>
  </w:num>
  <w:num w:numId="50" w16cid:durableId="1591042740">
    <w:abstractNumId w:val="0"/>
  </w:num>
  <w:num w:numId="51" w16cid:durableId="250042911">
    <w:abstractNumId w:val="0"/>
  </w:num>
  <w:num w:numId="52" w16cid:durableId="559366768">
    <w:abstractNumId w:val="0"/>
  </w:num>
  <w:num w:numId="53" w16cid:durableId="1088622762">
    <w:abstractNumId w:val="0"/>
  </w:num>
  <w:num w:numId="54" w16cid:durableId="812528572">
    <w:abstractNumId w:val="0"/>
  </w:num>
  <w:num w:numId="55" w16cid:durableId="762528499">
    <w:abstractNumId w:val="0"/>
  </w:num>
  <w:num w:numId="56" w16cid:durableId="1358703260">
    <w:abstractNumId w:val="0"/>
  </w:num>
  <w:num w:numId="57" w16cid:durableId="937714507">
    <w:abstractNumId w:val="0"/>
  </w:num>
  <w:num w:numId="58" w16cid:durableId="740950109">
    <w:abstractNumId w:val="0"/>
  </w:num>
  <w:num w:numId="59" w16cid:durableId="1372918495">
    <w:abstractNumId w:val="0"/>
  </w:num>
  <w:num w:numId="60" w16cid:durableId="1590576457">
    <w:abstractNumId w:val="0"/>
  </w:num>
  <w:num w:numId="61" w16cid:durableId="1110473306">
    <w:abstractNumId w:val="0"/>
  </w:num>
  <w:num w:numId="62" w16cid:durableId="29467846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FFB"/>
    <w:rsid w:val="00000694"/>
    <w:rsid w:val="00002E4D"/>
    <w:rsid w:val="00003DD4"/>
    <w:rsid w:val="00005072"/>
    <w:rsid w:val="000064D0"/>
    <w:rsid w:val="00006A4E"/>
    <w:rsid w:val="00006B6F"/>
    <w:rsid w:val="00006FC5"/>
    <w:rsid w:val="00007020"/>
    <w:rsid w:val="000070E3"/>
    <w:rsid w:val="00007247"/>
    <w:rsid w:val="000076CB"/>
    <w:rsid w:val="00007E5A"/>
    <w:rsid w:val="0001077B"/>
    <w:rsid w:val="00010B48"/>
    <w:rsid w:val="00011A04"/>
    <w:rsid w:val="0001233E"/>
    <w:rsid w:val="000133CF"/>
    <w:rsid w:val="00014860"/>
    <w:rsid w:val="0001493C"/>
    <w:rsid w:val="00014B25"/>
    <w:rsid w:val="00014C09"/>
    <w:rsid w:val="00015466"/>
    <w:rsid w:val="000159F1"/>
    <w:rsid w:val="000164D1"/>
    <w:rsid w:val="000165B5"/>
    <w:rsid w:val="00017248"/>
    <w:rsid w:val="0002052C"/>
    <w:rsid w:val="00020B7E"/>
    <w:rsid w:val="00020FB7"/>
    <w:rsid w:val="00022373"/>
    <w:rsid w:val="000225E2"/>
    <w:rsid w:val="00023299"/>
    <w:rsid w:val="00024476"/>
    <w:rsid w:val="00024B43"/>
    <w:rsid w:val="00025712"/>
    <w:rsid w:val="00025B0B"/>
    <w:rsid w:val="000266FB"/>
    <w:rsid w:val="00027BB9"/>
    <w:rsid w:val="0003094D"/>
    <w:rsid w:val="00033AC2"/>
    <w:rsid w:val="000343F9"/>
    <w:rsid w:val="00034B3F"/>
    <w:rsid w:val="000361D9"/>
    <w:rsid w:val="00040039"/>
    <w:rsid w:val="00040075"/>
    <w:rsid w:val="00042225"/>
    <w:rsid w:val="00043B1B"/>
    <w:rsid w:val="00044D32"/>
    <w:rsid w:val="00046758"/>
    <w:rsid w:val="0005024F"/>
    <w:rsid w:val="00051B8D"/>
    <w:rsid w:val="00051BA5"/>
    <w:rsid w:val="00051D99"/>
    <w:rsid w:val="000528C2"/>
    <w:rsid w:val="000529C6"/>
    <w:rsid w:val="00053E4D"/>
    <w:rsid w:val="000551F5"/>
    <w:rsid w:val="000561FC"/>
    <w:rsid w:val="00056F13"/>
    <w:rsid w:val="000612E0"/>
    <w:rsid w:val="000617C2"/>
    <w:rsid w:val="00061A0E"/>
    <w:rsid w:val="0006233B"/>
    <w:rsid w:val="00064A8A"/>
    <w:rsid w:val="0006548C"/>
    <w:rsid w:val="0006572A"/>
    <w:rsid w:val="00065914"/>
    <w:rsid w:val="00065CED"/>
    <w:rsid w:val="0006762E"/>
    <w:rsid w:val="0006785F"/>
    <w:rsid w:val="000679F3"/>
    <w:rsid w:val="00070685"/>
    <w:rsid w:val="0007211F"/>
    <w:rsid w:val="00072986"/>
    <w:rsid w:val="00073E0D"/>
    <w:rsid w:val="00073FE8"/>
    <w:rsid w:val="00076410"/>
    <w:rsid w:val="00076659"/>
    <w:rsid w:val="000802B3"/>
    <w:rsid w:val="000808F8"/>
    <w:rsid w:val="000817D3"/>
    <w:rsid w:val="00082DC8"/>
    <w:rsid w:val="00083596"/>
    <w:rsid w:val="0008445B"/>
    <w:rsid w:val="00087533"/>
    <w:rsid w:val="000876E0"/>
    <w:rsid w:val="00087B92"/>
    <w:rsid w:val="00092722"/>
    <w:rsid w:val="00093847"/>
    <w:rsid w:val="0009387E"/>
    <w:rsid w:val="00093E97"/>
    <w:rsid w:val="00095101"/>
    <w:rsid w:val="000A2021"/>
    <w:rsid w:val="000A2621"/>
    <w:rsid w:val="000A2949"/>
    <w:rsid w:val="000A2985"/>
    <w:rsid w:val="000A347B"/>
    <w:rsid w:val="000A35FF"/>
    <w:rsid w:val="000A44D3"/>
    <w:rsid w:val="000A49A2"/>
    <w:rsid w:val="000A4C24"/>
    <w:rsid w:val="000A54B0"/>
    <w:rsid w:val="000A5A1E"/>
    <w:rsid w:val="000A5F43"/>
    <w:rsid w:val="000A6304"/>
    <w:rsid w:val="000A6790"/>
    <w:rsid w:val="000A7196"/>
    <w:rsid w:val="000A7A75"/>
    <w:rsid w:val="000B0238"/>
    <w:rsid w:val="000B0738"/>
    <w:rsid w:val="000B0DD3"/>
    <w:rsid w:val="000B0F54"/>
    <w:rsid w:val="000B2026"/>
    <w:rsid w:val="000B2D80"/>
    <w:rsid w:val="000B3183"/>
    <w:rsid w:val="000B3560"/>
    <w:rsid w:val="000B364E"/>
    <w:rsid w:val="000B3CF3"/>
    <w:rsid w:val="000B40B2"/>
    <w:rsid w:val="000B4773"/>
    <w:rsid w:val="000B5150"/>
    <w:rsid w:val="000B58AC"/>
    <w:rsid w:val="000B6114"/>
    <w:rsid w:val="000B708C"/>
    <w:rsid w:val="000B72D6"/>
    <w:rsid w:val="000B76F4"/>
    <w:rsid w:val="000C0642"/>
    <w:rsid w:val="000C1B11"/>
    <w:rsid w:val="000C1FBA"/>
    <w:rsid w:val="000C27E7"/>
    <w:rsid w:val="000C30F9"/>
    <w:rsid w:val="000C3800"/>
    <w:rsid w:val="000C395F"/>
    <w:rsid w:val="000C3BC3"/>
    <w:rsid w:val="000C49B7"/>
    <w:rsid w:val="000C5A56"/>
    <w:rsid w:val="000C5BF1"/>
    <w:rsid w:val="000C609E"/>
    <w:rsid w:val="000D11E6"/>
    <w:rsid w:val="000D16FE"/>
    <w:rsid w:val="000D5CD0"/>
    <w:rsid w:val="000D7AA0"/>
    <w:rsid w:val="000E0F2B"/>
    <w:rsid w:val="000E12A2"/>
    <w:rsid w:val="000E2923"/>
    <w:rsid w:val="000E419E"/>
    <w:rsid w:val="000E5118"/>
    <w:rsid w:val="000E5BE0"/>
    <w:rsid w:val="000E7976"/>
    <w:rsid w:val="000E7D4D"/>
    <w:rsid w:val="000E7FBE"/>
    <w:rsid w:val="000F0DA8"/>
    <w:rsid w:val="000F138E"/>
    <w:rsid w:val="000F1DEF"/>
    <w:rsid w:val="000F1E0E"/>
    <w:rsid w:val="000F2550"/>
    <w:rsid w:val="000F400C"/>
    <w:rsid w:val="000F4AF5"/>
    <w:rsid w:val="000F597C"/>
    <w:rsid w:val="000F5C56"/>
    <w:rsid w:val="001020D6"/>
    <w:rsid w:val="00102D4B"/>
    <w:rsid w:val="00103457"/>
    <w:rsid w:val="00104951"/>
    <w:rsid w:val="00106113"/>
    <w:rsid w:val="001064A3"/>
    <w:rsid w:val="001073D0"/>
    <w:rsid w:val="00110A90"/>
    <w:rsid w:val="00111787"/>
    <w:rsid w:val="00112121"/>
    <w:rsid w:val="001132DD"/>
    <w:rsid w:val="001154B4"/>
    <w:rsid w:val="00115BE8"/>
    <w:rsid w:val="00116077"/>
    <w:rsid w:val="001162DD"/>
    <w:rsid w:val="00117C90"/>
    <w:rsid w:val="001203B4"/>
    <w:rsid w:val="001206F2"/>
    <w:rsid w:val="001213E6"/>
    <w:rsid w:val="00121C50"/>
    <w:rsid w:val="001240C6"/>
    <w:rsid w:val="0012433A"/>
    <w:rsid w:val="00125A19"/>
    <w:rsid w:val="00125A4D"/>
    <w:rsid w:val="00125CA7"/>
    <w:rsid w:val="001275D0"/>
    <w:rsid w:val="001300D7"/>
    <w:rsid w:val="00130FB5"/>
    <w:rsid w:val="00132FD0"/>
    <w:rsid w:val="00133676"/>
    <w:rsid w:val="001339C7"/>
    <w:rsid w:val="00133E0E"/>
    <w:rsid w:val="00134C82"/>
    <w:rsid w:val="001353C6"/>
    <w:rsid w:val="00135454"/>
    <w:rsid w:val="00135819"/>
    <w:rsid w:val="00136535"/>
    <w:rsid w:val="0013725B"/>
    <w:rsid w:val="001375C9"/>
    <w:rsid w:val="0013793B"/>
    <w:rsid w:val="00140869"/>
    <w:rsid w:val="00141D07"/>
    <w:rsid w:val="00141D99"/>
    <w:rsid w:val="0014492E"/>
    <w:rsid w:val="0014543D"/>
    <w:rsid w:val="001461AD"/>
    <w:rsid w:val="0014643B"/>
    <w:rsid w:val="00147352"/>
    <w:rsid w:val="001473D4"/>
    <w:rsid w:val="00147920"/>
    <w:rsid w:val="00147DDC"/>
    <w:rsid w:val="00150823"/>
    <w:rsid w:val="00150CD7"/>
    <w:rsid w:val="00150CEE"/>
    <w:rsid w:val="00151C17"/>
    <w:rsid w:val="001520A8"/>
    <w:rsid w:val="0015284C"/>
    <w:rsid w:val="00153A69"/>
    <w:rsid w:val="0015461E"/>
    <w:rsid w:val="00154BCE"/>
    <w:rsid w:val="00154E3A"/>
    <w:rsid w:val="00155CA1"/>
    <w:rsid w:val="0016007B"/>
    <w:rsid w:val="001602E9"/>
    <w:rsid w:val="00160A9F"/>
    <w:rsid w:val="00160CEA"/>
    <w:rsid w:val="00161991"/>
    <w:rsid w:val="00162E28"/>
    <w:rsid w:val="00163268"/>
    <w:rsid w:val="00163737"/>
    <w:rsid w:val="001647A0"/>
    <w:rsid w:val="00164C79"/>
    <w:rsid w:val="00166791"/>
    <w:rsid w:val="00166916"/>
    <w:rsid w:val="001673B6"/>
    <w:rsid w:val="0016750A"/>
    <w:rsid w:val="00167A06"/>
    <w:rsid w:val="001707B9"/>
    <w:rsid w:val="00171993"/>
    <w:rsid w:val="001723B2"/>
    <w:rsid w:val="00172639"/>
    <w:rsid w:val="00172BCE"/>
    <w:rsid w:val="001745BA"/>
    <w:rsid w:val="00174689"/>
    <w:rsid w:val="00174B08"/>
    <w:rsid w:val="001752B4"/>
    <w:rsid w:val="00175819"/>
    <w:rsid w:val="00176287"/>
    <w:rsid w:val="0017670B"/>
    <w:rsid w:val="001777DD"/>
    <w:rsid w:val="001808BC"/>
    <w:rsid w:val="001815B8"/>
    <w:rsid w:val="0018292F"/>
    <w:rsid w:val="001846B6"/>
    <w:rsid w:val="00184BFC"/>
    <w:rsid w:val="00184E09"/>
    <w:rsid w:val="00186F91"/>
    <w:rsid w:val="00191736"/>
    <w:rsid w:val="00191931"/>
    <w:rsid w:val="001938B9"/>
    <w:rsid w:val="00195560"/>
    <w:rsid w:val="001957C1"/>
    <w:rsid w:val="001961BA"/>
    <w:rsid w:val="00196A8E"/>
    <w:rsid w:val="0019779C"/>
    <w:rsid w:val="00197AA7"/>
    <w:rsid w:val="001A129B"/>
    <w:rsid w:val="001A155F"/>
    <w:rsid w:val="001A1D92"/>
    <w:rsid w:val="001A2171"/>
    <w:rsid w:val="001A3683"/>
    <w:rsid w:val="001A4288"/>
    <w:rsid w:val="001A4498"/>
    <w:rsid w:val="001A46C2"/>
    <w:rsid w:val="001A4C51"/>
    <w:rsid w:val="001A5A5C"/>
    <w:rsid w:val="001A5F91"/>
    <w:rsid w:val="001A734A"/>
    <w:rsid w:val="001B1065"/>
    <w:rsid w:val="001B1A99"/>
    <w:rsid w:val="001B2F97"/>
    <w:rsid w:val="001B303C"/>
    <w:rsid w:val="001B3C22"/>
    <w:rsid w:val="001B5492"/>
    <w:rsid w:val="001B5850"/>
    <w:rsid w:val="001B616A"/>
    <w:rsid w:val="001C0110"/>
    <w:rsid w:val="001C104A"/>
    <w:rsid w:val="001C2084"/>
    <w:rsid w:val="001C2C29"/>
    <w:rsid w:val="001C2EE6"/>
    <w:rsid w:val="001C439D"/>
    <w:rsid w:val="001C5DC6"/>
    <w:rsid w:val="001C65A9"/>
    <w:rsid w:val="001C7012"/>
    <w:rsid w:val="001C7C50"/>
    <w:rsid w:val="001D0896"/>
    <w:rsid w:val="001D351A"/>
    <w:rsid w:val="001D3576"/>
    <w:rsid w:val="001D38DE"/>
    <w:rsid w:val="001D3A78"/>
    <w:rsid w:val="001D4FEE"/>
    <w:rsid w:val="001D5120"/>
    <w:rsid w:val="001D5296"/>
    <w:rsid w:val="001D5516"/>
    <w:rsid w:val="001D5B59"/>
    <w:rsid w:val="001D6005"/>
    <w:rsid w:val="001D7166"/>
    <w:rsid w:val="001D73CF"/>
    <w:rsid w:val="001D7D0B"/>
    <w:rsid w:val="001E16D6"/>
    <w:rsid w:val="001E1EBB"/>
    <w:rsid w:val="001E3F62"/>
    <w:rsid w:val="001E437B"/>
    <w:rsid w:val="001E46C6"/>
    <w:rsid w:val="001E4800"/>
    <w:rsid w:val="001E4E3C"/>
    <w:rsid w:val="001E5926"/>
    <w:rsid w:val="001E5CB2"/>
    <w:rsid w:val="001E911D"/>
    <w:rsid w:val="001F0C52"/>
    <w:rsid w:val="001F1125"/>
    <w:rsid w:val="0020218D"/>
    <w:rsid w:val="00204FF6"/>
    <w:rsid w:val="00206C81"/>
    <w:rsid w:val="00206CA7"/>
    <w:rsid w:val="002072A6"/>
    <w:rsid w:val="002104DA"/>
    <w:rsid w:val="00210FB5"/>
    <w:rsid w:val="0021111B"/>
    <w:rsid w:val="002127EA"/>
    <w:rsid w:val="0021335E"/>
    <w:rsid w:val="00213B90"/>
    <w:rsid w:val="00214E62"/>
    <w:rsid w:val="0021555F"/>
    <w:rsid w:val="00215AD5"/>
    <w:rsid w:val="00216A3F"/>
    <w:rsid w:val="00216D6D"/>
    <w:rsid w:val="00216FC8"/>
    <w:rsid w:val="002202F4"/>
    <w:rsid w:val="00220698"/>
    <w:rsid w:val="00220B7B"/>
    <w:rsid w:val="00221B81"/>
    <w:rsid w:val="00221FD6"/>
    <w:rsid w:val="00222042"/>
    <w:rsid w:val="002239DB"/>
    <w:rsid w:val="00224F1B"/>
    <w:rsid w:val="00226829"/>
    <w:rsid w:val="00226DB2"/>
    <w:rsid w:val="00227A6D"/>
    <w:rsid w:val="00230BCA"/>
    <w:rsid w:val="00230DDF"/>
    <w:rsid w:val="0023134D"/>
    <w:rsid w:val="00232328"/>
    <w:rsid w:val="00237766"/>
    <w:rsid w:val="00237CE0"/>
    <w:rsid w:val="00237FB9"/>
    <w:rsid w:val="0024022B"/>
    <w:rsid w:val="00241D1B"/>
    <w:rsid w:val="002426B1"/>
    <w:rsid w:val="00242731"/>
    <w:rsid w:val="00245A1A"/>
    <w:rsid w:val="00245CB7"/>
    <w:rsid w:val="002469E5"/>
    <w:rsid w:val="00246C91"/>
    <w:rsid w:val="002513CB"/>
    <w:rsid w:val="00255783"/>
    <w:rsid w:val="0025656D"/>
    <w:rsid w:val="002572C8"/>
    <w:rsid w:val="00260E65"/>
    <w:rsid w:val="00262121"/>
    <w:rsid w:val="00262477"/>
    <w:rsid w:val="0026279A"/>
    <w:rsid w:val="002631E7"/>
    <w:rsid w:val="0026709E"/>
    <w:rsid w:val="002670D5"/>
    <w:rsid w:val="002715F0"/>
    <w:rsid w:val="0027202D"/>
    <w:rsid w:val="00272411"/>
    <w:rsid w:val="0027482B"/>
    <w:rsid w:val="002748AE"/>
    <w:rsid w:val="00274BF9"/>
    <w:rsid w:val="00277587"/>
    <w:rsid w:val="00281B6A"/>
    <w:rsid w:val="00281EDD"/>
    <w:rsid w:val="002829F7"/>
    <w:rsid w:val="00283025"/>
    <w:rsid w:val="002837E6"/>
    <w:rsid w:val="00283BD5"/>
    <w:rsid w:val="00283E8F"/>
    <w:rsid w:val="00284273"/>
    <w:rsid w:val="002843E3"/>
    <w:rsid w:val="0028463F"/>
    <w:rsid w:val="00285757"/>
    <w:rsid w:val="00285A9F"/>
    <w:rsid w:val="00285F29"/>
    <w:rsid w:val="00286B34"/>
    <w:rsid w:val="002914E4"/>
    <w:rsid w:val="00291839"/>
    <w:rsid w:val="002918BA"/>
    <w:rsid w:val="00291992"/>
    <w:rsid w:val="002927AD"/>
    <w:rsid w:val="00292D47"/>
    <w:rsid w:val="002938FC"/>
    <w:rsid w:val="00293B70"/>
    <w:rsid w:val="00293B91"/>
    <w:rsid w:val="002944A6"/>
    <w:rsid w:val="00294A0A"/>
    <w:rsid w:val="00294CA5"/>
    <w:rsid w:val="00294D08"/>
    <w:rsid w:val="00295F8F"/>
    <w:rsid w:val="002965C3"/>
    <w:rsid w:val="0029735C"/>
    <w:rsid w:val="002974BC"/>
    <w:rsid w:val="00297990"/>
    <w:rsid w:val="002A0127"/>
    <w:rsid w:val="002A2151"/>
    <w:rsid w:val="002A2817"/>
    <w:rsid w:val="002A28CC"/>
    <w:rsid w:val="002A2929"/>
    <w:rsid w:val="002A43B8"/>
    <w:rsid w:val="002A5087"/>
    <w:rsid w:val="002A57B4"/>
    <w:rsid w:val="002A6726"/>
    <w:rsid w:val="002A6CD1"/>
    <w:rsid w:val="002B2BAA"/>
    <w:rsid w:val="002B31E8"/>
    <w:rsid w:val="002B3442"/>
    <w:rsid w:val="002B4DEF"/>
    <w:rsid w:val="002B6246"/>
    <w:rsid w:val="002B6778"/>
    <w:rsid w:val="002C1362"/>
    <w:rsid w:val="002C1FE1"/>
    <w:rsid w:val="002C2527"/>
    <w:rsid w:val="002C2691"/>
    <w:rsid w:val="002C3D5D"/>
    <w:rsid w:val="002C48DD"/>
    <w:rsid w:val="002C4D7C"/>
    <w:rsid w:val="002C5EB4"/>
    <w:rsid w:val="002C6ACE"/>
    <w:rsid w:val="002D088A"/>
    <w:rsid w:val="002D0D0A"/>
    <w:rsid w:val="002D1562"/>
    <w:rsid w:val="002D34CB"/>
    <w:rsid w:val="002D38D7"/>
    <w:rsid w:val="002D3F17"/>
    <w:rsid w:val="002D4259"/>
    <w:rsid w:val="002D46E3"/>
    <w:rsid w:val="002E039A"/>
    <w:rsid w:val="002E0765"/>
    <w:rsid w:val="002E31DF"/>
    <w:rsid w:val="002E36D3"/>
    <w:rsid w:val="002E4039"/>
    <w:rsid w:val="002E4278"/>
    <w:rsid w:val="002E4A21"/>
    <w:rsid w:val="002E6842"/>
    <w:rsid w:val="002E7406"/>
    <w:rsid w:val="002F1917"/>
    <w:rsid w:val="002F2138"/>
    <w:rsid w:val="002F249E"/>
    <w:rsid w:val="002F257D"/>
    <w:rsid w:val="002F3409"/>
    <w:rsid w:val="002F391C"/>
    <w:rsid w:val="002F47DD"/>
    <w:rsid w:val="002F6136"/>
    <w:rsid w:val="002F6C1A"/>
    <w:rsid w:val="002F6EE1"/>
    <w:rsid w:val="002F6F38"/>
    <w:rsid w:val="002F7A7D"/>
    <w:rsid w:val="003024E9"/>
    <w:rsid w:val="003025A9"/>
    <w:rsid w:val="00302E37"/>
    <w:rsid w:val="00303FC1"/>
    <w:rsid w:val="003044FB"/>
    <w:rsid w:val="00304897"/>
    <w:rsid w:val="00304A15"/>
    <w:rsid w:val="00304ABC"/>
    <w:rsid w:val="00305B7E"/>
    <w:rsid w:val="00306486"/>
    <w:rsid w:val="00306E00"/>
    <w:rsid w:val="003075A1"/>
    <w:rsid w:val="00310A44"/>
    <w:rsid w:val="003114E3"/>
    <w:rsid w:val="00311E03"/>
    <w:rsid w:val="003123F5"/>
    <w:rsid w:val="00313330"/>
    <w:rsid w:val="003135B2"/>
    <w:rsid w:val="00313D98"/>
    <w:rsid w:val="003161A6"/>
    <w:rsid w:val="003200B9"/>
    <w:rsid w:val="00323591"/>
    <w:rsid w:val="00323B73"/>
    <w:rsid w:val="00323BC7"/>
    <w:rsid w:val="003240AC"/>
    <w:rsid w:val="00325902"/>
    <w:rsid w:val="00325BF0"/>
    <w:rsid w:val="0033047F"/>
    <w:rsid w:val="00331B18"/>
    <w:rsid w:val="00331BA6"/>
    <w:rsid w:val="00331E09"/>
    <w:rsid w:val="00331FFB"/>
    <w:rsid w:val="003333AC"/>
    <w:rsid w:val="00333BF6"/>
    <w:rsid w:val="00334207"/>
    <w:rsid w:val="00334EB6"/>
    <w:rsid w:val="00335160"/>
    <w:rsid w:val="00335722"/>
    <w:rsid w:val="003359F5"/>
    <w:rsid w:val="00336C68"/>
    <w:rsid w:val="00337F80"/>
    <w:rsid w:val="00340D0E"/>
    <w:rsid w:val="003420D6"/>
    <w:rsid w:val="00342333"/>
    <w:rsid w:val="00343687"/>
    <w:rsid w:val="00344449"/>
    <w:rsid w:val="003444ED"/>
    <w:rsid w:val="003471C1"/>
    <w:rsid w:val="00347369"/>
    <w:rsid w:val="00350068"/>
    <w:rsid w:val="00350158"/>
    <w:rsid w:val="0035062D"/>
    <w:rsid w:val="0035099F"/>
    <w:rsid w:val="00351703"/>
    <w:rsid w:val="003521BA"/>
    <w:rsid w:val="00353379"/>
    <w:rsid w:val="00353CCE"/>
    <w:rsid w:val="0035492C"/>
    <w:rsid w:val="0035577E"/>
    <w:rsid w:val="0035587B"/>
    <w:rsid w:val="0035662A"/>
    <w:rsid w:val="00356DC7"/>
    <w:rsid w:val="00360188"/>
    <w:rsid w:val="0036316A"/>
    <w:rsid w:val="00363837"/>
    <w:rsid w:val="003645C0"/>
    <w:rsid w:val="00364CD4"/>
    <w:rsid w:val="00365FB8"/>
    <w:rsid w:val="00366643"/>
    <w:rsid w:val="00366C27"/>
    <w:rsid w:val="00367B28"/>
    <w:rsid w:val="003704EB"/>
    <w:rsid w:val="00370587"/>
    <w:rsid w:val="00370E98"/>
    <w:rsid w:val="00373091"/>
    <w:rsid w:val="003730BE"/>
    <w:rsid w:val="00373B19"/>
    <w:rsid w:val="003745BE"/>
    <w:rsid w:val="00374A23"/>
    <w:rsid w:val="00377D48"/>
    <w:rsid w:val="00381B77"/>
    <w:rsid w:val="00382B31"/>
    <w:rsid w:val="0038316A"/>
    <w:rsid w:val="00384EBD"/>
    <w:rsid w:val="003854B1"/>
    <w:rsid w:val="003863DC"/>
    <w:rsid w:val="00386485"/>
    <w:rsid w:val="0038709F"/>
    <w:rsid w:val="00387288"/>
    <w:rsid w:val="003877D1"/>
    <w:rsid w:val="003903B6"/>
    <w:rsid w:val="003910C3"/>
    <w:rsid w:val="00392951"/>
    <w:rsid w:val="00394413"/>
    <w:rsid w:val="00395714"/>
    <w:rsid w:val="00395806"/>
    <w:rsid w:val="00395C17"/>
    <w:rsid w:val="003A0804"/>
    <w:rsid w:val="003A3462"/>
    <w:rsid w:val="003A3677"/>
    <w:rsid w:val="003A4FF9"/>
    <w:rsid w:val="003A5AC1"/>
    <w:rsid w:val="003B09DA"/>
    <w:rsid w:val="003B0C0F"/>
    <w:rsid w:val="003B170F"/>
    <w:rsid w:val="003B195C"/>
    <w:rsid w:val="003B254C"/>
    <w:rsid w:val="003B3015"/>
    <w:rsid w:val="003B36DD"/>
    <w:rsid w:val="003B4268"/>
    <w:rsid w:val="003B52CB"/>
    <w:rsid w:val="003B5DC0"/>
    <w:rsid w:val="003B5DD7"/>
    <w:rsid w:val="003B5F8D"/>
    <w:rsid w:val="003B68C3"/>
    <w:rsid w:val="003B7959"/>
    <w:rsid w:val="003C1366"/>
    <w:rsid w:val="003C25EB"/>
    <w:rsid w:val="003C2AE9"/>
    <w:rsid w:val="003C3126"/>
    <w:rsid w:val="003C393C"/>
    <w:rsid w:val="003C48AD"/>
    <w:rsid w:val="003C4A4C"/>
    <w:rsid w:val="003D200D"/>
    <w:rsid w:val="003D35BA"/>
    <w:rsid w:val="003D3B26"/>
    <w:rsid w:val="003D5841"/>
    <w:rsid w:val="003D5F7C"/>
    <w:rsid w:val="003D66E5"/>
    <w:rsid w:val="003D70D9"/>
    <w:rsid w:val="003D7C58"/>
    <w:rsid w:val="003E09B2"/>
    <w:rsid w:val="003E0C54"/>
    <w:rsid w:val="003E2C88"/>
    <w:rsid w:val="003E3223"/>
    <w:rsid w:val="003E34B3"/>
    <w:rsid w:val="003E35B2"/>
    <w:rsid w:val="003E445D"/>
    <w:rsid w:val="003E6086"/>
    <w:rsid w:val="003E7B13"/>
    <w:rsid w:val="003F0CA2"/>
    <w:rsid w:val="003F21C2"/>
    <w:rsid w:val="003F3E20"/>
    <w:rsid w:val="003F4553"/>
    <w:rsid w:val="003F4F8A"/>
    <w:rsid w:val="003F6514"/>
    <w:rsid w:val="003F703A"/>
    <w:rsid w:val="003F76F9"/>
    <w:rsid w:val="00401F9F"/>
    <w:rsid w:val="00402182"/>
    <w:rsid w:val="004021B3"/>
    <w:rsid w:val="004022BA"/>
    <w:rsid w:val="0040292A"/>
    <w:rsid w:val="0040320B"/>
    <w:rsid w:val="004033AE"/>
    <w:rsid w:val="00403F11"/>
    <w:rsid w:val="004047F3"/>
    <w:rsid w:val="00405970"/>
    <w:rsid w:val="00405D2E"/>
    <w:rsid w:val="004069EF"/>
    <w:rsid w:val="00407069"/>
    <w:rsid w:val="0041023F"/>
    <w:rsid w:val="00411C4F"/>
    <w:rsid w:val="00414B7C"/>
    <w:rsid w:val="00415038"/>
    <w:rsid w:val="0041515A"/>
    <w:rsid w:val="00415FE6"/>
    <w:rsid w:val="00416628"/>
    <w:rsid w:val="00424C30"/>
    <w:rsid w:val="00424FE2"/>
    <w:rsid w:val="00427F9C"/>
    <w:rsid w:val="00431189"/>
    <w:rsid w:val="004339D8"/>
    <w:rsid w:val="0043526E"/>
    <w:rsid w:val="0043564C"/>
    <w:rsid w:val="00435842"/>
    <w:rsid w:val="00435C5C"/>
    <w:rsid w:val="00436251"/>
    <w:rsid w:val="00437D41"/>
    <w:rsid w:val="004413EC"/>
    <w:rsid w:val="00441B08"/>
    <w:rsid w:val="00441F56"/>
    <w:rsid w:val="0044208D"/>
    <w:rsid w:val="00444858"/>
    <w:rsid w:val="0044528F"/>
    <w:rsid w:val="0044576B"/>
    <w:rsid w:val="00445C27"/>
    <w:rsid w:val="0045048A"/>
    <w:rsid w:val="00450E01"/>
    <w:rsid w:val="00452CE6"/>
    <w:rsid w:val="00452F43"/>
    <w:rsid w:val="00454554"/>
    <w:rsid w:val="00457225"/>
    <w:rsid w:val="0045793C"/>
    <w:rsid w:val="0046009F"/>
    <w:rsid w:val="00460D55"/>
    <w:rsid w:val="00460E9D"/>
    <w:rsid w:val="00462C96"/>
    <w:rsid w:val="004639AA"/>
    <w:rsid w:val="00463B2C"/>
    <w:rsid w:val="004648FF"/>
    <w:rsid w:val="00465CAC"/>
    <w:rsid w:val="004660C7"/>
    <w:rsid w:val="00467B97"/>
    <w:rsid w:val="004700CF"/>
    <w:rsid w:val="0047011F"/>
    <w:rsid w:val="00471CB5"/>
    <w:rsid w:val="00474031"/>
    <w:rsid w:val="0047436B"/>
    <w:rsid w:val="00475A20"/>
    <w:rsid w:val="00477D0D"/>
    <w:rsid w:val="00480206"/>
    <w:rsid w:val="004816B0"/>
    <w:rsid w:val="0048249B"/>
    <w:rsid w:val="00482960"/>
    <w:rsid w:val="004829E7"/>
    <w:rsid w:val="0048590C"/>
    <w:rsid w:val="00486309"/>
    <w:rsid w:val="00487D86"/>
    <w:rsid w:val="004903D7"/>
    <w:rsid w:val="004920C9"/>
    <w:rsid w:val="00492BE1"/>
    <w:rsid w:val="00492DC5"/>
    <w:rsid w:val="00493C63"/>
    <w:rsid w:val="004943B6"/>
    <w:rsid w:val="004A0F51"/>
    <w:rsid w:val="004A1088"/>
    <w:rsid w:val="004A280F"/>
    <w:rsid w:val="004A2B87"/>
    <w:rsid w:val="004A368F"/>
    <w:rsid w:val="004A456D"/>
    <w:rsid w:val="004A4A2F"/>
    <w:rsid w:val="004A4AE1"/>
    <w:rsid w:val="004A514F"/>
    <w:rsid w:val="004A5CE2"/>
    <w:rsid w:val="004A6690"/>
    <w:rsid w:val="004B18E3"/>
    <w:rsid w:val="004B1AD2"/>
    <w:rsid w:val="004B2C52"/>
    <w:rsid w:val="004B2EFD"/>
    <w:rsid w:val="004B38BD"/>
    <w:rsid w:val="004B3B6B"/>
    <w:rsid w:val="004B51B6"/>
    <w:rsid w:val="004B5A6E"/>
    <w:rsid w:val="004B639E"/>
    <w:rsid w:val="004B6B30"/>
    <w:rsid w:val="004B731E"/>
    <w:rsid w:val="004C23FB"/>
    <w:rsid w:val="004C3AC5"/>
    <w:rsid w:val="004C3B6F"/>
    <w:rsid w:val="004C46D7"/>
    <w:rsid w:val="004C5055"/>
    <w:rsid w:val="004C5875"/>
    <w:rsid w:val="004C5F73"/>
    <w:rsid w:val="004C7A18"/>
    <w:rsid w:val="004D0356"/>
    <w:rsid w:val="004D1961"/>
    <w:rsid w:val="004D23C4"/>
    <w:rsid w:val="004D3007"/>
    <w:rsid w:val="004D3C29"/>
    <w:rsid w:val="004D4113"/>
    <w:rsid w:val="004D4B42"/>
    <w:rsid w:val="004D52A9"/>
    <w:rsid w:val="004E09DD"/>
    <w:rsid w:val="004E1184"/>
    <w:rsid w:val="004E2CFC"/>
    <w:rsid w:val="004E2D29"/>
    <w:rsid w:val="004E32EE"/>
    <w:rsid w:val="004E3507"/>
    <w:rsid w:val="004E516C"/>
    <w:rsid w:val="004E7015"/>
    <w:rsid w:val="004E77A2"/>
    <w:rsid w:val="004E7FCD"/>
    <w:rsid w:val="004F02A9"/>
    <w:rsid w:val="004F0910"/>
    <w:rsid w:val="004F0DDC"/>
    <w:rsid w:val="004F422A"/>
    <w:rsid w:val="004F490C"/>
    <w:rsid w:val="004F4DAC"/>
    <w:rsid w:val="004F5499"/>
    <w:rsid w:val="004F5B13"/>
    <w:rsid w:val="004F63AC"/>
    <w:rsid w:val="004F69A6"/>
    <w:rsid w:val="004F69C2"/>
    <w:rsid w:val="004F6DF1"/>
    <w:rsid w:val="004F6E90"/>
    <w:rsid w:val="004F742A"/>
    <w:rsid w:val="00500B86"/>
    <w:rsid w:val="00502165"/>
    <w:rsid w:val="00502DB6"/>
    <w:rsid w:val="005035AD"/>
    <w:rsid w:val="005036F2"/>
    <w:rsid w:val="005039F6"/>
    <w:rsid w:val="005045E4"/>
    <w:rsid w:val="005048E2"/>
    <w:rsid w:val="00505A1E"/>
    <w:rsid w:val="00505E31"/>
    <w:rsid w:val="00506B00"/>
    <w:rsid w:val="00507610"/>
    <w:rsid w:val="00507A67"/>
    <w:rsid w:val="005107D2"/>
    <w:rsid w:val="005109E0"/>
    <w:rsid w:val="00511224"/>
    <w:rsid w:val="005117A2"/>
    <w:rsid w:val="0051222A"/>
    <w:rsid w:val="0051270D"/>
    <w:rsid w:val="00512B9C"/>
    <w:rsid w:val="00512BD8"/>
    <w:rsid w:val="0051441A"/>
    <w:rsid w:val="005151ED"/>
    <w:rsid w:val="00516FF0"/>
    <w:rsid w:val="00517FD7"/>
    <w:rsid w:val="0052029E"/>
    <w:rsid w:val="00521701"/>
    <w:rsid w:val="00522163"/>
    <w:rsid w:val="00522B58"/>
    <w:rsid w:val="00522E2D"/>
    <w:rsid w:val="0052398F"/>
    <w:rsid w:val="0052464F"/>
    <w:rsid w:val="00524A64"/>
    <w:rsid w:val="00524D2B"/>
    <w:rsid w:val="005269B7"/>
    <w:rsid w:val="00527B45"/>
    <w:rsid w:val="00530B1A"/>
    <w:rsid w:val="00532163"/>
    <w:rsid w:val="0053685F"/>
    <w:rsid w:val="00536DEE"/>
    <w:rsid w:val="00537F66"/>
    <w:rsid w:val="0054053F"/>
    <w:rsid w:val="00541BE4"/>
    <w:rsid w:val="005426AC"/>
    <w:rsid w:val="00543DA6"/>
    <w:rsid w:val="00543E84"/>
    <w:rsid w:val="005455DC"/>
    <w:rsid w:val="00546503"/>
    <w:rsid w:val="005507DB"/>
    <w:rsid w:val="00552146"/>
    <w:rsid w:val="00552A82"/>
    <w:rsid w:val="0055540E"/>
    <w:rsid w:val="00557E80"/>
    <w:rsid w:val="00560BE4"/>
    <w:rsid w:val="00560FEF"/>
    <w:rsid w:val="005618AD"/>
    <w:rsid w:val="00561B22"/>
    <w:rsid w:val="0056296F"/>
    <w:rsid w:val="00563558"/>
    <w:rsid w:val="00563E51"/>
    <w:rsid w:val="0056433D"/>
    <w:rsid w:val="00565778"/>
    <w:rsid w:val="00565801"/>
    <w:rsid w:val="00565B41"/>
    <w:rsid w:val="00565FFB"/>
    <w:rsid w:val="005664D5"/>
    <w:rsid w:val="0056795B"/>
    <w:rsid w:val="00567E6E"/>
    <w:rsid w:val="005763CF"/>
    <w:rsid w:val="005763F7"/>
    <w:rsid w:val="00576734"/>
    <w:rsid w:val="00576CF2"/>
    <w:rsid w:val="00577668"/>
    <w:rsid w:val="005822A2"/>
    <w:rsid w:val="005854F1"/>
    <w:rsid w:val="005861C3"/>
    <w:rsid w:val="00587178"/>
    <w:rsid w:val="00587D6E"/>
    <w:rsid w:val="00591C5A"/>
    <w:rsid w:val="00593EBC"/>
    <w:rsid w:val="00594600"/>
    <w:rsid w:val="0059460F"/>
    <w:rsid w:val="0059470F"/>
    <w:rsid w:val="0059472E"/>
    <w:rsid w:val="005948C4"/>
    <w:rsid w:val="0059572E"/>
    <w:rsid w:val="00595817"/>
    <w:rsid w:val="0059585F"/>
    <w:rsid w:val="00595F41"/>
    <w:rsid w:val="005975DC"/>
    <w:rsid w:val="005A13EA"/>
    <w:rsid w:val="005A431B"/>
    <w:rsid w:val="005A4B86"/>
    <w:rsid w:val="005A6837"/>
    <w:rsid w:val="005A6B64"/>
    <w:rsid w:val="005A6F5F"/>
    <w:rsid w:val="005B2AA1"/>
    <w:rsid w:val="005B2E05"/>
    <w:rsid w:val="005B37FA"/>
    <w:rsid w:val="005B63D4"/>
    <w:rsid w:val="005C07F3"/>
    <w:rsid w:val="005C147B"/>
    <w:rsid w:val="005C1604"/>
    <w:rsid w:val="005C24DD"/>
    <w:rsid w:val="005C2BDA"/>
    <w:rsid w:val="005C33FF"/>
    <w:rsid w:val="005C37A9"/>
    <w:rsid w:val="005C3BA5"/>
    <w:rsid w:val="005C3F57"/>
    <w:rsid w:val="005C4EFA"/>
    <w:rsid w:val="005C66B3"/>
    <w:rsid w:val="005D0FF4"/>
    <w:rsid w:val="005D137A"/>
    <w:rsid w:val="005D156C"/>
    <w:rsid w:val="005D2474"/>
    <w:rsid w:val="005D2556"/>
    <w:rsid w:val="005D28EC"/>
    <w:rsid w:val="005D338B"/>
    <w:rsid w:val="005D3604"/>
    <w:rsid w:val="005D3AD9"/>
    <w:rsid w:val="005D4E4A"/>
    <w:rsid w:val="005D5148"/>
    <w:rsid w:val="005D5659"/>
    <w:rsid w:val="005D6A04"/>
    <w:rsid w:val="005D6DE9"/>
    <w:rsid w:val="005D6E09"/>
    <w:rsid w:val="005D7841"/>
    <w:rsid w:val="005E0337"/>
    <w:rsid w:val="005E193C"/>
    <w:rsid w:val="005E2600"/>
    <w:rsid w:val="005E2CD9"/>
    <w:rsid w:val="005E418F"/>
    <w:rsid w:val="005E591C"/>
    <w:rsid w:val="005E6D1D"/>
    <w:rsid w:val="005F029C"/>
    <w:rsid w:val="005F13A2"/>
    <w:rsid w:val="005F1F9A"/>
    <w:rsid w:val="005F2269"/>
    <w:rsid w:val="005F29E6"/>
    <w:rsid w:val="005F2DAF"/>
    <w:rsid w:val="005F31B6"/>
    <w:rsid w:val="005F3495"/>
    <w:rsid w:val="005F35BF"/>
    <w:rsid w:val="005F3918"/>
    <w:rsid w:val="005F5C5E"/>
    <w:rsid w:val="005F5E05"/>
    <w:rsid w:val="005F71CC"/>
    <w:rsid w:val="00600891"/>
    <w:rsid w:val="00601252"/>
    <w:rsid w:val="0060267E"/>
    <w:rsid w:val="00603ADA"/>
    <w:rsid w:val="00605400"/>
    <w:rsid w:val="0060560E"/>
    <w:rsid w:val="00606291"/>
    <w:rsid w:val="00611034"/>
    <w:rsid w:val="00611629"/>
    <w:rsid w:val="00611845"/>
    <w:rsid w:val="00611C0D"/>
    <w:rsid w:val="00612DFF"/>
    <w:rsid w:val="0061508A"/>
    <w:rsid w:val="0061688F"/>
    <w:rsid w:val="00622C03"/>
    <w:rsid w:val="006239C7"/>
    <w:rsid w:val="00624159"/>
    <w:rsid w:val="00626395"/>
    <w:rsid w:val="00626494"/>
    <w:rsid w:val="00626866"/>
    <w:rsid w:val="00630221"/>
    <w:rsid w:val="00630547"/>
    <w:rsid w:val="00631755"/>
    <w:rsid w:val="00631AB1"/>
    <w:rsid w:val="006343BA"/>
    <w:rsid w:val="006345D0"/>
    <w:rsid w:val="00634BF3"/>
    <w:rsid w:val="00634D04"/>
    <w:rsid w:val="0063586A"/>
    <w:rsid w:val="00641AFE"/>
    <w:rsid w:val="00642176"/>
    <w:rsid w:val="00642470"/>
    <w:rsid w:val="0064287D"/>
    <w:rsid w:val="006430AC"/>
    <w:rsid w:val="00643E9C"/>
    <w:rsid w:val="00644081"/>
    <w:rsid w:val="00644E4F"/>
    <w:rsid w:val="006465CB"/>
    <w:rsid w:val="006479AC"/>
    <w:rsid w:val="00647B1B"/>
    <w:rsid w:val="00647CF7"/>
    <w:rsid w:val="00650311"/>
    <w:rsid w:val="006517DD"/>
    <w:rsid w:val="006519BE"/>
    <w:rsid w:val="006525EE"/>
    <w:rsid w:val="00652605"/>
    <w:rsid w:val="00652D90"/>
    <w:rsid w:val="00653090"/>
    <w:rsid w:val="006531D3"/>
    <w:rsid w:val="00653E5E"/>
    <w:rsid w:val="0065679E"/>
    <w:rsid w:val="006608D9"/>
    <w:rsid w:val="00660A4C"/>
    <w:rsid w:val="00661C9D"/>
    <w:rsid w:val="0066213A"/>
    <w:rsid w:val="00662176"/>
    <w:rsid w:val="00662689"/>
    <w:rsid w:val="00662A52"/>
    <w:rsid w:val="00664806"/>
    <w:rsid w:val="006655C5"/>
    <w:rsid w:val="00666C47"/>
    <w:rsid w:val="00670B4F"/>
    <w:rsid w:val="006711F5"/>
    <w:rsid w:val="006714D4"/>
    <w:rsid w:val="00671EC4"/>
    <w:rsid w:val="0067231C"/>
    <w:rsid w:val="00673AB3"/>
    <w:rsid w:val="00674A2F"/>
    <w:rsid w:val="006750AE"/>
    <w:rsid w:val="00675A31"/>
    <w:rsid w:val="0067666F"/>
    <w:rsid w:val="00677864"/>
    <w:rsid w:val="00677BC4"/>
    <w:rsid w:val="00680454"/>
    <w:rsid w:val="006809AD"/>
    <w:rsid w:val="006818CF"/>
    <w:rsid w:val="00682D19"/>
    <w:rsid w:val="006831BF"/>
    <w:rsid w:val="00685D75"/>
    <w:rsid w:val="00690DBC"/>
    <w:rsid w:val="00691299"/>
    <w:rsid w:val="0069183B"/>
    <w:rsid w:val="00691A41"/>
    <w:rsid w:val="00694001"/>
    <w:rsid w:val="0069668A"/>
    <w:rsid w:val="0069670A"/>
    <w:rsid w:val="00697019"/>
    <w:rsid w:val="006A1523"/>
    <w:rsid w:val="006A190B"/>
    <w:rsid w:val="006A1AFB"/>
    <w:rsid w:val="006A6C8A"/>
    <w:rsid w:val="006A71BD"/>
    <w:rsid w:val="006A7B79"/>
    <w:rsid w:val="006B0F28"/>
    <w:rsid w:val="006B144F"/>
    <w:rsid w:val="006B1790"/>
    <w:rsid w:val="006B3133"/>
    <w:rsid w:val="006B3B4D"/>
    <w:rsid w:val="006B4F57"/>
    <w:rsid w:val="006B5375"/>
    <w:rsid w:val="006B6380"/>
    <w:rsid w:val="006C0012"/>
    <w:rsid w:val="006C1CA7"/>
    <w:rsid w:val="006C2329"/>
    <w:rsid w:val="006C2DB3"/>
    <w:rsid w:val="006C54B5"/>
    <w:rsid w:val="006C5FF9"/>
    <w:rsid w:val="006C6796"/>
    <w:rsid w:val="006D0947"/>
    <w:rsid w:val="006D1233"/>
    <w:rsid w:val="006D190B"/>
    <w:rsid w:val="006D2190"/>
    <w:rsid w:val="006D2812"/>
    <w:rsid w:val="006D3139"/>
    <w:rsid w:val="006D342E"/>
    <w:rsid w:val="006D42A4"/>
    <w:rsid w:val="006D4354"/>
    <w:rsid w:val="006D4FC3"/>
    <w:rsid w:val="006D5C7B"/>
    <w:rsid w:val="006D786B"/>
    <w:rsid w:val="006E11EF"/>
    <w:rsid w:val="006E15F4"/>
    <w:rsid w:val="006E1ABC"/>
    <w:rsid w:val="006E1E91"/>
    <w:rsid w:val="006E28BA"/>
    <w:rsid w:val="006E6778"/>
    <w:rsid w:val="006E7CF2"/>
    <w:rsid w:val="006E7D78"/>
    <w:rsid w:val="006F0362"/>
    <w:rsid w:val="006F1B72"/>
    <w:rsid w:val="006F1DB4"/>
    <w:rsid w:val="006F39B4"/>
    <w:rsid w:val="006F3D40"/>
    <w:rsid w:val="006F4348"/>
    <w:rsid w:val="006F6012"/>
    <w:rsid w:val="006F66DE"/>
    <w:rsid w:val="006F7895"/>
    <w:rsid w:val="00700261"/>
    <w:rsid w:val="0070105A"/>
    <w:rsid w:val="00701478"/>
    <w:rsid w:val="00702F8C"/>
    <w:rsid w:val="00703683"/>
    <w:rsid w:val="00705399"/>
    <w:rsid w:val="00706678"/>
    <w:rsid w:val="0070781D"/>
    <w:rsid w:val="00710075"/>
    <w:rsid w:val="007100CC"/>
    <w:rsid w:val="007106DD"/>
    <w:rsid w:val="0071119F"/>
    <w:rsid w:val="00715710"/>
    <w:rsid w:val="007203FB"/>
    <w:rsid w:val="00720ECB"/>
    <w:rsid w:val="00721615"/>
    <w:rsid w:val="007223F0"/>
    <w:rsid w:val="00724E1F"/>
    <w:rsid w:val="0072577E"/>
    <w:rsid w:val="00725E15"/>
    <w:rsid w:val="00726FB9"/>
    <w:rsid w:val="00730691"/>
    <w:rsid w:val="0073138D"/>
    <w:rsid w:val="00734B2A"/>
    <w:rsid w:val="007354E2"/>
    <w:rsid w:val="00735DDC"/>
    <w:rsid w:val="00736BBA"/>
    <w:rsid w:val="00737B16"/>
    <w:rsid w:val="00737C27"/>
    <w:rsid w:val="00743392"/>
    <w:rsid w:val="00746E8C"/>
    <w:rsid w:val="0074B9CB"/>
    <w:rsid w:val="0075048F"/>
    <w:rsid w:val="00752D6B"/>
    <w:rsid w:val="007532CD"/>
    <w:rsid w:val="00753612"/>
    <w:rsid w:val="007546A5"/>
    <w:rsid w:val="00754800"/>
    <w:rsid w:val="0075590A"/>
    <w:rsid w:val="007561FB"/>
    <w:rsid w:val="00757E29"/>
    <w:rsid w:val="00760049"/>
    <w:rsid w:val="007601EC"/>
    <w:rsid w:val="00761641"/>
    <w:rsid w:val="00762793"/>
    <w:rsid w:val="007635D5"/>
    <w:rsid w:val="00764B34"/>
    <w:rsid w:val="007662A9"/>
    <w:rsid w:val="00771984"/>
    <w:rsid w:val="00771A8C"/>
    <w:rsid w:val="00771D65"/>
    <w:rsid w:val="0077295C"/>
    <w:rsid w:val="00773E94"/>
    <w:rsid w:val="00774FA6"/>
    <w:rsid w:val="007750F4"/>
    <w:rsid w:val="00775BA6"/>
    <w:rsid w:val="007762B2"/>
    <w:rsid w:val="00776525"/>
    <w:rsid w:val="007770BB"/>
    <w:rsid w:val="00777222"/>
    <w:rsid w:val="00777A31"/>
    <w:rsid w:val="00777B9E"/>
    <w:rsid w:val="00777C41"/>
    <w:rsid w:val="00780D66"/>
    <w:rsid w:val="007838A0"/>
    <w:rsid w:val="00783BDF"/>
    <w:rsid w:val="00784F0B"/>
    <w:rsid w:val="00785E0D"/>
    <w:rsid w:val="00785F2B"/>
    <w:rsid w:val="00786098"/>
    <w:rsid w:val="0078628A"/>
    <w:rsid w:val="00786AB8"/>
    <w:rsid w:val="00786BB6"/>
    <w:rsid w:val="007904F8"/>
    <w:rsid w:val="00791412"/>
    <w:rsid w:val="00791470"/>
    <w:rsid w:val="00791DC8"/>
    <w:rsid w:val="007939B1"/>
    <w:rsid w:val="00795846"/>
    <w:rsid w:val="007970A4"/>
    <w:rsid w:val="00797704"/>
    <w:rsid w:val="00797F04"/>
    <w:rsid w:val="007A06F7"/>
    <w:rsid w:val="007A0C44"/>
    <w:rsid w:val="007A2BB5"/>
    <w:rsid w:val="007A30A2"/>
    <w:rsid w:val="007A31EC"/>
    <w:rsid w:val="007A4712"/>
    <w:rsid w:val="007A49FC"/>
    <w:rsid w:val="007A5230"/>
    <w:rsid w:val="007A5444"/>
    <w:rsid w:val="007A5998"/>
    <w:rsid w:val="007A59D6"/>
    <w:rsid w:val="007A6BDD"/>
    <w:rsid w:val="007A7724"/>
    <w:rsid w:val="007B2369"/>
    <w:rsid w:val="007B2ED5"/>
    <w:rsid w:val="007B3F5C"/>
    <w:rsid w:val="007B5F6E"/>
    <w:rsid w:val="007B6B25"/>
    <w:rsid w:val="007B6E10"/>
    <w:rsid w:val="007B6FED"/>
    <w:rsid w:val="007B737D"/>
    <w:rsid w:val="007B7904"/>
    <w:rsid w:val="007B7F92"/>
    <w:rsid w:val="007C02E1"/>
    <w:rsid w:val="007C153B"/>
    <w:rsid w:val="007C15B2"/>
    <w:rsid w:val="007C1997"/>
    <w:rsid w:val="007C3C56"/>
    <w:rsid w:val="007C4404"/>
    <w:rsid w:val="007C476B"/>
    <w:rsid w:val="007C4E29"/>
    <w:rsid w:val="007C6048"/>
    <w:rsid w:val="007C701A"/>
    <w:rsid w:val="007C7D46"/>
    <w:rsid w:val="007D0969"/>
    <w:rsid w:val="007D0FB3"/>
    <w:rsid w:val="007D55CF"/>
    <w:rsid w:val="007D5A2B"/>
    <w:rsid w:val="007D6A51"/>
    <w:rsid w:val="007D7E9F"/>
    <w:rsid w:val="007E0E9D"/>
    <w:rsid w:val="007E0F54"/>
    <w:rsid w:val="007E2524"/>
    <w:rsid w:val="007E2C56"/>
    <w:rsid w:val="007E48FA"/>
    <w:rsid w:val="007E4CAF"/>
    <w:rsid w:val="007E5299"/>
    <w:rsid w:val="007E72E5"/>
    <w:rsid w:val="007E7F97"/>
    <w:rsid w:val="007F09A5"/>
    <w:rsid w:val="007F12C2"/>
    <w:rsid w:val="007F3021"/>
    <w:rsid w:val="007F5303"/>
    <w:rsid w:val="007F53D5"/>
    <w:rsid w:val="007F5E8D"/>
    <w:rsid w:val="007F6A57"/>
    <w:rsid w:val="007F6B04"/>
    <w:rsid w:val="007F6E03"/>
    <w:rsid w:val="007F70D0"/>
    <w:rsid w:val="007F724A"/>
    <w:rsid w:val="007F79B1"/>
    <w:rsid w:val="0080070F"/>
    <w:rsid w:val="00801110"/>
    <w:rsid w:val="0080153F"/>
    <w:rsid w:val="00801F79"/>
    <w:rsid w:val="008031A9"/>
    <w:rsid w:val="00805708"/>
    <w:rsid w:val="00806D9F"/>
    <w:rsid w:val="0081081D"/>
    <w:rsid w:val="008108D1"/>
    <w:rsid w:val="00814AA3"/>
    <w:rsid w:val="00814B97"/>
    <w:rsid w:val="0081665B"/>
    <w:rsid w:val="00816D57"/>
    <w:rsid w:val="00817BB5"/>
    <w:rsid w:val="00817CD5"/>
    <w:rsid w:val="0082011D"/>
    <w:rsid w:val="00820DE6"/>
    <w:rsid w:val="008216A0"/>
    <w:rsid w:val="0082392B"/>
    <w:rsid w:val="00823BC7"/>
    <w:rsid w:val="00824369"/>
    <w:rsid w:val="0082499D"/>
    <w:rsid w:val="00824E2B"/>
    <w:rsid w:val="0082508E"/>
    <w:rsid w:val="008271EC"/>
    <w:rsid w:val="008279D2"/>
    <w:rsid w:val="00830D13"/>
    <w:rsid w:val="008316CB"/>
    <w:rsid w:val="00831D05"/>
    <w:rsid w:val="0083379B"/>
    <w:rsid w:val="008355FF"/>
    <w:rsid w:val="0083666A"/>
    <w:rsid w:val="00836782"/>
    <w:rsid w:val="008371A1"/>
    <w:rsid w:val="00837566"/>
    <w:rsid w:val="008377FB"/>
    <w:rsid w:val="00837854"/>
    <w:rsid w:val="00840A38"/>
    <w:rsid w:val="0084122E"/>
    <w:rsid w:val="008423EF"/>
    <w:rsid w:val="0084274B"/>
    <w:rsid w:val="00842F85"/>
    <w:rsid w:val="00845225"/>
    <w:rsid w:val="008453CE"/>
    <w:rsid w:val="00845CDC"/>
    <w:rsid w:val="008460F9"/>
    <w:rsid w:val="00846F64"/>
    <w:rsid w:val="008515FD"/>
    <w:rsid w:val="00851F05"/>
    <w:rsid w:val="00852445"/>
    <w:rsid w:val="00853B0E"/>
    <w:rsid w:val="008545C7"/>
    <w:rsid w:val="00854EDF"/>
    <w:rsid w:val="0085578D"/>
    <w:rsid w:val="00855BD7"/>
    <w:rsid w:val="0086048C"/>
    <w:rsid w:val="008609F7"/>
    <w:rsid w:val="00860FC5"/>
    <w:rsid w:val="00861C76"/>
    <w:rsid w:val="00862146"/>
    <w:rsid w:val="00862FB1"/>
    <w:rsid w:val="00864C23"/>
    <w:rsid w:val="008661D1"/>
    <w:rsid w:val="00871B85"/>
    <w:rsid w:val="008726CA"/>
    <w:rsid w:val="00872EF6"/>
    <w:rsid w:val="00873A6B"/>
    <w:rsid w:val="00873AE6"/>
    <w:rsid w:val="00876F7A"/>
    <w:rsid w:val="008776E1"/>
    <w:rsid w:val="008779CC"/>
    <w:rsid w:val="008818B2"/>
    <w:rsid w:val="00881C7D"/>
    <w:rsid w:val="00882473"/>
    <w:rsid w:val="00883818"/>
    <w:rsid w:val="00883AF1"/>
    <w:rsid w:val="00884365"/>
    <w:rsid w:val="00885982"/>
    <w:rsid w:val="008866A6"/>
    <w:rsid w:val="00890A9F"/>
    <w:rsid w:val="00890B13"/>
    <w:rsid w:val="00890CDE"/>
    <w:rsid w:val="008917ED"/>
    <w:rsid w:val="00891AE4"/>
    <w:rsid w:val="00893D8E"/>
    <w:rsid w:val="008955F2"/>
    <w:rsid w:val="00895BAC"/>
    <w:rsid w:val="00896C78"/>
    <w:rsid w:val="008A0C44"/>
    <w:rsid w:val="008A3972"/>
    <w:rsid w:val="008A422B"/>
    <w:rsid w:val="008A482F"/>
    <w:rsid w:val="008A4EA9"/>
    <w:rsid w:val="008A5391"/>
    <w:rsid w:val="008A67F7"/>
    <w:rsid w:val="008A6BA8"/>
    <w:rsid w:val="008A6D22"/>
    <w:rsid w:val="008B0994"/>
    <w:rsid w:val="008B0CE3"/>
    <w:rsid w:val="008B2F80"/>
    <w:rsid w:val="008B3317"/>
    <w:rsid w:val="008B3398"/>
    <w:rsid w:val="008B39F7"/>
    <w:rsid w:val="008B5271"/>
    <w:rsid w:val="008B5A57"/>
    <w:rsid w:val="008B69C9"/>
    <w:rsid w:val="008B6CD4"/>
    <w:rsid w:val="008B7C51"/>
    <w:rsid w:val="008C03C9"/>
    <w:rsid w:val="008C1876"/>
    <w:rsid w:val="008C1D24"/>
    <w:rsid w:val="008C2B3A"/>
    <w:rsid w:val="008C355D"/>
    <w:rsid w:val="008C37F4"/>
    <w:rsid w:val="008C5082"/>
    <w:rsid w:val="008C5532"/>
    <w:rsid w:val="008C60E8"/>
    <w:rsid w:val="008D0316"/>
    <w:rsid w:val="008D2BD1"/>
    <w:rsid w:val="008D31F3"/>
    <w:rsid w:val="008D3E2F"/>
    <w:rsid w:val="008D3FCA"/>
    <w:rsid w:val="008D4A24"/>
    <w:rsid w:val="008D5675"/>
    <w:rsid w:val="008E03E2"/>
    <w:rsid w:val="008E0435"/>
    <w:rsid w:val="008E18C1"/>
    <w:rsid w:val="008E1DAE"/>
    <w:rsid w:val="008E250C"/>
    <w:rsid w:val="008E3AEC"/>
    <w:rsid w:val="008E3BA7"/>
    <w:rsid w:val="008E4217"/>
    <w:rsid w:val="008E435E"/>
    <w:rsid w:val="008E4E5D"/>
    <w:rsid w:val="008E585F"/>
    <w:rsid w:val="008E7368"/>
    <w:rsid w:val="008F1131"/>
    <w:rsid w:val="008F15BB"/>
    <w:rsid w:val="008F17EF"/>
    <w:rsid w:val="008F2AC2"/>
    <w:rsid w:val="008F34F4"/>
    <w:rsid w:val="008F44A7"/>
    <w:rsid w:val="008F4717"/>
    <w:rsid w:val="008F48BF"/>
    <w:rsid w:val="008F5817"/>
    <w:rsid w:val="008F6AF0"/>
    <w:rsid w:val="008F6CDD"/>
    <w:rsid w:val="008F7920"/>
    <w:rsid w:val="00900C4D"/>
    <w:rsid w:val="00902453"/>
    <w:rsid w:val="00903342"/>
    <w:rsid w:val="00903CB8"/>
    <w:rsid w:val="00904416"/>
    <w:rsid w:val="009047C7"/>
    <w:rsid w:val="00905DCA"/>
    <w:rsid w:val="0090612B"/>
    <w:rsid w:val="00906A18"/>
    <w:rsid w:val="00907A0D"/>
    <w:rsid w:val="00907E6D"/>
    <w:rsid w:val="00910061"/>
    <w:rsid w:val="00911511"/>
    <w:rsid w:val="00911539"/>
    <w:rsid w:val="00911AD8"/>
    <w:rsid w:val="00913F51"/>
    <w:rsid w:val="009142C0"/>
    <w:rsid w:val="009148F6"/>
    <w:rsid w:val="00915226"/>
    <w:rsid w:val="00915B37"/>
    <w:rsid w:val="00920C12"/>
    <w:rsid w:val="0092182F"/>
    <w:rsid w:val="0092219B"/>
    <w:rsid w:val="009229AA"/>
    <w:rsid w:val="0092479B"/>
    <w:rsid w:val="009249C8"/>
    <w:rsid w:val="009277B5"/>
    <w:rsid w:val="00930771"/>
    <w:rsid w:val="009323D0"/>
    <w:rsid w:val="009326C3"/>
    <w:rsid w:val="00932966"/>
    <w:rsid w:val="009332EC"/>
    <w:rsid w:val="0093338D"/>
    <w:rsid w:val="00934042"/>
    <w:rsid w:val="009346C6"/>
    <w:rsid w:val="009359AA"/>
    <w:rsid w:val="00935EDA"/>
    <w:rsid w:val="00936666"/>
    <w:rsid w:val="00937621"/>
    <w:rsid w:val="00940320"/>
    <w:rsid w:val="00940758"/>
    <w:rsid w:val="009411C4"/>
    <w:rsid w:val="00942186"/>
    <w:rsid w:val="00942538"/>
    <w:rsid w:val="0094360A"/>
    <w:rsid w:val="00945970"/>
    <w:rsid w:val="00945AA3"/>
    <w:rsid w:val="009466DB"/>
    <w:rsid w:val="0094685B"/>
    <w:rsid w:val="00951E31"/>
    <w:rsid w:val="00954143"/>
    <w:rsid w:val="00954B08"/>
    <w:rsid w:val="00954EE9"/>
    <w:rsid w:val="00954F62"/>
    <w:rsid w:val="00955D93"/>
    <w:rsid w:val="009569A4"/>
    <w:rsid w:val="00957686"/>
    <w:rsid w:val="009605F1"/>
    <w:rsid w:val="00960EBA"/>
    <w:rsid w:val="00962FAA"/>
    <w:rsid w:val="00963117"/>
    <w:rsid w:val="00963CE2"/>
    <w:rsid w:val="00963FDA"/>
    <w:rsid w:val="00963FF3"/>
    <w:rsid w:val="00964CE7"/>
    <w:rsid w:val="00965193"/>
    <w:rsid w:val="00966BFE"/>
    <w:rsid w:val="0096F8AE"/>
    <w:rsid w:val="009702BD"/>
    <w:rsid w:val="0097030E"/>
    <w:rsid w:val="00971C6C"/>
    <w:rsid w:val="00972CCE"/>
    <w:rsid w:val="009740BC"/>
    <w:rsid w:val="0097464F"/>
    <w:rsid w:val="00974896"/>
    <w:rsid w:val="00975CBC"/>
    <w:rsid w:val="00976399"/>
    <w:rsid w:val="009774E3"/>
    <w:rsid w:val="00977724"/>
    <w:rsid w:val="00977A21"/>
    <w:rsid w:val="009801BE"/>
    <w:rsid w:val="00980632"/>
    <w:rsid w:val="0098100E"/>
    <w:rsid w:val="0098358A"/>
    <w:rsid w:val="00983D74"/>
    <w:rsid w:val="00985A65"/>
    <w:rsid w:val="00986BC8"/>
    <w:rsid w:val="00986CAC"/>
    <w:rsid w:val="00987733"/>
    <w:rsid w:val="009906B6"/>
    <w:rsid w:val="00991098"/>
    <w:rsid w:val="00991327"/>
    <w:rsid w:val="00993F1F"/>
    <w:rsid w:val="0099469A"/>
    <w:rsid w:val="00995BD5"/>
    <w:rsid w:val="00995E75"/>
    <w:rsid w:val="00997B90"/>
    <w:rsid w:val="009A0D20"/>
    <w:rsid w:val="009A1AC2"/>
    <w:rsid w:val="009A2552"/>
    <w:rsid w:val="009A2627"/>
    <w:rsid w:val="009A3187"/>
    <w:rsid w:val="009A37A2"/>
    <w:rsid w:val="009A3A6B"/>
    <w:rsid w:val="009A42BA"/>
    <w:rsid w:val="009A5343"/>
    <w:rsid w:val="009A5C46"/>
    <w:rsid w:val="009A625C"/>
    <w:rsid w:val="009A6551"/>
    <w:rsid w:val="009A6D6E"/>
    <w:rsid w:val="009A6FC6"/>
    <w:rsid w:val="009B60D7"/>
    <w:rsid w:val="009B7122"/>
    <w:rsid w:val="009B7E15"/>
    <w:rsid w:val="009B7E4E"/>
    <w:rsid w:val="009C0AC7"/>
    <w:rsid w:val="009C0E27"/>
    <w:rsid w:val="009C3979"/>
    <w:rsid w:val="009C44FF"/>
    <w:rsid w:val="009C4546"/>
    <w:rsid w:val="009C4E2F"/>
    <w:rsid w:val="009C5E1F"/>
    <w:rsid w:val="009C68AA"/>
    <w:rsid w:val="009C7B74"/>
    <w:rsid w:val="009D03D2"/>
    <w:rsid w:val="009D06D7"/>
    <w:rsid w:val="009D0B19"/>
    <w:rsid w:val="009D1141"/>
    <w:rsid w:val="009D2DFB"/>
    <w:rsid w:val="009D2EB4"/>
    <w:rsid w:val="009D3DAD"/>
    <w:rsid w:val="009D4ABF"/>
    <w:rsid w:val="009D6409"/>
    <w:rsid w:val="009D6AAC"/>
    <w:rsid w:val="009D793E"/>
    <w:rsid w:val="009E0500"/>
    <w:rsid w:val="009E2486"/>
    <w:rsid w:val="009E2A86"/>
    <w:rsid w:val="009E2BF5"/>
    <w:rsid w:val="009E2F60"/>
    <w:rsid w:val="009E3A0F"/>
    <w:rsid w:val="009E40D6"/>
    <w:rsid w:val="009E47BB"/>
    <w:rsid w:val="009E4922"/>
    <w:rsid w:val="009E627B"/>
    <w:rsid w:val="009E64C7"/>
    <w:rsid w:val="009F2538"/>
    <w:rsid w:val="009F3067"/>
    <w:rsid w:val="009F623C"/>
    <w:rsid w:val="009F68C4"/>
    <w:rsid w:val="009F725D"/>
    <w:rsid w:val="00A00001"/>
    <w:rsid w:val="00A01156"/>
    <w:rsid w:val="00A0209D"/>
    <w:rsid w:val="00A03941"/>
    <w:rsid w:val="00A0441D"/>
    <w:rsid w:val="00A05798"/>
    <w:rsid w:val="00A07E14"/>
    <w:rsid w:val="00A1089C"/>
    <w:rsid w:val="00A12631"/>
    <w:rsid w:val="00A12CF6"/>
    <w:rsid w:val="00A12E91"/>
    <w:rsid w:val="00A1543E"/>
    <w:rsid w:val="00A15616"/>
    <w:rsid w:val="00A15A4E"/>
    <w:rsid w:val="00A15F38"/>
    <w:rsid w:val="00A162E6"/>
    <w:rsid w:val="00A17CB4"/>
    <w:rsid w:val="00A23F9F"/>
    <w:rsid w:val="00A256EE"/>
    <w:rsid w:val="00A2754A"/>
    <w:rsid w:val="00A31F97"/>
    <w:rsid w:val="00A32F1D"/>
    <w:rsid w:val="00A35783"/>
    <w:rsid w:val="00A35954"/>
    <w:rsid w:val="00A36902"/>
    <w:rsid w:val="00A36A34"/>
    <w:rsid w:val="00A3712E"/>
    <w:rsid w:val="00A37F17"/>
    <w:rsid w:val="00A42889"/>
    <w:rsid w:val="00A42AA0"/>
    <w:rsid w:val="00A4392E"/>
    <w:rsid w:val="00A447C3"/>
    <w:rsid w:val="00A46D7B"/>
    <w:rsid w:val="00A46FEB"/>
    <w:rsid w:val="00A4768D"/>
    <w:rsid w:val="00A47C75"/>
    <w:rsid w:val="00A50BB2"/>
    <w:rsid w:val="00A50BD8"/>
    <w:rsid w:val="00A52A41"/>
    <w:rsid w:val="00A52FEE"/>
    <w:rsid w:val="00A532CB"/>
    <w:rsid w:val="00A5620E"/>
    <w:rsid w:val="00A57AB7"/>
    <w:rsid w:val="00A605A0"/>
    <w:rsid w:val="00A607E4"/>
    <w:rsid w:val="00A61F72"/>
    <w:rsid w:val="00A63783"/>
    <w:rsid w:val="00A64D58"/>
    <w:rsid w:val="00A64E95"/>
    <w:rsid w:val="00A67D1E"/>
    <w:rsid w:val="00A71126"/>
    <w:rsid w:val="00A71415"/>
    <w:rsid w:val="00A71782"/>
    <w:rsid w:val="00A71F82"/>
    <w:rsid w:val="00A71FC7"/>
    <w:rsid w:val="00A757EC"/>
    <w:rsid w:val="00A75D10"/>
    <w:rsid w:val="00A80508"/>
    <w:rsid w:val="00A80658"/>
    <w:rsid w:val="00A81CB8"/>
    <w:rsid w:val="00A8278A"/>
    <w:rsid w:val="00A82F6B"/>
    <w:rsid w:val="00A8339D"/>
    <w:rsid w:val="00A83C54"/>
    <w:rsid w:val="00A85250"/>
    <w:rsid w:val="00A866A3"/>
    <w:rsid w:val="00A90611"/>
    <w:rsid w:val="00A9108E"/>
    <w:rsid w:val="00A92E26"/>
    <w:rsid w:val="00A95DF7"/>
    <w:rsid w:val="00A967B9"/>
    <w:rsid w:val="00A96894"/>
    <w:rsid w:val="00A96B26"/>
    <w:rsid w:val="00A96B5A"/>
    <w:rsid w:val="00A97B06"/>
    <w:rsid w:val="00AA039D"/>
    <w:rsid w:val="00AA362C"/>
    <w:rsid w:val="00AA40E2"/>
    <w:rsid w:val="00AA5794"/>
    <w:rsid w:val="00AA5FF2"/>
    <w:rsid w:val="00AA612C"/>
    <w:rsid w:val="00AA64D0"/>
    <w:rsid w:val="00AA78A0"/>
    <w:rsid w:val="00AB02D4"/>
    <w:rsid w:val="00AB3509"/>
    <w:rsid w:val="00AB4042"/>
    <w:rsid w:val="00AB41B8"/>
    <w:rsid w:val="00AB5456"/>
    <w:rsid w:val="00AB6C7D"/>
    <w:rsid w:val="00AB7AE9"/>
    <w:rsid w:val="00AC0C45"/>
    <w:rsid w:val="00AC27CF"/>
    <w:rsid w:val="00AC3209"/>
    <w:rsid w:val="00AC3479"/>
    <w:rsid w:val="00AC3714"/>
    <w:rsid w:val="00AC41DE"/>
    <w:rsid w:val="00AC5CF2"/>
    <w:rsid w:val="00AC6572"/>
    <w:rsid w:val="00AC6632"/>
    <w:rsid w:val="00AC6F9E"/>
    <w:rsid w:val="00AC6FD1"/>
    <w:rsid w:val="00AC785D"/>
    <w:rsid w:val="00AD0EF2"/>
    <w:rsid w:val="00AD1A68"/>
    <w:rsid w:val="00AD269D"/>
    <w:rsid w:val="00AD2E3F"/>
    <w:rsid w:val="00AD44C7"/>
    <w:rsid w:val="00AD59F7"/>
    <w:rsid w:val="00AD68CF"/>
    <w:rsid w:val="00AD7796"/>
    <w:rsid w:val="00AE0089"/>
    <w:rsid w:val="00AE0B64"/>
    <w:rsid w:val="00AE12A6"/>
    <w:rsid w:val="00AE17CE"/>
    <w:rsid w:val="00AE23DF"/>
    <w:rsid w:val="00AE267B"/>
    <w:rsid w:val="00AE385C"/>
    <w:rsid w:val="00AE44E1"/>
    <w:rsid w:val="00AE4F9E"/>
    <w:rsid w:val="00AE5251"/>
    <w:rsid w:val="00AE5AD4"/>
    <w:rsid w:val="00AE6C16"/>
    <w:rsid w:val="00AE7C35"/>
    <w:rsid w:val="00AF0855"/>
    <w:rsid w:val="00AF1C66"/>
    <w:rsid w:val="00AF2D32"/>
    <w:rsid w:val="00AF2D90"/>
    <w:rsid w:val="00AF4CF0"/>
    <w:rsid w:val="00AF535C"/>
    <w:rsid w:val="00AF5C8A"/>
    <w:rsid w:val="00AF619D"/>
    <w:rsid w:val="00AF66CB"/>
    <w:rsid w:val="00AF6F12"/>
    <w:rsid w:val="00AF7735"/>
    <w:rsid w:val="00AF7BE0"/>
    <w:rsid w:val="00B020DD"/>
    <w:rsid w:val="00B046EF"/>
    <w:rsid w:val="00B04892"/>
    <w:rsid w:val="00B06EE1"/>
    <w:rsid w:val="00B103A4"/>
    <w:rsid w:val="00B10F18"/>
    <w:rsid w:val="00B1176F"/>
    <w:rsid w:val="00B14DB7"/>
    <w:rsid w:val="00B1552D"/>
    <w:rsid w:val="00B1567C"/>
    <w:rsid w:val="00B16840"/>
    <w:rsid w:val="00B17EDB"/>
    <w:rsid w:val="00B21369"/>
    <w:rsid w:val="00B21A4C"/>
    <w:rsid w:val="00B22778"/>
    <w:rsid w:val="00B22BD8"/>
    <w:rsid w:val="00B22E83"/>
    <w:rsid w:val="00B25BFD"/>
    <w:rsid w:val="00B26594"/>
    <w:rsid w:val="00B27312"/>
    <w:rsid w:val="00B31E9A"/>
    <w:rsid w:val="00B32B6E"/>
    <w:rsid w:val="00B345F1"/>
    <w:rsid w:val="00B34AEB"/>
    <w:rsid w:val="00B36FA2"/>
    <w:rsid w:val="00B374E0"/>
    <w:rsid w:val="00B377C0"/>
    <w:rsid w:val="00B37864"/>
    <w:rsid w:val="00B40097"/>
    <w:rsid w:val="00B41700"/>
    <w:rsid w:val="00B425AE"/>
    <w:rsid w:val="00B4284F"/>
    <w:rsid w:val="00B437C5"/>
    <w:rsid w:val="00B43B24"/>
    <w:rsid w:val="00B43D4C"/>
    <w:rsid w:val="00B445F1"/>
    <w:rsid w:val="00B4545F"/>
    <w:rsid w:val="00B456A2"/>
    <w:rsid w:val="00B45886"/>
    <w:rsid w:val="00B46F12"/>
    <w:rsid w:val="00B478F9"/>
    <w:rsid w:val="00B47A28"/>
    <w:rsid w:val="00B50036"/>
    <w:rsid w:val="00B51078"/>
    <w:rsid w:val="00B517A3"/>
    <w:rsid w:val="00B521C5"/>
    <w:rsid w:val="00B52801"/>
    <w:rsid w:val="00B538D1"/>
    <w:rsid w:val="00B54474"/>
    <w:rsid w:val="00B5462B"/>
    <w:rsid w:val="00B557C3"/>
    <w:rsid w:val="00B55F57"/>
    <w:rsid w:val="00B5756E"/>
    <w:rsid w:val="00B60457"/>
    <w:rsid w:val="00B61A15"/>
    <w:rsid w:val="00B62642"/>
    <w:rsid w:val="00B626CF"/>
    <w:rsid w:val="00B63CCA"/>
    <w:rsid w:val="00B64B0F"/>
    <w:rsid w:val="00B65106"/>
    <w:rsid w:val="00B6525D"/>
    <w:rsid w:val="00B66316"/>
    <w:rsid w:val="00B66560"/>
    <w:rsid w:val="00B66E45"/>
    <w:rsid w:val="00B66F76"/>
    <w:rsid w:val="00B66F99"/>
    <w:rsid w:val="00B711EA"/>
    <w:rsid w:val="00B717DB"/>
    <w:rsid w:val="00B71DBD"/>
    <w:rsid w:val="00B738F3"/>
    <w:rsid w:val="00B73D57"/>
    <w:rsid w:val="00B7402D"/>
    <w:rsid w:val="00B75287"/>
    <w:rsid w:val="00B75393"/>
    <w:rsid w:val="00B7687D"/>
    <w:rsid w:val="00B76BBD"/>
    <w:rsid w:val="00B776C6"/>
    <w:rsid w:val="00B82A89"/>
    <w:rsid w:val="00B841C4"/>
    <w:rsid w:val="00B86381"/>
    <w:rsid w:val="00B868BA"/>
    <w:rsid w:val="00B8791F"/>
    <w:rsid w:val="00B90E08"/>
    <w:rsid w:val="00B915BC"/>
    <w:rsid w:val="00B94EC0"/>
    <w:rsid w:val="00B96DB8"/>
    <w:rsid w:val="00B976D5"/>
    <w:rsid w:val="00B9783B"/>
    <w:rsid w:val="00BA063C"/>
    <w:rsid w:val="00BA0914"/>
    <w:rsid w:val="00BA1209"/>
    <w:rsid w:val="00BA247B"/>
    <w:rsid w:val="00BA3797"/>
    <w:rsid w:val="00BA4462"/>
    <w:rsid w:val="00BA4B65"/>
    <w:rsid w:val="00BA5581"/>
    <w:rsid w:val="00BA5F2D"/>
    <w:rsid w:val="00BA64ED"/>
    <w:rsid w:val="00BB0493"/>
    <w:rsid w:val="00BB0833"/>
    <w:rsid w:val="00BB0CF6"/>
    <w:rsid w:val="00BB342E"/>
    <w:rsid w:val="00BB3C6C"/>
    <w:rsid w:val="00BB5B65"/>
    <w:rsid w:val="00BB5BA8"/>
    <w:rsid w:val="00BB6B2A"/>
    <w:rsid w:val="00BC0AFD"/>
    <w:rsid w:val="00BC0C42"/>
    <w:rsid w:val="00BC0FCC"/>
    <w:rsid w:val="00BC2964"/>
    <w:rsid w:val="00BC29D9"/>
    <w:rsid w:val="00BC3B4B"/>
    <w:rsid w:val="00BC5AD2"/>
    <w:rsid w:val="00BC6051"/>
    <w:rsid w:val="00BC7B22"/>
    <w:rsid w:val="00BD0FF2"/>
    <w:rsid w:val="00BD107E"/>
    <w:rsid w:val="00BD2227"/>
    <w:rsid w:val="00BD27AE"/>
    <w:rsid w:val="00BD3DD3"/>
    <w:rsid w:val="00BD4806"/>
    <w:rsid w:val="00BD56A1"/>
    <w:rsid w:val="00BD6E96"/>
    <w:rsid w:val="00BE0A06"/>
    <w:rsid w:val="00BE2F0B"/>
    <w:rsid w:val="00BE4350"/>
    <w:rsid w:val="00BE5680"/>
    <w:rsid w:val="00BE5D03"/>
    <w:rsid w:val="00BE640A"/>
    <w:rsid w:val="00BE66FB"/>
    <w:rsid w:val="00BE7F64"/>
    <w:rsid w:val="00BF00C9"/>
    <w:rsid w:val="00BF1EA2"/>
    <w:rsid w:val="00BF2713"/>
    <w:rsid w:val="00BF2BFD"/>
    <w:rsid w:val="00BF2E1A"/>
    <w:rsid w:val="00BF3721"/>
    <w:rsid w:val="00BF3ACE"/>
    <w:rsid w:val="00BF48D1"/>
    <w:rsid w:val="00BF4AC2"/>
    <w:rsid w:val="00BF4C55"/>
    <w:rsid w:val="00BF6705"/>
    <w:rsid w:val="00C016E4"/>
    <w:rsid w:val="00C01FBF"/>
    <w:rsid w:val="00C02336"/>
    <w:rsid w:val="00C02C96"/>
    <w:rsid w:val="00C03797"/>
    <w:rsid w:val="00C044FF"/>
    <w:rsid w:val="00C06875"/>
    <w:rsid w:val="00C06960"/>
    <w:rsid w:val="00C10063"/>
    <w:rsid w:val="00C1015B"/>
    <w:rsid w:val="00C11EA7"/>
    <w:rsid w:val="00C13208"/>
    <w:rsid w:val="00C14278"/>
    <w:rsid w:val="00C14F85"/>
    <w:rsid w:val="00C16AA5"/>
    <w:rsid w:val="00C16E0A"/>
    <w:rsid w:val="00C1733C"/>
    <w:rsid w:val="00C173E8"/>
    <w:rsid w:val="00C21526"/>
    <w:rsid w:val="00C222A0"/>
    <w:rsid w:val="00C228B3"/>
    <w:rsid w:val="00C23D89"/>
    <w:rsid w:val="00C243E8"/>
    <w:rsid w:val="00C24655"/>
    <w:rsid w:val="00C2732D"/>
    <w:rsid w:val="00C31416"/>
    <w:rsid w:val="00C31774"/>
    <w:rsid w:val="00C31850"/>
    <w:rsid w:val="00C31974"/>
    <w:rsid w:val="00C34457"/>
    <w:rsid w:val="00C355D4"/>
    <w:rsid w:val="00C35975"/>
    <w:rsid w:val="00C359FB"/>
    <w:rsid w:val="00C36F74"/>
    <w:rsid w:val="00C378CF"/>
    <w:rsid w:val="00C37F76"/>
    <w:rsid w:val="00C40259"/>
    <w:rsid w:val="00C40B0F"/>
    <w:rsid w:val="00C42173"/>
    <w:rsid w:val="00C42B32"/>
    <w:rsid w:val="00C42DC4"/>
    <w:rsid w:val="00C43DD9"/>
    <w:rsid w:val="00C44069"/>
    <w:rsid w:val="00C449F7"/>
    <w:rsid w:val="00C44D05"/>
    <w:rsid w:val="00C44D2B"/>
    <w:rsid w:val="00C45187"/>
    <w:rsid w:val="00C4527E"/>
    <w:rsid w:val="00C46FE6"/>
    <w:rsid w:val="00C4794E"/>
    <w:rsid w:val="00C5023A"/>
    <w:rsid w:val="00C507B3"/>
    <w:rsid w:val="00C51923"/>
    <w:rsid w:val="00C51BF5"/>
    <w:rsid w:val="00C51C4B"/>
    <w:rsid w:val="00C53090"/>
    <w:rsid w:val="00C540EA"/>
    <w:rsid w:val="00C552EA"/>
    <w:rsid w:val="00C56267"/>
    <w:rsid w:val="00C56320"/>
    <w:rsid w:val="00C56E85"/>
    <w:rsid w:val="00C57E8F"/>
    <w:rsid w:val="00C601C4"/>
    <w:rsid w:val="00C6051E"/>
    <w:rsid w:val="00C606DF"/>
    <w:rsid w:val="00C60784"/>
    <w:rsid w:val="00C60ACE"/>
    <w:rsid w:val="00C61882"/>
    <w:rsid w:val="00C62D00"/>
    <w:rsid w:val="00C62D98"/>
    <w:rsid w:val="00C62F0F"/>
    <w:rsid w:val="00C631F5"/>
    <w:rsid w:val="00C64598"/>
    <w:rsid w:val="00C64CB8"/>
    <w:rsid w:val="00C669E3"/>
    <w:rsid w:val="00C66A00"/>
    <w:rsid w:val="00C71A5F"/>
    <w:rsid w:val="00C72178"/>
    <w:rsid w:val="00C737EB"/>
    <w:rsid w:val="00C75450"/>
    <w:rsid w:val="00C76DB3"/>
    <w:rsid w:val="00C77229"/>
    <w:rsid w:val="00C80835"/>
    <w:rsid w:val="00C81509"/>
    <w:rsid w:val="00C826CD"/>
    <w:rsid w:val="00C82967"/>
    <w:rsid w:val="00C8422E"/>
    <w:rsid w:val="00C84B4A"/>
    <w:rsid w:val="00C85105"/>
    <w:rsid w:val="00C87854"/>
    <w:rsid w:val="00C87C2D"/>
    <w:rsid w:val="00C90CEC"/>
    <w:rsid w:val="00C91CBF"/>
    <w:rsid w:val="00C938D0"/>
    <w:rsid w:val="00C93A5D"/>
    <w:rsid w:val="00C93A82"/>
    <w:rsid w:val="00C93CD6"/>
    <w:rsid w:val="00C93E1B"/>
    <w:rsid w:val="00C9433E"/>
    <w:rsid w:val="00C95CB5"/>
    <w:rsid w:val="00C96F5E"/>
    <w:rsid w:val="00C973E8"/>
    <w:rsid w:val="00C97867"/>
    <w:rsid w:val="00C97DA4"/>
    <w:rsid w:val="00CA02AC"/>
    <w:rsid w:val="00CA0A51"/>
    <w:rsid w:val="00CA1084"/>
    <w:rsid w:val="00CA2A82"/>
    <w:rsid w:val="00CA4EEC"/>
    <w:rsid w:val="00CA4F34"/>
    <w:rsid w:val="00CA5208"/>
    <w:rsid w:val="00CA68CD"/>
    <w:rsid w:val="00CA6E8A"/>
    <w:rsid w:val="00CA758E"/>
    <w:rsid w:val="00CA7E0F"/>
    <w:rsid w:val="00CB08E5"/>
    <w:rsid w:val="00CB199B"/>
    <w:rsid w:val="00CB1C55"/>
    <w:rsid w:val="00CB1F5F"/>
    <w:rsid w:val="00CB2263"/>
    <w:rsid w:val="00CB5C9D"/>
    <w:rsid w:val="00CB6187"/>
    <w:rsid w:val="00CB7ED2"/>
    <w:rsid w:val="00CC0C4A"/>
    <w:rsid w:val="00CC226D"/>
    <w:rsid w:val="00CC25EB"/>
    <w:rsid w:val="00CC349F"/>
    <w:rsid w:val="00CC3B9C"/>
    <w:rsid w:val="00CC4308"/>
    <w:rsid w:val="00CC4B25"/>
    <w:rsid w:val="00CC4C0B"/>
    <w:rsid w:val="00CC5231"/>
    <w:rsid w:val="00CC79A6"/>
    <w:rsid w:val="00CD0E04"/>
    <w:rsid w:val="00CD186B"/>
    <w:rsid w:val="00CD2151"/>
    <w:rsid w:val="00CD2D65"/>
    <w:rsid w:val="00CD356C"/>
    <w:rsid w:val="00CD4D21"/>
    <w:rsid w:val="00CD6E38"/>
    <w:rsid w:val="00CD7FEF"/>
    <w:rsid w:val="00CE0103"/>
    <w:rsid w:val="00CE025B"/>
    <w:rsid w:val="00CE0FD7"/>
    <w:rsid w:val="00CE1036"/>
    <w:rsid w:val="00CE1694"/>
    <w:rsid w:val="00CE24D1"/>
    <w:rsid w:val="00CE3495"/>
    <w:rsid w:val="00CE4671"/>
    <w:rsid w:val="00CE4899"/>
    <w:rsid w:val="00CE52CA"/>
    <w:rsid w:val="00CE6156"/>
    <w:rsid w:val="00CE6700"/>
    <w:rsid w:val="00CF0E86"/>
    <w:rsid w:val="00CF12DF"/>
    <w:rsid w:val="00CF1ABB"/>
    <w:rsid w:val="00CF1F1E"/>
    <w:rsid w:val="00CF22CE"/>
    <w:rsid w:val="00CF40FB"/>
    <w:rsid w:val="00CF618A"/>
    <w:rsid w:val="00CF67F4"/>
    <w:rsid w:val="00CF71A9"/>
    <w:rsid w:val="00CF7ACB"/>
    <w:rsid w:val="00D00D91"/>
    <w:rsid w:val="00D00E3B"/>
    <w:rsid w:val="00D02732"/>
    <w:rsid w:val="00D03085"/>
    <w:rsid w:val="00D059C2"/>
    <w:rsid w:val="00D05EC1"/>
    <w:rsid w:val="00D05F40"/>
    <w:rsid w:val="00D06721"/>
    <w:rsid w:val="00D06F85"/>
    <w:rsid w:val="00D06FF5"/>
    <w:rsid w:val="00D11856"/>
    <w:rsid w:val="00D12180"/>
    <w:rsid w:val="00D12611"/>
    <w:rsid w:val="00D13072"/>
    <w:rsid w:val="00D1370B"/>
    <w:rsid w:val="00D138B7"/>
    <w:rsid w:val="00D151C0"/>
    <w:rsid w:val="00D155E7"/>
    <w:rsid w:val="00D15C59"/>
    <w:rsid w:val="00D162DB"/>
    <w:rsid w:val="00D17FF2"/>
    <w:rsid w:val="00D20535"/>
    <w:rsid w:val="00D21089"/>
    <w:rsid w:val="00D212A6"/>
    <w:rsid w:val="00D21385"/>
    <w:rsid w:val="00D2254F"/>
    <w:rsid w:val="00D23158"/>
    <w:rsid w:val="00D233B9"/>
    <w:rsid w:val="00D23DCC"/>
    <w:rsid w:val="00D241EF"/>
    <w:rsid w:val="00D244A6"/>
    <w:rsid w:val="00D24F54"/>
    <w:rsid w:val="00D2649C"/>
    <w:rsid w:val="00D2746B"/>
    <w:rsid w:val="00D308A5"/>
    <w:rsid w:val="00D30C7E"/>
    <w:rsid w:val="00D30DF6"/>
    <w:rsid w:val="00D311A6"/>
    <w:rsid w:val="00D3164A"/>
    <w:rsid w:val="00D318C5"/>
    <w:rsid w:val="00D31A72"/>
    <w:rsid w:val="00D31C34"/>
    <w:rsid w:val="00D31CBB"/>
    <w:rsid w:val="00D32EB0"/>
    <w:rsid w:val="00D32EBE"/>
    <w:rsid w:val="00D3362F"/>
    <w:rsid w:val="00D347EE"/>
    <w:rsid w:val="00D34B93"/>
    <w:rsid w:val="00D363C3"/>
    <w:rsid w:val="00D36F1C"/>
    <w:rsid w:val="00D4024A"/>
    <w:rsid w:val="00D40B0C"/>
    <w:rsid w:val="00D40EE0"/>
    <w:rsid w:val="00D41C5D"/>
    <w:rsid w:val="00D41EF0"/>
    <w:rsid w:val="00D4261B"/>
    <w:rsid w:val="00D42A40"/>
    <w:rsid w:val="00D42B1F"/>
    <w:rsid w:val="00D43516"/>
    <w:rsid w:val="00D439F1"/>
    <w:rsid w:val="00D4405B"/>
    <w:rsid w:val="00D44814"/>
    <w:rsid w:val="00D465E7"/>
    <w:rsid w:val="00D51D3D"/>
    <w:rsid w:val="00D51EE3"/>
    <w:rsid w:val="00D54DF2"/>
    <w:rsid w:val="00D55C5E"/>
    <w:rsid w:val="00D5604A"/>
    <w:rsid w:val="00D560AC"/>
    <w:rsid w:val="00D56FC8"/>
    <w:rsid w:val="00D57BF4"/>
    <w:rsid w:val="00D60008"/>
    <w:rsid w:val="00D60467"/>
    <w:rsid w:val="00D60D8A"/>
    <w:rsid w:val="00D617EE"/>
    <w:rsid w:val="00D6213B"/>
    <w:rsid w:val="00D63B05"/>
    <w:rsid w:val="00D6405B"/>
    <w:rsid w:val="00D64BC1"/>
    <w:rsid w:val="00D65A44"/>
    <w:rsid w:val="00D666D3"/>
    <w:rsid w:val="00D667D0"/>
    <w:rsid w:val="00D678D5"/>
    <w:rsid w:val="00D67A8E"/>
    <w:rsid w:val="00D70427"/>
    <w:rsid w:val="00D70D3C"/>
    <w:rsid w:val="00D71DC4"/>
    <w:rsid w:val="00D72701"/>
    <w:rsid w:val="00D7317C"/>
    <w:rsid w:val="00D744BE"/>
    <w:rsid w:val="00D74865"/>
    <w:rsid w:val="00D7486B"/>
    <w:rsid w:val="00D748D2"/>
    <w:rsid w:val="00D75379"/>
    <w:rsid w:val="00D76004"/>
    <w:rsid w:val="00D76435"/>
    <w:rsid w:val="00D7685A"/>
    <w:rsid w:val="00D7705A"/>
    <w:rsid w:val="00D80AFA"/>
    <w:rsid w:val="00D8171E"/>
    <w:rsid w:val="00D84674"/>
    <w:rsid w:val="00D8530C"/>
    <w:rsid w:val="00D85AA4"/>
    <w:rsid w:val="00D86143"/>
    <w:rsid w:val="00D874DB"/>
    <w:rsid w:val="00D9060F"/>
    <w:rsid w:val="00D90EDE"/>
    <w:rsid w:val="00D91A21"/>
    <w:rsid w:val="00D91FD4"/>
    <w:rsid w:val="00D92938"/>
    <w:rsid w:val="00D92DC5"/>
    <w:rsid w:val="00D9541D"/>
    <w:rsid w:val="00D95F36"/>
    <w:rsid w:val="00D976C0"/>
    <w:rsid w:val="00D97FFB"/>
    <w:rsid w:val="00DA3084"/>
    <w:rsid w:val="00DA33FC"/>
    <w:rsid w:val="00DB019E"/>
    <w:rsid w:val="00DB08DE"/>
    <w:rsid w:val="00DB22F1"/>
    <w:rsid w:val="00DB2744"/>
    <w:rsid w:val="00DB32AA"/>
    <w:rsid w:val="00DB5FB4"/>
    <w:rsid w:val="00DB60C9"/>
    <w:rsid w:val="00DB6813"/>
    <w:rsid w:val="00DB6DAE"/>
    <w:rsid w:val="00DB7106"/>
    <w:rsid w:val="00DB7437"/>
    <w:rsid w:val="00DC02AD"/>
    <w:rsid w:val="00DC07ED"/>
    <w:rsid w:val="00DC0857"/>
    <w:rsid w:val="00DC12A9"/>
    <w:rsid w:val="00DC13EF"/>
    <w:rsid w:val="00DC1A06"/>
    <w:rsid w:val="00DC1AA7"/>
    <w:rsid w:val="00DC36C1"/>
    <w:rsid w:val="00DC4B52"/>
    <w:rsid w:val="00DC515C"/>
    <w:rsid w:val="00DC5ACA"/>
    <w:rsid w:val="00DC651F"/>
    <w:rsid w:val="00DC6DCA"/>
    <w:rsid w:val="00DC72C8"/>
    <w:rsid w:val="00DC730B"/>
    <w:rsid w:val="00DD0A4C"/>
    <w:rsid w:val="00DD0B17"/>
    <w:rsid w:val="00DD11AE"/>
    <w:rsid w:val="00DD311A"/>
    <w:rsid w:val="00DD3BF6"/>
    <w:rsid w:val="00DD4B12"/>
    <w:rsid w:val="00DD4E5A"/>
    <w:rsid w:val="00DD629D"/>
    <w:rsid w:val="00DD76C8"/>
    <w:rsid w:val="00DE0360"/>
    <w:rsid w:val="00DE07ED"/>
    <w:rsid w:val="00DE13C1"/>
    <w:rsid w:val="00DE2899"/>
    <w:rsid w:val="00DE4E9F"/>
    <w:rsid w:val="00DE535B"/>
    <w:rsid w:val="00DE6C26"/>
    <w:rsid w:val="00DE712C"/>
    <w:rsid w:val="00DE7727"/>
    <w:rsid w:val="00DF1D79"/>
    <w:rsid w:val="00DF2AA4"/>
    <w:rsid w:val="00DF36FF"/>
    <w:rsid w:val="00DF4483"/>
    <w:rsid w:val="00DF53CC"/>
    <w:rsid w:val="00DF7885"/>
    <w:rsid w:val="00E00175"/>
    <w:rsid w:val="00E019F5"/>
    <w:rsid w:val="00E01B1F"/>
    <w:rsid w:val="00E01C85"/>
    <w:rsid w:val="00E0218D"/>
    <w:rsid w:val="00E0317F"/>
    <w:rsid w:val="00E043F2"/>
    <w:rsid w:val="00E046EF"/>
    <w:rsid w:val="00E048B8"/>
    <w:rsid w:val="00E052B8"/>
    <w:rsid w:val="00E056E2"/>
    <w:rsid w:val="00E06050"/>
    <w:rsid w:val="00E06A07"/>
    <w:rsid w:val="00E079FE"/>
    <w:rsid w:val="00E07A4D"/>
    <w:rsid w:val="00E102FB"/>
    <w:rsid w:val="00E1064D"/>
    <w:rsid w:val="00E127F0"/>
    <w:rsid w:val="00E12832"/>
    <w:rsid w:val="00E13393"/>
    <w:rsid w:val="00E13E44"/>
    <w:rsid w:val="00E14895"/>
    <w:rsid w:val="00E163EA"/>
    <w:rsid w:val="00E17430"/>
    <w:rsid w:val="00E17647"/>
    <w:rsid w:val="00E17B69"/>
    <w:rsid w:val="00E17F11"/>
    <w:rsid w:val="00E20A4C"/>
    <w:rsid w:val="00E21590"/>
    <w:rsid w:val="00E2213C"/>
    <w:rsid w:val="00E2233A"/>
    <w:rsid w:val="00E22958"/>
    <w:rsid w:val="00E23D85"/>
    <w:rsid w:val="00E23E41"/>
    <w:rsid w:val="00E24581"/>
    <w:rsid w:val="00E25E83"/>
    <w:rsid w:val="00E3006A"/>
    <w:rsid w:val="00E3052C"/>
    <w:rsid w:val="00E320F9"/>
    <w:rsid w:val="00E32130"/>
    <w:rsid w:val="00E326C5"/>
    <w:rsid w:val="00E332FA"/>
    <w:rsid w:val="00E33F89"/>
    <w:rsid w:val="00E340E9"/>
    <w:rsid w:val="00E34E69"/>
    <w:rsid w:val="00E354B5"/>
    <w:rsid w:val="00E36667"/>
    <w:rsid w:val="00E36F93"/>
    <w:rsid w:val="00E375EE"/>
    <w:rsid w:val="00E4043D"/>
    <w:rsid w:val="00E40904"/>
    <w:rsid w:val="00E42515"/>
    <w:rsid w:val="00E437DB"/>
    <w:rsid w:val="00E44AB8"/>
    <w:rsid w:val="00E453F9"/>
    <w:rsid w:val="00E45630"/>
    <w:rsid w:val="00E46275"/>
    <w:rsid w:val="00E46D69"/>
    <w:rsid w:val="00E46F28"/>
    <w:rsid w:val="00E477E9"/>
    <w:rsid w:val="00E515AA"/>
    <w:rsid w:val="00E522D2"/>
    <w:rsid w:val="00E5284D"/>
    <w:rsid w:val="00E52A0A"/>
    <w:rsid w:val="00E52BC6"/>
    <w:rsid w:val="00E535E7"/>
    <w:rsid w:val="00E54250"/>
    <w:rsid w:val="00E54E75"/>
    <w:rsid w:val="00E55439"/>
    <w:rsid w:val="00E558E6"/>
    <w:rsid w:val="00E55A09"/>
    <w:rsid w:val="00E55C6A"/>
    <w:rsid w:val="00E57664"/>
    <w:rsid w:val="00E617E3"/>
    <w:rsid w:val="00E6254A"/>
    <w:rsid w:val="00E627D7"/>
    <w:rsid w:val="00E651B6"/>
    <w:rsid w:val="00E66144"/>
    <w:rsid w:val="00E666BE"/>
    <w:rsid w:val="00E66BB7"/>
    <w:rsid w:val="00E67AF4"/>
    <w:rsid w:val="00E71095"/>
    <w:rsid w:val="00E719DF"/>
    <w:rsid w:val="00E72507"/>
    <w:rsid w:val="00E72874"/>
    <w:rsid w:val="00E743E3"/>
    <w:rsid w:val="00E75DD1"/>
    <w:rsid w:val="00E75E0D"/>
    <w:rsid w:val="00E761C4"/>
    <w:rsid w:val="00E76C10"/>
    <w:rsid w:val="00E7762A"/>
    <w:rsid w:val="00E77E9F"/>
    <w:rsid w:val="00E80692"/>
    <w:rsid w:val="00E8135A"/>
    <w:rsid w:val="00E81C33"/>
    <w:rsid w:val="00E82FD5"/>
    <w:rsid w:val="00E83468"/>
    <w:rsid w:val="00E8412F"/>
    <w:rsid w:val="00E8510A"/>
    <w:rsid w:val="00E86400"/>
    <w:rsid w:val="00E8663C"/>
    <w:rsid w:val="00E86B68"/>
    <w:rsid w:val="00E86E90"/>
    <w:rsid w:val="00E87427"/>
    <w:rsid w:val="00E90460"/>
    <w:rsid w:val="00E908A8"/>
    <w:rsid w:val="00E91D15"/>
    <w:rsid w:val="00E922E2"/>
    <w:rsid w:val="00E9337F"/>
    <w:rsid w:val="00E94183"/>
    <w:rsid w:val="00E959E8"/>
    <w:rsid w:val="00E95AA9"/>
    <w:rsid w:val="00E96211"/>
    <w:rsid w:val="00E96456"/>
    <w:rsid w:val="00E96CB7"/>
    <w:rsid w:val="00E96E67"/>
    <w:rsid w:val="00E971C9"/>
    <w:rsid w:val="00EA11F3"/>
    <w:rsid w:val="00EA1346"/>
    <w:rsid w:val="00EA1CEE"/>
    <w:rsid w:val="00EA33DC"/>
    <w:rsid w:val="00EA50FE"/>
    <w:rsid w:val="00EA6008"/>
    <w:rsid w:val="00EA69EF"/>
    <w:rsid w:val="00EA746F"/>
    <w:rsid w:val="00EA7D62"/>
    <w:rsid w:val="00EB204B"/>
    <w:rsid w:val="00EB2790"/>
    <w:rsid w:val="00EB2B73"/>
    <w:rsid w:val="00EB3234"/>
    <w:rsid w:val="00EB76F6"/>
    <w:rsid w:val="00EB7804"/>
    <w:rsid w:val="00EB7E54"/>
    <w:rsid w:val="00EC02AC"/>
    <w:rsid w:val="00EC0A0F"/>
    <w:rsid w:val="00EC0EED"/>
    <w:rsid w:val="00EC1C59"/>
    <w:rsid w:val="00EC37BF"/>
    <w:rsid w:val="00EC4BD9"/>
    <w:rsid w:val="00EC4C9E"/>
    <w:rsid w:val="00EC4F01"/>
    <w:rsid w:val="00EC575C"/>
    <w:rsid w:val="00EC77D4"/>
    <w:rsid w:val="00ED44CE"/>
    <w:rsid w:val="00ED4672"/>
    <w:rsid w:val="00ED46B7"/>
    <w:rsid w:val="00ED4C60"/>
    <w:rsid w:val="00ED5968"/>
    <w:rsid w:val="00ED5B98"/>
    <w:rsid w:val="00ED64EC"/>
    <w:rsid w:val="00ED73BD"/>
    <w:rsid w:val="00EE027B"/>
    <w:rsid w:val="00EE0A03"/>
    <w:rsid w:val="00EE1755"/>
    <w:rsid w:val="00EE1D9B"/>
    <w:rsid w:val="00EE32CF"/>
    <w:rsid w:val="00EE57EC"/>
    <w:rsid w:val="00EE6A91"/>
    <w:rsid w:val="00EE79FB"/>
    <w:rsid w:val="00EE7AF4"/>
    <w:rsid w:val="00EF069E"/>
    <w:rsid w:val="00EF0A18"/>
    <w:rsid w:val="00EF0FFD"/>
    <w:rsid w:val="00EF17C0"/>
    <w:rsid w:val="00EF270B"/>
    <w:rsid w:val="00EF40AC"/>
    <w:rsid w:val="00EF4DF3"/>
    <w:rsid w:val="00EF521C"/>
    <w:rsid w:val="00EF62F8"/>
    <w:rsid w:val="00EF6EF2"/>
    <w:rsid w:val="00EF7632"/>
    <w:rsid w:val="00F02758"/>
    <w:rsid w:val="00F047F1"/>
    <w:rsid w:val="00F05010"/>
    <w:rsid w:val="00F05B15"/>
    <w:rsid w:val="00F0647C"/>
    <w:rsid w:val="00F06977"/>
    <w:rsid w:val="00F06D5C"/>
    <w:rsid w:val="00F11711"/>
    <w:rsid w:val="00F13284"/>
    <w:rsid w:val="00F1377C"/>
    <w:rsid w:val="00F14158"/>
    <w:rsid w:val="00F15298"/>
    <w:rsid w:val="00F155B7"/>
    <w:rsid w:val="00F16DFA"/>
    <w:rsid w:val="00F17506"/>
    <w:rsid w:val="00F17C48"/>
    <w:rsid w:val="00F21E8A"/>
    <w:rsid w:val="00F2206E"/>
    <w:rsid w:val="00F22A8C"/>
    <w:rsid w:val="00F23E5D"/>
    <w:rsid w:val="00F257B7"/>
    <w:rsid w:val="00F25DC4"/>
    <w:rsid w:val="00F26F48"/>
    <w:rsid w:val="00F27B95"/>
    <w:rsid w:val="00F30EB6"/>
    <w:rsid w:val="00F364BD"/>
    <w:rsid w:val="00F40CC3"/>
    <w:rsid w:val="00F4226B"/>
    <w:rsid w:val="00F42E3C"/>
    <w:rsid w:val="00F42E5C"/>
    <w:rsid w:val="00F43404"/>
    <w:rsid w:val="00F43DA6"/>
    <w:rsid w:val="00F4530F"/>
    <w:rsid w:val="00F45DFA"/>
    <w:rsid w:val="00F47488"/>
    <w:rsid w:val="00F4780E"/>
    <w:rsid w:val="00F47BD5"/>
    <w:rsid w:val="00F50565"/>
    <w:rsid w:val="00F519A0"/>
    <w:rsid w:val="00F52495"/>
    <w:rsid w:val="00F52730"/>
    <w:rsid w:val="00F52A66"/>
    <w:rsid w:val="00F53DCE"/>
    <w:rsid w:val="00F545AA"/>
    <w:rsid w:val="00F54AFA"/>
    <w:rsid w:val="00F54F3F"/>
    <w:rsid w:val="00F55C99"/>
    <w:rsid w:val="00F569CB"/>
    <w:rsid w:val="00F56DFA"/>
    <w:rsid w:val="00F57DE1"/>
    <w:rsid w:val="00F6144B"/>
    <w:rsid w:val="00F62F07"/>
    <w:rsid w:val="00F632BA"/>
    <w:rsid w:val="00F6514B"/>
    <w:rsid w:val="00F66968"/>
    <w:rsid w:val="00F71158"/>
    <w:rsid w:val="00F7170E"/>
    <w:rsid w:val="00F719DB"/>
    <w:rsid w:val="00F71C5A"/>
    <w:rsid w:val="00F72866"/>
    <w:rsid w:val="00F76005"/>
    <w:rsid w:val="00F76AB3"/>
    <w:rsid w:val="00F77691"/>
    <w:rsid w:val="00F80A8E"/>
    <w:rsid w:val="00F814D7"/>
    <w:rsid w:val="00F81951"/>
    <w:rsid w:val="00F823E0"/>
    <w:rsid w:val="00F845B2"/>
    <w:rsid w:val="00F84A65"/>
    <w:rsid w:val="00F852B0"/>
    <w:rsid w:val="00F85C99"/>
    <w:rsid w:val="00F8619B"/>
    <w:rsid w:val="00F91AFB"/>
    <w:rsid w:val="00F91EC0"/>
    <w:rsid w:val="00F92D68"/>
    <w:rsid w:val="00F93008"/>
    <w:rsid w:val="00F93050"/>
    <w:rsid w:val="00F931F7"/>
    <w:rsid w:val="00F93A88"/>
    <w:rsid w:val="00F94623"/>
    <w:rsid w:val="00F94B6E"/>
    <w:rsid w:val="00F95896"/>
    <w:rsid w:val="00F961C3"/>
    <w:rsid w:val="00F96291"/>
    <w:rsid w:val="00F969D3"/>
    <w:rsid w:val="00FA10D4"/>
    <w:rsid w:val="00FA177B"/>
    <w:rsid w:val="00FA1A4D"/>
    <w:rsid w:val="00FA66FA"/>
    <w:rsid w:val="00FA6EA1"/>
    <w:rsid w:val="00FA74F6"/>
    <w:rsid w:val="00FA78E6"/>
    <w:rsid w:val="00FB00DC"/>
    <w:rsid w:val="00FB0812"/>
    <w:rsid w:val="00FB1295"/>
    <w:rsid w:val="00FB1D74"/>
    <w:rsid w:val="00FB2943"/>
    <w:rsid w:val="00FB3158"/>
    <w:rsid w:val="00FB3DEC"/>
    <w:rsid w:val="00FB4201"/>
    <w:rsid w:val="00FC3853"/>
    <w:rsid w:val="00FC4323"/>
    <w:rsid w:val="00FC439A"/>
    <w:rsid w:val="00FC4D78"/>
    <w:rsid w:val="00FC5487"/>
    <w:rsid w:val="00FC5C11"/>
    <w:rsid w:val="00FC632D"/>
    <w:rsid w:val="00FC67E4"/>
    <w:rsid w:val="00FC7110"/>
    <w:rsid w:val="00FD0321"/>
    <w:rsid w:val="00FD0736"/>
    <w:rsid w:val="00FD2002"/>
    <w:rsid w:val="00FD209C"/>
    <w:rsid w:val="00FD24E4"/>
    <w:rsid w:val="00FD39C5"/>
    <w:rsid w:val="00FD52E1"/>
    <w:rsid w:val="00FD563A"/>
    <w:rsid w:val="00FD5A7C"/>
    <w:rsid w:val="00FD6596"/>
    <w:rsid w:val="00FD68C9"/>
    <w:rsid w:val="00FE015D"/>
    <w:rsid w:val="00FE02AB"/>
    <w:rsid w:val="00FE0370"/>
    <w:rsid w:val="00FE0372"/>
    <w:rsid w:val="00FE2657"/>
    <w:rsid w:val="00FE3848"/>
    <w:rsid w:val="00FE3FA9"/>
    <w:rsid w:val="00FE4150"/>
    <w:rsid w:val="00FE58CB"/>
    <w:rsid w:val="00FE6999"/>
    <w:rsid w:val="00FE6BC6"/>
    <w:rsid w:val="00FF02D6"/>
    <w:rsid w:val="00FF137B"/>
    <w:rsid w:val="00FF2286"/>
    <w:rsid w:val="00FF25E4"/>
    <w:rsid w:val="00FF3059"/>
    <w:rsid w:val="00FF586B"/>
    <w:rsid w:val="00FF654F"/>
    <w:rsid w:val="00FF7B86"/>
    <w:rsid w:val="0122A702"/>
    <w:rsid w:val="01DC2893"/>
    <w:rsid w:val="02521E30"/>
    <w:rsid w:val="02B414C8"/>
    <w:rsid w:val="035ADF92"/>
    <w:rsid w:val="03740831"/>
    <w:rsid w:val="05245776"/>
    <w:rsid w:val="05D9AF3E"/>
    <w:rsid w:val="06717348"/>
    <w:rsid w:val="067DFF32"/>
    <w:rsid w:val="082D066E"/>
    <w:rsid w:val="092E40C9"/>
    <w:rsid w:val="0990F49F"/>
    <w:rsid w:val="0AC85A12"/>
    <w:rsid w:val="0C403039"/>
    <w:rsid w:val="0C74C8FD"/>
    <w:rsid w:val="0C98F012"/>
    <w:rsid w:val="0E7589E5"/>
    <w:rsid w:val="0F2A31DF"/>
    <w:rsid w:val="1044B7C0"/>
    <w:rsid w:val="105B39C0"/>
    <w:rsid w:val="107DBBF0"/>
    <w:rsid w:val="10CF7F4B"/>
    <w:rsid w:val="1125FE6B"/>
    <w:rsid w:val="11441311"/>
    <w:rsid w:val="121B74A1"/>
    <w:rsid w:val="12471E85"/>
    <w:rsid w:val="12640EE7"/>
    <w:rsid w:val="12E9C47B"/>
    <w:rsid w:val="12EC0314"/>
    <w:rsid w:val="1336D1C3"/>
    <w:rsid w:val="14CCEF33"/>
    <w:rsid w:val="15561E5B"/>
    <w:rsid w:val="15C205EE"/>
    <w:rsid w:val="15CB2286"/>
    <w:rsid w:val="15CE6307"/>
    <w:rsid w:val="167FE930"/>
    <w:rsid w:val="1715516D"/>
    <w:rsid w:val="1748A893"/>
    <w:rsid w:val="181B6E40"/>
    <w:rsid w:val="195CCD3E"/>
    <w:rsid w:val="19938813"/>
    <w:rsid w:val="1B058AC0"/>
    <w:rsid w:val="1B7D58B3"/>
    <w:rsid w:val="1B9DAB85"/>
    <w:rsid w:val="1C160F55"/>
    <w:rsid w:val="1C1F67EA"/>
    <w:rsid w:val="1C58E679"/>
    <w:rsid w:val="1C9D5976"/>
    <w:rsid w:val="1CCA49EE"/>
    <w:rsid w:val="1D723E48"/>
    <w:rsid w:val="1D92417B"/>
    <w:rsid w:val="1DAB57EE"/>
    <w:rsid w:val="1DD883F5"/>
    <w:rsid w:val="1DF89E1F"/>
    <w:rsid w:val="1FCFCF67"/>
    <w:rsid w:val="20360725"/>
    <w:rsid w:val="20A1359F"/>
    <w:rsid w:val="20F9EA99"/>
    <w:rsid w:val="21D1651A"/>
    <w:rsid w:val="222B05B5"/>
    <w:rsid w:val="228D266A"/>
    <w:rsid w:val="232E2841"/>
    <w:rsid w:val="234A9129"/>
    <w:rsid w:val="235543E8"/>
    <w:rsid w:val="236D357B"/>
    <w:rsid w:val="2403B4C3"/>
    <w:rsid w:val="240DEF45"/>
    <w:rsid w:val="24F6917D"/>
    <w:rsid w:val="25014C6F"/>
    <w:rsid w:val="2522C9D6"/>
    <w:rsid w:val="2639EA65"/>
    <w:rsid w:val="265894FB"/>
    <w:rsid w:val="2785425B"/>
    <w:rsid w:val="286459F1"/>
    <w:rsid w:val="286AD4BE"/>
    <w:rsid w:val="289F66FF"/>
    <w:rsid w:val="28A7FFB1"/>
    <w:rsid w:val="29D67596"/>
    <w:rsid w:val="2A436049"/>
    <w:rsid w:val="2A54B73F"/>
    <w:rsid w:val="2A8C04EB"/>
    <w:rsid w:val="2A9B523A"/>
    <w:rsid w:val="2AAAAA75"/>
    <w:rsid w:val="2AB4D2E5"/>
    <w:rsid w:val="2B486935"/>
    <w:rsid w:val="2BBC0F5F"/>
    <w:rsid w:val="2BC9B71F"/>
    <w:rsid w:val="2C2CFBB0"/>
    <w:rsid w:val="2C399AA6"/>
    <w:rsid w:val="2D167E21"/>
    <w:rsid w:val="2DE87890"/>
    <w:rsid w:val="2DEC91E7"/>
    <w:rsid w:val="2E2C6ED9"/>
    <w:rsid w:val="2F131AAB"/>
    <w:rsid w:val="308DAA48"/>
    <w:rsid w:val="31D52C0E"/>
    <w:rsid w:val="320FE367"/>
    <w:rsid w:val="322D8CEC"/>
    <w:rsid w:val="3250369A"/>
    <w:rsid w:val="327AF8D2"/>
    <w:rsid w:val="32F0A7C6"/>
    <w:rsid w:val="32F4ABEC"/>
    <w:rsid w:val="33E06E5D"/>
    <w:rsid w:val="3415EBD9"/>
    <w:rsid w:val="344E2E79"/>
    <w:rsid w:val="348DE2FD"/>
    <w:rsid w:val="34B76C16"/>
    <w:rsid w:val="34F8F1EA"/>
    <w:rsid w:val="3553CCF0"/>
    <w:rsid w:val="3603EA2E"/>
    <w:rsid w:val="36AD3C8D"/>
    <w:rsid w:val="36E52060"/>
    <w:rsid w:val="36EF1182"/>
    <w:rsid w:val="370F7A14"/>
    <w:rsid w:val="373E93AF"/>
    <w:rsid w:val="3752D501"/>
    <w:rsid w:val="386D2BE9"/>
    <w:rsid w:val="3881EEC7"/>
    <w:rsid w:val="39057DC9"/>
    <w:rsid w:val="396C5807"/>
    <w:rsid w:val="39CA0AFA"/>
    <w:rsid w:val="3B303810"/>
    <w:rsid w:val="3B97289D"/>
    <w:rsid w:val="3BF5F6F8"/>
    <w:rsid w:val="3E661E08"/>
    <w:rsid w:val="3ED10927"/>
    <w:rsid w:val="3EED343B"/>
    <w:rsid w:val="3EF6F047"/>
    <w:rsid w:val="3F2FA7F8"/>
    <w:rsid w:val="3F42C1DF"/>
    <w:rsid w:val="3F7F3FA2"/>
    <w:rsid w:val="41773038"/>
    <w:rsid w:val="418DEEA6"/>
    <w:rsid w:val="41FC9B06"/>
    <w:rsid w:val="420BDF95"/>
    <w:rsid w:val="4367F4E7"/>
    <w:rsid w:val="4399AEE5"/>
    <w:rsid w:val="440C48BA"/>
    <w:rsid w:val="45E1F7BA"/>
    <w:rsid w:val="464959BD"/>
    <w:rsid w:val="465D3483"/>
    <w:rsid w:val="4731FAD4"/>
    <w:rsid w:val="4735FF31"/>
    <w:rsid w:val="477BD78D"/>
    <w:rsid w:val="47E40D2D"/>
    <w:rsid w:val="48BA2A55"/>
    <w:rsid w:val="49072560"/>
    <w:rsid w:val="49A0A4CD"/>
    <w:rsid w:val="49BC0591"/>
    <w:rsid w:val="4AA2F5C1"/>
    <w:rsid w:val="4AAD8EF5"/>
    <w:rsid w:val="4B7A2BC0"/>
    <w:rsid w:val="4D9325DF"/>
    <w:rsid w:val="4DB0C154"/>
    <w:rsid w:val="4DC63281"/>
    <w:rsid w:val="4E3863E1"/>
    <w:rsid w:val="4E79A7CB"/>
    <w:rsid w:val="4EE0A7E6"/>
    <w:rsid w:val="4EE5F91D"/>
    <w:rsid w:val="4F0C216F"/>
    <w:rsid w:val="4F814A88"/>
    <w:rsid w:val="4F82C04A"/>
    <w:rsid w:val="4FBE9BAB"/>
    <w:rsid w:val="50073B31"/>
    <w:rsid w:val="50D53C9F"/>
    <w:rsid w:val="514326C5"/>
    <w:rsid w:val="514BBFEB"/>
    <w:rsid w:val="51A64D32"/>
    <w:rsid w:val="51FAF582"/>
    <w:rsid w:val="52E31C89"/>
    <w:rsid w:val="5341A2F0"/>
    <w:rsid w:val="53F5DD37"/>
    <w:rsid w:val="5491B371"/>
    <w:rsid w:val="5564A2E3"/>
    <w:rsid w:val="55668953"/>
    <w:rsid w:val="55719C9C"/>
    <w:rsid w:val="561E3FEF"/>
    <w:rsid w:val="56406609"/>
    <w:rsid w:val="56481B86"/>
    <w:rsid w:val="5667D9D8"/>
    <w:rsid w:val="569A2764"/>
    <w:rsid w:val="56B766D4"/>
    <w:rsid w:val="57405F5E"/>
    <w:rsid w:val="57581FAF"/>
    <w:rsid w:val="578B0127"/>
    <w:rsid w:val="583127C1"/>
    <w:rsid w:val="583F393E"/>
    <w:rsid w:val="58AC9606"/>
    <w:rsid w:val="58E28A8A"/>
    <w:rsid w:val="58E80345"/>
    <w:rsid w:val="595C0CFD"/>
    <w:rsid w:val="598C1BED"/>
    <w:rsid w:val="59A41787"/>
    <w:rsid w:val="59F9F0AD"/>
    <w:rsid w:val="5A446BF5"/>
    <w:rsid w:val="5A9C4EE1"/>
    <w:rsid w:val="5C4FD043"/>
    <w:rsid w:val="5C68D097"/>
    <w:rsid w:val="5DCD6319"/>
    <w:rsid w:val="5E205325"/>
    <w:rsid w:val="5E417A26"/>
    <w:rsid w:val="5E64C7FD"/>
    <w:rsid w:val="5EBCD945"/>
    <w:rsid w:val="5EFB2AE3"/>
    <w:rsid w:val="6001A57A"/>
    <w:rsid w:val="6098BAEE"/>
    <w:rsid w:val="61249BB6"/>
    <w:rsid w:val="6131F435"/>
    <w:rsid w:val="61AA4557"/>
    <w:rsid w:val="620B3794"/>
    <w:rsid w:val="6222A9C7"/>
    <w:rsid w:val="626A4B11"/>
    <w:rsid w:val="6270F61E"/>
    <w:rsid w:val="63A7B4CC"/>
    <w:rsid w:val="642371D4"/>
    <w:rsid w:val="6446D374"/>
    <w:rsid w:val="64F62178"/>
    <w:rsid w:val="65460E44"/>
    <w:rsid w:val="660E6A46"/>
    <w:rsid w:val="669F9AA5"/>
    <w:rsid w:val="66D42F1C"/>
    <w:rsid w:val="672EB184"/>
    <w:rsid w:val="684526C6"/>
    <w:rsid w:val="68851762"/>
    <w:rsid w:val="68AF68CB"/>
    <w:rsid w:val="69337A3C"/>
    <w:rsid w:val="6B6D2F85"/>
    <w:rsid w:val="6BFD01E2"/>
    <w:rsid w:val="6C14B192"/>
    <w:rsid w:val="6C6F0870"/>
    <w:rsid w:val="6CC98CFA"/>
    <w:rsid w:val="6E69EDF2"/>
    <w:rsid w:val="6E7DB47F"/>
    <w:rsid w:val="6E97F9CB"/>
    <w:rsid w:val="6ED1D5C5"/>
    <w:rsid w:val="6FD058CB"/>
    <w:rsid w:val="7017323E"/>
    <w:rsid w:val="70555AD1"/>
    <w:rsid w:val="708B7431"/>
    <w:rsid w:val="70A821E8"/>
    <w:rsid w:val="7127B6FB"/>
    <w:rsid w:val="717D2184"/>
    <w:rsid w:val="7213FB5B"/>
    <w:rsid w:val="735D4102"/>
    <w:rsid w:val="73AB6F1E"/>
    <w:rsid w:val="73D19E02"/>
    <w:rsid w:val="7445AD13"/>
    <w:rsid w:val="7466535B"/>
    <w:rsid w:val="74A3392A"/>
    <w:rsid w:val="751D42A2"/>
    <w:rsid w:val="754B74DC"/>
    <w:rsid w:val="756784E5"/>
    <w:rsid w:val="7579B247"/>
    <w:rsid w:val="75C17993"/>
    <w:rsid w:val="7620FA20"/>
    <w:rsid w:val="76276C9E"/>
    <w:rsid w:val="77C2DBE3"/>
    <w:rsid w:val="782C6083"/>
    <w:rsid w:val="78A50F25"/>
    <w:rsid w:val="791C47FD"/>
    <w:rsid w:val="79350778"/>
    <w:rsid w:val="79B99EB1"/>
    <w:rsid w:val="7B06976B"/>
    <w:rsid w:val="7BA20E3E"/>
    <w:rsid w:val="7BAF6680"/>
    <w:rsid w:val="7BE9E3AE"/>
    <w:rsid w:val="7BEDF4B5"/>
    <w:rsid w:val="7C73D39B"/>
    <w:rsid w:val="7CAB69FC"/>
    <w:rsid w:val="7CB17353"/>
    <w:rsid w:val="7CE9EC54"/>
    <w:rsid w:val="7D37DA1D"/>
    <w:rsid w:val="7E3744A9"/>
    <w:rsid w:val="7E4997EA"/>
    <w:rsid w:val="7E6287EB"/>
    <w:rsid w:val="7F89F84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5642"/>
  <w15:docId w15:val="{DBC3CFD7-ED18-4CEC-83BF-C0E38B753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C4308"/>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D74865"/>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D74865"/>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81F5F"/>
    <w:pPr>
      <w:pBdr>
        <w:top w:val="single" w:sz="4" w:space="20" w:color="033636" w:themeColor="text1"/>
        <w:left w:val="single" w:sz="4" w:space="10" w:color="033636" w:themeColor="text1"/>
        <w:bottom w:val="single" w:sz="4" w:space="10" w:color="033636" w:themeColor="text1"/>
        <w:right w:val="single" w:sz="4" w:space="10"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7200EF"/>
    <w:pPr>
      <w:pBdr>
        <w:top w:val="single" w:sz="48" w:space="20" w:color="E6FCF6"/>
        <w:left w:val="single" w:sz="48" w:space="10" w:color="E6FCF6"/>
        <w:bottom w:val="single" w:sz="48" w:space="10" w:color="E6FCF6"/>
        <w:right w:val="single" w:sz="48" w:space="10"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1A76D3"/>
    <w:rPr>
      <w:b/>
      <w:color w:val="FF0000"/>
    </w:rPr>
  </w:style>
  <w:style w:type="character" w:customStyle="1" w:styleId="BoldredChar">
    <w:name w:val="Boldred Char"/>
    <w:basedOn w:val="DefaultParagraphFont"/>
    <w:link w:val="Boldred"/>
    <w:rsid w:val="001A76D3"/>
    <w:rPr>
      <w:rFonts w:ascii="Arial" w:hAnsi="Arial"/>
      <w:b/>
      <w:color w:val="FF0000"/>
      <w:sz w:val="22"/>
      <w:szCs w:val="24"/>
      <w:lang w:eastAsia="en-US"/>
    </w:rPr>
  </w:style>
  <w:style w:type="paragraph" w:customStyle="1" w:styleId="Smalltext">
    <w:name w:val="Smalltext"/>
    <w:basedOn w:val="Normal"/>
    <w:link w:val="SmalltextChar"/>
    <w:autoRedefine/>
    <w:qFormat/>
    <w:rsid w:val="00694001"/>
    <w:pPr>
      <w:spacing w:after="0"/>
    </w:pPr>
    <w:rPr>
      <w:sz w:val="16"/>
    </w:rPr>
  </w:style>
  <w:style w:type="character" w:customStyle="1" w:styleId="SmalltextChar">
    <w:name w:val="Smalltext Char"/>
    <w:basedOn w:val="DefaultParagraphFont"/>
    <w:link w:val="Smalltext"/>
    <w:rsid w:val="00694001"/>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character" w:styleId="CommentReference">
    <w:name w:val="annotation reference"/>
    <w:basedOn w:val="DefaultParagraphFont"/>
    <w:semiHidden/>
    <w:unhideWhenUsed/>
    <w:rsid w:val="00905DCA"/>
    <w:rPr>
      <w:sz w:val="16"/>
      <w:szCs w:val="16"/>
    </w:rPr>
  </w:style>
  <w:style w:type="paragraph" w:styleId="CommentText">
    <w:name w:val="annotation text"/>
    <w:basedOn w:val="Normal"/>
    <w:link w:val="CommentTextChar"/>
    <w:unhideWhenUsed/>
    <w:rsid w:val="00905DCA"/>
    <w:pPr>
      <w:spacing w:line="240" w:lineRule="auto"/>
    </w:pPr>
    <w:rPr>
      <w:sz w:val="20"/>
      <w:szCs w:val="20"/>
    </w:rPr>
  </w:style>
  <w:style w:type="character" w:customStyle="1" w:styleId="CommentTextChar">
    <w:name w:val="Comment Text Char"/>
    <w:basedOn w:val="DefaultParagraphFont"/>
    <w:link w:val="CommentText"/>
    <w:rsid w:val="00905DCA"/>
    <w:rPr>
      <w:rFonts w:ascii="Arial" w:hAnsi="Arial"/>
      <w:color w:val="033636" w:themeColor="text1"/>
      <w:lang w:eastAsia="en-US"/>
    </w:rPr>
  </w:style>
  <w:style w:type="paragraph" w:styleId="CommentSubject">
    <w:name w:val="annotation subject"/>
    <w:basedOn w:val="CommentText"/>
    <w:next w:val="CommentText"/>
    <w:link w:val="CommentSubjectChar"/>
    <w:semiHidden/>
    <w:unhideWhenUsed/>
    <w:rsid w:val="00905DCA"/>
    <w:rPr>
      <w:b/>
      <w:bCs/>
    </w:rPr>
  </w:style>
  <w:style w:type="character" w:customStyle="1" w:styleId="CommentSubjectChar">
    <w:name w:val="Comment Subject Char"/>
    <w:basedOn w:val="CommentTextChar"/>
    <w:link w:val="CommentSubject"/>
    <w:semiHidden/>
    <w:rsid w:val="00905DCA"/>
    <w:rPr>
      <w:rFonts w:ascii="Arial" w:hAnsi="Arial"/>
      <w:b/>
      <w:bCs/>
      <w:color w:val="033636" w:themeColor="text1"/>
      <w:lang w:eastAsia="en-US"/>
    </w:rPr>
  </w:style>
  <w:style w:type="character" w:styleId="Mention">
    <w:name w:val="Mention"/>
    <w:basedOn w:val="DefaultParagraphFont"/>
    <w:uiPriority w:val="99"/>
    <w:unhideWhenUsed/>
    <w:rsid w:val="00905DCA"/>
    <w:rPr>
      <w:color w:val="2B579A"/>
      <w:shd w:val="clear" w:color="auto" w:fill="E1DFDD"/>
    </w:rPr>
  </w:style>
  <w:style w:type="paragraph" w:styleId="Revision">
    <w:name w:val="Revision"/>
    <w:hidden/>
    <w:uiPriority w:val="99"/>
    <w:semiHidden/>
    <w:rsid w:val="00445C27"/>
    <w:rPr>
      <w:rFonts w:ascii="Arial" w:hAnsi="Arial"/>
      <w:color w:val="033636" w:themeColor="text1"/>
      <w:sz w:val="22"/>
      <w:szCs w:val="24"/>
      <w:lang w:eastAsia="en-US"/>
    </w:rPr>
  </w:style>
  <w:style w:type="character" w:customStyle="1" w:styleId="normaltextrun">
    <w:name w:val="normaltextrun"/>
    <w:basedOn w:val="DefaultParagraphFont"/>
    <w:rsid w:val="00903342"/>
  </w:style>
  <w:style w:type="character" w:customStyle="1" w:styleId="contentcontrolboundarysink">
    <w:name w:val="contentcontrolboundarysink"/>
    <w:basedOn w:val="DefaultParagraphFont"/>
    <w:rsid w:val="00903342"/>
  </w:style>
  <w:style w:type="character" w:styleId="UnresolvedMention">
    <w:name w:val="Unresolved Mention"/>
    <w:basedOn w:val="DefaultParagraphFont"/>
    <w:uiPriority w:val="99"/>
    <w:semiHidden/>
    <w:unhideWhenUsed/>
    <w:rsid w:val="00512B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8179333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91470301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97166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8.svgz"/><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Relationship Id="rId41" Type="http://schemas.openxmlformats.org/officeDocument/2006/relationships/image" Target="media/image25.svgz"/><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png"/><Relationship Id="rId45" Type="http://schemas.openxmlformats.org/officeDocument/2006/relationships/image" Target="media/image28.svgz"/><Relationship Id="rId53" Type="http://schemas.openxmlformats.org/officeDocument/2006/relationships/image" Target="media/image36.svgz"/><Relationship Id="rId58"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hyperlink" Target="https://www.health.gov.au/sites/default/files/2024-02/atagi-statement-on-the-administration-of-seasonal-influenza-vaccines-in-2024.pdf"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hyperlink" Target="https://www1.health.gov.au/internet/main/publishing.nsf/Content/novel_coronavirus_2019_ncov_weekly_epidemiology_reports_australia_2020.htm" TargetMode="External"/><Relationship Id="rId48" Type="http://schemas.openxmlformats.org/officeDocument/2006/relationships/image" Target="media/image31.emf"/><Relationship Id="rId56" Type="http://schemas.openxmlformats.org/officeDocument/2006/relationships/hyperlink" Target="https://www.health.gov.au/resources/publications/technical-supplement-australian-respiratory-surveillance-report" TargetMode="External"/><Relationship Id="rId8" Type="http://schemas.openxmlformats.org/officeDocument/2006/relationships/webSettings" Target="webSettings.xml"/><Relationship Id="rId51" Type="http://schemas.openxmlformats.org/officeDocument/2006/relationships/image" Target="media/image34.svgz"/><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71CEDE-1295-4F8A-B39E-C0676836A9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5910C5-FA24-4403-BC3B-E7D405879B0E}">
  <ds:schemaRefs>
    <ds:schemaRef ds:uri="http://schemas.microsoft.com/office/2006/metadata/properties"/>
    <ds:schemaRef ds:uri="http://schemas.microsoft.com/office/infopath/2007/PartnerControls"/>
    <ds:schemaRef ds:uri="084f2b4f-2535-46c8-ae12-341bccf6b9a4"/>
  </ds:schemaRefs>
</ds:datastoreItem>
</file>

<file path=customXml/itemProps3.xml><?xml version="1.0" encoding="utf-8"?>
<ds:datastoreItem xmlns:ds="http://schemas.openxmlformats.org/officeDocument/2006/customXml" ds:itemID="{95803C61-33E8-414C-904D-7A7567C3008F}">
  <ds:schemaRefs>
    <ds:schemaRef ds:uri="http://schemas.openxmlformats.org/officeDocument/2006/bibliography"/>
  </ds:schemaRefs>
</ds:datastoreItem>
</file>

<file path=customXml/itemProps4.xml><?xml version="1.0" encoding="utf-8"?>
<ds:datastoreItem xmlns:ds="http://schemas.openxmlformats.org/officeDocument/2006/customXml" ds:itemID="{C179A31A-33E4-4026-836F-BB27B1699F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29</Pages>
  <Words>8532</Words>
  <Characters>46756</Characters>
  <Application>Microsoft Office Word</Application>
  <DocSecurity>0</DocSecurity>
  <Lines>1335</Lines>
  <Paragraphs>825</Paragraphs>
  <ScaleCrop>false</ScaleCrop>
  <HeadingPairs>
    <vt:vector size="2" baseType="variant">
      <vt:variant>
        <vt:lpstr>Title</vt:lpstr>
      </vt:variant>
      <vt:variant>
        <vt:i4>1</vt:i4>
      </vt:variant>
    </vt:vector>
  </HeadingPairs>
  <TitlesOfParts>
    <vt:vector size="1" baseType="lpstr">
      <vt:lpstr>Australian Respiratory Surveillance Report 1 – 25 March to 7 April 2024</vt:lpstr>
    </vt:vector>
  </TitlesOfParts>
  <Company/>
  <LinksUpToDate>false</LinksUpToDate>
  <CharactersWithSpaces>54463</CharactersWithSpaces>
  <SharedDoc>false</SharedDoc>
  <HLinks>
    <vt:vector size="54" baseType="variant">
      <vt:variant>
        <vt:i4>4063355</vt:i4>
      </vt:variant>
      <vt:variant>
        <vt:i4>24</vt:i4>
      </vt:variant>
      <vt:variant>
        <vt:i4>0</vt:i4>
      </vt:variant>
      <vt:variant>
        <vt:i4>5</vt:i4>
      </vt:variant>
      <vt:variant>
        <vt:lpwstr>https://www.health.gov.au/sites/default/files/2024-02/atagi-statement-on-the-administration-of-seasonal-influenza-vaccines-in-2024.pdf</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4194380</vt:i4>
      </vt:variant>
      <vt:variant>
        <vt:i4>0</vt:i4>
      </vt:variant>
      <vt:variant>
        <vt:i4>0</vt:i4>
      </vt:variant>
      <vt:variant>
        <vt:i4>5</vt:i4>
      </vt:variant>
      <vt:variant>
        <vt:lpwstr>https://www.health.gov.au/resources/publications/australian-national-surveillance-plan-for-covid-19-influenza-and-rsv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 – 25 March to 7 April 2024</dc:title>
  <dc:subject>Australian Respiratory Surveillance</dc:subject>
  <dc:creator>Australian Government Department of Health and Aged Care</dc:creator>
  <cp:keywords>Respiratory syncytial virus (RSV) infection; Influenza (flu); COVID-19, Coronavirus; Communicable diseases</cp:keywords>
  <cp:lastModifiedBy>HASSALL, Jenna</cp:lastModifiedBy>
  <cp:revision>434</cp:revision>
  <dcterms:created xsi:type="dcterms:W3CDTF">2024-04-15T19:57:00Z</dcterms:created>
  <dcterms:modified xsi:type="dcterms:W3CDTF">2024-12-09T01:57:00Z</dcterms:modified>
</cp:coreProperties>
</file>