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CF5D05" w14:textId="47415BEA" w:rsidR="00D560DC" w:rsidRPr="000B74B2" w:rsidRDefault="002D3156" w:rsidP="00FA1246">
      <w:pPr>
        <w:pStyle w:val="Title"/>
      </w:pPr>
      <w:sdt>
        <w:sdtPr>
          <w:rPr>
            <w:rFonts w:cs="Arial"/>
            <w:lang w:val="es-ES_tradnl"/>
          </w:rPr>
          <w:alias w:val="Title"/>
          <w:tag w:val=""/>
          <w:id w:val="-992257587"/>
          <w:placeholder>
            <w:docPart w:val="081BD3F32C219649B7D96FD4A0753C52"/>
          </w:placeholder>
          <w:dataBinding w:prefixMappings="xmlns:ns0='http://purl.org/dc/elements/1.1/' xmlns:ns1='http://schemas.openxmlformats.org/package/2006/metadata/core-properties' " w:xpath="/ns1:coreProperties[1]/ns0:title[1]" w:storeItemID="{6C3C8BC8-F283-45AE-878A-BAB7291924A1}"/>
          <w:text/>
        </w:sdtPr>
        <w:sdtEndPr/>
        <w:sdtContent>
          <w:r w:rsidR="000B74B2" w:rsidRPr="000B74B2">
            <w:rPr>
              <w:rFonts w:cs="Arial"/>
              <w:lang w:val="es-ES_tradnl"/>
            </w:rPr>
            <w:t>Recetas para 60 días: Preguntas frecuentes</w:t>
          </w:r>
        </w:sdtContent>
      </w:sdt>
    </w:p>
    <w:p w14:paraId="4E8E2E1C" w14:textId="758988DE" w:rsidR="00FA1246" w:rsidRDefault="000B74B2" w:rsidP="00FA1246">
      <w:pPr>
        <w:pStyle w:val="Heading1"/>
      </w:pPr>
      <w:r w:rsidRPr="00123A8E">
        <w:rPr>
          <w:rFonts w:cs="Arial"/>
          <w:bCs/>
          <w:lang w:val="es-ES_tradnl"/>
        </w:rPr>
        <w:t xml:space="preserve">¿Qué es el </w:t>
      </w:r>
      <w:proofErr w:type="spellStart"/>
      <w:r w:rsidRPr="00123A8E">
        <w:rPr>
          <w:rFonts w:cs="Arial"/>
          <w:bCs/>
          <w:lang w:val="es-ES_tradnl"/>
        </w:rPr>
        <w:t>Pharmaceutical</w:t>
      </w:r>
      <w:proofErr w:type="spellEnd"/>
      <w:r w:rsidRPr="00123A8E">
        <w:rPr>
          <w:rFonts w:cs="Arial"/>
          <w:bCs/>
          <w:lang w:val="es-ES_tradnl"/>
        </w:rPr>
        <w:t xml:space="preserve"> </w:t>
      </w:r>
      <w:proofErr w:type="spellStart"/>
      <w:r w:rsidRPr="00123A8E">
        <w:rPr>
          <w:rFonts w:cs="Arial"/>
          <w:bCs/>
          <w:lang w:val="es-ES_tradnl"/>
        </w:rPr>
        <w:t>Benefits</w:t>
      </w:r>
      <w:proofErr w:type="spellEnd"/>
      <w:r w:rsidRPr="00123A8E">
        <w:rPr>
          <w:rFonts w:cs="Arial"/>
          <w:bCs/>
          <w:lang w:val="es-ES_tradnl"/>
        </w:rPr>
        <w:t xml:space="preserve"> </w:t>
      </w:r>
      <w:proofErr w:type="spellStart"/>
      <w:r w:rsidRPr="00123A8E">
        <w:rPr>
          <w:rFonts w:cs="Arial"/>
          <w:bCs/>
          <w:lang w:val="es-ES_tradnl"/>
        </w:rPr>
        <w:t>Scheme</w:t>
      </w:r>
      <w:proofErr w:type="spellEnd"/>
      <w:r w:rsidRPr="00123A8E">
        <w:rPr>
          <w:rFonts w:cs="Arial"/>
          <w:bCs/>
          <w:lang w:val="es-ES_tradnl"/>
        </w:rPr>
        <w:t>?</w:t>
      </w:r>
      <w:r>
        <w:t xml:space="preserve"> </w:t>
      </w:r>
    </w:p>
    <w:p w14:paraId="3F8BC05D" w14:textId="3A525448" w:rsidR="00FA1246" w:rsidRDefault="000B74B2" w:rsidP="00FA1246">
      <w:r w:rsidRPr="00A634AE">
        <w:rPr>
          <w:rFonts w:cs="Arial"/>
          <w:lang w:val="es-ES_tradnl"/>
        </w:rPr>
        <w:t xml:space="preserve">El </w:t>
      </w:r>
      <w:proofErr w:type="spellStart"/>
      <w:r w:rsidRPr="00A634AE">
        <w:rPr>
          <w:rFonts w:cs="Arial"/>
          <w:lang w:val="es-ES_tradnl"/>
        </w:rPr>
        <w:t>Pharmaceutical</w:t>
      </w:r>
      <w:proofErr w:type="spellEnd"/>
      <w:r w:rsidRPr="00A634AE">
        <w:rPr>
          <w:rFonts w:cs="Arial"/>
          <w:lang w:val="es-ES_tradnl"/>
        </w:rPr>
        <w:t xml:space="preserve"> </w:t>
      </w:r>
      <w:proofErr w:type="spellStart"/>
      <w:r w:rsidRPr="00A634AE">
        <w:rPr>
          <w:rFonts w:cs="Arial"/>
          <w:lang w:val="es-ES_tradnl"/>
        </w:rPr>
        <w:t>Benefits</w:t>
      </w:r>
      <w:proofErr w:type="spellEnd"/>
      <w:r w:rsidRPr="00A634AE">
        <w:rPr>
          <w:rFonts w:cs="Arial"/>
          <w:lang w:val="es-ES_tradnl"/>
        </w:rPr>
        <w:t xml:space="preserve"> </w:t>
      </w:r>
      <w:proofErr w:type="spellStart"/>
      <w:r w:rsidRPr="00A634AE">
        <w:rPr>
          <w:rFonts w:cs="Arial"/>
          <w:lang w:val="es-ES_tradnl"/>
        </w:rPr>
        <w:t>Scheme</w:t>
      </w:r>
      <w:proofErr w:type="spellEnd"/>
      <w:r w:rsidRPr="00A634AE">
        <w:rPr>
          <w:rFonts w:cs="Arial"/>
          <w:lang w:val="es-ES_tradnl"/>
        </w:rPr>
        <w:t xml:space="preserve"> (Plan de beneficios farmacéuticos, PBS) es financiado por el Gobierno de Australia para subsidiar el costo de más de 900 medicamentos de venta bajo receta</w:t>
      </w:r>
      <w:r w:rsidR="00FA1246">
        <w:t xml:space="preserve">. </w:t>
      </w:r>
    </w:p>
    <w:p w14:paraId="348D45E7" w14:textId="1E891725" w:rsidR="00FA1246" w:rsidRPr="000B74B2" w:rsidRDefault="000B74B2" w:rsidP="00BB0191">
      <w:pPr>
        <w:rPr>
          <w:lang w:val="es-ES_tradnl"/>
        </w:rPr>
      </w:pPr>
      <w:r w:rsidRPr="00A634AE">
        <w:rPr>
          <w:rFonts w:cs="Arial"/>
          <w:lang w:val="es-ES_tradnl"/>
        </w:rPr>
        <w:t xml:space="preserve">Cuando compra un medicamento que aparece en la lista del PBS, su costo se </w:t>
      </w:r>
      <w:r>
        <w:rPr>
          <w:rFonts w:cs="Arial"/>
          <w:lang w:val="es-ES_tradnl"/>
        </w:rPr>
        <w:t xml:space="preserve">divide </w:t>
      </w:r>
      <w:r w:rsidRPr="00A634AE">
        <w:rPr>
          <w:rFonts w:cs="Arial"/>
          <w:lang w:val="es-ES_tradnl"/>
        </w:rPr>
        <w:t>entre usted y el Gobierno. El monto que usted le paga al farmacéutico por cada receta se denomina el pago compartido (</w:t>
      </w:r>
      <w:proofErr w:type="spellStart"/>
      <w:r w:rsidRPr="00A634AE">
        <w:rPr>
          <w:rFonts w:cs="Arial"/>
          <w:lang w:val="es-ES_tradnl"/>
        </w:rPr>
        <w:t>co-payment</w:t>
      </w:r>
      <w:proofErr w:type="spellEnd"/>
      <w:r w:rsidRPr="00A634AE">
        <w:rPr>
          <w:rFonts w:cs="Arial"/>
          <w:lang w:val="es-ES_tradnl"/>
        </w:rPr>
        <w:t xml:space="preserve">). </w:t>
      </w:r>
      <w:r w:rsidR="00BB0191" w:rsidRPr="00BB0191">
        <w:rPr>
          <w:rFonts w:cs="Arial"/>
          <w:lang w:val="es-ES_tradnl"/>
        </w:rPr>
        <w:t>A partir de 2024</w:t>
      </w:r>
      <w:r w:rsidRPr="00A634AE">
        <w:rPr>
          <w:rFonts w:cs="Arial"/>
          <w:lang w:val="es-ES_tradnl"/>
        </w:rPr>
        <w:t xml:space="preserve"> el máximo que usted paga por la mayoría de los medicamentos PBS es $31,60. Si usted tiene una tarjeta de concesiones, pagará como máximo $7,70</w:t>
      </w:r>
      <w:r w:rsidR="00FA1246" w:rsidRPr="000B74B2">
        <w:rPr>
          <w:lang w:val="es-ES_tradnl"/>
        </w:rPr>
        <w:t>.</w:t>
      </w:r>
      <w:r w:rsidR="00FA1246">
        <w:rPr>
          <w:rStyle w:val="FootnoteReference"/>
        </w:rPr>
        <w:footnoteReference w:id="1"/>
      </w:r>
    </w:p>
    <w:p w14:paraId="2ABF6FBC" w14:textId="67FA0075" w:rsidR="00FA1246" w:rsidRPr="000B74B2" w:rsidRDefault="000B74B2" w:rsidP="00FA1246">
      <w:pPr>
        <w:pStyle w:val="Heading1"/>
        <w:rPr>
          <w:lang w:val="sv-SE"/>
        </w:rPr>
      </w:pPr>
      <w:r w:rsidRPr="00123A8E">
        <w:rPr>
          <w:rFonts w:cs="Arial"/>
          <w:bCs/>
          <w:lang w:val="es-ES_tradnl"/>
        </w:rPr>
        <w:t>¿Qué son las recetas para 60 días?</w:t>
      </w:r>
      <w:r w:rsidRPr="000B74B2">
        <w:rPr>
          <w:lang w:val="sv-SE"/>
        </w:rPr>
        <w:t xml:space="preserve"> </w:t>
      </w:r>
    </w:p>
    <w:p w14:paraId="0D2E3759" w14:textId="308086C5" w:rsidR="00FA1246" w:rsidRDefault="000B74B2" w:rsidP="00FA1246">
      <w:r w:rsidRPr="00A634AE">
        <w:rPr>
          <w:rFonts w:cs="Arial"/>
          <w:lang w:val="es-ES_tradnl"/>
        </w:rPr>
        <w:t>A partir del 1</w:t>
      </w:r>
      <w:r>
        <w:rPr>
          <w:rFonts w:cs="Arial"/>
          <w:lang w:val="es-ES_tradnl"/>
        </w:rPr>
        <w:t>º</w:t>
      </w:r>
      <w:r w:rsidRPr="00A634AE">
        <w:rPr>
          <w:rFonts w:cs="Arial"/>
          <w:lang w:val="es-ES_tradnl"/>
        </w:rPr>
        <w:t xml:space="preserve"> de septiembre de 2023 muchas personas que viven con una dolencia continua han podido comprar medicamentos PBS seleccionados para 60 días</w:t>
      </w:r>
      <w:r w:rsidR="00FA1246">
        <w:t>.</w:t>
      </w:r>
      <w:r w:rsidR="00FA1246">
        <w:rPr>
          <w:rStyle w:val="FootnoteReference"/>
        </w:rPr>
        <w:footnoteReference w:id="2"/>
      </w:r>
      <w:r w:rsidR="00FA1246">
        <w:t xml:space="preserve"> </w:t>
      </w:r>
      <w:r w:rsidRPr="00A634AE">
        <w:rPr>
          <w:rFonts w:cs="Arial"/>
          <w:lang w:val="es-ES_tradnl"/>
        </w:rPr>
        <w:t>Esto reduce el monto que pagan por los medicamentos y, en el caso de las personas que solo tienen recetas para 60 días de suministro, implica también menos visitas al médico y a la farmacia</w:t>
      </w:r>
      <w:r w:rsidR="00FA1246">
        <w:t>.</w:t>
      </w:r>
    </w:p>
    <w:p w14:paraId="1A2005D7" w14:textId="44165BD8" w:rsidR="00FA1246" w:rsidRPr="000B74B2" w:rsidRDefault="000B74B2" w:rsidP="00FA1246">
      <w:pPr>
        <w:pStyle w:val="Heading1"/>
        <w:rPr>
          <w:lang w:val="sv-SE"/>
        </w:rPr>
      </w:pPr>
      <w:r w:rsidRPr="00123A8E">
        <w:rPr>
          <w:rFonts w:cs="Arial"/>
          <w:bCs/>
          <w:lang w:val="es-ES_tradnl"/>
        </w:rPr>
        <w:t>¿Cuándo sucedió esto?</w:t>
      </w:r>
      <w:r w:rsidRPr="000B74B2">
        <w:rPr>
          <w:lang w:val="sv-SE"/>
        </w:rPr>
        <w:t xml:space="preserve"> </w:t>
      </w:r>
    </w:p>
    <w:p w14:paraId="598CBDDB" w14:textId="70A57DC5" w:rsidR="00FA1246" w:rsidRPr="000B74B2" w:rsidRDefault="000B74B2" w:rsidP="00FA1246">
      <w:pPr>
        <w:rPr>
          <w:lang w:val="sv-SE"/>
        </w:rPr>
      </w:pPr>
      <w:r w:rsidRPr="00A634AE">
        <w:rPr>
          <w:rFonts w:cs="Arial"/>
          <w:lang w:val="es-ES_tradnl"/>
        </w:rPr>
        <w:t xml:space="preserve">Las recetas para suministro de 60 días se introdujeron paulatinamente en tres etapas a lo largo de 12 meses. La primera etapa </w:t>
      </w:r>
      <w:r>
        <w:rPr>
          <w:rFonts w:cs="Arial"/>
          <w:lang w:val="es-ES_tradnl"/>
        </w:rPr>
        <w:t>comenzó</w:t>
      </w:r>
      <w:r w:rsidRPr="00A634AE">
        <w:rPr>
          <w:rFonts w:cs="Arial"/>
          <w:lang w:val="es-ES_tradnl"/>
        </w:rPr>
        <w:t xml:space="preserve"> el 1</w:t>
      </w:r>
      <w:r>
        <w:rPr>
          <w:rFonts w:cs="Arial"/>
          <w:lang w:val="es-ES_tradnl"/>
        </w:rPr>
        <w:t>º</w:t>
      </w:r>
      <w:r w:rsidRPr="00A634AE">
        <w:rPr>
          <w:rFonts w:cs="Arial"/>
          <w:lang w:val="es-ES_tradnl"/>
        </w:rPr>
        <w:t xml:space="preserve"> de septiembre de 2023</w:t>
      </w:r>
      <w:r w:rsidR="00B948D8">
        <w:rPr>
          <w:rFonts w:cs="Arial"/>
          <w:lang w:val="es-ES_tradnl"/>
        </w:rPr>
        <w:t>,</w:t>
      </w:r>
      <w:r>
        <w:rPr>
          <w:rFonts w:cs="Arial"/>
          <w:lang w:val="es-ES_tradnl"/>
        </w:rPr>
        <w:t xml:space="preserve"> l</w:t>
      </w:r>
      <w:r w:rsidRPr="00A634AE">
        <w:rPr>
          <w:rFonts w:cs="Arial"/>
          <w:lang w:val="es-ES_tradnl"/>
        </w:rPr>
        <w:t>a segunda etapa el 1</w:t>
      </w:r>
      <w:r>
        <w:rPr>
          <w:rFonts w:cs="Arial"/>
          <w:lang w:val="es-ES_tradnl"/>
        </w:rPr>
        <w:t>º</w:t>
      </w:r>
      <w:r w:rsidRPr="00A634AE">
        <w:rPr>
          <w:rFonts w:cs="Arial"/>
          <w:lang w:val="es-ES_tradnl"/>
        </w:rPr>
        <w:t xml:space="preserve"> de marzo de 2024 y la tercera está disponible desde el 1</w:t>
      </w:r>
      <w:r>
        <w:rPr>
          <w:rFonts w:cs="Arial"/>
          <w:lang w:val="es-ES_tradnl"/>
        </w:rPr>
        <w:t>º</w:t>
      </w:r>
      <w:r w:rsidRPr="00A634AE">
        <w:rPr>
          <w:rFonts w:cs="Arial"/>
          <w:lang w:val="es-ES_tradnl"/>
        </w:rPr>
        <w:t xml:space="preserve"> de septiembre de 2024</w:t>
      </w:r>
      <w:r w:rsidR="00FA1246" w:rsidRPr="000B74B2">
        <w:rPr>
          <w:lang w:val="sv-SE"/>
        </w:rPr>
        <w:t>.</w:t>
      </w:r>
    </w:p>
    <w:p w14:paraId="2C21A5F5" w14:textId="445240C0" w:rsidR="00FA1246" w:rsidRPr="00FA1246" w:rsidRDefault="000B74B2" w:rsidP="00FA1246">
      <w:pPr>
        <w:pStyle w:val="Heading1"/>
      </w:pPr>
      <w:r w:rsidRPr="00123A8E">
        <w:rPr>
          <w:rFonts w:cs="Arial"/>
          <w:bCs/>
          <w:lang w:val="es-ES_tradnl"/>
        </w:rPr>
        <w:lastRenderedPageBreak/>
        <w:t>¿Cómo consigo una receta para 60 días?</w:t>
      </w:r>
      <w:r>
        <w:t xml:space="preserve"> </w:t>
      </w:r>
    </w:p>
    <w:p w14:paraId="21E884B1" w14:textId="77E5BA1F" w:rsidR="00FA1246" w:rsidRDefault="00702666" w:rsidP="00FA1246">
      <w:r w:rsidRPr="00A634AE">
        <w:rPr>
          <w:rFonts w:cs="Arial"/>
          <w:lang w:val="es-ES_tradnl"/>
        </w:rPr>
        <w:t>Si su medicamento aparece en la lista de recetas para 60 días de suministro, puede preguntarle a su médico o profesional sanitario si esta opción es adecuada para usted. Dicho profesional decidirá, s</w:t>
      </w:r>
      <w:r>
        <w:rPr>
          <w:rFonts w:cs="Arial"/>
          <w:lang w:val="es-ES_tradnl"/>
        </w:rPr>
        <w:t xml:space="preserve">egún </w:t>
      </w:r>
      <w:r w:rsidRPr="00A634AE">
        <w:rPr>
          <w:rFonts w:cs="Arial"/>
          <w:lang w:val="es-ES_tradnl"/>
        </w:rPr>
        <w:t>su criterio clínico, si su dolencia continua está estable y si es adecuada para una nueva receta de m</w:t>
      </w:r>
      <w:r>
        <w:rPr>
          <w:rFonts w:cs="Arial"/>
          <w:lang w:val="es-ES_tradnl"/>
        </w:rPr>
        <w:t>ayor</w:t>
      </w:r>
      <w:r w:rsidRPr="00A634AE">
        <w:rPr>
          <w:rFonts w:cs="Arial"/>
          <w:lang w:val="es-ES_tradnl"/>
        </w:rPr>
        <w:t xml:space="preserve"> duración, de 60 días. Usted puede seguir usando sus recetas existentes para 30 días, como es habitual</w:t>
      </w:r>
      <w:r w:rsidR="00FA1246">
        <w:t>.</w:t>
      </w:r>
    </w:p>
    <w:p w14:paraId="70374839" w14:textId="4C24BDF7" w:rsidR="00FA1246" w:rsidRDefault="00702666" w:rsidP="00FA1246">
      <w:pPr>
        <w:pStyle w:val="Heading1"/>
      </w:pPr>
      <w:r w:rsidRPr="00123A8E">
        <w:rPr>
          <w:rFonts w:cs="Arial"/>
          <w:bCs/>
          <w:lang w:val="es-ES_tradnl"/>
        </w:rPr>
        <w:t>¿Necesito una Tarjeta de concesiones para recibir recetas para 60 días?</w:t>
      </w:r>
      <w:r>
        <w:t xml:space="preserve"> </w:t>
      </w:r>
    </w:p>
    <w:p w14:paraId="47846C99" w14:textId="46CA2AD9" w:rsidR="00FA1246" w:rsidRDefault="00702666" w:rsidP="00FA1246">
      <w:r w:rsidRPr="00A634AE">
        <w:rPr>
          <w:rFonts w:cs="Arial"/>
          <w:lang w:val="es-ES_tradnl"/>
        </w:rPr>
        <w:t>No. No es necesario tener una tarjeta de concesiones para acceder a las recetas para 60 días</w:t>
      </w:r>
      <w:r w:rsidR="00FA1246">
        <w:t>.</w:t>
      </w:r>
    </w:p>
    <w:p w14:paraId="6ACD6849" w14:textId="109F9CC7" w:rsidR="00FA1246" w:rsidRPr="00702666" w:rsidRDefault="00702666" w:rsidP="00FA1246">
      <w:pPr>
        <w:pStyle w:val="Heading1"/>
        <w:rPr>
          <w:lang w:val="sv-SE"/>
        </w:rPr>
      </w:pPr>
      <w:r w:rsidRPr="00123A8E">
        <w:rPr>
          <w:rFonts w:cs="Arial"/>
          <w:bCs/>
          <w:lang w:val="es-ES_tradnl"/>
        </w:rPr>
        <w:t>¿Qué ventajas tienen las recetas para 60 días</w:t>
      </w:r>
      <w:r w:rsidR="00FA1246" w:rsidRPr="00702666">
        <w:rPr>
          <w:lang w:val="sv-SE"/>
        </w:rPr>
        <w:t>?</w:t>
      </w:r>
    </w:p>
    <w:p w14:paraId="6526B8B9" w14:textId="1101DC96" w:rsidR="00FA1246" w:rsidRDefault="00702666" w:rsidP="00FA1246">
      <w:pPr>
        <w:pStyle w:val="Bullet1"/>
      </w:pPr>
      <w:r w:rsidRPr="00A634AE">
        <w:rPr>
          <w:rFonts w:cs="Arial"/>
          <w:lang w:val="es-ES_tradnl"/>
        </w:rPr>
        <w:t>Si su medicamento está en la lista y su médico o profesional sanitario consideran que usted reúne las condiciones, podrá recibir el doble de medicamentos en una sola receta</w:t>
      </w:r>
      <w:r w:rsidR="00FA1246">
        <w:t>.</w:t>
      </w:r>
    </w:p>
    <w:p w14:paraId="3E470FEF" w14:textId="10B1823F" w:rsidR="00FA1246" w:rsidRDefault="00702666" w:rsidP="00FA1246">
      <w:pPr>
        <w:pStyle w:val="Bullet1"/>
      </w:pPr>
      <w:r w:rsidRPr="00A634AE">
        <w:rPr>
          <w:rFonts w:cs="Arial"/>
          <w:lang w:val="es-ES_tradnl"/>
        </w:rPr>
        <w:t>Los pacientes que pagan el pago compartido general de $31,60 podrían ahorrar hasta $189,60 por medicamento cada año. Si alcanzan la Red de seguridad del PBS</w:t>
      </w:r>
      <w:r>
        <w:rPr>
          <w:rFonts w:cs="Arial"/>
          <w:lang w:val="es-ES_tradnl"/>
        </w:rPr>
        <w:t xml:space="preserve"> (PBS Safety Net)</w:t>
      </w:r>
      <w:r w:rsidRPr="00A634AE">
        <w:rPr>
          <w:rFonts w:cs="Arial"/>
          <w:lang w:val="es-ES_tradnl"/>
        </w:rPr>
        <w:t>, ahorrarán aún más</w:t>
      </w:r>
      <w:r w:rsidR="00FA1246">
        <w:t>.</w:t>
      </w:r>
    </w:p>
    <w:p w14:paraId="473B224F" w14:textId="42579AED" w:rsidR="00FA1246" w:rsidRDefault="00702666" w:rsidP="00FA1246">
      <w:pPr>
        <w:pStyle w:val="Bullet1"/>
      </w:pPr>
      <w:r w:rsidRPr="00A634AE">
        <w:rPr>
          <w:rFonts w:cs="Arial"/>
          <w:lang w:val="es-ES_tradnl"/>
        </w:rPr>
        <w:t>Las personas cuyos medicamentos PBS cuestan menos de $31,60 igualmente ahorrarán dinero. El monto que paguen por su receta dependerá de dónde se dispensa la receta y de si optan por un medicamento de marca o la opción genérica</w:t>
      </w:r>
      <w:r w:rsidR="00FA1246">
        <w:t>.</w:t>
      </w:r>
    </w:p>
    <w:p w14:paraId="42A00C69" w14:textId="7F01E7EF" w:rsidR="00FA1246" w:rsidRPr="00702666" w:rsidRDefault="00702666" w:rsidP="00FA1246">
      <w:pPr>
        <w:pStyle w:val="Bullet1"/>
        <w:rPr>
          <w:lang w:val="sv-SE"/>
        </w:rPr>
      </w:pPr>
      <w:r w:rsidRPr="00A634AE">
        <w:rPr>
          <w:rFonts w:cs="Arial"/>
          <w:lang w:val="es-ES_tradnl"/>
        </w:rPr>
        <w:t>Los titulares de la tarjeta de concesiones que no alcancen la Red de seguridad del PBS podrían ahorrar hasta $46,20 por medicamento cada año</w:t>
      </w:r>
      <w:r w:rsidR="00FA1246" w:rsidRPr="00702666">
        <w:rPr>
          <w:lang w:val="sv-SE"/>
        </w:rPr>
        <w:t>.</w:t>
      </w:r>
    </w:p>
    <w:p w14:paraId="1108FE93" w14:textId="2F034E4E" w:rsidR="00FA1246" w:rsidRPr="00702666" w:rsidRDefault="00702666" w:rsidP="00FA1246">
      <w:pPr>
        <w:pStyle w:val="Bullet1"/>
        <w:rPr>
          <w:lang w:val="es-ES_tradnl"/>
        </w:rPr>
      </w:pPr>
      <w:r w:rsidRPr="00A634AE">
        <w:rPr>
          <w:rFonts w:cs="Arial"/>
          <w:lang w:val="es-ES_tradnl"/>
        </w:rPr>
        <w:t>L</w:t>
      </w:r>
      <w:r>
        <w:rPr>
          <w:rFonts w:cs="Arial"/>
          <w:lang w:val="es-ES_tradnl"/>
        </w:rPr>
        <w:t xml:space="preserve">os pacientes con </w:t>
      </w:r>
      <w:r w:rsidRPr="00A634AE">
        <w:rPr>
          <w:rFonts w:cs="Arial"/>
          <w:lang w:val="es-ES_tradnl"/>
        </w:rPr>
        <w:t xml:space="preserve">receta para 60 días </w:t>
      </w:r>
      <w:r>
        <w:rPr>
          <w:rFonts w:cs="Arial"/>
          <w:lang w:val="es-ES_tradnl"/>
        </w:rPr>
        <w:t xml:space="preserve">podrán </w:t>
      </w:r>
      <w:r w:rsidRPr="00A634AE">
        <w:rPr>
          <w:rFonts w:cs="Arial"/>
          <w:lang w:val="es-ES_tradnl"/>
        </w:rPr>
        <w:t xml:space="preserve">ahorrar tanto dinero en medicamentos </w:t>
      </w:r>
      <w:r>
        <w:rPr>
          <w:rFonts w:cs="Arial"/>
          <w:lang w:val="es-ES_tradnl"/>
        </w:rPr>
        <w:t xml:space="preserve">que no necesitarán </w:t>
      </w:r>
      <w:r w:rsidRPr="00A634AE">
        <w:rPr>
          <w:rFonts w:cs="Arial"/>
          <w:lang w:val="es-ES_tradnl"/>
        </w:rPr>
        <w:t xml:space="preserve">la Red de seguridad. Otras personas llegarán a la Red de seguridad más tarde en el año, es decir que el costo de sus medicamentos se distribuirá en un período más largo. </w:t>
      </w:r>
      <w:r>
        <w:rPr>
          <w:rFonts w:cs="Arial"/>
          <w:lang w:val="es-ES_tradnl"/>
        </w:rPr>
        <w:t>Esto implica que s</w:t>
      </w:r>
      <w:r w:rsidRPr="00A634AE">
        <w:rPr>
          <w:rFonts w:cs="Arial"/>
          <w:lang w:val="es-ES_tradnl"/>
        </w:rPr>
        <w:t>i los pacientes alcanzan el umbral de la Red más tarde en el año</w:t>
      </w:r>
      <w:r>
        <w:rPr>
          <w:rFonts w:cs="Arial"/>
          <w:lang w:val="es-ES_tradnl"/>
        </w:rPr>
        <w:t xml:space="preserve"> </w:t>
      </w:r>
      <w:r w:rsidRPr="00A634AE">
        <w:rPr>
          <w:rFonts w:cs="Arial"/>
          <w:lang w:val="es-ES_tradnl"/>
        </w:rPr>
        <w:t>habrán ahorrado dinero durante todo el año</w:t>
      </w:r>
      <w:r w:rsidR="00FA1246" w:rsidRPr="00702666">
        <w:rPr>
          <w:lang w:val="es-ES_tradnl"/>
        </w:rPr>
        <w:t xml:space="preserve">. </w:t>
      </w:r>
    </w:p>
    <w:p w14:paraId="211B0C7F" w14:textId="2567AEC2" w:rsidR="00FA1246" w:rsidRPr="00702666" w:rsidRDefault="00702666" w:rsidP="00FA1246">
      <w:pPr>
        <w:pStyle w:val="Bullet1"/>
        <w:rPr>
          <w:lang w:val="es-ES_tradnl"/>
        </w:rPr>
      </w:pPr>
      <w:r w:rsidRPr="00A634AE">
        <w:rPr>
          <w:rFonts w:cs="Arial"/>
          <w:lang w:val="es-ES_tradnl"/>
        </w:rPr>
        <w:t xml:space="preserve">Además del beneficio financiero, los cambios pueden ahorrar tiempo y reducir los costos de viaje de las personas que viven en zonas rurales y remotas, lejos de </w:t>
      </w:r>
      <w:r>
        <w:rPr>
          <w:rFonts w:cs="Arial"/>
          <w:lang w:val="es-ES_tradnl"/>
        </w:rPr>
        <w:t>una</w:t>
      </w:r>
      <w:r w:rsidRPr="00A634AE">
        <w:rPr>
          <w:rFonts w:cs="Arial"/>
          <w:lang w:val="es-ES_tradnl"/>
        </w:rPr>
        <w:t xml:space="preserve"> farmacia</w:t>
      </w:r>
      <w:r w:rsidR="00FA1246" w:rsidRPr="00702666">
        <w:rPr>
          <w:lang w:val="es-ES_tradnl"/>
        </w:rPr>
        <w:t>.</w:t>
      </w:r>
    </w:p>
    <w:p w14:paraId="25BB155E" w14:textId="6C884BCE" w:rsidR="00FA1246" w:rsidRPr="00702666" w:rsidRDefault="00702666" w:rsidP="00FA1246">
      <w:pPr>
        <w:pStyle w:val="Bullet1"/>
        <w:rPr>
          <w:lang w:val="es-ES_tradnl"/>
        </w:rPr>
      </w:pPr>
      <w:r w:rsidRPr="00A634AE">
        <w:rPr>
          <w:rFonts w:cs="Arial"/>
          <w:lang w:val="es-ES_tradnl"/>
        </w:rPr>
        <w:t>Algunos de los medicamentos disponibles por receta para 60 días aparecen en la lista del PBS de medicamentos que se pueden recetar con cinco repeticiones</w:t>
      </w:r>
      <w:r>
        <w:rPr>
          <w:rFonts w:cs="Arial"/>
          <w:lang w:val="es-ES_tradnl"/>
        </w:rPr>
        <w:t xml:space="preserve"> en una sola receta</w:t>
      </w:r>
      <w:r w:rsidRPr="00A634AE">
        <w:rPr>
          <w:rFonts w:cs="Arial"/>
          <w:lang w:val="es-ES_tradnl"/>
        </w:rPr>
        <w:t xml:space="preserve">, lo que </w:t>
      </w:r>
      <w:r>
        <w:rPr>
          <w:rFonts w:cs="Arial"/>
          <w:lang w:val="es-ES_tradnl"/>
        </w:rPr>
        <w:t xml:space="preserve">puede </w:t>
      </w:r>
      <w:r w:rsidRPr="00A634AE">
        <w:rPr>
          <w:rFonts w:cs="Arial"/>
          <w:lang w:val="es-ES_tradnl"/>
        </w:rPr>
        <w:t>ofrece</w:t>
      </w:r>
      <w:r>
        <w:rPr>
          <w:rFonts w:cs="Arial"/>
          <w:lang w:val="es-ES_tradnl"/>
        </w:rPr>
        <w:t>r</w:t>
      </w:r>
      <w:r w:rsidRPr="00A634AE">
        <w:rPr>
          <w:rFonts w:cs="Arial"/>
          <w:lang w:val="es-ES_tradnl"/>
        </w:rPr>
        <w:t xml:space="preserve"> un suministro del medicamento para un máximo de 12 meses</w:t>
      </w:r>
      <w:r w:rsidR="00FA1246" w:rsidRPr="00702666">
        <w:rPr>
          <w:lang w:val="es-ES_tradnl"/>
        </w:rPr>
        <w:t>.</w:t>
      </w:r>
    </w:p>
    <w:p w14:paraId="152F7797" w14:textId="3D4C5C79" w:rsidR="00FA1246" w:rsidRPr="00702666" w:rsidRDefault="00702666" w:rsidP="00FA1246">
      <w:pPr>
        <w:pStyle w:val="Bullet1"/>
        <w:rPr>
          <w:lang w:val="es-ES_tradnl"/>
        </w:rPr>
      </w:pPr>
      <w:r w:rsidRPr="00A634AE">
        <w:rPr>
          <w:rFonts w:cs="Arial"/>
          <w:lang w:val="es-ES_tradnl"/>
        </w:rPr>
        <w:lastRenderedPageBreak/>
        <w:t>Se espera que al tener más medicamentos a mano las personas tom</w:t>
      </w:r>
      <w:r>
        <w:rPr>
          <w:rFonts w:cs="Arial"/>
          <w:lang w:val="es-ES_tradnl"/>
        </w:rPr>
        <w:t>e</w:t>
      </w:r>
      <w:r w:rsidRPr="00A634AE">
        <w:rPr>
          <w:rFonts w:cs="Arial"/>
          <w:lang w:val="es-ES_tradnl"/>
        </w:rPr>
        <w:t>n sus medicamentos según lo recetado, y que ha</w:t>
      </w:r>
      <w:r>
        <w:rPr>
          <w:rFonts w:cs="Arial"/>
          <w:lang w:val="es-ES_tradnl"/>
        </w:rPr>
        <w:t xml:space="preserve">ya menos </w:t>
      </w:r>
      <w:r w:rsidRPr="00A634AE">
        <w:rPr>
          <w:rFonts w:cs="Arial"/>
          <w:lang w:val="es-ES_tradnl"/>
        </w:rPr>
        <w:t>probabilidades de quedarse sin medicamentos en casa o cuando estén de viaje</w:t>
      </w:r>
      <w:r w:rsidR="00FA1246" w:rsidRPr="00702666">
        <w:rPr>
          <w:lang w:val="es-ES_tradnl"/>
        </w:rPr>
        <w:t>.</w:t>
      </w:r>
    </w:p>
    <w:p w14:paraId="590B976C" w14:textId="66AA9B1F" w:rsidR="00FA1246" w:rsidRPr="00702666" w:rsidRDefault="00702666" w:rsidP="00FA1246">
      <w:pPr>
        <w:pStyle w:val="Heading1"/>
        <w:rPr>
          <w:lang w:val="es-ES_tradnl"/>
        </w:rPr>
      </w:pPr>
      <w:r w:rsidRPr="000E72D9">
        <w:rPr>
          <w:rFonts w:cs="Arial"/>
          <w:bCs/>
          <w:lang w:val="es-ES_tradnl"/>
        </w:rPr>
        <w:t>¿Qué medicamentos son adecuados para las recetas de 60 días?</w:t>
      </w:r>
    </w:p>
    <w:p w14:paraId="2CBCF396" w14:textId="5F51F9D9" w:rsidR="00FA1246" w:rsidRPr="00702666" w:rsidRDefault="00702666" w:rsidP="00FA1246">
      <w:pPr>
        <w:rPr>
          <w:lang w:val="es-ES_tradnl"/>
        </w:rPr>
      </w:pPr>
      <w:r w:rsidRPr="00A634AE">
        <w:rPr>
          <w:rFonts w:cs="Arial"/>
          <w:lang w:val="es-ES_tradnl"/>
        </w:rPr>
        <w:t>La list</w:t>
      </w:r>
      <w:r>
        <w:rPr>
          <w:rFonts w:cs="Arial"/>
          <w:lang w:val="es-ES_tradnl"/>
        </w:rPr>
        <w:t>a</w:t>
      </w:r>
      <w:r w:rsidRPr="00A634AE">
        <w:rPr>
          <w:rFonts w:cs="Arial"/>
          <w:lang w:val="es-ES_tradnl"/>
        </w:rPr>
        <w:t xml:space="preserve"> de medicamentos adecuados para las recetas de 60 días </w:t>
      </w:r>
      <w:r>
        <w:rPr>
          <w:rFonts w:cs="Arial"/>
          <w:lang w:val="es-ES_tradnl"/>
        </w:rPr>
        <w:t>se ha confeccionado por</w:t>
      </w:r>
      <w:r w:rsidRPr="00A634AE">
        <w:rPr>
          <w:rFonts w:cs="Arial"/>
          <w:lang w:val="es-ES_tradnl"/>
        </w:rPr>
        <w:t xml:space="preserve"> recomendación del Comité asesor de beneficios farmacéuticos (</w:t>
      </w:r>
      <w:proofErr w:type="spellStart"/>
      <w:r w:rsidRPr="00A634AE">
        <w:rPr>
          <w:rFonts w:cs="Arial"/>
          <w:lang w:val="es-ES_tradnl"/>
        </w:rPr>
        <w:t>Pharmaceutical</w:t>
      </w:r>
      <w:proofErr w:type="spellEnd"/>
      <w:r w:rsidRPr="00A634AE">
        <w:rPr>
          <w:rFonts w:cs="Arial"/>
          <w:lang w:val="es-ES_tradnl"/>
        </w:rPr>
        <w:t xml:space="preserve"> </w:t>
      </w:r>
      <w:proofErr w:type="spellStart"/>
      <w:r w:rsidRPr="00A634AE">
        <w:rPr>
          <w:rFonts w:cs="Arial"/>
          <w:lang w:val="es-ES_tradnl"/>
        </w:rPr>
        <w:t>Benefits</w:t>
      </w:r>
      <w:proofErr w:type="spellEnd"/>
      <w:r w:rsidRPr="00A634AE">
        <w:rPr>
          <w:rFonts w:cs="Arial"/>
          <w:lang w:val="es-ES_tradnl"/>
        </w:rPr>
        <w:t xml:space="preserve"> Advisory </w:t>
      </w:r>
      <w:proofErr w:type="spellStart"/>
      <w:r w:rsidRPr="00A634AE">
        <w:rPr>
          <w:rFonts w:cs="Arial"/>
          <w:lang w:val="es-ES_tradnl"/>
        </w:rPr>
        <w:t>Committee</w:t>
      </w:r>
      <w:proofErr w:type="spellEnd"/>
      <w:r w:rsidRPr="00A634AE">
        <w:rPr>
          <w:rFonts w:cs="Arial"/>
          <w:lang w:val="es-ES_tradnl"/>
        </w:rPr>
        <w:t>, PBAC), que a</w:t>
      </w:r>
      <w:r>
        <w:rPr>
          <w:rFonts w:cs="Arial"/>
          <w:lang w:val="es-ES_tradnl"/>
        </w:rPr>
        <w:t xml:space="preserve">conseja </w:t>
      </w:r>
      <w:r w:rsidRPr="00A634AE">
        <w:rPr>
          <w:rFonts w:cs="Arial"/>
          <w:lang w:val="es-ES_tradnl"/>
        </w:rPr>
        <w:t xml:space="preserve">al Gobierno de Australia sobre el listado de medicamentos del </w:t>
      </w:r>
      <w:r w:rsidR="00FA1246" w:rsidRPr="00702666">
        <w:rPr>
          <w:lang w:val="es-ES_tradnl"/>
        </w:rPr>
        <w:t xml:space="preserve">PBS. </w:t>
      </w:r>
    </w:p>
    <w:p w14:paraId="67D983CD" w14:textId="7E1A2E09" w:rsidR="00FA1246" w:rsidRPr="00702666" w:rsidRDefault="00702666" w:rsidP="00FA1246">
      <w:pPr>
        <w:rPr>
          <w:lang w:val="es-ES_tradnl"/>
        </w:rPr>
      </w:pPr>
      <w:r w:rsidRPr="00A634AE">
        <w:rPr>
          <w:rFonts w:cs="Arial"/>
          <w:lang w:val="es-ES_tradnl"/>
        </w:rPr>
        <w:t xml:space="preserve">Estos incluyen medicamentos para una diversidad de dolencias crónicas, como asma, trastornos de ansiedad, enfermedad cardiovascular, obstrucción crónica pulmonar, </w:t>
      </w:r>
      <w:r>
        <w:rPr>
          <w:rFonts w:cs="Arial"/>
          <w:lang w:val="es-ES_tradnl"/>
        </w:rPr>
        <w:t>estreñimiento</w:t>
      </w:r>
      <w:r w:rsidRPr="00A634AE">
        <w:rPr>
          <w:rFonts w:cs="Arial"/>
          <w:lang w:val="es-ES_tradnl"/>
        </w:rPr>
        <w:t xml:space="preserve">, insuficiencia renal crónica, enfermedad de Crohn, depresión, diabetes, epilepsia, gotas para los ojos para tratar el glaucoma y </w:t>
      </w:r>
      <w:r>
        <w:rPr>
          <w:rFonts w:cs="Arial"/>
          <w:lang w:val="es-ES_tradnl"/>
        </w:rPr>
        <w:t xml:space="preserve">los </w:t>
      </w:r>
      <w:r w:rsidRPr="00A634AE">
        <w:rPr>
          <w:rFonts w:cs="Arial"/>
          <w:lang w:val="es-ES_tradnl"/>
        </w:rPr>
        <w:t>ojos secos, gota, insuficiencia cardíaca, colesterol alto, terapia de remplazo y modulación hormonal, hipertensión, osteoporosis, enfermedad de Parkinson y colitis ulcerativa</w:t>
      </w:r>
      <w:r w:rsidR="00FA1246" w:rsidRPr="00702666">
        <w:rPr>
          <w:lang w:val="es-ES_tradnl"/>
        </w:rPr>
        <w:t>.</w:t>
      </w:r>
    </w:p>
    <w:p w14:paraId="1EA24629" w14:textId="041E82F5" w:rsidR="00FA1246" w:rsidRPr="00702666" w:rsidRDefault="00702666" w:rsidP="00FA1246">
      <w:pPr>
        <w:rPr>
          <w:lang w:val="es-ES_tradnl"/>
        </w:rPr>
      </w:pPr>
      <w:r w:rsidRPr="00A634AE">
        <w:rPr>
          <w:rFonts w:cs="Arial"/>
          <w:lang w:val="es-ES_tradnl"/>
        </w:rPr>
        <w:t xml:space="preserve">Para descargar </w:t>
      </w:r>
      <w:r>
        <w:rPr>
          <w:rFonts w:cs="Arial"/>
          <w:lang w:val="es-ES_tradnl"/>
        </w:rPr>
        <w:t>el</w:t>
      </w:r>
      <w:r w:rsidRPr="00A634AE">
        <w:rPr>
          <w:rFonts w:cs="Arial"/>
          <w:lang w:val="es-ES_tradnl"/>
        </w:rPr>
        <w:t xml:space="preserve"> documento que contiene la lista de medicamentos haga clic </w:t>
      </w:r>
      <w:r w:rsidRPr="00702666">
        <w:rPr>
          <w:rFonts w:cs="Arial"/>
          <w:lang w:val="es-ES_tradnl"/>
        </w:rPr>
        <w:t>aquí</w:t>
      </w:r>
      <w:r w:rsidR="00FA1246" w:rsidRPr="00702666">
        <w:rPr>
          <w:lang w:val="es-ES_tradnl"/>
        </w:rPr>
        <w:t xml:space="preserve"> (https://www.pbs.gov.au/industry/listing/elements/pbac-meetings/pbac-outcomes/2022-12/Increased-Dispensing-Quantities-List-of-Medicines.pdf).</w:t>
      </w:r>
    </w:p>
    <w:p w14:paraId="526A61F1" w14:textId="51C07F22" w:rsidR="00FA1246" w:rsidRPr="00702666" w:rsidRDefault="00702666" w:rsidP="00FA1246">
      <w:pPr>
        <w:pStyle w:val="Heading1"/>
        <w:rPr>
          <w:lang w:val="es-ES_tradnl"/>
        </w:rPr>
      </w:pPr>
      <w:r w:rsidRPr="000E72D9">
        <w:rPr>
          <w:rFonts w:cs="Arial"/>
          <w:bCs/>
          <w:lang w:val="es-ES_tradnl"/>
        </w:rPr>
        <w:t>¿Por qué hay algunos medicamentos que no se incluyen?</w:t>
      </w:r>
    </w:p>
    <w:p w14:paraId="563C4C97" w14:textId="7DC52E70" w:rsidR="00FA1246" w:rsidRDefault="00702666" w:rsidP="00FA1246">
      <w:r w:rsidRPr="00A634AE">
        <w:rPr>
          <w:rFonts w:cs="Arial"/>
          <w:lang w:val="es-ES_tradnl"/>
        </w:rPr>
        <w:t>Algunos medicamentos no se consideran adecuados para las recetas de 60 días si</w:t>
      </w:r>
      <w:r w:rsidR="00FA1246">
        <w:t>:</w:t>
      </w:r>
    </w:p>
    <w:p w14:paraId="6253283A" w14:textId="7BF1DADD" w:rsidR="00FA1246" w:rsidRPr="00FA1246" w:rsidRDefault="00702666" w:rsidP="00FA1246">
      <w:pPr>
        <w:pStyle w:val="Bullet1"/>
      </w:pPr>
      <w:r>
        <w:rPr>
          <w:rFonts w:cs="Arial"/>
          <w:lang w:val="es-ES_tradnl"/>
        </w:rPr>
        <w:t xml:space="preserve">una </w:t>
      </w:r>
      <w:r w:rsidRPr="000E72D9">
        <w:rPr>
          <w:rFonts w:cs="Arial"/>
          <w:lang w:val="es-ES_tradnl"/>
        </w:rPr>
        <w:t>cantidad mayo</w:t>
      </w:r>
      <w:r>
        <w:rPr>
          <w:rFonts w:cs="Arial"/>
          <w:lang w:val="es-ES_tradnl"/>
        </w:rPr>
        <w:t>r</w:t>
      </w:r>
      <w:r w:rsidRPr="000E72D9">
        <w:rPr>
          <w:rFonts w:cs="Arial"/>
          <w:lang w:val="es-ES_tradnl"/>
        </w:rPr>
        <w:t xml:space="preserve"> del medicamento puede representar un riesgo de seguridad para los pacientes y la comunidad, o si el medicamento es nuevo y es posible que no se conozcan bien los efectos secundarios raros</w:t>
      </w:r>
      <w:r w:rsidR="00FA1246" w:rsidRPr="00FA1246">
        <w:t xml:space="preserve"> </w:t>
      </w:r>
    </w:p>
    <w:p w14:paraId="2B3B1E13" w14:textId="6FD25A3D" w:rsidR="00FA1246" w:rsidRPr="00FA1246" w:rsidRDefault="00E34EFB" w:rsidP="00FA1246">
      <w:pPr>
        <w:pStyle w:val="Bullet1"/>
      </w:pPr>
      <w:r w:rsidRPr="000E72D9">
        <w:rPr>
          <w:rFonts w:cs="Arial"/>
          <w:lang w:val="es-ES_tradnl"/>
        </w:rPr>
        <w:t xml:space="preserve">los pacientes que están tomando determinados medicamentos requieren un seguimiento periódico, por </w:t>
      </w:r>
      <w:proofErr w:type="gramStart"/>
      <w:r w:rsidRPr="000E72D9">
        <w:rPr>
          <w:rFonts w:cs="Arial"/>
          <w:lang w:val="es-ES_tradnl"/>
        </w:rPr>
        <w:t>ejemplo</w:t>
      </w:r>
      <w:proofErr w:type="gramEnd"/>
      <w:r w:rsidRPr="000E72D9">
        <w:rPr>
          <w:rFonts w:cs="Arial"/>
          <w:lang w:val="es-ES_tradnl"/>
        </w:rPr>
        <w:t xml:space="preserve"> análisis de sangre, o si la dosis del medicamento puede requerir ajuste frecuente, o si los síntomas son imprevisibles</w:t>
      </w:r>
      <w:r>
        <w:t xml:space="preserve"> </w:t>
      </w:r>
    </w:p>
    <w:p w14:paraId="15FD930D" w14:textId="1C62D22B" w:rsidR="00FA1246" w:rsidRPr="00FA1246" w:rsidRDefault="00E34EFB" w:rsidP="00FA1246">
      <w:pPr>
        <w:pStyle w:val="Bullet1"/>
      </w:pPr>
      <w:r w:rsidRPr="000E72D9">
        <w:rPr>
          <w:rFonts w:cs="Arial"/>
          <w:lang w:val="es-ES_tradnl"/>
        </w:rPr>
        <w:t>el medicamento se receta para el tratamiento breve de los síntomas de una enfermedad crónica</w:t>
      </w:r>
      <w:r w:rsidR="00FA1246" w:rsidRPr="00FA1246">
        <w:t>.</w:t>
      </w:r>
    </w:p>
    <w:p w14:paraId="3BFF0C86" w14:textId="61751E90" w:rsidR="00FA1246" w:rsidRDefault="00E34EFB" w:rsidP="00FA1246">
      <w:r w:rsidRPr="00A634AE">
        <w:rPr>
          <w:rFonts w:cs="Arial"/>
          <w:lang w:val="es-ES_tradnl"/>
        </w:rPr>
        <w:t>Su médico o profesional sanitario decidirá, según su criterio profesional, si le conviene más a usted una receta de 60 días o de 30 días</w:t>
      </w:r>
      <w:r w:rsidR="00FA1246">
        <w:t xml:space="preserve">. </w:t>
      </w:r>
    </w:p>
    <w:p w14:paraId="4290505D" w14:textId="7229EBD9" w:rsidR="00FA1246" w:rsidRDefault="00E34EFB" w:rsidP="00FA1246">
      <w:pPr>
        <w:pStyle w:val="Heading1"/>
      </w:pPr>
      <w:r w:rsidRPr="000E72D9">
        <w:rPr>
          <w:rFonts w:cs="Arial"/>
          <w:bCs/>
          <w:lang w:val="es-ES_tradnl"/>
        </w:rPr>
        <w:lastRenderedPageBreak/>
        <w:t>¿Afectará este cambio el suministro de los medicamentos</w:t>
      </w:r>
      <w:r w:rsidR="00FA1246">
        <w:t>?</w:t>
      </w:r>
    </w:p>
    <w:p w14:paraId="3567D7E7" w14:textId="30C07FD2" w:rsidR="00FA1246" w:rsidRPr="00E34EFB" w:rsidRDefault="00E34EFB" w:rsidP="00FA1246">
      <w:pPr>
        <w:rPr>
          <w:lang w:val="es-ES_tradnl"/>
        </w:rPr>
      </w:pPr>
      <w:r w:rsidRPr="00A634AE">
        <w:rPr>
          <w:rFonts w:cs="Arial"/>
          <w:lang w:val="es-ES_tradnl"/>
        </w:rPr>
        <w:t xml:space="preserve">No se anticipa que el cambio a las recetas de 60 días pueda aumentar la escasez de medicamentos. Los consumidores seguirán comprando la misma cantidad de medicamentos cada año. Si bien las personas que reúnan las condiciones </w:t>
      </w:r>
      <w:r>
        <w:rPr>
          <w:rFonts w:cs="Arial"/>
          <w:lang w:val="es-ES_tradnl"/>
        </w:rPr>
        <w:t xml:space="preserve">ahora </w:t>
      </w:r>
      <w:r w:rsidRPr="00A634AE">
        <w:rPr>
          <w:rFonts w:cs="Arial"/>
          <w:lang w:val="es-ES_tradnl"/>
        </w:rPr>
        <w:t>podrán obtener el doble de medicamentos con una sola receta, dichos medicamentos les durarán más tiempo. Esto significa que la demanda general de medicamentos se mantendrá igual</w:t>
      </w:r>
      <w:r w:rsidR="00FA1246" w:rsidRPr="00E34EFB">
        <w:rPr>
          <w:lang w:val="es-ES_tradnl"/>
        </w:rPr>
        <w:t>.</w:t>
      </w:r>
    </w:p>
    <w:p w14:paraId="6BD283C5" w14:textId="544E5282" w:rsidR="00FA1246" w:rsidRPr="00E34EFB" w:rsidRDefault="00E34EFB" w:rsidP="00FA1246">
      <w:pPr>
        <w:rPr>
          <w:rFonts w:cs="Arial"/>
          <w:lang w:val="es-AR"/>
        </w:rPr>
      </w:pPr>
      <w:r w:rsidRPr="00A634AE">
        <w:rPr>
          <w:rFonts w:cs="Arial"/>
          <w:lang w:val="es-ES_tradnl"/>
        </w:rPr>
        <w:t xml:space="preserve">Casi </w:t>
      </w:r>
      <w:proofErr w:type="gramStart"/>
      <w:r>
        <w:rPr>
          <w:rFonts w:cs="Arial"/>
          <w:lang w:val="es-ES_tradnl"/>
        </w:rPr>
        <w:t>ninguno de</w:t>
      </w:r>
      <w:r w:rsidRPr="00A634AE">
        <w:rPr>
          <w:rFonts w:cs="Arial"/>
          <w:lang w:val="es-ES_tradnl"/>
        </w:rPr>
        <w:t xml:space="preserve"> los medicamentos recomendados por el PBAC para recetas de 60 días escasean</w:t>
      </w:r>
      <w:proofErr w:type="gramEnd"/>
      <w:r w:rsidRPr="00A634AE">
        <w:rPr>
          <w:rFonts w:cs="Arial"/>
          <w:lang w:val="es-ES_tradnl"/>
        </w:rPr>
        <w:t xml:space="preserve"> en Australia. En el caso de que se produzca una escasez, suele haber marcas alternativas y/o el mismo </w:t>
      </w:r>
      <w:proofErr w:type="gramStart"/>
      <w:r w:rsidRPr="00A634AE">
        <w:rPr>
          <w:rFonts w:cs="Arial"/>
          <w:lang w:val="es-ES_tradnl"/>
        </w:rPr>
        <w:t>medicamento</w:t>
      </w:r>
      <w:proofErr w:type="gramEnd"/>
      <w:r w:rsidRPr="00A634AE">
        <w:rPr>
          <w:rFonts w:cs="Arial"/>
          <w:lang w:val="es-ES_tradnl"/>
        </w:rPr>
        <w:t xml:space="preserve"> pero en dosis diferentes. Hemos hecho un seguimiento de la lista de medicamentos recomendados para inclusión en cada etapa para reducir el riesgo de escasez</w:t>
      </w:r>
      <w:r w:rsidR="00FA1246" w:rsidRPr="00E34EFB">
        <w:rPr>
          <w:lang w:val="sv-SE"/>
        </w:rPr>
        <w:t>.</w:t>
      </w:r>
    </w:p>
    <w:p w14:paraId="06160804" w14:textId="23C41FFD" w:rsidR="00FA1246" w:rsidRPr="00E34EFB" w:rsidRDefault="00E34EFB" w:rsidP="00FA1246">
      <w:pPr>
        <w:rPr>
          <w:lang w:val="es-ES_tradnl"/>
        </w:rPr>
      </w:pPr>
      <w:r w:rsidRPr="00A634AE">
        <w:rPr>
          <w:rFonts w:cs="Arial"/>
          <w:lang w:val="es-ES_tradnl"/>
        </w:rPr>
        <w:t>Las compañías farmacéuticas deben informar a la Administración de productos terapéuticos (</w:t>
      </w:r>
      <w:proofErr w:type="spellStart"/>
      <w:r w:rsidRPr="00A634AE">
        <w:rPr>
          <w:rFonts w:cs="Arial"/>
          <w:lang w:val="es-ES_tradnl"/>
        </w:rPr>
        <w:t>Therapeutic</w:t>
      </w:r>
      <w:proofErr w:type="spellEnd"/>
      <w:r w:rsidRPr="00A634AE">
        <w:rPr>
          <w:rFonts w:cs="Arial"/>
          <w:lang w:val="es-ES_tradnl"/>
        </w:rPr>
        <w:t xml:space="preserve"> </w:t>
      </w:r>
      <w:proofErr w:type="spellStart"/>
      <w:r w:rsidRPr="00A634AE">
        <w:rPr>
          <w:rFonts w:cs="Arial"/>
          <w:lang w:val="es-ES_tradnl"/>
        </w:rPr>
        <w:t>Goods</w:t>
      </w:r>
      <w:proofErr w:type="spellEnd"/>
      <w:r w:rsidRPr="00A634AE">
        <w:rPr>
          <w:rFonts w:cs="Arial"/>
          <w:lang w:val="es-ES_tradnl"/>
        </w:rPr>
        <w:t xml:space="preserve"> Administration, TGA) si anticipan una escasez inesperada de algún medicamento. Esto se refiere a todo medicamento cuyo suministro probablemente no satisfaga la demanda habitual o esperada en los seis meses siguientes</w:t>
      </w:r>
      <w:r w:rsidR="00FA1246" w:rsidRPr="00E34EFB">
        <w:rPr>
          <w:lang w:val="es-ES_tradnl"/>
        </w:rPr>
        <w:t xml:space="preserve">. </w:t>
      </w:r>
    </w:p>
    <w:p w14:paraId="163E4710" w14:textId="13059FFB" w:rsidR="00FA1246" w:rsidRDefault="00E34EFB" w:rsidP="00FA1246">
      <w:r w:rsidRPr="00A634AE">
        <w:rPr>
          <w:rFonts w:cs="Arial"/>
          <w:lang w:val="es-ES_tradnl"/>
        </w:rPr>
        <w:t xml:space="preserve">Los cambios a la Garantía de seguridad de suministro de los medicamentos (Medicines </w:t>
      </w:r>
      <w:proofErr w:type="spellStart"/>
      <w:r w:rsidRPr="00A634AE">
        <w:rPr>
          <w:rFonts w:cs="Arial"/>
          <w:lang w:val="es-ES_tradnl"/>
        </w:rPr>
        <w:t>Supply</w:t>
      </w:r>
      <w:proofErr w:type="spellEnd"/>
      <w:r w:rsidRPr="00A634AE">
        <w:rPr>
          <w:rFonts w:cs="Arial"/>
          <w:lang w:val="es-ES_tradnl"/>
        </w:rPr>
        <w:t xml:space="preserve"> Security </w:t>
      </w:r>
      <w:proofErr w:type="spellStart"/>
      <w:r w:rsidRPr="00A634AE">
        <w:rPr>
          <w:rFonts w:cs="Arial"/>
          <w:lang w:val="es-ES_tradnl"/>
        </w:rPr>
        <w:t>Guarantee</w:t>
      </w:r>
      <w:proofErr w:type="spellEnd"/>
      <w:r w:rsidRPr="00A634AE">
        <w:rPr>
          <w:rFonts w:cs="Arial"/>
          <w:lang w:val="es-ES_tradnl"/>
        </w:rPr>
        <w:t>) implican que ahora los fabricantes de medicamentos deben tener más existencias en el país de algunas marcas de medicamentos PBS; esto garantiza que todo aumento temporal en la demanda de dichas marcas se pueda satisfacer</w:t>
      </w:r>
      <w:r w:rsidR="00FA1246">
        <w:t xml:space="preserve">. </w:t>
      </w:r>
    </w:p>
    <w:p w14:paraId="7937BE2B" w14:textId="349E25B9" w:rsidR="00FA1246" w:rsidRPr="00E34EFB" w:rsidRDefault="00E34EFB" w:rsidP="00FA1246">
      <w:pPr>
        <w:rPr>
          <w:lang w:val="es-ES_tradnl"/>
        </w:rPr>
      </w:pPr>
      <w:r>
        <w:rPr>
          <w:rFonts w:cs="Arial"/>
          <w:lang w:val="es-ES_tradnl"/>
        </w:rPr>
        <w:t>S</w:t>
      </w:r>
      <w:r w:rsidRPr="00A634AE">
        <w:rPr>
          <w:rFonts w:cs="Arial"/>
          <w:lang w:val="es-ES_tradnl"/>
        </w:rPr>
        <w:t>i hay una reducción en las existencias de medicamento</w:t>
      </w:r>
      <w:r>
        <w:rPr>
          <w:rFonts w:cs="Arial"/>
          <w:lang w:val="es-ES_tradnl"/>
        </w:rPr>
        <w:t>s</w:t>
      </w:r>
      <w:r w:rsidRPr="00A634AE">
        <w:rPr>
          <w:rFonts w:cs="Arial"/>
          <w:lang w:val="es-ES_tradnl"/>
        </w:rPr>
        <w:t xml:space="preserve"> </w:t>
      </w:r>
      <w:r>
        <w:rPr>
          <w:rFonts w:cs="Arial"/>
          <w:lang w:val="es-ES_tradnl"/>
        </w:rPr>
        <w:t>en las farmacias, l</w:t>
      </w:r>
      <w:r w:rsidRPr="00A634AE">
        <w:rPr>
          <w:rFonts w:cs="Arial"/>
          <w:lang w:val="es-ES_tradnl"/>
        </w:rPr>
        <w:t xml:space="preserve">os fabricantes deben </w:t>
      </w:r>
      <w:r>
        <w:rPr>
          <w:rFonts w:cs="Arial"/>
          <w:lang w:val="es-ES_tradnl"/>
        </w:rPr>
        <w:t xml:space="preserve">suministrarlos dentro </w:t>
      </w:r>
      <w:proofErr w:type="gramStart"/>
      <w:r>
        <w:rPr>
          <w:rFonts w:cs="Arial"/>
          <w:lang w:val="es-ES_tradnl"/>
        </w:rPr>
        <w:t xml:space="preserve">de </w:t>
      </w:r>
      <w:r w:rsidRPr="00A634AE">
        <w:rPr>
          <w:rFonts w:cs="Arial"/>
          <w:lang w:val="es-ES_tradnl"/>
        </w:rPr>
        <w:t xml:space="preserve"> 24</w:t>
      </w:r>
      <w:proofErr w:type="gramEnd"/>
      <w:r w:rsidRPr="00A634AE">
        <w:rPr>
          <w:rFonts w:cs="Arial"/>
          <w:lang w:val="es-ES_tradnl"/>
        </w:rPr>
        <w:t xml:space="preserve"> horas (excluidos los fines de semana o feriados públicos). Esto va para la mayoría de los medicamentos</w:t>
      </w:r>
      <w:r w:rsidR="00FA1246" w:rsidRPr="00E34EFB">
        <w:rPr>
          <w:lang w:val="es-ES_tradnl"/>
        </w:rPr>
        <w:t>.</w:t>
      </w:r>
    </w:p>
    <w:p w14:paraId="6A876696" w14:textId="17180BCC" w:rsidR="00FA1246" w:rsidRPr="00E34EFB" w:rsidRDefault="00E34EFB" w:rsidP="00FA1246">
      <w:pPr>
        <w:pStyle w:val="Heading1"/>
        <w:rPr>
          <w:lang w:val="es-ES_tradnl"/>
        </w:rPr>
      </w:pPr>
      <w:r w:rsidRPr="000E72D9">
        <w:rPr>
          <w:rFonts w:cs="Arial"/>
          <w:bCs/>
          <w:lang w:val="es-ES_tradnl"/>
        </w:rPr>
        <w:t>¿Qué piensan del cambio los pacientes y expertos en salud</w:t>
      </w:r>
      <w:r w:rsidR="00FA1246" w:rsidRPr="00E34EFB">
        <w:rPr>
          <w:lang w:val="es-ES_tradnl"/>
        </w:rPr>
        <w:t>?</w:t>
      </w:r>
    </w:p>
    <w:p w14:paraId="67778924" w14:textId="6BCC7E9E" w:rsidR="00FA1246" w:rsidRPr="00E34EFB" w:rsidRDefault="00E34EFB" w:rsidP="00FA1246">
      <w:pPr>
        <w:rPr>
          <w:lang w:val="es-ES_tradnl"/>
        </w:rPr>
      </w:pPr>
      <w:r w:rsidRPr="00A634AE">
        <w:rPr>
          <w:rFonts w:cs="Arial"/>
          <w:lang w:val="es-ES_tradnl"/>
        </w:rPr>
        <w:t>La introducción de las recetas para suministro de 60 días para una gama de medicamentos PBS ha sido bien recibida por los grupos de pacientes y médicos; esto incluye el Foro de salud de los consumidores de Australia (</w:t>
      </w:r>
      <w:proofErr w:type="spellStart"/>
      <w:r w:rsidRPr="00A634AE">
        <w:rPr>
          <w:rFonts w:cs="Arial"/>
          <w:lang w:val="es-ES_tradnl"/>
        </w:rPr>
        <w:t>Consumers</w:t>
      </w:r>
      <w:proofErr w:type="spellEnd"/>
      <w:r w:rsidRPr="00A634AE">
        <w:rPr>
          <w:rFonts w:cs="Arial"/>
          <w:lang w:val="es-ES_tradnl"/>
        </w:rPr>
        <w:t xml:space="preserve"> Health </w:t>
      </w:r>
      <w:proofErr w:type="spellStart"/>
      <w:r w:rsidRPr="00A634AE">
        <w:rPr>
          <w:rFonts w:cs="Arial"/>
          <w:lang w:val="es-ES_tradnl"/>
        </w:rPr>
        <w:t>Forum</w:t>
      </w:r>
      <w:proofErr w:type="spellEnd"/>
      <w:r w:rsidRPr="00A634AE">
        <w:rPr>
          <w:rFonts w:cs="Arial"/>
          <w:lang w:val="es-ES_tradnl"/>
        </w:rPr>
        <w:t xml:space="preserve"> of Australi</w:t>
      </w:r>
      <w:r w:rsidR="00092C08">
        <w:rPr>
          <w:rFonts w:cs="Arial"/>
          <w:lang w:val="es-ES_tradnl"/>
        </w:rPr>
        <w:t>a</w:t>
      </w:r>
      <w:r w:rsidRPr="00A634AE">
        <w:rPr>
          <w:rFonts w:cs="Arial"/>
          <w:lang w:val="es-ES_tradnl"/>
        </w:rPr>
        <w:t xml:space="preserve">), la Fundación del corazón (Heart </w:t>
      </w:r>
      <w:proofErr w:type="spellStart"/>
      <w:r w:rsidRPr="00A634AE">
        <w:rPr>
          <w:rFonts w:cs="Arial"/>
          <w:lang w:val="es-ES_tradnl"/>
        </w:rPr>
        <w:t>Foundation</w:t>
      </w:r>
      <w:proofErr w:type="spellEnd"/>
      <w:r w:rsidRPr="00A634AE">
        <w:rPr>
          <w:rFonts w:cs="Arial"/>
          <w:lang w:val="es-ES_tradnl"/>
        </w:rPr>
        <w:t>), la Fundación del pulmón (</w:t>
      </w:r>
      <w:proofErr w:type="spellStart"/>
      <w:r w:rsidRPr="00A634AE">
        <w:rPr>
          <w:rFonts w:cs="Arial"/>
          <w:lang w:val="es-ES_tradnl"/>
        </w:rPr>
        <w:t>Lung</w:t>
      </w:r>
      <w:proofErr w:type="spellEnd"/>
      <w:r w:rsidRPr="00A634AE">
        <w:rPr>
          <w:rFonts w:cs="Arial"/>
          <w:lang w:val="es-ES_tradnl"/>
        </w:rPr>
        <w:t xml:space="preserve"> </w:t>
      </w:r>
      <w:proofErr w:type="spellStart"/>
      <w:r w:rsidRPr="00A634AE">
        <w:rPr>
          <w:rFonts w:cs="Arial"/>
          <w:lang w:val="es-ES_tradnl"/>
        </w:rPr>
        <w:t>Foundation</w:t>
      </w:r>
      <w:proofErr w:type="spellEnd"/>
      <w:r w:rsidRPr="00A634AE">
        <w:rPr>
          <w:rFonts w:cs="Arial"/>
          <w:lang w:val="es-ES_tradnl"/>
        </w:rPr>
        <w:t>), la Red de cáncer de mama (</w:t>
      </w:r>
      <w:proofErr w:type="spellStart"/>
      <w:r w:rsidRPr="00A634AE">
        <w:rPr>
          <w:rFonts w:cs="Arial"/>
          <w:lang w:val="es-ES_tradnl"/>
        </w:rPr>
        <w:t>Breast</w:t>
      </w:r>
      <w:proofErr w:type="spellEnd"/>
      <w:r w:rsidRPr="00A634AE">
        <w:rPr>
          <w:rFonts w:cs="Arial"/>
          <w:lang w:val="es-ES_tradnl"/>
        </w:rPr>
        <w:t xml:space="preserve"> Cancer Network), la Asociación de médicos rurales (Rural </w:t>
      </w:r>
      <w:proofErr w:type="spellStart"/>
      <w:r w:rsidRPr="00A634AE">
        <w:rPr>
          <w:rFonts w:cs="Arial"/>
          <w:lang w:val="es-ES_tradnl"/>
        </w:rPr>
        <w:t>Doctors</w:t>
      </w:r>
      <w:proofErr w:type="spellEnd"/>
      <w:r w:rsidRPr="00A634AE">
        <w:rPr>
          <w:rFonts w:cs="Arial"/>
          <w:lang w:val="es-ES_tradnl"/>
        </w:rPr>
        <w:t xml:space="preserve"> </w:t>
      </w:r>
      <w:proofErr w:type="spellStart"/>
      <w:r w:rsidRPr="00A634AE">
        <w:rPr>
          <w:rFonts w:cs="Arial"/>
          <w:lang w:val="es-ES_tradnl"/>
        </w:rPr>
        <w:t>Association</w:t>
      </w:r>
      <w:proofErr w:type="spellEnd"/>
      <w:r w:rsidRPr="00A634AE">
        <w:rPr>
          <w:rFonts w:cs="Arial"/>
          <w:lang w:val="es-ES_tradnl"/>
        </w:rPr>
        <w:t>), la Asociación de médicos de Australia (</w:t>
      </w:r>
      <w:proofErr w:type="spellStart"/>
      <w:r w:rsidRPr="00A634AE">
        <w:rPr>
          <w:rFonts w:cs="Arial"/>
          <w:lang w:val="es-ES_tradnl"/>
        </w:rPr>
        <w:t>Australian</w:t>
      </w:r>
      <w:proofErr w:type="spellEnd"/>
      <w:r w:rsidRPr="00A634AE">
        <w:rPr>
          <w:rFonts w:cs="Arial"/>
          <w:lang w:val="es-ES_tradnl"/>
        </w:rPr>
        <w:t xml:space="preserve"> Medical </w:t>
      </w:r>
      <w:proofErr w:type="spellStart"/>
      <w:r w:rsidRPr="00A634AE">
        <w:rPr>
          <w:rFonts w:cs="Arial"/>
          <w:lang w:val="es-ES_tradnl"/>
        </w:rPr>
        <w:t>Association</w:t>
      </w:r>
      <w:proofErr w:type="spellEnd"/>
      <w:r w:rsidRPr="00A634AE">
        <w:rPr>
          <w:rFonts w:cs="Arial"/>
          <w:lang w:val="es-ES_tradnl"/>
        </w:rPr>
        <w:t xml:space="preserve">), el Real Colegio Australiano de Médicos clínicos (Royal </w:t>
      </w:r>
      <w:proofErr w:type="spellStart"/>
      <w:r w:rsidRPr="00A634AE">
        <w:rPr>
          <w:rFonts w:cs="Arial"/>
          <w:lang w:val="es-ES_tradnl"/>
        </w:rPr>
        <w:t>Australian</w:t>
      </w:r>
      <w:proofErr w:type="spellEnd"/>
      <w:r w:rsidRPr="00A634AE">
        <w:rPr>
          <w:rFonts w:cs="Arial"/>
          <w:lang w:val="es-ES_tradnl"/>
        </w:rPr>
        <w:t xml:space="preserve"> </w:t>
      </w:r>
      <w:proofErr w:type="spellStart"/>
      <w:r w:rsidRPr="00A634AE">
        <w:rPr>
          <w:rFonts w:cs="Arial"/>
          <w:lang w:val="es-ES_tradnl"/>
        </w:rPr>
        <w:t>College</w:t>
      </w:r>
      <w:proofErr w:type="spellEnd"/>
      <w:r w:rsidRPr="00A634AE">
        <w:rPr>
          <w:rFonts w:cs="Arial"/>
          <w:lang w:val="es-ES_tradnl"/>
        </w:rPr>
        <w:t xml:space="preserve"> of General </w:t>
      </w:r>
      <w:proofErr w:type="spellStart"/>
      <w:r w:rsidRPr="00A634AE">
        <w:rPr>
          <w:rFonts w:cs="Arial"/>
          <w:lang w:val="es-ES_tradnl"/>
        </w:rPr>
        <w:t>Practitioners</w:t>
      </w:r>
      <w:proofErr w:type="spellEnd"/>
      <w:r w:rsidRPr="00A634AE">
        <w:rPr>
          <w:rFonts w:cs="Arial"/>
          <w:lang w:val="es-ES_tradnl"/>
        </w:rPr>
        <w:t>) y muchos más</w:t>
      </w:r>
      <w:r w:rsidR="00FA1246" w:rsidRPr="00E34EFB">
        <w:rPr>
          <w:lang w:val="es-ES_tradnl"/>
        </w:rPr>
        <w:t>.</w:t>
      </w:r>
    </w:p>
    <w:p w14:paraId="6FD5258F" w14:textId="36854FB8" w:rsidR="00FA1246" w:rsidRPr="00FA1246" w:rsidRDefault="00E34EFB" w:rsidP="00FA1246">
      <w:pPr>
        <w:pStyle w:val="Heading1"/>
      </w:pPr>
      <w:r w:rsidRPr="000E72D9">
        <w:rPr>
          <w:rFonts w:cs="Arial"/>
          <w:bCs/>
          <w:lang w:val="es-ES_tradnl"/>
        </w:rPr>
        <w:lastRenderedPageBreak/>
        <w:t>¿Perderá dinero la farmacia de mi localidad y qué hará el Gobierno con los ahorros creados por este cambio</w:t>
      </w:r>
      <w:r w:rsidR="00FA1246" w:rsidRPr="00FA1246">
        <w:t xml:space="preserve">? </w:t>
      </w:r>
    </w:p>
    <w:p w14:paraId="5F0EC5F9" w14:textId="43B6FAEA" w:rsidR="00FA1246" w:rsidRDefault="00E34EFB" w:rsidP="00FA1246">
      <w:r w:rsidRPr="00A634AE">
        <w:rPr>
          <w:rFonts w:cs="Arial"/>
          <w:lang w:val="es-ES_tradnl"/>
        </w:rPr>
        <w:t>Las farmacias australianas ya hacen mucho más que dispensar recetas, y tienen muchas otras fuentes de ingresos, como la administración de vacunas</w:t>
      </w:r>
      <w:r w:rsidR="00FA1246">
        <w:t>.</w:t>
      </w:r>
    </w:p>
    <w:p w14:paraId="44C14222" w14:textId="7BB1F18A" w:rsidR="004E540A" w:rsidRDefault="00E34EFB" w:rsidP="00FA1246">
      <w:r w:rsidRPr="00A634AE">
        <w:rPr>
          <w:rFonts w:cs="Arial"/>
          <w:lang w:val="es-ES_tradnl"/>
        </w:rPr>
        <w:t xml:space="preserve">Cada dólar </w:t>
      </w:r>
      <w:r>
        <w:rPr>
          <w:rFonts w:cs="Arial"/>
          <w:lang w:val="es-ES_tradnl"/>
        </w:rPr>
        <w:t>que el</w:t>
      </w:r>
      <w:r w:rsidRPr="00A634AE">
        <w:rPr>
          <w:rFonts w:cs="Arial"/>
          <w:lang w:val="es-ES_tradnl"/>
        </w:rPr>
        <w:t xml:space="preserve"> Gobierno</w:t>
      </w:r>
      <w:r>
        <w:rPr>
          <w:rFonts w:cs="Arial"/>
          <w:lang w:val="es-ES_tradnl"/>
        </w:rPr>
        <w:t xml:space="preserve"> ahorre</w:t>
      </w:r>
      <w:r w:rsidRPr="00A634AE">
        <w:rPr>
          <w:rFonts w:cs="Arial"/>
          <w:lang w:val="es-ES_tradnl"/>
        </w:rPr>
        <w:t xml:space="preserve"> s</w:t>
      </w:r>
      <w:r>
        <w:rPr>
          <w:rFonts w:cs="Arial"/>
          <w:lang w:val="es-ES_tradnl"/>
        </w:rPr>
        <w:t>e</w:t>
      </w:r>
      <w:r w:rsidRPr="00A634AE">
        <w:rPr>
          <w:rFonts w:cs="Arial"/>
          <w:lang w:val="es-ES_tradnl"/>
        </w:rPr>
        <w:t xml:space="preserve"> </w:t>
      </w:r>
      <w:r>
        <w:rPr>
          <w:rFonts w:cs="Arial"/>
          <w:lang w:val="es-ES_tradnl"/>
        </w:rPr>
        <w:t>volverá a invertir</w:t>
      </w:r>
      <w:r w:rsidRPr="00A634AE">
        <w:rPr>
          <w:rFonts w:cs="Arial"/>
          <w:lang w:val="es-ES_tradnl"/>
        </w:rPr>
        <w:t xml:space="preserve"> directamente en las farmacias comunitarias. Esta financiación ayudará a garantizar el vigor continuo de este sector y el papel aún mayor de nuestros fiables farmacéuticos en la atención sanitaria de los australianos</w:t>
      </w:r>
      <w:r w:rsidR="00FA1246">
        <w:t>.</w:t>
      </w:r>
    </w:p>
    <w:p w14:paraId="2BA525E3" w14:textId="1E277577" w:rsidR="001308BE" w:rsidRPr="00E34EFB" w:rsidRDefault="00E34EFB" w:rsidP="001308BE">
      <w:pPr>
        <w:pStyle w:val="Heading1"/>
        <w:rPr>
          <w:lang w:val="sv-SE"/>
        </w:rPr>
      </w:pPr>
      <w:r w:rsidRPr="00464C6B">
        <w:rPr>
          <w:rFonts w:cs="Arial"/>
          <w:bCs/>
          <w:lang w:val="es-ES_tradnl"/>
        </w:rPr>
        <w:t>¿Qué es la Red de seguridad del PBS</w:t>
      </w:r>
      <w:r w:rsidR="001308BE" w:rsidRPr="00E34EFB">
        <w:rPr>
          <w:lang w:val="sv-SE"/>
        </w:rPr>
        <w:t xml:space="preserve">? </w:t>
      </w:r>
    </w:p>
    <w:p w14:paraId="6C1B3071" w14:textId="75A3BC07" w:rsidR="001308BE" w:rsidRPr="00E34EFB" w:rsidRDefault="00E34EFB" w:rsidP="001308BE">
      <w:pPr>
        <w:rPr>
          <w:lang w:val="sv-SE"/>
        </w:rPr>
      </w:pPr>
      <w:r w:rsidRPr="00464C6B">
        <w:rPr>
          <w:rFonts w:cs="Arial"/>
          <w:lang w:val="es-ES_tradnl"/>
        </w:rPr>
        <w:t>La Red de seguridad del PBS (PBS Safety Net) ayuda a pagar menos por los medicamentos una vez que se ha alcanzado una determinada cantidad de gasto en medicamentos en un año calendario. Dicha cantidad se denomina el umbral de la Red de seguridad</w:t>
      </w:r>
      <w:r w:rsidR="001308BE" w:rsidRPr="00E34EFB">
        <w:rPr>
          <w:lang w:val="sv-SE"/>
        </w:rPr>
        <w:t>.</w:t>
      </w:r>
    </w:p>
    <w:p w14:paraId="6A1E3E48" w14:textId="126A3440" w:rsidR="001308BE" w:rsidRDefault="00E34EFB" w:rsidP="001308BE">
      <w:r w:rsidRPr="00464C6B">
        <w:rPr>
          <w:rFonts w:cs="Arial"/>
          <w:lang w:val="es-ES_tradnl"/>
        </w:rPr>
        <w:t>El umbral es más bajo para los titulares de la tarjeta de concesiones. Tanto el umbral general como el de las concesiones aumenta cada año en consonancia con el índice de precios al consumidor</w:t>
      </w:r>
      <w:r w:rsidR="001308BE">
        <w:t>.</w:t>
      </w:r>
    </w:p>
    <w:p w14:paraId="79BEE6B2" w14:textId="39FE817C" w:rsidR="001308BE" w:rsidRDefault="00E34EFB" w:rsidP="001308BE">
      <w:pPr>
        <w:rPr>
          <w:lang w:bidi="ar-YE"/>
        </w:rPr>
      </w:pPr>
      <w:r w:rsidRPr="00464C6B">
        <w:rPr>
          <w:rFonts w:cs="Arial"/>
          <w:lang w:val="es-ES_tradnl"/>
        </w:rPr>
        <w:t>Usted y/o su familia solo necesitan alcanzar el umbral una vez en cada año calendario. Si reúne las condiciones para la Red de seguridad paga</w:t>
      </w:r>
      <w:r>
        <w:rPr>
          <w:rFonts w:cs="Arial"/>
          <w:lang w:val="es-ES_tradnl"/>
        </w:rPr>
        <w:t>rá</w:t>
      </w:r>
      <w:r w:rsidRPr="00464C6B">
        <w:rPr>
          <w:rFonts w:cs="Arial"/>
          <w:lang w:val="es-ES_tradnl"/>
        </w:rPr>
        <w:t xml:space="preserve"> un monto inferior por los medicamentos PBS; los titulares de la tarjeta de concesiones recib</w:t>
      </w:r>
      <w:r>
        <w:rPr>
          <w:rFonts w:cs="Arial"/>
          <w:lang w:val="es-ES_tradnl"/>
        </w:rPr>
        <w:t>irá</w:t>
      </w:r>
      <w:r w:rsidRPr="00464C6B">
        <w:rPr>
          <w:rFonts w:cs="Arial"/>
          <w:lang w:val="es-ES_tradnl"/>
        </w:rPr>
        <w:t xml:space="preserve">n los medicamentos PBS gratis el resto de ese año (además de toda prima que corresponda). Para obtener más información vea </w:t>
      </w:r>
      <w:proofErr w:type="spellStart"/>
      <w:r w:rsidRPr="00464C6B">
        <w:rPr>
          <w:rFonts w:cs="Arial"/>
          <w:lang w:val="es-ES_tradnl"/>
        </w:rPr>
        <w:t>Pharmaceutical</w:t>
      </w:r>
      <w:proofErr w:type="spellEnd"/>
      <w:r w:rsidRPr="00464C6B">
        <w:rPr>
          <w:rFonts w:cs="Arial"/>
          <w:lang w:val="es-ES_tradnl"/>
        </w:rPr>
        <w:t xml:space="preserve"> </w:t>
      </w:r>
      <w:proofErr w:type="spellStart"/>
      <w:r w:rsidRPr="00464C6B">
        <w:rPr>
          <w:rFonts w:cs="Arial"/>
          <w:lang w:val="es-ES_tradnl"/>
        </w:rPr>
        <w:t>Benefits</w:t>
      </w:r>
      <w:proofErr w:type="spellEnd"/>
      <w:r w:rsidRPr="00464C6B">
        <w:rPr>
          <w:rFonts w:cs="Arial"/>
          <w:lang w:val="es-ES_tradnl"/>
        </w:rPr>
        <w:t xml:space="preserve"> </w:t>
      </w:r>
      <w:proofErr w:type="spellStart"/>
      <w:r w:rsidRPr="00464C6B">
        <w:rPr>
          <w:rFonts w:cs="Arial"/>
          <w:lang w:val="es-ES_tradnl"/>
        </w:rPr>
        <w:t>Scheme</w:t>
      </w:r>
      <w:proofErr w:type="spellEnd"/>
      <w:r w:rsidRPr="00464C6B">
        <w:rPr>
          <w:rFonts w:cs="Arial"/>
          <w:lang w:val="es-ES_tradnl"/>
        </w:rPr>
        <w:t xml:space="preserve"> (PBS) | </w:t>
      </w:r>
      <w:proofErr w:type="spellStart"/>
      <w:r w:rsidRPr="00464C6B">
        <w:rPr>
          <w:rFonts w:cs="Arial"/>
          <w:lang w:val="es-ES_tradnl"/>
        </w:rPr>
        <w:t>The</w:t>
      </w:r>
      <w:proofErr w:type="spellEnd"/>
      <w:r w:rsidRPr="00464C6B">
        <w:rPr>
          <w:rFonts w:cs="Arial"/>
          <w:lang w:val="es-ES_tradnl"/>
        </w:rPr>
        <w:t xml:space="preserve"> Safety Net </w:t>
      </w:r>
      <w:proofErr w:type="spellStart"/>
      <w:r w:rsidRPr="00464C6B">
        <w:rPr>
          <w:rFonts w:cs="Arial"/>
          <w:lang w:val="es-ES_tradnl"/>
        </w:rPr>
        <w:t>Scheme</w:t>
      </w:r>
      <w:proofErr w:type="spellEnd"/>
      <w:r w:rsidR="001308BE">
        <w:t xml:space="preserve"> (</w:t>
      </w:r>
      <w:r w:rsidR="001308BE" w:rsidRPr="001308BE">
        <w:rPr>
          <w:lang w:val="en-GB"/>
        </w:rPr>
        <w:t>https://www.pbs.gov.au/info/healthpro/explanatory-notes/section1/Section_1_5_Explanatory_Notes</w:t>
      </w:r>
      <w:r w:rsidR="001308BE">
        <w:rPr>
          <w:lang w:bidi="ar-YE"/>
        </w:rPr>
        <w:t>)</w:t>
      </w:r>
      <w:r w:rsidR="001308BE">
        <w:t>.</w:t>
      </w:r>
    </w:p>
    <w:p w14:paraId="1B0F3091" w14:textId="4432CA13" w:rsidR="001308BE" w:rsidRPr="00FA1246" w:rsidRDefault="000C1204" w:rsidP="001308BE">
      <w:pPr>
        <w:pStyle w:val="Heading1"/>
      </w:pPr>
      <w:r w:rsidRPr="00464C6B">
        <w:rPr>
          <w:rFonts w:cs="Arial"/>
          <w:bCs/>
          <w:lang w:val="es-ES_tradnl"/>
        </w:rPr>
        <w:t>¿Qué debo hacer cuando alcance el umbral de la Red de seguridad</w:t>
      </w:r>
      <w:r w:rsidR="001308BE" w:rsidRPr="001308BE">
        <w:t>?</w:t>
      </w:r>
      <w:r w:rsidR="001308BE" w:rsidRPr="00FA1246">
        <w:t xml:space="preserve"> </w:t>
      </w:r>
    </w:p>
    <w:p w14:paraId="11F067C9" w14:textId="3E24D423" w:rsidR="000C1204" w:rsidRDefault="000C1204" w:rsidP="000C1204">
      <w:pPr>
        <w:rPr>
          <w:rFonts w:cs="Arial"/>
          <w:lang w:val="es-ES_tradnl"/>
        </w:rPr>
      </w:pPr>
      <w:r w:rsidRPr="00464C6B">
        <w:rPr>
          <w:rFonts w:cs="Arial"/>
          <w:lang w:val="es-ES_tradnl"/>
        </w:rPr>
        <w:t>Una vez que alcance el umbral podrá solicitar una tarjeta de la Red de seguridad del PBS (PBS Safety Net</w:t>
      </w:r>
      <w:r>
        <w:rPr>
          <w:rFonts w:cs="Arial"/>
          <w:lang w:val="es-ES_tradnl"/>
        </w:rPr>
        <w:t xml:space="preserve"> </w:t>
      </w:r>
      <w:proofErr w:type="spellStart"/>
      <w:r>
        <w:rPr>
          <w:rFonts w:cs="Arial"/>
          <w:lang w:val="es-ES_tradnl"/>
        </w:rPr>
        <w:t>card</w:t>
      </w:r>
      <w:proofErr w:type="spellEnd"/>
      <w:r w:rsidRPr="00464C6B">
        <w:rPr>
          <w:rFonts w:cs="Arial"/>
          <w:lang w:val="es-ES_tradnl"/>
        </w:rPr>
        <w:t xml:space="preserve">) para conseguir medicamentos más baratos. Para solicitarla, hable con su farmacéutico o consulte la página </w:t>
      </w:r>
      <w:r>
        <w:rPr>
          <w:rFonts w:cs="Arial"/>
          <w:lang w:val="es-ES_tradnl"/>
        </w:rPr>
        <w:t>w</w:t>
      </w:r>
      <w:r w:rsidRPr="00464C6B">
        <w:rPr>
          <w:rFonts w:cs="Arial"/>
          <w:lang w:val="es-ES_tradnl"/>
        </w:rPr>
        <w:t>eb</w:t>
      </w:r>
      <w:r>
        <w:rPr>
          <w:rFonts w:cs="Arial"/>
          <w:lang w:val="es-ES_tradnl"/>
        </w:rPr>
        <w:t xml:space="preserve"> </w:t>
      </w:r>
      <w:hyperlink r:id="rId11" w:history="1">
        <w:r w:rsidRPr="00464C6B">
          <w:rPr>
            <w:rStyle w:val="Hyperlink"/>
            <w:rFonts w:cs="Arial"/>
            <w:lang w:val="es-ES_tradnl"/>
          </w:rPr>
          <w:t>servicesaustralia.gov.au/</w:t>
        </w:r>
        <w:proofErr w:type="spellStart"/>
        <w:r w:rsidRPr="00464C6B">
          <w:rPr>
            <w:rStyle w:val="Hyperlink"/>
            <w:rFonts w:cs="Arial"/>
            <w:lang w:val="es-ES_tradnl"/>
          </w:rPr>
          <w:t>pbssafetynet</w:t>
        </w:r>
        <w:proofErr w:type="spellEnd"/>
      </w:hyperlink>
      <w:r>
        <w:rPr>
          <w:rStyle w:val="Hyperlink"/>
          <w:rFonts w:cs="Arial"/>
          <w:lang w:val="es-ES_tradnl"/>
        </w:rPr>
        <w:t xml:space="preserve"> </w:t>
      </w:r>
    </w:p>
    <w:p w14:paraId="700806E5" w14:textId="2E085D4F" w:rsidR="00FA1246" w:rsidRPr="00AF121B" w:rsidRDefault="00E34EFB" w:rsidP="000C1204">
      <w:r w:rsidRPr="00A634AE">
        <w:rPr>
          <w:rFonts w:cs="Arial"/>
          <w:lang w:val="es-ES_tradnl"/>
        </w:rPr>
        <w:t>Para obtener más información consulte la página</w:t>
      </w:r>
      <w:r w:rsidR="00991659">
        <w:t xml:space="preserve">: </w:t>
      </w:r>
      <w:r w:rsidR="00991659" w:rsidRPr="00991659">
        <w:t>health.gov.au/</w:t>
      </w:r>
      <w:proofErr w:type="spellStart"/>
      <w:r w:rsidR="00991659" w:rsidRPr="00991659">
        <w:t>cheapermedicines</w:t>
      </w:r>
      <w:proofErr w:type="spellEnd"/>
      <w:r w:rsidR="00FA1246">
        <w:t xml:space="preserve"> </w:t>
      </w:r>
    </w:p>
    <w:sectPr w:rsidR="00FA1246" w:rsidRPr="00AF121B" w:rsidSect="00AF121B">
      <w:headerReference w:type="default" r:id="rId12"/>
      <w:footerReference w:type="default" r:id="rId13"/>
      <w:headerReference w:type="first" r:id="rId14"/>
      <w:footerReference w:type="first" r:id="rId15"/>
      <w:pgSz w:w="11906" w:h="16838" w:code="9"/>
      <w:pgMar w:top="1701" w:right="1021" w:bottom="1701" w:left="1021" w:header="567" w:footer="181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32145A" w14:textId="77777777" w:rsidR="0039286F" w:rsidRDefault="0039286F" w:rsidP="00D560DC">
      <w:pPr>
        <w:spacing w:before="0" w:after="0" w:line="240" w:lineRule="auto"/>
      </w:pPr>
      <w:r>
        <w:separator/>
      </w:r>
    </w:p>
  </w:endnote>
  <w:endnote w:type="continuationSeparator" w:id="0">
    <w:p w14:paraId="5EAE9E61" w14:textId="77777777" w:rsidR="0039286F" w:rsidRDefault="0039286F" w:rsidP="00D560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altName w:val="Open Sans SemiBold"/>
    <w:charset w:val="00"/>
    <w:family w:val="auto"/>
    <w:pitch w:val="variable"/>
    <w:sig w:usb0="E00002FF" w:usb1="4000201B" w:usb2="00000028" w:usb3="00000000" w:csb0="0000019F" w:csb1="00000000"/>
  </w:font>
  <w:font w:name="Adobe Arabic">
    <w:altName w:val="Adobe Arabic"/>
    <w:panose1 w:val="00000000000000000000"/>
    <w:charset w:val="B2"/>
    <w:family w:val="roman"/>
    <w:notTrueType/>
    <w:pitch w:val="variable"/>
    <w:sig w:usb0="8000202F" w:usb1="8000A04A"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05BAF9" w14:textId="79982B6F" w:rsidR="0039793D" w:rsidRDefault="00991659" w:rsidP="0039793D">
    <w:pPr>
      <w:pStyle w:val="Footer"/>
    </w:pPr>
    <w:r>
      <w:rPr>
        <w:noProof/>
      </w:rPr>
      <w:drawing>
        <wp:anchor distT="0" distB="0" distL="114300" distR="114300" simplePos="0" relativeHeight="251678720" behindDoc="1" locked="0" layoutInCell="1" allowOverlap="1" wp14:anchorId="5E100678" wp14:editId="3FF02C60">
          <wp:simplePos x="0" y="0"/>
          <wp:positionH relativeFrom="page">
            <wp:posOffset>0</wp:posOffset>
          </wp:positionH>
          <wp:positionV relativeFrom="page">
            <wp:posOffset>9232900</wp:posOffset>
          </wp:positionV>
          <wp:extent cx="7559675" cy="1435735"/>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75" cy="1435735"/>
                  </a:xfrm>
                  <a:prstGeom prst="rect">
                    <a:avLst/>
                  </a:prstGeom>
                </pic:spPr>
              </pic:pic>
            </a:graphicData>
          </a:graphic>
          <wp14:sizeRelH relativeFrom="margin">
            <wp14:pctWidth>0</wp14:pctWidth>
          </wp14:sizeRelH>
          <wp14:sizeRelV relativeFrom="margin">
            <wp14:pctHeight>0</wp14:pctHeight>
          </wp14:sizeRelV>
        </wp:anchor>
      </w:drawing>
    </w:r>
    <w:r w:rsidR="00AF121B">
      <w:rPr>
        <w:noProof/>
        <w:lang w:eastAsia="en-AU"/>
      </w:rPr>
      <mc:AlternateContent>
        <mc:Choice Requires="wps">
          <w:drawing>
            <wp:anchor distT="0" distB="0" distL="114300" distR="114300" simplePos="0" relativeHeight="251680768" behindDoc="0" locked="0" layoutInCell="1" allowOverlap="1" wp14:anchorId="5F75DB62" wp14:editId="5DC74007">
              <wp:simplePos x="0" y="0"/>
              <wp:positionH relativeFrom="page">
                <wp:posOffset>6480810</wp:posOffset>
              </wp:positionH>
              <wp:positionV relativeFrom="page">
                <wp:posOffset>9246235</wp:posOffset>
              </wp:positionV>
              <wp:extent cx="1080000" cy="468000"/>
              <wp:effectExtent l="0" t="0" r="0" b="0"/>
              <wp:wrapNone/>
              <wp:docPr id="11" name="Text Box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80000" cy="468000"/>
                      </a:xfrm>
                      <a:prstGeom prst="rect">
                        <a:avLst/>
                      </a:prstGeom>
                      <a:noFill/>
                      <a:ln w="6350">
                        <a:noFill/>
                      </a:ln>
                    </wps:spPr>
                    <wps:txbx>
                      <w:txbxContent>
                        <w:p w14:paraId="33C27BF7"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F75DB62" id="_x0000_t202" coordsize="21600,21600" o:spt="202" path="m,l,21600r21600,l21600,xe">
              <v:stroke joinstyle="miter"/>
              <v:path gradientshapeok="t" o:connecttype="rect"/>
            </v:shapetype>
            <v:shape id="Text Box 11" o:spid="_x0000_s1026" type="#_x0000_t202" alt="&quot;&quot;" style="position:absolute;margin-left:510.3pt;margin-top:728.05pt;width:85.05pt;height:36.85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doJEQIAACYEAAAOAAAAZHJzL2Uyb0RvYy54bWysU99r2zAQfh/sfxB6X+x0XSgmTklbMgah&#10;LaSjz4osxQZZp52U2Nlfv5PsJKXb06gf5JPudD++79P8tm8NOyj0DdiSTyc5Z8pKqBq7K/nPl9WX&#10;G858ELYSBqwq+VF5frv4/GneuUJdQQ2mUsgoifVF50peh+CKLPOyVq3wE3DKklMDtiLQFndZhaKj&#10;7K3JrvJ8lnWAlUOQyns6fRicfJHya61keNLaq8BMyam3kFZM6zau2WIuih0KVzdybEP8RxetaCwV&#10;Pad6EEGwPTZ/pWobieBBh4mENgOtG6nSDDTNNH83zaYWTqVZCBzvzjD5j0srHw8b94ws9HfQE4ER&#10;kM75wtNhnKfX2MY/dcrITxAez7CpPjAZL+U3OX2cSfJdz+Impskutx368F1By6JRciRaElrisPZh&#10;CD2FxGIWVo0xiRpjWVfy2ddvebpw9lByY6nGpddohX7bjwNsoTrSXAgD5d7JVUPF18KHZ4HEMfVL&#10;ug1PtGgDVARGi7Ma8Pe/zmM8QU9ezjrSTMn9r71AxZn5YYmUKLCTgcmYXSc02DbtpiNOdt/eAwly&#10;Sm/DyWTSVQzmZGqE9pWEvYz1yCWspKol357M+zBomB6GVMtlCiJBORHWduNkTB2BjKC+9K8C3Yh8&#10;IM4e4aQrUbwjYIgdKFjuA+gmsROhHfAcEScxJn7HhxPV/nafoi7Pe/EHAAD//wMAUEsDBBQABgAI&#10;AAAAIQA/gdMP4wAAAA8BAAAPAAAAZHJzL2Rvd25yZXYueG1sTI/BTsMwEETvSPyDtUjcqJ2Ipm2I&#10;U1UVCMEFUUAVNzde4oh4XcVuG/6e7QluM9rRzNtqOfpeHHGIXSAN2USBQGqC7ajV8P72cDMHEZMh&#10;a/pAqOEHIyzry4vKlDac6BWPm9QKLqFYGg0upX0pZWwcehMnYY/Et68weJPYDq20gzlxue9lrlQh&#10;vemIF5zZ49ph8705eN5db3N3r7JnW7y4j8fV7MnZ7afW11fj6g5EwjH9heGMz+hQM9MuHMhG0bNX&#10;uSo4y+p2WmQgzplsoWYgdqym+WIOsq7k/z/qXwAAAP//AwBQSwECLQAUAAYACAAAACEAtoM4kv4A&#10;AADhAQAAEwAAAAAAAAAAAAAAAAAAAAAAW0NvbnRlbnRfVHlwZXNdLnhtbFBLAQItABQABgAIAAAA&#10;IQA4/SH/1gAAAJQBAAALAAAAAAAAAAAAAAAAAC8BAABfcmVscy8ucmVsc1BLAQItABQABgAIAAAA&#10;IQBJudoJEQIAACYEAAAOAAAAAAAAAAAAAAAAAC4CAABkcnMvZTJvRG9jLnhtbFBLAQItABQABgAI&#10;AAAAIQA/gdMP4wAAAA8BAAAPAAAAAAAAAAAAAAAAAGsEAABkcnMvZG93bnJldi54bWxQSwUGAAAA&#10;AAQABADzAAAAewUAAAAA&#10;" filled="f" stroked="f" strokeweight=".5pt">
              <v:textbox inset="0,0,18mm,5mm">
                <w:txbxContent>
                  <w:p w14:paraId="33C27BF7"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v:textbox>
              <w10:wrap anchorx="page" anchory="page"/>
            </v:shape>
          </w:pict>
        </mc:Fallback>
      </mc:AlternateContent>
    </w:r>
  </w:p>
  <w:p w14:paraId="4DE2BB06" w14:textId="302FA73D" w:rsidR="0039793D" w:rsidRPr="0039793D" w:rsidRDefault="002D3156" w:rsidP="0039793D">
    <w:pPr>
      <w:pStyle w:val="Footer"/>
      <w:rPr>
        <w:color w:val="264F90" w:themeColor="accent2"/>
      </w:rPr>
    </w:pPr>
    <w:sdt>
      <w:sdtPr>
        <w:alias w:val="Title"/>
        <w:tag w:val=""/>
        <w:id w:val="-388340925"/>
        <w:dataBinding w:prefixMappings="xmlns:ns0='http://purl.org/dc/elements/1.1/' xmlns:ns1='http://schemas.openxmlformats.org/package/2006/metadata/core-properties' " w:xpath="/ns1:coreProperties[1]/ns0:title[1]" w:storeItemID="{6C3C8BC8-F283-45AE-878A-BAB7291924A1}"/>
        <w:text/>
      </w:sdtPr>
      <w:sdtEndPr/>
      <w:sdtContent>
        <w:proofErr w:type="spellStart"/>
        <w:r w:rsidR="000B74B2">
          <w:t>Recetas</w:t>
        </w:r>
        <w:proofErr w:type="spellEnd"/>
        <w:r w:rsidR="000B74B2">
          <w:t xml:space="preserve"> para 60 días: </w:t>
        </w:r>
        <w:proofErr w:type="spellStart"/>
        <w:r w:rsidR="000B74B2">
          <w:t>Preguntas</w:t>
        </w:r>
        <w:proofErr w:type="spellEnd"/>
        <w:r w:rsidR="000B74B2">
          <w:t xml:space="preserve"> </w:t>
        </w:r>
        <w:proofErr w:type="spellStart"/>
        <w:r w:rsidR="000B74B2">
          <w:t>frecuentes</w:t>
        </w:r>
        <w:proofErr w:type="spellEnd"/>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69A5F4" w14:textId="604F8BEF" w:rsidR="0039793D" w:rsidRDefault="00991659" w:rsidP="00F62279">
    <w:pPr>
      <w:pStyle w:val="NumberedList1"/>
      <w:numPr>
        <w:ilvl w:val="0"/>
        <w:numId w:val="0"/>
      </w:numPr>
      <w:ind w:left="284"/>
    </w:pPr>
    <w:r>
      <w:rPr>
        <w:noProof/>
      </w:rPr>
      <w:drawing>
        <wp:anchor distT="0" distB="0" distL="114300" distR="114300" simplePos="0" relativeHeight="251674624" behindDoc="1" locked="0" layoutInCell="1" allowOverlap="1" wp14:anchorId="2FA0BB22" wp14:editId="45B2676F">
          <wp:simplePos x="0" y="0"/>
          <wp:positionH relativeFrom="page">
            <wp:posOffset>0</wp:posOffset>
          </wp:positionH>
          <wp:positionV relativeFrom="page">
            <wp:posOffset>9245600</wp:posOffset>
          </wp:positionV>
          <wp:extent cx="7559675" cy="1435735"/>
          <wp:effectExtent l="0" t="0" r="0" b="0"/>
          <wp:wrapNone/>
          <wp:docPr id="9" name="Picture 9">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75" cy="1435735"/>
                  </a:xfrm>
                  <a:prstGeom prst="rect">
                    <a:avLst/>
                  </a:prstGeom>
                </pic:spPr>
              </pic:pic>
            </a:graphicData>
          </a:graphic>
          <wp14:sizeRelH relativeFrom="margin">
            <wp14:pctWidth>0</wp14:pctWidth>
          </wp14:sizeRelH>
          <wp14:sizeRelV relativeFrom="margin">
            <wp14:pctHeight>0</wp14:pctHeight>
          </wp14:sizeRelV>
        </wp:anchor>
      </w:drawing>
    </w:r>
    <w:r w:rsidR="00AF121B">
      <w:rPr>
        <w:noProof/>
        <w:lang w:eastAsia="en-AU"/>
      </w:rPr>
      <mc:AlternateContent>
        <mc:Choice Requires="wps">
          <w:drawing>
            <wp:anchor distT="0" distB="0" distL="114300" distR="114300" simplePos="0" relativeHeight="251664384" behindDoc="0" locked="0" layoutInCell="1" allowOverlap="1" wp14:anchorId="55E6BE39" wp14:editId="66B8416A">
              <wp:simplePos x="0" y="0"/>
              <wp:positionH relativeFrom="page">
                <wp:posOffset>6480810</wp:posOffset>
              </wp:positionH>
              <wp:positionV relativeFrom="page">
                <wp:posOffset>9247505</wp:posOffset>
              </wp:positionV>
              <wp:extent cx="1079500" cy="467995"/>
              <wp:effectExtent l="0" t="0" r="0" b="0"/>
              <wp:wrapNone/>
              <wp:docPr id="20" name="Text Box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79500" cy="467995"/>
                      </a:xfrm>
                      <a:prstGeom prst="rect">
                        <a:avLst/>
                      </a:prstGeom>
                      <a:noFill/>
                      <a:ln w="6350">
                        <a:noFill/>
                      </a:ln>
                    </wps:spPr>
                    <wps:txbx>
                      <w:txbxContent>
                        <w:p w14:paraId="23759732"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E6BE39" id="_x0000_t202" coordsize="21600,21600" o:spt="202" path="m,l,21600r21600,l21600,xe">
              <v:stroke joinstyle="miter"/>
              <v:path gradientshapeok="t" o:connecttype="rect"/>
            </v:shapetype>
            <v:shape id="Text Box 20" o:spid="_x0000_s1027" type="#_x0000_t202" alt="&quot;&quot;" style="position:absolute;left:0;text-align:left;margin-left:510.3pt;margin-top:728.15pt;width:85pt;height:36.8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PBjGQIAAC0EAAAOAAAAZHJzL2Uyb0RvYy54bWysU01v2zAMvQ/YfxB0X+x0TdoEcYqsRYYB&#10;QVsgLXpWZCk2IIsapcTOfv0oOR9Ft9Owi0yKND/ee5rddY1he4W+Blvw4SDnTFkJZW23BX99WX65&#10;5cwHYUthwKqCH5Tnd/PPn2atm6orqMCUChkVsX7auoJXIbhplnlZqUb4AThlKagBGxHIxW1Womip&#10;emOyqzwfZy1g6RCk8p5uH/ogn6f6WisZnrT2KjBTcJotpBPTuYlnNp+J6RaFq2p5HEP8wxSNqC01&#10;PZd6EEGwHdZ/lGpqieBBh4GEJgOta6nSDrTNMP+wzboSTqVdCBzvzjD5/1dWPu7X7hlZ6L5BRwRG&#10;QFrnp54u4z6dxiZ+aVJGcYLwcIZNdYHJ+FN+MxnlFJIUux7fTCajWCa7/O3Qh+8KGhaNgiPRktAS&#10;+5UPfeopJTazsKyNSdQYy9qCj7+O8vTDOULFjaUel1mjFbpNx+ry3R4bKA+0HkLPvHdyWdMMK+HD&#10;s0CimsYm+YYnOrQB6gVHi7MK8Nff7mM+MUBRzlqSTsH9z51AxZn5YYmbqLOTgckYX9/mEaBN8obR&#10;Ic/umnsgXQ7piTiZTLrFYE6mRmjeSN+L2I9CwkrqWvDNybwPvZTpfUi1WKQk0pUTYWXXTsbSEc+I&#10;7Uv3JtAdCQhE3SOc5CWmH3joc3smFrsAuk4kRYR7PI/AkyYTzcf3E0X/3k9Zl1c+/w0AAP//AwBQ&#10;SwMEFAAGAAgAAAAhAKY8AZ/hAAAADwEAAA8AAABkcnMvZG93bnJldi54bWxMT8tOwzAQvCPxD9Yi&#10;9UbtpG2AEKeqKlBFL4gCqri58RJHxHYUu234+25OcJvZHc2jWA62ZSfsQ+OdhGQqgKGrvG5cLeHj&#10;/fn2HliIymnVeocSfjHAsry+KlSu/dm94WkXa0YmLuRKgomxyzkPlUGrwtR36Oj37XurItG+5rpX&#10;ZzK3LU+FyLhVjaMEozpcG6x+dkdLuet9ap5EstXZq/ncrO5ejN5/STm5GVaPwCIO8U8MY32qDiV1&#10;Ovij04G1xEUqMtISmi+yGbBRkzyMtwOhxUwI4GXB/+8oLwAAAP//AwBQSwECLQAUAAYACAAAACEA&#10;toM4kv4AAADhAQAAEwAAAAAAAAAAAAAAAAAAAAAAW0NvbnRlbnRfVHlwZXNdLnhtbFBLAQItABQA&#10;BgAIAAAAIQA4/SH/1gAAAJQBAAALAAAAAAAAAAAAAAAAAC8BAABfcmVscy8ucmVsc1BLAQItABQA&#10;BgAIAAAAIQDOCPBjGQIAAC0EAAAOAAAAAAAAAAAAAAAAAC4CAABkcnMvZTJvRG9jLnhtbFBLAQIt&#10;ABQABgAIAAAAIQCmPAGf4QAAAA8BAAAPAAAAAAAAAAAAAAAAAHMEAABkcnMvZG93bnJldi54bWxQ&#10;SwUGAAAAAAQABADzAAAAgQUAAAAA&#10;" filled="f" stroked="f" strokeweight=".5pt">
              <v:textbox inset="0,0,18mm,5mm">
                <w:txbxContent>
                  <w:p w14:paraId="23759732"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v:textbox>
              <w10:wrap anchorx="page" anchory="page"/>
            </v:shape>
          </w:pict>
        </mc:Fallback>
      </mc:AlternateContent>
    </w:r>
  </w:p>
  <w:p w14:paraId="3710690B" w14:textId="4F3FFB87" w:rsidR="00D560DC" w:rsidRPr="00C70717" w:rsidRDefault="002D3156" w:rsidP="00D560DC">
    <w:pPr>
      <w:pStyle w:val="Footer"/>
    </w:pPr>
    <w:sdt>
      <w:sdtPr>
        <w:alias w:val="Title"/>
        <w:tag w:val=""/>
        <w:id w:val="-1254439769"/>
        <w:dataBinding w:prefixMappings="xmlns:ns0='http://purl.org/dc/elements/1.1/' xmlns:ns1='http://schemas.openxmlformats.org/package/2006/metadata/core-properties' " w:xpath="/ns1:coreProperties[1]/ns0:title[1]" w:storeItemID="{6C3C8BC8-F283-45AE-878A-BAB7291924A1}"/>
        <w:text/>
      </w:sdtPr>
      <w:sdtEndPr/>
      <w:sdtContent>
        <w:proofErr w:type="spellStart"/>
        <w:r w:rsidR="000B74B2">
          <w:t>Recetas</w:t>
        </w:r>
        <w:proofErr w:type="spellEnd"/>
        <w:r w:rsidR="000B74B2">
          <w:t xml:space="preserve"> para 60 días: </w:t>
        </w:r>
        <w:proofErr w:type="spellStart"/>
        <w:r w:rsidR="000B74B2">
          <w:t>Preguntas</w:t>
        </w:r>
        <w:proofErr w:type="spellEnd"/>
        <w:r w:rsidR="000B74B2">
          <w:t xml:space="preserve"> </w:t>
        </w:r>
        <w:proofErr w:type="spellStart"/>
        <w:r w:rsidR="000B74B2">
          <w:t>frecuentes</w:t>
        </w:r>
        <w:proofErr w:type="spellEnd"/>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30D7F8" w14:textId="77777777" w:rsidR="0039286F" w:rsidRDefault="0039286F" w:rsidP="00D560DC">
      <w:pPr>
        <w:spacing w:before="0" w:after="0" w:line="240" w:lineRule="auto"/>
      </w:pPr>
      <w:r>
        <w:separator/>
      </w:r>
    </w:p>
  </w:footnote>
  <w:footnote w:type="continuationSeparator" w:id="0">
    <w:p w14:paraId="7CE105F6" w14:textId="77777777" w:rsidR="0039286F" w:rsidRDefault="0039286F" w:rsidP="00D560DC">
      <w:pPr>
        <w:spacing w:before="0" w:after="0" w:line="240" w:lineRule="auto"/>
      </w:pPr>
      <w:r>
        <w:continuationSeparator/>
      </w:r>
    </w:p>
  </w:footnote>
  <w:footnote w:id="1">
    <w:p w14:paraId="6600743F" w14:textId="4465E643" w:rsidR="00FA1246" w:rsidRPr="000B74B2" w:rsidRDefault="00FA1246">
      <w:pPr>
        <w:pStyle w:val="FootnoteText"/>
        <w:rPr>
          <w:lang w:val="es-ES_tradnl"/>
        </w:rPr>
      </w:pPr>
      <w:r>
        <w:rPr>
          <w:rStyle w:val="FootnoteReference"/>
        </w:rPr>
        <w:footnoteRef/>
      </w:r>
      <w:r>
        <w:t xml:space="preserve"> </w:t>
      </w:r>
      <w:r w:rsidR="000B74B2" w:rsidRPr="00123A8E">
        <w:rPr>
          <w:rFonts w:cs="Arial"/>
          <w:lang w:val="es-ES_tradnl"/>
        </w:rPr>
        <w:t>A menos que exista un recargo por la marca. El recargo por la marca es un pago adicional al fabricante de una marca específica de medicamento PBS. Los recargos por marca se permiten solamente cuando el PBS ofrece una marca</w:t>
      </w:r>
      <w:r w:rsidR="000B74B2">
        <w:rPr>
          <w:rFonts w:cs="Arial"/>
          <w:lang w:val="es-ES_tradnl"/>
        </w:rPr>
        <w:t xml:space="preserve"> alternativa</w:t>
      </w:r>
      <w:r w:rsidR="000B74B2" w:rsidRPr="00123A8E">
        <w:rPr>
          <w:rFonts w:cs="Arial"/>
          <w:lang w:val="es-ES_tradnl"/>
        </w:rPr>
        <w:t xml:space="preserve"> del medicamento, libre de recargo y autorizada por la TGA</w:t>
      </w:r>
      <w:r w:rsidR="000B74B2">
        <w:rPr>
          <w:rFonts w:cs="Arial"/>
          <w:lang w:val="es-ES_tradnl"/>
        </w:rPr>
        <w:t>,</w:t>
      </w:r>
      <w:r w:rsidR="000B74B2" w:rsidRPr="00123A8E">
        <w:rPr>
          <w:rFonts w:cs="Arial"/>
          <w:lang w:val="es-ES_tradnl"/>
        </w:rPr>
        <w:t xml:space="preserve"> y el farmacéutico puede sustituir la marca más cara por esta. Se recomienda </w:t>
      </w:r>
      <w:r w:rsidR="000B74B2">
        <w:rPr>
          <w:rFonts w:cs="Arial"/>
          <w:lang w:val="es-ES_tradnl"/>
        </w:rPr>
        <w:t>que el</w:t>
      </w:r>
      <w:r w:rsidR="000B74B2" w:rsidRPr="00123A8E">
        <w:rPr>
          <w:rFonts w:cs="Arial"/>
          <w:lang w:val="es-ES_tradnl"/>
        </w:rPr>
        <w:t xml:space="preserve"> paciente hable con su farmacéutico sobre la venta de alternativas libres de recargo</w:t>
      </w:r>
      <w:r w:rsidRPr="000B74B2">
        <w:rPr>
          <w:lang w:val="es-ES_tradnl"/>
        </w:rPr>
        <w:t>.</w:t>
      </w:r>
    </w:p>
  </w:footnote>
  <w:footnote w:id="2">
    <w:p w14:paraId="6C76C84F" w14:textId="27705457" w:rsidR="00FA1246" w:rsidRPr="000B74B2" w:rsidRDefault="00FA1246" w:rsidP="00FA1246">
      <w:pPr>
        <w:pStyle w:val="FootnoteText"/>
        <w:rPr>
          <w:lang w:val="es-ES_tradnl"/>
        </w:rPr>
      </w:pPr>
      <w:r>
        <w:rPr>
          <w:rStyle w:val="FootnoteReference"/>
        </w:rPr>
        <w:footnoteRef/>
      </w:r>
      <w:r w:rsidRPr="000B74B2">
        <w:rPr>
          <w:lang w:val="es-ES_tradnl"/>
        </w:rPr>
        <w:t xml:space="preserve"> </w:t>
      </w:r>
      <w:r w:rsidR="000B74B2" w:rsidRPr="00123A8E">
        <w:rPr>
          <w:rFonts w:cs="Arial"/>
          <w:lang w:val="es-ES_tradnl"/>
        </w:rPr>
        <w:t xml:space="preserve">Si usted tiene una tarjeta de Medicare y no tiene una tarjeta de concesiones, ahorrará menos dinero si el costo del medicamento dispensado es inferior al costo compartido del PBS de $31,60. Las farmacias pueden ofrecer descuentos por los medicamentos que cuestan menos que el costo compartido del PBS de $31,60. El monto del descuento </w:t>
      </w:r>
      <w:r w:rsidR="000B74B2">
        <w:rPr>
          <w:rFonts w:cs="Arial"/>
          <w:lang w:val="es-ES_tradnl"/>
        </w:rPr>
        <w:t>queda</w:t>
      </w:r>
      <w:r w:rsidR="000B74B2" w:rsidRPr="00123A8E">
        <w:rPr>
          <w:rFonts w:cs="Arial"/>
          <w:lang w:val="es-ES_tradnl"/>
        </w:rPr>
        <w:t xml:space="preserve"> a</w:t>
      </w:r>
      <w:r w:rsidR="000B74B2">
        <w:rPr>
          <w:rFonts w:cs="Arial"/>
          <w:lang w:val="es-ES_tradnl"/>
        </w:rPr>
        <w:t>l criterio</w:t>
      </w:r>
      <w:r w:rsidR="000B74B2" w:rsidRPr="00123A8E">
        <w:rPr>
          <w:rFonts w:cs="Arial"/>
          <w:lang w:val="es-ES_tradnl"/>
        </w:rPr>
        <w:t xml:space="preserve"> de cada farmacia y puede variar con el tiempo. Puede haber descuentos para medicamentos disponibles con receta para 30 días y 60 días de suministro, y el costo depende de la farmacia. Los pacientes con tarjeta de </w:t>
      </w:r>
      <w:proofErr w:type="gramStart"/>
      <w:r w:rsidR="000B74B2" w:rsidRPr="00123A8E">
        <w:rPr>
          <w:rFonts w:cs="Arial"/>
          <w:lang w:val="es-ES_tradnl"/>
        </w:rPr>
        <w:t>Medicare</w:t>
      </w:r>
      <w:proofErr w:type="gramEnd"/>
      <w:r w:rsidR="000B74B2" w:rsidRPr="00123A8E">
        <w:rPr>
          <w:rFonts w:cs="Arial"/>
          <w:lang w:val="es-ES_tradnl"/>
        </w:rPr>
        <w:t xml:space="preserve"> pero sin tarjeta de concesiones no pagarán más </w:t>
      </w:r>
      <w:r w:rsidR="000B74B2">
        <w:rPr>
          <w:rFonts w:cs="Arial"/>
          <w:lang w:val="es-ES_tradnl"/>
        </w:rPr>
        <w:t xml:space="preserve">que </w:t>
      </w:r>
      <w:r w:rsidR="000B74B2" w:rsidRPr="00123A8E">
        <w:rPr>
          <w:rFonts w:cs="Arial"/>
          <w:lang w:val="es-ES_tradnl"/>
        </w:rPr>
        <w:t xml:space="preserve">el máximo Cargo general del paciente por su medicamento, como se indica en el listado del PBS </w:t>
      </w:r>
      <w:r w:rsidRPr="000B74B2">
        <w:rPr>
          <w:lang w:val="es-ES_tradnl"/>
        </w:rPr>
        <w:t>(www.pbs.gov.au).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5EF60B" w14:textId="67F6F723" w:rsidR="00D560DC" w:rsidRDefault="00AF121B" w:rsidP="00AF121B">
    <w:pPr>
      <w:pStyle w:val="Header"/>
      <w:spacing w:after="2040"/>
    </w:pPr>
    <w:r>
      <w:rPr>
        <w:noProof/>
      </w:rPr>
      <w:drawing>
        <wp:anchor distT="0" distB="0" distL="114300" distR="114300" simplePos="0" relativeHeight="251676672" behindDoc="1" locked="0" layoutInCell="1" allowOverlap="1" wp14:anchorId="4F1F3FDF" wp14:editId="154D6226">
          <wp:simplePos x="0" y="0"/>
          <wp:positionH relativeFrom="page">
            <wp:posOffset>0</wp:posOffset>
          </wp:positionH>
          <wp:positionV relativeFrom="page">
            <wp:posOffset>0</wp:posOffset>
          </wp:positionV>
          <wp:extent cx="7560000" cy="1436400"/>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436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48F5A4" w14:textId="5D34207C" w:rsidR="00D560DC" w:rsidRPr="004A3B72" w:rsidRDefault="00AF121B" w:rsidP="004A3B72">
    <w:pPr>
      <w:pStyle w:val="Header"/>
      <w:spacing w:after="2040"/>
      <w:jc w:val="right"/>
      <w:rPr>
        <w:color w:val="FFFFFF" w:themeColor="background1"/>
        <w:sz w:val="20"/>
      </w:rPr>
    </w:pPr>
    <w:r w:rsidRPr="004A3B72">
      <w:rPr>
        <w:noProof/>
        <w:color w:val="FFFFFF" w:themeColor="background1"/>
        <w:sz w:val="20"/>
      </w:rPr>
      <w:drawing>
        <wp:anchor distT="0" distB="0" distL="114300" distR="114300" simplePos="0" relativeHeight="251682816" behindDoc="1" locked="0" layoutInCell="1" allowOverlap="1" wp14:anchorId="3A15006C" wp14:editId="50E10218">
          <wp:simplePos x="0" y="0"/>
          <wp:positionH relativeFrom="page">
            <wp:posOffset>0</wp:posOffset>
          </wp:positionH>
          <wp:positionV relativeFrom="page">
            <wp:posOffset>0</wp:posOffset>
          </wp:positionV>
          <wp:extent cx="7560000" cy="1436400"/>
          <wp:effectExtent l="0" t="0" r="0" b="0"/>
          <wp:wrapNone/>
          <wp:docPr id="12" name="Picture 12" descr="Masthead with Medicare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Masthead with Medicare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436400"/>
                  </a:xfrm>
                  <a:prstGeom prst="rect">
                    <a:avLst/>
                  </a:prstGeom>
                </pic:spPr>
              </pic:pic>
            </a:graphicData>
          </a:graphic>
          <wp14:sizeRelH relativeFrom="margin">
            <wp14:pctWidth>0</wp14:pctWidth>
          </wp14:sizeRelH>
          <wp14:sizeRelV relativeFrom="margin">
            <wp14:pctHeight>0</wp14:pctHeight>
          </wp14:sizeRelV>
        </wp:anchor>
      </w:drawing>
    </w:r>
    <w:r w:rsidR="000B74B2">
      <w:rPr>
        <w:color w:val="FFFFFF" w:themeColor="background1"/>
        <w:sz w:val="20"/>
      </w:rPr>
      <w:t>Spanish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128E25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F6259A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E8A1A5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570A30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F9EFEB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70F58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BE60E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0AEF87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440F0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D4A5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A357B4"/>
    <w:multiLevelType w:val="multilevel"/>
    <w:tmpl w:val="E27E9296"/>
    <w:numStyleLink w:val="NumberedListStyle"/>
  </w:abstractNum>
  <w:abstractNum w:abstractNumId="11" w15:restartNumberingAfterBreak="0">
    <w:nsid w:val="10B22584"/>
    <w:multiLevelType w:val="hybridMultilevel"/>
    <w:tmpl w:val="F146D410"/>
    <w:lvl w:ilvl="0" w:tplc="E6140D5C">
      <w:start w:val="1"/>
      <w:numFmt w:val="bullet"/>
      <w:lvlText w:val=""/>
      <w:lvlJc w:val="left"/>
      <w:pPr>
        <w:ind w:left="4122" w:hanging="360"/>
      </w:pPr>
      <w:rPr>
        <w:rFonts w:ascii="Symbol" w:hAnsi="Symbol" w:hint="default"/>
        <w:color w:val="212A4C" w:themeColor="accent1"/>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2" w15:restartNumberingAfterBreak="0">
    <w:nsid w:val="2E5B11D9"/>
    <w:multiLevelType w:val="hybridMultilevel"/>
    <w:tmpl w:val="A90EF66E"/>
    <w:lvl w:ilvl="0" w:tplc="621E83FA">
      <w:start w:val="1"/>
      <w:numFmt w:val="bullet"/>
      <w:lvlText w:val=""/>
      <w:lvlJc w:val="left"/>
      <w:pPr>
        <w:ind w:left="3762" w:hanging="360"/>
      </w:pPr>
      <w:rPr>
        <w:rFonts w:ascii="Symbol" w:hAnsi="Symbol" w:hint="default"/>
        <w:color w:val="E6E6E6" w:themeColor="background2"/>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3" w15:restartNumberingAfterBreak="0">
    <w:nsid w:val="61E02532"/>
    <w:multiLevelType w:val="multilevel"/>
    <w:tmpl w:val="E27E9296"/>
    <w:styleLink w:val="NumberedListStyle"/>
    <w:lvl w:ilvl="0">
      <w:start w:val="1"/>
      <w:numFmt w:val="decimal"/>
      <w:pStyle w:val="NumberedList1"/>
      <w:lvlText w:val="%1."/>
      <w:lvlJc w:val="left"/>
      <w:pPr>
        <w:ind w:left="284" w:hanging="284"/>
      </w:pPr>
      <w:rPr>
        <w:rFonts w:hint="default"/>
        <w:color w:val="auto"/>
      </w:rPr>
    </w:lvl>
    <w:lvl w:ilvl="1">
      <w:start w:val="1"/>
      <w:numFmt w:val="lowerLetter"/>
      <w:pStyle w:val="NumberedList2"/>
      <w:lvlText w:val="%2."/>
      <w:lvlJc w:val="left"/>
      <w:pPr>
        <w:ind w:left="568" w:hanging="284"/>
      </w:pPr>
      <w:rPr>
        <w:rFonts w:hint="default"/>
        <w:color w:val="auto"/>
      </w:rPr>
    </w:lvl>
    <w:lvl w:ilvl="2">
      <w:start w:val="1"/>
      <w:numFmt w:val="lowerRoman"/>
      <w:pStyle w:val="NumberedList3"/>
      <w:lvlText w:val="%3."/>
      <w:lvlJc w:val="left"/>
      <w:pPr>
        <w:ind w:left="852" w:hanging="284"/>
      </w:pPr>
      <w:rPr>
        <w:rFonts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4"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hint="default"/>
        <w:color w:val="323232"/>
      </w:rPr>
    </w:lvl>
    <w:lvl w:ilvl="1">
      <w:start w:val="1"/>
      <w:numFmt w:val="bullet"/>
      <w:pStyle w:val="Bullet2"/>
      <w:lvlText w:val="–"/>
      <w:lvlJc w:val="left"/>
      <w:pPr>
        <w:ind w:left="568" w:hanging="284"/>
      </w:pPr>
      <w:rPr>
        <w:rFonts w:ascii="Calibri" w:hAnsi="Calibri" w:hint="default"/>
        <w:color w:val="323232"/>
      </w:rPr>
    </w:lvl>
    <w:lvl w:ilvl="2">
      <w:start w:val="1"/>
      <w:numFmt w:val="bullet"/>
      <w:pStyle w:val="Bullet3"/>
      <w:lvlText w:val="»"/>
      <w:lvlJc w:val="left"/>
      <w:pPr>
        <w:ind w:left="852" w:hanging="284"/>
      </w:pPr>
      <w:rPr>
        <w:rFonts w:ascii="Calibri" w:hAnsi="Calibri" w:hint="default"/>
        <w:color w:val="323232"/>
      </w:rPr>
    </w:lvl>
    <w:lvl w:ilvl="3">
      <w:start w:val="1"/>
      <w:numFmt w:val="bullet"/>
      <w:lvlText w:val="◦"/>
      <w:lvlJc w:val="left"/>
      <w:pPr>
        <w:ind w:left="1136" w:hanging="284"/>
      </w:pPr>
      <w:rPr>
        <w:rFonts w:ascii="Calibri" w:hAnsi="Calibri" w:hint="default"/>
        <w:color w:val="323232"/>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16cid:durableId="41564862">
    <w:abstractNumId w:val="14"/>
  </w:num>
  <w:num w:numId="2" w16cid:durableId="5481502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99642505">
    <w:abstractNumId w:val="13"/>
  </w:num>
  <w:num w:numId="4" w16cid:durableId="210615247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77883548">
    <w:abstractNumId w:val="11"/>
  </w:num>
  <w:num w:numId="6" w16cid:durableId="2117748573">
    <w:abstractNumId w:val="12"/>
  </w:num>
  <w:num w:numId="7" w16cid:durableId="523322331">
    <w:abstractNumId w:val="9"/>
  </w:num>
  <w:num w:numId="8" w16cid:durableId="1816868293">
    <w:abstractNumId w:val="7"/>
  </w:num>
  <w:num w:numId="9" w16cid:durableId="709837278">
    <w:abstractNumId w:val="6"/>
  </w:num>
  <w:num w:numId="10" w16cid:durableId="2083218096">
    <w:abstractNumId w:val="5"/>
  </w:num>
  <w:num w:numId="11" w16cid:durableId="1601526990">
    <w:abstractNumId w:val="4"/>
  </w:num>
  <w:num w:numId="12" w16cid:durableId="1838036762">
    <w:abstractNumId w:val="8"/>
  </w:num>
  <w:num w:numId="13" w16cid:durableId="997269135">
    <w:abstractNumId w:val="3"/>
  </w:num>
  <w:num w:numId="14" w16cid:durableId="1318847858">
    <w:abstractNumId w:val="2"/>
  </w:num>
  <w:num w:numId="15" w16cid:durableId="1542473511">
    <w:abstractNumId w:val="1"/>
  </w:num>
  <w:num w:numId="16" w16cid:durableId="608129297">
    <w:abstractNumId w:val="0"/>
  </w:num>
  <w:num w:numId="17" w16cid:durableId="698556330">
    <w:abstractNumId w:val="10"/>
  </w:num>
  <w:num w:numId="18" w16cid:durableId="1425416796">
    <w:abstractNumId w:val="0"/>
  </w:num>
  <w:num w:numId="19" w16cid:durableId="439883691">
    <w:abstractNumId w:val="1"/>
  </w:num>
  <w:num w:numId="20" w16cid:durableId="2003242802">
    <w:abstractNumId w:val="2"/>
  </w:num>
  <w:num w:numId="21" w16cid:durableId="1059521486">
    <w:abstractNumId w:val="3"/>
  </w:num>
  <w:num w:numId="22" w16cid:durableId="1949848030">
    <w:abstractNumId w:val="8"/>
  </w:num>
  <w:num w:numId="23" w16cid:durableId="1603108507">
    <w:abstractNumId w:val="4"/>
  </w:num>
  <w:num w:numId="24" w16cid:durableId="1678581383">
    <w:abstractNumId w:val="5"/>
  </w:num>
  <w:num w:numId="25" w16cid:durableId="433138120">
    <w:abstractNumId w:val="6"/>
  </w:num>
  <w:num w:numId="26" w16cid:durableId="680275534">
    <w:abstractNumId w:val="7"/>
  </w:num>
  <w:num w:numId="27" w16cid:durableId="7755696">
    <w:abstractNumId w:val="0"/>
  </w:num>
  <w:num w:numId="28" w16cid:durableId="1747680162">
    <w:abstractNumId w:val="1"/>
  </w:num>
  <w:num w:numId="29" w16cid:durableId="1544488775">
    <w:abstractNumId w:val="2"/>
  </w:num>
  <w:num w:numId="30" w16cid:durableId="2063869892">
    <w:abstractNumId w:val="3"/>
  </w:num>
  <w:num w:numId="31" w16cid:durableId="2075807878">
    <w:abstractNumId w:val="8"/>
  </w:num>
  <w:num w:numId="32" w16cid:durableId="1610896920">
    <w:abstractNumId w:val="4"/>
  </w:num>
  <w:num w:numId="33" w16cid:durableId="2139641847">
    <w:abstractNumId w:val="5"/>
  </w:num>
  <w:num w:numId="34" w16cid:durableId="723211971">
    <w:abstractNumId w:val="6"/>
  </w:num>
  <w:num w:numId="35" w16cid:durableId="129023857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D01"/>
    <w:rsid w:val="00017597"/>
    <w:rsid w:val="00027E66"/>
    <w:rsid w:val="0003434C"/>
    <w:rsid w:val="00061D6A"/>
    <w:rsid w:val="00073057"/>
    <w:rsid w:val="00092C08"/>
    <w:rsid w:val="000A208F"/>
    <w:rsid w:val="000B18A7"/>
    <w:rsid w:val="000B74B2"/>
    <w:rsid w:val="000C1204"/>
    <w:rsid w:val="001308BE"/>
    <w:rsid w:val="00152802"/>
    <w:rsid w:val="00163226"/>
    <w:rsid w:val="00197EC9"/>
    <w:rsid w:val="001B3342"/>
    <w:rsid w:val="001E3443"/>
    <w:rsid w:val="00212921"/>
    <w:rsid w:val="002A77A4"/>
    <w:rsid w:val="002B5E7A"/>
    <w:rsid w:val="002C26E8"/>
    <w:rsid w:val="002D27AE"/>
    <w:rsid w:val="002D3156"/>
    <w:rsid w:val="00305FF4"/>
    <w:rsid w:val="00382793"/>
    <w:rsid w:val="0039286F"/>
    <w:rsid w:val="003932FC"/>
    <w:rsid w:val="0039793D"/>
    <w:rsid w:val="003F6E9A"/>
    <w:rsid w:val="003F7267"/>
    <w:rsid w:val="00403584"/>
    <w:rsid w:val="0041233C"/>
    <w:rsid w:val="00432A99"/>
    <w:rsid w:val="004A3B72"/>
    <w:rsid w:val="004B3D3F"/>
    <w:rsid w:val="004C7058"/>
    <w:rsid w:val="004E540A"/>
    <w:rsid w:val="00527D37"/>
    <w:rsid w:val="00531F4B"/>
    <w:rsid w:val="00535C06"/>
    <w:rsid w:val="00581BDE"/>
    <w:rsid w:val="005D7C16"/>
    <w:rsid w:val="00635A19"/>
    <w:rsid w:val="00702666"/>
    <w:rsid w:val="007148D0"/>
    <w:rsid w:val="007661CA"/>
    <w:rsid w:val="007B0499"/>
    <w:rsid w:val="007B4244"/>
    <w:rsid w:val="0080053F"/>
    <w:rsid w:val="00812B54"/>
    <w:rsid w:val="00844530"/>
    <w:rsid w:val="00853B77"/>
    <w:rsid w:val="00865346"/>
    <w:rsid w:val="00891C26"/>
    <w:rsid w:val="008A340B"/>
    <w:rsid w:val="008B07F6"/>
    <w:rsid w:val="00901119"/>
    <w:rsid w:val="009426C5"/>
    <w:rsid w:val="0095530D"/>
    <w:rsid w:val="00991659"/>
    <w:rsid w:val="009B02F7"/>
    <w:rsid w:val="009C01BF"/>
    <w:rsid w:val="00A2470F"/>
    <w:rsid w:val="00A62134"/>
    <w:rsid w:val="00AB76A4"/>
    <w:rsid w:val="00AF121B"/>
    <w:rsid w:val="00AF71F9"/>
    <w:rsid w:val="00B612DA"/>
    <w:rsid w:val="00B948D8"/>
    <w:rsid w:val="00BA4643"/>
    <w:rsid w:val="00BB0191"/>
    <w:rsid w:val="00BC2448"/>
    <w:rsid w:val="00C1181F"/>
    <w:rsid w:val="00C579DD"/>
    <w:rsid w:val="00C70717"/>
    <w:rsid w:val="00C72181"/>
    <w:rsid w:val="00C925A7"/>
    <w:rsid w:val="00CD1D0E"/>
    <w:rsid w:val="00CE277A"/>
    <w:rsid w:val="00CF40FC"/>
    <w:rsid w:val="00D06FDA"/>
    <w:rsid w:val="00D11558"/>
    <w:rsid w:val="00D43D9C"/>
    <w:rsid w:val="00D50739"/>
    <w:rsid w:val="00D548FC"/>
    <w:rsid w:val="00D560DC"/>
    <w:rsid w:val="00D67D1B"/>
    <w:rsid w:val="00D735A7"/>
    <w:rsid w:val="00D83C95"/>
    <w:rsid w:val="00DB5904"/>
    <w:rsid w:val="00DB5D01"/>
    <w:rsid w:val="00DB786A"/>
    <w:rsid w:val="00E0199B"/>
    <w:rsid w:val="00E06FAF"/>
    <w:rsid w:val="00E34EFB"/>
    <w:rsid w:val="00E47880"/>
    <w:rsid w:val="00E47EE2"/>
    <w:rsid w:val="00E65022"/>
    <w:rsid w:val="00EB21F4"/>
    <w:rsid w:val="00EF16B7"/>
    <w:rsid w:val="00F06BB8"/>
    <w:rsid w:val="00F06E01"/>
    <w:rsid w:val="00F52C02"/>
    <w:rsid w:val="00F57682"/>
    <w:rsid w:val="00F62279"/>
    <w:rsid w:val="00F64FDB"/>
    <w:rsid w:val="00FA1246"/>
    <w:rsid w:val="00FA3109"/>
    <w:rsid w:val="00FB1D7F"/>
    <w:rsid w:val="00FB7C1E"/>
    <w:rsid w:val="00FD4E53"/>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8A5F9E1"/>
  <w15:chartTrackingRefBased/>
  <w15:docId w15:val="{BECC3B99-EE7C-6F45-BA21-57A1FEF98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color w:val="000000" w:themeColor="text1"/>
        <w:lang w:val="en-AU" w:eastAsia="zh-CN" w:bidi="ar-SA"/>
      </w:rPr>
    </w:rPrDefault>
    <w:pPrDefault>
      <w:pPr>
        <w:spacing w:before="160" w:after="8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279"/>
    <w:rPr>
      <w:rFonts w:ascii="Arial" w:hAnsi="Arial"/>
      <w:sz w:val="24"/>
    </w:rPr>
  </w:style>
  <w:style w:type="paragraph" w:styleId="Heading1">
    <w:name w:val="heading 1"/>
    <w:basedOn w:val="Normal"/>
    <w:next w:val="Normal"/>
    <w:link w:val="Heading1Char"/>
    <w:uiPriority w:val="4"/>
    <w:qFormat/>
    <w:rsid w:val="00FB7C1E"/>
    <w:pPr>
      <w:keepNext/>
      <w:keepLines/>
      <w:spacing w:before="320" w:after="160" w:line="420" w:lineRule="atLeast"/>
      <w:outlineLvl w:val="0"/>
    </w:pPr>
    <w:rPr>
      <w:rFonts w:eastAsiaTheme="majorEastAsia" w:cstheme="majorBidi"/>
      <w:b/>
      <w:sz w:val="32"/>
      <w:szCs w:val="32"/>
    </w:rPr>
  </w:style>
  <w:style w:type="paragraph" w:styleId="Heading2">
    <w:name w:val="heading 2"/>
    <w:basedOn w:val="Heading1"/>
    <w:next w:val="Normal"/>
    <w:link w:val="Heading2Char"/>
    <w:uiPriority w:val="4"/>
    <w:unhideWhenUsed/>
    <w:qFormat/>
    <w:rsid w:val="00C70717"/>
    <w:pPr>
      <w:spacing w:line="340" w:lineRule="atLeast"/>
      <w:outlineLvl w:val="1"/>
    </w:pPr>
    <w:rPr>
      <w:sz w:val="24"/>
      <w:szCs w:val="26"/>
    </w:rPr>
  </w:style>
  <w:style w:type="paragraph" w:styleId="Heading3">
    <w:name w:val="heading 3"/>
    <w:basedOn w:val="Heading2"/>
    <w:next w:val="Normal"/>
    <w:link w:val="Heading3Char"/>
    <w:uiPriority w:val="4"/>
    <w:unhideWhenUsed/>
    <w:qFormat/>
    <w:rsid w:val="00D11558"/>
    <w:pPr>
      <w:spacing w:line="280" w:lineRule="atLeast"/>
      <w:outlineLvl w:val="2"/>
    </w:pPr>
    <w:rPr>
      <w:szCs w:val="24"/>
    </w:rPr>
  </w:style>
  <w:style w:type="paragraph" w:styleId="Heading4">
    <w:name w:val="heading 4"/>
    <w:basedOn w:val="Heading3"/>
    <w:next w:val="Normal"/>
    <w:link w:val="Heading4Char"/>
    <w:uiPriority w:val="4"/>
    <w:unhideWhenUsed/>
    <w:qFormat/>
    <w:rsid w:val="00F64FDB"/>
    <w:pPr>
      <w:outlineLvl w:val="3"/>
    </w:pPr>
    <w:rPr>
      <w:b w:val="0"/>
      <w:iCs/>
      <w:color w:val="212A4C" w:themeColor="text2"/>
      <w:sz w:val="20"/>
    </w:rPr>
  </w:style>
  <w:style w:type="paragraph" w:styleId="Heading5">
    <w:name w:val="heading 5"/>
    <w:basedOn w:val="Heading4"/>
    <w:next w:val="Normal"/>
    <w:link w:val="Heading5Char"/>
    <w:uiPriority w:val="4"/>
    <w:semiHidden/>
    <w:unhideWhenUsed/>
    <w:qFormat/>
    <w:rsid w:val="00F64FDB"/>
    <w:pPr>
      <w:outlineLvl w:val="4"/>
    </w:pPr>
    <w:rPr>
      <w:b/>
      <w:i/>
      <w:color w:val="264F90" w:themeColor="accent2"/>
    </w:rPr>
  </w:style>
  <w:style w:type="paragraph" w:styleId="Heading6">
    <w:name w:val="heading 6"/>
    <w:basedOn w:val="Normal"/>
    <w:next w:val="Normal"/>
    <w:link w:val="Heading6Char"/>
    <w:uiPriority w:val="4"/>
    <w:semiHidden/>
    <w:unhideWhenUsed/>
    <w:qFormat/>
    <w:rsid w:val="00F62279"/>
    <w:pPr>
      <w:keepNext/>
      <w:keepLines/>
      <w:spacing w:before="40" w:after="0"/>
      <w:outlineLvl w:val="5"/>
    </w:pPr>
    <w:rPr>
      <w:rFonts w:eastAsiaTheme="majorEastAsia" w:cstheme="majorBidi"/>
      <w:color w:val="101425" w:themeColor="accent1" w:themeShade="7F"/>
    </w:rPr>
  </w:style>
  <w:style w:type="paragraph" w:styleId="Heading7">
    <w:name w:val="heading 7"/>
    <w:basedOn w:val="Normal"/>
    <w:next w:val="Normal"/>
    <w:link w:val="Heading7Char"/>
    <w:uiPriority w:val="4"/>
    <w:semiHidden/>
    <w:unhideWhenUsed/>
    <w:qFormat/>
    <w:rsid w:val="00F62279"/>
    <w:pPr>
      <w:keepNext/>
      <w:keepLines/>
      <w:spacing w:before="40" w:after="0"/>
      <w:outlineLvl w:val="6"/>
    </w:pPr>
    <w:rPr>
      <w:rFonts w:eastAsiaTheme="majorEastAsia" w:cstheme="majorBidi"/>
      <w:i/>
      <w:iCs/>
      <w:color w:val="101425" w:themeColor="accent1" w:themeShade="7F"/>
    </w:rPr>
  </w:style>
  <w:style w:type="paragraph" w:styleId="Heading8">
    <w:name w:val="heading 8"/>
    <w:basedOn w:val="Normal"/>
    <w:next w:val="Normal"/>
    <w:link w:val="Heading8Char"/>
    <w:uiPriority w:val="4"/>
    <w:semiHidden/>
    <w:unhideWhenUsed/>
    <w:qFormat/>
    <w:rsid w:val="00F62279"/>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4"/>
    <w:semiHidden/>
    <w:unhideWhenUsed/>
    <w:qFormat/>
    <w:rsid w:val="00F62279"/>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560DC"/>
    <w:rPr>
      <w:rFonts w:ascii="Arial" w:hAnsi="Arial"/>
      <w:i/>
      <w:iCs/>
    </w:rPr>
  </w:style>
  <w:style w:type="character" w:styleId="IntenseEmphasis">
    <w:name w:val="Intense Emphasis"/>
    <w:basedOn w:val="DefaultParagraphFont"/>
    <w:uiPriority w:val="21"/>
    <w:qFormat/>
    <w:rsid w:val="00D560DC"/>
    <w:rPr>
      <w:rFonts w:ascii="Arial" w:hAnsi="Arial"/>
      <w:i/>
      <w:iCs/>
      <w:color w:val="212A4C" w:themeColor="accent1"/>
    </w:rPr>
  </w:style>
  <w:style w:type="character" w:styleId="Strong">
    <w:name w:val="Strong"/>
    <w:basedOn w:val="DefaultParagraphFont"/>
    <w:uiPriority w:val="22"/>
    <w:qFormat/>
    <w:rsid w:val="00D560DC"/>
    <w:rPr>
      <w:rFonts w:ascii="Arial" w:hAnsi="Arial"/>
      <w:b/>
      <w:bCs/>
    </w:rPr>
  </w:style>
  <w:style w:type="paragraph" w:styleId="Header">
    <w:name w:val="header"/>
    <w:basedOn w:val="Normal"/>
    <w:link w:val="HeaderChar"/>
    <w:uiPriority w:val="99"/>
    <w:unhideWhenUsed/>
    <w:rsid w:val="00D560DC"/>
    <w:pPr>
      <w:spacing w:before="0" w:after="0"/>
    </w:pPr>
  </w:style>
  <w:style w:type="character" w:customStyle="1" w:styleId="HeaderChar">
    <w:name w:val="Header Char"/>
    <w:basedOn w:val="DefaultParagraphFont"/>
    <w:link w:val="Header"/>
    <w:uiPriority w:val="99"/>
    <w:rsid w:val="00D560DC"/>
    <w:rPr>
      <w:rFonts w:ascii="Arial" w:hAnsi="Arial"/>
    </w:rPr>
  </w:style>
  <w:style w:type="paragraph" w:styleId="Footer">
    <w:name w:val="footer"/>
    <w:basedOn w:val="Normal"/>
    <w:link w:val="FooterChar"/>
    <w:uiPriority w:val="99"/>
    <w:unhideWhenUsed/>
    <w:rsid w:val="00C70717"/>
    <w:pPr>
      <w:tabs>
        <w:tab w:val="right" w:pos="9866"/>
      </w:tabs>
      <w:spacing w:after="0" w:line="320" w:lineRule="atLeast"/>
    </w:pPr>
    <w:rPr>
      <w:color w:val="auto"/>
    </w:rPr>
  </w:style>
  <w:style w:type="character" w:customStyle="1" w:styleId="FooterChar">
    <w:name w:val="Footer Char"/>
    <w:basedOn w:val="DefaultParagraphFont"/>
    <w:link w:val="Footer"/>
    <w:uiPriority w:val="99"/>
    <w:rsid w:val="00C70717"/>
    <w:rPr>
      <w:rFonts w:ascii="Arial" w:hAnsi="Arial"/>
      <w:color w:val="auto"/>
      <w:sz w:val="24"/>
    </w:rPr>
  </w:style>
  <w:style w:type="paragraph" w:styleId="Subtitle">
    <w:name w:val="Subtitle"/>
    <w:basedOn w:val="Heading1"/>
    <w:next w:val="Normal"/>
    <w:link w:val="SubtitleChar"/>
    <w:uiPriority w:val="11"/>
    <w:qFormat/>
    <w:rsid w:val="00F64FDB"/>
    <w:pPr>
      <w:numPr>
        <w:ilvl w:val="1"/>
      </w:numPr>
      <w:spacing w:before="0" w:after="320" w:line="560" w:lineRule="atLeast"/>
    </w:pPr>
    <w:rPr>
      <w:color w:val="212A4C" w:themeColor="text2"/>
      <w:sz w:val="44"/>
      <w:szCs w:val="22"/>
    </w:rPr>
  </w:style>
  <w:style w:type="character" w:customStyle="1" w:styleId="SubtitleChar">
    <w:name w:val="Subtitle Char"/>
    <w:basedOn w:val="DefaultParagraphFont"/>
    <w:link w:val="Subtitle"/>
    <w:uiPriority w:val="11"/>
    <w:rsid w:val="00F64FDB"/>
    <w:rPr>
      <w:rFonts w:asciiTheme="majorHAnsi" w:eastAsiaTheme="majorEastAsia" w:hAnsiTheme="majorHAnsi" w:cstheme="majorBidi"/>
      <w:b/>
      <w:color w:val="212A4C" w:themeColor="text2"/>
      <w:sz w:val="44"/>
      <w:szCs w:val="22"/>
    </w:rPr>
  </w:style>
  <w:style w:type="paragraph" w:styleId="Title">
    <w:name w:val="Title"/>
    <w:basedOn w:val="Heading1"/>
    <w:next w:val="Normal"/>
    <w:link w:val="TitleChar"/>
    <w:uiPriority w:val="10"/>
    <w:qFormat/>
    <w:rsid w:val="00FB7C1E"/>
    <w:pPr>
      <w:spacing w:before="0" w:after="0" w:line="240" w:lineRule="auto"/>
      <w:contextualSpacing/>
    </w:pPr>
    <w:rPr>
      <w:b w:val="0"/>
      <w:spacing w:val="-10"/>
      <w:kern w:val="28"/>
      <w:sz w:val="52"/>
      <w:szCs w:val="56"/>
    </w:rPr>
  </w:style>
  <w:style w:type="character" w:customStyle="1" w:styleId="TitleChar">
    <w:name w:val="Title Char"/>
    <w:basedOn w:val="DefaultParagraphFont"/>
    <w:link w:val="Title"/>
    <w:uiPriority w:val="10"/>
    <w:rsid w:val="00FB7C1E"/>
    <w:rPr>
      <w:rFonts w:ascii="Arial" w:eastAsiaTheme="majorEastAsia" w:hAnsi="Arial" w:cstheme="majorBidi"/>
      <w:spacing w:val="-10"/>
      <w:kern w:val="28"/>
      <w:sz w:val="52"/>
      <w:szCs w:val="56"/>
    </w:rPr>
  </w:style>
  <w:style w:type="character" w:styleId="PlaceholderText">
    <w:name w:val="Placeholder Text"/>
    <w:basedOn w:val="DefaultParagraphFont"/>
    <w:uiPriority w:val="99"/>
    <w:semiHidden/>
    <w:rsid w:val="00D560DC"/>
    <w:rPr>
      <w:rFonts w:ascii="Arial" w:hAnsi="Arial"/>
      <w:color w:val="808080"/>
    </w:rPr>
  </w:style>
  <w:style w:type="character" w:customStyle="1" w:styleId="Heading2Char">
    <w:name w:val="Heading 2 Char"/>
    <w:basedOn w:val="DefaultParagraphFont"/>
    <w:link w:val="Heading2"/>
    <w:uiPriority w:val="4"/>
    <w:rsid w:val="00C70717"/>
    <w:rPr>
      <w:rFonts w:ascii="Arial" w:eastAsiaTheme="majorEastAsia" w:hAnsi="Arial" w:cstheme="majorBidi"/>
      <w:b/>
      <w:sz w:val="24"/>
      <w:szCs w:val="26"/>
    </w:rPr>
  </w:style>
  <w:style w:type="character" w:customStyle="1" w:styleId="Heading1Char">
    <w:name w:val="Heading 1 Char"/>
    <w:basedOn w:val="DefaultParagraphFont"/>
    <w:link w:val="Heading1"/>
    <w:uiPriority w:val="4"/>
    <w:rsid w:val="00FB7C1E"/>
    <w:rPr>
      <w:rFonts w:ascii="Arial" w:eastAsiaTheme="majorEastAsia" w:hAnsi="Arial" w:cstheme="majorBidi"/>
      <w:b/>
      <w:sz w:val="32"/>
      <w:szCs w:val="32"/>
    </w:rPr>
  </w:style>
  <w:style w:type="character" w:customStyle="1" w:styleId="Heading3Char">
    <w:name w:val="Heading 3 Char"/>
    <w:basedOn w:val="DefaultParagraphFont"/>
    <w:link w:val="Heading3"/>
    <w:uiPriority w:val="4"/>
    <w:rsid w:val="00D11558"/>
    <w:rPr>
      <w:rFonts w:asciiTheme="majorHAnsi" w:eastAsiaTheme="majorEastAsia" w:hAnsiTheme="majorHAnsi" w:cstheme="majorBidi"/>
      <w:b/>
      <w:sz w:val="24"/>
      <w:szCs w:val="24"/>
    </w:rPr>
  </w:style>
  <w:style w:type="character" w:customStyle="1" w:styleId="Heading4Char">
    <w:name w:val="Heading 4 Char"/>
    <w:basedOn w:val="DefaultParagraphFont"/>
    <w:link w:val="Heading4"/>
    <w:uiPriority w:val="4"/>
    <w:rsid w:val="008A340B"/>
    <w:rPr>
      <w:rFonts w:asciiTheme="majorHAnsi" w:eastAsiaTheme="majorEastAsia" w:hAnsiTheme="majorHAnsi" w:cstheme="majorBidi"/>
      <w:b/>
      <w:iCs/>
      <w:color w:val="212A4C" w:themeColor="text2"/>
      <w:szCs w:val="24"/>
    </w:rPr>
  </w:style>
  <w:style w:type="paragraph" w:customStyle="1" w:styleId="Bullet1">
    <w:name w:val="Bullet 1"/>
    <w:basedOn w:val="Normal"/>
    <w:uiPriority w:val="2"/>
    <w:qFormat/>
    <w:rsid w:val="00061D6A"/>
    <w:pPr>
      <w:numPr>
        <w:numId w:val="1"/>
      </w:numPr>
      <w:spacing w:before="80"/>
    </w:pPr>
  </w:style>
  <w:style w:type="paragraph" w:customStyle="1" w:styleId="Bullet2">
    <w:name w:val="Bullet 2"/>
    <w:basedOn w:val="Bullet1"/>
    <w:uiPriority w:val="2"/>
    <w:qFormat/>
    <w:rsid w:val="00F64FDB"/>
    <w:pPr>
      <w:numPr>
        <w:ilvl w:val="1"/>
      </w:numPr>
    </w:pPr>
  </w:style>
  <w:style w:type="paragraph" w:customStyle="1" w:styleId="Bullet3">
    <w:name w:val="Bullet 3"/>
    <w:basedOn w:val="Bullet2"/>
    <w:uiPriority w:val="2"/>
    <w:qFormat/>
    <w:rsid w:val="00F64FDB"/>
    <w:pPr>
      <w:numPr>
        <w:ilvl w:val="2"/>
      </w:numPr>
    </w:pPr>
  </w:style>
  <w:style w:type="numbering" w:customStyle="1" w:styleId="BulletListStyle">
    <w:name w:val="Bullet List Style"/>
    <w:uiPriority w:val="99"/>
    <w:rsid w:val="00061D6A"/>
    <w:pPr>
      <w:numPr>
        <w:numId w:val="1"/>
      </w:numPr>
    </w:pPr>
  </w:style>
  <w:style w:type="paragraph" w:customStyle="1" w:styleId="NumberedList1">
    <w:name w:val="Numbered List 1"/>
    <w:basedOn w:val="Normal"/>
    <w:uiPriority w:val="2"/>
    <w:qFormat/>
    <w:rsid w:val="00F62279"/>
    <w:pPr>
      <w:numPr>
        <w:numId w:val="17"/>
      </w:numPr>
      <w:spacing w:before="80"/>
    </w:pPr>
  </w:style>
  <w:style w:type="paragraph" w:customStyle="1" w:styleId="NumberedList2">
    <w:name w:val="Numbered List 2"/>
    <w:basedOn w:val="NumberedList1"/>
    <w:uiPriority w:val="2"/>
    <w:qFormat/>
    <w:rsid w:val="00F64FDB"/>
    <w:pPr>
      <w:numPr>
        <w:ilvl w:val="1"/>
      </w:numPr>
    </w:pPr>
  </w:style>
  <w:style w:type="paragraph" w:customStyle="1" w:styleId="NumberedList3">
    <w:name w:val="Numbered List 3"/>
    <w:basedOn w:val="NumberedList2"/>
    <w:uiPriority w:val="2"/>
    <w:qFormat/>
    <w:rsid w:val="00F64FDB"/>
    <w:pPr>
      <w:numPr>
        <w:ilvl w:val="2"/>
      </w:numPr>
    </w:pPr>
  </w:style>
  <w:style w:type="paragraph" w:customStyle="1" w:styleId="Introductionparagraph">
    <w:name w:val="Introduction paragraph"/>
    <w:basedOn w:val="Normal"/>
    <w:uiPriority w:val="5"/>
    <w:qFormat/>
    <w:rsid w:val="004C7058"/>
    <w:pPr>
      <w:spacing w:before="320" w:after="320" w:line="340" w:lineRule="atLeast"/>
    </w:pPr>
    <w:rPr>
      <w:sz w:val="28"/>
    </w:rPr>
  </w:style>
  <w:style w:type="character" w:customStyle="1" w:styleId="Heading5Char">
    <w:name w:val="Heading 5 Char"/>
    <w:basedOn w:val="DefaultParagraphFont"/>
    <w:link w:val="Heading5"/>
    <w:uiPriority w:val="4"/>
    <w:semiHidden/>
    <w:rsid w:val="008A340B"/>
    <w:rPr>
      <w:rFonts w:asciiTheme="majorHAnsi" w:eastAsiaTheme="majorEastAsia" w:hAnsiTheme="majorHAnsi" w:cstheme="majorBidi"/>
      <w:i/>
      <w:iCs/>
      <w:color w:val="264F90" w:themeColor="accent2"/>
      <w:szCs w:val="24"/>
    </w:rPr>
  </w:style>
  <w:style w:type="paragraph" w:styleId="Quote">
    <w:name w:val="Quote"/>
    <w:basedOn w:val="Normal"/>
    <w:next w:val="Normal"/>
    <w:link w:val="QuoteChar"/>
    <w:uiPriority w:val="29"/>
    <w:qFormat/>
    <w:rsid w:val="00061D6A"/>
    <w:pPr>
      <w:spacing w:before="320" w:after="320" w:line="340" w:lineRule="atLeast"/>
      <w:ind w:left="284" w:right="284"/>
    </w:pPr>
    <w:rPr>
      <w:iCs/>
      <w:color w:val="176CB5" w:themeColor="accent3"/>
    </w:rPr>
  </w:style>
  <w:style w:type="character" w:customStyle="1" w:styleId="QuoteChar">
    <w:name w:val="Quote Char"/>
    <w:basedOn w:val="DefaultParagraphFont"/>
    <w:link w:val="Quote"/>
    <w:uiPriority w:val="29"/>
    <w:rsid w:val="00061D6A"/>
    <w:rPr>
      <w:rFonts w:ascii="Arial" w:hAnsi="Arial"/>
      <w:iCs/>
      <w:color w:val="176CB5" w:themeColor="accent3"/>
      <w:sz w:val="24"/>
    </w:rPr>
  </w:style>
  <w:style w:type="paragraph" w:customStyle="1" w:styleId="BoxQuote">
    <w:name w:val="Box Quote"/>
    <w:basedOn w:val="Quote"/>
    <w:uiPriority w:val="12"/>
    <w:qFormat/>
    <w:rsid w:val="00061D6A"/>
    <w:pPr>
      <w:pBdr>
        <w:top w:val="single" w:sz="4" w:space="14" w:color="DAECFA"/>
        <w:left w:val="single" w:sz="4" w:space="14" w:color="264F90" w:themeColor="accent2"/>
        <w:bottom w:val="single" w:sz="4" w:space="14" w:color="DAECFA"/>
        <w:right w:val="single" w:sz="4" w:space="14" w:color="DAECFA"/>
      </w:pBdr>
      <w:shd w:val="clear" w:color="auto" w:fill="DAECFA"/>
    </w:pPr>
  </w:style>
  <w:style w:type="paragraph" w:customStyle="1" w:styleId="Photocaption">
    <w:name w:val="Photo caption"/>
    <w:basedOn w:val="Normal"/>
    <w:uiPriority w:val="14"/>
    <w:qFormat/>
    <w:rsid w:val="00061D6A"/>
    <w:pPr>
      <w:pBdr>
        <w:bottom w:val="single" w:sz="4" w:space="8" w:color="176CB5" w:themeColor="accent3"/>
      </w:pBdr>
      <w:spacing w:after="160" w:line="240" w:lineRule="atLeast"/>
    </w:pPr>
    <w:rPr>
      <w:sz w:val="16"/>
    </w:rPr>
  </w:style>
  <w:style w:type="numbering" w:customStyle="1" w:styleId="NumberedListStyle">
    <w:name w:val="Numbered List Style"/>
    <w:uiPriority w:val="99"/>
    <w:rsid w:val="00F62279"/>
    <w:pPr>
      <w:numPr>
        <w:numId w:val="3"/>
      </w:numPr>
    </w:pPr>
  </w:style>
  <w:style w:type="table" w:styleId="TableGrid">
    <w:name w:val="Table Grid"/>
    <w:basedOn w:val="TableNormal"/>
    <w:uiPriority w:val="59"/>
    <w:rsid w:val="00061D6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EPTable1">
    <w:name w:val="BEP Table 1"/>
    <w:basedOn w:val="TableNormal"/>
    <w:uiPriority w:val="99"/>
    <w:rsid w:val="0095530D"/>
    <w:pPr>
      <w:spacing w:before="80" w:line="240" w:lineRule="auto"/>
    </w:pPr>
    <w:tblPr>
      <w:tblStyleRowBandSize w:val="1"/>
      <w:tblStyleColBandSize w:val="1"/>
      <w:tblBorders>
        <w:top w:val="single" w:sz="4" w:space="0" w:color="auto"/>
        <w:bottom w:val="single" w:sz="4" w:space="0" w:color="auto"/>
        <w:insideH w:val="single" w:sz="4" w:space="0" w:color="auto"/>
        <w:insideV w:val="single" w:sz="4" w:space="0" w:color="auto"/>
      </w:tblBorders>
      <w:tblCellMar>
        <w:top w:w="57" w:type="dxa"/>
        <w:bottom w:w="57" w:type="dxa"/>
      </w:tblCellMar>
    </w:tblPr>
    <w:tcPr>
      <w:shd w:val="clear" w:color="auto" w:fill="000000" w:themeFill="text1"/>
    </w:tcPr>
    <w:tblStylePr w:type="firstRow">
      <w:rPr>
        <w:b/>
      </w:rPr>
      <w:tblPr/>
      <w:trPr>
        <w:tblHeader/>
      </w:trPr>
      <w:tcPr>
        <w:shd w:val="clear" w:color="auto" w:fill="DAECFA"/>
      </w:tcPr>
    </w:tblStylePr>
    <w:tblStylePr w:type="lastRow">
      <w:tblPr/>
      <w:tcPr>
        <w:shd w:val="clear" w:color="auto" w:fill="D9D9D9" w:themeFill="background1" w:themeFillShade="D9"/>
      </w:tcPr>
    </w:tblStylePr>
    <w:tblStylePr w:type="firstCol">
      <w:rPr>
        <w:b w:val="0"/>
      </w:rPr>
    </w:tblStylePr>
    <w:tblStylePr w:type="lastCol">
      <w:rPr>
        <w:b/>
      </w:rPr>
    </w:tblStylePr>
    <w:tblStylePr w:type="band1Vert">
      <w:tblPr/>
      <w:tcPr>
        <w:shd w:val="clear" w:color="auto" w:fill="F2F2F2" w:themeFill="background1" w:themeFillShade="F2"/>
      </w:tcPr>
    </w:tblStylePr>
    <w:tblStylePr w:type="band2Vert">
      <w:tblPr/>
      <w:tcPr>
        <w:shd w:val="clear" w:color="auto" w:fill="E6E6E6" w:themeFill="background2"/>
      </w:tcPr>
    </w:tblStylePr>
    <w:tblStylePr w:type="band1Horz">
      <w:tblPr/>
      <w:tcPr>
        <w:shd w:val="clear" w:color="auto" w:fill="F2F2F2" w:themeFill="background1" w:themeFillShade="F2"/>
      </w:tcPr>
    </w:tblStylePr>
    <w:tblStylePr w:type="band2Horz">
      <w:tblPr/>
      <w:tcPr>
        <w:shd w:val="clear" w:color="auto" w:fill="E6E6E6" w:themeFill="background2"/>
      </w:tcPr>
    </w:tblStylePr>
  </w:style>
  <w:style w:type="paragraph" w:customStyle="1" w:styleId="FigureHeading">
    <w:name w:val="Figure Heading"/>
    <w:basedOn w:val="Normal"/>
    <w:uiPriority w:val="7"/>
    <w:qFormat/>
    <w:rsid w:val="00D06FDA"/>
    <w:pPr>
      <w:pBdr>
        <w:top w:val="single" w:sz="4" w:space="6" w:color="176CB5" w:themeColor="accent3"/>
        <w:left w:val="single" w:sz="4" w:space="4" w:color="176CB5" w:themeColor="accent3"/>
        <w:bottom w:val="single" w:sz="4" w:space="6" w:color="176CB5" w:themeColor="accent3"/>
        <w:right w:val="single" w:sz="4" w:space="4" w:color="176CB5" w:themeColor="accent3"/>
      </w:pBdr>
      <w:shd w:val="clear" w:color="auto" w:fill="176CB5" w:themeFill="accent3"/>
      <w:spacing w:after="160"/>
      <w:ind w:left="113" w:right="113"/>
    </w:pPr>
    <w:rPr>
      <w:b/>
      <w:caps/>
      <w:color w:val="FFFFFF" w:themeColor="background1"/>
    </w:rPr>
  </w:style>
  <w:style w:type="paragraph" w:customStyle="1" w:styleId="TableHeading">
    <w:name w:val="Table Heading"/>
    <w:basedOn w:val="FigureHeading"/>
    <w:uiPriority w:val="7"/>
    <w:qFormat/>
    <w:rsid w:val="00D06FDA"/>
    <w:pPr>
      <w:spacing w:after="0"/>
    </w:pPr>
  </w:style>
  <w:style w:type="paragraph" w:customStyle="1" w:styleId="Source">
    <w:name w:val="Source"/>
    <w:basedOn w:val="Normal"/>
    <w:uiPriority w:val="8"/>
    <w:qFormat/>
    <w:rsid w:val="00D06FDA"/>
    <w:pPr>
      <w:spacing w:before="80" w:line="200" w:lineRule="atLeast"/>
    </w:pPr>
    <w:rPr>
      <w:sz w:val="16"/>
    </w:rPr>
  </w:style>
  <w:style w:type="paragraph" w:styleId="ListBullet">
    <w:name w:val="List Bullet"/>
    <w:basedOn w:val="Normal"/>
    <w:uiPriority w:val="99"/>
    <w:unhideWhenUsed/>
    <w:rsid w:val="00E0199B"/>
    <w:pPr>
      <w:numPr>
        <w:numId w:val="7"/>
      </w:numPr>
      <w:contextualSpacing/>
    </w:pPr>
  </w:style>
  <w:style w:type="paragraph" w:customStyle="1" w:styleId="NotesLines">
    <w:name w:val="Notes Lines"/>
    <w:basedOn w:val="Normal"/>
    <w:uiPriority w:val="19"/>
    <w:qFormat/>
    <w:rsid w:val="008A340B"/>
    <w:pPr>
      <w:pBdr>
        <w:between w:val="single" w:sz="4" w:space="1" w:color="auto"/>
      </w:pBdr>
      <w:spacing w:line="360" w:lineRule="atLeast"/>
    </w:pPr>
  </w:style>
  <w:style w:type="paragraph" w:styleId="NoSpacing">
    <w:name w:val="No Spacing"/>
    <w:uiPriority w:val="1"/>
    <w:qFormat/>
    <w:rsid w:val="00F62279"/>
    <w:pPr>
      <w:spacing w:before="0" w:after="0"/>
    </w:pPr>
    <w:rPr>
      <w:rFonts w:ascii="Arial" w:hAnsi="Arial"/>
    </w:rPr>
  </w:style>
  <w:style w:type="paragraph" w:styleId="TOCHeading">
    <w:name w:val="TOC Heading"/>
    <w:basedOn w:val="Heading1"/>
    <w:next w:val="Normal"/>
    <w:uiPriority w:val="39"/>
    <w:unhideWhenUsed/>
    <w:qFormat/>
    <w:rsid w:val="00CF40FC"/>
    <w:pPr>
      <w:spacing w:before="720"/>
      <w:outlineLvl w:val="9"/>
    </w:pPr>
  </w:style>
  <w:style w:type="paragraph" w:styleId="TOC1">
    <w:name w:val="toc 1"/>
    <w:basedOn w:val="Normal"/>
    <w:next w:val="Normal"/>
    <w:autoRedefine/>
    <w:uiPriority w:val="39"/>
    <w:unhideWhenUsed/>
    <w:rsid w:val="00BA4643"/>
    <w:pPr>
      <w:tabs>
        <w:tab w:val="right" w:pos="9854"/>
      </w:tabs>
    </w:pPr>
    <w:rPr>
      <w:b/>
      <w:u w:val="single" w:color="176CB5" w:themeColor="accent3"/>
    </w:rPr>
  </w:style>
  <w:style w:type="paragraph" w:styleId="TOC2">
    <w:name w:val="toc 2"/>
    <w:basedOn w:val="Normal"/>
    <w:next w:val="Normal"/>
    <w:autoRedefine/>
    <w:uiPriority w:val="39"/>
    <w:unhideWhenUsed/>
    <w:rsid w:val="00BA4643"/>
    <w:pPr>
      <w:spacing w:before="80"/>
    </w:pPr>
  </w:style>
  <w:style w:type="character" w:styleId="Hyperlink">
    <w:name w:val="Hyperlink"/>
    <w:basedOn w:val="DefaultParagraphFont"/>
    <w:uiPriority w:val="99"/>
    <w:unhideWhenUsed/>
    <w:rsid w:val="00D11558"/>
    <w:rPr>
      <w:rFonts w:ascii="Arial" w:hAnsi="Arial"/>
      <w:color w:val="000000" w:themeColor="text1"/>
      <w:u w:val="single"/>
    </w:rPr>
  </w:style>
  <w:style w:type="table" w:styleId="TableGridLight">
    <w:name w:val="Grid Table Light"/>
    <w:basedOn w:val="TableNormal"/>
    <w:uiPriority w:val="40"/>
    <w:rsid w:val="000730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730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730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UnresolvedMention">
    <w:name w:val="Unresolved Mention"/>
    <w:basedOn w:val="DefaultParagraphFont"/>
    <w:uiPriority w:val="99"/>
    <w:semiHidden/>
    <w:unhideWhenUsed/>
    <w:rsid w:val="007148D0"/>
    <w:rPr>
      <w:rFonts w:ascii="Arial" w:hAnsi="Arial"/>
      <w:color w:val="605E5C"/>
      <w:shd w:val="clear" w:color="auto" w:fill="E1DFDD"/>
    </w:rPr>
  </w:style>
  <w:style w:type="paragraph" w:styleId="Caption">
    <w:name w:val="caption"/>
    <w:basedOn w:val="Normal"/>
    <w:next w:val="Normal"/>
    <w:uiPriority w:val="35"/>
    <w:unhideWhenUsed/>
    <w:qFormat/>
    <w:rsid w:val="002C26E8"/>
    <w:pPr>
      <w:spacing w:before="0" w:after="200" w:line="240" w:lineRule="auto"/>
    </w:pPr>
    <w:rPr>
      <w:i/>
      <w:iCs/>
      <w:color w:val="212A4C" w:themeColor="text2"/>
      <w:sz w:val="18"/>
      <w:szCs w:val="18"/>
    </w:rPr>
  </w:style>
  <w:style w:type="character" w:styleId="FollowedHyperlink">
    <w:name w:val="FollowedHyperlink"/>
    <w:basedOn w:val="DefaultParagraphFont"/>
    <w:uiPriority w:val="99"/>
    <w:semiHidden/>
    <w:unhideWhenUsed/>
    <w:rsid w:val="00D11558"/>
    <w:rPr>
      <w:rFonts w:ascii="Arial" w:hAnsi="Arial"/>
      <w:color w:val="000000" w:themeColor="text1"/>
      <w:u w:val="single"/>
    </w:rPr>
  </w:style>
  <w:style w:type="character" w:styleId="SmartLink">
    <w:name w:val="Smart Link"/>
    <w:basedOn w:val="DefaultParagraphFont"/>
    <w:uiPriority w:val="99"/>
    <w:semiHidden/>
    <w:unhideWhenUsed/>
    <w:rsid w:val="00D11558"/>
    <w:rPr>
      <w:rFonts w:ascii="Arial" w:hAnsi="Arial"/>
      <w:color w:val="000000" w:themeColor="text1"/>
      <w:u w:val="single"/>
      <w:shd w:val="clear" w:color="auto" w:fill="F3F2F1"/>
    </w:rPr>
  </w:style>
  <w:style w:type="paragraph" w:customStyle="1" w:styleId="Heading2HeadingStyles">
    <w:name w:val="Heading 2 (Heading Styles)"/>
    <w:basedOn w:val="Normal"/>
    <w:uiPriority w:val="99"/>
    <w:rsid w:val="00635A19"/>
    <w:pPr>
      <w:tabs>
        <w:tab w:val="left" w:pos="170"/>
        <w:tab w:val="left" w:pos="340"/>
      </w:tabs>
      <w:suppressAutoHyphens/>
      <w:autoSpaceDE w:val="0"/>
      <w:autoSpaceDN w:val="0"/>
      <w:adjustRightInd w:val="0"/>
      <w:spacing w:before="340" w:after="120" w:line="300" w:lineRule="atLeast"/>
      <w:textAlignment w:val="center"/>
    </w:pPr>
    <w:rPr>
      <w:rFonts w:ascii="Open Sans SemiBold" w:hAnsi="Open Sans SemiBold" w:cs="Open Sans SemiBold"/>
      <w:color w:val="000000"/>
      <w:szCs w:val="24"/>
      <w:lang w:val="en-US"/>
    </w:rPr>
  </w:style>
  <w:style w:type="character" w:customStyle="1" w:styleId="Heading6Char">
    <w:name w:val="Heading 6 Char"/>
    <w:basedOn w:val="DefaultParagraphFont"/>
    <w:link w:val="Heading6"/>
    <w:uiPriority w:val="4"/>
    <w:semiHidden/>
    <w:rsid w:val="00F62279"/>
    <w:rPr>
      <w:rFonts w:ascii="Arial" w:eastAsiaTheme="majorEastAsia" w:hAnsi="Arial" w:cstheme="majorBidi"/>
      <w:color w:val="101425" w:themeColor="accent1" w:themeShade="7F"/>
      <w:sz w:val="24"/>
    </w:rPr>
  </w:style>
  <w:style w:type="character" w:customStyle="1" w:styleId="Heading7Char">
    <w:name w:val="Heading 7 Char"/>
    <w:basedOn w:val="DefaultParagraphFont"/>
    <w:link w:val="Heading7"/>
    <w:uiPriority w:val="4"/>
    <w:semiHidden/>
    <w:rsid w:val="00F62279"/>
    <w:rPr>
      <w:rFonts w:ascii="Arial" w:eastAsiaTheme="majorEastAsia" w:hAnsi="Arial" w:cstheme="majorBidi"/>
      <w:i/>
      <w:iCs/>
      <w:color w:val="101425" w:themeColor="accent1" w:themeShade="7F"/>
      <w:sz w:val="24"/>
    </w:rPr>
  </w:style>
  <w:style w:type="character" w:customStyle="1" w:styleId="Heading8Char">
    <w:name w:val="Heading 8 Char"/>
    <w:basedOn w:val="DefaultParagraphFont"/>
    <w:link w:val="Heading8"/>
    <w:uiPriority w:val="4"/>
    <w:semiHidden/>
    <w:rsid w:val="00F62279"/>
    <w:rPr>
      <w:rFonts w:ascii="Arial" w:eastAsiaTheme="majorEastAsia" w:hAnsi="Arial" w:cstheme="majorBidi"/>
      <w:color w:val="272727" w:themeColor="text1" w:themeTint="D8"/>
      <w:sz w:val="21"/>
      <w:szCs w:val="21"/>
    </w:rPr>
  </w:style>
  <w:style w:type="character" w:customStyle="1" w:styleId="Heading9Char">
    <w:name w:val="Heading 9 Char"/>
    <w:basedOn w:val="DefaultParagraphFont"/>
    <w:link w:val="Heading9"/>
    <w:uiPriority w:val="4"/>
    <w:semiHidden/>
    <w:rsid w:val="00F62279"/>
    <w:rPr>
      <w:rFonts w:ascii="Arial" w:eastAsiaTheme="majorEastAsia" w:hAnsi="Arial" w:cstheme="majorBidi"/>
      <w:i/>
      <w:iCs/>
      <w:color w:val="272727" w:themeColor="text1" w:themeTint="D8"/>
      <w:sz w:val="21"/>
      <w:szCs w:val="21"/>
    </w:rPr>
  </w:style>
  <w:style w:type="paragraph" w:styleId="TOAHeading">
    <w:name w:val="toa heading"/>
    <w:basedOn w:val="Normal"/>
    <w:next w:val="Normal"/>
    <w:uiPriority w:val="99"/>
    <w:semiHidden/>
    <w:unhideWhenUsed/>
    <w:rsid w:val="00F62279"/>
    <w:pPr>
      <w:spacing w:before="120"/>
    </w:pPr>
    <w:rPr>
      <w:rFonts w:eastAsiaTheme="majorEastAsia" w:cstheme="majorBidi"/>
      <w:b/>
      <w:bCs/>
      <w:szCs w:val="24"/>
    </w:rPr>
  </w:style>
  <w:style w:type="character" w:styleId="PageNumber">
    <w:name w:val="page number"/>
    <w:basedOn w:val="DefaultParagraphFont"/>
    <w:uiPriority w:val="99"/>
    <w:semiHidden/>
    <w:unhideWhenUsed/>
    <w:rsid w:val="00AF121B"/>
  </w:style>
  <w:style w:type="paragraph" w:styleId="FootnoteText">
    <w:name w:val="footnote text"/>
    <w:basedOn w:val="Normal"/>
    <w:link w:val="FootnoteTextChar"/>
    <w:uiPriority w:val="99"/>
    <w:semiHidden/>
    <w:unhideWhenUsed/>
    <w:rsid w:val="00FA1246"/>
    <w:pPr>
      <w:spacing w:before="0" w:after="0" w:line="240" w:lineRule="auto"/>
    </w:pPr>
    <w:rPr>
      <w:sz w:val="20"/>
    </w:rPr>
  </w:style>
  <w:style w:type="character" w:customStyle="1" w:styleId="FootnoteTextChar">
    <w:name w:val="Footnote Text Char"/>
    <w:basedOn w:val="DefaultParagraphFont"/>
    <w:link w:val="FootnoteText"/>
    <w:uiPriority w:val="99"/>
    <w:semiHidden/>
    <w:rsid w:val="00FA1246"/>
    <w:rPr>
      <w:rFonts w:ascii="Arial" w:hAnsi="Arial"/>
    </w:rPr>
  </w:style>
  <w:style w:type="character" w:styleId="FootnoteReference">
    <w:name w:val="footnote reference"/>
    <w:basedOn w:val="DefaultParagraphFont"/>
    <w:uiPriority w:val="99"/>
    <w:semiHidden/>
    <w:unhideWhenUsed/>
    <w:rsid w:val="00FA1246"/>
    <w:rPr>
      <w:vertAlign w:val="superscript"/>
    </w:rPr>
  </w:style>
  <w:style w:type="paragraph" w:customStyle="1" w:styleId="NoParagraphStyle">
    <w:name w:val="[No Paragraph Style]"/>
    <w:rsid w:val="001308BE"/>
    <w:pPr>
      <w:autoSpaceDE w:val="0"/>
      <w:autoSpaceDN w:val="0"/>
      <w:bidi/>
      <w:adjustRightInd w:val="0"/>
      <w:spacing w:before="0" w:after="0" w:line="288" w:lineRule="auto"/>
      <w:textAlignment w:val="center"/>
    </w:pPr>
    <w:rPr>
      <w:rFonts w:ascii="Adobe Arabic" w:hAnsi="Adobe Arabic" w:cs="Adobe Arabic"/>
      <w:color w:val="000000"/>
      <w:sz w:val="24"/>
      <w:szCs w:val="24"/>
      <w:lang w:val="en-GB" w:bidi="ar-Y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rvicesaustralia.gov.au/pbssafetynet"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081BD3F32C219649B7D96FD4A0753C52"/>
        <w:category>
          <w:name w:val="General"/>
          <w:gallery w:val="placeholder"/>
        </w:category>
        <w:types>
          <w:type w:val="bbPlcHdr"/>
        </w:types>
        <w:behaviors>
          <w:behavior w:val="content"/>
        </w:behaviors>
        <w:guid w:val="{088E2A2F-7F76-F34F-8BE5-27E640999602}"/>
      </w:docPartPr>
      <w:docPartBody>
        <w:p w:rsidR="004B2E70" w:rsidRDefault="001E4E9D">
          <w:pPr>
            <w:pStyle w:val="081BD3F32C219649B7D96FD4A0753C52"/>
          </w:pPr>
          <w:r w:rsidRPr="00951F2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altName w:val="Open Sans SemiBold"/>
    <w:charset w:val="00"/>
    <w:family w:val="auto"/>
    <w:pitch w:val="variable"/>
    <w:sig w:usb0="E00002FF" w:usb1="4000201B" w:usb2="00000028" w:usb3="00000000" w:csb0="0000019F" w:csb1="00000000"/>
  </w:font>
  <w:font w:name="Adobe Arabic">
    <w:altName w:val="Adobe Arabic"/>
    <w:panose1 w:val="00000000000000000000"/>
    <w:charset w:val="B2"/>
    <w:family w:val="roman"/>
    <w:notTrueType/>
    <w:pitch w:val="variable"/>
    <w:sig w:usb0="8000202F" w:usb1="8000A04A" w:usb2="00000008" w:usb3="00000000" w:csb0="00000041" w:csb1="00000000"/>
  </w:font>
  <w:font w:name="Aptos">
    <w:charset w:val="00"/>
    <w:family w:val="swiss"/>
    <w:pitch w:val="variable"/>
    <w:sig w:usb0="20000287" w:usb1="00000003"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E9D"/>
    <w:rsid w:val="000A646D"/>
    <w:rsid w:val="001E4E9D"/>
    <w:rsid w:val="002D7C32"/>
    <w:rsid w:val="004B2E70"/>
    <w:rsid w:val="00656B6E"/>
    <w:rsid w:val="006A1056"/>
    <w:rsid w:val="007B1368"/>
    <w:rsid w:val="007D0EA5"/>
    <w:rsid w:val="00812B54"/>
    <w:rsid w:val="00983FC2"/>
    <w:rsid w:val="00A7012B"/>
    <w:rsid w:val="00AE722E"/>
    <w:rsid w:val="00BA7380"/>
    <w:rsid w:val="00C714E7"/>
    <w:rsid w:val="00D735A7"/>
    <w:rsid w:val="00DA315E"/>
    <w:rsid w:val="00F06E01"/>
    <w:rsid w:val="00F27B80"/>
    <w:rsid w:val="00F71356"/>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081BD3F32C219649B7D96FD4A0753C52">
    <w:name w:val="081BD3F32C219649B7D96FD4A0753C5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BEP 2020 Colours">
      <a:dk1>
        <a:sysClr val="windowText" lastClr="000000"/>
      </a:dk1>
      <a:lt1>
        <a:sysClr val="window" lastClr="FFFFFF"/>
      </a:lt1>
      <a:dk2>
        <a:srgbClr val="212A4C"/>
      </a:dk2>
      <a:lt2>
        <a:srgbClr val="E6E6E6"/>
      </a:lt2>
      <a:accent1>
        <a:srgbClr val="212A4C"/>
      </a:accent1>
      <a:accent2>
        <a:srgbClr val="264F90"/>
      </a:accent2>
      <a:accent3>
        <a:srgbClr val="176CB5"/>
      </a:accent3>
      <a:accent4>
        <a:srgbClr val="218080"/>
      </a:accent4>
      <a:accent5>
        <a:srgbClr val="E5B13D"/>
      </a:accent5>
      <a:accent6>
        <a:srgbClr val="A42079"/>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8d296df-c91f-46ec-882c-a5f320b081a8">
      <Terms xmlns="http://schemas.microsoft.com/office/infopath/2007/PartnerControls"/>
    </lcf76f155ced4ddcb4097134ff3c332f>
    <TaxCatchAll xmlns="2c0b4a26-a0a6-442a-a800-f5fe1d9f3f5b"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EAD95CDC3CF6F4BB024108E1E74F34E" ma:contentTypeVersion="18" ma:contentTypeDescription="Create a new document." ma:contentTypeScope="" ma:versionID="bbe3b24f95e4374b93d29ab5d61b45ec">
  <xsd:schema xmlns:xsd="http://www.w3.org/2001/XMLSchema" xmlns:xs="http://www.w3.org/2001/XMLSchema" xmlns:p="http://schemas.microsoft.com/office/2006/metadata/properties" xmlns:ns2="2c0b4a26-a0a6-442a-a800-f5fe1d9f3f5b" xmlns:ns3="b8d296df-c91f-46ec-882c-a5f320b081a8" targetNamespace="http://schemas.microsoft.com/office/2006/metadata/properties" ma:root="true" ma:fieldsID="856afc00239e9eb70fc5be8424b789da" ns2:_="" ns3:_="">
    <xsd:import namespace="2c0b4a26-a0a6-442a-a800-f5fe1d9f3f5b"/>
    <xsd:import namespace="b8d296df-c91f-46ec-882c-a5f320b081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0b4a26-a0a6-442a-a800-f5fe1d9f3f5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b69abc5-6d2b-4500-9626-2e2a8cb229a8}" ma:internalName="TaxCatchAll" ma:showField="CatchAllData" ma:web="2c0b4a26-a0a6-442a-a800-f5fe1d9f3f5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8d296df-c91f-46ec-882c-a5f320b081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6A4129-E103-4623-8D80-E0C7D8FC41C5}">
  <ds:schemaRefs>
    <ds:schemaRef ds:uri="http://schemas.openxmlformats.org/officeDocument/2006/bibliography"/>
  </ds:schemaRefs>
</ds:datastoreItem>
</file>

<file path=customXml/itemProps2.xml><?xml version="1.0" encoding="utf-8"?>
<ds:datastoreItem xmlns:ds="http://schemas.openxmlformats.org/officeDocument/2006/customXml" ds:itemID="{3AED1C35-C5C3-44E0-AFDB-236E6D25CF8D}">
  <ds:schemaRefs>
    <ds:schemaRef ds:uri="http://schemas.microsoft.com/sharepoint/v3/contenttype/forms"/>
  </ds:schemaRefs>
</ds:datastoreItem>
</file>

<file path=customXml/itemProps3.xml><?xml version="1.0" encoding="utf-8"?>
<ds:datastoreItem xmlns:ds="http://schemas.openxmlformats.org/officeDocument/2006/customXml" ds:itemID="{119181A0-B608-499E-A745-B9FF3ABAB41B}">
  <ds:schemaRefs>
    <ds:schemaRef ds:uri="http://purl.org/dc/dcmitype/"/>
    <ds:schemaRef ds:uri="2c0b4a26-a0a6-442a-a800-f5fe1d9f3f5b"/>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schemas.microsoft.com/office/2006/documentManagement/types"/>
    <ds:schemaRef ds:uri="b8d296df-c91f-46ec-882c-a5f320b081a8"/>
    <ds:schemaRef ds:uri="http://www.w3.org/XML/1998/namespace"/>
    <ds:schemaRef ds:uri="http://purl.org/dc/terms/"/>
  </ds:schemaRefs>
</ds:datastoreItem>
</file>

<file path=customXml/itemProps4.xml><?xml version="1.0" encoding="utf-8"?>
<ds:datastoreItem xmlns:ds="http://schemas.openxmlformats.org/officeDocument/2006/customXml" ds:itemID="{B024A295-901C-4924-9CC4-61BCD755A7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0b4a26-a0a6-442a-a800-f5fe1d9f3f5b"/>
    <ds:schemaRef ds:uri="b8d296df-c91f-46ec-882c-a5f320b081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5</Pages>
  <Words>1495</Words>
  <Characters>8525</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Recetas para 60 días: Preguntas frecuentes</vt:lpstr>
    </vt:vector>
  </TitlesOfParts>
  <Company/>
  <LinksUpToDate>false</LinksUpToDate>
  <CharactersWithSpaces>10001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Recetas para 60 días: Preguntas frecuentes</dc:title>
  <dc:subject>60-day prescriptions – patient frequently asked questions – Spanish</dc:subject>
  <dc:creator>Australian Government Department of Health and Aged Care</dc:creator>
  <cp:keywords>Cheaper medicines; 60-day prescriptions</cp:keywords>
  <dc:description/>
  <cp:revision>7</cp:revision>
  <cp:lastPrinted>2024-11-20T09:11:00Z</cp:lastPrinted>
  <dcterms:created xsi:type="dcterms:W3CDTF">2024-11-17T21:27:00Z</dcterms:created>
  <dcterms:modified xsi:type="dcterms:W3CDTF">2024-12-12T05:17:00Z</dcterms:modified>
</cp:coreProperties>
</file>